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D4C0" w14:textId="7586231E" w:rsidR="000F6956" w:rsidRDefault="00561179" w:rsidP="002D62B9">
      <w:pPr>
        <w:ind w:firstLine="0"/>
        <w:jc w:val="left"/>
        <w:rPr>
          <w:b/>
          <w:sz w:val="56"/>
        </w:rPr>
      </w:pPr>
      <w:r w:rsidRPr="00FA587D">
        <w:rPr>
          <w:b/>
          <w:noProof/>
          <w:sz w:val="56"/>
          <w:lang w:eastAsia="lv-LV"/>
        </w:rPr>
        <w:drawing>
          <wp:anchor distT="0" distB="0" distL="114300" distR="114300" simplePos="0" relativeHeight="251662848" behindDoc="0" locked="0" layoutInCell="1" allowOverlap="1" wp14:anchorId="58E44DEC" wp14:editId="4A4C2EF2">
            <wp:simplePos x="0" y="0"/>
            <wp:positionH relativeFrom="margin">
              <wp:posOffset>1984375</wp:posOffset>
            </wp:positionH>
            <wp:positionV relativeFrom="page">
              <wp:posOffset>1350536</wp:posOffset>
            </wp:positionV>
            <wp:extent cx="1896745" cy="1555115"/>
            <wp:effectExtent l="0" t="0" r="825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674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7AA8F" w14:textId="3618EE99" w:rsidR="000F6956" w:rsidRDefault="000F6956" w:rsidP="002D62B9">
      <w:pPr>
        <w:ind w:firstLine="0"/>
        <w:jc w:val="left"/>
        <w:rPr>
          <w:b/>
          <w:sz w:val="56"/>
        </w:rPr>
      </w:pPr>
    </w:p>
    <w:p w14:paraId="7A16FD7F" w14:textId="77777777" w:rsidR="000F6956" w:rsidRDefault="000F6956" w:rsidP="002D62B9">
      <w:pPr>
        <w:ind w:firstLine="0"/>
        <w:jc w:val="left"/>
        <w:rPr>
          <w:b/>
          <w:sz w:val="56"/>
        </w:rPr>
      </w:pPr>
    </w:p>
    <w:p w14:paraId="5F07F143" w14:textId="77777777" w:rsidR="000F6956" w:rsidRDefault="000F6956" w:rsidP="002D62B9">
      <w:pPr>
        <w:ind w:firstLine="0"/>
        <w:jc w:val="left"/>
        <w:rPr>
          <w:b/>
          <w:sz w:val="56"/>
        </w:rPr>
      </w:pPr>
    </w:p>
    <w:p w14:paraId="4EBF888E" w14:textId="77777777" w:rsidR="000F6956" w:rsidRDefault="000F6956" w:rsidP="002D62B9">
      <w:pPr>
        <w:ind w:firstLine="0"/>
        <w:jc w:val="left"/>
        <w:rPr>
          <w:b/>
          <w:sz w:val="56"/>
        </w:rPr>
      </w:pPr>
    </w:p>
    <w:p w14:paraId="664220C2" w14:textId="77777777" w:rsidR="000F6956" w:rsidRPr="00FF00CA" w:rsidRDefault="000F6956" w:rsidP="00FF00CA">
      <w:pPr>
        <w:ind w:firstLine="0"/>
        <w:jc w:val="center"/>
        <w:rPr>
          <w:b/>
          <w:color w:val="220199"/>
          <w:sz w:val="72"/>
        </w:rPr>
      </w:pPr>
      <w:r w:rsidRPr="00FF00CA">
        <w:rPr>
          <w:b/>
          <w:color w:val="220199"/>
          <w:sz w:val="72"/>
        </w:rPr>
        <w:t>Latvijas</w:t>
      </w:r>
    </w:p>
    <w:p w14:paraId="11EFB262" w14:textId="3C91F5FD" w:rsidR="000F6956" w:rsidRPr="00FF00CA" w:rsidRDefault="007F24B8" w:rsidP="00FF00CA">
      <w:pPr>
        <w:ind w:firstLine="0"/>
        <w:jc w:val="center"/>
        <w:rPr>
          <w:b/>
          <w:color w:val="220199"/>
          <w:sz w:val="72"/>
        </w:rPr>
      </w:pPr>
      <w:r w:rsidRPr="00FF00CA">
        <w:rPr>
          <w:b/>
          <w:color w:val="220199"/>
          <w:sz w:val="72"/>
        </w:rPr>
        <w:t>Stabilitātes</w:t>
      </w:r>
      <w:r w:rsidR="000F6956" w:rsidRPr="00FF00CA">
        <w:rPr>
          <w:b/>
          <w:color w:val="220199"/>
          <w:sz w:val="72"/>
        </w:rPr>
        <w:t xml:space="preserve"> programma</w:t>
      </w:r>
    </w:p>
    <w:p w14:paraId="6D91C8C0" w14:textId="77777777" w:rsidR="00FF00CA" w:rsidRPr="00FF00CA" w:rsidRDefault="007F24B8" w:rsidP="00FF00CA">
      <w:pPr>
        <w:ind w:firstLine="0"/>
        <w:jc w:val="center"/>
        <w:rPr>
          <w:b/>
          <w:color w:val="220199"/>
          <w:sz w:val="72"/>
        </w:rPr>
      </w:pPr>
      <w:r w:rsidRPr="00FF00CA">
        <w:rPr>
          <w:b/>
          <w:color w:val="220199"/>
          <w:sz w:val="72"/>
        </w:rPr>
        <w:t>2014</w:t>
      </w:r>
      <w:r w:rsidR="00E2547E" w:rsidRPr="00FF00CA">
        <w:rPr>
          <w:b/>
          <w:color w:val="220199"/>
          <w:sz w:val="72"/>
        </w:rPr>
        <w:t>.</w:t>
      </w:r>
      <w:r w:rsidR="00FF00CA" w:rsidRPr="00FF00CA">
        <w:rPr>
          <w:b/>
          <w:color w:val="220199"/>
          <w:sz w:val="72"/>
        </w:rPr>
        <w:t xml:space="preserve"> </w:t>
      </w:r>
      <w:r w:rsidRPr="00FF00CA">
        <w:rPr>
          <w:b/>
          <w:color w:val="220199"/>
          <w:sz w:val="72"/>
        </w:rPr>
        <w:t>-</w:t>
      </w:r>
      <w:r w:rsidR="00FF00CA" w:rsidRPr="00FF00CA">
        <w:rPr>
          <w:b/>
          <w:color w:val="220199"/>
          <w:sz w:val="72"/>
        </w:rPr>
        <w:t xml:space="preserve"> </w:t>
      </w:r>
      <w:r w:rsidRPr="00FF00CA">
        <w:rPr>
          <w:b/>
          <w:color w:val="220199"/>
          <w:sz w:val="72"/>
        </w:rPr>
        <w:t>2017</w:t>
      </w:r>
      <w:r w:rsidR="00E2547E" w:rsidRPr="00FF00CA">
        <w:rPr>
          <w:b/>
          <w:color w:val="220199"/>
          <w:sz w:val="72"/>
        </w:rPr>
        <w:t>.</w:t>
      </w:r>
      <w:r w:rsidR="00FF00CA" w:rsidRPr="00FF00CA">
        <w:rPr>
          <w:b/>
          <w:color w:val="220199"/>
          <w:sz w:val="72"/>
        </w:rPr>
        <w:t> </w:t>
      </w:r>
      <w:r w:rsidR="00E2547E" w:rsidRPr="00FF00CA">
        <w:rPr>
          <w:b/>
          <w:color w:val="220199"/>
          <w:sz w:val="72"/>
        </w:rPr>
        <w:t>gadam</w:t>
      </w:r>
    </w:p>
    <w:p w14:paraId="71559878" w14:textId="77777777" w:rsidR="00FF00CA" w:rsidRDefault="00FF00CA" w:rsidP="00FF00CA">
      <w:pPr>
        <w:ind w:firstLine="0"/>
        <w:jc w:val="left"/>
        <w:rPr>
          <w:b/>
          <w:color w:val="220199"/>
          <w:sz w:val="72"/>
        </w:rPr>
      </w:pPr>
    </w:p>
    <w:p w14:paraId="537E9C14" w14:textId="77777777" w:rsidR="00561179" w:rsidRDefault="00561179" w:rsidP="00FF00CA">
      <w:pPr>
        <w:ind w:firstLine="0"/>
        <w:jc w:val="left"/>
        <w:rPr>
          <w:color w:val="0000CC"/>
        </w:rPr>
      </w:pPr>
    </w:p>
    <w:p w14:paraId="7BC71572" w14:textId="77777777" w:rsidR="00FF00CA" w:rsidRPr="00FF00CA" w:rsidRDefault="00FF00CA" w:rsidP="00FF00CA">
      <w:pPr>
        <w:ind w:firstLine="0"/>
        <w:jc w:val="left"/>
        <w:rPr>
          <w:b/>
          <w:color w:val="0000CC"/>
          <w:sz w:val="72"/>
        </w:rPr>
        <w:sectPr w:rsidR="00FF00CA" w:rsidRPr="00FF00CA" w:rsidSect="00D9397F">
          <w:headerReference w:type="even" r:id="rId50"/>
          <w:headerReference w:type="default" r:id="rId51"/>
          <w:headerReference w:type="first" r:id="rId52"/>
          <w:footerReference w:type="first" r:id="rId53"/>
          <w:pgSz w:w="11906" w:h="16838" w:code="9"/>
          <w:pgMar w:top="1418" w:right="1134" w:bottom="1134" w:left="1701" w:header="720" w:footer="0" w:gutter="0"/>
          <w:cols w:space="720"/>
          <w:titlePg/>
          <w:rtlGutter/>
          <w:docGrid w:linePitch="326"/>
        </w:sectPr>
      </w:pPr>
    </w:p>
    <w:p w14:paraId="1E5DAA62" w14:textId="77777777" w:rsidR="00C53CDD" w:rsidRPr="00614215" w:rsidRDefault="00C53CDD" w:rsidP="002D62B9">
      <w:pPr>
        <w:ind w:firstLine="0"/>
        <w:rPr>
          <w:b/>
          <w:sz w:val="32"/>
        </w:rPr>
      </w:pPr>
      <w:bookmarkStart w:id="0" w:name="_Toc92091174"/>
      <w:bookmarkStart w:id="1" w:name="_Toc120504672"/>
      <w:bookmarkStart w:id="2" w:name="_Toc284924039"/>
      <w:r w:rsidRPr="00A652BA">
        <w:rPr>
          <w:b/>
          <w:sz w:val="32"/>
        </w:rPr>
        <w:lastRenderedPageBreak/>
        <w:t>Saturs</w:t>
      </w:r>
      <w:r w:rsidR="00D3627A" w:rsidRPr="00614215">
        <w:rPr>
          <w:b/>
          <w:sz w:val="32"/>
        </w:rPr>
        <w:t xml:space="preserve"> </w:t>
      </w:r>
    </w:p>
    <w:p w14:paraId="549B488B" w14:textId="77777777" w:rsidR="00FF00CA" w:rsidRDefault="00283B8B" w:rsidP="008118BE">
      <w:pPr>
        <w:pStyle w:val="TOC2"/>
        <w:rPr>
          <w:rFonts w:asciiTheme="minorHAnsi" w:eastAsiaTheme="minorEastAsia" w:hAnsiTheme="minorHAnsi" w:cstheme="minorBidi"/>
          <w:noProof/>
          <w:sz w:val="22"/>
          <w:szCs w:val="22"/>
          <w:lang w:eastAsia="lv-LV"/>
        </w:rPr>
      </w:pPr>
      <w:r w:rsidRPr="00877BCB">
        <w:rPr>
          <w:highlight w:val="yellow"/>
        </w:rPr>
        <w:fldChar w:fldCharType="begin"/>
      </w:r>
      <w:r w:rsidRPr="00877BCB">
        <w:rPr>
          <w:highlight w:val="yellow"/>
        </w:rPr>
        <w:instrText xml:space="preserve"> TOC \o "1-3" \h \z \u </w:instrText>
      </w:r>
      <w:r w:rsidRPr="00877BCB">
        <w:rPr>
          <w:highlight w:val="yellow"/>
        </w:rPr>
        <w:fldChar w:fldCharType="separate"/>
      </w:r>
      <w:hyperlink w:anchor="_Toc385517806" w:history="1">
        <w:r w:rsidR="00FF00CA" w:rsidRPr="0043604A">
          <w:rPr>
            <w:rStyle w:val="Hyperlink"/>
            <w:noProof/>
          </w:rPr>
          <w:t>Saīsinājumu apzīmējumi</w:t>
        </w:r>
        <w:r w:rsidR="00FF00CA">
          <w:rPr>
            <w:noProof/>
            <w:webHidden/>
          </w:rPr>
          <w:tab/>
        </w:r>
        <w:r w:rsidR="00FF00CA">
          <w:rPr>
            <w:noProof/>
            <w:webHidden/>
          </w:rPr>
          <w:fldChar w:fldCharType="begin"/>
        </w:r>
        <w:r w:rsidR="00FF00CA">
          <w:rPr>
            <w:noProof/>
            <w:webHidden/>
          </w:rPr>
          <w:instrText xml:space="preserve"> PAGEREF _Toc385517806 \h </w:instrText>
        </w:r>
        <w:r w:rsidR="00FF00CA">
          <w:rPr>
            <w:noProof/>
            <w:webHidden/>
          </w:rPr>
        </w:r>
        <w:r w:rsidR="00FF00CA">
          <w:rPr>
            <w:noProof/>
            <w:webHidden/>
          </w:rPr>
          <w:fldChar w:fldCharType="separate"/>
        </w:r>
        <w:r w:rsidR="0064793B">
          <w:rPr>
            <w:noProof/>
            <w:webHidden/>
          </w:rPr>
          <w:t>3</w:t>
        </w:r>
        <w:r w:rsidR="00FF00CA">
          <w:rPr>
            <w:noProof/>
            <w:webHidden/>
          </w:rPr>
          <w:fldChar w:fldCharType="end"/>
        </w:r>
      </w:hyperlink>
    </w:p>
    <w:p w14:paraId="643AEB77" w14:textId="77777777" w:rsidR="00FF00CA" w:rsidRDefault="00582AB5">
      <w:pPr>
        <w:pStyle w:val="TOC1"/>
        <w:rPr>
          <w:rFonts w:asciiTheme="minorHAnsi" w:eastAsiaTheme="minorEastAsia" w:hAnsiTheme="minorHAnsi" w:cstheme="minorBidi"/>
          <w:noProof/>
          <w:sz w:val="22"/>
          <w:szCs w:val="22"/>
          <w:lang w:eastAsia="lv-LV"/>
        </w:rPr>
      </w:pPr>
      <w:hyperlink w:anchor="_Toc385517807" w:history="1">
        <w:r w:rsidR="00FF00CA" w:rsidRPr="0043604A">
          <w:rPr>
            <w:rStyle w:val="Hyperlink"/>
            <w:noProof/>
          </w:rPr>
          <w:t>1.</w:t>
        </w:r>
        <w:r w:rsidR="00FF00CA">
          <w:rPr>
            <w:rFonts w:asciiTheme="minorHAnsi" w:eastAsiaTheme="minorEastAsia" w:hAnsiTheme="minorHAnsi" w:cstheme="minorBidi"/>
            <w:noProof/>
            <w:sz w:val="22"/>
            <w:szCs w:val="22"/>
            <w:lang w:eastAsia="lv-LV"/>
          </w:rPr>
          <w:tab/>
        </w:r>
        <w:r w:rsidR="00FF00CA" w:rsidRPr="0043604A">
          <w:rPr>
            <w:rStyle w:val="Hyperlink"/>
            <w:noProof/>
          </w:rPr>
          <w:t>Vispārējās ekonomiskās politikas vadlīnijas un mērķi</w:t>
        </w:r>
        <w:r w:rsidR="00FF00CA">
          <w:rPr>
            <w:noProof/>
            <w:webHidden/>
          </w:rPr>
          <w:tab/>
        </w:r>
        <w:r w:rsidR="00FF00CA">
          <w:rPr>
            <w:noProof/>
            <w:webHidden/>
          </w:rPr>
          <w:fldChar w:fldCharType="begin"/>
        </w:r>
        <w:r w:rsidR="00FF00CA">
          <w:rPr>
            <w:noProof/>
            <w:webHidden/>
          </w:rPr>
          <w:instrText xml:space="preserve"> PAGEREF _Toc385517807 \h </w:instrText>
        </w:r>
        <w:r w:rsidR="00FF00CA">
          <w:rPr>
            <w:noProof/>
            <w:webHidden/>
          </w:rPr>
        </w:r>
        <w:r w:rsidR="00FF00CA">
          <w:rPr>
            <w:noProof/>
            <w:webHidden/>
          </w:rPr>
          <w:fldChar w:fldCharType="separate"/>
        </w:r>
        <w:r w:rsidR="0064793B">
          <w:rPr>
            <w:noProof/>
            <w:webHidden/>
          </w:rPr>
          <w:t>5</w:t>
        </w:r>
        <w:r w:rsidR="00FF00CA">
          <w:rPr>
            <w:noProof/>
            <w:webHidden/>
          </w:rPr>
          <w:fldChar w:fldCharType="end"/>
        </w:r>
      </w:hyperlink>
    </w:p>
    <w:p w14:paraId="43680E72" w14:textId="77777777" w:rsidR="00FF00CA" w:rsidRDefault="00582AB5">
      <w:pPr>
        <w:pStyle w:val="TOC1"/>
        <w:rPr>
          <w:rFonts w:asciiTheme="minorHAnsi" w:eastAsiaTheme="minorEastAsia" w:hAnsiTheme="minorHAnsi" w:cstheme="minorBidi"/>
          <w:noProof/>
          <w:sz w:val="22"/>
          <w:szCs w:val="22"/>
          <w:lang w:eastAsia="lv-LV"/>
        </w:rPr>
      </w:pPr>
      <w:hyperlink w:anchor="_Toc385517808" w:history="1">
        <w:r w:rsidR="00FF00CA" w:rsidRPr="0043604A">
          <w:rPr>
            <w:rStyle w:val="Hyperlink"/>
            <w:noProof/>
          </w:rPr>
          <w:t>2.</w:t>
        </w:r>
        <w:r w:rsidR="00FF00CA">
          <w:rPr>
            <w:rFonts w:asciiTheme="minorHAnsi" w:eastAsiaTheme="minorEastAsia" w:hAnsiTheme="minorHAnsi" w:cstheme="minorBidi"/>
            <w:noProof/>
            <w:sz w:val="22"/>
            <w:szCs w:val="22"/>
            <w:lang w:eastAsia="lv-LV"/>
          </w:rPr>
          <w:tab/>
        </w:r>
        <w:r w:rsidR="00FF00CA" w:rsidRPr="0043604A">
          <w:rPr>
            <w:rStyle w:val="Hyperlink"/>
            <w:noProof/>
          </w:rPr>
          <w:t>Ekonomiskā situācija</w:t>
        </w:r>
        <w:r w:rsidR="00FF00CA">
          <w:rPr>
            <w:noProof/>
            <w:webHidden/>
          </w:rPr>
          <w:tab/>
        </w:r>
        <w:r w:rsidR="00FF00CA">
          <w:rPr>
            <w:noProof/>
            <w:webHidden/>
          </w:rPr>
          <w:fldChar w:fldCharType="begin"/>
        </w:r>
        <w:r w:rsidR="00FF00CA">
          <w:rPr>
            <w:noProof/>
            <w:webHidden/>
          </w:rPr>
          <w:instrText xml:space="preserve"> PAGEREF _Toc385517808 \h </w:instrText>
        </w:r>
        <w:r w:rsidR="00FF00CA">
          <w:rPr>
            <w:noProof/>
            <w:webHidden/>
          </w:rPr>
        </w:r>
        <w:r w:rsidR="00FF00CA">
          <w:rPr>
            <w:noProof/>
            <w:webHidden/>
          </w:rPr>
          <w:fldChar w:fldCharType="separate"/>
        </w:r>
        <w:r w:rsidR="0064793B">
          <w:rPr>
            <w:noProof/>
            <w:webHidden/>
          </w:rPr>
          <w:t>7</w:t>
        </w:r>
        <w:r w:rsidR="00FF00CA">
          <w:rPr>
            <w:noProof/>
            <w:webHidden/>
          </w:rPr>
          <w:fldChar w:fldCharType="end"/>
        </w:r>
      </w:hyperlink>
    </w:p>
    <w:p w14:paraId="09FEF991"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09" w:history="1">
        <w:r w:rsidR="00FF00CA" w:rsidRPr="0043604A">
          <w:rPr>
            <w:rStyle w:val="Hyperlink"/>
            <w:noProof/>
          </w:rPr>
          <w:t>2.1. Ārējā ekonomiskā vide</w:t>
        </w:r>
        <w:r w:rsidR="00FF00CA">
          <w:rPr>
            <w:noProof/>
            <w:webHidden/>
          </w:rPr>
          <w:tab/>
        </w:r>
        <w:r w:rsidR="00FF00CA">
          <w:rPr>
            <w:noProof/>
            <w:webHidden/>
          </w:rPr>
          <w:fldChar w:fldCharType="begin"/>
        </w:r>
        <w:r w:rsidR="00FF00CA">
          <w:rPr>
            <w:noProof/>
            <w:webHidden/>
          </w:rPr>
          <w:instrText xml:space="preserve"> PAGEREF _Toc385517809 \h </w:instrText>
        </w:r>
        <w:r w:rsidR="00FF00CA">
          <w:rPr>
            <w:noProof/>
            <w:webHidden/>
          </w:rPr>
        </w:r>
        <w:r w:rsidR="00FF00CA">
          <w:rPr>
            <w:noProof/>
            <w:webHidden/>
          </w:rPr>
          <w:fldChar w:fldCharType="separate"/>
        </w:r>
        <w:r w:rsidR="0064793B">
          <w:rPr>
            <w:noProof/>
            <w:webHidden/>
          </w:rPr>
          <w:t>7</w:t>
        </w:r>
        <w:r w:rsidR="00FF00CA">
          <w:rPr>
            <w:noProof/>
            <w:webHidden/>
          </w:rPr>
          <w:fldChar w:fldCharType="end"/>
        </w:r>
      </w:hyperlink>
    </w:p>
    <w:p w14:paraId="15B8F476"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0" w:history="1">
        <w:r w:rsidR="00FF00CA" w:rsidRPr="0043604A">
          <w:rPr>
            <w:rStyle w:val="Hyperlink"/>
            <w:noProof/>
          </w:rPr>
          <w:t>2.3. Makroekonomiskās attīstības scenārijs</w:t>
        </w:r>
        <w:r w:rsidR="00FF00CA">
          <w:rPr>
            <w:noProof/>
            <w:webHidden/>
          </w:rPr>
          <w:tab/>
        </w:r>
        <w:r w:rsidR="00FF00CA">
          <w:rPr>
            <w:noProof/>
            <w:webHidden/>
          </w:rPr>
          <w:fldChar w:fldCharType="begin"/>
        </w:r>
        <w:r w:rsidR="00FF00CA">
          <w:rPr>
            <w:noProof/>
            <w:webHidden/>
          </w:rPr>
          <w:instrText xml:space="preserve"> PAGEREF _Toc385517810 \h </w:instrText>
        </w:r>
        <w:r w:rsidR="00FF00CA">
          <w:rPr>
            <w:noProof/>
            <w:webHidden/>
          </w:rPr>
        </w:r>
        <w:r w:rsidR="00FF00CA">
          <w:rPr>
            <w:noProof/>
            <w:webHidden/>
          </w:rPr>
          <w:fldChar w:fldCharType="separate"/>
        </w:r>
        <w:r w:rsidR="0064793B">
          <w:rPr>
            <w:noProof/>
            <w:webHidden/>
          </w:rPr>
          <w:t>10</w:t>
        </w:r>
        <w:r w:rsidR="00FF00CA">
          <w:rPr>
            <w:noProof/>
            <w:webHidden/>
          </w:rPr>
          <w:fldChar w:fldCharType="end"/>
        </w:r>
      </w:hyperlink>
    </w:p>
    <w:p w14:paraId="738722F6" w14:textId="77777777" w:rsidR="00FF00CA" w:rsidRDefault="00582AB5">
      <w:pPr>
        <w:pStyle w:val="TOC1"/>
        <w:rPr>
          <w:rFonts w:asciiTheme="minorHAnsi" w:eastAsiaTheme="minorEastAsia" w:hAnsiTheme="minorHAnsi" w:cstheme="minorBidi"/>
          <w:noProof/>
          <w:sz w:val="22"/>
          <w:szCs w:val="22"/>
          <w:lang w:eastAsia="lv-LV"/>
        </w:rPr>
      </w:pPr>
      <w:hyperlink w:anchor="_Toc385517811" w:history="1">
        <w:r w:rsidR="00FF00CA" w:rsidRPr="0043604A">
          <w:rPr>
            <w:rStyle w:val="Hyperlink"/>
            <w:noProof/>
          </w:rPr>
          <w:t>3.</w:t>
        </w:r>
        <w:r w:rsidR="00FF00CA">
          <w:rPr>
            <w:rFonts w:asciiTheme="minorHAnsi" w:eastAsiaTheme="minorEastAsia" w:hAnsiTheme="minorHAnsi" w:cstheme="minorBidi"/>
            <w:noProof/>
            <w:sz w:val="22"/>
            <w:szCs w:val="22"/>
            <w:lang w:eastAsia="lv-LV"/>
          </w:rPr>
          <w:tab/>
        </w:r>
        <w:r w:rsidR="00FF00CA" w:rsidRPr="0043604A">
          <w:rPr>
            <w:rStyle w:val="Hyperlink"/>
            <w:noProof/>
          </w:rPr>
          <w:t>Vispārējās valdības budžeta bilance un parāds</w:t>
        </w:r>
        <w:r w:rsidR="00FF00CA">
          <w:rPr>
            <w:noProof/>
            <w:webHidden/>
          </w:rPr>
          <w:tab/>
        </w:r>
        <w:r w:rsidR="00FF00CA">
          <w:rPr>
            <w:noProof/>
            <w:webHidden/>
          </w:rPr>
          <w:fldChar w:fldCharType="begin"/>
        </w:r>
        <w:r w:rsidR="00FF00CA">
          <w:rPr>
            <w:noProof/>
            <w:webHidden/>
          </w:rPr>
          <w:instrText xml:space="preserve"> PAGEREF _Toc385517811 \h </w:instrText>
        </w:r>
        <w:r w:rsidR="00FF00CA">
          <w:rPr>
            <w:noProof/>
            <w:webHidden/>
          </w:rPr>
        </w:r>
        <w:r w:rsidR="00FF00CA">
          <w:rPr>
            <w:noProof/>
            <w:webHidden/>
          </w:rPr>
          <w:fldChar w:fldCharType="separate"/>
        </w:r>
        <w:r w:rsidR="0064793B">
          <w:rPr>
            <w:noProof/>
            <w:webHidden/>
          </w:rPr>
          <w:t>17</w:t>
        </w:r>
        <w:r w:rsidR="00FF00CA">
          <w:rPr>
            <w:noProof/>
            <w:webHidden/>
          </w:rPr>
          <w:fldChar w:fldCharType="end"/>
        </w:r>
      </w:hyperlink>
    </w:p>
    <w:p w14:paraId="22553E3E"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2" w:history="1">
        <w:r w:rsidR="00FF00CA" w:rsidRPr="0043604A">
          <w:rPr>
            <w:rStyle w:val="Hyperlink"/>
            <w:noProof/>
          </w:rPr>
          <w:t>3.1. Pašreizējā fisk</w:t>
        </w:r>
        <w:bookmarkStart w:id="3" w:name="_GoBack"/>
        <w:bookmarkEnd w:id="3"/>
        <w:r w:rsidR="00FF00CA" w:rsidRPr="0043604A">
          <w:rPr>
            <w:rStyle w:val="Hyperlink"/>
            <w:noProof/>
          </w:rPr>
          <w:t>ālā situācija</w:t>
        </w:r>
        <w:r w:rsidR="00FF00CA">
          <w:rPr>
            <w:noProof/>
            <w:webHidden/>
          </w:rPr>
          <w:tab/>
        </w:r>
        <w:r w:rsidR="00FF00CA">
          <w:rPr>
            <w:noProof/>
            <w:webHidden/>
          </w:rPr>
          <w:fldChar w:fldCharType="begin"/>
        </w:r>
        <w:r w:rsidR="00FF00CA">
          <w:rPr>
            <w:noProof/>
            <w:webHidden/>
          </w:rPr>
          <w:instrText xml:space="preserve"> PAGEREF _Toc385517812 \h </w:instrText>
        </w:r>
        <w:r w:rsidR="00FF00CA">
          <w:rPr>
            <w:noProof/>
            <w:webHidden/>
          </w:rPr>
        </w:r>
        <w:r w:rsidR="00FF00CA">
          <w:rPr>
            <w:noProof/>
            <w:webHidden/>
          </w:rPr>
          <w:fldChar w:fldCharType="separate"/>
        </w:r>
        <w:r w:rsidR="0064793B">
          <w:rPr>
            <w:noProof/>
            <w:webHidden/>
          </w:rPr>
          <w:t>17</w:t>
        </w:r>
        <w:r w:rsidR="00FF00CA">
          <w:rPr>
            <w:noProof/>
            <w:webHidden/>
          </w:rPr>
          <w:fldChar w:fldCharType="end"/>
        </w:r>
      </w:hyperlink>
    </w:p>
    <w:p w14:paraId="3B418234"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3" w:history="1">
        <w:r w:rsidR="00FF00CA" w:rsidRPr="0043604A">
          <w:rPr>
            <w:rStyle w:val="Hyperlink"/>
            <w:noProof/>
          </w:rPr>
          <w:t>3.2. Fiskālās politikas stratēģija un vidēja termiņa mērķi</w:t>
        </w:r>
        <w:r w:rsidR="00FF00CA">
          <w:rPr>
            <w:noProof/>
            <w:webHidden/>
          </w:rPr>
          <w:tab/>
        </w:r>
        <w:r w:rsidR="00FF00CA">
          <w:rPr>
            <w:noProof/>
            <w:webHidden/>
          </w:rPr>
          <w:fldChar w:fldCharType="begin"/>
        </w:r>
        <w:r w:rsidR="00FF00CA">
          <w:rPr>
            <w:noProof/>
            <w:webHidden/>
          </w:rPr>
          <w:instrText xml:space="preserve"> PAGEREF _Toc385517813 \h </w:instrText>
        </w:r>
        <w:r w:rsidR="00FF00CA">
          <w:rPr>
            <w:noProof/>
            <w:webHidden/>
          </w:rPr>
        </w:r>
        <w:r w:rsidR="00FF00CA">
          <w:rPr>
            <w:noProof/>
            <w:webHidden/>
          </w:rPr>
          <w:fldChar w:fldCharType="separate"/>
        </w:r>
        <w:r w:rsidR="0064793B">
          <w:rPr>
            <w:noProof/>
            <w:webHidden/>
          </w:rPr>
          <w:t>18</w:t>
        </w:r>
        <w:r w:rsidR="00FF00CA">
          <w:rPr>
            <w:noProof/>
            <w:webHidden/>
          </w:rPr>
          <w:fldChar w:fldCharType="end"/>
        </w:r>
      </w:hyperlink>
    </w:p>
    <w:p w14:paraId="601F437F"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5" w:history="1">
        <w:r w:rsidR="00FF00CA" w:rsidRPr="0043604A">
          <w:rPr>
            <w:rStyle w:val="Hyperlink"/>
            <w:noProof/>
          </w:rPr>
          <w:t>3.3. Fiskālās attīstības scenārijs</w:t>
        </w:r>
        <w:r w:rsidR="00FF00CA">
          <w:rPr>
            <w:noProof/>
            <w:webHidden/>
          </w:rPr>
          <w:tab/>
        </w:r>
        <w:r w:rsidR="00FF00CA">
          <w:rPr>
            <w:noProof/>
            <w:webHidden/>
          </w:rPr>
          <w:fldChar w:fldCharType="begin"/>
        </w:r>
        <w:r w:rsidR="00FF00CA">
          <w:rPr>
            <w:noProof/>
            <w:webHidden/>
          </w:rPr>
          <w:instrText xml:space="preserve"> PAGEREF _Toc385517815 \h </w:instrText>
        </w:r>
        <w:r w:rsidR="00FF00CA">
          <w:rPr>
            <w:noProof/>
            <w:webHidden/>
          </w:rPr>
        </w:r>
        <w:r w:rsidR="00FF00CA">
          <w:rPr>
            <w:noProof/>
            <w:webHidden/>
          </w:rPr>
          <w:fldChar w:fldCharType="separate"/>
        </w:r>
        <w:r w:rsidR="0064793B">
          <w:rPr>
            <w:noProof/>
            <w:webHidden/>
          </w:rPr>
          <w:t>25</w:t>
        </w:r>
        <w:r w:rsidR="00FF00CA">
          <w:rPr>
            <w:noProof/>
            <w:webHidden/>
          </w:rPr>
          <w:fldChar w:fldCharType="end"/>
        </w:r>
      </w:hyperlink>
    </w:p>
    <w:p w14:paraId="2A6D4ABC"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6" w:history="1">
        <w:r w:rsidR="00FF00CA" w:rsidRPr="0043604A">
          <w:rPr>
            <w:rStyle w:val="Hyperlink"/>
            <w:noProof/>
          </w:rPr>
          <w:t>3.4. Valdības parāda vidējā termiņa attīstības tendences</w:t>
        </w:r>
        <w:r w:rsidR="00FF00CA">
          <w:rPr>
            <w:noProof/>
            <w:webHidden/>
          </w:rPr>
          <w:tab/>
        </w:r>
        <w:r w:rsidR="00FF00CA">
          <w:rPr>
            <w:noProof/>
            <w:webHidden/>
          </w:rPr>
          <w:fldChar w:fldCharType="begin"/>
        </w:r>
        <w:r w:rsidR="00FF00CA">
          <w:rPr>
            <w:noProof/>
            <w:webHidden/>
          </w:rPr>
          <w:instrText xml:space="preserve"> PAGEREF _Toc385517816 \h </w:instrText>
        </w:r>
        <w:r w:rsidR="00FF00CA">
          <w:rPr>
            <w:noProof/>
            <w:webHidden/>
          </w:rPr>
        </w:r>
        <w:r w:rsidR="00FF00CA">
          <w:rPr>
            <w:noProof/>
            <w:webHidden/>
          </w:rPr>
          <w:fldChar w:fldCharType="separate"/>
        </w:r>
        <w:r w:rsidR="0064793B">
          <w:rPr>
            <w:noProof/>
            <w:webHidden/>
          </w:rPr>
          <w:t>28</w:t>
        </w:r>
        <w:r w:rsidR="00FF00CA">
          <w:rPr>
            <w:noProof/>
            <w:webHidden/>
          </w:rPr>
          <w:fldChar w:fldCharType="end"/>
        </w:r>
      </w:hyperlink>
    </w:p>
    <w:p w14:paraId="3DD8E1D8" w14:textId="77777777" w:rsidR="00FF00CA" w:rsidRDefault="00582AB5">
      <w:pPr>
        <w:pStyle w:val="TOC1"/>
        <w:rPr>
          <w:rFonts w:asciiTheme="minorHAnsi" w:eastAsiaTheme="minorEastAsia" w:hAnsiTheme="minorHAnsi" w:cstheme="minorBidi"/>
          <w:noProof/>
          <w:sz w:val="22"/>
          <w:szCs w:val="22"/>
          <w:lang w:eastAsia="lv-LV"/>
        </w:rPr>
      </w:pPr>
      <w:hyperlink w:anchor="_Toc385517817" w:history="1">
        <w:r w:rsidR="00FF00CA" w:rsidRPr="0043604A">
          <w:rPr>
            <w:rStyle w:val="Hyperlink"/>
            <w:noProof/>
          </w:rPr>
          <w:t>4.</w:t>
        </w:r>
        <w:r w:rsidR="00FF00CA">
          <w:rPr>
            <w:rFonts w:asciiTheme="minorHAnsi" w:eastAsiaTheme="minorEastAsia" w:hAnsiTheme="minorHAnsi" w:cstheme="minorBidi"/>
            <w:noProof/>
            <w:sz w:val="22"/>
            <w:szCs w:val="22"/>
            <w:lang w:eastAsia="lv-LV"/>
          </w:rPr>
          <w:tab/>
        </w:r>
        <w:r w:rsidR="00FF00CA" w:rsidRPr="0043604A">
          <w:rPr>
            <w:rStyle w:val="Hyperlink"/>
            <w:noProof/>
          </w:rPr>
          <w:t>Jutīguma analīze un salīdzinājums</w:t>
        </w:r>
        <w:r w:rsidR="00FF00CA">
          <w:rPr>
            <w:noProof/>
            <w:webHidden/>
          </w:rPr>
          <w:tab/>
        </w:r>
        <w:r w:rsidR="00FF00CA">
          <w:rPr>
            <w:noProof/>
            <w:webHidden/>
          </w:rPr>
          <w:fldChar w:fldCharType="begin"/>
        </w:r>
        <w:r w:rsidR="00FF00CA">
          <w:rPr>
            <w:noProof/>
            <w:webHidden/>
          </w:rPr>
          <w:instrText xml:space="preserve"> PAGEREF _Toc385517817 \h </w:instrText>
        </w:r>
        <w:r w:rsidR="00FF00CA">
          <w:rPr>
            <w:noProof/>
            <w:webHidden/>
          </w:rPr>
        </w:r>
        <w:r w:rsidR="00FF00CA">
          <w:rPr>
            <w:noProof/>
            <w:webHidden/>
          </w:rPr>
          <w:fldChar w:fldCharType="separate"/>
        </w:r>
        <w:r w:rsidR="0064793B">
          <w:rPr>
            <w:noProof/>
            <w:webHidden/>
          </w:rPr>
          <w:t>31</w:t>
        </w:r>
        <w:r w:rsidR="00FF00CA">
          <w:rPr>
            <w:noProof/>
            <w:webHidden/>
          </w:rPr>
          <w:fldChar w:fldCharType="end"/>
        </w:r>
      </w:hyperlink>
    </w:p>
    <w:p w14:paraId="445CE340"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8" w:history="1">
        <w:r w:rsidR="00FF00CA" w:rsidRPr="0043604A">
          <w:rPr>
            <w:rStyle w:val="Hyperlink"/>
            <w:noProof/>
          </w:rPr>
          <w:t>4.1. Makroekonomiskā scenārija riski</w:t>
        </w:r>
        <w:r w:rsidR="00FF00CA">
          <w:rPr>
            <w:noProof/>
            <w:webHidden/>
          </w:rPr>
          <w:tab/>
        </w:r>
        <w:r w:rsidR="00FF00CA">
          <w:rPr>
            <w:noProof/>
            <w:webHidden/>
          </w:rPr>
          <w:fldChar w:fldCharType="begin"/>
        </w:r>
        <w:r w:rsidR="00FF00CA">
          <w:rPr>
            <w:noProof/>
            <w:webHidden/>
          </w:rPr>
          <w:instrText xml:space="preserve"> PAGEREF _Toc385517818 \h </w:instrText>
        </w:r>
        <w:r w:rsidR="00FF00CA">
          <w:rPr>
            <w:noProof/>
            <w:webHidden/>
          </w:rPr>
        </w:r>
        <w:r w:rsidR="00FF00CA">
          <w:rPr>
            <w:noProof/>
            <w:webHidden/>
          </w:rPr>
          <w:fldChar w:fldCharType="separate"/>
        </w:r>
        <w:r w:rsidR="0064793B">
          <w:rPr>
            <w:noProof/>
            <w:webHidden/>
          </w:rPr>
          <w:t>31</w:t>
        </w:r>
        <w:r w:rsidR="00FF00CA">
          <w:rPr>
            <w:noProof/>
            <w:webHidden/>
          </w:rPr>
          <w:fldChar w:fldCharType="end"/>
        </w:r>
      </w:hyperlink>
    </w:p>
    <w:p w14:paraId="3A86E88A"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19" w:history="1">
        <w:r w:rsidR="00FF00CA" w:rsidRPr="0043604A">
          <w:rPr>
            <w:rStyle w:val="Hyperlink"/>
            <w:noProof/>
          </w:rPr>
          <w:t>4.2. Jutīguma analīze</w:t>
        </w:r>
        <w:r w:rsidR="00FF00CA">
          <w:rPr>
            <w:noProof/>
            <w:webHidden/>
          </w:rPr>
          <w:tab/>
        </w:r>
        <w:r w:rsidR="00FF00CA">
          <w:rPr>
            <w:noProof/>
            <w:webHidden/>
          </w:rPr>
          <w:fldChar w:fldCharType="begin"/>
        </w:r>
        <w:r w:rsidR="00FF00CA">
          <w:rPr>
            <w:noProof/>
            <w:webHidden/>
          </w:rPr>
          <w:instrText xml:space="preserve"> PAGEREF _Toc385517819 \h </w:instrText>
        </w:r>
        <w:r w:rsidR="00FF00CA">
          <w:rPr>
            <w:noProof/>
            <w:webHidden/>
          </w:rPr>
        </w:r>
        <w:r w:rsidR="00FF00CA">
          <w:rPr>
            <w:noProof/>
            <w:webHidden/>
          </w:rPr>
          <w:fldChar w:fldCharType="separate"/>
        </w:r>
        <w:r w:rsidR="0064793B">
          <w:rPr>
            <w:noProof/>
            <w:webHidden/>
          </w:rPr>
          <w:t>33</w:t>
        </w:r>
        <w:r w:rsidR="00FF00CA">
          <w:rPr>
            <w:noProof/>
            <w:webHidden/>
          </w:rPr>
          <w:fldChar w:fldCharType="end"/>
        </w:r>
      </w:hyperlink>
    </w:p>
    <w:p w14:paraId="6493CB40" w14:textId="77777777" w:rsidR="00FF00CA" w:rsidRDefault="00582AB5">
      <w:pPr>
        <w:pStyle w:val="TOC1"/>
        <w:rPr>
          <w:rFonts w:asciiTheme="minorHAnsi" w:eastAsiaTheme="minorEastAsia" w:hAnsiTheme="minorHAnsi" w:cstheme="minorBidi"/>
          <w:noProof/>
          <w:sz w:val="22"/>
          <w:szCs w:val="22"/>
          <w:lang w:eastAsia="lv-LV"/>
        </w:rPr>
      </w:pPr>
      <w:hyperlink w:anchor="_Toc385517820" w:history="1">
        <w:r w:rsidR="00FF00CA" w:rsidRPr="0043604A">
          <w:rPr>
            <w:rStyle w:val="Hyperlink"/>
            <w:noProof/>
          </w:rPr>
          <w:t>5. Vispārējās valdības budžeta bilances un parāda prognožu salīdzinājums ar Latvijas Konverģences programmu 2013. – 2016. gadam</w:t>
        </w:r>
        <w:r w:rsidR="00FF00CA">
          <w:rPr>
            <w:noProof/>
            <w:webHidden/>
          </w:rPr>
          <w:tab/>
        </w:r>
        <w:r w:rsidR="00FF00CA">
          <w:rPr>
            <w:noProof/>
            <w:webHidden/>
          </w:rPr>
          <w:fldChar w:fldCharType="begin"/>
        </w:r>
        <w:r w:rsidR="00FF00CA">
          <w:rPr>
            <w:noProof/>
            <w:webHidden/>
          </w:rPr>
          <w:instrText xml:space="preserve"> PAGEREF _Toc385517820 \h </w:instrText>
        </w:r>
        <w:r w:rsidR="00FF00CA">
          <w:rPr>
            <w:noProof/>
            <w:webHidden/>
          </w:rPr>
        </w:r>
        <w:r w:rsidR="00FF00CA">
          <w:rPr>
            <w:noProof/>
            <w:webHidden/>
          </w:rPr>
          <w:fldChar w:fldCharType="separate"/>
        </w:r>
        <w:r w:rsidR="0064793B">
          <w:rPr>
            <w:noProof/>
            <w:webHidden/>
          </w:rPr>
          <w:t>36</w:t>
        </w:r>
        <w:r w:rsidR="00FF00CA">
          <w:rPr>
            <w:noProof/>
            <w:webHidden/>
          </w:rPr>
          <w:fldChar w:fldCharType="end"/>
        </w:r>
      </w:hyperlink>
    </w:p>
    <w:p w14:paraId="14E93D48" w14:textId="77777777" w:rsidR="00FF00CA" w:rsidRDefault="00582AB5">
      <w:pPr>
        <w:pStyle w:val="TOC1"/>
        <w:rPr>
          <w:rFonts w:asciiTheme="minorHAnsi" w:eastAsiaTheme="minorEastAsia" w:hAnsiTheme="minorHAnsi" w:cstheme="minorBidi"/>
          <w:noProof/>
          <w:sz w:val="22"/>
          <w:szCs w:val="22"/>
          <w:lang w:eastAsia="lv-LV"/>
        </w:rPr>
      </w:pPr>
      <w:hyperlink w:anchor="_Toc385517821" w:history="1">
        <w:r w:rsidR="00FF00CA" w:rsidRPr="0043604A">
          <w:rPr>
            <w:rStyle w:val="Hyperlink"/>
            <w:noProof/>
          </w:rPr>
          <w:t>6.</w:t>
        </w:r>
        <w:r w:rsidR="00FF00CA">
          <w:rPr>
            <w:rFonts w:asciiTheme="minorHAnsi" w:eastAsiaTheme="minorEastAsia" w:hAnsiTheme="minorHAnsi" w:cstheme="minorBidi"/>
            <w:noProof/>
            <w:sz w:val="22"/>
            <w:szCs w:val="22"/>
            <w:lang w:eastAsia="lv-LV"/>
          </w:rPr>
          <w:tab/>
        </w:r>
        <w:r w:rsidR="00FF00CA" w:rsidRPr="0043604A">
          <w:rPr>
            <w:rStyle w:val="Hyperlink"/>
            <w:noProof/>
          </w:rPr>
          <w:t>Valsts finanšu kvalitāte</w:t>
        </w:r>
        <w:r w:rsidR="00FF00CA">
          <w:rPr>
            <w:noProof/>
            <w:webHidden/>
          </w:rPr>
          <w:tab/>
        </w:r>
        <w:r w:rsidR="00FF00CA">
          <w:rPr>
            <w:noProof/>
            <w:webHidden/>
          </w:rPr>
          <w:fldChar w:fldCharType="begin"/>
        </w:r>
        <w:r w:rsidR="00FF00CA">
          <w:rPr>
            <w:noProof/>
            <w:webHidden/>
          </w:rPr>
          <w:instrText xml:space="preserve"> PAGEREF _Toc385517821 \h </w:instrText>
        </w:r>
        <w:r w:rsidR="00FF00CA">
          <w:rPr>
            <w:noProof/>
            <w:webHidden/>
          </w:rPr>
        </w:r>
        <w:r w:rsidR="00FF00CA">
          <w:rPr>
            <w:noProof/>
            <w:webHidden/>
          </w:rPr>
          <w:fldChar w:fldCharType="separate"/>
        </w:r>
        <w:r w:rsidR="0064793B">
          <w:rPr>
            <w:noProof/>
            <w:webHidden/>
          </w:rPr>
          <w:t>37</w:t>
        </w:r>
        <w:r w:rsidR="00FF00CA">
          <w:rPr>
            <w:noProof/>
            <w:webHidden/>
          </w:rPr>
          <w:fldChar w:fldCharType="end"/>
        </w:r>
      </w:hyperlink>
    </w:p>
    <w:p w14:paraId="52E09D44"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22" w:history="1">
        <w:r w:rsidR="00FF00CA" w:rsidRPr="0043604A">
          <w:rPr>
            <w:rStyle w:val="Hyperlink"/>
            <w:noProof/>
          </w:rPr>
          <w:t>6.1. Valsts budžeta līdzekļu efektivitāte un izlietojuma kontrole</w:t>
        </w:r>
        <w:r w:rsidR="00FF00CA">
          <w:rPr>
            <w:noProof/>
            <w:webHidden/>
          </w:rPr>
          <w:tab/>
        </w:r>
        <w:r w:rsidR="00FF00CA">
          <w:rPr>
            <w:noProof/>
            <w:webHidden/>
          </w:rPr>
          <w:fldChar w:fldCharType="begin"/>
        </w:r>
        <w:r w:rsidR="00FF00CA">
          <w:rPr>
            <w:noProof/>
            <w:webHidden/>
          </w:rPr>
          <w:instrText xml:space="preserve"> PAGEREF _Toc385517822 \h </w:instrText>
        </w:r>
        <w:r w:rsidR="00FF00CA">
          <w:rPr>
            <w:noProof/>
            <w:webHidden/>
          </w:rPr>
        </w:r>
        <w:r w:rsidR="00FF00CA">
          <w:rPr>
            <w:noProof/>
            <w:webHidden/>
          </w:rPr>
          <w:fldChar w:fldCharType="separate"/>
        </w:r>
        <w:r w:rsidR="0064793B">
          <w:rPr>
            <w:noProof/>
            <w:webHidden/>
          </w:rPr>
          <w:t>37</w:t>
        </w:r>
        <w:r w:rsidR="00FF00CA">
          <w:rPr>
            <w:noProof/>
            <w:webHidden/>
          </w:rPr>
          <w:fldChar w:fldCharType="end"/>
        </w:r>
      </w:hyperlink>
    </w:p>
    <w:p w14:paraId="0DFE16B1"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23" w:history="1">
        <w:r w:rsidR="00FF00CA" w:rsidRPr="0043604A">
          <w:rPr>
            <w:rStyle w:val="Hyperlink"/>
            <w:noProof/>
          </w:rPr>
          <w:t>6.2. Ieņēmumu struktūras un sistēmas efektivitāte</w:t>
        </w:r>
        <w:r w:rsidR="00FF00CA">
          <w:rPr>
            <w:noProof/>
            <w:webHidden/>
          </w:rPr>
          <w:tab/>
        </w:r>
        <w:r w:rsidR="00FF00CA">
          <w:rPr>
            <w:noProof/>
            <w:webHidden/>
          </w:rPr>
          <w:fldChar w:fldCharType="begin"/>
        </w:r>
        <w:r w:rsidR="00FF00CA">
          <w:rPr>
            <w:noProof/>
            <w:webHidden/>
          </w:rPr>
          <w:instrText xml:space="preserve"> PAGEREF _Toc385517823 \h </w:instrText>
        </w:r>
        <w:r w:rsidR="00FF00CA">
          <w:rPr>
            <w:noProof/>
            <w:webHidden/>
          </w:rPr>
        </w:r>
        <w:r w:rsidR="00FF00CA">
          <w:rPr>
            <w:noProof/>
            <w:webHidden/>
          </w:rPr>
          <w:fldChar w:fldCharType="separate"/>
        </w:r>
        <w:r w:rsidR="0064793B">
          <w:rPr>
            <w:noProof/>
            <w:webHidden/>
          </w:rPr>
          <w:t>40</w:t>
        </w:r>
        <w:r w:rsidR="00FF00CA">
          <w:rPr>
            <w:noProof/>
            <w:webHidden/>
          </w:rPr>
          <w:fldChar w:fldCharType="end"/>
        </w:r>
      </w:hyperlink>
    </w:p>
    <w:p w14:paraId="67B947BC" w14:textId="77777777" w:rsidR="00FF00CA" w:rsidRDefault="00582AB5">
      <w:pPr>
        <w:pStyle w:val="TOC1"/>
        <w:rPr>
          <w:rFonts w:asciiTheme="minorHAnsi" w:eastAsiaTheme="minorEastAsia" w:hAnsiTheme="minorHAnsi" w:cstheme="minorBidi"/>
          <w:noProof/>
          <w:sz w:val="22"/>
          <w:szCs w:val="22"/>
          <w:lang w:eastAsia="lv-LV"/>
        </w:rPr>
      </w:pPr>
      <w:hyperlink w:anchor="_Toc385517824" w:history="1">
        <w:r w:rsidR="00FF00CA" w:rsidRPr="0043604A">
          <w:rPr>
            <w:rStyle w:val="Hyperlink"/>
            <w:noProof/>
          </w:rPr>
          <w:t>7.</w:t>
        </w:r>
        <w:r w:rsidR="00FF00CA">
          <w:rPr>
            <w:rFonts w:asciiTheme="minorHAnsi" w:eastAsiaTheme="minorEastAsia" w:hAnsiTheme="minorHAnsi" w:cstheme="minorBidi"/>
            <w:noProof/>
            <w:sz w:val="22"/>
            <w:szCs w:val="22"/>
            <w:lang w:eastAsia="lv-LV"/>
          </w:rPr>
          <w:tab/>
        </w:r>
        <w:r w:rsidR="00FF00CA" w:rsidRPr="0043604A">
          <w:rPr>
            <w:rStyle w:val="Hyperlink"/>
            <w:noProof/>
          </w:rPr>
          <w:t>Publisko finanšu ilgtspēja</w:t>
        </w:r>
        <w:r w:rsidR="00FF00CA">
          <w:rPr>
            <w:noProof/>
            <w:webHidden/>
          </w:rPr>
          <w:tab/>
        </w:r>
        <w:r w:rsidR="00FF00CA">
          <w:rPr>
            <w:noProof/>
            <w:webHidden/>
          </w:rPr>
          <w:fldChar w:fldCharType="begin"/>
        </w:r>
        <w:r w:rsidR="00FF00CA">
          <w:rPr>
            <w:noProof/>
            <w:webHidden/>
          </w:rPr>
          <w:instrText xml:space="preserve"> PAGEREF _Toc385517824 \h </w:instrText>
        </w:r>
        <w:r w:rsidR="00FF00CA">
          <w:rPr>
            <w:noProof/>
            <w:webHidden/>
          </w:rPr>
        </w:r>
        <w:r w:rsidR="00FF00CA">
          <w:rPr>
            <w:noProof/>
            <w:webHidden/>
          </w:rPr>
          <w:fldChar w:fldCharType="separate"/>
        </w:r>
        <w:r w:rsidR="0064793B">
          <w:rPr>
            <w:noProof/>
            <w:webHidden/>
          </w:rPr>
          <w:t>52</w:t>
        </w:r>
        <w:r w:rsidR="00FF00CA">
          <w:rPr>
            <w:noProof/>
            <w:webHidden/>
          </w:rPr>
          <w:fldChar w:fldCharType="end"/>
        </w:r>
      </w:hyperlink>
    </w:p>
    <w:p w14:paraId="4A01E36B" w14:textId="77777777" w:rsidR="00FF00CA" w:rsidRDefault="00582AB5" w:rsidP="008118BE">
      <w:pPr>
        <w:pStyle w:val="TOC3"/>
        <w:ind w:hanging="198"/>
        <w:rPr>
          <w:rFonts w:asciiTheme="minorHAnsi" w:eastAsiaTheme="minorEastAsia" w:hAnsiTheme="minorHAnsi" w:cstheme="minorBidi"/>
          <w:noProof/>
          <w:sz w:val="22"/>
          <w:szCs w:val="22"/>
          <w:lang w:eastAsia="lv-LV"/>
        </w:rPr>
      </w:pPr>
      <w:hyperlink w:anchor="_Toc385517825" w:history="1">
        <w:r w:rsidR="00FF00CA" w:rsidRPr="0043604A">
          <w:rPr>
            <w:rStyle w:val="Hyperlink"/>
            <w:noProof/>
          </w:rPr>
          <w:t>7.1. Publisko finanšu ilgtermiņa attīstības scenārijs</w:t>
        </w:r>
        <w:r w:rsidR="00FF00CA">
          <w:rPr>
            <w:noProof/>
            <w:webHidden/>
          </w:rPr>
          <w:tab/>
        </w:r>
        <w:r w:rsidR="00FF00CA">
          <w:rPr>
            <w:noProof/>
            <w:webHidden/>
          </w:rPr>
          <w:fldChar w:fldCharType="begin"/>
        </w:r>
        <w:r w:rsidR="00FF00CA">
          <w:rPr>
            <w:noProof/>
            <w:webHidden/>
          </w:rPr>
          <w:instrText xml:space="preserve"> PAGEREF _Toc385517825 \h </w:instrText>
        </w:r>
        <w:r w:rsidR="00FF00CA">
          <w:rPr>
            <w:noProof/>
            <w:webHidden/>
          </w:rPr>
        </w:r>
        <w:r w:rsidR="00FF00CA">
          <w:rPr>
            <w:noProof/>
            <w:webHidden/>
          </w:rPr>
          <w:fldChar w:fldCharType="separate"/>
        </w:r>
        <w:r w:rsidR="0064793B">
          <w:rPr>
            <w:noProof/>
            <w:webHidden/>
          </w:rPr>
          <w:t>52</w:t>
        </w:r>
        <w:r w:rsidR="00FF00CA">
          <w:rPr>
            <w:noProof/>
            <w:webHidden/>
          </w:rPr>
          <w:fldChar w:fldCharType="end"/>
        </w:r>
      </w:hyperlink>
    </w:p>
    <w:p w14:paraId="457E5DD5" w14:textId="77777777" w:rsidR="00FF00CA" w:rsidRDefault="00582AB5" w:rsidP="008118BE">
      <w:pPr>
        <w:pStyle w:val="TOC3"/>
        <w:ind w:hanging="198"/>
        <w:rPr>
          <w:rFonts w:asciiTheme="minorHAnsi" w:eastAsiaTheme="minorEastAsia" w:hAnsiTheme="minorHAnsi" w:cstheme="minorBidi"/>
          <w:noProof/>
          <w:sz w:val="22"/>
          <w:szCs w:val="22"/>
          <w:lang w:eastAsia="lv-LV"/>
        </w:rPr>
      </w:pPr>
      <w:hyperlink w:anchor="_Toc385517826" w:history="1">
        <w:r w:rsidR="00FF00CA" w:rsidRPr="0043604A">
          <w:rPr>
            <w:rStyle w:val="Hyperlink"/>
            <w:noProof/>
          </w:rPr>
          <w:t>7.2. Valsts sniegtie galvojumi</w:t>
        </w:r>
        <w:r w:rsidR="00FF00CA">
          <w:rPr>
            <w:noProof/>
            <w:webHidden/>
          </w:rPr>
          <w:tab/>
        </w:r>
        <w:r w:rsidR="00FF00CA">
          <w:rPr>
            <w:noProof/>
            <w:webHidden/>
          </w:rPr>
          <w:fldChar w:fldCharType="begin"/>
        </w:r>
        <w:r w:rsidR="00FF00CA">
          <w:rPr>
            <w:noProof/>
            <w:webHidden/>
          </w:rPr>
          <w:instrText xml:space="preserve"> PAGEREF _Toc385517826 \h </w:instrText>
        </w:r>
        <w:r w:rsidR="00FF00CA">
          <w:rPr>
            <w:noProof/>
            <w:webHidden/>
          </w:rPr>
        </w:r>
        <w:r w:rsidR="00FF00CA">
          <w:rPr>
            <w:noProof/>
            <w:webHidden/>
          </w:rPr>
          <w:fldChar w:fldCharType="separate"/>
        </w:r>
        <w:r w:rsidR="0064793B">
          <w:rPr>
            <w:noProof/>
            <w:webHidden/>
          </w:rPr>
          <w:t>54</w:t>
        </w:r>
        <w:r w:rsidR="00FF00CA">
          <w:rPr>
            <w:noProof/>
            <w:webHidden/>
          </w:rPr>
          <w:fldChar w:fldCharType="end"/>
        </w:r>
      </w:hyperlink>
    </w:p>
    <w:p w14:paraId="1BE285AE" w14:textId="77777777" w:rsidR="00FF00CA" w:rsidRDefault="00582AB5">
      <w:pPr>
        <w:pStyle w:val="TOC1"/>
        <w:rPr>
          <w:rFonts w:asciiTheme="minorHAnsi" w:eastAsiaTheme="minorEastAsia" w:hAnsiTheme="minorHAnsi" w:cstheme="minorBidi"/>
          <w:noProof/>
          <w:sz w:val="22"/>
          <w:szCs w:val="22"/>
          <w:lang w:eastAsia="lv-LV"/>
        </w:rPr>
      </w:pPr>
      <w:hyperlink w:anchor="_Toc385517827" w:history="1">
        <w:r w:rsidR="00FF00CA" w:rsidRPr="0043604A">
          <w:rPr>
            <w:rStyle w:val="Hyperlink"/>
            <w:noProof/>
          </w:rPr>
          <w:t>8. Valsts finanšu institucionālās iezīmes</w:t>
        </w:r>
        <w:r w:rsidR="00FF00CA">
          <w:rPr>
            <w:noProof/>
            <w:webHidden/>
          </w:rPr>
          <w:tab/>
        </w:r>
        <w:r w:rsidR="00FF00CA">
          <w:rPr>
            <w:noProof/>
            <w:webHidden/>
          </w:rPr>
          <w:fldChar w:fldCharType="begin"/>
        </w:r>
        <w:r w:rsidR="00FF00CA">
          <w:rPr>
            <w:noProof/>
            <w:webHidden/>
          </w:rPr>
          <w:instrText xml:space="preserve"> PAGEREF _Toc385517827 \h </w:instrText>
        </w:r>
        <w:r w:rsidR="00FF00CA">
          <w:rPr>
            <w:noProof/>
            <w:webHidden/>
          </w:rPr>
        </w:r>
        <w:r w:rsidR="00FF00CA">
          <w:rPr>
            <w:noProof/>
            <w:webHidden/>
          </w:rPr>
          <w:fldChar w:fldCharType="separate"/>
        </w:r>
        <w:r w:rsidR="0064793B">
          <w:rPr>
            <w:noProof/>
            <w:webHidden/>
          </w:rPr>
          <w:t>56</w:t>
        </w:r>
        <w:r w:rsidR="00FF00CA">
          <w:rPr>
            <w:noProof/>
            <w:webHidden/>
          </w:rPr>
          <w:fldChar w:fldCharType="end"/>
        </w:r>
      </w:hyperlink>
    </w:p>
    <w:p w14:paraId="5C2F1AC2"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28" w:history="1">
        <w:r w:rsidR="00FF00CA" w:rsidRPr="0043604A">
          <w:rPr>
            <w:rStyle w:val="Hyperlink"/>
            <w:noProof/>
          </w:rPr>
          <w:t>8.1. Valsts budžeta noteikumu ieviešana</w:t>
        </w:r>
        <w:r w:rsidR="00FF00CA">
          <w:rPr>
            <w:noProof/>
            <w:webHidden/>
          </w:rPr>
          <w:tab/>
        </w:r>
        <w:r w:rsidR="00FF00CA">
          <w:rPr>
            <w:noProof/>
            <w:webHidden/>
          </w:rPr>
          <w:fldChar w:fldCharType="begin"/>
        </w:r>
        <w:r w:rsidR="00FF00CA">
          <w:rPr>
            <w:noProof/>
            <w:webHidden/>
          </w:rPr>
          <w:instrText xml:space="preserve"> PAGEREF _Toc385517828 \h </w:instrText>
        </w:r>
        <w:r w:rsidR="00FF00CA">
          <w:rPr>
            <w:noProof/>
            <w:webHidden/>
          </w:rPr>
        </w:r>
        <w:r w:rsidR="00FF00CA">
          <w:rPr>
            <w:noProof/>
            <w:webHidden/>
          </w:rPr>
          <w:fldChar w:fldCharType="separate"/>
        </w:r>
        <w:r w:rsidR="0064793B">
          <w:rPr>
            <w:noProof/>
            <w:webHidden/>
          </w:rPr>
          <w:t>56</w:t>
        </w:r>
        <w:r w:rsidR="00FF00CA">
          <w:rPr>
            <w:noProof/>
            <w:webHidden/>
          </w:rPr>
          <w:fldChar w:fldCharType="end"/>
        </w:r>
      </w:hyperlink>
    </w:p>
    <w:p w14:paraId="1622674F"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29" w:history="1">
        <w:r w:rsidR="00FF00CA" w:rsidRPr="0043604A">
          <w:rPr>
            <w:rStyle w:val="Hyperlink"/>
            <w:noProof/>
          </w:rPr>
          <w:t>8.2. Vidējā termiņa budžeta plānošana</w:t>
        </w:r>
        <w:r w:rsidR="00FF00CA">
          <w:rPr>
            <w:noProof/>
            <w:webHidden/>
          </w:rPr>
          <w:tab/>
        </w:r>
        <w:r w:rsidR="00FF00CA">
          <w:rPr>
            <w:noProof/>
            <w:webHidden/>
          </w:rPr>
          <w:fldChar w:fldCharType="begin"/>
        </w:r>
        <w:r w:rsidR="00FF00CA">
          <w:rPr>
            <w:noProof/>
            <w:webHidden/>
          </w:rPr>
          <w:instrText xml:space="preserve"> PAGEREF _Toc385517829 \h </w:instrText>
        </w:r>
        <w:r w:rsidR="00FF00CA">
          <w:rPr>
            <w:noProof/>
            <w:webHidden/>
          </w:rPr>
        </w:r>
        <w:r w:rsidR="00FF00CA">
          <w:rPr>
            <w:noProof/>
            <w:webHidden/>
          </w:rPr>
          <w:fldChar w:fldCharType="separate"/>
        </w:r>
        <w:r w:rsidR="0064793B">
          <w:rPr>
            <w:noProof/>
            <w:webHidden/>
          </w:rPr>
          <w:t>56</w:t>
        </w:r>
        <w:r w:rsidR="00FF00CA">
          <w:rPr>
            <w:noProof/>
            <w:webHidden/>
          </w:rPr>
          <w:fldChar w:fldCharType="end"/>
        </w:r>
      </w:hyperlink>
    </w:p>
    <w:p w14:paraId="40E20B94"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30" w:history="1">
        <w:r w:rsidR="00FF00CA" w:rsidRPr="0043604A">
          <w:rPr>
            <w:rStyle w:val="Hyperlink"/>
            <w:noProof/>
          </w:rPr>
          <w:t>8.3.Budžeta procedūras, t.sk. valsts finanšu statistikas pārvalde</w:t>
        </w:r>
        <w:r w:rsidR="00FF00CA">
          <w:rPr>
            <w:noProof/>
            <w:webHidden/>
          </w:rPr>
          <w:tab/>
        </w:r>
        <w:r w:rsidR="00FF00CA">
          <w:rPr>
            <w:noProof/>
            <w:webHidden/>
          </w:rPr>
          <w:fldChar w:fldCharType="begin"/>
        </w:r>
        <w:r w:rsidR="00FF00CA">
          <w:rPr>
            <w:noProof/>
            <w:webHidden/>
          </w:rPr>
          <w:instrText xml:space="preserve"> PAGEREF _Toc385517830 \h </w:instrText>
        </w:r>
        <w:r w:rsidR="00FF00CA">
          <w:rPr>
            <w:noProof/>
            <w:webHidden/>
          </w:rPr>
        </w:r>
        <w:r w:rsidR="00FF00CA">
          <w:rPr>
            <w:noProof/>
            <w:webHidden/>
          </w:rPr>
          <w:fldChar w:fldCharType="separate"/>
        </w:r>
        <w:r w:rsidR="0064793B">
          <w:rPr>
            <w:noProof/>
            <w:webHidden/>
          </w:rPr>
          <w:t>58</w:t>
        </w:r>
        <w:r w:rsidR="00FF00CA">
          <w:rPr>
            <w:noProof/>
            <w:webHidden/>
          </w:rPr>
          <w:fldChar w:fldCharType="end"/>
        </w:r>
      </w:hyperlink>
    </w:p>
    <w:p w14:paraId="3310F384" w14:textId="77777777" w:rsidR="00FF00CA" w:rsidRDefault="00582AB5" w:rsidP="008118BE">
      <w:pPr>
        <w:pStyle w:val="TOC2"/>
        <w:rPr>
          <w:rFonts w:asciiTheme="minorHAnsi" w:eastAsiaTheme="minorEastAsia" w:hAnsiTheme="minorHAnsi" w:cstheme="minorBidi"/>
          <w:noProof/>
          <w:sz w:val="22"/>
          <w:szCs w:val="22"/>
          <w:lang w:eastAsia="lv-LV"/>
        </w:rPr>
      </w:pPr>
      <w:hyperlink w:anchor="_Toc385517832" w:history="1">
        <w:r w:rsidR="00FF00CA" w:rsidRPr="0043604A">
          <w:rPr>
            <w:rStyle w:val="Hyperlink"/>
            <w:noProof/>
          </w:rPr>
          <w:t xml:space="preserve">8.4. Citas institucionālās </w:t>
        </w:r>
        <w:r w:rsidR="00FF00CA" w:rsidRPr="0043604A">
          <w:rPr>
            <w:rStyle w:val="Hyperlink"/>
            <w:bCs/>
            <w:noProof/>
          </w:rPr>
          <w:t>attīstības</w:t>
        </w:r>
        <w:r w:rsidR="00FF00CA" w:rsidRPr="0043604A">
          <w:rPr>
            <w:rStyle w:val="Hyperlink"/>
            <w:noProof/>
          </w:rPr>
          <w:t xml:space="preserve"> attiecībā uz valsts finansēm</w:t>
        </w:r>
        <w:r w:rsidR="00FF00CA">
          <w:rPr>
            <w:noProof/>
            <w:webHidden/>
          </w:rPr>
          <w:tab/>
        </w:r>
        <w:r w:rsidR="00FF00CA">
          <w:rPr>
            <w:noProof/>
            <w:webHidden/>
          </w:rPr>
          <w:fldChar w:fldCharType="begin"/>
        </w:r>
        <w:r w:rsidR="00FF00CA">
          <w:rPr>
            <w:noProof/>
            <w:webHidden/>
          </w:rPr>
          <w:instrText xml:space="preserve"> PAGEREF _Toc385517832 \h </w:instrText>
        </w:r>
        <w:r w:rsidR="00FF00CA">
          <w:rPr>
            <w:noProof/>
            <w:webHidden/>
          </w:rPr>
        </w:r>
        <w:r w:rsidR="00FF00CA">
          <w:rPr>
            <w:noProof/>
            <w:webHidden/>
          </w:rPr>
          <w:fldChar w:fldCharType="separate"/>
        </w:r>
        <w:r w:rsidR="0064793B">
          <w:rPr>
            <w:noProof/>
            <w:webHidden/>
          </w:rPr>
          <w:t>61</w:t>
        </w:r>
        <w:r w:rsidR="00FF00CA">
          <w:rPr>
            <w:noProof/>
            <w:webHidden/>
          </w:rPr>
          <w:fldChar w:fldCharType="end"/>
        </w:r>
      </w:hyperlink>
    </w:p>
    <w:p w14:paraId="2C5ADA1C" w14:textId="77777777" w:rsidR="00FF00CA" w:rsidRDefault="00582AB5">
      <w:pPr>
        <w:pStyle w:val="TOC1"/>
        <w:rPr>
          <w:rFonts w:asciiTheme="minorHAnsi" w:eastAsiaTheme="minorEastAsia" w:hAnsiTheme="minorHAnsi" w:cstheme="minorBidi"/>
          <w:noProof/>
          <w:sz w:val="22"/>
          <w:szCs w:val="22"/>
          <w:lang w:eastAsia="lv-LV"/>
        </w:rPr>
      </w:pPr>
      <w:hyperlink w:anchor="_Toc385517833" w:history="1">
        <w:r w:rsidR="00FF00CA" w:rsidRPr="0043604A">
          <w:rPr>
            <w:rStyle w:val="Hyperlink"/>
            <w:noProof/>
          </w:rPr>
          <w:t>Pielikumi</w:t>
        </w:r>
        <w:r w:rsidR="00FF00CA">
          <w:rPr>
            <w:noProof/>
            <w:webHidden/>
          </w:rPr>
          <w:tab/>
        </w:r>
        <w:r w:rsidR="00FF00CA">
          <w:rPr>
            <w:noProof/>
            <w:webHidden/>
          </w:rPr>
          <w:fldChar w:fldCharType="begin"/>
        </w:r>
        <w:r w:rsidR="00FF00CA">
          <w:rPr>
            <w:noProof/>
            <w:webHidden/>
          </w:rPr>
          <w:instrText xml:space="preserve"> PAGEREF _Toc385517833 \h </w:instrText>
        </w:r>
        <w:r w:rsidR="00FF00CA">
          <w:rPr>
            <w:noProof/>
            <w:webHidden/>
          </w:rPr>
        </w:r>
        <w:r w:rsidR="00FF00CA">
          <w:rPr>
            <w:noProof/>
            <w:webHidden/>
          </w:rPr>
          <w:fldChar w:fldCharType="separate"/>
        </w:r>
        <w:r w:rsidR="0064793B">
          <w:rPr>
            <w:noProof/>
            <w:webHidden/>
          </w:rPr>
          <w:t>62</w:t>
        </w:r>
        <w:r w:rsidR="00FF00CA">
          <w:rPr>
            <w:noProof/>
            <w:webHidden/>
          </w:rPr>
          <w:fldChar w:fldCharType="end"/>
        </w:r>
      </w:hyperlink>
    </w:p>
    <w:p w14:paraId="472199EA" w14:textId="77777777" w:rsidR="00283B8B" w:rsidRDefault="00283B8B" w:rsidP="002D7837">
      <w:pPr>
        <w:tabs>
          <w:tab w:val="right" w:leader="dot" w:pos="9072"/>
        </w:tabs>
        <w:spacing w:after="60"/>
        <w:ind w:firstLine="0"/>
        <w:rPr>
          <w:b/>
          <w:bCs/>
          <w:noProof/>
        </w:rPr>
      </w:pPr>
      <w:r w:rsidRPr="00877BCB">
        <w:rPr>
          <w:b/>
          <w:bCs/>
          <w:noProof/>
          <w:highlight w:val="yellow"/>
        </w:rPr>
        <w:fldChar w:fldCharType="end"/>
      </w:r>
    </w:p>
    <w:p w14:paraId="6787AF6A" w14:textId="73A63F76" w:rsidR="00E15916" w:rsidRPr="00681608" w:rsidRDefault="0003226C" w:rsidP="00681608">
      <w:pPr>
        <w:pStyle w:val="H2"/>
        <w:pageBreakBefore/>
        <w:spacing w:before="0"/>
        <w:ind w:left="0" w:firstLine="0"/>
        <w:jc w:val="center"/>
        <w:rPr>
          <w:rFonts w:ascii="Times New Roman" w:hAnsi="Times New Roman"/>
          <w:szCs w:val="32"/>
        </w:rPr>
      </w:pPr>
      <w:bookmarkStart w:id="4" w:name="_Toc385517806"/>
      <w:r w:rsidRPr="00E2547E">
        <w:rPr>
          <w:rFonts w:ascii="Times New Roman" w:hAnsi="Times New Roman"/>
          <w:szCs w:val="32"/>
        </w:rPr>
        <w:lastRenderedPageBreak/>
        <w:t>Saīsinājumu apzīmējumi</w:t>
      </w:r>
      <w:bookmarkEnd w:id="4"/>
    </w:p>
    <w:p w14:paraId="4273269A" w14:textId="2BFBEE59" w:rsidR="00530F34" w:rsidRDefault="00530F34">
      <w:pPr>
        <w:tabs>
          <w:tab w:val="left" w:pos="3544"/>
        </w:tabs>
        <w:rPr>
          <w:color w:val="000000"/>
          <w:szCs w:val="24"/>
          <w:lang w:eastAsia="lv-LV"/>
        </w:rPr>
      </w:pPr>
      <w:r>
        <w:rPr>
          <w:color w:val="000000"/>
          <w:szCs w:val="24"/>
          <w:lang w:eastAsia="lv-LV"/>
        </w:rPr>
        <w:t>ASV</w:t>
      </w:r>
      <w:r w:rsidR="008F58D7">
        <w:rPr>
          <w:color w:val="000000"/>
          <w:szCs w:val="24"/>
          <w:lang w:eastAsia="lv-LV"/>
        </w:rPr>
        <w:tab/>
        <w:t>Amerikas Savienotās valstis</w:t>
      </w:r>
    </w:p>
    <w:p w14:paraId="5285C7E3" w14:textId="77777777" w:rsidR="00FE4B0D" w:rsidRDefault="00FE4B0D" w:rsidP="00FE4B0D">
      <w:pPr>
        <w:ind w:left="3544" w:hanging="2977"/>
        <w:rPr>
          <w:color w:val="000000"/>
          <w:szCs w:val="24"/>
          <w:lang w:eastAsia="lv-LV"/>
        </w:rPr>
      </w:pPr>
      <w:r>
        <w:t xml:space="preserve">AWG </w:t>
      </w:r>
      <w:r>
        <w:tab/>
        <w:t>Ekonomikas politikas komitejas Sabiedrības novecošanās un valsts finanšu ilgtspējas darba grupa</w:t>
      </w:r>
    </w:p>
    <w:p w14:paraId="5B6166B9" w14:textId="3C3A1108" w:rsidR="0003226C" w:rsidRPr="009005DC" w:rsidRDefault="0003226C" w:rsidP="00EF0D6A">
      <w:pPr>
        <w:tabs>
          <w:tab w:val="left" w:pos="3544"/>
        </w:tabs>
        <w:rPr>
          <w:color w:val="000000"/>
          <w:szCs w:val="24"/>
          <w:lang w:eastAsia="lv-LV"/>
        </w:rPr>
      </w:pPr>
      <w:r w:rsidRPr="009005DC">
        <w:rPr>
          <w:color w:val="000000"/>
          <w:szCs w:val="24"/>
          <w:lang w:eastAsia="lv-LV"/>
        </w:rPr>
        <w:t xml:space="preserve">CSP </w:t>
      </w:r>
      <w:r w:rsidRPr="009005DC">
        <w:rPr>
          <w:color w:val="000000"/>
          <w:szCs w:val="24"/>
          <w:lang w:eastAsia="lv-LV"/>
        </w:rPr>
        <w:tab/>
      </w:r>
      <w:r w:rsidRPr="008E5577">
        <w:rPr>
          <w:color w:val="000000"/>
        </w:rPr>
        <w:t>Centrālā statistikas pārvalde</w:t>
      </w:r>
    </w:p>
    <w:p w14:paraId="43089CA4" w14:textId="2A11F3ED" w:rsidR="0003226C" w:rsidRPr="009005DC" w:rsidRDefault="0003226C" w:rsidP="008E5577">
      <w:pPr>
        <w:tabs>
          <w:tab w:val="left" w:pos="3544"/>
        </w:tabs>
        <w:rPr>
          <w:color w:val="000000"/>
          <w:szCs w:val="24"/>
          <w:lang w:eastAsia="lv-LV"/>
        </w:rPr>
      </w:pPr>
      <w:r w:rsidRPr="009005DC">
        <w:rPr>
          <w:color w:val="000000"/>
          <w:szCs w:val="24"/>
          <w:lang w:eastAsia="lv-LV"/>
        </w:rPr>
        <w:t xml:space="preserve">EK </w:t>
      </w:r>
      <w:r w:rsidRPr="009005DC">
        <w:rPr>
          <w:color w:val="000000"/>
          <w:szCs w:val="24"/>
          <w:lang w:eastAsia="lv-LV"/>
        </w:rPr>
        <w:tab/>
        <w:t>Eiropas Komisija</w:t>
      </w:r>
    </w:p>
    <w:p w14:paraId="3C6E0F9A" w14:textId="77A46A3F" w:rsidR="0003226C" w:rsidRDefault="0003226C" w:rsidP="008E5577">
      <w:pPr>
        <w:tabs>
          <w:tab w:val="left" w:pos="3544"/>
        </w:tabs>
        <w:rPr>
          <w:color w:val="000000"/>
          <w:szCs w:val="24"/>
          <w:lang w:eastAsia="lv-LV"/>
        </w:rPr>
      </w:pPr>
      <w:r w:rsidRPr="009005DC">
        <w:rPr>
          <w:color w:val="000000"/>
          <w:szCs w:val="24"/>
          <w:lang w:eastAsia="lv-LV"/>
        </w:rPr>
        <w:t xml:space="preserve">EKS </w:t>
      </w:r>
      <w:r w:rsidRPr="009005DC">
        <w:rPr>
          <w:color w:val="000000"/>
          <w:szCs w:val="24"/>
          <w:lang w:eastAsia="lv-LV"/>
        </w:rPr>
        <w:tab/>
        <w:t>Eiropas kontu sistēma</w:t>
      </w:r>
    </w:p>
    <w:p w14:paraId="4F534821" w14:textId="4081B6AE" w:rsidR="0003226C" w:rsidRPr="009005DC" w:rsidRDefault="0003226C" w:rsidP="008E5577">
      <w:pPr>
        <w:tabs>
          <w:tab w:val="left" w:pos="3544"/>
        </w:tabs>
        <w:rPr>
          <w:color w:val="000000"/>
          <w:szCs w:val="24"/>
          <w:lang w:eastAsia="lv-LV"/>
        </w:rPr>
      </w:pPr>
      <w:r w:rsidRPr="009005DC">
        <w:rPr>
          <w:color w:val="000000"/>
          <w:szCs w:val="24"/>
          <w:lang w:eastAsia="lv-LV"/>
        </w:rPr>
        <w:t xml:space="preserve">ES </w:t>
      </w:r>
      <w:r w:rsidRPr="009005DC">
        <w:rPr>
          <w:color w:val="000000"/>
          <w:szCs w:val="24"/>
          <w:lang w:eastAsia="lv-LV"/>
        </w:rPr>
        <w:tab/>
        <w:t>Eiropas Savienība</w:t>
      </w:r>
    </w:p>
    <w:p w14:paraId="384ACB42" w14:textId="0CCAFDA9" w:rsidR="0003226C" w:rsidRPr="009005DC" w:rsidRDefault="0003226C" w:rsidP="00EF0D6A">
      <w:pPr>
        <w:tabs>
          <w:tab w:val="left" w:pos="3544"/>
        </w:tabs>
        <w:rPr>
          <w:color w:val="000000"/>
          <w:szCs w:val="24"/>
          <w:lang w:eastAsia="lv-LV"/>
        </w:rPr>
      </w:pPr>
      <w:r w:rsidRPr="009005DC">
        <w:rPr>
          <w:color w:val="000000"/>
          <w:szCs w:val="24"/>
          <w:lang w:eastAsia="lv-LV"/>
        </w:rPr>
        <w:t xml:space="preserve">FM </w:t>
      </w:r>
      <w:r w:rsidRPr="009005DC">
        <w:rPr>
          <w:color w:val="000000"/>
          <w:szCs w:val="24"/>
          <w:lang w:eastAsia="lv-LV"/>
        </w:rPr>
        <w:tab/>
      </w:r>
      <w:r w:rsidRPr="008E5577">
        <w:t>Finanšu ministrija</w:t>
      </w:r>
    </w:p>
    <w:p w14:paraId="28647134" w14:textId="2333ED8A" w:rsidR="00E15916" w:rsidRDefault="00E15916" w:rsidP="00EF0D6A">
      <w:pPr>
        <w:tabs>
          <w:tab w:val="left" w:pos="3544"/>
        </w:tabs>
        <w:rPr>
          <w:color w:val="000000"/>
          <w:szCs w:val="24"/>
          <w:lang w:eastAsia="lv-LV"/>
        </w:rPr>
      </w:pPr>
      <w:r w:rsidRPr="009005DC">
        <w:rPr>
          <w:color w:val="000000"/>
          <w:szCs w:val="24"/>
          <w:lang w:eastAsia="lv-LV"/>
        </w:rPr>
        <w:t xml:space="preserve">FDL </w:t>
      </w:r>
      <w:r w:rsidRPr="009005DC">
        <w:rPr>
          <w:color w:val="000000"/>
          <w:szCs w:val="24"/>
          <w:lang w:eastAsia="lv-LV"/>
        </w:rPr>
        <w:tab/>
        <w:t>Fiskālās disciplīnas likums</w:t>
      </w:r>
    </w:p>
    <w:p w14:paraId="0B755A0A" w14:textId="77777777" w:rsidR="00FE4B0D" w:rsidRDefault="00FE4B0D" w:rsidP="00FE4B0D">
      <w:pPr>
        <w:ind w:left="3544" w:hanging="2977"/>
        <w:rPr>
          <w:color w:val="000000" w:themeColor="text1"/>
        </w:rPr>
      </w:pPr>
      <w:r>
        <w:rPr>
          <w:color w:val="000000" w:themeColor="text1"/>
        </w:rPr>
        <w:t xml:space="preserve">Ietvara likums </w:t>
      </w:r>
      <w:r>
        <w:rPr>
          <w:color w:val="000000" w:themeColor="text1"/>
        </w:rPr>
        <w:tab/>
      </w:r>
      <w:r w:rsidRPr="0098775C">
        <w:rPr>
          <w:color w:val="000000" w:themeColor="text1"/>
        </w:rPr>
        <w:t>Vidēja termiņa budžeta ietvara likums</w:t>
      </w:r>
    </w:p>
    <w:p w14:paraId="300BDE84" w14:textId="77777777" w:rsidR="00FE4B0D" w:rsidRPr="009005DC" w:rsidRDefault="00FE4B0D" w:rsidP="00FE4B0D">
      <w:pPr>
        <w:ind w:left="3544" w:hanging="2977"/>
        <w:rPr>
          <w:szCs w:val="24"/>
          <w:lang w:eastAsia="x-none"/>
        </w:rPr>
      </w:pPr>
      <w:r>
        <w:t xml:space="preserve">Ietvars </w:t>
      </w:r>
      <w:r>
        <w:tab/>
      </w:r>
      <w:r w:rsidRPr="001C4AA7">
        <w:t>Vidēja termiņa makroekonomiskās attīstības un fiskālās politikas ietvars</w:t>
      </w:r>
    </w:p>
    <w:p w14:paraId="77FBE0F1" w14:textId="76D73BD0" w:rsidR="009226E4" w:rsidRDefault="009226E4" w:rsidP="009226E4">
      <w:pPr>
        <w:tabs>
          <w:tab w:val="left" w:pos="3544"/>
        </w:tabs>
        <w:rPr>
          <w:color w:val="000000"/>
          <w:szCs w:val="24"/>
          <w:lang w:eastAsia="lv-LV"/>
        </w:rPr>
      </w:pPr>
      <w:r>
        <w:rPr>
          <w:color w:val="000000"/>
          <w:szCs w:val="24"/>
          <w:lang w:eastAsia="lv-LV"/>
        </w:rPr>
        <w:t>IIN</w:t>
      </w:r>
      <w:r>
        <w:rPr>
          <w:color w:val="000000"/>
          <w:szCs w:val="24"/>
          <w:lang w:eastAsia="lv-LV"/>
        </w:rPr>
        <w:tab/>
      </w:r>
      <w:r w:rsidR="000F2A7B">
        <w:rPr>
          <w:color w:val="000000"/>
          <w:szCs w:val="24"/>
          <w:lang w:eastAsia="lv-LV"/>
        </w:rPr>
        <w:t>I</w:t>
      </w:r>
      <w:r>
        <w:rPr>
          <w:color w:val="000000"/>
          <w:szCs w:val="24"/>
          <w:lang w:eastAsia="lv-LV"/>
        </w:rPr>
        <w:t>edzīvotāju ienākumu nodoklis</w:t>
      </w:r>
    </w:p>
    <w:p w14:paraId="1FD3E622" w14:textId="3F4A2F3C" w:rsidR="0003226C" w:rsidRDefault="0003226C" w:rsidP="00EF0D6A">
      <w:pPr>
        <w:tabs>
          <w:tab w:val="left" w:pos="3544"/>
        </w:tabs>
        <w:rPr>
          <w:color w:val="000000"/>
          <w:szCs w:val="24"/>
          <w:lang w:eastAsia="lv-LV"/>
        </w:rPr>
      </w:pPr>
      <w:r w:rsidRPr="009005DC">
        <w:rPr>
          <w:color w:val="000000"/>
          <w:szCs w:val="24"/>
          <w:lang w:eastAsia="lv-LV"/>
        </w:rPr>
        <w:t xml:space="preserve">IKP </w:t>
      </w:r>
      <w:r w:rsidRPr="009005DC">
        <w:rPr>
          <w:color w:val="000000"/>
          <w:szCs w:val="24"/>
          <w:lang w:eastAsia="lv-LV"/>
        </w:rPr>
        <w:tab/>
      </w:r>
      <w:r w:rsidR="000F2A7B">
        <w:rPr>
          <w:color w:val="000000"/>
          <w:szCs w:val="24"/>
          <w:lang w:eastAsia="lv-LV"/>
        </w:rPr>
        <w:t>I</w:t>
      </w:r>
      <w:r w:rsidRPr="009005DC">
        <w:rPr>
          <w:color w:val="000000"/>
          <w:szCs w:val="24"/>
          <w:lang w:eastAsia="lv-LV"/>
        </w:rPr>
        <w:t>ekšzemes kopprodukts</w:t>
      </w:r>
    </w:p>
    <w:p w14:paraId="1F307BFF" w14:textId="35FBEBE1" w:rsidR="00BE7E35" w:rsidRDefault="00EF0D6A" w:rsidP="00EF0D6A">
      <w:pPr>
        <w:tabs>
          <w:tab w:val="left" w:pos="3544"/>
        </w:tabs>
        <w:rPr>
          <w:color w:val="000000"/>
          <w:szCs w:val="24"/>
          <w:lang w:eastAsia="lv-LV"/>
        </w:rPr>
      </w:pPr>
      <w:r>
        <w:t xml:space="preserve">JPI </w:t>
      </w:r>
      <w:r>
        <w:tab/>
      </w:r>
      <w:r w:rsidR="000F2A7B">
        <w:t>J</w:t>
      </w:r>
      <w:r w:rsidR="00BE7E35">
        <w:t>aunās</w:t>
      </w:r>
      <w:r w:rsidR="00BE7E35" w:rsidRPr="002957EB">
        <w:t xml:space="preserve"> politikas iniciatīv</w:t>
      </w:r>
      <w:r w:rsidR="00BE7E35">
        <w:t>as</w:t>
      </w:r>
    </w:p>
    <w:p w14:paraId="2211B0B8" w14:textId="305336F7" w:rsidR="00D615DF" w:rsidRDefault="00EF0D6A" w:rsidP="00EF0D6A">
      <w:pPr>
        <w:tabs>
          <w:tab w:val="left" w:pos="3544"/>
        </w:tabs>
        <w:rPr>
          <w:noProof/>
          <w:szCs w:val="24"/>
        </w:rPr>
      </w:pPr>
      <w:r>
        <w:rPr>
          <w:noProof/>
          <w:szCs w:val="24"/>
        </w:rPr>
        <w:t xml:space="preserve">LB </w:t>
      </w:r>
      <w:r>
        <w:rPr>
          <w:noProof/>
          <w:szCs w:val="24"/>
        </w:rPr>
        <w:tab/>
      </w:r>
      <w:r w:rsidR="00D615DF">
        <w:rPr>
          <w:noProof/>
          <w:szCs w:val="24"/>
        </w:rPr>
        <w:t>Latvijas Banka</w:t>
      </w:r>
    </w:p>
    <w:p w14:paraId="1BB53679" w14:textId="77777777" w:rsidR="00D615DF" w:rsidRPr="009005DC" w:rsidRDefault="00D615DF" w:rsidP="00EF0D6A">
      <w:pPr>
        <w:tabs>
          <w:tab w:val="left" w:pos="3544"/>
        </w:tabs>
        <w:rPr>
          <w:color w:val="000000"/>
          <w:szCs w:val="24"/>
          <w:lang w:eastAsia="lv-LV"/>
        </w:rPr>
      </w:pPr>
      <w:r>
        <w:rPr>
          <w:color w:val="000000"/>
          <w:szCs w:val="24"/>
        </w:rPr>
        <w:t xml:space="preserve">Konverģences programma </w:t>
      </w:r>
      <w:r>
        <w:rPr>
          <w:color w:val="000000"/>
          <w:szCs w:val="24"/>
        </w:rPr>
        <w:tab/>
        <w:t>Latvijas Konverģences programma</w:t>
      </w:r>
      <w:r w:rsidRPr="00B86F46">
        <w:rPr>
          <w:color w:val="000000"/>
          <w:szCs w:val="24"/>
        </w:rPr>
        <w:t xml:space="preserve"> </w:t>
      </w:r>
      <w:r>
        <w:rPr>
          <w:color w:val="000000"/>
          <w:szCs w:val="24"/>
        </w:rPr>
        <w:t>2013.-2016.gadam</w:t>
      </w:r>
    </w:p>
    <w:p w14:paraId="11F77935" w14:textId="02AFA6D2" w:rsidR="0003226C" w:rsidRPr="009005DC" w:rsidRDefault="0003226C" w:rsidP="00EF0D6A">
      <w:pPr>
        <w:tabs>
          <w:tab w:val="left" w:pos="3544"/>
        </w:tabs>
        <w:rPr>
          <w:color w:val="000000"/>
          <w:szCs w:val="24"/>
          <w:lang w:eastAsia="lv-LV"/>
        </w:rPr>
      </w:pPr>
      <w:r w:rsidRPr="009005DC">
        <w:rPr>
          <w:color w:val="000000"/>
          <w:szCs w:val="24"/>
          <w:lang w:eastAsia="lv-LV"/>
        </w:rPr>
        <w:t xml:space="preserve">LPS </w:t>
      </w:r>
      <w:r w:rsidRPr="009005DC">
        <w:rPr>
          <w:color w:val="000000"/>
          <w:szCs w:val="24"/>
          <w:lang w:eastAsia="lv-LV"/>
        </w:rPr>
        <w:tab/>
        <w:t>Latvijas Pašvaldību savienība</w:t>
      </w:r>
    </w:p>
    <w:p w14:paraId="1755FB9C" w14:textId="3B301A2D" w:rsidR="00EC7C50" w:rsidRPr="009005DC" w:rsidRDefault="00EF0D6A" w:rsidP="00EF0D6A">
      <w:pPr>
        <w:tabs>
          <w:tab w:val="left" w:pos="3544"/>
        </w:tabs>
        <w:rPr>
          <w:color w:val="000000"/>
          <w:szCs w:val="24"/>
          <w:lang w:eastAsia="lv-LV"/>
        </w:rPr>
      </w:pPr>
      <w:r>
        <w:rPr>
          <w:szCs w:val="24"/>
        </w:rPr>
        <w:t xml:space="preserve">LBFV </w:t>
      </w:r>
      <w:r>
        <w:rPr>
          <w:szCs w:val="24"/>
        </w:rPr>
        <w:tab/>
      </w:r>
      <w:r w:rsidR="00EC7C50" w:rsidRPr="001818CB">
        <w:rPr>
          <w:szCs w:val="24"/>
        </w:rPr>
        <w:t>Likums par budžetu un finanšu vadību</w:t>
      </w:r>
    </w:p>
    <w:p w14:paraId="668BFCBB" w14:textId="184E4863" w:rsidR="0003226C" w:rsidRDefault="009005DC" w:rsidP="00EF0D6A">
      <w:pPr>
        <w:tabs>
          <w:tab w:val="left" w:pos="3544"/>
        </w:tabs>
        <w:rPr>
          <w:color w:val="000000"/>
          <w:szCs w:val="24"/>
          <w:lang w:eastAsia="lv-LV"/>
        </w:rPr>
      </w:pPr>
      <w:r>
        <w:rPr>
          <w:color w:val="000000"/>
          <w:szCs w:val="24"/>
          <w:lang w:eastAsia="lv-LV"/>
        </w:rPr>
        <w:t>M</w:t>
      </w:r>
      <w:r w:rsidR="0003226C" w:rsidRPr="009005DC">
        <w:rPr>
          <w:color w:val="000000"/>
          <w:szCs w:val="24"/>
          <w:lang w:eastAsia="lv-LV"/>
        </w:rPr>
        <w:t xml:space="preserve">K </w:t>
      </w:r>
      <w:r w:rsidR="0003226C" w:rsidRPr="009005DC">
        <w:rPr>
          <w:color w:val="000000"/>
          <w:szCs w:val="24"/>
          <w:lang w:eastAsia="lv-LV"/>
        </w:rPr>
        <w:tab/>
        <w:t>Ministru kabinets</w:t>
      </w:r>
    </w:p>
    <w:p w14:paraId="7AF3A9FD" w14:textId="3F89D4F7" w:rsidR="008F58D7" w:rsidRDefault="008F58D7" w:rsidP="009A6681">
      <w:pPr>
        <w:tabs>
          <w:tab w:val="left" w:pos="3570"/>
        </w:tabs>
        <w:rPr>
          <w:color w:val="000000"/>
          <w:szCs w:val="24"/>
          <w:lang w:eastAsia="lv-LV"/>
        </w:rPr>
      </w:pPr>
      <w:r>
        <w:rPr>
          <w:color w:val="000000"/>
          <w:szCs w:val="24"/>
          <w:lang w:eastAsia="lv-LV"/>
        </w:rPr>
        <w:t>NAP</w:t>
      </w:r>
      <w:r>
        <w:rPr>
          <w:color w:val="000000"/>
          <w:szCs w:val="24"/>
          <w:lang w:eastAsia="lv-LV"/>
        </w:rPr>
        <w:tab/>
        <w:t>Nacionālās attīstības plāns</w:t>
      </w:r>
      <w:r w:rsidR="000F2A7B">
        <w:rPr>
          <w:color w:val="000000"/>
          <w:szCs w:val="24"/>
          <w:lang w:eastAsia="lv-LV"/>
        </w:rPr>
        <w:t xml:space="preserve"> </w:t>
      </w:r>
      <w:r w:rsidR="000F2A7B">
        <w:rPr>
          <w:szCs w:val="24"/>
        </w:rPr>
        <w:t>2014.-2020.gadam</w:t>
      </w:r>
    </w:p>
    <w:p w14:paraId="7394394B" w14:textId="198D878D" w:rsidR="00CB2E4C" w:rsidRDefault="000F2A7B" w:rsidP="00CB2E4C">
      <w:pPr>
        <w:tabs>
          <w:tab w:val="left" w:pos="3570"/>
        </w:tabs>
        <w:rPr>
          <w:color w:val="000000"/>
          <w:szCs w:val="24"/>
          <w:lang w:eastAsia="lv-LV"/>
        </w:rPr>
      </w:pPr>
      <w:r>
        <w:rPr>
          <w:color w:val="000000"/>
          <w:szCs w:val="24"/>
          <w:lang w:eastAsia="lv-LV"/>
        </w:rPr>
        <w:t>NĪN</w:t>
      </w:r>
      <w:r>
        <w:rPr>
          <w:color w:val="000000"/>
          <w:szCs w:val="24"/>
          <w:lang w:eastAsia="lv-LV"/>
        </w:rPr>
        <w:tab/>
        <w:t>Nekustamā</w:t>
      </w:r>
      <w:r w:rsidR="00CB2E4C">
        <w:rPr>
          <w:color w:val="000000"/>
          <w:szCs w:val="24"/>
          <w:lang w:eastAsia="lv-LV"/>
        </w:rPr>
        <w:t xml:space="preserve"> īpašuma nodoklis</w:t>
      </w:r>
    </w:p>
    <w:p w14:paraId="6CB049FA" w14:textId="26FA8901" w:rsidR="00D615DF" w:rsidRDefault="0003226C" w:rsidP="000F2A7B">
      <w:pPr>
        <w:tabs>
          <w:tab w:val="left" w:pos="3544"/>
        </w:tabs>
        <w:ind w:left="3537" w:hanging="2970"/>
        <w:rPr>
          <w:szCs w:val="24"/>
        </w:rPr>
      </w:pPr>
      <w:r w:rsidRPr="009005DC">
        <w:rPr>
          <w:color w:val="000000"/>
          <w:szCs w:val="24"/>
          <w:lang w:eastAsia="lv-LV"/>
        </w:rPr>
        <w:t xml:space="preserve">NRP </w:t>
      </w:r>
      <w:r w:rsidRPr="009005DC">
        <w:rPr>
          <w:color w:val="000000"/>
          <w:szCs w:val="24"/>
          <w:lang w:eastAsia="lv-LV"/>
        </w:rPr>
        <w:tab/>
      </w:r>
      <w:r w:rsidR="000F2A7B">
        <w:rPr>
          <w:color w:val="000000"/>
          <w:szCs w:val="24"/>
          <w:lang w:eastAsia="lv-LV"/>
        </w:rPr>
        <w:tab/>
      </w:r>
      <w:r w:rsidR="000F2A7B" w:rsidRPr="000F2A7B">
        <w:rPr>
          <w:color w:val="000000"/>
          <w:szCs w:val="24"/>
          <w:lang w:eastAsia="lv-LV"/>
        </w:rPr>
        <w:t xml:space="preserve">Latvijas nacionālā </w:t>
      </w:r>
      <w:r w:rsidR="000F2A7B">
        <w:rPr>
          <w:color w:val="000000"/>
          <w:szCs w:val="24"/>
          <w:lang w:eastAsia="lv-LV"/>
        </w:rPr>
        <w:t xml:space="preserve">reformu programma „Eiropa 2020” </w:t>
      </w:r>
      <w:r w:rsidR="000F2A7B" w:rsidRPr="000F2A7B">
        <w:rPr>
          <w:color w:val="000000"/>
          <w:szCs w:val="24"/>
          <w:lang w:eastAsia="lv-LV"/>
        </w:rPr>
        <w:t>stratēģijas īstenošanai</w:t>
      </w:r>
    </w:p>
    <w:p w14:paraId="3609A863" w14:textId="4434AADC" w:rsidR="00FE4B0D" w:rsidRDefault="00FE4B0D" w:rsidP="00FE4B0D">
      <w:pPr>
        <w:tabs>
          <w:tab w:val="left" w:pos="3544"/>
        </w:tabs>
        <w:rPr>
          <w:color w:val="000000"/>
          <w:szCs w:val="24"/>
          <w:lang w:eastAsia="lv-LV"/>
        </w:rPr>
      </w:pPr>
      <w:r>
        <w:rPr>
          <w:color w:val="000000"/>
          <w:szCs w:val="24"/>
        </w:rPr>
        <w:t xml:space="preserve">Padome </w:t>
      </w:r>
      <w:r>
        <w:rPr>
          <w:color w:val="000000"/>
          <w:szCs w:val="24"/>
        </w:rPr>
        <w:tab/>
        <w:t>Fiskālā</w:t>
      </w:r>
      <w:r w:rsidR="000F2A7B">
        <w:rPr>
          <w:color w:val="000000"/>
          <w:szCs w:val="24"/>
        </w:rPr>
        <w:t>s disciplīnas</w:t>
      </w:r>
      <w:r>
        <w:rPr>
          <w:color w:val="000000"/>
          <w:szCs w:val="24"/>
        </w:rPr>
        <w:t xml:space="preserve"> padome</w:t>
      </w:r>
    </w:p>
    <w:p w14:paraId="5C848225" w14:textId="6281B349" w:rsidR="00384FF6" w:rsidRDefault="00384FF6" w:rsidP="00384FF6">
      <w:pPr>
        <w:tabs>
          <w:tab w:val="left" w:pos="3585"/>
        </w:tabs>
        <w:rPr>
          <w:szCs w:val="24"/>
        </w:rPr>
      </w:pPr>
      <w:r>
        <w:rPr>
          <w:szCs w:val="24"/>
        </w:rPr>
        <w:t>PB</w:t>
      </w:r>
      <w:r>
        <w:rPr>
          <w:szCs w:val="24"/>
        </w:rPr>
        <w:tab/>
        <w:t>Pasaules Banka</w:t>
      </w:r>
    </w:p>
    <w:p w14:paraId="6EDB318C" w14:textId="212D412A" w:rsidR="009226E4" w:rsidRDefault="009226E4" w:rsidP="009A6681">
      <w:pPr>
        <w:tabs>
          <w:tab w:val="left" w:pos="3585"/>
        </w:tabs>
        <w:rPr>
          <w:szCs w:val="24"/>
        </w:rPr>
      </w:pPr>
      <w:r>
        <w:rPr>
          <w:szCs w:val="24"/>
        </w:rPr>
        <w:t>PVN</w:t>
      </w:r>
      <w:r>
        <w:rPr>
          <w:szCs w:val="24"/>
        </w:rPr>
        <w:tab/>
      </w:r>
      <w:r w:rsidR="000F2A7B">
        <w:rPr>
          <w:szCs w:val="24"/>
        </w:rPr>
        <w:t>P</w:t>
      </w:r>
      <w:r>
        <w:rPr>
          <w:szCs w:val="24"/>
        </w:rPr>
        <w:t>ievienotās vērtības nodoklis</w:t>
      </w:r>
    </w:p>
    <w:p w14:paraId="3AFEB5B4" w14:textId="77777777" w:rsidR="00FE4B0D" w:rsidRPr="009005DC" w:rsidRDefault="00FE4B0D" w:rsidP="00FE4B0D">
      <w:pPr>
        <w:ind w:left="3544" w:hanging="2977"/>
        <w:rPr>
          <w:color w:val="000000"/>
          <w:szCs w:val="24"/>
          <w:lang w:eastAsia="lv-LV"/>
        </w:rPr>
      </w:pPr>
      <w:r>
        <w:rPr>
          <w:szCs w:val="24"/>
        </w:rPr>
        <w:t>P</w:t>
      </w:r>
      <w:r w:rsidRPr="00612AB9">
        <w:rPr>
          <w:szCs w:val="24"/>
        </w:rPr>
        <w:t>rotokola projekts</w:t>
      </w:r>
      <w:r>
        <w:rPr>
          <w:szCs w:val="24"/>
        </w:rPr>
        <w:t xml:space="preserve">  </w:t>
      </w:r>
      <w:r>
        <w:rPr>
          <w:szCs w:val="24"/>
        </w:rPr>
        <w:tab/>
        <w:t xml:space="preserve">MK </w:t>
      </w:r>
      <w:r w:rsidRPr="00612AB9">
        <w:rPr>
          <w:szCs w:val="24"/>
        </w:rPr>
        <w:t>un LPS domstarpību un vienošanās protokola projekts</w:t>
      </w:r>
    </w:p>
    <w:p w14:paraId="5606A8D0" w14:textId="61B6DA0C" w:rsidR="00FE4B0D" w:rsidRDefault="00FE4B0D" w:rsidP="009A6681">
      <w:pPr>
        <w:tabs>
          <w:tab w:val="left" w:pos="3570"/>
        </w:tabs>
        <w:ind w:left="3544" w:hanging="2977"/>
        <w:rPr>
          <w:color w:val="000000"/>
        </w:rPr>
      </w:pPr>
      <w:r>
        <w:rPr>
          <w:color w:val="000000"/>
        </w:rPr>
        <w:t xml:space="preserve">Regula </w:t>
      </w:r>
      <w:r w:rsidR="00EA25A4">
        <w:rPr>
          <w:color w:val="000000"/>
        </w:rPr>
        <w:t>N</w:t>
      </w:r>
      <w:r>
        <w:rPr>
          <w:color w:val="000000"/>
        </w:rPr>
        <w:t xml:space="preserve">r. 1175/2011 </w:t>
      </w:r>
      <w:r>
        <w:rPr>
          <w:color w:val="000000"/>
        </w:rPr>
        <w:tab/>
      </w:r>
      <w:r w:rsidR="006946D4">
        <w:rPr>
          <w:color w:val="000000"/>
        </w:rPr>
        <w:t>Eiropas Parlamenta un Padomes regula</w:t>
      </w:r>
      <w:r w:rsidRPr="00AE6118">
        <w:rPr>
          <w:color w:val="000000"/>
        </w:rPr>
        <w:t xml:space="preserve"> (ES) Nr. 1175/2011 (2011. gada 16. novembris), ar ko groza Padomes Regulu (EK) Nr. 1466/97 par budžeta stāvokļa uzraudzības un ekonomikas politikas uzraudzības un koordinācijas stiprināšanu</w:t>
      </w:r>
    </w:p>
    <w:p w14:paraId="4CF82954" w14:textId="588724C7" w:rsidR="004E357B" w:rsidRDefault="004E357B" w:rsidP="009A6681">
      <w:pPr>
        <w:tabs>
          <w:tab w:val="left" w:pos="3570"/>
        </w:tabs>
        <w:rPr>
          <w:szCs w:val="24"/>
        </w:rPr>
      </w:pPr>
      <w:r>
        <w:rPr>
          <w:szCs w:val="24"/>
        </w:rPr>
        <w:t>Stabilitātes programma</w:t>
      </w:r>
      <w:r>
        <w:rPr>
          <w:szCs w:val="24"/>
        </w:rPr>
        <w:tab/>
        <w:t>Latvijas Stabilitātes programma 2014.–2017.gadam</w:t>
      </w:r>
    </w:p>
    <w:p w14:paraId="2B3BE0DE" w14:textId="3C2D9495" w:rsidR="00FE4B0D" w:rsidRDefault="000F2A7B" w:rsidP="002E20C1">
      <w:pPr>
        <w:tabs>
          <w:tab w:val="left" w:pos="3544"/>
        </w:tabs>
        <w:rPr>
          <w:color w:val="000000"/>
          <w:szCs w:val="24"/>
          <w:lang w:eastAsia="lv-LV"/>
        </w:rPr>
      </w:pPr>
      <w:r>
        <w:rPr>
          <w:szCs w:val="24"/>
        </w:rPr>
        <w:t>UIN</w:t>
      </w:r>
      <w:r>
        <w:rPr>
          <w:szCs w:val="24"/>
        </w:rPr>
        <w:tab/>
        <w:t>U</w:t>
      </w:r>
      <w:r w:rsidR="00FE4B0D">
        <w:rPr>
          <w:szCs w:val="24"/>
        </w:rPr>
        <w:t>zņēmumu ieņēmumu nodoklis</w:t>
      </w:r>
    </w:p>
    <w:p w14:paraId="296B5F35" w14:textId="07BB2309" w:rsidR="00702D7B" w:rsidRPr="009005DC" w:rsidRDefault="002E20C1" w:rsidP="002E20C1">
      <w:pPr>
        <w:tabs>
          <w:tab w:val="left" w:pos="3544"/>
        </w:tabs>
        <w:rPr>
          <w:color w:val="000000"/>
          <w:szCs w:val="24"/>
          <w:lang w:eastAsia="lv-LV"/>
        </w:rPr>
      </w:pPr>
      <w:r>
        <w:rPr>
          <w:color w:val="000000"/>
          <w:szCs w:val="24"/>
          <w:lang w:eastAsia="lv-LV"/>
        </w:rPr>
        <w:t xml:space="preserve">SVF </w:t>
      </w:r>
      <w:r>
        <w:rPr>
          <w:color w:val="000000"/>
          <w:szCs w:val="24"/>
          <w:lang w:eastAsia="lv-LV"/>
        </w:rPr>
        <w:tab/>
      </w:r>
      <w:r w:rsidR="00702D7B">
        <w:rPr>
          <w:color w:val="000000"/>
          <w:szCs w:val="24"/>
          <w:lang w:eastAsia="lv-LV"/>
        </w:rPr>
        <w:t>Starptautiskais valūtas fonds</w:t>
      </w:r>
    </w:p>
    <w:p w14:paraId="6DB7D506" w14:textId="6F1AD019" w:rsidR="0003226C" w:rsidRDefault="0003226C" w:rsidP="002E20C1">
      <w:pPr>
        <w:tabs>
          <w:tab w:val="left" w:pos="3544"/>
        </w:tabs>
        <w:rPr>
          <w:color w:val="000000"/>
          <w:szCs w:val="24"/>
          <w:lang w:eastAsia="lv-LV"/>
        </w:rPr>
      </w:pPr>
      <w:r w:rsidRPr="009005DC">
        <w:rPr>
          <w:color w:val="000000"/>
          <w:szCs w:val="24"/>
          <w:lang w:eastAsia="lv-LV"/>
        </w:rPr>
        <w:t xml:space="preserve">VID </w:t>
      </w:r>
      <w:r w:rsidRPr="009005DC">
        <w:rPr>
          <w:color w:val="000000"/>
          <w:szCs w:val="24"/>
          <w:lang w:eastAsia="lv-LV"/>
        </w:rPr>
        <w:tab/>
        <w:t>Valsts ieņēmumu dienests</w:t>
      </w:r>
    </w:p>
    <w:p w14:paraId="40743AF2" w14:textId="58C70271" w:rsidR="0098775C" w:rsidRDefault="002E20C1" w:rsidP="002E20C1">
      <w:pPr>
        <w:tabs>
          <w:tab w:val="left" w:pos="3544"/>
        </w:tabs>
        <w:rPr>
          <w:szCs w:val="24"/>
        </w:rPr>
      </w:pPr>
      <w:r>
        <w:rPr>
          <w:szCs w:val="24"/>
        </w:rPr>
        <w:t xml:space="preserve">VK </w:t>
      </w:r>
      <w:r>
        <w:rPr>
          <w:szCs w:val="24"/>
        </w:rPr>
        <w:tab/>
      </w:r>
      <w:r w:rsidR="0098775C" w:rsidRPr="00F55E50">
        <w:rPr>
          <w:szCs w:val="24"/>
        </w:rPr>
        <w:t>Valsts kase</w:t>
      </w:r>
    </w:p>
    <w:p w14:paraId="68C456A3" w14:textId="0294BEAF" w:rsidR="003148B4" w:rsidRDefault="003148B4" w:rsidP="003148B4">
      <w:pPr>
        <w:ind w:left="3544" w:hanging="2977"/>
        <w:rPr>
          <w:color w:val="000000"/>
        </w:rPr>
      </w:pPr>
      <w:r>
        <w:rPr>
          <w:color w:val="000000"/>
        </w:rPr>
        <w:t xml:space="preserve">VTM </w:t>
      </w:r>
      <w:r>
        <w:rPr>
          <w:color w:val="000000"/>
        </w:rPr>
        <w:tab/>
      </w:r>
      <w:r w:rsidR="000F2A7B">
        <w:rPr>
          <w:color w:val="000000"/>
        </w:rPr>
        <w:t>V</w:t>
      </w:r>
      <w:r w:rsidRPr="00D615DF">
        <w:rPr>
          <w:color w:val="000000"/>
        </w:rPr>
        <w:t>idēja termiņa budžeta bilances mērķi</w:t>
      </w:r>
      <w:r>
        <w:rPr>
          <w:color w:val="000000"/>
        </w:rPr>
        <w:t>s</w:t>
      </w:r>
      <w:r w:rsidRPr="00D615DF">
        <w:rPr>
          <w:color w:val="000000"/>
        </w:rPr>
        <w:t xml:space="preserve"> strukturāl</w:t>
      </w:r>
      <w:r>
        <w:rPr>
          <w:color w:val="000000"/>
        </w:rPr>
        <w:t>ā</w:t>
      </w:r>
      <w:r w:rsidRPr="00D615DF">
        <w:rPr>
          <w:color w:val="000000"/>
        </w:rPr>
        <w:t xml:space="preserve"> izteiksmē</w:t>
      </w:r>
    </w:p>
    <w:p w14:paraId="1082109F" w14:textId="77777777" w:rsidR="003148B4" w:rsidRDefault="003148B4" w:rsidP="002E20C1">
      <w:pPr>
        <w:tabs>
          <w:tab w:val="left" w:pos="3544"/>
        </w:tabs>
        <w:rPr>
          <w:szCs w:val="24"/>
        </w:rPr>
      </w:pPr>
    </w:p>
    <w:p w14:paraId="0C3BACBC" w14:textId="77777777" w:rsidR="0003226C" w:rsidRDefault="0003226C" w:rsidP="0003226C">
      <w:pPr>
        <w:jc w:val="left"/>
        <w:rPr>
          <w:color w:val="000000"/>
          <w:lang w:eastAsia="lv-LV"/>
        </w:rPr>
      </w:pPr>
    </w:p>
    <w:p w14:paraId="685E5780" w14:textId="77777777" w:rsidR="000F6956" w:rsidRDefault="000F6956" w:rsidP="002D62B9">
      <w:pPr>
        <w:pStyle w:val="PIRMAIS"/>
      </w:pPr>
      <w:bookmarkStart w:id="5" w:name="_Toc385517807"/>
      <w:r w:rsidRPr="00283B8B">
        <w:t>1.</w:t>
      </w:r>
      <w:r w:rsidRPr="00283B8B">
        <w:tab/>
        <w:t>Vispārējās ekonomiskās politikas vadlīnijas un mērķi</w:t>
      </w:r>
      <w:bookmarkEnd w:id="0"/>
      <w:bookmarkEnd w:id="1"/>
      <w:bookmarkEnd w:id="2"/>
      <w:bookmarkEnd w:id="5"/>
    </w:p>
    <w:p w14:paraId="1B14CB79" w14:textId="48361894" w:rsidR="00701569" w:rsidRDefault="00701569" w:rsidP="002926A6">
      <w:pPr>
        <w:spacing w:before="480"/>
      </w:pPr>
      <w:r>
        <w:rPr>
          <w:color w:val="000000"/>
          <w:szCs w:val="24"/>
        </w:rPr>
        <w:t>Latvija 2010.</w:t>
      </w:r>
      <w:r w:rsidR="00A71277">
        <w:rPr>
          <w:color w:val="000000"/>
          <w:szCs w:val="24"/>
        </w:rPr>
        <w:t> </w:t>
      </w:r>
      <w:r>
        <w:rPr>
          <w:color w:val="000000"/>
          <w:szCs w:val="24"/>
        </w:rPr>
        <w:t xml:space="preserve">gadā uzstādīja mērķi ieviest </w:t>
      </w:r>
      <w:proofErr w:type="spellStart"/>
      <w:r>
        <w:rPr>
          <w:i/>
          <w:color w:val="000000"/>
          <w:szCs w:val="24"/>
        </w:rPr>
        <w:t>euro</w:t>
      </w:r>
      <w:proofErr w:type="spellEnd"/>
      <w:r>
        <w:rPr>
          <w:i/>
          <w:color w:val="000000"/>
          <w:szCs w:val="24"/>
        </w:rPr>
        <w:t xml:space="preserve"> </w:t>
      </w:r>
      <w:r>
        <w:rPr>
          <w:color w:val="000000"/>
          <w:szCs w:val="24"/>
        </w:rPr>
        <w:t>līdz 2014.</w:t>
      </w:r>
      <w:r w:rsidR="00A71277">
        <w:t> </w:t>
      </w:r>
      <w:r>
        <w:rPr>
          <w:color w:val="000000"/>
          <w:szCs w:val="24"/>
        </w:rPr>
        <w:t xml:space="preserve">gadam, kas vienlaicīgi bija gan kā krīzes izejas stratēģija, gan arī kā viens no galvenajiem virzītājspēkiem, lai veicinātu Latvijas ekonomikas stabilitāti un īstenotu strukturālās reformas. </w:t>
      </w:r>
      <w:proofErr w:type="spellStart"/>
      <w:r w:rsidRPr="002E5CBB">
        <w:rPr>
          <w:color w:val="000000"/>
          <w:szCs w:val="24"/>
        </w:rPr>
        <w:t>Pretcikliskas</w:t>
      </w:r>
      <w:proofErr w:type="spellEnd"/>
      <w:r w:rsidRPr="002E5CBB">
        <w:rPr>
          <w:color w:val="000000"/>
          <w:szCs w:val="24"/>
        </w:rPr>
        <w:t xml:space="preserve"> fiskālās politikas realizācija ir būtisks priekšnoteikums, lai Latvija ilgtspējīgi attīstītos. </w:t>
      </w:r>
      <w:r>
        <w:rPr>
          <w:color w:val="000000"/>
          <w:szCs w:val="24"/>
        </w:rPr>
        <w:t>V</w:t>
      </w:r>
      <w:r w:rsidRPr="002E5CBB">
        <w:rPr>
          <w:color w:val="000000"/>
          <w:szCs w:val="24"/>
        </w:rPr>
        <w:t xml:space="preserve">ienlaikus šādas politikas realizācijas </w:t>
      </w:r>
      <w:r w:rsidR="000F2A7B">
        <w:rPr>
          <w:color w:val="000000"/>
          <w:szCs w:val="24"/>
        </w:rPr>
        <w:t>īstenošanas</w:t>
      </w:r>
      <w:r w:rsidRPr="002E5CBB">
        <w:rPr>
          <w:color w:val="000000"/>
          <w:szCs w:val="24"/>
        </w:rPr>
        <w:t xml:space="preserve"> n</w:t>
      </w:r>
      <w:r w:rsidRPr="002E5CBB">
        <w:rPr>
          <w:szCs w:val="24"/>
        </w:rPr>
        <w:t>o 2012.</w:t>
      </w:r>
      <w:r w:rsidR="00A71277">
        <w:rPr>
          <w:szCs w:val="24"/>
        </w:rPr>
        <w:t> </w:t>
      </w:r>
      <w:r w:rsidRPr="002E5CBB">
        <w:rPr>
          <w:szCs w:val="24"/>
        </w:rPr>
        <w:t>gada septembra Latvija ir izpildījusi visus Māstrihtas kritērijus</w:t>
      </w:r>
      <w:r w:rsidR="00A71277">
        <w:rPr>
          <w:color w:val="000000"/>
          <w:szCs w:val="24"/>
        </w:rPr>
        <w:t>, kas</w:t>
      </w:r>
      <w:r w:rsidRPr="00D9247B">
        <w:rPr>
          <w:rStyle w:val="Emphasis"/>
          <w:szCs w:val="24"/>
        </w:rPr>
        <w:t xml:space="preserve"> ir kā kvalitātes zīmogs, ka valsts ekonomika spēj nodrošināt ilgtspējīgu izaugsmi, kas ir būtisks priekšnoteikums, lai palielinātu Latvijas ekonomiskās vides pievilcību ārvalstu investoriem. </w:t>
      </w:r>
      <w:r w:rsidRPr="009A3E0D">
        <w:rPr>
          <w:color w:val="000000"/>
          <w:szCs w:val="24"/>
        </w:rPr>
        <w:t>Latvija arī turpmāk ir apņēmības pilna nodrošināt ilgtspējīgu Māstrihtas kritēriju izpildi, ko demonstrē Latvijas spēj</w:t>
      </w:r>
      <w:r w:rsidR="00D4517C">
        <w:rPr>
          <w:color w:val="000000"/>
          <w:szCs w:val="24"/>
        </w:rPr>
        <w:t>a</w:t>
      </w:r>
      <w:r w:rsidRPr="009A3E0D">
        <w:rPr>
          <w:color w:val="000000"/>
          <w:szCs w:val="24"/>
        </w:rPr>
        <w:t xml:space="preserve"> ieviest </w:t>
      </w:r>
      <w:proofErr w:type="spellStart"/>
      <w:r w:rsidRPr="009A3E0D">
        <w:rPr>
          <w:color w:val="000000"/>
          <w:szCs w:val="24"/>
        </w:rPr>
        <w:t>pretciklisk</w:t>
      </w:r>
      <w:r>
        <w:rPr>
          <w:color w:val="000000"/>
          <w:szCs w:val="24"/>
        </w:rPr>
        <w:t>as</w:t>
      </w:r>
      <w:proofErr w:type="spellEnd"/>
      <w:r>
        <w:rPr>
          <w:color w:val="000000"/>
          <w:szCs w:val="24"/>
        </w:rPr>
        <w:t xml:space="preserve"> fiskālās politikas principus</w:t>
      </w:r>
      <w:r w:rsidRPr="009A3E0D">
        <w:t>.</w:t>
      </w:r>
    </w:p>
    <w:p w14:paraId="07CEA226" w14:textId="11959B54" w:rsidR="00701569" w:rsidRDefault="00701569" w:rsidP="000F2A7B">
      <w:pPr>
        <w:spacing w:before="120"/>
        <w:rPr>
          <w:color w:val="000000"/>
          <w:szCs w:val="24"/>
        </w:rPr>
      </w:pPr>
      <w:r>
        <w:rPr>
          <w:color w:val="000000"/>
          <w:szCs w:val="24"/>
        </w:rPr>
        <w:t>2014.</w:t>
      </w:r>
      <w:r w:rsidR="00A71277">
        <w:rPr>
          <w:color w:val="000000"/>
          <w:szCs w:val="24"/>
        </w:rPr>
        <w:t> </w:t>
      </w:r>
      <w:r>
        <w:rPr>
          <w:color w:val="000000"/>
          <w:szCs w:val="24"/>
        </w:rPr>
        <w:t>gada 1.</w:t>
      </w:r>
      <w:r w:rsidR="00A71277">
        <w:rPr>
          <w:color w:val="000000"/>
          <w:szCs w:val="24"/>
        </w:rPr>
        <w:t> </w:t>
      </w:r>
      <w:r>
        <w:rPr>
          <w:color w:val="000000"/>
          <w:szCs w:val="24"/>
        </w:rPr>
        <w:t>janvārī Latvija kļuva par 18.</w:t>
      </w:r>
      <w:r w:rsidR="00A71277">
        <w:rPr>
          <w:color w:val="000000"/>
          <w:szCs w:val="24"/>
        </w:rPr>
        <w:t> </w:t>
      </w:r>
      <w:proofErr w:type="spellStart"/>
      <w:r>
        <w:rPr>
          <w:i/>
          <w:color w:val="000000"/>
          <w:szCs w:val="24"/>
        </w:rPr>
        <w:t>euro</w:t>
      </w:r>
      <w:proofErr w:type="spellEnd"/>
      <w:r w:rsidR="006F7828">
        <w:rPr>
          <w:i/>
          <w:color w:val="000000"/>
          <w:szCs w:val="24"/>
        </w:rPr>
        <w:t xml:space="preserve"> </w:t>
      </w:r>
      <w:r w:rsidRPr="006F7828">
        <w:rPr>
          <w:color w:val="000000"/>
          <w:szCs w:val="24"/>
        </w:rPr>
        <w:t>zonas</w:t>
      </w:r>
      <w:r>
        <w:rPr>
          <w:i/>
          <w:color w:val="000000"/>
          <w:szCs w:val="24"/>
        </w:rPr>
        <w:t xml:space="preserve"> </w:t>
      </w:r>
      <w:r>
        <w:rPr>
          <w:color w:val="000000"/>
          <w:szCs w:val="24"/>
        </w:rPr>
        <w:t>valsti un šogad pirmo reizi iesniedz Latvijas Stabilitātes programmu līdzšinējās Konverģences programmas vietā.</w:t>
      </w:r>
    </w:p>
    <w:p w14:paraId="1D2F4055" w14:textId="33748EA7" w:rsidR="00701569" w:rsidRPr="00B86F46" w:rsidRDefault="00701569" w:rsidP="000F2A7B">
      <w:pPr>
        <w:spacing w:before="120"/>
        <w:rPr>
          <w:color w:val="000000"/>
          <w:szCs w:val="24"/>
        </w:rPr>
      </w:pPr>
      <w:r w:rsidRPr="00EF22F2">
        <w:rPr>
          <w:color w:val="000000"/>
          <w:szCs w:val="24"/>
        </w:rPr>
        <w:t>Latvijas</w:t>
      </w:r>
      <w:r w:rsidRPr="00B86F46">
        <w:rPr>
          <w:color w:val="000000"/>
          <w:szCs w:val="24"/>
        </w:rPr>
        <w:t xml:space="preserve"> </w:t>
      </w:r>
      <w:r>
        <w:rPr>
          <w:color w:val="000000"/>
          <w:szCs w:val="24"/>
        </w:rPr>
        <w:t>Stabilitātes</w:t>
      </w:r>
      <w:r w:rsidRPr="00B86F46">
        <w:rPr>
          <w:color w:val="000000"/>
          <w:szCs w:val="24"/>
        </w:rPr>
        <w:t xml:space="preserve"> programma</w:t>
      </w:r>
      <w:r>
        <w:rPr>
          <w:color w:val="000000"/>
          <w:szCs w:val="24"/>
        </w:rPr>
        <w:t xml:space="preserve"> ir vidēja </w:t>
      </w:r>
      <w:r w:rsidRPr="00702D7B">
        <w:rPr>
          <w:color w:val="000000"/>
          <w:szCs w:val="24"/>
        </w:rPr>
        <w:t>termiņa politikas dokuments, kas</w:t>
      </w:r>
      <w:r w:rsidRPr="00B86F46">
        <w:rPr>
          <w:color w:val="000000"/>
          <w:szCs w:val="24"/>
        </w:rPr>
        <w:t xml:space="preserve"> raksturo Latvijas</w:t>
      </w:r>
      <w:r>
        <w:rPr>
          <w:color w:val="000000"/>
          <w:szCs w:val="24"/>
        </w:rPr>
        <w:t xml:space="preserve"> fiskālo politiku 2014. – 2017. </w:t>
      </w:r>
      <w:r w:rsidRPr="00B86F46">
        <w:rPr>
          <w:color w:val="000000"/>
          <w:szCs w:val="24"/>
        </w:rPr>
        <w:t>gadam un ir sagatavot</w:t>
      </w:r>
      <w:r>
        <w:rPr>
          <w:color w:val="000000"/>
          <w:szCs w:val="24"/>
        </w:rPr>
        <w:t>s</w:t>
      </w:r>
      <w:r w:rsidRPr="00B86F46">
        <w:rPr>
          <w:color w:val="000000"/>
          <w:szCs w:val="24"/>
        </w:rPr>
        <w:t xml:space="preserve">, vadoties pēc Stabilitātes un izaugsmes </w:t>
      </w:r>
      <w:proofErr w:type="spellStart"/>
      <w:r w:rsidRPr="00B86F46">
        <w:rPr>
          <w:color w:val="000000"/>
          <w:szCs w:val="24"/>
        </w:rPr>
        <w:t>pakta</w:t>
      </w:r>
      <w:proofErr w:type="spellEnd"/>
      <w:r w:rsidRPr="00B86F46">
        <w:rPr>
          <w:color w:val="000000"/>
          <w:szCs w:val="24"/>
        </w:rPr>
        <w:t xml:space="preserve"> ieviešanas nosacījumiem un vadlīnijām. </w:t>
      </w:r>
      <w:r>
        <w:rPr>
          <w:color w:val="000000"/>
          <w:szCs w:val="24"/>
        </w:rPr>
        <w:t xml:space="preserve">Stabilitātes programma </w:t>
      </w:r>
      <w:r w:rsidRPr="00B86F46">
        <w:rPr>
          <w:color w:val="000000"/>
          <w:szCs w:val="24"/>
        </w:rPr>
        <w:t xml:space="preserve">ir vērsta uz stingras un ilgtspējīgas fiskālās politikas īstenošanu un makroekonomiskās stabilitātes nodrošināšanu. </w:t>
      </w:r>
    </w:p>
    <w:p w14:paraId="38C3BD05" w14:textId="77777777" w:rsidR="00701569" w:rsidRDefault="00701569" w:rsidP="000F2A7B">
      <w:pPr>
        <w:spacing w:before="120"/>
        <w:rPr>
          <w:color w:val="000000"/>
          <w:szCs w:val="24"/>
        </w:rPr>
      </w:pPr>
      <w:r>
        <w:rPr>
          <w:color w:val="000000"/>
          <w:szCs w:val="24"/>
        </w:rPr>
        <w:t>ES</w:t>
      </w:r>
      <w:r w:rsidRPr="00B86F46">
        <w:rPr>
          <w:color w:val="000000"/>
          <w:szCs w:val="24"/>
        </w:rPr>
        <w:t xml:space="preserve"> ekonomiskās politikas uzraudzības un koordinācijas cikla jeb Eiropas semestra ietvaros, </w:t>
      </w:r>
      <w:r>
        <w:rPr>
          <w:color w:val="000000"/>
          <w:szCs w:val="24"/>
        </w:rPr>
        <w:t>Stabilitātes</w:t>
      </w:r>
      <w:r w:rsidRPr="00B86F46">
        <w:rPr>
          <w:color w:val="000000"/>
          <w:szCs w:val="24"/>
        </w:rPr>
        <w:t xml:space="preserve"> programma tiek gatavota un iesniegta EK vienlaicīgi ar </w:t>
      </w:r>
      <w:r>
        <w:rPr>
          <w:color w:val="000000"/>
          <w:szCs w:val="24"/>
        </w:rPr>
        <w:t>NRP</w:t>
      </w:r>
      <w:r w:rsidRPr="00B86F46">
        <w:rPr>
          <w:color w:val="000000"/>
          <w:szCs w:val="24"/>
        </w:rPr>
        <w:t xml:space="preserve"> un</w:t>
      </w:r>
      <w:r>
        <w:rPr>
          <w:color w:val="000000"/>
          <w:szCs w:val="24"/>
        </w:rPr>
        <w:t xml:space="preserve"> tajā iekļautajiem pasākumiem. </w:t>
      </w:r>
    </w:p>
    <w:p w14:paraId="48372EE0" w14:textId="688DF298" w:rsidR="00701569" w:rsidRPr="00B86F46" w:rsidRDefault="00701569" w:rsidP="000F2A7B">
      <w:pPr>
        <w:spacing w:before="120"/>
        <w:rPr>
          <w:color w:val="000000"/>
          <w:szCs w:val="24"/>
        </w:rPr>
      </w:pPr>
      <w:r>
        <w:rPr>
          <w:color w:val="000000"/>
          <w:szCs w:val="24"/>
        </w:rPr>
        <w:t>Stabilitātes</w:t>
      </w:r>
      <w:r w:rsidRPr="00B86F46">
        <w:rPr>
          <w:color w:val="000000"/>
          <w:szCs w:val="24"/>
        </w:rPr>
        <w:t xml:space="preserve"> programma ir sagatavota, ņemot vērā Stabilitātes un izaugsmes </w:t>
      </w:r>
      <w:proofErr w:type="spellStart"/>
      <w:r w:rsidRPr="00B86F46">
        <w:rPr>
          <w:color w:val="000000"/>
          <w:szCs w:val="24"/>
        </w:rPr>
        <w:t>pakta</w:t>
      </w:r>
      <w:proofErr w:type="spellEnd"/>
      <w:r w:rsidRPr="00B86F46">
        <w:rPr>
          <w:color w:val="000000"/>
          <w:szCs w:val="24"/>
        </w:rPr>
        <w:t xml:space="preserve"> un tajā ietilpstošo </w:t>
      </w:r>
      <w:r w:rsidR="000F2A7B">
        <w:rPr>
          <w:color w:val="000000"/>
          <w:szCs w:val="24"/>
        </w:rPr>
        <w:t xml:space="preserve">ES </w:t>
      </w:r>
      <w:r w:rsidRPr="00B86F46">
        <w:rPr>
          <w:color w:val="000000"/>
          <w:szCs w:val="24"/>
        </w:rPr>
        <w:t>regulu prasības, kā arī tā ieviešanas vadlīnijas (</w:t>
      </w:r>
      <w:r w:rsidRPr="00B86F46">
        <w:rPr>
          <w:i/>
          <w:color w:val="000000"/>
          <w:szCs w:val="24"/>
        </w:rPr>
        <w:t xml:space="preserve">Code </w:t>
      </w:r>
      <w:proofErr w:type="spellStart"/>
      <w:r w:rsidRPr="00B86F46">
        <w:rPr>
          <w:i/>
          <w:color w:val="000000"/>
          <w:szCs w:val="24"/>
        </w:rPr>
        <w:t>of</w:t>
      </w:r>
      <w:proofErr w:type="spellEnd"/>
      <w:r w:rsidRPr="00B86F46">
        <w:rPr>
          <w:i/>
          <w:color w:val="000000"/>
          <w:szCs w:val="24"/>
        </w:rPr>
        <w:t xml:space="preserve"> </w:t>
      </w:r>
      <w:proofErr w:type="spellStart"/>
      <w:r w:rsidRPr="00B86F46">
        <w:rPr>
          <w:i/>
          <w:color w:val="000000"/>
          <w:szCs w:val="24"/>
        </w:rPr>
        <w:t>Conduct</w:t>
      </w:r>
      <w:proofErr w:type="spellEnd"/>
      <w:r w:rsidRPr="00B86F46">
        <w:rPr>
          <w:color w:val="000000"/>
          <w:szCs w:val="24"/>
        </w:rPr>
        <w:t>). Vienlaicīgi tā ir sagatavota, ņemot vērā Ikgadējā izaugsmes ziņojumā un makroekonomiskajās un fiskālajās</w:t>
      </w:r>
      <w:r w:rsidR="000F2A7B">
        <w:rPr>
          <w:color w:val="000000"/>
          <w:szCs w:val="24"/>
        </w:rPr>
        <w:t xml:space="preserve"> vadlīnijās minētās prioritātes</w:t>
      </w:r>
      <w:r w:rsidRPr="00B86F46">
        <w:rPr>
          <w:color w:val="000000"/>
          <w:szCs w:val="24"/>
        </w:rPr>
        <w:t xml:space="preserve">. </w:t>
      </w:r>
    </w:p>
    <w:p w14:paraId="080E1AD9" w14:textId="2605F7DE" w:rsidR="00701569" w:rsidRPr="001840DF" w:rsidRDefault="00701569" w:rsidP="000F2A7B">
      <w:pPr>
        <w:spacing w:before="120"/>
        <w:ind w:firstLine="720"/>
      </w:pPr>
      <w:r>
        <w:rPr>
          <w:color w:val="000000"/>
          <w:szCs w:val="24"/>
        </w:rPr>
        <w:t>Stabilitātes</w:t>
      </w:r>
      <w:r w:rsidRPr="00B86F46">
        <w:rPr>
          <w:color w:val="000000"/>
          <w:szCs w:val="24"/>
        </w:rPr>
        <w:t xml:space="preserve"> programmas </w:t>
      </w:r>
      <w:r>
        <w:rPr>
          <w:color w:val="000000"/>
          <w:szCs w:val="24"/>
        </w:rPr>
        <w:t>v</w:t>
      </w:r>
      <w:r w:rsidRPr="00132822">
        <w:t>idēja termiņa makroekonomiskais scenārijs veidots</w:t>
      </w:r>
      <w:r>
        <w:t>, balstoties</w:t>
      </w:r>
      <w:r w:rsidRPr="00132822">
        <w:t xml:space="preserve"> uz konservatīviem pieņēmumi</w:t>
      </w:r>
      <w:r>
        <w:t>em,</w:t>
      </w:r>
      <w:r w:rsidRPr="00132822">
        <w:t xml:space="preserve"> un tajā izmantoti </w:t>
      </w:r>
      <w:r>
        <w:t>EK</w:t>
      </w:r>
      <w:r w:rsidRPr="00132822">
        <w:t xml:space="preserve"> ziemas </w:t>
      </w:r>
      <w:r>
        <w:t xml:space="preserve">makroekonomisko </w:t>
      </w:r>
      <w:r w:rsidRPr="00132822">
        <w:t>prognožu</w:t>
      </w:r>
      <w:r>
        <w:t xml:space="preserve"> dati</w:t>
      </w:r>
      <w:r w:rsidRPr="00132822">
        <w:t>.</w:t>
      </w:r>
      <w:r>
        <w:t xml:space="preserve"> M</w:t>
      </w:r>
      <w:r w:rsidRPr="00132822">
        <w:t>akroekonomiskais scenārijs paredz</w:t>
      </w:r>
      <w:r>
        <w:t xml:space="preserve">, ka </w:t>
      </w:r>
      <w:r w:rsidRPr="00132822">
        <w:t>vidējā termiņā ekonomiskā izaugsme būs līdzvērtīga ar potenciālo izaugsmi 4,0% apmērā</w:t>
      </w:r>
      <w:r>
        <w:t>.</w:t>
      </w:r>
    </w:p>
    <w:p w14:paraId="2028B7A6" w14:textId="2FF2950E" w:rsidR="00701569" w:rsidRDefault="00701569" w:rsidP="000F2A7B">
      <w:pPr>
        <w:pStyle w:val="teksts"/>
        <w:spacing w:before="120"/>
        <w:ind w:firstLine="567"/>
        <w:rPr>
          <w:rFonts w:ascii="Times New Roman" w:eastAsia="Calibri" w:hAnsi="Times New Roman"/>
          <w:color w:val="000000"/>
          <w:szCs w:val="24"/>
        </w:rPr>
      </w:pPr>
      <w:r w:rsidRPr="002E4DD5">
        <w:rPr>
          <w:rFonts w:ascii="Times New Roman" w:eastAsia="Calibri" w:hAnsi="Times New Roman"/>
          <w:color w:val="000000"/>
          <w:szCs w:val="24"/>
        </w:rPr>
        <w:t xml:space="preserve">Latvijas fiskālās politikas specifiskie mērķi </w:t>
      </w:r>
      <w:r w:rsidR="000F2A7B">
        <w:rPr>
          <w:rFonts w:ascii="Times New Roman" w:eastAsia="Calibri" w:hAnsi="Times New Roman"/>
          <w:color w:val="000000"/>
          <w:szCs w:val="24"/>
        </w:rPr>
        <w:t>vidējā termiņā</w:t>
      </w:r>
      <w:r>
        <w:rPr>
          <w:rFonts w:ascii="Times New Roman" w:eastAsia="Calibri" w:hAnsi="Times New Roman"/>
          <w:color w:val="000000"/>
          <w:szCs w:val="24"/>
        </w:rPr>
        <w:t xml:space="preserve"> ir sekojoši</w:t>
      </w:r>
      <w:r w:rsidRPr="002E4DD5">
        <w:rPr>
          <w:rFonts w:ascii="Times New Roman" w:eastAsia="Calibri" w:hAnsi="Times New Roman"/>
          <w:color w:val="000000"/>
          <w:szCs w:val="24"/>
        </w:rPr>
        <w:t>:</w:t>
      </w:r>
    </w:p>
    <w:p w14:paraId="551A135A" w14:textId="77777777" w:rsidR="00701569" w:rsidRDefault="00701569" w:rsidP="000F2A7B">
      <w:pPr>
        <w:pStyle w:val="teksts"/>
        <w:numPr>
          <w:ilvl w:val="0"/>
          <w:numId w:val="41"/>
        </w:numPr>
        <w:spacing w:before="120"/>
        <w:rPr>
          <w:rFonts w:eastAsia="Calibri"/>
          <w:color w:val="000000"/>
          <w:szCs w:val="24"/>
        </w:rPr>
      </w:pPr>
      <w:r>
        <w:rPr>
          <w:rFonts w:ascii="Times New Roman" w:eastAsia="Calibri" w:hAnsi="Times New Roman"/>
          <w:color w:val="000000"/>
          <w:szCs w:val="24"/>
        </w:rPr>
        <w:t>n</w:t>
      </w:r>
      <w:r w:rsidRPr="002E4DD5">
        <w:rPr>
          <w:rFonts w:ascii="Times New Roman" w:eastAsia="Calibri" w:hAnsi="Times New Roman"/>
          <w:color w:val="000000"/>
          <w:szCs w:val="24"/>
        </w:rPr>
        <w:t>odrošināt atbildīgu un ilgtspējīgu fiskālo politiku, ievērojot fiskālo disciplīnu;</w:t>
      </w:r>
    </w:p>
    <w:p w14:paraId="64653870" w14:textId="77777777" w:rsidR="00701569" w:rsidRPr="00B62671" w:rsidRDefault="00701569" w:rsidP="000F2A7B">
      <w:pPr>
        <w:pStyle w:val="teksts"/>
        <w:numPr>
          <w:ilvl w:val="0"/>
          <w:numId w:val="41"/>
        </w:numPr>
        <w:spacing w:before="120"/>
        <w:ind w:left="1281" w:hanging="357"/>
        <w:rPr>
          <w:rFonts w:eastAsia="Calibri"/>
          <w:color w:val="000000"/>
          <w:szCs w:val="24"/>
        </w:rPr>
      </w:pPr>
      <w:r>
        <w:rPr>
          <w:rFonts w:ascii="Times New Roman" w:eastAsia="Calibri" w:hAnsi="Times New Roman"/>
          <w:color w:val="000000"/>
          <w:szCs w:val="24"/>
        </w:rPr>
        <w:t>k</w:t>
      </w:r>
      <w:r w:rsidRPr="00B62671">
        <w:rPr>
          <w:rFonts w:ascii="Times New Roman" w:eastAsia="Calibri" w:hAnsi="Times New Roman"/>
          <w:color w:val="000000"/>
          <w:szCs w:val="24"/>
        </w:rPr>
        <w:t>āpināt iedzīvotāju dzīves kvalitāti un veicināt valsts ekonomikas attīstību.</w:t>
      </w:r>
    </w:p>
    <w:p w14:paraId="1A330B3D" w14:textId="37D76D00" w:rsidR="00701569" w:rsidRDefault="00701569" w:rsidP="000F2A7B">
      <w:pPr>
        <w:pStyle w:val="teksts"/>
        <w:spacing w:before="120"/>
        <w:ind w:firstLine="567"/>
        <w:rPr>
          <w:rFonts w:eastAsia="Calibri"/>
          <w:color w:val="000000"/>
          <w:szCs w:val="24"/>
        </w:rPr>
      </w:pPr>
      <w:r w:rsidRPr="008753ED">
        <w:rPr>
          <w:rFonts w:ascii="Times New Roman" w:eastAsia="Calibri" w:hAnsi="Times New Roman"/>
          <w:color w:val="000000"/>
          <w:szCs w:val="24"/>
        </w:rPr>
        <w:t xml:space="preserve">No </w:t>
      </w:r>
      <w:r w:rsidR="00F82AFD">
        <w:rPr>
          <w:rFonts w:ascii="Times New Roman" w:eastAsia="Calibri" w:hAnsi="Times New Roman"/>
          <w:color w:val="000000"/>
          <w:szCs w:val="24"/>
        </w:rPr>
        <w:t>FDL</w:t>
      </w:r>
      <w:r w:rsidRPr="008753ED">
        <w:rPr>
          <w:rFonts w:ascii="Times New Roman" w:eastAsia="Calibri" w:hAnsi="Times New Roman"/>
          <w:color w:val="000000"/>
          <w:szCs w:val="24"/>
        </w:rPr>
        <w:t xml:space="preserve"> ietvertajiem fiskālās politikas principiem izriet </w:t>
      </w:r>
      <w:r w:rsidRPr="006C67A4">
        <w:rPr>
          <w:rFonts w:ascii="Times New Roman" w:eastAsia="Calibri" w:hAnsi="Times New Roman"/>
          <w:b/>
          <w:color w:val="000000"/>
          <w:szCs w:val="24"/>
        </w:rPr>
        <w:t>vispārīgais vidēja termiņa fiskālās politikas mērķis - ilgtspējīgi kāpināt iedzīvotāju dzīves kvalitāti</w:t>
      </w:r>
      <w:r>
        <w:rPr>
          <w:rFonts w:ascii="Times New Roman" w:eastAsia="Calibri" w:hAnsi="Times New Roman"/>
          <w:color w:val="000000"/>
          <w:szCs w:val="24"/>
        </w:rPr>
        <w:t>, kas ietver</w:t>
      </w:r>
      <w:r w:rsidRPr="008753ED">
        <w:rPr>
          <w:rFonts w:ascii="Times New Roman" w:eastAsia="Calibri" w:hAnsi="Times New Roman"/>
          <w:color w:val="000000"/>
          <w:szCs w:val="24"/>
        </w:rPr>
        <w:t xml:space="preserve"> iedzīvotāju labklājību, medicīnas pakalpojumu pieejamību, dabas vidi, attīstīt</w:t>
      </w:r>
      <w:r>
        <w:rPr>
          <w:rFonts w:ascii="Times New Roman" w:eastAsia="Calibri" w:hAnsi="Times New Roman"/>
          <w:color w:val="000000"/>
          <w:szCs w:val="24"/>
        </w:rPr>
        <w:t>u infrastruktūru un kultūru, kā arī</w:t>
      </w:r>
      <w:r w:rsidRPr="008753ED">
        <w:rPr>
          <w:rFonts w:ascii="Times New Roman" w:eastAsia="Calibri" w:hAnsi="Times New Roman"/>
          <w:color w:val="000000"/>
          <w:szCs w:val="24"/>
        </w:rPr>
        <w:t xml:space="preserve"> pārmērīgas iedzīvotāju ienākumu nevienlīdzības novēršanu. Būtiski ir nodrošināt, ka valstī būs apstākļi dzīves kvalitātes uzlabošanai ne tikai šobrīd, bet arī turpmāk. Tāpēc fiskālās politikas mērķī akcents ir likts uz ilgtspēju. Ilgtspējīga dzīves kvalitātes kāpināšana nozīmē, ka publiskie finanšu resursi tiek novirzīti ne tikai pašreizējiem dzīv</w:t>
      </w:r>
      <w:r w:rsidR="000F2A7B">
        <w:rPr>
          <w:rFonts w:ascii="Times New Roman" w:eastAsia="Calibri" w:hAnsi="Times New Roman"/>
          <w:color w:val="000000"/>
          <w:szCs w:val="24"/>
        </w:rPr>
        <w:t>e</w:t>
      </w:r>
      <w:r w:rsidRPr="008753ED">
        <w:rPr>
          <w:rFonts w:ascii="Times New Roman" w:eastAsia="Calibri" w:hAnsi="Times New Roman"/>
          <w:color w:val="000000"/>
          <w:szCs w:val="24"/>
        </w:rPr>
        <w:t>s kvalitātes uzlabošanas pasākumiem, bet tiek plānoti un sadalīti tā, lai tiktu nodrošināti apstākļi, ka valsts varēs dzīves kvalitāti kāpināt arī turpmākos 10 un 50 gadus. To var panākt, pirmkārt, atsakoties no pašreizējo izdevumu segšanas uz nākamo paaudžu rēķina jeb atsakoties no publisko izdevumu palielināšanas uz deficīta rēķina, otrkārt, novirzot publiskos resursus labvēlīgas vides veidošanai ekonomikas attīstībai, piemēram, ieguldot resursus zinātnē.</w:t>
      </w:r>
      <w:r>
        <w:rPr>
          <w:rFonts w:eastAsia="Calibri"/>
          <w:color w:val="000000"/>
          <w:szCs w:val="24"/>
        </w:rPr>
        <w:t xml:space="preserve"> </w:t>
      </w:r>
    </w:p>
    <w:p w14:paraId="3342E1E0" w14:textId="5A36D1EE" w:rsidR="00701569" w:rsidRDefault="00701569" w:rsidP="000F2A7B">
      <w:pPr>
        <w:spacing w:before="120"/>
        <w:rPr>
          <w:color w:val="000000"/>
          <w:szCs w:val="24"/>
        </w:rPr>
      </w:pPr>
      <w:r w:rsidRPr="006F1F0D">
        <w:rPr>
          <w:color w:val="000000"/>
          <w:szCs w:val="24"/>
        </w:rPr>
        <w:t>Starptautiskajos finanšu tirgos Latvija 2012.</w:t>
      </w:r>
      <w:r w:rsidR="002D5EB9">
        <w:rPr>
          <w:color w:val="000000"/>
          <w:szCs w:val="24"/>
        </w:rPr>
        <w:t> </w:t>
      </w:r>
      <w:r w:rsidRPr="006F1F0D">
        <w:rPr>
          <w:color w:val="000000"/>
          <w:szCs w:val="24"/>
        </w:rPr>
        <w:t>gadā jau nostiprināja regulāra aizņēmēja pozīcijas, veicot divas obligāciju emisijas ASV tirgū – februārī (1 mljrd.</w:t>
      </w:r>
      <w:r w:rsidR="0073420E">
        <w:rPr>
          <w:color w:val="000000"/>
          <w:szCs w:val="24"/>
        </w:rPr>
        <w:t xml:space="preserve"> </w:t>
      </w:r>
      <w:r w:rsidRPr="006F1F0D">
        <w:rPr>
          <w:color w:val="000000"/>
          <w:szCs w:val="24"/>
        </w:rPr>
        <w:t>ASV dolāru) un decembrī (1,25 mljrd.</w:t>
      </w:r>
      <w:r w:rsidR="0073420E">
        <w:rPr>
          <w:color w:val="000000"/>
          <w:szCs w:val="24"/>
        </w:rPr>
        <w:t xml:space="preserve"> </w:t>
      </w:r>
      <w:r w:rsidRPr="006F1F0D">
        <w:rPr>
          <w:color w:val="000000"/>
          <w:szCs w:val="24"/>
        </w:rPr>
        <w:t>ASV dolāru). Savukārt, 2014.</w:t>
      </w:r>
      <w:r w:rsidR="002D5EB9">
        <w:rPr>
          <w:color w:val="000000"/>
          <w:szCs w:val="24"/>
        </w:rPr>
        <w:t> </w:t>
      </w:r>
      <w:r w:rsidRPr="006F1F0D">
        <w:rPr>
          <w:color w:val="000000"/>
          <w:szCs w:val="24"/>
        </w:rPr>
        <w:t xml:space="preserve">gada janvārī Latvija pēc sešu gadu pārtraukuma un neilgi pēc </w:t>
      </w:r>
      <w:proofErr w:type="spellStart"/>
      <w:r w:rsidRPr="00D4517C">
        <w:rPr>
          <w:i/>
          <w:color w:val="000000"/>
          <w:szCs w:val="24"/>
        </w:rPr>
        <w:t>euro</w:t>
      </w:r>
      <w:proofErr w:type="spellEnd"/>
      <w:r w:rsidRPr="006F1F0D">
        <w:rPr>
          <w:color w:val="000000"/>
          <w:szCs w:val="24"/>
        </w:rPr>
        <w:t xml:space="preserve"> ieviešanas sekmīgi emitēja septiņu gadu obligācijas viena miljarda </w:t>
      </w:r>
      <w:proofErr w:type="spellStart"/>
      <w:r w:rsidRPr="00D4517C">
        <w:rPr>
          <w:i/>
          <w:color w:val="000000"/>
          <w:szCs w:val="24"/>
        </w:rPr>
        <w:t>euro</w:t>
      </w:r>
      <w:proofErr w:type="spellEnd"/>
      <w:r w:rsidRPr="006F1F0D">
        <w:rPr>
          <w:color w:val="000000"/>
          <w:szCs w:val="24"/>
        </w:rPr>
        <w:t xml:space="preserve"> apmērā ar fiksēto procentu (kupona) likmi 2,625% gadā. Atšķirībā no iepriekšējiem aizņēmumiem starptautiskajos finanšu tirgos šis darījums tika orientēts pārsvarā uz Eiropas investoriem. Ekonomiskā izaugsme, pievienošanās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zonai</w:t>
      </w:r>
      <w:r w:rsidRPr="006F1F0D">
        <w:rPr>
          <w:color w:val="000000"/>
          <w:szCs w:val="24"/>
        </w:rPr>
        <w:t>, saņemtie Latvijas kredītreitingu uzlabojumi, investoru augstais novērtējums par paveikto Latvijas valsts ekonomikā iepriekšējos gados un ticība Latvijas attīstībai ilgtermiņā ir ļāvuši aizņemties finanšu resursus starptautiskajos tirgos ar ļoti izdevīgiem nosacījumiem.</w:t>
      </w:r>
    </w:p>
    <w:p w14:paraId="1FA4570C" w14:textId="14EC4BFE" w:rsidR="00437B7B" w:rsidRPr="006F1F0D" w:rsidRDefault="00437B7B" w:rsidP="000F2A7B">
      <w:pPr>
        <w:spacing w:before="120"/>
        <w:rPr>
          <w:color w:val="000000"/>
          <w:szCs w:val="24"/>
        </w:rPr>
      </w:pPr>
      <w:r>
        <w:rPr>
          <w:color w:val="000000"/>
          <w:szCs w:val="24"/>
        </w:rPr>
        <w:t>Stabilitātes</w:t>
      </w:r>
      <w:r w:rsidRPr="00B86F46">
        <w:rPr>
          <w:color w:val="000000"/>
          <w:szCs w:val="24"/>
        </w:rPr>
        <w:t xml:space="preserve"> programma kā </w:t>
      </w:r>
      <w:r w:rsidRPr="00702D7B">
        <w:rPr>
          <w:color w:val="000000"/>
          <w:szCs w:val="24"/>
        </w:rPr>
        <w:t>politikas dokuments</w:t>
      </w:r>
      <w:r w:rsidRPr="00B86F46">
        <w:rPr>
          <w:color w:val="000000"/>
          <w:szCs w:val="24"/>
        </w:rPr>
        <w:t xml:space="preserve"> ir apstiprināta </w:t>
      </w:r>
      <w:r>
        <w:rPr>
          <w:color w:val="000000"/>
          <w:szCs w:val="24"/>
        </w:rPr>
        <w:t xml:space="preserve">MK, </w:t>
      </w:r>
      <w:r w:rsidRPr="00B86F46">
        <w:rPr>
          <w:color w:val="000000"/>
          <w:szCs w:val="24"/>
        </w:rPr>
        <w:t xml:space="preserve">prezentēta un </w:t>
      </w:r>
      <w:r>
        <w:rPr>
          <w:color w:val="000000"/>
          <w:szCs w:val="24"/>
        </w:rPr>
        <w:t>apstiprināta</w:t>
      </w:r>
      <w:r w:rsidRPr="000705E3">
        <w:rPr>
          <w:color w:val="000000"/>
          <w:szCs w:val="24"/>
        </w:rPr>
        <w:t xml:space="preserve"> atbilstošajās Saeimas komisijās.</w:t>
      </w:r>
    </w:p>
    <w:p w14:paraId="542A1A45" w14:textId="0D12A72E" w:rsidR="000F6956" w:rsidRPr="009C61B1" w:rsidRDefault="000F6956" w:rsidP="00437B7B">
      <w:pPr>
        <w:pStyle w:val="PIRMAIS"/>
        <w:ind w:left="0" w:firstLine="0"/>
      </w:pPr>
      <w:bookmarkStart w:id="6" w:name="_Toc284924040"/>
      <w:bookmarkStart w:id="7" w:name="_Toc385517808"/>
      <w:r w:rsidRPr="009C61B1">
        <w:t>2.</w:t>
      </w:r>
      <w:r w:rsidRPr="009C61B1">
        <w:tab/>
        <w:t>Ekonomiskā situācija</w:t>
      </w:r>
      <w:bookmarkEnd w:id="6"/>
      <w:bookmarkEnd w:id="7"/>
    </w:p>
    <w:p w14:paraId="27939D29" w14:textId="1CBBFCF7" w:rsidR="004B4BD3" w:rsidRDefault="007043C5" w:rsidP="001B6A4A">
      <w:pPr>
        <w:pStyle w:val="H2"/>
        <w:ind w:left="0" w:firstLine="0"/>
        <w:rPr>
          <w:rFonts w:ascii="Times New Roman" w:hAnsi="Times New Roman"/>
          <w:szCs w:val="32"/>
        </w:rPr>
      </w:pPr>
      <w:bookmarkStart w:id="8" w:name="_Toc385517809"/>
      <w:bookmarkStart w:id="9" w:name="_Toc284924042"/>
      <w:r w:rsidRPr="009856BE">
        <w:rPr>
          <w:rFonts w:ascii="Times New Roman" w:hAnsi="Times New Roman"/>
          <w:szCs w:val="32"/>
        </w:rPr>
        <w:t xml:space="preserve">2.1. </w:t>
      </w:r>
      <w:r>
        <w:rPr>
          <w:rFonts w:ascii="Times New Roman" w:hAnsi="Times New Roman"/>
          <w:szCs w:val="32"/>
        </w:rPr>
        <w:t>Ārējā ekonomiskā vide</w:t>
      </w:r>
      <w:bookmarkEnd w:id="8"/>
    </w:p>
    <w:p w14:paraId="7689DD1A" w14:textId="50C5FC2C" w:rsidR="00CB2E4C" w:rsidRPr="00132822" w:rsidRDefault="00CB2E4C" w:rsidP="00CB2E4C">
      <w:pPr>
        <w:ind w:firstLine="720"/>
      </w:pPr>
      <w:r w:rsidRPr="00132822">
        <w:t>Kopš 2013.</w:t>
      </w:r>
      <w:r w:rsidR="002D5EB9">
        <w:t> </w:t>
      </w:r>
      <w:r w:rsidRPr="00132822">
        <w:t>gada vidus ir vērojama pakāpeniska globālās ekonomiskās situācijas uzlabošanās. Sagaidāms, ka šāda tendence turpināsies arī 2014. un 2015.</w:t>
      </w:r>
      <w:r w:rsidR="002D5EB9">
        <w:t> </w:t>
      </w:r>
      <w:r w:rsidRPr="00132822">
        <w:t xml:space="preserve">gadā. Šobrīd par galveno izaugsmes virzītāju ir kļuvis kopējā pieprasījuma pieaugums attīstītajās valstīs, īpaši </w:t>
      </w:r>
      <w:r>
        <w:t>ASV</w:t>
      </w:r>
      <w:r w:rsidRPr="00132822">
        <w:t xml:space="preserve">, kur mazinājusies nenoteiktība par fiskālo politiku un uzlabojumi darba tirgū sekmē privātā patēriņa izaugsmi, kas šobrīd ir galvenais izaugsmi virzošais faktors. Pozitīvas tendences vērojamas arī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zonā</w:t>
      </w:r>
      <w:r w:rsidRPr="00132822">
        <w:t>, kas 2013.</w:t>
      </w:r>
      <w:r w:rsidR="002D5EB9">
        <w:t> </w:t>
      </w:r>
      <w:r w:rsidRPr="00132822">
        <w:t xml:space="preserve">gada pēdējā ceturksnī atgriezās pie pozitīvas izaugsmes, kas ir kļuvusi sabalansētāka gan starp valstīm, gan </w:t>
      </w:r>
      <w:r w:rsidR="002D5EB9">
        <w:t>izaugsmi virzošajiem faktoriem.</w:t>
      </w:r>
    </w:p>
    <w:p w14:paraId="2F4F8C65" w14:textId="566926AA" w:rsidR="00CB2E4C" w:rsidRDefault="00CB2E4C" w:rsidP="00336495">
      <w:pPr>
        <w:ind w:firstLine="720"/>
      </w:pPr>
      <w:r w:rsidRPr="00D907EA">
        <w:t>Tikmēr attīstības valstu e</w:t>
      </w:r>
      <w:r>
        <w:t>konomiskās izaugsmes perspektīva</w:t>
      </w:r>
      <w:r w:rsidRPr="00D907EA">
        <w:t>s kļuvušas neskaidrākas</w:t>
      </w:r>
      <w:r>
        <w:t xml:space="preserve"> un</w:t>
      </w:r>
      <w:r w:rsidRPr="00D907EA">
        <w:t xml:space="preserve"> ar šīm valstīm saistītie riski pasaules izaugsmei ir pieauguši. No vienas puses attīstības valstis ir ekonomiski atkarīgas no eksporta iespējām, kas ir tieši saistīts ar norisēm attīstītajās valstīs, kur pēdējā laikā ir vērojamas pozitīvas tendences un tiek prognozēts, ka turpmāk to izaugsme kļūs spēcīgāka. Savukārt no otras puses izaugsmi attīstības valstīs ierobežos gaidāmās izmaiņas attīstīto valstu monetārajā politikā, kas, uzlabojoties ekonomiskajai situācijai, varētu kļūt mazāk stimulējoša un vidējā termiņā ir sagaidāms arī procentu likmju pieaugums. Šādas izmaiņas veicinās izmaiņas globālajās kapitāla plūsmās, kas kopumā bremzēs kreditēšanu un mazinās iekšējo pieprasījumu attīstības valstīs, ko pastiprinās atsevišķu valstu ārējās nesabalansētības. </w:t>
      </w:r>
    </w:p>
    <w:p w14:paraId="19C9D490" w14:textId="5A893FD2" w:rsidR="00CB2E4C" w:rsidRPr="00CB2E4C" w:rsidRDefault="00CB2E4C" w:rsidP="00CB2E4C">
      <w:pPr>
        <w:jc w:val="right"/>
        <w:rPr>
          <w:b/>
          <w:szCs w:val="24"/>
          <w:vertAlign w:val="superscript"/>
        </w:rPr>
      </w:pPr>
      <w:r w:rsidRPr="00CB2E4C">
        <w:rPr>
          <w:b/>
          <w:szCs w:val="24"/>
        </w:rPr>
        <w:t>2.1. tabula</w:t>
      </w:r>
      <w:r w:rsidR="00E64B2F">
        <w:rPr>
          <w:b/>
          <w:szCs w:val="24"/>
        </w:rPr>
        <w:t>.</w:t>
      </w:r>
      <w:r w:rsidRPr="00CB2E4C">
        <w:rPr>
          <w:b/>
          <w:szCs w:val="24"/>
        </w:rPr>
        <w:t xml:space="preserve"> Galvenie makroekonomiskie rādītāji, gada pieaugumi, %</w:t>
      </w:r>
      <w:r w:rsidRPr="00CB2E4C">
        <w:rPr>
          <w:rStyle w:val="FootnoteReference"/>
          <w:rFonts w:ascii="Times New Roman" w:hAnsi="Times New Roman"/>
          <w:b/>
          <w:sz w:val="24"/>
          <w:szCs w:val="24"/>
        </w:rPr>
        <w:footnoteReference w:id="2"/>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012"/>
        <w:gridCol w:w="1012"/>
        <w:gridCol w:w="1012"/>
        <w:gridCol w:w="1012"/>
      </w:tblGrid>
      <w:tr w:rsidR="00CB2E4C" w:rsidRPr="003148B4" w14:paraId="021A4F3C" w14:textId="77777777" w:rsidTr="00CB2E4C">
        <w:trPr>
          <w:trHeight w:val="324"/>
          <w:jc w:val="center"/>
        </w:trPr>
        <w:tc>
          <w:tcPr>
            <w:tcW w:w="4248" w:type="dxa"/>
            <w:tcBorders>
              <w:top w:val="single" w:sz="4" w:space="0" w:color="auto"/>
              <w:bottom w:val="single" w:sz="4" w:space="0" w:color="auto"/>
            </w:tcBorders>
          </w:tcPr>
          <w:p w14:paraId="6EEC51EE" w14:textId="77777777" w:rsidR="00CB2E4C" w:rsidRPr="003148B4" w:rsidRDefault="00CB2E4C" w:rsidP="00437B7B">
            <w:pPr>
              <w:spacing w:after="0"/>
              <w:rPr>
                <w:b/>
              </w:rPr>
            </w:pPr>
          </w:p>
        </w:tc>
        <w:tc>
          <w:tcPr>
            <w:tcW w:w="1012" w:type="dxa"/>
            <w:tcBorders>
              <w:top w:val="single" w:sz="4" w:space="0" w:color="auto"/>
              <w:bottom w:val="single" w:sz="4" w:space="0" w:color="auto"/>
            </w:tcBorders>
            <w:shd w:val="clear" w:color="auto" w:fill="F2F2F2" w:themeFill="background1" w:themeFillShade="F2"/>
          </w:tcPr>
          <w:p w14:paraId="7B100B72" w14:textId="77777777" w:rsidR="00CB2E4C" w:rsidRPr="003148B4" w:rsidRDefault="00CB2E4C" w:rsidP="00437B7B">
            <w:pPr>
              <w:spacing w:after="0"/>
              <w:ind w:firstLine="0"/>
              <w:rPr>
                <w:b/>
              </w:rPr>
            </w:pPr>
            <w:r w:rsidRPr="003148B4">
              <w:rPr>
                <w:b/>
              </w:rPr>
              <w:t>2012</w:t>
            </w:r>
          </w:p>
        </w:tc>
        <w:tc>
          <w:tcPr>
            <w:tcW w:w="1012" w:type="dxa"/>
            <w:tcBorders>
              <w:top w:val="single" w:sz="4" w:space="0" w:color="auto"/>
              <w:bottom w:val="single" w:sz="4" w:space="0" w:color="auto"/>
            </w:tcBorders>
          </w:tcPr>
          <w:p w14:paraId="31941B83" w14:textId="77777777" w:rsidR="00CB2E4C" w:rsidRPr="003148B4" w:rsidRDefault="00CB2E4C" w:rsidP="00437B7B">
            <w:pPr>
              <w:spacing w:after="0"/>
              <w:ind w:firstLine="0"/>
              <w:rPr>
                <w:b/>
              </w:rPr>
            </w:pPr>
            <w:r w:rsidRPr="003148B4">
              <w:rPr>
                <w:b/>
              </w:rPr>
              <w:t>2013</w:t>
            </w:r>
          </w:p>
        </w:tc>
        <w:tc>
          <w:tcPr>
            <w:tcW w:w="1012" w:type="dxa"/>
            <w:tcBorders>
              <w:top w:val="single" w:sz="4" w:space="0" w:color="auto"/>
              <w:bottom w:val="single" w:sz="4" w:space="0" w:color="auto"/>
            </w:tcBorders>
            <w:shd w:val="clear" w:color="auto" w:fill="F2F2F2" w:themeFill="background1" w:themeFillShade="F2"/>
          </w:tcPr>
          <w:p w14:paraId="19F03740" w14:textId="77777777" w:rsidR="00CB2E4C" w:rsidRPr="003148B4" w:rsidRDefault="00CB2E4C" w:rsidP="00437B7B">
            <w:pPr>
              <w:spacing w:after="0"/>
              <w:ind w:firstLine="0"/>
              <w:rPr>
                <w:b/>
              </w:rPr>
            </w:pPr>
            <w:r w:rsidRPr="003148B4">
              <w:rPr>
                <w:b/>
              </w:rPr>
              <w:t>2014p</w:t>
            </w:r>
          </w:p>
        </w:tc>
        <w:tc>
          <w:tcPr>
            <w:tcW w:w="1012" w:type="dxa"/>
            <w:tcBorders>
              <w:top w:val="single" w:sz="4" w:space="0" w:color="auto"/>
              <w:bottom w:val="single" w:sz="4" w:space="0" w:color="auto"/>
            </w:tcBorders>
          </w:tcPr>
          <w:p w14:paraId="2F8450BE" w14:textId="77777777" w:rsidR="00CB2E4C" w:rsidRPr="003148B4" w:rsidRDefault="00CB2E4C" w:rsidP="00437B7B">
            <w:pPr>
              <w:spacing w:after="0"/>
              <w:ind w:firstLine="0"/>
              <w:rPr>
                <w:b/>
              </w:rPr>
            </w:pPr>
            <w:r w:rsidRPr="003148B4">
              <w:rPr>
                <w:b/>
              </w:rPr>
              <w:t>2015p</w:t>
            </w:r>
          </w:p>
        </w:tc>
      </w:tr>
      <w:tr w:rsidR="00CB2E4C" w:rsidRPr="003148B4" w14:paraId="46D2C59C" w14:textId="77777777" w:rsidTr="00CB2E4C">
        <w:trPr>
          <w:trHeight w:val="324"/>
          <w:jc w:val="center"/>
        </w:trPr>
        <w:tc>
          <w:tcPr>
            <w:tcW w:w="4248" w:type="dxa"/>
            <w:tcBorders>
              <w:top w:val="single" w:sz="4" w:space="0" w:color="auto"/>
            </w:tcBorders>
          </w:tcPr>
          <w:p w14:paraId="465E6BD7" w14:textId="77777777" w:rsidR="00CB2E4C" w:rsidRPr="003148B4" w:rsidRDefault="00CB2E4C" w:rsidP="00437B7B">
            <w:pPr>
              <w:spacing w:after="0"/>
              <w:ind w:firstLine="0"/>
            </w:pPr>
            <w:r w:rsidRPr="003148B4">
              <w:t>Globālās ekonomikas IKP pieaugums, %</w:t>
            </w:r>
          </w:p>
        </w:tc>
        <w:tc>
          <w:tcPr>
            <w:tcW w:w="1012" w:type="dxa"/>
            <w:tcBorders>
              <w:top w:val="single" w:sz="4" w:space="0" w:color="auto"/>
            </w:tcBorders>
            <w:shd w:val="clear" w:color="auto" w:fill="F2F2F2" w:themeFill="background1" w:themeFillShade="F2"/>
          </w:tcPr>
          <w:p w14:paraId="2F5BF60B" w14:textId="77777777" w:rsidR="00CB2E4C" w:rsidRPr="003148B4" w:rsidRDefault="00CB2E4C" w:rsidP="00437B7B">
            <w:pPr>
              <w:spacing w:after="0"/>
              <w:ind w:firstLine="0"/>
            </w:pPr>
            <w:r w:rsidRPr="003148B4">
              <w:t>3.2</w:t>
            </w:r>
          </w:p>
        </w:tc>
        <w:tc>
          <w:tcPr>
            <w:tcW w:w="1012" w:type="dxa"/>
            <w:tcBorders>
              <w:top w:val="single" w:sz="4" w:space="0" w:color="auto"/>
            </w:tcBorders>
          </w:tcPr>
          <w:p w14:paraId="75FAD3CB" w14:textId="77777777" w:rsidR="00CB2E4C" w:rsidRPr="003148B4" w:rsidRDefault="00CB2E4C" w:rsidP="00437B7B">
            <w:pPr>
              <w:spacing w:after="0"/>
              <w:ind w:firstLine="0"/>
            </w:pPr>
            <w:r w:rsidRPr="003148B4">
              <w:t>3.0</w:t>
            </w:r>
          </w:p>
        </w:tc>
        <w:tc>
          <w:tcPr>
            <w:tcW w:w="1012" w:type="dxa"/>
            <w:tcBorders>
              <w:top w:val="single" w:sz="4" w:space="0" w:color="auto"/>
            </w:tcBorders>
            <w:shd w:val="clear" w:color="auto" w:fill="F2F2F2" w:themeFill="background1" w:themeFillShade="F2"/>
          </w:tcPr>
          <w:p w14:paraId="329BFDBF" w14:textId="77777777" w:rsidR="00CB2E4C" w:rsidRPr="003148B4" w:rsidRDefault="00CB2E4C" w:rsidP="00437B7B">
            <w:pPr>
              <w:spacing w:after="0"/>
              <w:ind w:firstLine="0"/>
            </w:pPr>
            <w:r w:rsidRPr="003148B4">
              <w:t>3.6</w:t>
            </w:r>
          </w:p>
        </w:tc>
        <w:tc>
          <w:tcPr>
            <w:tcW w:w="1012" w:type="dxa"/>
            <w:tcBorders>
              <w:top w:val="single" w:sz="4" w:space="0" w:color="auto"/>
            </w:tcBorders>
          </w:tcPr>
          <w:p w14:paraId="25624A8D" w14:textId="77777777" w:rsidR="00CB2E4C" w:rsidRPr="003148B4" w:rsidRDefault="00CB2E4C" w:rsidP="00437B7B">
            <w:pPr>
              <w:spacing w:after="0"/>
              <w:ind w:firstLine="0"/>
            </w:pPr>
            <w:r w:rsidRPr="003148B4">
              <w:t>3.9</w:t>
            </w:r>
          </w:p>
        </w:tc>
      </w:tr>
      <w:tr w:rsidR="00CB2E4C" w:rsidRPr="003148B4" w14:paraId="06F8AE78" w14:textId="77777777" w:rsidTr="00CB2E4C">
        <w:trPr>
          <w:trHeight w:val="324"/>
          <w:jc w:val="center"/>
        </w:trPr>
        <w:tc>
          <w:tcPr>
            <w:tcW w:w="4248" w:type="dxa"/>
          </w:tcPr>
          <w:p w14:paraId="1EF3C8F7" w14:textId="77777777" w:rsidR="00CB2E4C" w:rsidRPr="003148B4" w:rsidRDefault="00CB2E4C" w:rsidP="00437B7B">
            <w:pPr>
              <w:spacing w:after="0"/>
              <w:ind w:firstLine="0"/>
            </w:pPr>
            <w:r w:rsidRPr="003148B4">
              <w:t>Attīstīto valstu IKP pieaugums, %</w:t>
            </w:r>
          </w:p>
        </w:tc>
        <w:tc>
          <w:tcPr>
            <w:tcW w:w="1012" w:type="dxa"/>
            <w:shd w:val="clear" w:color="auto" w:fill="F2F2F2" w:themeFill="background1" w:themeFillShade="F2"/>
          </w:tcPr>
          <w:p w14:paraId="097176AA" w14:textId="77777777" w:rsidR="00CB2E4C" w:rsidRPr="003148B4" w:rsidRDefault="00CB2E4C" w:rsidP="00437B7B">
            <w:pPr>
              <w:spacing w:after="0"/>
              <w:ind w:firstLine="0"/>
            </w:pPr>
            <w:r w:rsidRPr="003148B4">
              <w:t>1.4</w:t>
            </w:r>
          </w:p>
        </w:tc>
        <w:tc>
          <w:tcPr>
            <w:tcW w:w="1012" w:type="dxa"/>
          </w:tcPr>
          <w:p w14:paraId="60E1FD72" w14:textId="77777777" w:rsidR="00CB2E4C" w:rsidRPr="003148B4" w:rsidRDefault="00CB2E4C" w:rsidP="00437B7B">
            <w:pPr>
              <w:spacing w:after="0"/>
              <w:ind w:firstLine="0"/>
            </w:pPr>
            <w:r w:rsidRPr="003148B4">
              <w:t>1.3</w:t>
            </w:r>
          </w:p>
        </w:tc>
        <w:tc>
          <w:tcPr>
            <w:tcW w:w="1012" w:type="dxa"/>
            <w:shd w:val="clear" w:color="auto" w:fill="F2F2F2" w:themeFill="background1" w:themeFillShade="F2"/>
          </w:tcPr>
          <w:p w14:paraId="58C4E643" w14:textId="77777777" w:rsidR="00CB2E4C" w:rsidRPr="003148B4" w:rsidRDefault="00CB2E4C" w:rsidP="00437B7B">
            <w:pPr>
              <w:spacing w:after="0"/>
              <w:ind w:firstLine="0"/>
            </w:pPr>
            <w:r w:rsidRPr="003148B4">
              <w:t>2.2</w:t>
            </w:r>
          </w:p>
        </w:tc>
        <w:tc>
          <w:tcPr>
            <w:tcW w:w="1012" w:type="dxa"/>
          </w:tcPr>
          <w:p w14:paraId="14C28F1B" w14:textId="77777777" w:rsidR="00CB2E4C" w:rsidRPr="003148B4" w:rsidRDefault="00CB2E4C" w:rsidP="00437B7B">
            <w:pPr>
              <w:spacing w:after="0"/>
              <w:ind w:firstLine="0"/>
            </w:pPr>
            <w:r w:rsidRPr="003148B4">
              <w:t>2.3</w:t>
            </w:r>
          </w:p>
        </w:tc>
      </w:tr>
      <w:tr w:rsidR="00CB2E4C" w:rsidRPr="003148B4" w14:paraId="31C27980" w14:textId="77777777" w:rsidTr="00CB2E4C">
        <w:trPr>
          <w:trHeight w:val="324"/>
          <w:jc w:val="center"/>
        </w:trPr>
        <w:tc>
          <w:tcPr>
            <w:tcW w:w="4248" w:type="dxa"/>
          </w:tcPr>
          <w:p w14:paraId="0D49D2CA" w14:textId="77777777" w:rsidR="00CB2E4C" w:rsidRPr="003148B4" w:rsidRDefault="00CB2E4C" w:rsidP="00437B7B">
            <w:pPr>
              <w:spacing w:after="0"/>
              <w:ind w:firstLine="0"/>
            </w:pPr>
            <w:r w:rsidRPr="003148B4">
              <w:t>Attīstības valstu IKP pieaugums, %</w:t>
            </w:r>
          </w:p>
        </w:tc>
        <w:tc>
          <w:tcPr>
            <w:tcW w:w="1012" w:type="dxa"/>
            <w:shd w:val="clear" w:color="auto" w:fill="F2F2F2" w:themeFill="background1" w:themeFillShade="F2"/>
          </w:tcPr>
          <w:p w14:paraId="642854C4" w14:textId="77777777" w:rsidR="00CB2E4C" w:rsidRPr="003148B4" w:rsidRDefault="00CB2E4C" w:rsidP="00437B7B">
            <w:pPr>
              <w:spacing w:after="0"/>
              <w:ind w:firstLine="0"/>
            </w:pPr>
            <w:r w:rsidRPr="003148B4">
              <w:t>5.0</w:t>
            </w:r>
          </w:p>
        </w:tc>
        <w:tc>
          <w:tcPr>
            <w:tcW w:w="1012" w:type="dxa"/>
          </w:tcPr>
          <w:p w14:paraId="7A48C4AE" w14:textId="77777777" w:rsidR="00CB2E4C" w:rsidRPr="003148B4" w:rsidRDefault="00CB2E4C" w:rsidP="00437B7B">
            <w:pPr>
              <w:spacing w:after="0"/>
              <w:ind w:firstLine="0"/>
            </w:pPr>
            <w:r w:rsidRPr="003148B4">
              <w:t>4.7</w:t>
            </w:r>
          </w:p>
        </w:tc>
        <w:tc>
          <w:tcPr>
            <w:tcW w:w="1012" w:type="dxa"/>
            <w:shd w:val="clear" w:color="auto" w:fill="F2F2F2" w:themeFill="background1" w:themeFillShade="F2"/>
          </w:tcPr>
          <w:p w14:paraId="54AE537A" w14:textId="77777777" w:rsidR="00CB2E4C" w:rsidRPr="003148B4" w:rsidRDefault="00CB2E4C" w:rsidP="00437B7B">
            <w:pPr>
              <w:spacing w:after="0"/>
              <w:ind w:firstLine="0"/>
            </w:pPr>
            <w:r w:rsidRPr="003148B4">
              <w:t>4.9</w:t>
            </w:r>
          </w:p>
        </w:tc>
        <w:tc>
          <w:tcPr>
            <w:tcW w:w="1012" w:type="dxa"/>
          </w:tcPr>
          <w:p w14:paraId="3EC54A5C" w14:textId="77777777" w:rsidR="00CB2E4C" w:rsidRPr="003148B4" w:rsidRDefault="00CB2E4C" w:rsidP="00437B7B">
            <w:pPr>
              <w:spacing w:after="0"/>
              <w:ind w:firstLine="0"/>
            </w:pPr>
            <w:r w:rsidRPr="003148B4">
              <w:t>5.3</w:t>
            </w:r>
          </w:p>
        </w:tc>
      </w:tr>
      <w:tr w:rsidR="00CB2E4C" w:rsidRPr="003148B4" w14:paraId="382DA38A" w14:textId="77777777" w:rsidTr="00CB2E4C">
        <w:trPr>
          <w:trHeight w:val="324"/>
          <w:jc w:val="center"/>
        </w:trPr>
        <w:tc>
          <w:tcPr>
            <w:tcW w:w="4248" w:type="dxa"/>
          </w:tcPr>
          <w:p w14:paraId="0CBBE152" w14:textId="77777777" w:rsidR="00CB2E4C" w:rsidRPr="003148B4" w:rsidRDefault="00CB2E4C" w:rsidP="00437B7B">
            <w:pPr>
              <w:spacing w:after="0"/>
              <w:ind w:firstLine="0"/>
            </w:pPr>
            <w:r w:rsidRPr="003148B4">
              <w:t>Starptautiskā tirdzniecība, %</w:t>
            </w:r>
          </w:p>
        </w:tc>
        <w:tc>
          <w:tcPr>
            <w:tcW w:w="1012" w:type="dxa"/>
            <w:shd w:val="clear" w:color="auto" w:fill="F2F2F2" w:themeFill="background1" w:themeFillShade="F2"/>
          </w:tcPr>
          <w:p w14:paraId="1EBFB4A6" w14:textId="77777777" w:rsidR="00CB2E4C" w:rsidRPr="003148B4" w:rsidRDefault="00CB2E4C" w:rsidP="00437B7B">
            <w:pPr>
              <w:spacing w:after="0"/>
              <w:ind w:firstLine="0"/>
            </w:pPr>
            <w:r w:rsidRPr="003148B4">
              <w:t>2.8</w:t>
            </w:r>
          </w:p>
        </w:tc>
        <w:tc>
          <w:tcPr>
            <w:tcW w:w="1012" w:type="dxa"/>
          </w:tcPr>
          <w:p w14:paraId="3B81FE13" w14:textId="77777777" w:rsidR="00CB2E4C" w:rsidRPr="003148B4" w:rsidRDefault="00CB2E4C" w:rsidP="00437B7B">
            <w:pPr>
              <w:spacing w:after="0"/>
              <w:ind w:firstLine="0"/>
            </w:pPr>
            <w:r w:rsidRPr="003148B4">
              <w:t>3.0</w:t>
            </w:r>
          </w:p>
        </w:tc>
        <w:tc>
          <w:tcPr>
            <w:tcW w:w="1012" w:type="dxa"/>
            <w:shd w:val="clear" w:color="auto" w:fill="F2F2F2" w:themeFill="background1" w:themeFillShade="F2"/>
          </w:tcPr>
          <w:p w14:paraId="04FCFA78" w14:textId="77777777" w:rsidR="00CB2E4C" w:rsidRPr="003148B4" w:rsidRDefault="00CB2E4C" w:rsidP="00437B7B">
            <w:pPr>
              <w:spacing w:after="0"/>
              <w:ind w:firstLine="0"/>
            </w:pPr>
            <w:r w:rsidRPr="003148B4">
              <w:t>4.3</w:t>
            </w:r>
          </w:p>
        </w:tc>
        <w:tc>
          <w:tcPr>
            <w:tcW w:w="1012" w:type="dxa"/>
          </w:tcPr>
          <w:p w14:paraId="78217FB8" w14:textId="77777777" w:rsidR="00CB2E4C" w:rsidRPr="003148B4" w:rsidRDefault="00CB2E4C" w:rsidP="00437B7B">
            <w:pPr>
              <w:spacing w:after="0"/>
              <w:ind w:firstLine="0"/>
            </w:pPr>
            <w:r w:rsidRPr="003148B4">
              <w:t>5.3</w:t>
            </w:r>
          </w:p>
        </w:tc>
      </w:tr>
      <w:tr w:rsidR="00CB2E4C" w:rsidRPr="003148B4" w14:paraId="2F6A2945" w14:textId="77777777" w:rsidTr="00CB2E4C">
        <w:trPr>
          <w:trHeight w:val="324"/>
          <w:jc w:val="center"/>
        </w:trPr>
        <w:tc>
          <w:tcPr>
            <w:tcW w:w="4248" w:type="dxa"/>
          </w:tcPr>
          <w:p w14:paraId="49E7BBF9" w14:textId="77777777" w:rsidR="00CB2E4C" w:rsidRPr="003148B4" w:rsidRDefault="00CB2E4C" w:rsidP="00437B7B">
            <w:pPr>
              <w:spacing w:after="0"/>
              <w:ind w:firstLine="0"/>
            </w:pPr>
            <w:r w:rsidRPr="003148B4">
              <w:t>Inflācija attīstītajās valstīs, %</w:t>
            </w:r>
          </w:p>
        </w:tc>
        <w:tc>
          <w:tcPr>
            <w:tcW w:w="1012" w:type="dxa"/>
            <w:shd w:val="clear" w:color="auto" w:fill="F2F2F2" w:themeFill="background1" w:themeFillShade="F2"/>
          </w:tcPr>
          <w:p w14:paraId="5A232D4D" w14:textId="77777777" w:rsidR="00CB2E4C" w:rsidRPr="003148B4" w:rsidRDefault="00CB2E4C" w:rsidP="00437B7B">
            <w:pPr>
              <w:spacing w:after="0"/>
              <w:ind w:firstLine="0"/>
            </w:pPr>
            <w:r w:rsidRPr="003148B4">
              <w:t>2.0</w:t>
            </w:r>
          </w:p>
        </w:tc>
        <w:tc>
          <w:tcPr>
            <w:tcW w:w="1012" w:type="dxa"/>
          </w:tcPr>
          <w:p w14:paraId="128DC7C1" w14:textId="77777777" w:rsidR="00CB2E4C" w:rsidRPr="003148B4" w:rsidRDefault="00CB2E4C" w:rsidP="00437B7B">
            <w:pPr>
              <w:spacing w:after="0"/>
              <w:ind w:firstLine="0"/>
            </w:pPr>
            <w:r w:rsidRPr="003148B4">
              <w:t>1.4</w:t>
            </w:r>
          </w:p>
        </w:tc>
        <w:tc>
          <w:tcPr>
            <w:tcW w:w="1012" w:type="dxa"/>
            <w:shd w:val="clear" w:color="auto" w:fill="F2F2F2" w:themeFill="background1" w:themeFillShade="F2"/>
          </w:tcPr>
          <w:p w14:paraId="6434F65A" w14:textId="77777777" w:rsidR="00CB2E4C" w:rsidRPr="003148B4" w:rsidRDefault="00CB2E4C" w:rsidP="00437B7B">
            <w:pPr>
              <w:spacing w:after="0"/>
              <w:ind w:firstLine="0"/>
            </w:pPr>
            <w:r w:rsidRPr="003148B4">
              <w:t>1.5</w:t>
            </w:r>
          </w:p>
        </w:tc>
        <w:tc>
          <w:tcPr>
            <w:tcW w:w="1012" w:type="dxa"/>
          </w:tcPr>
          <w:p w14:paraId="5EDBC039" w14:textId="77777777" w:rsidR="00CB2E4C" w:rsidRPr="003148B4" w:rsidRDefault="00CB2E4C" w:rsidP="00437B7B">
            <w:pPr>
              <w:spacing w:after="0"/>
              <w:ind w:firstLine="0"/>
            </w:pPr>
            <w:r w:rsidRPr="003148B4">
              <w:t>1.6</w:t>
            </w:r>
          </w:p>
        </w:tc>
      </w:tr>
      <w:tr w:rsidR="00CB2E4C" w:rsidRPr="003148B4" w14:paraId="61B9A3A6" w14:textId="77777777" w:rsidTr="00CB2E4C">
        <w:trPr>
          <w:trHeight w:val="324"/>
          <w:jc w:val="center"/>
        </w:trPr>
        <w:tc>
          <w:tcPr>
            <w:tcW w:w="4248" w:type="dxa"/>
            <w:tcBorders>
              <w:bottom w:val="single" w:sz="4" w:space="0" w:color="auto"/>
            </w:tcBorders>
          </w:tcPr>
          <w:p w14:paraId="16BDF863" w14:textId="77777777" w:rsidR="00CB2E4C" w:rsidRPr="003148B4" w:rsidRDefault="00CB2E4C" w:rsidP="00437B7B">
            <w:pPr>
              <w:spacing w:after="0"/>
              <w:ind w:firstLine="0"/>
            </w:pPr>
            <w:r w:rsidRPr="003148B4">
              <w:t>Inflācija attīstības valstīs, %</w:t>
            </w:r>
          </w:p>
        </w:tc>
        <w:tc>
          <w:tcPr>
            <w:tcW w:w="1012" w:type="dxa"/>
            <w:tcBorders>
              <w:bottom w:val="single" w:sz="4" w:space="0" w:color="auto"/>
            </w:tcBorders>
            <w:shd w:val="clear" w:color="auto" w:fill="F2F2F2" w:themeFill="background1" w:themeFillShade="F2"/>
          </w:tcPr>
          <w:p w14:paraId="10EEA9E9" w14:textId="77777777" w:rsidR="00CB2E4C" w:rsidRPr="003148B4" w:rsidRDefault="00CB2E4C" w:rsidP="00437B7B">
            <w:pPr>
              <w:spacing w:after="0"/>
              <w:ind w:firstLine="0"/>
            </w:pPr>
            <w:r w:rsidRPr="003148B4">
              <w:t>6.0</w:t>
            </w:r>
          </w:p>
        </w:tc>
        <w:tc>
          <w:tcPr>
            <w:tcW w:w="1012" w:type="dxa"/>
            <w:tcBorders>
              <w:bottom w:val="single" w:sz="4" w:space="0" w:color="auto"/>
            </w:tcBorders>
          </w:tcPr>
          <w:p w14:paraId="2EF90F1C" w14:textId="77777777" w:rsidR="00CB2E4C" w:rsidRPr="003148B4" w:rsidRDefault="00CB2E4C" w:rsidP="00437B7B">
            <w:pPr>
              <w:spacing w:after="0"/>
              <w:ind w:firstLine="0"/>
            </w:pPr>
            <w:r w:rsidRPr="003148B4">
              <w:t>5.8</w:t>
            </w:r>
          </w:p>
        </w:tc>
        <w:tc>
          <w:tcPr>
            <w:tcW w:w="1012" w:type="dxa"/>
            <w:tcBorders>
              <w:bottom w:val="single" w:sz="4" w:space="0" w:color="auto"/>
            </w:tcBorders>
            <w:shd w:val="clear" w:color="auto" w:fill="F2F2F2" w:themeFill="background1" w:themeFillShade="F2"/>
          </w:tcPr>
          <w:p w14:paraId="23C5793E" w14:textId="77777777" w:rsidR="00CB2E4C" w:rsidRPr="003148B4" w:rsidRDefault="00CB2E4C" w:rsidP="00437B7B">
            <w:pPr>
              <w:spacing w:after="0"/>
              <w:ind w:firstLine="0"/>
            </w:pPr>
            <w:r w:rsidRPr="003148B4">
              <w:t>5.5</w:t>
            </w:r>
          </w:p>
        </w:tc>
        <w:tc>
          <w:tcPr>
            <w:tcW w:w="1012" w:type="dxa"/>
            <w:tcBorders>
              <w:bottom w:val="single" w:sz="4" w:space="0" w:color="auto"/>
            </w:tcBorders>
          </w:tcPr>
          <w:p w14:paraId="69C911B8" w14:textId="77777777" w:rsidR="00CB2E4C" w:rsidRPr="003148B4" w:rsidRDefault="00CB2E4C" w:rsidP="00437B7B">
            <w:pPr>
              <w:spacing w:after="0"/>
              <w:ind w:firstLine="0"/>
            </w:pPr>
            <w:r w:rsidRPr="003148B4">
              <w:t>5.2</w:t>
            </w:r>
          </w:p>
        </w:tc>
      </w:tr>
    </w:tbl>
    <w:p w14:paraId="29C7EF0C" w14:textId="77777777" w:rsidR="00CB2E4C" w:rsidRPr="00132822" w:rsidRDefault="00CB2E4C" w:rsidP="00CB2E4C"/>
    <w:p w14:paraId="347D4804" w14:textId="56681400" w:rsidR="00CB2E4C" w:rsidRPr="00437B7B" w:rsidRDefault="00CB2E4C" w:rsidP="00437B7B">
      <w:pPr>
        <w:ind w:firstLine="720"/>
      </w:pPr>
      <w:r w:rsidRPr="00132822">
        <w:t xml:space="preserve">Ņemot vērā, ka visciešākās ekonomiskās attiecības </w:t>
      </w:r>
      <w:r>
        <w:t xml:space="preserve">Latvijai </w:t>
      </w:r>
      <w:r w:rsidRPr="00132822">
        <w:t xml:space="preserve">ir ar </w:t>
      </w:r>
      <w:r>
        <w:t xml:space="preserve">ES </w:t>
      </w:r>
      <w:r w:rsidRPr="00132822">
        <w:t>valstīm, ekonomiskā attīstība Eiropā tieši ietekmē Latvijas izaugsmes perspektīvas. 2013.</w:t>
      </w:r>
      <w:r w:rsidR="002D5EB9">
        <w:t> </w:t>
      </w:r>
      <w:r w:rsidRPr="00132822">
        <w:t xml:space="preserve">gada trešajā ceturksnī </w:t>
      </w:r>
      <w:r>
        <w:t>ES</w:t>
      </w:r>
      <w:r w:rsidR="000F2A7B">
        <w:t xml:space="preserve"> ekonomika pēc piecu</w:t>
      </w:r>
      <w:r w:rsidRPr="00132822">
        <w:t xml:space="preserve"> ceturkšņu ilgas recesijas atgriezās pie pozitīvas izaugsmes. Lai arī izaugsmes tempi starp Eiropas valstīm saglabājas atšķirīgi, tiek prognozēts, ka atšķirības starp Eiropas valstīm turpmākajos gados turpinās samazināties, līdz ar to kopumā </w:t>
      </w:r>
      <w:r>
        <w:t>ES</w:t>
      </w:r>
      <w:r w:rsidRPr="00132822">
        <w:t xml:space="preserve"> ekonomikas attīstība kļūs sabalansētāka.</w:t>
      </w:r>
    </w:p>
    <w:p w14:paraId="24216272" w14:textId="529A1FC2" w:rsidR="00CB2E4C" w:rsidRPr="00132822" w:rsidRDefault="00CB2E4C" w:rsidP="001A4C59">
      <w:pPr>
        <w:ind w:firstLine="720"/>
      </w:pPr>
      <w:r w:rsidRPr="00132822">
        <w:t xml:space="preserve">Ziņas par pozitīvu </w:t>
      </w:r>
      <w:r>
        <w:t>ES</w:t>
      </w:r>
      <w:r w:rsidRPr="00132822">
        <w:t xml:space="preserve"> izaugsmi lielā mērā ir rezultāts veiksmīgai</w:t>
      </w:r>
      <w:r>
        <w:t xml:space="preserve"> ekonomisko</w:t>
      </w:r>
      <w:r w:rsidRPr="00132822">
        <w:t xml:space="preserve"> korekciju ieviešanai valstīs, kurās iepriekš bija novērojamas lielas nesabalansētība</w:t>
      </w:r>
      <w:r w:rsidR="000F2A7B">
        <w:t>s</w:t>
      </w:r>
      <w:r w:rsidRPr="00132822">
        <w:t xml:space="preserve"> un tika veikti būtiski fiskālās konsolidācijas pasākumi un sāktas strukturālās reformas. Valstis, kurās iepriekš bija novērojams ļoti augsts tekošā konta deficīta līmenis, kas raksturo šo valstu ekonomikas nesabalansētību, ir panākušas būtisku progresu attiecībā uz strukturālo reformu realizāciju un resursu novirzīšanu </w:t>
      </w:r>
      <w:r>
        <w:t xml:space="preserve">uz </w:t>
      </w:r>
      <w:r w:rsidRPr="00132822">
        <w:t>tirgojamo sektoru. Šāda tendence ir labi novērojama Spānijā un Portugālē, kur spēcīga eksporta izaugsme šobrīd ir kļuvusi par izaugsmes virzītāju. Tomēr s</w:t>
      </w:r>
      <w:r>
        <w:t>agaidāms, ka līdz ar pakāpenisku</w:t>
      </w:r>
      <w:r w:rsidRPr="00132822">
        <w:t xml:space="preserve"> situācijas uzlabošanos darba tirgū un reālo ienākumu pieaugumu, ko noteiks zemā inflācija, privātā patēriņa pieaugums kļūs straujāks un līdz ar to izaugsme kļūs sabalansētāka starp iekšējo un ārējo pieprasījumu. Vienlaikus valstīs, kurās ir notikušas straujas ekonomikas korekcijas, bezdarba līmenis </w:t>
      </w:r>
      <w:r>
        <w:t xml:space="preserve">joprojām </w:t>
      </w:r>
      <w:r w:rsidRPr="00132822">
        <w:t>saglabāsies augsts. Ilgstoši saglabājoties augstam bezdarba līmenim, tam ir tendence kļūt par strukturālu, kas savukārt var ietekmēt valstu izaugsmes perspektīvas ilgtermiņā. Šī jautā</w:t>
      </w:r>
      <w:r>
        <w:t>juma risināšanā izšķiroša nozīme</w:t>
      </w:r>
      <w:r w:rsidRPr="00132822">
        <w:t xml:space="preserve"> būs valstu spējai turpināt </w:t>
      </w:r>
      <w:r>
        <w:t>reformu</w:t>
      </w:r>
      <w:r w:rsidRPr="00132822">
        <w:t xml:space="preserve"> īst</w:t>
      </w:r>
      <w:r>
        <w:t>enošanu, tādējādi palīdzot</w:t>
      </w:r>
      <w:r w:rsidRPr="00132822">
        <w:t xml:space="preserve"> novērst </w:t>
      </w:r>
      <w:r w:rsidR="002926A6">
        <w:rPr>
          <w:noProof/>
          <w:lang w:eastAsia="lv-LV"/>
        </w:rPr>
        <w:drawing>
          <wp:anchor distT="0" distB="0" distL="114300" distR="114300" simplePos="0" relativeHeight="251662336" behindDoc="1" locked="0" layoutInCell="1" allowOverlap="1" wp14:anchorId="6803C50E" wp14:editId="00B14200">
            <wp:simplePos x="0" y="0"/>
            <wp:positionH relativeFrom="column">
              <wp:posOffset>189865</wp:posOffset>
            </wp:positionH>
            <wp:positionV relativeFrom="paragraph">
              <wp:posOffset>2197735</wp:posOffset>
            </wp:positionV>
            <wp:extent cx="5337175" cy="2379980"/>
            <wp:effectExtent l="0" t="0" r="15875" b="127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132822">
        <w:t xml:space="preserve">augstu bezdarba līmeni pirms tas kļūst strukturāls. </w:t>
      </w:r>
    </w:p>
    <w:p w14:paraId="0587F0BE" w14:textId="76CF9800" w:rsidR="00CB2E4C" w:rsidRPr="00437B7B" w:rsidRDefault="00CB2E4C" w:rsidP="00437B7B">
      <w:pPr>
        <w:spacing w:before="240"/>
        <w:jc w:val="center"/>
        <w:rPr>
          <w:b/>
          <w:szCs w:val="24"/>
        </w:rPr>
      </w:pPr>
      <w:r w:rsidRPr="00CB2E4C">
        <w:rPr>
          <w:b/>
          <w:szCs w:val="24"/>
        </w:rPr>
        <w:t>2.</w:t>
      </w:r>
      <w:r w:rsidR="00E64B2F">
        <w:rPr>
          <w:b/>
          <w:szCs w:val="24"/>
        </w:rPr>
        <w:t>1</w:t>
      </w:r>
      <w:r w:rsidRPr="00CB2E4C">
        <w:rPr>
          <w:b/>
          <w:szCs w:val="24"/>
        </w:rPr>
        <w:t>.att</w:t>
      </w:r>
      <w:r w:rsidR="00E64B2F">
        <w:rPr>
          <w:b/>
          <w:szCs w:val="24"/>
        </w:rPr>
        <w:t>ēls</w:t>
      </w:r>
      <w:r w:rsidRPr="00CB2E4C">
        <w:rPr>
          <w:b/>
          <w:szCs w:val="24"/>
        </w:rPr>
        <w:t>. IKP pieaugums pret ieprie</w:t>
      </w:r>
      <w:r w:rsidR="00E64B2F">
        <w:rPr>
          <w:b/>
          <w:szCs w:val="24"/>
        </w:rPr>
        <w:t>kšējā gada atbilstošo ceturksni,</w:t>
      </w:r>
      <w:r w:rsidRPr="00CB2E4C">
        <w:rPr>
          <w:b/>
          <w:szCs w:val="24"/>
        </w:rPr>
        <w:t xml:space="preserve"> </w:t>
      </w:r>
      <w:r w:rsidRPr="00CB2E4C">
        <w:rPr>
          <w:b/>
          <w:szCs w:val="24"/>
        </w:rPr>
        <w:br/>
        <w:t>prognozētie gada pieaugumi, %</w:t>
      </w:r>
      <w:r w:rsidRPr="00CB2E4C">
        <w:rPr>
          <w:rStyle w:val="FootnoteReference"/>
          <w:rFonts w:ascii="Times New Roman" w:hAnsi="Times New Roman"/>
          <w:b/>
          <w:sz w:val="24"/>
          <w:szCs w:val="24"/>
        </w:rPr>
        <w:footnoteReference w:id="3"/>
      </w:r>
    </w:p>
    <w:p w14:paraId="4B2B4DF6" w14:textId="74B70E2D" w:rsidR="00CB2E4C" w:rsidRPr="00132822" w:rsidRDefault="00CB2E4C" w:rsidP="00CB2E4C">
      <w:pPr>
        <w:ind w:firstLine="720"/>
      </w:pPr>
      <w:r w:rsidRPr="00132822">
        <w:t>Iepriekšējos gados straujo Latvijas eksporta izaugsmi lielā mērā noteica labvēlīga eksporta tirgu</w:t>
      </w:r>
      <w:r w:rsidR="00E64B2F">
        <w:t>s</w:t>
      </w:r>
      <w:r w:rsidRPr="00132822">
        <w:t xml:space="preserve"> struktūra – </w:t>
      </w:r>
      <w:r w:rsidR="00E64B2F" w:rsidRPr="00132822">
        <w:t>t</w:t>
      </w:r>
      <w:r w:rsidR="00E64B2F">
        <w:t>ās</w:t>
      </w:r>
      <w:r w:rsidR="00E64B2F" w:rsidRPr="00132822">
        <w:t xml:space="preserve"> </w:t>
      </w:r>
      <w:r w:rsidRPr="00132822">
        <w:t xml:space="preserve">izaugsmes tempi bija būtiski augstāki nekā vidēji </w:t>
      </w:r>
      <w:r>
        <w:t>ES</w:t>
      </w:r>
      <w:r w:rsidRPr="00132822">
        <w:t>, kas nodrošināja stabilu pieprasījuma pieaugumu pēc Latvijas eksporta, izskaidrojot Latvijas noturību pret ārējās vides pasliktināšanos. Tomēr pakāpeniski partnervalstu izaugsmes tempi samazinās. Lai arī to izaugsmes tempi saglabājas augstāki nekā vidēji ES, starpība starp Latvijas tirdzniecības partnervalstu un ES vidējo izaugsmi ir samazinājusies. Tādēļ eksporta izaugsm</w:t>
      </w:r>
      <w:r>
        <w:t>es nodrošināšanai un tirgus daļas palielināšanai</w:t>
      </w:r>
      <w:r w:rsidRPr="00132822">
        <w:t xml:space="preserve"> aizvien lielāka nozīme </w:t>
      </w:r>
      <w:r>
        <w:t xml:space="preserve">ir </w:t>
      </w:r>
      <w:r w:rsidRPr="00132822">
        <w:t>Latvi</w:t>
      </w:r>
      <w:r w:rsidR="002D5EB9">
        <w:t>jas konkurētspējas attīstībai.</w:t>
      </w:r>
    </w:p>
    <w:p w14:paraId="504E6E96" w14:textId="282EA877" w:rsidR="00CB2E4C" w:rsidRPr="00132822" w:rsidRDefault="00CB2E4C" w:rsidP="00CB2E4C">
      <w:pPr>
        <w:ind w:firstLine="720"/>
      </w:pPr>
      <w:r w:rsidRPr="00132822">
        <w:t xml:space="preserve">Kā </w:t>
      </w:r>
      <w:r>
        <w:t>liels</w:t>
      </w:r>
      <w:r w:rsidRPr="00132822">
        <w:t xml:space="preserve"> risks </w:t>
      </w:r>
      <w:r>
        <w:t xml:space="preserve">Latvijas izaugsmei </w:t>
      </w:r>
      <w:r w:rsidRPr="00132822">
        <w:t>ir ģeopolitiskās situācijas attīstība Ukrainā</w:t>
      </w:r>
      <w:r>
        <w:t xml:space="preserve"> - Krievijā</w:t>
      </w:r>
      <w:r w:rsidRPr="00132822">
        <w:t>, kas var būtiski ietekmēt Latvijas eksporta izaugsmi. Lai arī Latvijas eksports uz Ukrainu veido vien 0,9% no kopējā preču eksporta, lielākus riskus rada nenoteiktība attiecībā uz sankciju noteikšanu Krievijai,</w:t>
      </w:r>
      <w:r>
        <w:t xml:space="preserve"> jo 11,5% no Latvijas kopējā preču eksporta tika novirzīti uz Krieviju. Ievērojot, ka Krievija ir būtisks tirdzniecības partneris daudzām ES valstīm, šī situācija</w:t>
      </w:r>
      <w:r w:rsidRPr="00132822">
        <w:t xml:space="preserve"> var būtiski pasliktināt </w:t>
      </w:r>
      <w:r>
        <w:t>gan</w:t>
      </w:r>
      <w:r w:rsidRPr="00132822">
        <w:t xml:space="preserve"> Latvijas, gan visas Eiropas attīstības perspektīvas. </w:t>
      </w:r>
    </w:p>
    <w:p w14:paraId="6BF542C3" w14:textId="77777777" w:rsidR="00CB2E4C" w:rsidRPr="001B6A4A" w:rsidRDefault="00CB2E4C" w:rsidP="001B6A4A">
      <w:pPr>
        <w:pStyle w:val="H2"/>
        <w:ind w:left="0" w:firstLine="0"/>
        <w:rPr>
          <w:rFonts w:ascii="Times New Roman" w:hAnsi="Times New Roman"/>
          <w:szCs w:val="32"/>
        </w:rPr>
      </w:pPr>
      <w:r w:rsidRPr="001B6A4A">
        <w:rPr>
          <w:rFonts w:ascii="Times New Roman" w:hAnsi="Times New Roman"/>
          <w:szCs w:val="32"/>
        </w:rPr>
        <w:t>2.2. Pašreizējā ekonomiskā attīstība</w:t>
      </w:r>
    </w:p>
    <w:p w14:paraId="3B0F1D9D" w14:textId="18365221" w:rsidR="00CB2E4C" w:rsidRPr="00132822" w:rsidRDefault="00CB2E4C" w:rsidP="00CB2E4C">
      <w:pPr>
        <w:ind w:firstLine="720"/>
        <w:rPr>
          <w:szCs w:val="24"/>
        </w:rPr>
      </w:pPr>
      <w:r w:rsidRPr="00132822">
        <w:rPr>
          <w:szCs w:val="24"/>
        </w:rPr>
        <w:t>Pēc strukturālo reformu un plašo taupības pasākumu īstenošanas globālās ekonomiskās un finanšu krīzes seku noregulēšanai Latvijā, valsts ekonomika uzrāda iza</w:t>
      </w:r>
      <w:r>
        <w:rPr>
          <w:szCs w:val="24"/>
        </w:rPr>
        <w:t>ugsmi jau trešo gadu pēc kārtas, s</w:t>
      </w:r>
      <w:r w:rsidRPr="00132822">
        <w:rPr>
          <w:szCs w:val="24"/>
        </w:rPr>
        <w:t>asniedzot 5,3% un 5,2% izaugsmi attiecīgi 2011. u</w:t>
      </w:r>
      <w:r w:rsidR="002D5EB9">
        <w:rPr>
          <w:szCs w:val="24"/>
        </w:rPr>
        <w:t>n 2012. </w:t>
      </w:r>
      <w:r>
        <w:rPr>
          <w:szCs w:val="24"/>
        </w:rPr>
        <w:t>gadā. P</w:t>
      </w:r>
      <w:r w:rsidRPr="00132822">
        <w:rPr>
          <w:szCs w:val="24"/>
        </w:rPr>
        <w:t xml:space="preserve">ērn ekonomiskās izaugsmes tempi stabilizējās 4,1% līmenī, kas ir tuvu potenciālajam IKP. Ar šādiem ekonomiskās izaugsmes rādītājiem Latvija ir uzrādījusi straujāko kāpumu </w:t>
      </w:r>
      <w:r>
        <w:rPr>
          <w:szCs w:val="24"/>
        </w:rPr>
        <w:t>ES</w:t>
      </w:r>
      <w:r w:rsidRPr="00132822">
        <w:rPr>
          <w:szCs w:val="24"/>
        </w:rPr>
        <w:t xml:space="preserve"> dalībvalstu vidū.</w:t>
      </w:r>
    </w:p>
    <w:p w14:paraId="4DEFE3BB" w14:textId="496A1C6D" w:rsidR="00CB2E4C" w:rsidRPr="00132822" w:rsidRDefault="002D5EB9" w:rsidP="00CB2E4C">
      <w:pPr>
        <w:ind w:firstLine="720"/>
        <w:rPr>
          <w:szCs w:val="24"/>
        </w:rPr>
      </w:pPr>
      <w:r>
        <w:rPr>
          <w:szCs w:val="24"/>
        </w:rPr>
        <w:t>2011.-2012. </w:t>
      </w:r>
      <w:r w:rsidR="00CB2E4C" w:rsidRPr="00132822">
        <w:rPr>
          <w:szCs w:val="24"/>
        </w:rPr>
        <w:t xml:space="preserve">gada izaugsme lielā mērā balstījās uz panākumiem ārējā tirdzniecībā, jo krīzes novārdzinātās ekonomiskās vides uzlabošanās pasaulē veicināja pieprasījuma pieaugumu arī galvenajās Latvijas partnervalstīs, neskatoties uz t.s.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zonas</w:t>
      </w:r>
      <w:r w:rsidR="00CB2E4C" w:rsidRPr="00132822">
        <w:rPr>
          <w:szCs w:val="24"/>
        </w:rPr>
        <w:t xml:space="preserve"> krīzi. Tas bija svarīgs priekšnosacījums, lai uz eksportu vērstajās nozarēs tiktu kāpināts izlaides apjoms un atgūta konkurētspēja, ļaujot attiecīgajām nozarēm ieņemt lielāku īpatsvaru un nozīmi</w:t>
      </w:r>
      <w:r w:rsidR="00CB2E4C">
        <w:rPr>
          <w:szCs w:val="24"/>
        </w:rPr>
        <w:t xml:space="preserve"> valsts</w:t>
      </w:r>
      <w:r w:rsidR="00726845">
        <w:rPr>
          <w:szCs w:val="24"/>
        </w:rPr>
        <w:t xml:space="preserve"> tautsaimniecības attīstībā. </w:t>
      </w:r>
      <w:r w:rsidR="00CB2E4C" w:rsidRPr="00132822">
        <w:rPr>
          <w:szCs w:val="24"/>
        </w:rPr>
        <w:t>Toties pērnais gads bijis vairāk labvēlīgs vietējo tirgu apkal</w:t>
      </w:r>
      <w:r>
        <w:rPr>
          <w:szCs w:val="24"/>
        </w:rPr>
        <w:t>pojošajiem uzņēmumiem, jo 2013. </w:t>
      </w:r>
      <w:r w:rsidR="00CB2E4C" w:rsidRPr="00132822">
        <w:rPr>
          <w:szCs w:val="24"/>
        </w:rPr>
        <w:t xml:space="preserve">gadā galvenais ekonomiskās izaugsmes dzinējspēks bija privātais patēriņš. </w:t>
      </w:r>
    </w:p>
    <w:p w14:paraId="070052A8" w14:textId="06894265" w:rsidR="00CB2E4C" w:rsidRPr="00132822" w:rsidRDefault="00CB2E4C" w:rsidP="00CB2E4C">
      <w:pPr>
        <w:ind w:firstLine="720"/>
        <w:rPr>
          <w:szCs w:val="24"/>
        </w:rPr>
      </w:pPr>
      <w:r w:rsidRPr="00132822">
        <w:rPr>
          <w:szCs w:val="24"/>
        </w:rPr>
        <w:t xml:space="preserve">Privātā patēriņa noturība </w:t>
      </w:r>
      <w:r>
        <w:rPr>
          <w:szCs w:val="24"/>
        </w:rPr>
        <w:t xml:space="preserve">pērn </w:t>
      </w:r>
      <w:r w:rsidRPr="00132822">
        <w:rPr>
          <w:szCs w:val="24"/>
        </w:rPr>
        <w:t>veicināja uz iekšējo tirgu vērsto nozaru attīstību – būvniecības, tirdzniecības un darījumu ar nekustamo īpašumu ieguldī</w:t>
      </w:r>
      <w:r>
        <w:rPr>
          <w:szCs w:val="24"/>
        </w:rPr>
        <w:t>jums IKP izaugsmē sastādīja 40%. Savukārt</w:t>
      </w:r>
      <w:r w:rsidRPr="00132822">
        <w:rPr>
          <w:szCs w:val="24"/>
        </w:rPr>
        <w:t xml:space="preserve"> apstrādes rūpniecības </w:t>
      </w:r>
      <w:r w:rsidR="002D5EB9">
        <w:rPr>
          <w:szCs w:val="24"/>
        </w:rPr>
        <w:t>pieauguma tempi 2013. </w:t>
      </w:r>
      <w:r>
        <w:rPr>
          <w:szCs w:val="24"/>
        </w:rPr>
        <w:t>gadā piebremzējās, kas bija saistīts</w:t>
      </w:r>
      <w:r w:rsidRPr="00132822">
        <w:rPr>
          <w:szCs w:val="24"/>
        </w:rPr>
        <w:t xml:space="preserve"> ar Latvijā lielākā nozares uzņēmuma AS „Liepājas metalurgs” darbības pārtraukšanu. Toties pārtikas produktu ražošana, kokapstrāde un gatavo metālizstrādājumu ražošana, kuras ir lielākās apstrādes rūpniecības nozares valstī, uzrādīja pozitīvus pieauguma tempus, nodrošinot nozares izaugsmi 0,6% apjomā. Kop</w:t>
      </w:r>
      <w:r w:rsidR="002D5EB9">
        <w:rPr>
          <w:szCs w:val="24"/>
        </w:rPr>
        <w:t>umā 2013. </w:t>
      </w:r>
      <w:r w:rsidRPr="00132822">
        <w:rPr>
          <w:szCs w:val="24"/>
        </w:rPr>
        <w:t>gadā pieaugumu uzrādīja gandrīz visas nozares, izņemot lauksaimniecību, ieguves rūpniecību un siltumapgādi.</w:t>
      </w:r>
    </w:p>
    <w:p w14:paraId="326FA2B7" w14:textId="77B41E82" w:rsidR="00CB2E4C" w:rsidRPr="00132822" w:rsidRDefault="00CB2E4C" w:rsidP="00CB2E4C">
      <w:pPr>
        <w:ind w:firstLine="720"/>
        <w:rPr>
          <w:szCs w:val="24"/>
        </w:rPr>
      </w:pPr>
      <w:r w:rsidRPr="00132822">
        <w:rPr>
          <w:szCs w:val="24"/>
        </w:rPr>
        <w:t xml:space="preserve">Būtiska loma izaugsmes veicināšanā bija arī Kohēzijas politikas pasākumu īstenošanai, </w:t>
      </w:r>
      <w:r>
        <w:rPr>
          <w:szCs w:val="24"/>
        </w:rPr>
        <w:t>2007.-2014.gadam apgūstot</w:t>
      </w:r>
      <w:r w:rsidRPr="00132822">
        <w:rPr>
          <w:szCs w:val="24"/>
        </w:rPr>
        <w:t xml:space="preserve"> 3,3 mljrd. </w:t>
      </w:r>
      <w:proofErr w:type="spellStart"/>
      <w:r w:rsidR="002D5EB9">
        <w:rPr>
          <w:i/>
          <w:szCs w:val="24"/>
        </w:rPr>
        <w:t>euro</w:t>
      </w:r>
      <w:proofErr w:type="spellEnd"/>
      <w:r w:rsidRPr="00132822">
        <w:rPr>
          <w:szCs w:val="24"/>
        </w:rPr>
        <w:t xml:space="preserve"> (2,3 mljrd. </w:t>
      </w:r>
      <w:r w:rsidR="002D5EB9">
        <w:rPr>
          <w:szCs w:val="24"/>
        </w:rPr>
        <w:t>lati</w:t>
      </w:r>
      <w:r w:rsidRPr="00132822">
        <w:rPr>
          <w:szCs w:val="24"/>
        </w:rPr>
        <w:t xml:space="preserve">). ES fondu ietekmes </w:t>
      </w:r>
      <w:proofErr w:type="spellStart"/>
      <w:r w:rsidRPr="00132822">
        <w:rPr>
          <w:szCs w:val="24"/>
        </w:rPr>
        <w:t>izvērtējums</w:t>
      </w:r>
      <w:proofErr w:type="spellEnd"/>
      <w:r w:rsidRPr="00132822">
        <w:rPr>
          <w:szCs w:val="24"/>
        </w:rPr>
        <w:t xml:space="preserve"> rāda, ka Kohēzijas politikas pozitīvā ietekme uz IKP dinamiku 2013.</w:t>
      </w:r>
      <w:r w:rsidR="002D5EB9">
        <w:rPr>
          <w:szCs w:val="24"/>
        </w:rPr>
        <w:t> </w:t>
      </w:r>
      <w:r w:rsidRPr="00132822">
        <w:rPr>
          <w:szCs w:val="24"/>
        </w:rPr>
        <w:t>gadā sasniedz</w:t>
      </w:r>
      <w:r>
        <w:rPr>
          <w:szCs w:val="24"/>
        </w:rPr>
        <w:t>a</w:t>
      </w:r>
      <w:r w:rsidRPr="00132822">
        <w:rPr>
          <w:szCs w:val="24"/>
        </w:rPr>
        <w:t xml:space="preserve"> 1,5 procentpunktus. Nozaru griezumā vislielākā ES fondu stimulējošā ietekme 2013.</w:t>
      </w:r>
      <w:r w:rsidR="002D5EB9">
        <w:rPr>
          <w:szCs w:val="24"/>
        </w:rPr>
        <w:t> </w:t>
      </w:r>
      <w:r w:rsidRPr="00132822">
        <w:rPr>
          <w:szCs w:val="24"/>
        </w:rPr>
        <w:t xml:space="preserve">gadā bija būvniecībā, palielinot nozares pievienotās vērtības pieauguma tempu par 3,4 procentpunktiem. Šī ievērojamā ES fondu ietekme uz būvniecību ir skaidrojama ar to, ka </w:t>
      </w:r>
      <w:proofErr w:type="spellStart"/>
      <w:r w:rsidRPr="00132822">
        <w:rPr>
          <w:szCs w:val="24"/>
        </w:rPr>
        <w:t>pēckrīzes</w:t>
      </w:r>
      <w:proofErr w:type="spellEnd"/>
      <w:r w:rsidRPr="00132822">
        <w:rPr>
          <w:szCs w:val="24"/>
        </w:rPr>
        <w:t xml:space="preserve"> periodā būvniecības nozarē realizētos projektus lielā mērā ir nodrošinājuši tieši ES fondu finansētie inženierbūvju un sabiedriskā sektora ēku būvniecības un renovācijas darbu pasūtījumi. Būtiska Kohēzijas politikas ietekme novērota arī rūpniecībā – 2,3 procentpunkti gadā. Nozares ietvaros tautsaimniecības attīstību īpaši veicināja ievērojamās investīcijas inovatīvos rūpniecības uzņēmumos.</w:t>
      </w:r>
    </w:p>
    <w:p w14:paraId="7FC21C58" w14:textId="63B9B415" w:rsidR="00CB2E4C" w:rsidRPr="00132822" w:rsidRDefault="00CB2E4C" w:rsidP="00CB2E4C">
      <w:pPr>
        <w:ind w:firstLine="720"/>
        <w:rPr>
          <w:szCs w:val="24"/>
        </w:rPr>
      </w:pPr>
      <w:r w:rsidRPr="00132822">
        <w:rPr>
          <w:szCs w:val="24"/>
        </w:rPr>
        <w:t>Vērtējot IKP no izlietojuma puses, privātā patēriņa kāpumu 5,4% apjomā sekmēja iekšzemes pieprasījuma pieaugums, ko nodrošināja uzlabojumi darba tirgū un algu kāpums. Uz 2012.</w:t>
      </w:r>
      <w:r w:rsidR="002D5EB9">
        <w:rPr>
          <w:szCs w:val="24"/>
        </w:rPr>
        <w:t> </w:t>
      </w:r>
      <w:r w:rsidRPr="00132822">
        <w:rPr>
          <w:szCs w:val="24"/>
        </w:rPr>
        <w:t xml:space="preserve">gada budžeta izdevumu samazinājuma fona pērn būtisku devumu IKP pieaugumā sniedza arī sabiedriskais patēriņš, </w:t>
      </w:r>
      <w:r>
        <w:rPr>
          <w:szCs w:val="24"/>
        </w:rPr>
        <w:t>pieaugot par</w:t>
      </w:r>
      <w:r w:rsidRPr="00132822">
        <w:rPr>
          <w:szCs w:val="24"/>
        </w:rPr>
        <w:t xml:space="preserve"> 3,6%. Savukārt zemākus pieauguma tempus uzrādīja eksp</w:t>
      </w:r>
      <w:r>
        <w:rPr>
          <w:szCs w:val="24"/>
        </w:rPr>
        <w:t>orts, ko ietekmēja galvenokārt</w:t>
      </w:r>
      <w:r w:rsidRPr="00132822">
        <w:rPr>
          <w:szCs w:val="24"/>
        </w:rPr>
        <w:t xml:space="preserve"> augstais bāzes efekts, kā arī AS „Liepājas metalurgs” ražošanas pārtraukšana, kas ievērojami samazināja metāla un to izstrādājumu eksportu. Vienlaikus jāatzīmē, ka kokapstrādes eksporta vērtība </w:t>
      </w:r>
      <w:r>
        <w:rPr>
          <w:szCs w:val="24"/>
        </w:rPr>
        <w:t>palielinājās</w:t>
      </w:r>
      <w:r w:rsidRPr="00132822">
        <w:rPr>
          <w:szCs w:val="24"/>
        </w:rPr>
        <w:t xml:space="preserve"> par 10,1%, bet pārtikas un lauksaimniecības nozares noturējās 2012.</w:t>
      </w:r>
      <w:r w:rsidR="002D5EB9">
        <w:rPr>
          <w:szCs w:val="24"/>
        </w:rPr>
        <w:t> </w:t>
      </w:r>
      <w:r w:rsidRPr="00132822">
        <w:rPr>
          <w:szCs w:val="24"/>
        </w:rPr>
        <w:t xml:space="preserve">gada līmenī. Turklāt negatīvais pieaugums preču un pakalpojumu </w:t>
      </w:r>
      <w:r>
        <w:rPr>
          <w:szCs w:val="24"/>
        </w:rPr>
        <w:t>importā garantēja to, ka pērnajā gadā</w:t>
      </w:r>
      <w:r w:rsidRPr="007F3EBB">
        <w:t xml:space="preserve"> </w:t>
      </w:r>
      <w:r w:rsidRPr="00132822">
        <w:t xml:space="preserve">ārējās tirdzniecības deficīts samazinājās līdz </w:t>
      </w:r>
      <w:r>
        <w:t>9,0% no IKP</w:t>
      </w:r>
      <w:r w:rsidRPr="00132822">
        <w:rPr>
          <w:szCs w:val="24"/>
        </w:rPr>
        <w:t>. Importa samazinājums skaidrojams arī ar investīciju kritumu, 2013.</w:t>
      </w:r>
      <w:r w:rsidR="002D5EB9">
        <w:rPr>
          <w:szCs w:val="24"/>
        </w:rPr>
        <w:t> </w:t>
      </w:r>
      <w:r w:rsidRPr="00132822">
        <w:rPr>
          <w:szCs w:val="24"/>
        </w:rPr>
        <w:t>gadā ieguldījumiem pamatkapitālā sarūkot par 4,3%. Taču attiecībā uz nākotnes perspektīvām, ir pamatoti uzskatīt, ka ekonomika pakāpeniski pārorientēsies no privātā patēriņa uz sabalansētu izaugsmi, kur arvien lielāku lomu izaugsmē sniegs eksports un investīciju aktivitāte</w:t>
      </w:r>
      <w:r>
        <w:rPr>
          <w:szCs w:val="24"/>
        </w:rPr>
        <w:t>s pieaugums</w:t>
      </w:r>
      <w:r w:rsidRPr="00132822">
        <w:rPr>
          <w:szCs w:val="24"/>
        </w:rPr>
        <w:t>.</w:t>
      </w:r>
    </w:p>
    <w:p w14:paraId="54C66250" w14:textId="5D2F4FC9" w:rsidR="00CB2E4C" w:rsidRPr="00132822" w:rsidRDefault="00CB2E4C" w:rsidP="00CB2E4C">
      <w:pPr>
        <w:ind w:firstLine="720"/>
        <w:rPr>
          <w:szCs w:val="24"/>
        </w:rPr>
      </w:pPr>
      <w:r w:rsidRPr="00132822">
        <w:rPr>
          <w:szCs w:val="24"/>
        </w:rPr>
        <w:t>Jāatzīmē, ka ES fondu projektu realizācija ir sekmējusi vidējās reālās darba samaksas palielināšanos – 2013.</w:t>
      </w:r>
      <w:r w:rsidR="002D5EB9">
        <w:rPr>
          <w:szCs w:val="24"/>
        </w:rPr>
        <w:t> </w:t>
      </w:r>
      <w:r w:rsidRPr="00132822">
        <w:rPr>
          <w:szCs w:val="24"/>
        </w:rPr>
        <w:t xml:space="preserve">gadā par 1,7 procentpunktiem, tādējādi veicinot privātā patēriņa pieauguma tempa  kāpumu par 1,2 procentpunktiem gadā. Privātā patēriņa pieaugums un pieprasījums pēc ārvalstu investīciju precēm (izejvielas, būvmateriāli utt.) attiecīgi arī </w:t>
      </w:r>
      <w:r w:rsidR="00205F98">
        <w:rPr>
          <w:szCs w:val="24"/>
        </w:rPr>
        <w:t xml:space="preserve">palielinājis importu </w:t>
      </w:r>
      <w:r w:rsidRPr="00132822">
        <w:rPr>
          <w:szCs w:val="24"/>
        </w:rPr>
        <w:t>par 1,9 procentpunktiem gadā. Turpretī ES fondu loma eksporta veicināšanā nav bijusi liela, kas skaidrojams ar ES fondu līdzfinansēt</w:t>
      </w:r>
      <w:r>
        <w:rPr>
          <w:szCs w:val="24"/>
        </w:rPr>
        <w:t>o projektu virzību, galvenokārt</w:t>
      </w:r>
      <w:r w:rsidRPr="00132822">
        <w:rPr>
          <w:szCs w:val="24"/>
        </w:rPr>
        <w:t xml:space="preserve"> uz infrastruktūras uzlabošanu. Kohēzijas politikas pasākumi nodrošinājuši preču un pakalpojumu eksporta apjomu pieauguma tempu palielināšanos 2013.</w:t>
      </w:r>
      <w:r w:rsidR="002D5EB9">
        <w:rPr>
          <w:szCs w:val="24"/>
        </w:rPr>
        <w:t> </w:t>
      </w:r>
      <w:r w:rsidRPr="00132822">
        <w:rPr>
          <w:szCs w:val="24"/>
        </w:rPr>
        <w:t xml:space="preserve">gadā par 0,6 procentpunktiem. </w:t>
      </w:r>
    </w:p>
    <w:p w14:paraId="59B68B20" w14:textId="0122E14C" w:rsidR="00CB2E4C" w:rsidRPr="00132822" w:rsidRDefault="00CB2E4C" w:rsidP="00CB2E4C">
      <w:pPr>
        <w:ind w:firstLine="720"/>
        <w:rPr>
          <w:szCs w:val="24"/>
        </w:rPr>
      </w:pPr>
      <w:r w:rsidRPr="00132822">
        <w:rPr>
          <w:szCs w:val="24"/>
        </w:rPr>
        <w:t xml:space="preserve">Līdz ar pagājušajā gadā uzrādīto stabilo ekonomikas izaugsmi turpina uzlaboties arī situācija darba tirgū, tautsaimniecībā nodarbināto iedzīvotāju skaitam 2013. gadā pieaugot līdz 893,9 tūkstošiem, kas ir par 2,1% vairāk nekā pirms gada. Savukārt darba meklētāju īpatsvars atbilstoši darbaspēka </w:t>
      </w:r>
      <w:proofErr w:type="spellStart"/>
      <w:r w:rsidRPr="00132822">
        <w:rPr>
          <w:szCs w:val="24"/>
        </w:rPr>
        <w:t>apsekojuma</w:t>
      </w:r>
      <w:proofErr w:type="spellEnd"/>
      <w:r w:rsidRPr="00132822">
        <w:rPr>
          <w:szCs w:val="24"/>
        </w:rPr>
        <w:t xml:space="preserve"> datiem</w:t>
      </w:r>
      <w:r w:rsidRPr="00132822">
        <w:rPr>
          <w:spacing w:val="-4"/>
          <w:szCs w:val="24"/>
        </w:rPr>
        <w:t xml:space="preserve"> </w:t>
      </w:r>
      <w:r w:rsidRPr="00132822">
        <w:rPr>
          <w:szCs w:val="24"/>
        </w:rPr>
        <w:t>gada laikā saruka par 3,1 procentpunktiem, veidojot 11,9% no ekonom</w:t>
      </w:r>
      <w:r>
        <w:rPr>
          <w:szCs w:val="24"/>
        </w:rPr>
        <w:t>iski aktīvajiem iedzīvotājiem, k</w:t>
      </w:r>
      <w:r w:rsidRPr="00132822">
        <w:rPr>
          <w:szCs w:val="24"/>
        </w:rPr>
        <w:t>as ir zemākais līmenis kopš 2008. gada.</w:t>
      </w:r>
      <w:r w:rsidRPr="00132822">
        <w:rPr>
          <w:spacing w:val="-4"/>
          <w:szCs w:val="24"/>
        </w:rPr>
        <w:t xml:space="preserve"> </w:t>
      </w:r>
      <w:r w:rsidRPr="00132822">
        <w:rPr>
          <w:szCs w:val="24"/>
        </w:rPr>
        <w:t>Gada laikā turpināja samazināties arī reģistrētā bezdarba līmenis, 2013.</w:t>
      </w:r>
      <w:r w:rsidR="002D5EB9">
        <w:rPr>
          <w:szCs w:val="24"/>
        </w:rPr>
        <w:t> </w:t>
      </w:r>
      <w:r w:rsidRPr="00132822">
        <w:rPr>
          <w:szCs w:val="24"/>
        </w:rPr>
        <w:t>gada decembra beigās noslīdot līdz 9,5% no ekonomiski aktīvajiem iedzīvotājiem, kas ir par 1 procentpunktu mazāk nekā 2012.</w:t>
      </w:r>
      <w:r w:rsidR="002D5EB9">
        <w:rPr>
          <w:szCs w:val="24"/>
        </w:rPr>
        <w:t> </w:t>
      </w:r>
      <w:r w:rsidRPr="00132822">
        <w:rPr>
          <w:szCs w:val="24"/>
        </w:rPr>
        <w:t>gada nogalē. Tomēr nedaudz ilgākā termiņā problēmas var radīt negatīvā iedzīvotāju skaita dinamika un sagaidāmais darbspējas vecuma iedzīvotāju skaita kritums, līdz ar to ekonomikas izaugsmei nākamajos gados būs jārēķinās pārsvarā tikai ar produktivitātes kāpumu, nevis strādājošo skaita pieaugumu. Pozitīva ietekme uz nodarbinātības dinamiku bijusi ES fondu investīcijām – 2013.</w:t>
      </w:r>
      <w:r w:rsidR="002D5EB9">
        <w:rPr>
          <w:szCs w:val="24"/>
        </w:rPr>
        <w:t> </w:t>
      </w:r>
      <w:r w:rsidRPr="00132822">
        <w:rPr>
          <w:szCs w:val="24"/>
        </w:rPr>
        <w:t>gadā ES fondu projektu ieviešana palielinājusi nodarbināto skaita pieauguma tempu vidēji par 0,4 procentpunktiem.</w:t>
      </w:r>
    </w:p>
    <w:p w14:paraId="4B043253" w14:textId="3544B1C8" w:rsidR="00CB2E4C" w:rsidRPr="00132822" w:rsidRDefault="00CB2E4C" w:rsidP="00CB2E4C">
      <w:pPr>
        <w:ind w:firstLine="720"/>
        <w:rPr>
          <w:szCs w:val="24"/>
        </w:rPr>
      </w:pPr>
      <w:r w:rsidRPr="00132822">
        <w:rPr>
          <w:szCs w:val="24"/>
        </w:rPr>
        <w:t>Stabilie ekonomikas izaugsmes tempi nodrošinājuši arī zemus inflācijas rādītājus, patēriņa cenām vidēji 2013.</w:t>
      </w:r>
      <w:r w:rsidR="002D5EB9">
        <w:rPr>
          <w:szCs w:val="24"/>
        </w:rPr>
        <w:t> </w:t>
      </w:r>
      <w:r w:rsidRPr="00132822">
        <w:rPr>
          <w:szCs w:val="24"/>
        </w:rPr>
        <w:t>gadā saglabājoties 2012.</w:t>
      </w:r>
      <w:r w:rsidR="002D5EB9">
        <w:rPr>
          <w:szCs w:val="24"/>
        </w:rPr>
        <w:t> </w:t>
      </w:r>
      <w:r w:rsidRPr="00132822">
        <w:rPr>
          <w:szCs w:val="24"/>
        </w:rPr>
        <w:t xml:space="preserve">gada līmenī. Savukārt gada inflācijai bijusi </w:t>
      </w:r>
      <w:proofErr w:type="spellStart"/>
      <w:r w:rsidRPr="00132822">
        <w:rPr>
          <w:szCs w:val="24"/>
        </w:rPr>
        <w:t>lejupslīdoša</w:t>
      </w:r>
      <w:proofErr w:type="spellEnd"/>
      <w:r w:rsidRPr="00132822">
        <w:rPr>
          <w:szCs w:val="24"/>
        </w:rPr>
        <w:t xml:space="preserve"> tendence – no 0,6% 2013.gada janvārī samazinoties līdz -0,4% 2013.</w:t>
      </w:r>
      <w:r w:rsidR="002D5EB9">
        <w:rPr>
          <w:szCs w:val="24"/>
        </w:rPr>
        <w:t> </w:t>
      </w:r>
      <w:r w:rsidRPr="00132822">
        <w:rPr>
          <w:szCs w:val="24"/>
        </w:rPr>
        <w:t>gada decembrī. Līdzīgi kā 2012.</w:t>
      </w:r>
      <w:r w:rsidR="002D5EB9">
        <w:t> </w:t>
      </w:r>
      <w:r w:rsidRPr="00132822">
        <w:rPr>
          <w:szCs w:val="24"/>
        </w:rPr>
        <w:t>gadā, arī pērn pamatinflācija ir palikusi nemainīgi zema. Taču cenu svārstības vēl arvien turpina noteikt ārējie procesi jeb impor</w:t>
      </w:r>
      <w:r>
        <w:rPr>
          <w:szCs w:val="24"/>
        </w:rPr>
        <w:t>tētā inflācija, ko galvenokārt</w:t>
      </w:r>
      <w:r w:rsidRPr="00132822">
        <w:rPr>
          <w:szCs w:val="24"/>
        </w:rPr>
        <w:t xml:space="preserve"> sastāda energoresursu un neapstrādātās pārtikas cenu dinamika pasaules tirgos, šobrīd kustībai notiekot pretējos virzienos. </w:t>
      </w:r>
    </w:p>
    <w:p w14:paraId="6A951F08" w14:textId="2101A3E4" w:rsidR="00CB2E4C" w:rsidRPr="00132822" w:rsidRDefault="00CB2E4C" w:rsidP="00CB2E4C">
      <w:pPr>
        <w:ind w:firstLine="720"/>
        <w:rPr>
          <w:szCs w:val="24"/>
        </w:rPr>
      </w:pPr>
      <w:r w:rsidRPr="00132822">
        <w:rPr>
          <w:szCs w:val="24"/>
        </w:rPr>
        <w:t xml:space="preserve">Latvijas ekonomikai pērnais gads ir bijis lielu izaicinājumu un pārmaiņu laiks ne tikai saistībā ar valstī lielākā ražošanas uzņēmuma darbības pārtraukšanu, kas negatīvi ietekmēja daudzas jomas un nozares. Svarīgi, ka Latvija, noturot zemas un stabilas cenas un valūtas kursu, kā arī izpildot pārējos Māstrihtas kritērijus </w:t>
      </w:r>
      <w:proofErr w:type="spellStart"/>
      <w:r w:rsidR="00726845">
        <w:rPr>
          <w:i/>
          <w:szCs w:val="24"/>
        </w:rPr>
        <w:t>euro</w:t>
      </w:r>
      <w:proofErr w:type="spellEnd"/>
      <w:r w:rsidRPr="00132822">
        <w:rPr>
          <w:szCs w:val="24"/>
        </w:rPr>
        <w:t xml:space="preserve"> ieviešanai, 2014.</w:t>
      </w:r>
      <w:r w:rsidR="002D5EB9">
        <w:rPr>
          <w:szCs w:val="24"/>
        </w:rPr>
        <w:t> </w:t>
      </w:r>
      <w:r w:rsidRPr="00132822">
        <w:rPr>
          <w:szCs w:val="24"/>
        </w:rPr>
        <w:t>gada 1.</w:t>
      </w:r>
      <w:r w:rsidR="002D5EB9">
        <w:rPr>
          <w:szCs w:val="24"/>
        </w:rPr>
        <w:t> </w:t>
      </w:r>
      <w:r w:rsidRPr="00132822">
        <w:rPr>
          <w:szCs w:val="24"/>
        </w:rPr>
        <w:t xml:space="preserve">janvārī ir pievienojusies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zonai</w:t>
      </w:r>
      <w:r w:rsidRPr="00132822">
        <w:rPr>
          <w:szCs w:val="24"/>
        </w:rPr>
        <w:t xml:space="preserve">. Tas, savukārt, </w:t>
      </w:r>
      <w:r>
        <w:rPr>
          <w:szCs w:val="24"/>
        </w:rPr>
        <w:t>paver</w:t>
      </w:r>
      <w:r w:rsidRPr="00132822">
        <w:rPr>
          <w:szCs w:val="24"/>
        </w:rPr>
        <w:t xml:space="preserve"> jaunas iespējas un perspektīvas </w:t>
      </w:r>
      <w:r>
        <w:rPr>
          <w:szCs w:val="24"/>
        </w:rPr>
        <w:t>gan</w:t>
      </w:r>
      <w:r w:rsidRPr="00132822">
        <w:rPr>
          <w:szCs w:val="24"/>
        </w:rPr>
        <w:t xml:space="preserve"> vietējiem uzņēmumiem, </w:t>
      </w:r>
      <w:r>
        <w:rPr>
          <w:szCs w:val="24"/>
        </w:rPr>
        <w:t>gan</w:t>
      </w:r>
      <w:r w:rsidRPr="00132822">
        <w:rPr>
          <w:szCs w:val="24"/>
        </w:rPr>
        <w:t xml:space="preserve"> Latvijas ekonomikai kopumā.</w:t>
      </w:r>
    </w:p>
    <w:p w14:paraId="03AC8F16" w14:textId="77777777" w:rsidR="00CB2E4C" w:rsidRPr="001B6A4A" w:rsidRDefault="00CB2E4C" w:rsidP="001B6A4A">
      <w:pPr>
        <w:pStyle w:val="H2"/>
        <w:ind w:left="0" w:firstLine="0"/>
        <w:rPr>
          <w:rFonts w:ascii="Times New Roman" w:hAnsi="Times New Roman"/>
          <w:szCs w:val="32"/>
        </w:rPr>
      </w:pPr>
      <w:bookmarkStart w:id="10" w:name="_Toc385517810"/>
      <w:r w:rsidRPr="001B6A4A">
        <w:rPr>
          <w:rFonts w:ascii="Times New Roman" w:hAnsi="Times New Roman"/>
          <w:szCs w:val="32"/>
        </w:rPr>
        <w:t>2.3. Makroekonomiskās attīstības scenārijs</w:t>
      </w:r>
      <w:bookmarkEnd w:id="10"/>
    </w:p>
    <w:p w14:paraId="0DF9DF97" w14:textId="7E1A1648" w:rsidR="00CB2E4C" w:rsidRPr="00132822" w:rsidRDefault="00CB2E4C" w:rsidP="00CB2E4C">
      <w:pPr>
        <w:ind w:firstLine="720"/>
      </w:pPr>
      <w:r w:rsidRPr="00132822">
        <w:t>Vidēja termiņa makroekonomiskais scenārijs izstrādāts 2014.</w:t>
      </w:r>
      <w:r w:rsidR="002D5EB9">
        <w:t> </w:t>
      </w:r>
      <w:r w:rsidRPr="00132822">
        <w:t xml:space="preserve">gada februārī un </w:t>
      </w:r>
      <w:r>
        <w:t>koriģēts 2014.</w:t>
      </w:r>
      <w:r w:rsidR="002D5EB9">
        <w:t> </w:t>
      </w:r>
      <w:r>
        <w:t>gada aprīlī. Scenārijā ņemts vērā</w:t>
      </w:r>
      <w:r w:rsidRPr="00132822">
        <w:t xml:space="preserve"> Ministru kabineta </w:t>
      </w:r>
      <w:r>
        <w:t>lēmums</w:t>
      </w:r>
      <w:r w:rsidRPr="00132822">
        <w:t xml:space="preserve"> atlikt elektroenerģijas tirgus liberalizāciju līdz 2015.</w:t>
      </w:r>
      <w:r w:rsidR="002D5EB9">
        <w:t> </w:t>
      </w:r>
      <w:r w:rsidRPr="00132822">
        <w:t>gada 1.</w:t>
      </w:r>
      <w:r w:rsidR="002D5EB9">
        <w:t> </w:t>
      </w:r>
      <w:r w:rsidRPr="00132822">
        <w:t>janvārim. Makroekonomiskās attīstības scenārijs izstrādāts konsultējoties ar Ekonomikas ministrijas, Latvijas Bankas un komercbanku ekspertiem, kā arī starptautiskajiem partneriem</w:t>
      </w:r>
      <w:r>
        <w:t xml:space="preserve"> –</w:t>
      </w:r>
      <w:r w:rsidR="00726845">
        <w:t xml:space="preserve"> </w:t>
      </w:r>
      <w:r w:rsidR="00F82AFD">
        <w:t>EK</w:t>
      </w:r>
      <w:r>
        <w:t xml:space="preserve"> un SVF</w:t>
      </w:r>
      <w:r w:rsidRPr="00132822">
        <w:t>. Scenārijs veidots</w:t>
      </w:r>
      <w:r>
        <w:t>, balstoties</w:t>
      </w:r>
      <w:r w:rsidRPr="00132822">
        <w:t xml:space="preserve"> uz konservatīviem pieņēmumi</w:t>
      </w:r>
      <w:r>
        <w:t>em,</w:t>
      </w:r>
      <w:r w:rsidRPr="00132822">
        <w:t xml:space="preserve"> un tajā izmantoti </w:t>
      </w:r>
      <w:r>
        <w:t>EK</w:t>
      </w:r>
      <w:r w:rsidRPr="00132822">
        <w:t xml:space="preserve"> ziemas </w:t>
      </w:r>
      <w:r>
        <w:t xml:space="preserve">makroekonomisko </w:t>
      </w:r>
      <w:r w:rsidRPr="00132822">
        <w:t>prognožu</w:t>
      </w:r>
      <w:r>
        <w:t xml:space="preserve"> dati</w:t>
      </w:r>
      <w:r w:rsidRPr="00132822">
        <w:t>.</w:t>
      </w:r>
    </w:p>
    <w:p w14:paraId="415BE5CF" w14:textId="56F92051" w:rsidR="00D93B48" w:rsidRPr="00132822" w:rsidRDefault="00CB2E4C" w:rsidP="00CB2E4C">
      <w:pPr>
        <w:ind w:firstLine="720"/>
      </w:pPr>
      <w:r>
        <w:t>M</w:t>
      </w:r>
      <w:r w:rsidRPr="00132822">
        <w:t>akroekonomiskais scenārijs paredz</w:t>
      </w:r>
      <w:r>
        <w:t xml:space="preserve">, ka </w:t>
      </w:r>
      <w:r w:rsidRPr="00132822">
        <w:t xml:space="preserve">vidējā termiņā ekonomiskā izaugsme būs līdzvērtīga ar potenciālo izaugsmi 4,0% apmērā. </w:t>
      </w:r>
    </w:p>
    <w:p w14:paraId="094E48A6" w14:textId="59ABC75F" w:rsidR="00CB2E4C" w:rsidRPr="00CB2E4C" w:rsidRDefault="00CB2E4C" w:rsidP="00CB2E4C">
      <w:pPr>
        <w:jc w:val="right"/>
        <w:rPr>
          <w:b/>
        </w:rPr>
      </w:pPr>
      <w:r w:rsidRPr="00CB2E4C">
        <w:rPr>
          <w:b/>
          <w:color w:val="000000"/>
        </w:rPr>
        <w:t>2.</w:t>
      </w:r>
      <w:r w:rsidR="00E64B2F">
        <w:rPr>
          <w:b/>
          <w:color w:val="000000"/>
        </w:rPr>
        <w:t>2</w:t>
      </w:r>
      <w:r w:rsidRPr="00CB2E4C">
        <w:rPr>
          <w:b/>
          <w:color w:val="000000"/>
        </w:rPr>
        <w:t>. tabula</w:t>
      </w:r>
      <w:r w:rsidR="00E64B2F">
        <w:rPr>
          <w:b/>
          <w:color w:val="000000"/>
        </w:rPr>
        <w:t>.</w:t>
      </w:r>
      <w:r w:rsidRPr="00CB2E4C">
        <w:rPr>
          <w:b/>
          <w:color w:val="000000"/>
        </w:rPr>
        <w:t xml:space="preserve"> Izaugsme un ar to saistītie faktori</w:t>
      </w:r>
    </w:p>
    <w:tbl>
      <w:tblPr>
        <w:tblW w:w="92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56"/>
        <w:gridCol w:w="1037"/>
        <w:gridCol w:w="1037"/>
        <w:gridCol w:w="741"/>
        <w:gridCol w:w="741"/>
        <w:gridCol w:w="741"/>
        <w:gridCol w:w="741"/>
        <w:gridCol w:w="971"/>
      </w:tblGrid>
      <w:tr w:rsidR="00CB2E4C" w:rsidRPr="004F5055" w14:paraId="25B23EA4" w14:textId="77777777" w:rsidTr="00926426">
        <w:trPr>
          <w:tblHeader/>
          <w:jc w:val="center"/>
        </w:trPr>
        <w:tc>
          <w:tcPr>
            <w:tcW w:w="3256" w:type="dxa"/>
          </w:tcPr>
          <w:p w14:paraId="1B45C4D9" w14:textId="77777777" w:rsidR="00CB2E4C" w:rsidRPr="000F1CF5" w:rsidRDefault="00CB2E4C" w:rsidP="00D93B48">
            <w:pPr>
              <w:spacing w:after="0"/>
              <w:ind w:hanging="28"/>
              <w:rPr>
                <w:color w:val="000000"/>
              </w:rPr>
            </w:pPr>
          </w:p>
        </w:tc>
        <w:tc>
          <w:tcPr>
            <w:tcW w:w="1037" w:type="dxa"/>
          </w:tcPr>
          <w:p w14:paraId="5E9D89AE" w14:textId="77777777" w:rsidR="00CB2E4C" w:rsidRPr="000F1CF5" w:rsidRDefault="00CB2E4C" w:rsidP="00D93B48">
            <w:pPr>
              <w:spacing w:after="0"/>
              <w:ind w:hanging="28"/>
              <w:rPr>
                <w:color w:val="000000"/>
              </w:rPr>
            </w:pPr>
            <w:r w:rsidRPr="004D0B40">
              <w:rPr>
                <w:rFonts w:eastAsiaTheme="minorHAnsi" w:cstheme="minorBidi"/>
                <w:color w:val="000000"/>
                <w:sz w:val="20"/>
                <w:szCs w:val="22"/>
              </w:rPr>
              <w:t>EKS</w:t>
            </w:r>
          </w:p>
          <w:p w14:paraId="5CB7B1AD" w14:textId="77777777" w:rsidR="00CB2E4C" w:rsidRPr="000F1CF5" w:rsidRDefault="00CB2E4C" w:rsidP="00D93B48">
            <w:pPr>
              <w:spacing w:after="0"/>
              <w:ind w:hanging="28"/>
              <w:rPr>
                <w:color w:val="000000"/>
              </w:rPr>
            </w:pPr>
            <w:r w:rsidRPr="004D0B40">
              <w:rPr>
                <w:rFonts w:eastAsiaTheme="minorHAnsi" w:cstheme="minorBidi"/>
                <w:color w:val="000000"/>
                <w:sz w:val="20"/>
                <w:szCs w:val="22"/>
              </w:rPr>
              <w:t>Kods</w:t>
            </w:r>
          </w:p>
        </w:tc>
        <w:tc>
          <w:tcPr>
            <w:tcW w:w="1037" w:type="dxa"/>
            <w:vAlign w:val="center"/>
          </w:tcPr>
          <w:p w14:paraId="0E280F0B"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2013</w:t>
            </w:r>
          </w:p>
        </w:tc>
        <w:tc>
          <w:tcPr>
            <w:tcW w:w="741" w:type="dxa"/>
            <w:vAlign w:val="center"/>
          </w:tcPr>
          <w:p w14:paraId="31D5E0A1"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2013</w:t>
            </w:r>
          </w:p>
        </w:tc>
        <w:tc>
          <w:tcPr>
            <w:tcW w:w="741" w:type="dxa"/>
            <w:vAlign w:val="center"/>
          </w:tcPr>
          <w:p w14:paraId="75174CD6"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2014</w:t>
            </w:r>
          </w:p>
        </w:tc>
        <w:tc>
          <w:tcPr>
            <w:tcW w:w="741" w:type="dxa"/>
            <w:vAlign w:val="center"/>
          </w:tcPr>
          <w:p w14:paraId="19EBB178"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2015</w:t>
            </w:r>
          </w:p>
        </w:tc>
        <w:tc>
          <w:tcPr>
            <w:tcW w:w="741" w:type="dxa"/>
            <w:vAlign w:val="center"/>
          </w:tcPr>
          <w:p w14:paraId="020408A9"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2016</w:t>
            </w:r>
          </w:p>
        </w:tc>
        <w:tc>
          <w:tcPr>
            <w:tcW w:w="971" w:type="dxa"/>
            <w:vAlign w:val="center"/>
          </w:tcPr>
          <w:p w14:paraId="6FCCFA7B" w14:textId="77777777" w:rsidR="00CB2E4C" w:rsidRPr="004D0B40" w:rsidRDefault="00CB2E4C" w:rsidP="00D93B48">
            <w:pPr>
              <w:spacing w:after="0"/>
              <w:ind w:hanging="28"/>
              <w:rPr>
                <w:rFonts w:eastAsiaTheme="minorHAnsi" w:cstheme="minorBidi"/>
                <w:color w:val="000000"/>
                <w:szCs w:val="22"/>
              </w:rPr>
            </w:pPr>
            <w:r w:rsidRPr="004D0B40">
              <w:rPr>
                <w:rFonts w:eastAsiaTheme="minorHAnsi" w:cstheme="minorBidi"/>
                <w:color w:val="000000"/>
                <w:sz w:val="20"/>
                <w:szCs w:val="22"/>
              </w:rPr>
              <w:t>2017</w:t>
            </w:r>
          </w:p>
        </w:tc>
      </w:tr>
      <w:tr w:rsidR="00CB2E4C" w:rsidRPr="004F5055" w14:paraId="5F3C0A1D" w14:textId="77777777" w:rsidTr="00926426">
        <w:trPr>
          <w:jc w:val="center"/>
        </w:trPr>
        <w:tc>
          <w:tcPr>
            <w:tcW w:w="3256" w:type="dxa"/>
          </w:tcPr>
          <w:p w14:paraId="4219F105" w14:textId="77777777" w:rsidR="00CB2E4C" w:rsidRPr="000F1CF5" w:rsidRDefault="00CB2E4C" w:rsidP="00D93B48">
            <w:pPr>
              <w:spacing w:after="0"/>
              <w:ind w:hanging="31"/>
              <w:rPr>
                <w:color w:val="000000"/>
              </w:rPr>
            </w:pPr>
          </w:p>
        </w:tc>
        <w:tc>
          <w:tcPr>
            <w:tcW w:w="1037" w:type="dxa"/>
          </w:tcPr>
          <w:p w14:paraId="784025AE" w14:textId="77777777" w:rsidR="00CB2E4C" w:rsidRPr="004D0B40" w:rsidRDefault="00CB2E4C" w:rsidP="00D93B48">
            <w:pPr>
              <w:spacing w:after="0"/>
              <w:ind w:hanging="31"/>
              <w:rPr>
                <w:rFonts w:eastAsiaTheme="minorHAnsi" w:cstheme="minorBidi"/>
                <w:color w:val="000000"/>
                <w:szCs w:val="22"/>
              </w:rPr>
            </w:pPr>
          </w:p>
        </w:tc>
        <w:tc>
          <w:tcPr>
            <w:tcW w:w="1037" w:type="dxa"/>
          </w:tcPr>
          <w:p w14:paraId="4FF26E62" w14:textId="41C1AB0B" w:rsidR="00CB2E4C" w:rsidRPr="000F1CF5" w:rsidRDefault="00CB2E4C" w:rsidP="002926A6">
            <w:pPr>
              <w:spacing w:after="0"/>
              <w:ind w:hanging="31"/>
              <w:rPr>
                <w:color w:val="000000"/>
              </w:rPr>
            </w:pPr>
            <w:r>
              <w:rPr>
                <w:color w:val="000000"/>
                <w:sz w:val="20"/>
              </w:rPr>
              <w:t xml:space="preserve">milj. </w:t>
            </w:r>
            <w:proofErr w:type="spellStart"/>
            <w:r w:rsidRPr="002926A6">
              <w:rPr>
                <w:i/>
                <w:color w:val="000000"/>
                <w:sz w:val="20"/>
              </w:rPr>
              <w:t>e</w:t>
            </w:r>
            <w:r w:rsidR="002926A6" w:rsidRPr="002926A6">
              <w:rPr>
                <w:i/>
                <w:color w:val="000000"/>
                <w:sz w:val="20"/>
              </w:rPr>
              <w:t>u</w:t>
            </w:r>
            <w:r w:rsidRPr="002926A6">
              <w:rPr>
                <w:rFonts w:eastAsiaTheme="minorHAnsi" w:cstheme="minorBidi"/>
                <w:i/>
                <w:color w:val="000000"/>
                <w:sz w:val="20"/>
                <w:szCs w:val="22"/>
              </w:rPr>
              <w:t>ro</w:t>
            </w:r>
            <w:proofErr w:type="spellEnd"/>
          </w:p>
        </w:tc>
        <w:tc>
          <w:tcPr>
            <w:tcW w:w="3935" w:type="dxa"/>
            <w:gridSpan w:val="5"/>
          </w:tcPr>
          <w:p w14:paraId="22818E47"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Pieaugums %</w:t>
            </w:r>
          </w:p>
        </w:tc>
      </w:tr>
      <w:tr w:rsidR="00CB2E4C" w:rsidRPr="004F5055" w14:paraId="3387AA67" w14:textId="77777777" w:rsidTr="00D93B48">
        <w:trPr>
          <w:jc w:val="center"/>
        </w:trPr>
        <w:tc>
          <w:tcPr>
            <w:tcW w:w="3256" w:type="dxa"/>
          </w:tcPr>
          <w:p w14:paraId="1D5CEFF3"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1. IKP 20</w:t>
            </w:r>
            <w:r>
              <w:rPr>
                <w:color w:val="000000"/>
                <w:sz w:val="20"/>
              </w:rPr>
              <w:t>10</w:t>
            </w:r>
            <w:r w:rsidRPr="004D0B40">
              <w:rPr>
                <w:rFonts w:eastAsiaTheme="minorHAnsi" w:cstheme="minorBidi"/>
                <w:color w:val="000000"/>
                <w:sz w:val="20"/>
                <w:szCs w:val="22"/>
              </w:rPr>
              <w:t>. gada cenās</w:t>
            </w:r>
          </w:p>
        </w:tc>
        <w:tc>
          <w:tcPr>
            <w:tcW w:w="1037" w:type="dxa"/>
          </w:tcPr>
          <w:p w14:paraId="116E08F5"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B1*g</w:t>
            </w:r>
          </w:p>
        </w:tc>
        <w:tc>
          <w:tcPr>
            <w:tcW w:w="1037" w:type="dxa"/>
          </w:tcPr>
          <w:p w14:paraId="455A6403" w14:textId="77777777" w:rsidR="00CB2E4C" w:rsidRPr="004F5055" w:rsidRDefault="00CB2E4C" w:rsidP="00D93B48">
            <w:pPr>
              <w:spacing w:after="0"/>
              <w:ind w:hanging="31"/>
              <w:jc w:val="right"/>
              <w:rPr>
                <w:color w:val="000000"/>
                <w:sz w:val="20"/>
              </w:rPr>
            </w:pPr>
            <w:r w:rsidRPr="004F5055">
              <w:rPr>
                <w:color w:val="000000"/>
                <w:sz w:val="20"/>
              </w:rPr>
              <w:t>20983,1</w:t>
            </w:r>
          </w:p>
        </w:tc>
        <w:tc>
          <w:tcPr>
            <w:tcW w:w="741" w:type="dxa"/>
          </w:tcPr>
          <w:p w14:paraId="37BBAC18" w14:textId="77777777" w:rsidR="00CB2E4C" w:rsidRPr="004D0B40" w:rsidRDefault="00CB2E4C" w:rsidP="00D93B48">
            <w:pPr>
              <w:spacing w:after="0"/>
              <w:ind w:hanging="31"/>
              <w:jc w:val="right"/>
              <w:rPr>
                <w:color w:val="000000"/>
                <w:sz w:val="20"/>
              </w:rPr>
            </w:pPr>
            <w:r w:rsidRPr="004D0B40">
              <w:rPr>
                <w:color w:val="000000"/>
                <w:sz w:val="20"/>
              </w:rPr>
              <w:t>4,1</w:t>
            </w:r>
          </w:p>
        </w:tc>
        <w:tc>
          <w:tcPr>
            <w:tcW w:w="741" w:type="dxa"/>
          </w:tcPr>
          <w:p w14:paraId="35C5E8DD" w14:textId="77777777" w:rsidR="00CB2E4C" w:rsidRPr="004D0B40" w:rsidRDefault="00CB2E4C" w:rsidP="00D93B48">
            <w:pPr>
              <w:spacing w:after="0"/>
              <w:ind w:hanging="31"/>
              <w:jc w:val="right"/>
              <w:rPr>
                <w:color w:val="000000"/>
                <w:sz w:val="20"/>
              </w:rPr>
            </w:pPr>
            <w:r w:rsidRPr="004D0B40">
              <w:rPr>
                <w:color w:val="000000"/>
                <w:sz w:val="20"/>
              </w:rPr>
              <w:t>4,</w:t>
            </w:r>
            <w:r w:rsidRPr="004F5055">
              <w:rPr>
                <w:color w:val="000000"/>
                <w:sz w:val="20"/>
              </w:rPr>
              <w:t>0</w:t>
            </w:r>
          </w:p>
        </w:tc>
        <w:tc>
          <w:tcPr>
            <w:tcW w:w="741" w:type="dxa"/>
          </w:tcPr>
          <w:p w14:paraId="04833F74" w14:textId="77777777" w:rsidR="00CB2E4C" w:rsidRPr="004D0B40" w:rsidRDefault="00CB2E4C" w:rsidP="00D93B48">
            <w:pPr>
              <w:spacing w:after="0"/>
              <w:ind w:hanging="31"/>
              <w:jc w:val="right"/>
              <w:rPr>
                <w:color w:val="000000"/>
                <w:sz w:val="20"/>
              </w:rPr>
            </w:pPr>
            <w:r w:rsidRPr="004D0B40">
              <w:rPr>
                <w:color w:val="000000"/>
                <w:sz w:val="20"/>
              </w:rPr>
              <w:t>4,</w:t>
            </w:r>
            <w:r w:rsidRPr="004F5055">
              <w:rPr>
                <w:color w:val="000000"/>
                <w:sz w:val="20"/>
              </w:rPr>
              <w:t>0</w:t>
            </w:r>
          </w:p>
        </w:tc>
        <w:tc>
          <w:tcPr>
            <w:tcW w:w="741" w:type="dxa"/>
          </w:tcPr>
          <w:p w14:paraId="3A25FE76" w14:textId="77777777" w:rsidR="00CB2E4C" w:rsidRPr="004D0B40" w:rsidRDefault="00CB2E4C" w:rsidP="00D93B48">
            <w:pPr>
              <w:spacing w:after="0"/>
              <w:ind w:hanging="31"/>
              <w:jc w:val="right"/>
              <w:rPr>
                <w:color w:val="000000"/>
                <w:sz w:val="20"/>
              </w:rPr>
            </w:pPr>
            <w:r w:rsidRPr="004D0B40">
              <w:rPr>
                <w:color w:val="000000"/>
                <w:sz w:val="20"/>
              </w:rPr>
              <w:t>4,0</w:t>
            </w:r>
          </w:p>
        </w:tc>
        <w:tc>
          <w:tcPr>
            <w:tcW w:w="971" w:type="dxa"/>
          </w:tcPr>
          <w:p w14:paraId="5E9FCCFB" w14:textId="77777777" w:rsidR="00CB2E4C" w:rsidRPr="004D0B40" w:rsidRDefault="00CB2E4C" w:rsidP="00D93B48">
            <w:pPr>
              <w:spacing w:after="0"/>
              <w:ind w:hanging="31"/>
              <w:jc w:val="right"/>
              <w:rPr>
                <w:color w:val="000000"/>
                <w:sz w:val="20"/>
              </w:rPr>
            </w:pPr>
            <w:r w:rsidRPr="004D0B40">
              <w:rPr>
                <w:color w:val="000000"/>
                <w:sz w:val="20"/>
              </w:rPr>
              <w:t>4,0</w:t>
            </w:r>
          </w:p>
        </w:tc>
      </w:tr>
      <w:tr w:rsidR="00CB2E4C" w:rsidRPr="004F5055" w14:paraId="57017123" w14:textId="77777777" w:rsidTr="00D93B48">
        <w:trPr>
          <w:trHeight w:val="307"/>
          <w:jc w:val="center"/>
        </w:trPr>
        <w:tc>
          <w:tcPr>
            <w:tcW w:w="3256" w:type="dxa"/>
          </w:tcPr>
          <w:p w14:paraId="76A0F680"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2. IKP faktiskajās cenās</w:t>
            </w:r>
          </w:p>
        </w:tc>
        <w:tc>
          <w:tcPr>
            <w:tcW w:w="1037" w:type="dxa"/>
          </w:tcPr>
          <w:p w14:paraId="181D7879"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B1*g</w:t>
            </w:r>
          </w:p>
        </w:tc>
        <w:tc>
          <w:tcPr>
            <w:tcW w:w="1037" w:type="dxa"/>
          </w:tcPr>
          <w:p w14:paraId="45F41B98" w14:textId="55D6D92C" w:rsidR="00CB2E4C" w:rsidRPr="004F5055" w:rsidRDefault="00CB2E4C" w:rsidP="00D93B48">
            <w:pPr>
              <w:spacing w:after="0"/>
              <w:ind w:hanging="31"/>
              <w:jc w:val="right"/>
              <w:rPr>
                <w:color w:val="000000"/>
                <w:sz w:val="20"/>
              </w:rPr>
            </w:pPr>
            <w:r w:rsidRPr="004F5055">
              <w:rPr>
                <w:color w:val="000000"/>
                <w:sz w:val="20"/>
              </w:rPr>
              <w:t>23315,5</w:t>
            </w:r>
          </w:p>
        </w:tc>
        <w:tc>
          <w:tcPr>
            <w:tcW w:w="741" w:type="dxa"/>
          </w:tcPr>
          <w:p w14:paraId="40D36E43" w14:textId="77777777" w:rsidR="00CB2E4C" w:rsidRPr="004D0B40" w:rsidRDefault="00CB2E4C" w:rsidP="00D93B48">
            <w:pPr>
              <w:spacing w:after="0"/>
              <w:ind w:hanging="31"/>
              <w:jc w:val="right"/>
              <w:rPr>
                <w:color w:val="000000"/>
                <w:sz w:val="20"/>
              </w:rPr>
            </w:pPr>
            <w:r w:rsidRPr="004D0B40">
              <w:rPr>
                <w:color w:val="000000"/>
                <w:sz w:val="20"/>
              </w:rPr>
              <w:t>5,6</w:t>
            </w:r>
          </w:p>
        </w:tc>
        <w:tc>
          <w:tcPr>
            <w:tcW w:w="741" w:type="dxa"/>
          </w:tcPr>
          <w:p w14:paraId="0A39C43A" w14:textId="77777777" w:rsidR="00CB2E4C" w:rsidRPr="004D0B40" w:rsidRDefault="00CB2E4C" w:rsidP="00D93B48">
            <w:pPr>
              <w:spacing w:after="0"/>
              <w:ind w:hanging="31"/>
              <w:jc w:val="right"/>
              <w:rPr>
                <w:color w:val="000000"/>
                <w:sz w:val="20"/>
              </w:rPr>
            </w:pPr>
            <w:r w:rsidRPr="004F5055">
              <w:rPr>
                <w:color w:val="000000"/>
                <w:sz w:val="20"/>
              </w:rPr>
              <w:t>5,7</w:t>
            </w:r>
          </w:p>
        </w:tc>
        <w:tc>
          <w:tcPr>
            <w:tcW w:w="741" w:type="dxa"/>
          </w:tcPr>
          <w:p w14:paraId="6529AE46" w14:textId="77777777" w:rsidR="00CB2E4C" w:rsidRPr="004D0B40" w:rsidRDefault="00CB2E4C" w:rsidP="00D93B48">
            <w:pPr>
              <w:spacing w:after="0"/>
              <w:ind w:hanging="31"/>
              <w:jc w:val="right"/>
              <w:rPr>
                <w:color w:val="000000"/>
                <w:sz w:val="20"/>
              </w:rPr>
            </w:pPr>
            <w:r w:rsidRPr="004F5055">
              <w:rPr>
                <w:color w:val="000000"/>
                <w:sz w:val="20"/>
              </w:rPr>
              <w:t>6,9</w:t>
            </w:r>
          </w:p>
        </w:tc>
        <w:tc>
          <w:tcPr>
            <w:tcW w:w="741" w:type="dxa"/>
          </w:tcPr>
          <w:p w14:paraId="0B0F9F08" w14:textId="77777777" w:rsidR="00CB2E4C" w:rsidRPr="004D0B40" w:rsidRDefault="00CB2E4C" w:rsidP="00D93B48">
            <w:pPr>
              <w:spacing w:after="0"/>
              <w:ind w:hanging="31"/>
              <w:jc w:val="right"/>
              <w:rPr>
                <w:color w:val="000000"/>
                <w:sz w:val="20"/>
              </w:rPr>
            </w:pPr>
            <w:r w:rsidRPr="004D0B40">
              <w:rPr>
                <w:color w:val="000000"/>
                <w:sz w:val="20"/>
              </w:rPr>
              <w:t>6,6</w:t>
            </w:r>
          </w:p>
        </w:tc>
        <w:tc>
          <w:tcPr>
            <w:tcW w:w="971" w:type="dxa"/>
          </w:tcPr>
          <w:p w14:paraId="7154A316" w14:textId="77777777" w:rsidR="00CB2E4C" w:rsidRPr="004D0B40" w:rsidRDefault="00CB2E4C" w:rsidP="00D93B48">
            <w:pPr>
              <w:spacing w:after="0"/>
              <w:ind w:hanging="31"/>
              <w:jc w:val="right"/>
              <w:rPr>
                <w:color w:val="000000"/>
                <w:sz w:val="20"/>
              </w:rPr>
            </w:pPr>
            <w:r w:rsidRPr="004D0B40">
              <w:rPr>
                <w:color w:val="000000"/>
                <w:sz w:val="20"/>
              </w:rPr>
              <w:t>6,6</w:t>
            </w:r>
          </w:p>
        </w:tc>
      </w:tr>
      <w:tr w:rsidR="00CB2E4C" w:rsidRPr="004F5055" w14:paraId="4FEA8939" w14:textId="77777777" w:rsidTr="001A4C59">
        <w:trPr>
          <w:jc w:val="center"/>
        </w:trPr>
        <w:tc>
          <w:tcPr>
            <w:tcW w:w="9265" w:type="dxa"/>
            <w:gridSpan w:val="8"/>
          </w:tcPr>
          <w:p w14:paraId="6D5E2627" w14:textId="77777777" w:rsidR="00CB2E4C" w:rsidRPr="004D0B40" w:rsidRDefault="00CB2E4C" w:rsidP="00D93B48">
            <w:pPr>
              <w:spacing w:after="0"/>
              <w:ind w:hanging="31"/>
              <w:jc w:val="center"/>
              <w:rPr>
                <w:rFonts w:eastAsiaTheme="minorHAnsi" w:cstheme="minorBidi"/>
                <w:b/>
                <w:color w:val="000000"/>
                <w:szCs w:val="22"/>
              </w:rPr>
            </w:pPr>
            <w:r w:rsidRPr="004D0B40">
              <w:rPr>
                <w:rFonts w:eastAsiaTheme="minorHAnsi" w:cstheme="minorBidi"/>
                <w:b/>
                <w:color w:val="000000"/>
                <w:sz w:val="20"/>
                <w:szCs w:val="22"/>
              </w:rPr>
              <w:t>IKP pēc izlietojuma 20</w:t>
            </w:r>
            <w:r>
              <w:rPr>
                <w:b/>
                <w:color w:val="000000"/>
                <w:sz w:val="20"/>
              </w:rPr>
              <w:t>10</w:t>
            </w:r>
            <w:r w:rsidRPr="004D0B40">
              <w:rPr>
                <w:rFonts w:eastAsiaTheme="minorHAnsi" w:cstheme="minorBidi"/>
                <w:b/>
                <w:color w:val="000000"/>
                <w:sz w:val="20"/>
                <w:szCs w:val="22"/>
              </w:rPr>
              <w:t>. gada cenās</w:t>
            </w:r>
          </w:p>
        </w:tc>
      </w:tr>
      <w:tr w:rsidR="00CB2E4C" w:rsidRPr="004F5055" w14:paraId="44B49008" w14:textId="77777777" w:rsidTr="00D93B48">
        <w:trPr>
          <w:jc w:val="center"/>
        </w:trPr>
        <w:tc>
          <w:tcPr>
            <w:tcW w:w="3256" w:type="dxa"/>
          </w:tcPr>
          <w:p w14:paraId="739F2EA3"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3. Privātais patēriņš</w:t>
            </w:r>
          </w:p>
        </w:tc>
        <w:tc>
          <w:tcPr>
            <w:tcW w:w="1037" w:type="dxa"/>
          </w:tcPr>
          <w:p w14:paraId="3CCD28BD"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P3</w:t>
            </w:r>
          </w:p>
        </w:tc>
        <w:tc>
          <w:tcPr>
            <w:tcW w:w="1037" w:type="dxa"/>
          </w:tcPr>
          <w:p w14:paraId="25A0A883" w14:textId="77777777" w:rsidR="00CB2E4C" w:rsidRPr="004F5055" w:rsidRDefault="00CB2E4C" w:rsidP="00D93B48">
            <w:pPr>
              <w:spacing w:after="0"/>
              <w:ind w:hanging="31"/>
              <w:jc w:val="right"/>
              <w:rPr>
                <w:color w:val="000000"/>
                <w:sz w:val="20"/>
              </w:rPr>
            </w:pPr>
            <w:r w:rsidRPr="004F5055">
              <w:rPr>
                <w:color w:val="000000"/>
                <w:sz w:val="20"/>
              </w:rPr>
              <w:t>13415,9</w:t>
            </w:r>
          </w:p>
        </w:tc>
        <w:tc>
          <w:tcPr>
            <w:tcW w:w="741" w:type="dxa"/>
          </w:tcPr>
          <w:p w14:paraId="1F6D78DE" w14:textId="77777777" w:rsidR="00CB2E4C" w:rsidRPr="004F5055" w:rsidRDefault="00CB2E4C" w:rsidP="00D93B48">
            <w:pPr>
              <w:spacing w:after="0"/>
              <w:ind w:hanging="31"/>
              <w:jc w:val="right"/>
              <w:rPr>
                <w:color w:val="000000"/>
                <w:sz w:val="20"/>
              </w:rPr>
            </w:pPr>
            <w:r w:rsidRPr="004F5055">
              <w:rPr>
                <w:color w:val="000000"/>
                <w:sz w:val="20"/>
              </w:rPr>
              <w:t>5,4</w:t>
            </w:r>
          </w:p>
        </w:tc>
        <w:tc>
          <w:tcPr>
            <w:tcW w:w="741" w:type="dxa"/>
          </w:tcPr>
          <w:p w14:paraId="45C296DE" w14:textId="77777777" w:rsidR="00CB2E4C" w:rsidRPr="004F5055" w:rsidRDefault="00CB2E4C" w:rsidP="00D93B48">
            <w:pPr>
              <w:spacing w:after="0"/>
              <w:ind w:hanging="31"/>
              <w:jc w:val="right"/>
              <w:rPr>
                <w:color w:val="000000"/>
                <w:sz w:val="20"/>
              </w:rPr>
            </w:pPr>
            <w:r w:rsidRPr="004F5055">
              <w:rPr>
                <w:color w:val="000000"/>
                <w:sz w:val="20"/>
              </w:rPr>
              <w:t>5,1</w:t>
            </w:r>
          </w:p>
        </w:tc>
        <w:tc>
          <w:tcPr>
            <w:tcW w:w="741" w:type="dxa"/>
          </w:tcPr>
          <w:p w14:paraId="5522A1A8" w14:textId="77777777" w:rsidR="00CB2E4C" w:rsidRPr="004F5055" w:rsidRDefault="00CB2E4C" w:rsidP="00D93B48">
            <w:pPr>
              <w:spacing w:after="0"/>
              <w:ind w:hanging="31"/>
              <w:jc w:val="right"/>
              <w:rPr>
                <w:color w:val="000000"/>
                <w:sz w:val="20"/>
              </w:rPr>
            </w:pPr>
            <w:r w:rsidRPr="004F5055">
              <w:rPr>
                <w:color w:val="000000"/>
                <w:sz w:val="20"/>
              </w:rPr>
              <w:t>4,6</w:t>
            </w:r>
          </w:p>
        </w:tc>
        <w:tc>
          <w:tcPr>
            <w:tcW w:w="741" w:type="dxa"/>
          </w:tcPr>
          <w:p w14:paraId="2CA09029" w14:textId="77777777" w:rsidR="00CB2E4C" w:rsidRPr="004F5055" w:rsidRDefault="00CB2E4C" w:rsidP="00D93B48">
            <w:pPr>
              <w:spacing w:after="0"/>
              <w:ind w:hanging="31"/>
              <w:jc w:val="right"/>
              <w:rPr>
                <w:color w:val="000000"/>
                <w:sz w:val="20"/>
              </w:rPr>
            </w:pPr>
            <w:r w:rsidRPr="004F5055">
              <w:rPr>
                <w:color w:val="000000"/>
                <w:sz w:val="20"/>
              </w:rPr>
              <w:t>4,0</w:t>
            </w:r>
          </w:p>
        </w:tc>
        <w:tc>
          <w:tcPr>
            <w:tcW w:w="971" w:type="dxa"/>
          </w:tcPr>
          <w:p w14:paraId="26C73E7A" w14:textId="77777777" w:rsidR="00CB2E4C" w:rsidRPr="004F5055" w:rsidRDefault="00CB2E4C" w:rsidP="00D93B48">
            <w:pPr>
              <w:spacing w:after="0"/>
              <w:ind w:hanging="31"/>
              <w:jc w:val="right"/>
              <w:rPr>
                <w:color w:val="000000"/>
                <w:sz w:val="20"/>
              </w:rPr>
            </w:pPr>
            <w:r w:rsidRPr="004F5055">
              <w:rPr>
                <w:color w:val="000000"/>
                <w:sz w:val="20"/>
              </w:rPr>
              <w:t>3,9</w:t>
            </w:r>
          </w:p>
        </w:tc>
      </w:tr>
      <w:tr w:rsidR="00CB2E4C" w:rsidRPr="004F5055" w14:paraId="1BA9940D" w14:textId="77777777" w:rsidTr="00D93B48">
        <w:trPr>
          <w:jc w:val="center"/>
        </w:trPr>
        <w:tc>
          <w:tcPr>
            <w:tcW w:w="3256" w:type="dxa"/>
          </w:tcPr>
          <w:p w14:paraId="5E066835"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4. Sabiedriskais patēriņš</w:t>
            </w:r>
          </w:p>
        </w:tc>
        <w:tc>
          <w:tcPr>
            <w:tcW w:w="1037" w:type="dxa"/>
          </w:tcPr>
          <w:p w14:paraId="36D8A946"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P3</w:t>
            </w:r>
          </w:p>
        </w:tc>
        <w:tc>
          <w:tcPr>
            <w:tcW w:w="1037" w:type="dxa"/>
          </w:tcPr>
          <w:p w14:paraId="30E2AB1D" w14:textId="77777777" w:rsidR="00CB2E4C" w:rsidRPr="004F5055" w:rsidRDefault="00CB2E4C" w:rsidP="00D93B48">
            <w:pPr>
              <w:spacing w:after="0"/>
              <w:ind w:hanging="31"/>
              <w:jc w:val="right"/>
              <w:rPr>
                <w:color w:val="000000"/>
                <w:sz w:val="20"/>
              </w:rPr>
            </w:pPr>
            <w:r w:rsidRPr="004F5055">
              <w:rPr>
                <w:color w:val="000000"/>
                <w:sz w:val="20"/>
              </w:rPr>
              <w:t>3494,1</w:t>
            </w:r>
          </w:p>
        </w:tc>
        <w:tc>
          <w:tcPr>
            <w:tcW w:w="741" w:type="dxa"/>
          </w:tcPr>
          <w:p w14:paraId="02CB325C" w14:textId="77777777" w:rsidR="00CB2E4C" w:rsidRPr="004F5055" w:rsidRDefault="00CB2E4C" w:rsidP="00D93B48">
            <w:pPr>
              <w:spacing w:after="0"/>
              <w:ind w:hanging="31"/>
              <w:jc w:val="right"/>
              <w:rPr>
                <w:color w:val="000000"/>
                <w:sz w:val="20"/>
              </w:rPr>
            </w:pPr>
            <w:r w:rsidRPr="004F5055">
              <w:rPr>
                <w:color w:val="000000"/>
                <w:sz w:val="20"/>
              </w:rPr>
              <w:t>3,6</w:t>
            </w:r>
          </w:p>
        </w:tc>
        <w:tc>
          <w:tcPr>
            <w:tcW w:w="741" w:type="dxa"/>
          </w:tcPr>
          <w:p w14:paraId="48579716" w14:textId="77777777" w:rsidR="00CB2E4C" w:rsidRPr="004F5055" w:rsidRDefault="00CB2E4C" w:rsidP="00D93B48">
            <w:pPr>
              <w:spacing w:after="0"/>
              <w:ind w:hanging="31"/>
              <w:jc w:val="right"/>
              <w:rPr>
                <w:color w:val="000000"/>
                <w:sz w:val="20"/>
              </w:rPr>
            </w:pPr>
            <w:r w:rsidRPr="004F5055">
              <w:rPr>
                <w:color w:val="000000"/>
                <w:sz w:val="20"/>
              </w:rPr>
              <w:t>2,5</w:t>
            </w:r>
          </w:p>
        </w:tc>
        <w:tc>
          <w:tcPr>
            <w:tcW w:w="741" w:type="dxa"/>
          </w:tcPr>
          <w:p w14:paraId="634C1284" w14:textId="77777777" w:rsidR="00CB2E4C" w:rsidRPr="004F5055" w:rsidRDefault="00CB2E4C" w:rsidP="00D93B48">
            <w:pPr>
              <w:spacing w:after="0"/>
              <w:ind w:hanging="31"/>
              <w:jc w:val="right"/>
              <w:rPr>
                <w:color w:val="000000"/>
                <w:sz w:val="20"/>
              </w:rPr>
            </w:pPr>
            <w:r w:rsidRPr="004F5055">
              <w:rPr>
                <w:color w:val="000000"/>
                <w:sz w:val="20"/>
              </w:rPr>
              <w:t>2,5</w:t>
            </w:r>
          </w:p>
        </w:tc>
        <w:tc>
          <w:tcPr>
            <w:tcW w:w="741" w:type="dxa"/>
          </w:tcPr>
          <w:p w14:paraId="786F3588" w14:textId="77777777" w:rsidR="00CB2E4C" w:rsidRPr="004F5055" w:rsidRDefault="00CB2E4C" w:rsidP="00D93B48">
            <w:pPr>
              <w:spacing w:after="0"/>
              <w:ind w:hanging="31"/>
              <w:jc w:val="right"/>
              <w:rPr>
                <w:color w:val="000000"/>
                <w:sz w:val="20"/>
              </w:rPr>
            </w:pPr>
            <w:r w:rsidRPr="004F5055">
              <w:rPr>
                <w:color w:val="000000"/>
                <w:sz w:val="20"/>
              </w:rPr>
              <w:t>2,5</w:t>
            </w:r>
          </w:p>
        </w:tc>
        <w:tc>
          <w:tcPr>
            <w:tcW w:w="971" w:type="dxa"/>
          </w:tcPr>
          <w:p w14:paraId="5D658B9B" w14:textId="77777777" w:rsidR="00CB2E4C" w:rsidRPr="004F5055" w:rsidRDefault="00CB2E4C" w:rsidP="00D93B48">
            <w:pPr>
              <w:spacing w:after="0"/>
              <w:ind w:hanging="31"/>
              <w:jc w:val="right"/>
              <w:rPr>
                <w:color w:val="000000"/>
                <w:sz w:val="20"/>
              </w:rPr>
            </w:pPr>
            <w:r w:rsidRPr="004F5055">
              <w:rPr>
                <w:color w:val="000000"/>
                <w:sz w:val="20"/>
              </w:rPr>
              <w:t>2,5</w:t>
            </w:r>
          </w:p>
        </w:tc>
      </w:tr>
      <w:tr w:rsidR="00CB2E4C" w:rsidRPr="004F5055" w14:paraId="32B953F0" w14:textId="77777777" w:rsidTr="00D93B48">
        <w:trPr>
          <w:jc w:val="center"/>
        </w:trPr>
        <w:tc>
          <w:tcPr>
            <w:tcW w:w="3256" w:type="dxa"/>
          </w:tcPr>
          <w:p w14:paraId="53A168EC"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5. Kopējā pamatkapitālā veidošana</w:t>
            </w:r>
          </w:p>
        </w:tc>
        <w:tc>
          <w:tcPr>
            <w:tcW w:w="1037" w:type="dxa"/>
          </w:tcPr>
          <w:p w14:paraId="72431A65"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P51</w:t>
            </w:r>
          </w:p>
        </w:tc>
        <w:tc>
          <w:tcPr>
            <w:tcW w:w="1037" w:type="dxa"/>
          </w:tcPr>
          <w:p w14:paraId="13588DC7" w14:textId="77777777" w:rsidR="00CB2E4C" w:rsidRPr="004F5055" w:rsidRDefault="00CB2E4C" w:rsidP="00D93B48">
            <w:pPr>
              <w:spacing w:after="0"/>
              <w:ind w:hanging="31"/>
              <w:jc w:val="right"/>
              <w:rPr>
                <w:color w:val="000000"/>
                <w:sz w:val="20"/>
              </w:rPr>
            </w:pPr>
            <w:r w:rsidRPr="004F5055">
              <w:rPr>
                <w:color w:val="000000"/>
                <w:sz w:val="20"/>
              </w:rPr>
              <w:t>4412,4</w:t>
            </w:r>
          </w:p>
        </w:tc>
        <w:tc>
          <w:tcPr>
            <w:tcW w:w="741" w:type="dxa"/>
          </w:tcPr>
          <w:p w14:paraId="4743D326" w14:textId="77777777" w:rsidR="00CB2E4C" w:rsidRPr="004F5055" w:rsidRDefault="00CB2E4C" w:rsidP="00D93B48">
            <w:pPr>
              <w:spacing w:after="0"/>
              <w:ind w:hanging="31"/>
              <w:jc w:val="right"/>
              <w:rPr>
                <w:color w:val="000000"/>
                <w:sz w:val="20"/>
              </w:rPr>
            </w:pPr>
            <w:r w:rsidRPr="004F5055">
              <w:rPr>
                <w:color w:val="000000"/>
                <w:sz w:val="20"/>
              </w:rPr>
              <w:t>-4,3</w:t>
            </w:r>
          </w:p>
        </w:tc>
        <w:tc>
          <w:tcPr>
            <w:tcW w:w="741" w:type="dxa"/>
          </w:tcPr>
          <w:p w14:paraId="10083A11" w14:textId="77777777" w:rsidR="00CB2E4C" w:rsidRPr="004F5055" w:rsidRDefault="00CB2E4C" w:rsidP="00D93B48">
            <w:pPr>
              <w:spacing w:after="0"/>
              <w:ind w:hanging="31"/>
              <w:jc w:val="right"/>
              <w:rPr>
                <w:color w:val="000000"/>
                <w:sz w:val="20"/>
              </w:rPr>
            </w:pPr>
            <w:r w:rsidRPr="004F5055">
              <w:rPr>
                <w:color w:val="000000"/>
                <w:sz w:val="20"/>
              </w:rPr>
              <w:t>3,8</w:t>
            </w:r>
          </w:p>
        </w:tc>
        <w:tc>
          <w:tcPr>
            <w:tcW w:w="741" w:type="dxa"/>
          </w:tcPr>
          <w:p w14:paraId="26A848D0" w14:textId="77777777" w:rsidR="00CB2E4C" w:rsidRPr="004F5055" w:rsidRDefault="00CB2E4C" w:rsidP="00D93B48">
            <w:pPr>
              <w:spacing w:after="0"/>
              <w:ind w:hanging="31"/>
              <w:jc w:val="right"/>
              <w:rPr>
                <w:color w:val="000000"/>
                <w:sz w:val="20"/>
              </w:rPr>
            </w:pPr>
            <w:r w:rsidRPr="004F5055">
              <w:rPr>
                <w:color w:val="000000"/>
                <w:sz w:val="20"/>
              </w:rPr>
              <w:t>5,0</w:t>
            </w:r>
          </w:p>
        </w:tc>
        <w:tc>
          <w:tcPr>
            <w:tcW w:w="741" w:type="dxa"/>
          </w:tcPr>
          <w:p w14:paraId="20FE149A" w14:textId="77777777" w:rsidR="00CB2E4C" w:rsidRPr="004F5055" w:rsidRDefault="00CB2E4C" w:rsidP="00D93B48">
            <w:pPr>
              <w:spacing w:after="0"/>
              <w:ind w:hanging="31"/>
              <w:jc w:val="right"/>
              <w:rPr>
                <w:color w:val="000000"/>
                <w:sz w:val="20"/>
              </w:rPr>
            </w:pPr>
            <w:r w:rsidRPr="004F5055">
              <w:rPr>
                <w:color w:val="000000"/>
                <w:sz w:val="20"/>
              </w:rPr>
              <w:t>5,7</w:t>
            </w:r>
          </w:p>
        </w:tc>
        <w:tc>
          <w:tcPr>
            <w:tcW w:w="971" w:type="dxa"/>
          </w:tcPr>
          <w:p w14:paraId="4E6924E5" w14:textId="77777777" w:rsidR="00CB2E4C" w:rsidRPr="004F5055" w:rsidRDefault="00CB2E4C" w:rsidP="00D93B48">
            <w:pPr>
              <w:spacing w:after="0"/>
              <w:ind w:hanging="31"/>
              <w:jc w:val="right"/>
              <w:rPr>
                <w:color w:val="000000"/>
                <w:sz w:val="20"/>
              </w:rPr>
            </w:pPr>
            <w:r w:rsidRPr="004F5055">
              <w:rPr>
                <w:color w:val="000000"/>
                <w:sz w:val="20"/>
              </w:rPr>
              <w:t>5,8</w:t>
            </w:r>
          </w:p>
        </w:tc>
      </w:tr>
      <w:tr w:rsidR="00CB2E4C" w:rsidRPr="004F5055" w14:paraId="5870B329" w14:textId="77777777" w:rsidTr="00D93B48">
        <w:trPr>
          <w:jc w:val="center"/>
        </w:trPr>
        <w:tc>
          <w:tcPr>
            <w:tcW w:w="3256" w:type="dxa"/>
          </w:tcPr>
          <w:p w14:paraId="0AD5E380" w14:textId="61B4C5A4" w:rsidR="00CB2E4C" w:rsidRPr="000F1CF5" w:rsidRDefault="003148B4" w:rsidP="00D93B48">
            <w:pPr>
              <w:spacing w:after="0"/>
              <w:ind w:hanging="31"/>
              <w:rPr>
                <w:color w:val="000000"/>
              </w:rPr>
            </w:pPr>
            <w:r>
              <w:rPr>
                <w:rFonts w:eastAsiaTheme="minorHAnsi" w:cstheme="minorBidi"/>
                <w:color w:val="000000"/>
                <w:sz w:val="20"/>
                <w:szCs w:val="22"/>
              </w:rPr>
              <w:t xml:space="preserve">6. </w:t>
            </w:r>
            <w:r w:rsidR="00CB2E4C" w:rsidRPr="004D0B40">
              <w:rPr>
                <w:rFonts w:eastAsiaTheme="minorHAnsi" w:cstheme="minorBidi"/>
                <w:color w:val="000000"/>
                <w:sz w:val="20"/>
                <w:szCs w:val="22"/>
              </w:rPr>
              <w:t>Krājumu pārmaiņas un vērtslietu iegāde</w:t>
            </w:r>
          </w:p>
        </w:tc>
        <w:tc>
          <w:tcPr>
            <w:tcW w:w="1037" w:type="dxa"/>
          </w:tcPr>
          <w:p w14:paraId="4A8559A6"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P52+P53</w:t>
            </w:r>
          </w:p>
        </w:tc>
        <w:tc>
          <w:tcPr>
            <w:tcW w:w="1037" w:type="dxa"/>
          </w:tcPr>
          <w:p w14:paraId="78CD1F53" w14:textId="77777777" w:rsidR="00CB2E4C" w:rsidRPr="004F5055" w:rsidRDefault="00CB2E4C" w:rsidP="00D93B48">
            <w:pPr>
              <w:spacing w:after="0"/>
              <w:ind w:hanging="31"/>
              <w:jc w:val="right"/>
              <w:rPr>
                <w:color w:val="000000"/>
                <w:sz w:val="20"/>
              </w:rPr>
            </w:pPr>
            <w:r w:rsidRPr="004F5055">
              <w:rPr>
                <w:color w:val="000000"/>
                <w:sz w:val="20"/>
              </w:rPr>
              <w:t>113,6</w:t>
            </w:r>
          </w:p>
        </w:tc>
        <w:tc>
          <w:tcPr>
            <w:tcW w:w="741" w:type="dxa"/>
          </w:tcPr>
          <w:p w14:paraId="7037B42D" w14:textId="77777777" w:rsidR="00CB2E4C" w:rsidRPr="004F5055" w:rsidRDefault="00CB2E4C" w:rsidP="00D93B48">
            <w:pPr>
              <w:spacing w:after="0"/>
              <w:ind w:hanging="31"/>
              <w:jc w:val="right"/>
              <w:rPr>
                <w:color w:val="000000"/>
                <w:sz w:val="20"/>
              </w:rPr>
            </w:pPr>
            <w:r w:rsidRPr="004F5055">
              <w:rPr>
                <w:color w:val="000000"/>
                <w:sz w:val="20"/>
              </w:rPr>
              <w:t>-26,2</w:t>
            </w:r>
          </w:p>
        </w:tc>
        <w:tc>
          <w:tcPr>
            <w:tcW w:w="741" w:type="dxa"/>
          </w:tcPr>
          <w:p w14:paraId="24081A76" w14:textId="77777777" w:rsidR="00CB2E4C" w:rsidRPr="004F5055" w:rsidRDefault="00CB2E4C" w:rsidP="00D93B48">
            <w:pPr>
              <w:spacing w:after="0"/>
              <w:ind w:hanging="31"/>
              <w:jc w:val="right"/>
              <w:rPr>
                <w:color w:val="000000"/>
                <w:sz w:val="20"/>
              </w:rPr>
            </w:pPr>
            <w:r w:rsidRPr="004F5055">
              <w:rPr>
                <w:color w:val="000000"/>
                <w:sz w:val="20"/>
              </w:rPr>
              <w:t>0,0</w:t>
            </w:r>
          </w:p>
        </w:tc>
        <w:tc>
          <w:tcPr>
            <w:tcW w:w="741" w:type="dxa"/>
          </w:tcPr>
          <w:p w14:paraId="65EBDAEF" w14:textId="77777777" w:rsidR="00CB2E4C" w:rsidRPr="004F5055" w:rsidRDefault="00CB2E4C" w:rsidP="00D93B48">
            <w:pPr>
              <w:spacing w:after="0"/>
              <w:ind w:hanging="31"/>
              <w:jc w:val="right"/>
              <w:rPr>
                <w:color w:val="000000"/>
                <w:sz w:val="20"/>
              </w:rPr>
            </w:pPr>
            <w:r w:rsidRPr="004F5055">
              <w:rPr>
                <w:color w:val="000000"/>
                <w:sz w:val="20"/>
              </w:rPr>
              <w:t>0,0</w:t>
            </w:r>
          </w:p>
        </w:tc>
        <w:tc>
          <w:tcPr>
            <w:tcW w:w="741" w:type="dxa"/>
          </w:tcPr>
          <w:p w14:paraId="243AFA43" w14:textId="77777777" w:rsidR="00CB2E4C" w:rsidRPr="004F5055" w:rsidRDefault="00CB2E4C" w:rsidP="00D93B48">
            <w:pPr>
              <w:spacing w:after="0"/>
              <w:ind w:hanging="31"/>
              <w:jc w:val="right"/>
              <w:rPr>
                <w:color w:val="000000"/>
                <w:sz w:val="20"/>
              </w:rPr>
            </w:pPr>
            <w:r w:rsidRPr="004F5055">
              <w:rPr>
                <w:color w:val="000000"/>
                <w:sz w:val="20"/>
              </w:rPr>
              <w:t>0,0</w:t>
            </w:r>
          </w:p>
        </w:tc>
        <w:tc>
          <w:tcPr>
            <w:tcW w:w="971" w:type="dxa"/>
          </w:tcPr>
          <w:p w14:paraId="059FA45A" w14:textId="77777777" w:rsidR="00CB2E4C" w:rsidRPr="004F5055" w:rsidRDefault="00CB2E4C" w:rsidP="00D93B48">
            <w:pPr>
              <w:spacing w:after="0"/>
              <w:ind w:hanging="31"/>
              <w:jc w:val="right"/>
              <w:rPr>
                <w:color w:val="000000"/>
                <w:sz w:val="20"/>
              </w:rPr>
            </w:pPr>
            <w:r w:rsidRPr="004F5055">
              <w:rPr>
                <w:color w:val="000000"/>
                <w:sz w:val="20"/>
              </w:rPr>
              <w:t>0,0</w:t>
            </w:r>
          </w:p>
        </w:tc>
      </w:tr>
      <w:tr w:rsidR="00CB2E4C" w:rsidRPr="004F5055" w14:paraId="25D688D4" w14:textId="77777777" w:rsidTr="00D93B48">
        <w:trPr>
          <w:jc w:val="center"/>
        </w:trPr>
        <w:tc>
          <w:tcPr>
            <w:tcW w:w="3256" w:type="dxa"/>
          </w:tcPr>
          <w:p w14:paraId="76961B03"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7. Eksports</w:t>
            </w:r>
          </w:p>
        </w:tc>
        <w:tc>
          <w:tcPr>
            <w:tcW w:w="1037" w:type="dxa"/>
          </w:tcPr>
          <w:p w14:paraId="77972A3D"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P6</w:t>
            </w:r>
          </w:p>
        </w:tc>
        <w:tc>
          <w:tcPr>
            <w:tcW w:w="1037" w:type="dxa"/>
          </w:tcPr>
          <w:p w14:paraId="7D3C5294" w14:textId="77777777" w:rsidR="00CB2E4C" w:rsidRPr="004F5055" w:rsidRDefault="00CB2E4C" w:rsidP="00D93B48">
            <w:pPr>
              <w:spacing w:after="0"/>
              <w:ind w:hanging="31"/>
              <w:jc w:val="right"/>
              <w:rPr>
                <w:color w:val="000000"/>
                <w:sz w:val="20"/>
              </w:rPr>
            </w:pPr>
            <w:r w:rsidRPr="004F5055">
              <w:rPr>
                <w:color w:val="000000"/>
                <w:sz w:val="20"/>
              </w:rPr>
              <w:t>12096,5</w:t>
            </w:r>
          </w:p>
        </w:tc>
        <w:tc>
          <w:tcPr>
            <w:tcW w:w="741" w:type="dxa"/>
          </w:tcPr>
          <w:p w14:paraId="0E38F1AD" w14:textId="77777777" w:rsidR="00CB2E4C" w:rsidRPr="004F5055" w:rsidRDefault="00CB2E4C" w:rsidP="00D93B48">
            <w:pPr>
              <w:spacing w:after="0"/>
              <w:ind w:hanging="31"/>
              <w:jc w:val="right"/>
              <w:rPr>
                <w:color w:val="000000"/>
                <w:sz w:val="20"/>
              </w:rPr>
            </w:pPr>
            <w:r w:rsidRPr="004F5055">
              <w:rPr>
                <w:color w:val="000000"/>
                <w:sz w:val="20"/>
              </w:rPr>
              <w:t>1,0</w:t>
            </w:r>
          </w:p>
        </w:tc>
        <w:tc>
          <w:tcPr>
            <w:tcW w:w="741" w:type="dxa"/>
          </w:tcPr>
          <w:p w14:paraId="399C41B4" w14:textId="77777777" w:rsidR="00CB2E4C" w:rsidRPr="004F5055" w:rsidRDefault="00CB2E4C" w:rsidP="00D93B48">
            <w:pPr>
              <w:spacing w:after="0"/>
              <w:ind w:hanging="31"/>
              <w:jc w:val="right"/>
              <w:rPr>
                <w:color w:val="000000"/>
                <w:sz w:val="20"/>
              </w:rPr>
            </w:pPr>
            <w:r w:rsidRPr="004F5055">
              <w:rPr>
                <w:color w:val="000000"/>
                <w:sz w:val="20"/>
              </w:rPr>
              <w:t>4,0</w:t>
            </w:r>
          </w:p>
        </w:tc>
        <w:tc>
          <w:tcPr>
            <w:tcW w:w="741" w:type="dxa"/>
          </w:tcPr>
          <w:p w14:paraId="3A9177A6" w14:textId="77777777" w:rsidR="00CB2E4C" w:rsidRPr="004F5055" w:rsidRDefault="00CB2E4C" w:rsidP="00D93B48">
            <w:pPr>
              <w:spacing w:after="0"/>
              <w:ind w:hanging="31"/>
              <w:jc w:val="right"/>
              <w:rPr>
                <w:color w:val="000000"/>
                <w:sz w:val="20"/>
              </w:rPr>
            </w:pPr>
            <w:r w:rsidRPr="004F5055">
              <w:rPr>
                <w:color w:val="000000"/>
                <w:sz w:val="20"/>
              </w:rPr>
              <w:t>4,6</w:t>
            </w:r>
          </w:p>
        </w:tc>
        <w:tc>
          <w:tcPr>
            <w:tcW w:w="741" w:type="dxa"/>
          </w:tcPr>
          <w:p w14:paraId="79A7EC4D" w14:textId="77777777" w:rsidR="00CB2E4C" w:rsidRPr="004F5055" w:rsidRDefault="00CB2E4C" w:rsidP="00D93B48">
            <w:pPr>
              <w:spacing w:after="0"/>
              <w:ind w:hanging="31"/>
              <w:jc w:val="right"/>
              <w:rPr>
                <w:color w:val="000000"/>
                <w:sz w:val="20"/>
              </w:rPr>
            </w:pPr>
            <w:r w:rsidRPr="004F5055">
              <w:rPr>
                <w:color w:val="000000"/>
                <w:sz w:val="20"/>
              </w:rPr>
              <w:t>5,0</w:t>
            </w:r>
          </w:p>
        </w:tc>
        <w:tc>
          <w:tcPr>
            <w:tcW w:w="971" w:type="dxa"/>
          </w:tcPr>
          <w:p w14:paraId="3A212D60" w14:textId="77777777" w:rsidR="00CB2E4C" w:rsidRPr="004F5055" w:rsidRDefault="00CB2E4C" w:rsidP="00D93B48">
            <w:pPr>
              <w:spacing w:after="0"/>
              <w:ind w:hanging="31"/>
              <w:jc w:val="right"/>
              <w:rPr>
                <w:color w:val="000000"/>
                <w:sz w:val="20"/>
              </w:rPr>
            </w:pPr>
            <w:r w:rsidRPr="004F5055">
              <w:rPr>
                <w:color w:val="000000"/>
                <w:sz w:val="20"/>
              </w:rPr>
              <w:t>5,3</w:t>
            </w:r>
          </w:p>
        </w:tc>
      </w:tr>
      <w:tr w:rsidR="00CB2E4C" w:rsidRPr="004F5055" w14:paraId="76DA8CA0" w14:textId="77777777" w:rsidTr="00D93B48">
        <w:trPr>
          <w:jc w:val="center"/>
        </w:trPr>
        <w:tc>
          <w:tcPr>
            <w:tcW w:w="3256" w:type="dxa"/>
          </w:tcPr>
          <w:p w14:paraId="324BF566"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8. Imports</w:t>
            </w:r>
          </w:p>
        </w:tc>
        <w:tc>
          <w:tcPr>
            <w:tcW w:w="1037" w:type="dxa"/>
          </w:tcPr>
          <w:p w14:paraId="27120F5D"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P7</w:t>
            </w:r>
          </w:p>
        </w:tc>
        <w:tc>
          <w:tcPr>
            <w:tcW w:w="1037" w:type="dxa"/>
          </w:tcPr>
          <w:p w14:paraId="7AE43D4C" w14:textId="77777777" w:rsidR="00CB2E4C" w:rsidRPr="004F5055" w:rsidRDefault="00CB2E4C" w:rsidP="00D93B48">
            <w:pPr>
              <w:spacing w:after="0"/>
              <w:ind w:hanging="31"/>
              <w:jc w:val="right"/>
              <w:rPr>
                <w:color w:val="000000"/>
                <w:sz w:val="20"/>
              </w:rPr>
            </w:pPr>
            <w:r w:rsidRPr="004F5055">
              <w:rPr>
                <w:color w:val="000000"/>
                <w:sz w:val="20"/>
              </w:rPr>
              <w:t>12553,5</w:t>
            </w:r>
          </w:p>
        </w:tc>
        <w:tc>
          <w:tcPr>
            <w:tcW w:w="741" w:type="dxa"/>
          </w:tcPr>
          <w:p w14:paraId="211076A3" w14:textId="77777777" w:rsidR="00CB2E4C" w:rsidRPr="004F5055" w:rsidRDefault="00CB2E4C" w:rsidP="00D93B48">
            <w:pPr>
              <w:spacing w:after="0"/>
              <w:ind w:hanging="31"/>
              <w:jc w:val="right"/>
              <w:rPr>
                <w:color w:val="000000"/>
                <w:sz w:val="20"/>
              </w:rPr>
            </w:pPr>
            <w:r w:rsidRPr="004F5055">
              <w:rPr>
                <w:color w:val="000000"/>
                <w:sz w:val="20"/>
              </w:rPr>
              <w:t>-1,7</w:t>
            </w:r>
          </w:p>
        </w:tc>
        <w:tc>
          <w:tcPr>
            <w:tcW w:w="741" w:type="dxa"/>
          </w:tcPr>
          <w:p w14:paraId="0FA3FF98" w14:textId="77777777" w:rsidR="00CB2E4C" w:rsidRPr="004F5055" w:rsidRDefault="00CB2E4C" w:rsidP="00D93B48">
            <w:pPr>
              <w:spacing w:after="0"/>
              <w:ind w:hanging="31"/>
              <w:jc w:val="right"/>
              <w:rPr>
                <w:color w:val="000000"/>
                <w:sz w:val="20"/>
              </w:rPr>
            </w:pPr>
            <w:r w:rsidRPr="004F5055">
              <w:rPr>
                <w:color w:val="000000"/>
                <w:sz w:val="20"/>
              </w:rPr>
              <w:t>4,5</w:t>
            </w:r>
          </w:p>
        </w:tc>
        <w:tc>
          <w:tcPr>
            <w:tcW w:w="741" w:type="dxa"/>
          </w:tcPr>
          <w:p w14:paraId="21911C6C" w14:textId="77777777" w:rsidR="00CB2E4C" w:rsidRPr="004F5055" w:rsidRDefault="00CB2E4C" w:rsidP="00D93B48">
            <w:pPr>
              <w:spacing w:after="0"/>
              <w:ind w:hanging="31"/>
              <w:jc w:val="right"/>
              <w:rPr>
                <w:color w:val="000000"/>
                <w:sz w:val="20"/>
              </w:rPr>
            </w:pPr>
            <w:r w:rsidRPr="004F5055">
              <w:rPr>
                <w:color w:val="000000"/>
                <w:sz w:val="20"/>
              </w:rPr>
              <w:t>5,1</w:t>
            </w:r>
          </w:p>
        </w:tc>
        <w:tc>
          <w:tcPr>
            <w:tcW w:w="741" w:type="dxa"/>
          </w:tcPr>
          <w:p w14:paraId="56FC2989" w14:textId="77777777" w:rsidR="00CB2E4C" w:rsidRPr="004F5055" w:rsidRDefault="00CB2E4C" w:rsidP="00D93B48">
            <w:pPr>
              <w:spacing w:after="0"/>
              <w:ind w:hanging="31"/>
              <w:jc w:val="right"/>
              <w:rPr>
                <w:color w:val="000000"/>
                <w:sz w:val="20"/>
              </w:rPr>
            </w:pPr>
            <w:r w:rsidRPr="004F5055">
              <w:rPr>
                <w:color w:val="000000"/>
                <w:sz w:val="20"/>
              </w:rPr>
              <w:t>5,2</w:t>
            </w:r>
          </w:p>
        </w:tc>
        <w:tc>
          <w:tcPr>
            <w:tcW w:w="971" w:type="dxa"/>
          </w:tcPr>
          <w:p w14:paraId="22D23F7E" w14:textId="77777777" w:rsidR="00CB2E4C" w:rsidRPr="004F5055" w:rsidRDefault="00CB2E4C" w:rsidP="00D93B48">
            <w:pPr>
              <w:spacing w:after="0"/>
              <w:ind w:hanging="31"/>
              <w:jc w:val="right"/>
              <w:rPr>
                <w:color w:val="000000"/>
                <w:sz w:val="20"/>
              </w:rPr>
            </w:pPr>
            <w:r w:rsidRPr="004F5055">
              <w:rPr>
                <w:color w:val="000000"/>
                <w:sz w:val="20"/>
              </w:rPr>
              <w:t>5,4</w:t>
            </w:r>
          </w:p>
        </w:tc>
      </w:tr>
      <w:tr w:rsidR="00CB2E4C" w:rsidRPr="004F5055" w14:paraId="14B4B989" w14:textId="77777777" w:rsidTr="001A4C59">
        <w:trPr>
          <w:jc w:val="center"/>
        </w:trPr>
        <w:tc>
          <w:tcPr>
            <w:tcW w:w="9265" w:type="dxa"/>
            <w:gridSpan w:val="8"/>
          </w:tcPr>
          <w:p w14:paraId="3951DDBF" w14:textId="77777777" w:rsidR="00CB2E4C" w:rsidRPr="004D0B40" w:rsidRDefault="00CB2E4C" w:rsidP="00D93B48">
            <w:pPr>
              <w:spacing w:after="0"/>
              <w:ind w:hanging="31"/>
              <w:jc w:val="center"/>
              <w:rPr>
                <w:rFonts w:eastAsiaTheme="minorHAnsi" w:cstheme="minorBidi"/>
                <w:b/>
                <w:color w:val="000000"/>
                <w:szCs w:val="22"/>
              </w:rPr>
            </w:pPr>
            <w:r w:rsidRPr="004D0B40">
              <w:rPr>
                <w:rFonts w:eastAsiaTheme="minorHAnsi" w:cstheme="minorBidi"/>
                <w:b/>
                <w:color w:val="000000"/>
                <w:sz w:val="20"/>
                <w:szCs w:val="22"/>
              </w:rPr>
              <w:t>Ieguldījums IKP izaugsmē</w:t>
            </w:r>
          </w:p>
        </w:tc>
      </w:tr>
      <w:tr w:rsidR="00CB2E4C" w:rsidRPr="004F5055" w14:paraId="473093E0" w14:textId="77777777" w:rsidTr="00D93B48">
        <w:trPr>
          <w:jc w:val="center"/>
        </w:trPr>
        <w:tc>
          <w:tcPr>
            <w:tcW w:w="3256" w:type="dxa"/>
          </w:tcPr>
          <w:p w14:paraId="743E8BBE"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9. Kopējais iekšzemes pieprasījums</w:t>
            </w:r>
          </w:p>
        </w:tc>
        <w:tc>
          <w:tcPr>
            <w:tcW w:w="1037" w:type="dxa"/>
          </w:tcPr>
          <w:p w14:paraId="1E83E319" w14:textId="77777777" w:rsidR="00CB2E4C" w:rsidRPr="004D0B40" w:rsidRDefault="00CB2E4C" w:rsidP="00D93B48">
            <w:pPr>
              <w:spacing w:after="0"/>
              <w:ind w:hanging="31"/>
              <w:rPr>
                <w:rFonts w:eastAsiaTheme="minorHAnsi" w:cstheme="minorBidi"/>
                <w:color w:val="000000"/>
                <w:szCs w:val="22"/>
              </w:rPr>
            </w:pPr>
          </w:p>
        </w:tc>
        <w:tc>
          <w:tcPr>
            <w:tcW w:w="1037" w:type="dxa"/>
          </w:tcPr>
          <w:p w14:paraId="44ABFF49" w14:textId="77777777" w:rsidR="00CB2E4C" w:rsidRPr="004F5055" w:rsidRDefault="00CB2E4C" w:rsidP="00D93B48">
            <w:pPr>
              <w:spacing w:after="0"/>
              <w:ind w:hanging="31"/>
              <w:jc w:val="right"/>
              <w:rPr>
                <w:color w:val="000000"/>
                <w:sz w:val="20"/>
              </w:rPr>
            </w:pPr>
          </w:p>
        </w:tc>
        <w:tc>
          <w:tcPr>
            <w:tcW w:w="741" w:type="dxa"/>
          </w:tcPr>
          <w:p w14:paraId="156D7F1F" w14:textId="77777777" w:rsidR="00CB2E4C" w:rsidRPr="004F5055" w:rsidRDefault="00CB2E4C" w:rsidP="00D93B48">
            <w:pPr>
              <w:spacing w:after="0"/>
              <w:ind w:hanging="31"/>
              <w:jc w:val="right"/>
              <w:rPr>
                <w:color w:val="000000"/>
                <w:sz w:val="20"/>
              </w:rPr>
            </w:pPr>
            <w:r w:rsidRPr="004F5055">
              <w:rPr>
                <w:color w:val="000000"/>
                <w:sz w:val="20"/>
              </w:rPr>
              <w:t>2,4</w:t>
            </w:r>
          </w:p>
        </w:tc>
        <w:tc>
          <w:tcPr>
            <w:tcW w:w="741" w:type="dxa"/>
          </w:tcPr>
          <w:p w14:paraId="24B27572" w14:textId="77777777" w:rsidR="00CB2E4C" w:rsidRPr="004F5055" w:rsidRDefault="00CB2E4C" w:rsidP="00D93B48">
            <w:pPr>
              <w:spacing w:after="0"/>
              <w:ind w:hanging="31"/>
              <w:jc w:val="right"/>
              <w:rPr>
                <w:color w:val="000000"/>
                <w:sz w:val="20"/>
              </w:rPr>
            </w:pPr>
            <w:r w:rsidRPr="004F5055">
              <w:rPr>
                <w:color w:val="000000"/>
                <w:sz w:val="20"/>
              </w:rPr>
              <w:t>4,4</w:t>
            </w:r>
          </w:p>
        </w:tc>
        <w:tc>
          <w:tcPr>
            <w:tcW w:w="741" w:type="dxa"/>
          </w:tcPr>
          <w:p w14:paraId="6D505E31" w14:textId="77777777" w:rsidR="00CB2E4C" w:rsidRPr="004F5055" w:rsidRDefault="00CB2E4C" w:rsidP="00D93B48">
            <w:pPr>
              <w:spacing w:after="0"/>
              <w:ind w:hanging="31"/>
              <w:jc w:val="right"/>
              <w:rPr>
                <w:color w:val="000000"/>
                <w:sz w:val="20"/>
              </w:rPr>
            </w:pPr>
            <w:r w:rsidRPr="004F5055">
              <w:rPr>
                <w:color w:val="000000"/>
                <w:sz w:val="20"/>
              </w:rPr>
              <w:t>4,4</w:t>
            </w:r>
          </w:p>
        </w:tc>
        <w:tc>
          <w:tcPr>
            <w:tcW w:w="741" w:type="dxa"/>
          </w:tcPr>
          <w:p w14:paraId="3F3A7E74" w14:textId="77777777" w:rsidR="00CB2E4C" w:rsidRPr="004F5055" w:rsidRDefault="00CB2E4C" w:rsidP="00D93B48">
            <w:pPr>
              <w:spacing w:after="0"/>
              <w:ind w:hanging="31"/>
              <w:jc w:val="right"/>
              <w:rPr>
                <w:color w:val="000000"/>
                <w:sz w:val="20"/>
              </w:rPr>
            </w:pPr>
            <w:r w:rsidRPr="004F5055">
              <w:rPr>
                <w:color w:val="000000"/>
                <w:sz w:val="20"/>
              </w:rPr>
              <w:t>4,2</w:t>
            </w:r>
          </w:p>
        </w:tc>
        <w:tc>
          <w:tcPr>
            <w:tcW w:w="971" w:type="dxa"/>
          </w:tcPr>
          <w:p w14:paraId="4211FD56" w14:textId="77777777" w:rsidR="00CB2E4C" w:rsidRPr="004F5055" w:rsidRDefault="00CB2E4C" w:rsidP="00D93B48">
            <w:pPr>
              <w:spacing w:after="0"/>
              <w:ind w:hanging="31"/>
              <w:jc w:val="right"/>
              <w:rPr>
                <w:color w:val="000000"/>
                <w:sz w:val="20"/>
              </w:rPr>
            </w:pPr>
            <w:r w:rsidRPr="004F5055">
              <w:rPr>
                <w:color w:val="000000"/>
                <w:sz w:val="20"/>
              </w:rPr>
              <w:t>4,1</w:t>
            </w:r>
          </w:p>
        </w:tc>
      </w:tr>
      <w:tr w:rsidR="00CB2E4C" w:rsidRPr="004F5055" w14:paraId="060CA131" w14:textId="77777777" w:rsidTr="00D93B48">
        <w:trPr>
          <w:jc w:val="center"/>
        </w:trPr>
        <w:tc>
          <w:tcPr>
            <w:tcW w:w="3256" w:type="dxa"/>
          </w:tcPr>
          <w:p w14:paraId="2DA5C4BA"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 xml:space="preserve">10. Krājumu pārmaiņas un vērtslietu iegāde </w:t>
            </w:r>
          </w:p>
        </w:tc>
        <w:tc>
          <w:tcPr>
            <w:tcW w:w="1037" w:type="dxa"/>
          </w:tcPr>
          <w:p w14:paraId="4B78F0EE"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P52+P53</w:t>
            </w:r>
          </w:p>
        </w:tc>
        <w:tc>
          <w:tcPr>
            <w:tcW w:w="1037" w:type="dxa"/>
          </w:tcPr>
          <w:p w14:paraId="79BFC0BC" w14:textId="77777777" w:rsidR="00CB2E4C" w:rsidRPr="004F5055" w:rsidRDefault="00CB2E4C" w:rsidP="00D93B48">
            <w:pPr>
              <w:spacing w:after="0"/>
              <w:ind w:hanging="31"/>
              <w:jc w:val="right"/>
              <w:rPr>
                <w:color w:val="000000"/>
                <w:sz w:val="20"/>
              </w:rPr>
            </w:pPr>
          </w:p>
        </w:tc>
        <w:tc>
          <w:tcPr>
            <w:tcW w:w="741" w:type="dxa"/>
          </w:tcPr>
          <w:p w14:paraId="4C51EA2D" w14:textId="77777777" w:rsidR="00CB2E4C" w:rsidRPr="004F5055" w:rsidRDefault="00CB2E4C" w:rsidP="00D93B48">
            <w:pPr>
              <w:spacing w:after="0"/>
              <w:ind w:hanging="31"/>
              <w:jc w:val="right"/>
              <w:rPr>
                <w:color w:val="000000"/>
                <w:sz w:val="20"/>
              </w:rPr>
            </w:pPr>
            <w:r w:rsidRPr="004F5055">
              <w:rPr>
                <w:color w:val="000000"/>
                <w:sz w:val="20"/>
              </w:rPr>
              <w:t>0,0</w:t>
            </w:r>
          </w:p>
        </w:tc>
        <w:tc>
          <w:tcPr>
            <w:tcW w:w="741" w:type="dxa"/>
          </w:tcPr>
          <w:p w14:paraId="7D91A02D" w14:textId="77777777" w:rsidR="00CB2E4C" w:rsidRPr="004F5055" w:rsidRDefault="00CB2E4C" w:rsidP="00D93B48">
            <w:pPr>
              <w:spacing w:after="0"/>
              <w:ind w:hanging="31"/>
              <w:jc w:val="right"/>
              <w:rPr>
                <w:color w:val="000000"/>
                <w:sz w:val="20"/>
              </w:rPr>
            </w:pPr>
            <w:r w:rsidRPr="004F5055">
              <w:rPr>
                <w:color w:val="000000"/>
                <w:sz w:val="20"/>
              </w:rPr>
              <w:t>0,0</w:t>
            </w:r>
          </w:p>
        </w:tc>
        <w:tc>
          <w:tcPr>
            <w:tcW w:w="741" w:type="dxa"/>
          </w:tcPr>
          <w:p w14:paraId="56BAEAC3" w14:textId="77777777" w:rsidR="00CB2E4C" w:rsidRPr="004F5055" w:rsidRDefault="00CB2E4C" w:rsidP="00D93B48">
            <w:pPr>
              <w:spacing w:after="0"/>
              <w:ind w:hanging="31"/>
              <w:jc w:val="right"/>
              <w:rPr>
                <w:color w:val="000000"/>
                <w:sz w:val="20"/>
              </w:rPr>
            </w:pPr>
            <w:r w:rsidRPr="004F5055">
              <w:rPr>
                <w:color w:val="000000"/>
                <w:sz w:val="20"/>
              </w:rPr>
              <w:t>0,0</w:t>
            </w:r>
          </w:p>
        </w:tc>
        <w:tc>
          <w:tcPr>
            <w:tcW w:w="741" w:type="dxa"/>
          </w:tcPr>
          <w:p w14:paraId="5BCD23F6" w14:textId="77777777" w:rsidR="00CB2E4C" w:rsidRPr="004F5055" w:rsidRDefault="00CB2E4C" w:rsidP="00D93B48">
            <w:pPr>
              <w:spacing w:after="0"/>
              <w:ind w:hanging="31"/>
              <w:jc w:val="right"/>
              <w:rPr>
                <w:color w:val="000000"/>
                <w:sz w:val="20"/>
              </w:rPr>
            </w:pPr>
            <w:r w:rsidRPr="004F5055">
              <w:rPr>
                <w:color w:val="000000"/>
                <w:sz w:val="20"/>
              </w:rPr>
              <w:t>0,0</w:t>
            </w:r>
          </w:p>
        </w:tc>
        <w:tc>
          <w:tcPr>
            <w:tcW w:w="971" w:type="dxa"/>
          </w:tcPr>
          <w:p w14:paraId="67E98E80" w14:textId="77777777" w:rsidR="00CB2E4C" w:rsidRPr="004F5055" w:rsidRDefault="00CB2E4C" w:rsidP="00D93B48">
            <w:pPr>
              <w:spacing w:after="0"/>
              <w:ind w:hanging="31"/>
              <w:jc w:val="right"/>
              <w:rPr>
                <w:color w:val="000000"/>
                <w:sz w:val="20"/>
              </w:rPr>
            </w:pPr>
            <w:r>
              <w:rPr>
                <w:color w:val="000000"/>
                <w:sz w:val="20"/>
              </w:rPr>
              <w:t>0,0</w:t>
            </w:r>
          </w:p>
        </w:tc>
      </w:tr>
      <w:tr w:rsidR="00CB2E4C" w:rsidRPr="00132822" w14:paraId="60E8A74C" w14:textId="77777777" w:rsidTr="00D93B48">
        <w:trPr>
          <w:jc w:val="center"/>
        </w:trPr>
        <w:tc>
          <w:tcPr>
            <w:tcW w:w="3256" w:type="dxa"/>
          </w:tcPr>
          <w:p w14:paraId="2D907C5D"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11. Preču un pakalpojumu ārējā sektora bilance</w:t>
            </w:r>
          </w:p>
        </w:tc>
        <w:tc>
          <w:tcPr>
            <w:tcW w:w="1037" w:type="dxa"/>
          </w:tcPr>
          <w:p w14:paraId="1AFFD208" w14:textId="77777777" w:rsidR="00CB2E4C" w:rsidRPr="000F1CF5" w:rsidRDefault="00CB2E4C" w:rsidP="00D93B48">
            <w:pPr>
              <w:spacing w:after="0"/>
              <w:ind w:hanging="31"/>
              <w:rPr>
                <w:color w:val="000000"/>
              </w:rPr>
            </w:pPr>
            <w:r w:rsidRPr="004D0B40">
              <w:rPr>
                <w:rFonts w:eastAsiaTheme="minorHAnsi" w:cstheme="minorBidi"/>
                <w:color w:val="000000"/>
                <w:sz w:val="20"/>
                <w:szCs w:val="22"/>
              </w:rPr>
              <w:t>B11</w:t>
            </w:r>
          </w:p>
        </w:tc>
        <w:tc>
          <w:tcPr>
            <w:tcW w:w="1037" w:type="dxa"/>
          </w:tcPr>
          <w:p w14:paraId="63293301" w14:textId="77777777" w:rsidR="00CB2E4C" w:rsidRPr="004F5055" w:rsidRDefault="00CB2E4C" w:rsidP="00D93B48">
            <w:pPr>
              <w:spacing w:after="0"/>
              <w:ind w:hanging="31"/>
              <w:jc w:val="right"/>
              <w:rPr>
                <w:color w:val="000000"/>
                <w:sz w:val="20"/>
              </w:rPr>
            </w:pPr>
          </w:p>
        </w:tc>
        <w:tc>
          <w:tcPr>
            <w:tcW w:w="741" w:type="dxa"/>
          </w:tcPr>
          <w:p w14:paraId="3E968CBF" w14:textId="77777777" w:rsidR="00CB2E4C" w:rsidRPr="004F5055" w:rsidRDefault="00CB2E4C" w:rsidP="00D93B48">
            <w:pPr>
              <w:spacing w:after="0"/>
              <w:ind w:hanging="31"/>
              <w:jc w:val="right"/>
              <w:rPr>
                <w:color w:val="000000"/>
                <w:sz w:val="20"/>
              </w:rPr>
            </w:pPr>
            <w:r w:rsidRPr="004F5055">
              <w:rPr>
                <w:color w:val="000000"/>
                <w:sz w:val="20"/>
              </w:rPr>
              <w:t>1,7</w:t>
            </w:r>
          </w:p>
        </w:tc>
        <w:tc>
          <w:tcPr>
            <w:tcW w:w="741" w:type="dxa"/>
          </w:tcPr>
          <w:p w14:paraId="30A25DFE" w14:textId="77777777" w:rsidR="00CB2E4C" w:rsidRPr="004F5055" w:rsidRDefault="00CB2E4C" w:rsidP="00D93B48">
            <w:pPr>
              <w:spacing w:after="0"/>
              <w:ind w:hanging="31"/>
              <w:jc w:val="right"/>
              <w:rPr>
                <w:color w:val="000000"/>
                <w:sz w:val="20"/>
              </w:rPr>
            </w:pPr>
            <w:r w:rsidRPr="004F5055">
              <w:rPr>
                <w:color w:val="000000"/>
                <w:sz w:val="20"/>
              </w:rPr>
              <w:t>-0,4</w:t>
            </w:r>
          </w:p>
        </w:tc>
        <w:tc>
          <w:tcPr>
            <w:tcW w:w="741" w:type="dxa"/>
          </w:tcPr>
          <w:p w14:paraId="5FFCB49C" w14:textId="77777777" w:rsidR="00CB2E4C" w:rsidRPr="004F5055" w:rsidRDefault="00CB2E4C" w:rsidP="00D93B48">
            <w:pPr>
              <w:spacing w:after="0"/>
              <w:ind w:hanging="31"/>
              <w:jc w:val="right"/>
              <w:rPr>
                <w:color w:val="000000"/>
                <w:sz w:val="20"/>
              </w:rPr>
            </w:pPr>
            <w:r w:rsidRPr="004F5055">
              <w:rPr>
                <w:color w:val="000000"/>
                <w:sz w:val="20"/>
              </w:rPr>
              <w:t>-0,4</w:t>
            </w:r>
          </w:p>
        </w:tc>
        <w:tc>
          <w:tcPr>
            <w:tcW w:w="741" w:type="dxa"/>
          </w:tcPr>
          <w:p w14:paraId="7CA9AE9E" w14:textId="77777777" w:rsidR="00CB2E4C" w:rsidRPr="004F5055" w:rsidRDefault="00CB2E4C" w:rsidP="00D93B48">
            <w:pPr>
              <w:spacing w:after="0"/>
              <w:ind w:hanging="31"/>
              <w:jc w:val="right"/>
              <w:rPr>
                <w:color w:val="000000"/>
                <w:sz w:val="20"/>
              </w:rPr>
            </w:pPr>
            <w:r w:rsidRPr="004F5055">
              <w:rPr>
                <w:color w:val="000000"/>
                <w:sz w:val="20"/>
              </w:rPr>
              <w:t>-0,2</w:t>
            </w:r>
          </w:p>
        </w:tc>
        <w:tc>
          <w:tcPr>
            <w:tcW w:w="971" w:type="dxa"/>
          </w:tcPr>
          <w:p w14:paraId="149CDD76" w14:textId="77777777" w:rsidR="00CB2E4C" w:rsidRPr="004F5055" w:rsidRDefault="00CB2E4C" w:rsidP="00D93B48">
            <w:pPr>
              <w:spacing w:after="0"/>
              <w:ind w:hanging="31"/>
              <w:jc w:val="right"/>
              <w:rPr>
                <w:color w:val="000000"/>
                <w:sz w:val="20"/>
              </w:rPr>
            </w:pPr>
            <w:r w:rsidRPr="004F5055">
              <w:rPr>
                <w:color w:val="000000"/>
                <w:sz w:val="20"/>
              </w:rPr>
              <w:t>-0,2</w:t>
            </w:r>
          </w:p>
        </w:tc>
      </w:tr>
    </w:tbl>
    <w:p w14:paraId="5866E79F" w14:textId="77777777" w:rsidR="00CB2E4C" w:rsidRDefault="00CB2E4C" w:rsidP="00CB2E4C">
      <w:pPr>
        <w:ind w:firstLine="720"/>
      </w:pPr>
    </w:p>
    <w:p w14:paraId="7ED0B6DE" w14:textId="3B187EE5" w:rsidR="00CB2E4C" w:rsidRPr="00132822" w:rsidRDefault="00CB2E4C" w:rsidP="00CB2E4C">
      <w:pPr>
        <w:ind w:firstLine="720"/>
      </w:pPr>
      <w:r w:rsidRPr="00132822">
        <w:t>2014.</w:t>
      </w:r>
      <w:r w:rsidR="002D5EB9">
        <w:t> </w:t>
      </w:r>
      <w:r w:rsidRPr="00132822">
        <w:t>gadā izaugsmi lielā mērā joprojām noteiks iekšējais pieprasījums, tomēr salīdzinājumā ar 2013.</w:t>
      </w:r>
      <w:r w:rsidR="002D5EB9">
        <w:t> </w:t>
      </w:r>
      <w:r w:rsidRPr="00132822">
        <w:t>gadu izaugsme kļūs sabalansētāka starp i</w:t>
      </w:r>
      <w:r>
        <w:t>ekšējo un ārējo pieprasījumu. To nosaka labāka</w:t>
      </w:r>
      <w:r w:rsidRPr="00132822">
        <w:t xml:space="preserve"> </w:t>
      </w:r>
      <w:r>
        <w:t>ekonomiskā situācija</w:t>
      </w:r>
      <w:r w:rsidRPr="00132822">
        <w:t xml:space="preserve"> ES, kā arī</w:t>
      </w:r>
      <w:r>
        <w:t xml:space="preserve"> negatīvās ietekmes mazināšanā</w:t>
      </w:r>
      <w:r w:rsidRPr="00132822">
        <w:t xml:space="preserve">s </w:t>
      </w:r>
      <w:r>
        <w:t>gada izaugsmes datos</w:t>
      </w:r>
      <w:r w:rsidRPr="00132822">
        <w:t xml:space="preserve"> </w:t>
      </w:r>
      <w:r>
        <w:t>saistībā ar</w:t>
      </w:r>
      <w:r w:rsidRPr="00132822">
        <w:t xml:space="preserve"> </w:t>
      </w:r>
      <w:r>
        <w:t>lielākā metālapstrādes uzņēmuma</w:t>
      </w:r>
      <w:r w:rsidRPr="00132822">
        <w:t xml:space="preserve"> AS „Liepājas metalurgs” darbības apturēšanas pērnā gada maijā. Šie faktori, kā arī arvien noturīgie uzlabojumi darba tirgū 2014.</w:t>
      </w:r>
      <w:r w:rsidR="002D5EB9">
        <w:t> </w:t>
      </w:r>
      <w:r w:rsidRPr="00132822">
        <w:t xml:space="preserve">gadā ļauj prognozēt </w:t>
      </w:r>
      <w:r w:rsidR="00205F98">
        <w:t>stabilus izaugsmes tempus arī 2013.</w:t>
      </w:r>
      <w:r w:rsidR="002D5EB9">
        <w:t> </w:t>
      </w:r>
      <w:r w:rsidR="00205F98">
        <w:t>gadā</w:t>
      </w:r>
      <w:r w:rsidRPr="00132822">
        <w:t>. Vidējā termiņā izaugsmi gan arvien vairāk virzīs investīcijas un ārējā tirdzniecība, ko galvenokārt noteiks produktivitātes nevis nodarbināto skaita pieaugums.</w:t>
      </w:r>
    </w:p>
    <w:p w14:paraId="2804695F" w14:textId="77777777" w:rsidR="00CB2E4C" w:rsidRPr="00132822" w:rsidRDefault="00CB2E4C" w:rsidP="00CB2E4C">
      <w:r w:rsidRPr="00132822">
        <w:t>Saskaņā ar vidēja termiņa makroekonomisko scen</w:t>
      </w:r>
      <w:r>
        <w:t>āriju privātā patēriņa pieauguma</w:t>
      </w:r>
      <w:r w:rsidRPr="00132822">
        <w:t xml:space="preserve"> izmaiņas būs atkarīgas no iedzīvotāju ienākumu izmaiņām, ko noteiks situācija darba tirgū. Sagaidāms, ka darba algas izmaiņas vidējā termiņā nepārsniegs produktivitātes pieaugumu, savukārt, bezdarba līmenim kļūstot zemākam un ņemot vērā demogrāfiskās attīstības tendences, nodarbinātības pieauguma tempi kļūs lēnāki. Tā rezultātā vidējā termiņā privātā patēriņa devums izaugsmē pakāpeniski mazināsies. Papildus tam, scenārija ietvaros tiek pieņemts, ka nav gaidāmas būtiskas izmaiņas mājsaimniecību uzkrājumu līmenī un kreditēšanas tendencēs. </w:t>
      </w:r>
    </w:p>
    <w:p w14:paraId="4C4B2BC4" w14:textId="77777777" w:rsidR="00CB2E4C" w:rsidRPr="00132822" w:rsidRDefault="00CB2E4C" w:rsidP="00CB2E4C">
      <w:pPr>
        <w:ind w:firstLine="720"/>
      </w:pPr>
      <w:r w:rsidRPr="00132822">
        <w:t xml:space="preserve">Sabiedriskā patēriņa pieauguma tempi vidējā termiņā būs lēnāki, </w:t>
      </w:r>
      <w:r>
        <w:t>salīdzinājumā ar</w:t>
      </w:r>
      <w:r w:rsidRPr="00132822">
        <w:t xml:space="preserve"> IKP</w:t>
      </w:r>
      <w:r>
        <w:t xml:space="preserve"> pieaugumu</w:t>
      </w:r>
      <w:r w:rsidRPr="00132822">
        <w:t xml:space="preserve">, kas atspoguļo izvēlēto fiskālo politiku, mazinot nodokļu slogu tautsaimniecībā un vienlaikus nodrošinot strukturālo budžeta deficīta mērķu izpildi. </w:t>
      </w:r>
    </w:p>
    <w:p w14:paraId="7ADAD843" w14:textId="3F3B9C06" w:rsidR="00CB2E4C" w:rsidRPr="00132822" w:rsidRDefault="00CB2E4C" w:rsidP="00CB2E4C">
      <w:pPr>
        <w:suppressAutoHyphens/>
        <w:ind w:firstLine="720"/>
      </w:pPr>
      <w:r w:rsidRPr="004F5055">
        <w:t xml:space="preserve">Īstermiņā investīciju dinamiku ietekmēs komercbanku piesardzīgā kreditēšanas politika un uzņēmēju noskaņojums. Privātā sektora investīcijās arvien vērojama piesardzība attiecībā uz nākotnes perspektīvām. Kaut arī pēdējā laikā ir vērojama situācijas uzlabošanās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zonā</w:t>
      </w:r>
      <w:r w:rsidRPr="004F5055">
        <w:t xml:space="preserve">, šobrīd lielākā nenoteiktība saistīta ar notikumiem Ukrainā un iespējamām ekonomiskajām sankcijām starp ES un Krieviju. Vidējā termiņā investīciju pieaugumu noteiks augošais iekšējais un ārējais pieprasījums, kā arī augstie jaudu noslodzes līmeņi atsevišķās apstrādes rūpniecības </w:t>
      </w:r>
      <w:proofErr w:type="spellStart"/>
      <w:r w:rsidRPr="004F5055">
        <w:t>apakšnozarēs</w:t>
      </w:r>
      <w:proofErr w:type="spellEnd"/>
      <w:r w:rsidRPr="004F5055">
        <w:t>. Papildus tam sagaidāms</w:t>
      </w:r>
      <w:r w:rsidR="00726845">
        <w:t>,</w:t>
      </w:r>
      <w:r w:rsidRPr="004F5055">
        <w:t xml:space="preserve"> ka vidējā termiņā investīciju dinamiku pozitīvi ietekmēs arī </w:t>
      </w:r>
      <w:proofErr w:type="spellStart"/>
      <w:r w:rsidR="00726845">
        <w:rPr>
          <w:i/>
        </w:rPr>
        <w:t>euro</w:t>
      </w:r>
      <w:proofErr w:type="spellEnd"/>
      <w:r w:rsidRPr="004F5055">
        <w:t xml:space="preserve"> ieviešana. Tādējādi paredzams, ka investīciju īpatsvars IKP turpinās palielināties, tomēr tas joprojām atpaliks no </w:t>
      </w:r>
      <w:proofErr w:type="spellStart"/>
      <w:r w:rsidRPr="004F5055">
        <w:t>pirmskrīzes</w:t>
      </w:r>
      <w:proofErr w:type="spellEnd"/>
      <w:r w:rsidRPr="004F5055">
        <w:t xml:space="preserve"> līmeņa.</w:t>
      </w:r>
      <w:r w:rsidRPr="00132822">
        <w:t xml:space="preserve"> </w:t>
      </w:r>
    </w:p>
    <w:p w14:paraId="38A78F48" w14:textId="77777777" w:rsidR="00CB2E4C" w:rsidRDefault="00CB2E4C" w:rsidP="00CB2E4C">
      <w:pPr>
        <w:suppressAutoHyphens/>
        <w:ind w:firstLine="720"/>
      </w:pPr>
    </w:p>
    <w:p w14:paraId="7EC909AD" w14:textId="77777777" w:rsidR="00D93B48" w:rsidRPr="00132822" w:rsidRDefault="00D93B48" w:rsidP="00CB2E4C">
      <w:pPr>
        <w:suppressAutoHyphens/>
        <w:ind w:firstLine="720"/>
      </w:pPr>
    </w:p>
    <w:p w14:paraId="0F308A43" w14:textId="77777777" w:rsidR="00CB2E4C" w:rsidRPr="00B7463F" w:rsidRDefault="00CB2E4C" w:rsidP="00CB2E4C">
      <w:pPr>
        <w:ind w:firstLine="720"/>
        <w:rPr>
          <w:b/>
          <w:szCs w:val="24"/>
        </w:rPr>
      </w:pPr>
      <w:r>
        <w:rPr>
          <w:b/>
          <w:szCs w:val="24"/>
        </w:rPr>
        <w:t>Ārējā</w:t>
      </w:r>
      <w:r w:rsidRPr="00132822">
        <w:rPr>
          <w:b/>
          <w:szCs w:val="24"/>
        </w:rPr>
        <w:t xml:space="preserve"> sektora attīstības tendences un scenārijs</w:t>
      </w:r>
    </w:p>
    <w:p w14:paraId="5434DC4B" w14:textId="77777777" w:rsidR="00CB2E4C" w:rsidRPr="00132822" w:rsidRDefault="00CB2E4C" w:rsidP="00CB2E4C">
      <w:pPr>
        <w:ind w:firstLine="720"/>
      </w:pPr>
      <w:r w:rsidRPr="00132822">
        <w:t>No visu laiku augstākā tekošā konta deficīta līmeņa 2006.gadā un tam sekojošā pārpalikuma 2009. un 2010.gadā</w:t>
      </w:r>
      <w:r>
        <w:t>,</w:t>
      </w:r>
      <w:r w:rsidRPr="00132822">
        <w:t xml:space="preserve"> </w:t>
      </w:r>
      <w:r w:rsidRPr="00BF3FA6">
        <w:t xml:space="preserve">tekošais konts jau vairākus gadus atkal ir kļuvis negatīvs, tomēr, </w:t>
      </w:r>
      <w:r>
        <w:t>ņemot vērā</w:t>
      </w:r>
      <w:r w:rsidRPr="00BF3FA6">
        <w:t xml:space="preserve"> Latvijas tautsaimniecības struktūr</w:t>
      </w:r>
      <w:r>
        <w:t xml:space="preserve">u un </w:t>
      </w:r>
      <w:r w:rsidRPr="00BF3FA6">
        <w:t>izaugsmes perspektīv</w:t>
      </w:r>
      <w:r>
        <w:t>as, patreizējais deficīta līmenis šobrīd uzskatāms par ilgtspējīgu</w:t>
      </w:r>
      <w:r w:rsidRPr="00BF3FA6">
        <w:t>.</w:t>
      </w:r>
      <w:r w:rsidRPr="00132822">
        <w:t xml:space="preserve"> Samazinoties ārējās tirdzniecības deficītam, kā arī nerezidentu uzņēmumu gūtajiem ienākumiem Latvijā, maksājumu bilances tekošā konta deficīts 2013.gadā samazinājās līdz 0,8% no IKP. Šāds tekošā konta deficīts nerada bažas par tā finansēšanu un ilgtspēju, jo to pilnībā nosedz ārējās saistības neradošās ārvalstu tiešo investīciju un ES fondu līdzekļu ieplūdes. </w:t>
      </w:r>
    </w:p>
    <w:p w14:paraId="0AF40CAE" w14:textId="6CDD6F17" w:rsidR="00CB2E4C" w:rsidRPr="00132822" w:rsidRDefault="00CB2E4C" w:rsidP="00CB2E4C">
      <w:pPr>
        <w:ind w:firstLine="720"/>
      </w:pPr>
      <w:r w:rsidRPr="00132822">
        <w:t>Ja straujo ārējā sektora korekciju laikā izmaiņas tekošajā kontā galvenokārt noteica izmaiņas ienākumu kontā, tad kopš Latvijas ekonomika ir atgriezusies pie izaugsmes</w:t>
      </w:r>
      <w:r>
        <w:t>,</w:t>
      </w:r>
      <w:r w:rsidRPr="00132822">
        <w:t xml:space="preserve"> galvenās izmaiņas tekošajā kontā nosaka preču un pakalpojumu ārējās tirdzniecības attīstība. Neskatoties uz stabilo privātā patēriņa pieaugumu, vājās investīciju aktivitātes un eksporta izaugsmes palēnināšanās dēļ preču imports 2013.gadā samazinājās par 0,4%. Arī preču eksporta izaugsmes tempi 2013.gadā bija būtiski zemāki nekā iepriekšējos gados un sasniedza vien 1,4%. Būtiski zemākus preču eksporta izaugsmes tempus noteica vājais ārējais pieprasījums, lielākā metalurģijas </w:t>
      </w:r>
      <w:r w:rsidRPr="0081678F">
        <w:t>uzņēmumu AS „Liepājas metalurgs” darbības</w:t>
      </w:r>
      <w:r w:rsidRPr="00132822">
        <w:t xml:space="preserve"> pārtraukšana, kā arī augstā bāze, ko noteica 2012.gada graudaugu raža. Preču eksportam augot straujāk nekā importam, ārējās tirdzniecības deficīts </w:t>
      </w:r>
      <w:r>
        <w:t xml:space="preserve">pērn </w:t>
      </w:r>
      <w:r w:rsidRPr="00132822">
        <w:t xml:space="preserve">samazinājās līdz zemākajam līmenim kopš 2010. gada – 9,0% no IKP. Neskatoties </w:t>
      </w:r>
      <w:r w:rsidR="00726845">
        <w:t xml:space="preserve">uz </w:t>
      </w:r>
      <w:r w:rsidRPr="00132822">
        <w:t xml:space="preserve">negatīvo tendenci nerezidentiem sniegto transporta pakalpojumu sektorā, spēcīga tūrisma un citu komercpakalpojumu izaugsme nodrošināja pakalpojumu pozitīvā saldo pieaugumu līdz 7,1% no IKP. </w:t>
      </w:r>
    </w:p>
    <w:p w14:paraId="4F97241C" w14:textId="77777777" w:rsidR="00CB2E4C" w:rsidRPr="00132822" w:rsidRDefault="00CB2E4C" w:rsidP="00CB2E4C">
      <w:pPr>
        <w:ind w:firstLine="720"/>
        <w:rPr>
          <w:i/>
        </w:rPr>
      </w:pPr>
      <w:r w:rsidRPr="00132822">
        <w:t>Ienākumu konta izmaiņas galvenokārt saistītas ar nerezidentu uzņēmumu Latvijā gūtās peļņas izmaiņām. 2009. un 2010.gadā ienākumu konta pozitīvo pārpalikumu noteica ārvalstu uzņēmumu zaudējumi, bet, atgriežoties pie ekonomiskās izaugsmes, ārvalstu uzņēmumu peļņa ir palielinājusies, un kopš 2011. gada ienākumu konta saldo ir negatīvs. Lai arī 2013.gadā ienākumu konta saldo saglabājās negatīvs, tas bija nedaudz mazāks nekā iepriekšējos gados, sasniedzot 1,4% no IKP un pozitīvi ietekmējot kopējā tekošā konta stāvokli.</w:t>
      </w:r>
      <w:r w:rsidRPr="00132822">
        <w:rPr>
          <w:i/>
        </w:rPr>
        <w:t xml:space="preserve"> </w:t>
      </w:r>
    </w:p>
    <w:p w14:paraId="74512926" w14:textId="77777777" w:rsidR="00CB2E4C" w:rsidRPr="00132822" w:rsidRDefault="00CB2E4C" w:rsidP="00CB2E4C">
      <w:pPr>
        <w:ind w:firstLine="720"/>
      </w:pPr>
      <w:r w:rsidRPr="00132822">
        <w:t xml:space="preserve">Latvijas importa dinamika ir atkarīga no iekšzemes pieprasījuma, ko veido privātais un valdības patēriņš, investīcijas, un eksporta, kam ir tieša ietekme uz starppatēriņa preču importa izmaiņām. Pieaugot nenoteiktībai ārējā vidē, 2013.gadā uzņēmēji ieņēma nogaidošu pozīciju investīciju projektu realizēšanā, kas vienlaikus ar vairāku lielu valsts investīciju projektu pabeigšanu noteica negatīvu investīciju apjomu dinamiku. Savukārt </w:t>
      </w:r>
      <w:r w:rsidRPr="0081678F">
        <w:t>vājāks ārējais pieprasījums un lielākā metalurģijas uzņēmuma AS „Liepājas metalurgs” darbības pārtraukšana noteica mazāku nepieciešamību pēc starppatēriņa preču importa</w:t>
      </w:r>
      <w:r w:rsidRPr="00132822">
        <w:t xml:space="preserve">. 2014.gadā, stabilizējoties situācijai ārējā vidē un palielinoties ārējām pieprasījumam, investīciju apjomu pieaugums kļūs straujāks. Ņemot vērā, ka jaudu noslodzes ir tuvu vēsturiskajam maksimumam, augošais pieprasījums noteiks nepieciešamību pēc lielākām ražošanas jaudām produktivitātes celšanai. Vienlaikus turpinās uzlaboties situācija darba tirgū, kas līdz ar cenu stabilitāti noteiks reālās pirktspējas un patēriņa pieaugumu. Ņemot vērā lielo importa preču īpatsvaru patēriņa struktūrā, patēriņa pieaugums dos </w:t>
      </w:r>
      <w:proofErr w:type="spellStart"/>
      <w:r w:rsidRPr="00132822">
        <w:t>augšupvērstu</w:t>
      </w:r>
      <w:proofErr w:type="spellEnd"/>
      <w:r w:rsidRPr="00132822">
        <w:t xml:space="preserve"> efektu </w:t>
      </w:r>
      <w:r w:rsidRPr="00132822">
        <w:rPr>
          <w:color w:val="000000" w:themeColor="text1"/>
        </w:rPr>
        <w:t>importa pieaugumā. Balstoties uz iepriekš minētajiem pieņēmumiem, tiek prognozēts, ka preču un pakalpojumu imports faktiskajās cenās 2014. gadā palielināsies par 6,6%, bet 2015. gadā – par 7,2%.</w:t>
      </w:r>
    </w:p>
    <w:p w14:paraId="68A494FB" w14:textId="485CC09F" w:rsidR="00CB2E4C" w:rsidRPr="00132822" w:rsidRDefault="00CB2E4C" w:rsidP="00CB2E4C">
      <w:pPr>
        <w:ind w:firstLine="720"/>
      </w:pPr>
      <w:r w:rsidRPr="00132822">
        <w:t>2014.</w:t>
      </w:r>
      <w:r w:rsidR="002926A6">
        <w:t> </w:t>
      </w:r>
      <w:r w:rsidRPr="00132822">
        <w:t xml:space="preserve">gadā eksporta izaugsme būs atkarīga no ārējā pieprasījuma, kā arī </w:t>
      </w:r>
      <w:r>
        <w:t xml:space="preserve">saistīta </w:t>
      </w:r>
      <w:r w:rsidRPr="00132822">
        <w:t>ar Latvijas ra</w:t>
      </w:r>
      <w:r>
        <w:t>žotāju konkurētspējas attīstību</w:t>
      </w:r>
      <w:r w:rsidRPr="00132822">
        <w:t>. Eksporta izaugsmi vairs neietekmēs 2012.</w:t>
      </w:r>
      <w:r w:rsidR="002926A6">
        <w:t> </w:t>
      </w:r>
      <w:r w:rsidRPr="00132822">
        <w:t xml:space="preserve">gada graudaugu raža un apjomu kritums metāla nozarē, kas līdz ar ārējā pieprasījuma pieaugumu noteiks straujākus eksporta pieauguma tempus. </w:t>
      </w:r>
      <w:r>
        <w:t>EK</w:t>
      </w:r>
      <w:r w:rsidRPr="00132822">
        <w:t xml:space="preserve"> publicētās prognozes liecina, ka ekonomiskā attīstība </w:t>
      </w:r>
      <w:r>
        <w:t>ES</w:t>
      </w:r>
      <w:r w:rsidRPr="00132822">
        <w:t xml:space="preserve"> valstīs ir kļuvusi stabilāka, un lielākajā daļā Eiropas valstu ekonomiskās izaugsmes prognozes ir paaugstinātas. </w:t>
      </w:r>
      <w:r w:rsidRPr="00FA262A">
        <w:t xml:space="preserve">Vienlaikus jāatzīmē, ka līdz šim eksporta izaugsmi nodrošināja arī Latvijas tirdzniecības partnervalstu pozitīvā ekonomiskā attīstība, jo to izaugsmes tempi bija augstāki nekā vidēji ES un tās mazāk skāra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 xml:space="preserve">zonas </w:t>
      </w:r>
      <w:r w:rsidRPr="00FA262A">
        <w:t>krīze</w:t>
      </w:r>
      <w:r w:rsidRPr="00132822">
        <w:t xml:space="preserve">. Tomēr pakāpeniski Latvijas tirdzniecības partnervalstu izaugsmes tempi samazinās, un jaunākajās </w:t>
      </w:r>
      <w:r>
        <w:t>EK</w:t>
      </w:r>
      <w:r w:rsidRPr="00132822">
        <w:t xml:space="preserve"> prognozēs Latvijas galvenajām tirdzniecības partnervalstīm, izņemot Poliju,</w:t>
      </w:r>
      <w:r>
        <w:t xml:space="preserve"> ekonomiskās</w:t>
      </w:r>
      <w:r w:rsidRPr="00132822">
        <w:t xml:space="preserve"> izaugsmes prognozes ir</w:t>
      </w:r>
      <w:r>
        <w:t xml:space="preserve"> nedaudz samazinātas. Lai arī tiek prognozēts, ka to</w:t>
      </w:r>
      <w:r w:rsidRPr="00132822">
        <w:t xml:space="preserve"> izaugsmes tempi būs augstāki nekā vidēji ES, starpība starp Latvijas tirdzniecības partnervalstu un ES vidējo izaugsmi ir samazinājusies. </w:t>
      </w:r>
      <w:r w:rsidRPr="00FA262A">
        <w:t xml:space="preserve">Tādēļ eksporta izaugsmes nodrošināšanai un tirgus daļas palielināšanai aizvien lielāka nozīme būs gan </w:t>
      </w:r>
      <w:proofErr w:type="spellStart"/>
      <w:r w:rsidRPr="00FA262A">
        <w:t>ārpuscenas</w:t>
      </w:r>
      <w:proofErr w:type="spellEnd"/>
      <w:r w:rsidRPr="00FA262A">
        <w:t xml:space="preserve"> konkurētspējas faktoru (eksporta kvalitāte, komplicētība u.c.) attīstībai,</w:t>
      </w:r>
      <w:r w:rsidRPr="00132822">
        <w:t xml:space="preserve"> gan produktivitātes celšanai, kas nepieciešams izmaksu konkurētspējas saglabāšanai. Tas savukārt noteiks nepieciešamību pēc jaunām investīcijām. </w:t>
      </w:r>
    </w:p>
    <w:p w14:paraId="0CF45CE5" w14:textId="2427CF88" w:rsidR="00CB2E4C" w:rsidRPr="00132822" w:rsidRDefault="00CB2E4C" w:rsidP="00CB2E4C">
      <w:pPr>
        <w:ind w:firstLine="720"/>
      </w:pPr>
      <w:r w:rsidRPr="00132822">
        <w:t xml:space="preserve">Kā būtisks risks ir parādījies arī </w:t>
      </w:r>
      <w:r>
        <w:t xml:space="preserve">ģeopolitiskās </w:t>
      </w:r>
      <w:r w:rsidRPr="00132822">
        <w:t xml:space="preserve">situācijas eskalācija </w:t>
      </w:r>
      <w:r w:rsidRPr="00FA262A">
        <w:t>Ukrainā - Krievijā</w:t>
      </w:r>
      <w:r w:rsidRPr="00132822">
        <w:t>, kas var būtiski ietek</w:t>
      </w:r>
      <w:r w:rsidR="00726845">
        <w:t>mēt Latvijas eksporta izaugsmi.</w:t>
      </w:r>
      <w:r w:rsidRPr="00132822">
        <w:t xml:space="preserve"> Lai arī Latvijas eksports uz Ukrainu veido vien 0,9% no kopējā preču eksporta, lielākus riskus rada nenoteiktība attiecībā uz sankciju noteikšanu Krievijai, kas ir viens no trīs </w:t>
      </w:r>
      <w:r>
        <w:t xml:space="preserve">Latvijas </w:t>
      </w:r>
      <w:r w:rsidRPr="00132822">
        <w:t xml:space="preserve">lielākajiem eksporta tirgiem. </w:t>
      </w:r>
    </w:p>
    <w:p w14:paraId="159C6C66" w14:textId="2220EED6" w:rsidR="00CB2E4C" w:rsidRPr="00132822" w:rsidRDefault="00CB2E4C" w:rsidP="00CB2E4C">
      <w:pPr>
        <w:ind w:firstLine="720"/>
      </w:pPr>
      <w:r w:rsidRPr="004F5055">
        <w:t>Preču un pakalpojumu eksporta pieaugums faktiskajās cenās 2014.</w:t>
      </w:r>
      <w:r w:rsidR="002926A6">
        <w:t> </w:t>
      </w:r>
      <w:r w:rsidRPr="004F5055">
        <w:t>gadā tiek prognozēts 6,1% apmērā, bet 201</w:t>
      </w:r>
      <w:r w:rsidR="00A610F9">
        <w:t>5</w:t>
      </w:r>
      <w:r w:rsidRPr="004F5055">
        <w:t>.</w:t>
      </w:r>
      <w:r w:rsidR="002926A6">
        <w:t> </w:t>
      </w:r>
      <w:r w:rsidRPr="004F5055">
        <w:t>gadā 6,7% apmērā.</w:t>
      </w:r>
    </w:p>
    <w:p w14:paraId="2CF7492A" w14:textId="77777777" w:rsidR="00CB2E4C" w:rsidRPr="00132822" w:rsidRDefault="00CB2E4C" w:rsidP="00CB2E4C">
      <w:pPr>
        <w:ind w:firstLine="720"/>
        <w:rPr>
          <w:i/>
          <w:color w:val="FF0000"/>
          <w:sz w:val="20"/>
        </w:rPr>
      </w:pPr>
    </w:p>
    <w:p w14:paraId="25BEAE5F" w14:textId="77777777" w:rsidR="00CB2E4C" w:rsidRPr="00132822" w:rsidRDefault="00CB2E4C" w:rsidP="00CB2E4C">
      <w:pPr>
        <w:rPr>
          <w:b/>
        </w:rPr>
      </w:pPr>
      <w:r w:rsidRPr="00132822">
        <w:rPr>
          <w:b/>
        </w:rPr>
        <w:t>Inflācija</w:t>
      </w:r>
    </w:p>
    <w:p w14:paraId="1F342B62" w14:textId="5118979F" w:rsidR="00CB2E4C" w:rsidRDefault="00CB2E4C" w:rsidP="00CB2E4C">
      <w:r>
        <w:t>Patēriņa cenu dinamiku 2011. un 2012.</w:t>
      </w:r>
      <w:r w:rsidR="002926A6">
        <w:t> </w:t>
      </w:r>
      <w:r>
        <w:t xml:space="preserve">gados pārsvarā noteica ārējais cenu spiediens, būtiski pieauga gan energoresursu cenas, gan arī neapstrādātās pārtikas cenas. Cenas ietekmēja arī izmaiņas nodokļu politikā. Savukārt fundamentālie faktori neradīja cenu kāpumu un pamatinflācija visu periodu bija noturīgi zema. </w:t>
      </w:r>
    </w:p>
    <w:p w14:paraId="2F712346" w14:textId="77777777" w:rsidR="00CB2E4C" w:rsidRPr="00132822" w:rsidRDefault="00CB2E4C" w:rsidP="00CB2E4C">
      <w:r w:rsidRPr="00132822">
        <w:t xml:space="preserve">Patēriņa cenas 2013. gadā vidēji palika nemainīgas. Preču grupās iekšēji notika jūtamas svārstības, tomēr kāpumi kompensēja kritumus un vidēji radīja neitrālu rezultātu. Pārtikas precēm bija vērojams vidēji 1,3% kāpums, skatoties vēl </w:t>
      </w:r>
      <w:r>
        <w:t>sīkāk</w:t>
      </w:r>
      <w:r w:rsidRPr="00132822">
        <w:t>, neapstrādātā pārtika kāpa par 3,4%. Citiem vārdiem, pārtikas cenu kāpumu pārsvarā ietekmēja reģionālas cenu svārstības, nevis iekšēj</w:t>
      </w:r>
      <w:r>
        <w:t>i tirgus procesi. Visai līdzīga situācija ir vērojama</w:t>
      </w:r>
      <w:r w:rsidRPr="00132822">
        <w:t xml:space="preserve"> arī nepārtikas precēm, tikai pretējā virzienā. Vidējās cenas nepārtikas precēm samazinājās par 1,3%, no kā enerģētikas precēm cenu samazinājums ir 2,4%. Enerģijas preču cenas pārsvarā nosaka globāli procesi.</w:t>
      </w:r>
    </w:p>
    <w:p w14:paraId="2262F1A6" w14:textId="77777777" w:rsidR="00CB2E4C" w:rsidRPr="00132822" w:rsidRDefault="00CB2E4C" w:rsidP="00D93B48">
      <w:pPr>
        <w:jc w:val="center"/>
      </w:pPr>
      <w:r>
        <w:rPr>
          <w:noProof/>
          <w:lang w:eastAsia="lv-LV"/>
        </w:rPr>
        <w:drawing>
          <wp:inline distT="0" distB="0" distL="0" distR="0" wp14:anchorId="64FA4AD1" wp14:editId="098CE2AB">
            <wp:extent cx="4944139" cy="2764539"/>
            <wp:effectExtent l="0" t="0" r="889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8DD3024" w14:textId="66B0D3A6" w:rsidR="00CB2E4C" w:rsidRPr="00CB2E4C" w:rsidRDefault="00CB2E4C" w:rsidP="00CB2E4C">
      <w:pPr>
        <w:spacing w:line="360" w:lineRule="auto"/>
        <w:jc w:val="center"/>
        <w:rPr>
          <w:b/>
        </w:rPr>
      </w:pPr>
      <w:r w:rsidRPr="00CB2E4C">
        <w:rPr>
          <w:b/>
        </w:rPr>
        <w:t>2.2.attēls. Gada inflācija, pēc izcelsmes avota, %</w:t>
      </w:r>
    </w:p>
    <w:p w14:paraId="688CAFD0" w14:textId="77777777" w:rsidR="00CB2E4C" w:rsidRDefault="00CB2E4C" w:rsidP="00CB2E4C">
      <w:r w:rsidRPr="00132822">
        <w:t>Fundamentālie iekšējie faktori, kas nosaka patēriņa cenu dinamiku vēl arvien ir samērā vāji. Pamatinflācija nav atguvusies, jo iekšējā tirgus spiediens uz cenām ir lielā mērā atkarīgs no darbaspēka izmaksām. Kamēr bezdarbs vēl ir relatīvi augsts, spiediens uz algu kāpumu nav pietiekami spēcīgs, lai būtiski ietekmētu uzņēmumu izmaksas relatīvi pret uzņēmumu gūto peļņu. Tādēļ arī 2014. gadā gada vidējo inflāciju pārsvarā noteiks ārējās vides faktori, kas, ņemot vērā kopējo cenu noskaņojumu ES, šogad vēl neradīs papildu cenu spiedienu. Gaidāms, ka turpmāks bezdarba līmeņa kritums un kāpjošās algas, pārsvarā caur pakalpojumu cenām, sāks ietekmēt pamatinflāciju. Tiek prognozēts, ka vidējā termiņ</w:t>
      </w:r>
      <w:r>
        <w:t xml:space="preserve">ā inflācija būs ap 2,5%, kas, ņemot vērā  </w:t>
      </w:r>
      <w:r w:rsidRPr="00132822">
        <w:t>notiekošo konverģences procesu</w:t>
      </w:r>
      <w:r>
        <w:t xml:space="preserve">, ir Latvijas ekonomiskajai attīstībai atbilstošs radītājs. </w:t>
      </w:r>
    </w:p>
    <w:p w14:paraId="7841BD7D" w14:textId="1B0DEEEF" w:rsidR="00CB2E4C" w:rsidRPr="00132822" w:rsidRDefault="00CB2E4C" w:rsidP="00CB2E4C">
      <w:r>
        <w:t xml:space="preserve">Turklāt </w:t>
      </w:r>
      <w:proofErr w:type="spellStart"/>
      <w:r w:rsidR="00726845">
        <w:rPr>
          <w:i/>
        </w:rPr>
        <w:t>euro</w:t>
      </w:r>
      <w:proofErr w:type="spellEnd"/>
      <w:r w:rsidRPr="00132822">
        <w:t xml:space="preserve"> ieviešana noritēja ļoti </w:t>
      </w:r>
      <w:r>
        <w:t>veiksmīgi</w:t>
      </w:r>
      <w:r w:rsidRPr="00132822">
        <w:t xml:space="preserve"> un cenu kāpums, spriežot pēc pirmo divu mēnešu datiem, ir </w:t>
      </w:r>
      <w:r>
        <w:t>pat par 0,1 procentpunktu zemāks salīdzinājumā ar iepriekš prognozētajiem 0.3 procentpunktiem. To,</w:t>
      </w:r>
      <w:r w:rsidRPr="00132822">
        <w:t xml:space="preserve"> cik lielā mērā prognozes </w:t>
      </w:r>
      <w:r>
        <w:t>būs</w:t>
      </w:r>
      <w:r w:rsidRPr="00132822">
        <w:t xml:space="preserve"> apstiprinājušās, varēs novērtēt tuvāk gada vidum.  </w:t>
      </w:r>
    </w:p>
    <w:p w14:paraId="0D0F5914" w14:textId="77777777" w:rsidR="00CB2E4C" w:rsidRPr="00132822" w:rsidRDefault="00CB2E4C" w:rsidP="00CB2E4C"/>
    <w:p w14:paraId="20D900B3" w14:textId="77777777" w:rsidR="00CB2E4C" w:rsidRPr="00132822" w:rsidRDefault="00CB2E4C" w:rsidP="00CB2E4C">
      <w:pPr>
        <w:pStyle w:val="H4"/>
        <w:spacing w:before="0"/>
        <w:jc w:val="both"/>
        <w:rPr>
          <w:rFonts w:ascii="Times New Roman" w:hAnsi="Times New Roman"/>
          <w:sz w:val="24"/>
          <w:szCs w:val="24"/>
        </w:rPr>
      </w:pPr>
      <w:r w:rsidRPr="00132822">
        <w:rPr>
          <w:rFonts w:ascii="Times New Roman" w:hAnsi="Times New Roman"/>
          <w:sz w:val="24"/>
          <w:szCs w:val="24"/>
        </w:rPr>
        <w:t>Darba tirgus</w:t>
      </w:r>
    </w:p>
    <w:p w14:paraId="3FFCA1DA" w14:textId="77777777" w:rsidR="00CB2E4C" w:rsidRPr="00132822" w:rsidRDefault="00CB2E4C" w:rsidP="00CB2E4C">
      <w:r w:rsidRPr="00132822">
        <w:t xml:space="preserve">Latvijas ekonomikai pārvarot krīzi un atgriežoties spēcīgas izaugsmes periodā, arvien </w:t>
      </w:r>
      <w:proofErr w:type="spellStart"/>
      <w:r w:rsidRPr="00132822">
        <w:t>jūtamāk</w:t>
      </w:r>
      <w:proofErr w:type="spellEnd"/>
      <w:r w:rsidRPr="00132822">
        <w:t xml:space="preserve"> uzlabojas situācija darba tirgū. Tautsaimniecībā nodarbināto iedzīvotāju skaits ir palielinājies jau trešo gadu pēc kārtas, un 2013.gadā tas ir pieaudzis par 2,1%, sasniedzot 893,9 tūkstošus. </w:t>
      </w:r>
    </w:p>
    <w:p w14:paraId="59DA0554" w14:textId="3C13B9ED" w:rsidR="00CB2E4C" w:rsidRPr="00132822" w:rsidRDefault="00CB2E4C" w:rsidP="00CB2E4C">
      <w:r w:rsidRPr="00132822">
        <w:t>Jaunas darba vietas pēdējo gadu laikā veidojušās galvenokārt privātajā sektorā, kur aizņemto darba vietu skaits 2013.gadā bijis par 4,4% lielāks nekā gadu iepriekš, kamēr sabiedriskajā sektorā aizņemto darba vietu skaits gada laikā audzis tikai par 0,5%, tajā skaitā valsts struktūrās pat ir samazinājies par 0,9%. Atšķirīgā strādājošo skaita dinamika pa sektoriem izriet no krīzes laikā piedzīvotajām izmaiņām, kad privātā sektora uzņēmēji deva priekšroku darba vietu skaita, nevis darba samaksas samazināšanai, kamēr sabiedriskaj</w:t>
      </w:r>
      <w:r w:rsidR="00205F98">
        <w:t>ā sektorā vairāk tika samazināta darba samaksa</w:t>
      </w:r>
      <w:r w:rsidRPr="00132822">
        <w:t>. Pašlaik notiek atgriešanās pie iepriekšējo gadu nodarbinātības struktūras ar lielāku privātā sektora īpatsvaru, kuru stimulē ar</w:t>
      </w:r>
      <w:r w:rsidRPr="00E44F32">
        <w:t xml:space="preserve">ī </w:t>
      </w:r>
      <w:r w:rsidR="00E44F32">
        <w:t>zemāks</w:t>
      </w:r>
      <w:r w:rsidRPr="00132822">
        <w:t xml:space="preserve"> darba samaksas līmenis vispārējās valdības sektorā.</w:t>
      </w:r>
    </w:p>
    <w:p w14:paraId="1C0B5F41" w14:textId="77777777" w:rsidR="00CB2E4C" w:rsidRPr="00132822" w:rsidRDefault="00CB2E4C" w:rsidP="00CB2E4C">
      <w:r w:rsidRPr="00132822">
        <w:t>Nozaru griezumā nodarbināto iedzīvotāju skaits 2013.gadā visstraujāk ir audzis mākslas, izklaides un atpūtas nozarē un būvniecībā, kur aizņemto darba vietu skaits bijis attiecīgi par 10,9% un 8,9% lielāks nekā iepriekšējā gadā. Savukārt finanšu pakalpojumu nozarē kā vienīgajā aizņemto darba vietu skaits ir samazinājies par 2,0%. Vislielākās jaunu darba vietu radītājas pagājušajā gadā bijušas būvniecības, apstrādes rūpniecības un transporta nozares, kur vidējais aizņemto darba vietu skaits, salīdzinot ar 2012.gadu, palielinājies attiecīgi par 4,9 tūkstošiem, 2,7 tūkstošiem un 2,5 tūkstošiem.</w:t>
      </w:r>
    </w:p>
    <w:p w14:paraId="7B51FE20" w14:textId="77777777" w:rsidR="00CB2E4C" w:rsidRPr="00132822" w:rsidRDefault="00CB2E4C" w:rsidP="00CB2E4C">
      <w:r w:rsidRPr="00132822">
        <w:t>Palielinoties nodarbinātībai, darba meklētāju īpatsvars 2013.gadā ir samazinājies līdz 11,9% no ekonomiski aktīvajiem iedzīvotājiem, kas ir par 3,1 procentpunktu mazāk nekā 2012.gadā. Darba meklētāju īpatsvara samazināšanās bijusi nedaudz straujāka nekā iepriekšējā gadā, un papildus pozitīvi vērtējams arī tas, ka audzis ekonomiski aktīvo iedzīvotāju skaits, kas no vienas puses, bremzēja vēl straujāku bezdarba līmeņa samazināšanos, bet no otras puses, parāda kopējās situācijas uzlabošanos darba tirgū, kad pieaugot izredzēm atrast darbu un palielinoties piedāvātajai samaksai, darba meklējumus atsāk cilvēki, kas iepriekš no tiem bija atteikušies.</w:t>
      </w:r>
    </w:p>
    <w:p w14:paraId="138F16B3" w14:textId="77777777" w:rsidR="00CB2E4C" w:rsidRPr="00132822" w:rsidRDefault="00CB2E4C" w:rsidP="00CB2E4C">
      <w:r w:rsidRPr="00132822">
        <w:t xml:space="preserve">Arī tuvākajos gados situāciju darba tirgū turpinās pozitīvi ietekmēt sagaidāmā ekonomikas izaugsme – nodarbināto iedzīvotāju skaits turpinās palielināties un darba meklētāju īpatsvars saruks. Tomēr šīs izmaiņas kļūs lēnākas, jo situāciju </w:t>
      </w:r>
      <w:proofErr w:type="spellStart"/>
      <w:r w:rsidRPr="00132822">
        <w:t>jūtamāk</w:t>
      </w:r>
      <w:proofErr w:type="spellEnd"/>
      <w:r w:rsidRPr="00132822">
        <w:t xml:space="preserve"> sāks ietekmēt darbspējas vecuma iedzīvotāju skaita samazināšanās, kā arī tas, ka ekonomikas izaugsmes iespējas uz nodarbinātības pieauguma rēķina kļūs arvien mazākas. Bezdarba līmeņa samazināšanos tuvākajos gados vājinās arī izmaiņas darbspējīgo iedzīvotāju vecuma struktūrā, kad samazinoties ekonomiski mazāk aktīvo jauniešu (15-24 gadi) īpatsvaram starp visiem darbspējas vecuma iedzīvotājiem, palielināsies kopējais ekonomiskās aktivitātes līmenis. </w:t>
      </w:r>
    </w:p>
    <w:p w14:paraId="73669B47" w14:textId="77777777" w:rsidR="00CB2E4C" w:rsidRDefault="00CB2E4C" w:rsidP="00CB2E4C">
      <w:r w:rsidRPr="00132822">
        <w:t>Paredzams, ka 2014.gadā tautsaimniecībā nodarbināto iedzīvotāju skaits palielināsies par 1,2%, kamēr trīs nākamajos gados palēnināsies vidēji līdz 0,5% gadā. Līdz ar to iekšzemes kopprodukta pieaugumu tāpat kā iepriekšējos gados vairāk nodrošinās produktivitātes, nevis strādājošo skaita pieaugums</w:t>
      </w:r>
      <w:r w:rsidRPr="00780FAC">
        <w:t>.</w:t>
      </w:r>
    </w:p>
    <w:p w14:paraId="425FF338" w14:textId="77777777" w:rsidR="00CB2E4C" w:rsidRPr="006B78F2" w:rsidRDefault="00CB2E4C" w:rsidP="00CB2E4C">
      <w:pPr>
        <w:pStyle w:val="Zpar"/>
        <w:spacing w:after="120"/>
        <w:ind w:left="0" w:right="-57" w:firstLine="0"/>
        <w:jc w:val="center"/>
        <w:rPr>
          <w:rFonts w:ascii="Times New Roman" w:hAnsi="Times New Roman"/>
          <w:i w:val="0"/>
          <w:noProof/>
          <w:sz w:val="24"/>
        </w:rPr>
      </w:pPr>
      <w:r w:rsidRPr="006B78F2">
        <w:rPr>
          <w:noProof/>
          <w:lang w:eastAsia="lv-LV"/>
        </w:rPr>
        <w:drawing>
          <wp:inline distT="0" distB="0" distL="0" distR="0" wp14:anchorId="526FCAD6" wp14:editId="3AF24185">
            <wp:extent cx="4656448" cy="2732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87377" cy="2750554"/>
                    </a:xfrm>
                    <a:prstGeom prst="rect">
                      <a:avLst/>
                    </a:prstGeom>
                    <a:noFill/>
                    <a:ln>
                      <a:noFill/>
                    </a:ln>
                  </pic:spPr>
                </pic:pic>
              </a:graphicData>
            </a:graphic>
          </wp:inline>
        </w:drawing>
      </w:r>
    </w:p>
    <w:p w14:paraId="76029211" w14:textId="377D9377" w:rsidR="00CB2E4C" w:rsidRPr="00CB2E4C" w:rsidRDefault="00CB2E4C" w:rsidP="00CB2E4C">
      <w:pPr>
        <w:pStyle w:val="Zpar"/>
        <w:spacing w:after="120"/>
        <w:ind w:left="0" w:right="-57" w:firstLine="0"/>
        <w:jc w:val="center"/>
        <w:rPr>
          <w:rFonts w:ascii="Times New Roman" w:hAnsi="Times New Roman"/>
          <w:b/>
          <w:i w:val="0"/>
          <w:sz w:val="24"/>
        </w:rPr>
      </w:pPr>
      <w:r w:rsidRPr="00CB2E4C">
        <w:rPr>
          <w:rFonts w:ascii="Times New Roman" w:hAnsi="Times New Roman"/>
          <w:b/>
          <w:i w:val="0"/>
          <w:noProof/>
          <w:sz w:val="24"/>
        </w:rPr>
        <w:t>2.3. att</w:t>
      </w:r>
      <w:r w:rsidR="00E64B2F">
        <w:rPr>
          <w:rFonts w:ascii="Times New Roman" w:hAnsi="Times New Roman"/>
          <w:b/>
          <w:i w:val="0"/>
          <w:noProof/>
          <w:sz w:val="24"/>
        </w:rPr>
        <w:t>ēls</w:t>
      </w:r>
      <w:r w:rsidRPr="00CB2E4C">
        <w:rPr>
          <w:rFonts w:ascii="Times New Roman" w:hAnsi="Times New Roman"/>
          <w:b/>
          <w:i w:val="0"/>
          <w:noProof/>
          <w:sz w:val="24"/>
        </w:rPr>
        <w:t>.</w:t>
      </w:r>
      <w:r w:rsidRPr="00CB2E4C">
        <w:rPr>
          <w:rFonts w:ascii="Times New Roman" w:hAnsi="Times New Roman"/>
          <w:b/>
          <w:i w:val="0"/>
          <w:sz w:val="24"/>
        </w:rPr>
        <w:t xml:space="preserve"> Nodarbinātība un bezdarbs 2007.–2017.</w:t>
      </w:r>
      <w:r w:rsidR="002926A6">
        <w:rPr>
          <w:rFonts w:ascii="Times New Roman" w:hAnsi="Times New Roman"/>
          <w:b/>
          <w:i w:val="0"/>
          <w:sz w:val="24"/>
        </w:rPr>
        <w:t> </w:t>
      </w:r>
      <w:r w:rsidRPr="00CB2E4C">
        <w:rPr>
          <w:rFonts w:ascii="Times New Roman" w:hAnsi="Times New Roman"/>
          <w:b/>
          <w:i w:val="0"/>
          <w:sz w:val="24"/>
        </w:rPr>
        <w:t>gadā</w:t>
      </w:r>
    </w:p>
    <w:p w14:paraId="5BAA9780" w14:textId="678F1ADD" w:rsidR="00CB2E4C" w:rsidRPr="006B78F2" w:rsidRDefault="00CB2E4C" w:rsidP="00CB2E4C">
      <w:r w:rsidRPr="006B78F2">
        <w:t>Nodarbinātībai turpinot pakāpeniski palielināties, bezdarba līmenis vidējā termiņā pazemināsies, ko papildus ietekmēs arī darbspējas vecuma iedzīvotāju skaita samazināšanās. 2014.gadā sagaidāma darba meklētāju īpatsvara samazināšanās līdz 10,5% no ekonomiski aktīvajiem iedzīvotājiem, bet jau no 2015.</w:t>
      </w:r>
      <w:r w:rsidR="002926A6">
        <w:t> </w:t>
      </w:r>
      <w:r w:rsidRPr="006B78F2">
        <w:t>gada bezdarba līmenis būs sarucis zem 10%. Turpmākajos gados līdz ar lēnāku nodarbināto skaita pieaugumu bezdarba līmeņa samazināšanās kļūs lēnāka, ko ietekmēs arī sagaidāmais iedzīvotāju ekonomiskās aktivitātes pieaugums, uzlabojoties darba atrašanas iespējām un atalgojuma līmenim, kā arī mainoties darbspējas vecuma iedzīvotāju vecuma struktūrai, tajā samazinoties tradicionāli ekonomiski neaktīvāko jauniešu vecuma grupas īpatsvaram.</w:t>
      </w:r>
    </w:p>
    <w:p w14:paraId="4D4F3023" w14:textId="56B614EF" w:rsidR="00CB2E4C" w:rsidRPr="00780FAC" w:rsidRDefault="00CB2E4C" w:rsidP="001B6A4A">
      <w:r w:rsidRPr="006B78F2">
        <w:t>Kopš 2010.gada, kad ekonomiskās krīzes ietekmē uzņēmumi bija spiesti būtiski samazināt strādājošo skaitu, kā arī racionalizēt darba procesus un ieviest jaunas tehnoloģijas, tautsaimniecībā ir atsācies produktivitātes pieaugums, kas turpināsies arī laikā līdz 2017.gadam. Pēc ekonomiskās krīzes pārvarēšanas arī produktivitāte tautsaimniecībā ir augusi straujāk par strādājošo reālo darba samaksu, veicinot Latvijas konkurētspējas pieaugumu ārējos tirgos, un sagaidāms, ka arī turpmākajos gados darba samaksas pieaugums nepārsniegs produktivitātes pieaugumu.</w:t>
      </w:r>
    </w:p>
    <w:p w14:paraId="71F67A51" w14:textId="77777777" w:rsidR="00CB2E4C" w:rsidRDefault="00CB2E4C" w:rsidP="00CB2E4C">
      <w:pPr>
        <w:ind w:firstLine="720"/>
      </w:pPr>
    </w:p>
    <w:p w14:paraId="17BF59D5" w14:textId="77777777" w:rsidR="00CB2E4C" w:rsidRPr="007C165A" w:rsidRDefault="00CB2E4C" w:rsidP="00CB2E4C">
      <w:pPr>
        <w:pStyle w:val="H4"/>
        <w:spacing w:before="0"/>
        <w:jc w:val="both"/>
        <w:rPr>
          <w:rFonts w:ascii="Times New Roman" w:hAnsi="Times New Roman"/>
          <w:sz w:val="24"/>
          <w:szCs w:val="24"/>
        </w:rPr>
      </w:pPr>
      <w:r w:rsidRPr="007C165A">
        <w:rPr>
          <w:rFonts w:ascii="Times New Roman" w:hAnsi="Times New Roman"/>
          <w:sz w:val="24"/>
          <w:szCs w:val="24"/>
        </w:rPr>
        <w:t>Ekonomikas cikliskā attīstība</w:t>
      </w:r>
    </w:p>
    <w:p w14:paraId="22E60324" w14:textId="77777777" w:rsidR="00CB2E4C" w:rsidRDefault="00CB2E4C" w:rsidP="00CB2E4C">
      <w:r>
        <w:t xml:space="preserve">Saskaņā ar FM aprēķiniem, izlaižu starpība noslēdzās 2013. gadā un turpmākajos gados būs vērojama mēreni pozitīva izlaižu starpība, atspoguļojot inerces efektu, ko radījusi samērā ātrā ekonomikas atgriešanās pie sava potenciālā līmeņa. Lai arī kopumā brīvā darbaspēka iekļaušana darba tirgū ir noritējusi veiksmīgi, tomēr atkarībā no nozares situācija ir dažāda. Iespējams, ka darbaspēka rādītājos sāks iezīmēties izteiktākas neatbilstības problēmas gan prasmēs, gan ģeogrāfiskā izvietojumā, gan arī demogrāfisku efektu dēļ. Šo problēmu risināšanai valsts īsteno samērā plašus darbaspēka iekļaušanas pasākumus, </w:t>
      </w:r>
      <w:r w:rsidRPr="00BA491F">
        <w:t xml:space="preserve">kas vērsti uz gan darbinieku konkurētspējas paaugstināšanu esošajās profesijās, gan darbinieku </w:t>
      </w:r>
      <w:proofErr w:type="spellStart"/>
      <w:r w:rsidRPr="00BA491F">
        <w:t>pārkvalifikāciju</w:t>
      </w:r>
      <w:proofErr w:type="spellEnd"/>
      <w:r w:rsidRPr="00BA491F">
        <w:t xml:space="preserve"> un apmācību, gan komercdarbības un </w:t>
      </w:r>
      <w:proofErr w:type="spellStart"/>
      <w:r w:rsidRPr="00BA491F">
        <w:t>pašnodarbinātības</w:t>
      </w:r>
      <w:proofErr w:type="spellEnd"/>
      <w:r w:rsidRPr="00BA491F">
        <w:t xml:space="preserve"> veicināšanu.</w:t>
      </w:r>
    </w:p>
    <w:p w14:paraId="6D134FD8" w14:textId="77777777" w:rsidR="00CB2E4C" w:rsidRDefault="00CB2E4C" w:rsidP="00CB2E4C">
      <w:pPr>
        <w:jc w:val="center"/>
      </w:pPr>
      <w:r w:rsidRPr="004F5055">
        <w:rPr>
          <w:noProof/>
          <w:lang w:eastAsia="lv-LV"/>
        </w:rPr>
        <w:drawing>
          <wp:inline distT="0" distB="0" distL="0" distR="0" wp14:anchorId="1E7490D6" wp14:editId="78E5240D">
            <wp:extent cx="5274310" cy="185112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74310" cy="1851125"/>
                    </a:xfrm>
                    <a:prstGeom prst="rect">
                      <a:avLst/>
                    </a:prstGeom>
                    <a:noFill/>
                    <a:ln>
                      <a:noFill/>
                    </a:ln>
                  </pic:spPr>
                </pic:pic>
              </a:graphicData>
            </a:graphic>
          </wp:inline>
        </w:drawing>
      </w:r>
    </w:p>
    <w:p w14:paraId="18EB1485" w14:textId="2CF27FFE" w:rsidR="00CB2E4C" w:rsidRPr="00CB2E4C" w:rsidRDefault="00CB2E4C" w:rsidP="00CB2E4C">
      <w:pPr>
        <w:jc w:val="center"/>
        <w:rPr>
          <w:b/>
        </w:rPr>
      </w:pPr>
      <w:r w:rsidRPr="00CB2E4C">
        <w:rPr>
          <w:b/>
        </w:rPr>
        <w:t>2.4. attēls. Potenciālais IKP un izlaižu starpība</w:t>
      </w:r>
    </w:p>
    <w:p w14:paraId="0D7F0052" w14:textId="617F48E1" w:rsidR="00CB2E4C" w:rsidRDefault="00CB2E4C" w:rsidP="00CB2E4C">
      <w:r>
        <w:t>Analizējot EK publicētās makroekonomiskās prognozes, var secināt, ka izaugsmes rādītāji vidējā termiņā svārstīsies ap 4%, kas ir nedaudz zemāks rādītājs, nekā 2011. un 2012. gados novērotais kāpums pāri 5%. Pēc ļoti spēcīga krituma 2009. gadā, zemā IKP bāze ļāva uzrādīt spēcīgus pieaugumus, savukārt vidējā termiņā ekonomikas attīstības prognozes tuvosies normālam vidējam pieauguma tempam ap 4% (1994.</w:t>
      </w:r>
      <w:r w:rsidR="002926A6">
        <w:t> </w:t>
      </w:r>
      <w:r>
        <w:t>gada – 2009.</w:t>
      </w:r>
      <w:r w:rsidR="002926A6">
        <w:t> </w:t>
      </w:r>
      <w:r>
        <w:t xml:space="preserve">gada vidējais reālā IKP pieaugums ir 4,1%), kas atbilst arī FM potenciālā IKP izaugsmes novērtējumam. </w:t>
      </w:r>
    </w:p>
    <w:p w14:paraId="5C3C00A3" w14:textId="04A122A7" w:rsidR="00CB2E4C" w:rsidRDefault="00CB2E4C" w:rsidP="00D9246B">
      <w:r w:rsidRPr="007A740F">
        <w:t>Lai gan EK aprēķini rāda, ka vidējā termiņā Latvijā būs vērojama būtiski pozitīva izlaižu</w:t>
      </w:r>
      <w:r>
        <w:t xml:space="preserve"> starpība (2015. gadā 2,8%), tomēr </w:t>
      </w:r>
      <w:r w:rsidRPr="007A740F">
        <w:t xml:space="preserve"> nedz faktiskie dati, nedz prognozes šobrīd par to neliecina.</w:t>
      </w:r>
      <w:r>
        <w:t xml:space="preserve"> Vidējā termiņā ne inflācijas, ne arī darba algas rādītājos nav vērojamas izteiktas paātrinājuma tendences, reālā darbaspēka izmaksu indikatora pieaugums tuvojas nullei, tekošā konta deficītu pamatā rada tikai </w:t>
      </w:r>
      <w:r w:rsidR="00D9246B">
        <w:t>ES</w:t>
      </w:r>
      <w:r>
        <w:t xml:space="preserve"> fondu līdzekļi, ārējā parāda attiecība pret IKP konstanti samazinās. Papildus tam, EK ziemas prognozes un FM pavasara makroekonomiskās prognozes un no tām izrietošie secinājumi par attīstības scenāriju ir ļoti līdzīgi. No tiem nevar izsecināt, ka Latvijas ekonomika šobrīd sāk pārkarst, kā to paredz EK aprēķini par izlaižu starpību. Jāatzīmē, ka arī atbilstoši agrās brīdināšanas mehānismam, Latvijā nav konstatētas nesabalansētības, kas varētu liecināt par iespējamiem draudiem ekonomikas stabilitātei.</w:t>
      </w:r>
    </w:p>
    <w:p w14:paraId="056F95D0" w14:textId="5BB82E96" w:rsidR="002926A6" w:rsidRDefault="00CB2E4C" w:rsidP="002926A6">
      <w:r>
        <w:t>Ņemot vērā augstākminētos faktorus, uzskatam, ka EK izlaižu starpības aprēķini neatspoguļo faktisko ekonomisko situāc</w:t>
      </w:r>
      <w:r w:rsidR="00D9246B">
        <w:t>iju Latvijā. Tādēļ izstrādājot S</w:t>
      </w:r>
      <w:r>
        <w:t>tabilitātes programmu, FM turpinās izmantot nacionālo izlaižu starpības aprēķina metodoloģiju.</w:t>
      </w:r>
      <w:r w:rsidR="00B64D6D">
        <w:t xml:space="preserve"> </w:t>
      </w:r>
    </w:p>
    <w:p w14:paraId="023238C2" w14:textId="326DC188" w:rsidR="00B64D6D" w:rsidRDefault="00B64D6D" w:rsidP="002926A6">
      <w:pPr>
        <w:ind w:firstLine="0"/>
      </w:pPr>
    </w:p>
    <w:p w14:paraId="221089FB" w14:textId="583324A5" w:rsidR="0060396D" w:rsidRPr="009C61B1" w:rsidRDefault="00EB6C31" w:rsidP="00383DBE">
      <w:pPr>
        <w:pStyle w:val="PIRMAIS"/>
        <w:ind w:left="0" w:firstLine="0"/>
        <w:jc w:val="both"/>
      </w:pPr>
      <w:bookmarkStart w:id="11" w:name="_Toc353885594"/>
      <w:bookmarkStart w:id="12" w:name="_Toc385517811"/>
      <w:bookmarkStart w:id="13" w:name="_Toc291159211"/>
      <w:bookmarkStart w:id="14" w:name="_Toc120504686"/>
      <w:bookmarkStart w:id="15" w:name="_Toc284924052"/>
      <w:bookmarkEnd w:id="9"/>
      <w:r>
        <w:t>3</w:t>
      </w:r>
      <w:r w:rsidR="0060396D" w:rsidRPr="009C61B1">
        <w:t>.</w:t>
      </w:r>
      <w:r w:rsidR="0060396D" w:rsidRPr="009C61B1">
        <w:tab/>
        <w:t>Vispārējās v</w:t>
      </w:r>
      <w:r w:rsidR="00383DBE">
        <w:t xml:space="preserve">aldības budžeta bilance </w:t>
      </w:r>
      <w:r w:rsidR="0060396D" w:rsidRPr="009C61B1">
        <w:t>un parāds</w:t>
      </w:r>
      <w:bookmarkEnd w:id="11"/>
      <w:bookmarkEnd w:id="12"/>
    </w:p>
    <w:p w14:paraId="6F8A361A" w14:textId="4261D228" w:rsidR="0060396D" w:rsidRDefault="00EB6C31" w:rsidP="00BC1070">
      <w:pPr>
        <w:pStyle w:val="otrais"/>
        <w:ind w:left="0" w:firstLine="0"/>
        <w:rPr>
          <w:color w:val="000000"/>
        </w:rPr>
      </w:pPr>
      <w:bookmarkStart w:id="16" w:name="_Toc323120285"/>
      <w:bookmarkStart w:id="17" w:name="_Toc385517812"/>
      <w:r>
        <w:rPr>
          <w:color w:val="000000"/>
        </w:rPr>
        <w:t>3</w:t>
      </w:r>
      <w:r w:rsidR="0060396D" w:rsidRPr="001946E0">
        <w:rPr>
          <w:color w:val="000000"/>
        </w:rPr>
        <w:t>.1. Pašreizējā fiskālā situācija</w:t>
      </w:r>
      <w:bookmarkEnd w:id="16"/>
      <w:bookmarkEnd w:id="17"/>
    </w:p>
    <w:p w14:paraId="1BF68246" w14:textId="025ED6B1" w:rsidR="006B5F7D" w:rsidRDefault="006B5F7D" w:rsidP="006B5F7D">
      <w:pPr>
        <w:pStyle w:val="teksts"/>
        <w:ind w:firstLine="720"/>
        <w:rPr>
          <w:rFonts w:ascii="Times New Roman" w:eastAsia="Calibri" w:hAnsi="Times New Roman"/>
          <w:color w:val="000000"/>
          <w:szCs w:val="24"/>
        </w:rPr>
      </w:pPr>
      <w:r>
        <w:rPr>
          <w:rFonts w:ascii="Times New Roman" w:eastAsia="Calibri" w:hAnsi="Times New Roman"/>
          <w:color w:val="000000"/>
          <w:szCs w:val="24"/>
        </w:rPr>
        <w:t>Vispārējās valdības nacionālo kont</w:t>
      </w:r>
      <w:r w:rsidR="00FF28D4">
        <w:rPr>
          <w:rFonts w:ascii="Times New Roman" w:eastAsia="Calibri" w:hAnsi="Times New Roman"/>
          <w:color w:val="000000"/>
          <w:szCs w:val="24"/>
        </w:rPr>
        <w:t>u faktiskie rezultāti par 2013.</w:t>
      </w:r>
      <w:r>
        <w:rPr>
          <w:rFonts w:ascii="Times New Roman" w:eastAsia="Calibri" w:hAnsi="Times New Roman"/>
          <w:color w:val="000000"/>
          <w:szCs w:val="24"/>
        </w:rPr>
        <w:t xml:space="preserve">gadu uzrāda, ka vispārējās valdības budžeta deficīts pērn nav pārsniedzis 1,0% robežu no IKP </w:t>
      </w:r>
      <w:r w:rsidRPr="004E50E0">
        <w:rPr>
          <w:rFonts w:ascii="Times New Roman" w:eastAsia="Calibri" w:hAnsi="Times New Roman"/>
          <w:color w:val="000000"/>
          <w:szCs w:val="24"/>
        </w:rPr>
        <w:t>jeb 223,8 milj</w:t>
      </w:r>
      <w:r>
        <w:rPr>
          <w:rFonts w:ascii="Times New Roman" w:eastAsia="Calibri" w:hAnsi="Times New Roman"/>
          <w:color w:val="000000"/>
          <w:szCs w:val="24"/>
        </w:rPr>
        <w:t xml:space="preserve">. </w:t>
      </w:r>
      <w:proofErr w:type="spellStart"/>
      <w:r w:rsidR="00FF28D4">
        <w:rPr>
          <w:rFonts w:ascii="Times New Roman" w:eastAsia="Calibri" w:hAnsi="Times New Roman"/>
          <w:i/>
          <w:color w:val="000000"/>
          <w:szCs w:val="24"/>
        </w:rPr>
        <w:t>euro</w:t>
      </w:r>
      <w:proofErr w:type="spellEnd"/>
      <w:r>
        <w:rPr>
          <w:rFonts w:ascii="Times New Roman" w:eastAsia="Calibri" w:hAnsi="Times New Roman"/>
          <w:color w:val="000000"/>
          <w:szCs w:val="24"/>
        </w:rPr>
        <w:t xml:space="preserve">, kas ir par 0,1 procentpunktu labāks rezultāts nekā tika plānots iepriekšējā Konverģences programmā. Kopumā, vērtējot publisko finanšu attīstību, pagājušajā gadā bija vērojams viens no zemākajiem deficītiem kopš 2007.gada. </w:t>
      </w:r>
    </w:p>
    <w:p w14:paraId="5AF08760" w14:textId="1BC113E1" w:rsidR="006B5F7D" w:rsidRDefault="006B5F7D" w:rsidP="006B5F7D">
      <w:r>
        <w:t>2013.gadā bija vērojams ieņēmumu un izdevumu nominālais kāpums, gada laikā vispārējās valdības budžeta ieņēmumiem pakāpjoties par 5,8%, bet izdevumiem – par 4,7%. Tajā pat laikā relatīvi pret ekonomikas izaugsmi ieņēmumi pērn saglabājās 2012.gada līmenī, sasniedzot 35,1% no IKP, savukārt, pārdalītie resursi vispārējās valdības budžeta izdevumos samazinājās par 0,3 procentpunktiem un veidoja 36,1% no IKP.</w:t>
      </w:r>
    </w:p>
    <w:p w14:paraId="588666CF" w14:textId="6B686DEC" w:rsidR="006B5F7D" w:rsidRDefault="0000191C" w:rsidP="0000191C">
      <w:pPr>
        <w:jc w:val="center"/>
      </w:pPr>
      <w:r>
        <w:rPr>
          <w:noProof/>
          <w:lang w:eastAsia="lv-LV"/>
        </w:rPr>
        <w:drawing>
          <wp:inline distT="0" distB="0" distL="0" distR="0" wp14:anchorId="0E5814E5" wp14:editId="64265D92">
            <wp:extent cx="4648200" cy="2686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722F37C" w14:textId="5B9FBD5F" w:rsidR="006B5F7D" w:rsidRPr="006B5F7D" w:rsidRDefault="005A28E3" w:rsidP="006B5F7D">
      <w:pPr>
        <w:pStyle w:val="teksts"/>
        <w:ind w:firstLine="720"/>
        <w:jc w:val="center"/>
        <w:rPr>
          <w:rFonts w:ascii="Times New Roman" w:eastAsia="Calibri" w:hAnsi="Times New Roman"/>
          <w:b/>
          <w:szCs w:val="24"/>
        </w:rPr>
      </w:pPr>
      <w:r>
        <w:rPr>
          <w:rFonts w:ascii="Times New Roman" w:eastAsia="Calibri" w:hAnsi="Times New Roman"/>
          <w:b/>
          <w:szCs w:val="24"/>
        </w:rPr>
        <w:t>3</w:t>
      </w:r>
      <w:r w:rsidR="006B5F7D" w:rsidRPr="006B5F7D">
        <w:rPr>
          <w:rFonts w:ascii="Times New Roman" w:eastAsia="Calibri" w:hAnsi="Times New Roman"/>
          <w:b/>
          <w:szCs w:val="24"/>
        </w:rPr>
        <w:t>.1. att</w:t>
      </w:r>
      <w:r w:rsidR="00EA0A2F">
        <w:rPr>
          <w:rFonts w:ascii="Times New Roman" w:eastAsia="Calibri" w:hAnsi="Times New Roman"/>
          <w:b/>
          <w:szCs w:val="24"/>
        </w:rPr>
        <w:t>ēls</w:t>
      </w:r>
      <w:r w:rsidR="006B5F7D" w:rsidRPr="006B5F7D">
        <w:rPr>
          <w:rFonts w:ascii="Times New Roman" w:eastAsia="Calibri" w:hAnsi="Times New Roman"/>
          <w:b/>
          <w:szCs w:val="24"/>
        </w:rPr>
        <w:t xml:space="preserve">. Vispārējās valdības ieņēmumi, izdevumi un </w:t>
      </w:r>
      <w:r w:rsidR="006B5F7D" w:rsidRPr="00D4517C">
        <w:rPr>
          <w:rFonts w:ascii="Times New Roman" w:eastAsia="Calibri" w:hAnsi="Times New Roman"/>
          <w:b/>
          <w:szCs w:val="24"/>
        </w:rPr>
        <w:t>bilance</w:t>
      </w:r>
      <w:r w:rsidR="006B5F7D" w:rsidRPr="00D4517C">
        <w:rPr>
          <w:rStyle w:val="FootnoteReference"/>
          <w:rFonts w:ascii="Times New Roman" w:eastAsia="Calibri" w:hAnsi="Times New Roman"/>
          <w:b/>
          <w:sz w:val="24"/>
          <w:szCs w:val="24"/>
        </w:rPr>
        <w:footnoteReference w:id="4"/>
      </w:r>
      <w:r w:rsidR="006B5F7D" w:rsidRPr="00D4517C">
        <w:rPr>
          <w:rFonts w:ascii="Times New Roman" w:eastAsia="Calibri" w:hAnsi="Times New Roman"/>
          <w:b/>
          <w:szCs w:val="24"/>
        </w:rPr>
        <w:t>,</w:t>
      </w:r>
      <w:r w:rsidR="006B5F7D" w:rsidRPr="006B5F7D">
        <w:rPr>
          <w:rFonts w:ascii="Times New Roman" w:eastAsia="Calibri" w:hAnsi="Times New Roman"/>
          <w:b/>
          <w:szCs w:val="24"/>
        </w:rPr>
        <w:t xml:space="preserve"> % no IKP</w:t>
      </w:r>
    </w:p>
    <w:p w14:paraId="52E39F2F" w14:textId="37DA0959" w:rsidR="006B5F7D" w:rsidRDefault="00FF28D4" w:rsidP="006B5F7D">
      <w:r>
        <w:t>2013.</w:t>
      </w:r>
      <w:r w:rsidR="006B5F7D">
        <w:t xml:space="preserve">gadā nodokļu ieņēmumu (atbilstoši EKS metodoloģijai) </w:t>
      </w:r>
      <w:r>
        <w:t>pieaugums, salīdzinot ar  2012.</w:t>
      </w:r>
      <w:r w:rsidR="006B5F7D">
        <w:t>gadu, bija 5,7%. Nozīmīgāko ieguldījumu budžeta ieņēmumu izaugsmē sniedza ražošanas un importa nodokļi (+6,1%), ko sekmēja noturīgs privātais patēriņš, kā arī kārtējie nodokļi no ienākuma un mantas (+5,2%), kas pamatā veidojas no iedzīvotāju ienākuma nodokļa ieņēmumiem. Iedzīvotāju ienākuma nodokļa ieņēmumu pieaugumu 2013.</w:t>
      </w:r>
      <w:r>
        <w:t>gadā salīdzinājumā ar 2012.</w:t>
      </w:r>
      <w:r w:rsidR="006B5F7D">
        <w:t xml:space="preserve">gadu pamatā noteica </w:t>
      </w:r>
      <w:r w:rsidR="006B5F7D" w:rsidRPr="001311D5">
        <w:t xml:space="preserve">darba samaksas </w:t>
      </w:r>
      <w:r w:rsidR="006B5F7D">
        <w:t>un darba ņēmēju skaita pieaugums, neskatotie</w:t>
      </w:r>
      <w:r w:rsidR="006B5F7D" w:rsidRPr="001311D5">
        <w:t>s uz likmes samazinājumu un atvieglojuma par apgādībā esošu personu palielināšanu.</w:t>
      </w:r>
    </w:p>
    <w:p w14:paraId="015E9E54" w14:textId="4275BD7B" w:rsidR="006B5F7D" w:rsidRDefault="006B5F7D" w:rsidP="006B5F7D">
      <w:r>
        <w:t>Pieaugot vispārējā valdības gala patēriņa izdevumiem (pamatā darbinieku atalgojumam un starppatēriņam), gada laikā kopējais izdevumu līmenis ir pakāpies par 4,7%. Uzsākot procentu maksāj</w:t>
      </w:r>
      <w:r w:rsidR="00FF28D4">
        <w:t>umus pēc divām veiksmīgām 2012.</w:t>
      </w:r>
      <w:r>
        <w:t xml:space="preserve">gada parāda vērtspapīru emisijām ASV finanšu tirgos, vispārējās valdības procentu izdevumi palielinājās no 295,1 milj. </w:t>
      </w:r>
      <w:proofErr w:type="spellStart"/>
      <w:r w:rsidR="00FF28D4">
        <w:rPr>
          <w:i/>
        </w:rPr>
        <w:t>euro</w:t>
      </w:r>
      <w:proofErr w:type="spellEnd"/>
      <w:r w:rsidR="00FF28D4">
        <w:t xml:space="preserve"> 2012.</w:t>
      </w:r>
      <w:r>
        <w:t xml:space="preserve">gadā līdz 388,2 milj. </w:t>
      </w:r>
      <w:proofErr w:type="spellStart"/>
      <w:r w:rsidR="00FF28D4">
        <w:rPr>
          <w:i/>
        </w:rPr>
        <w:t>euro</w:t>
      </w:r>
      <w:proofErr w:type="spellEnd"/>
      <w:r w:rsidR="00FF28D4" w:rsidDel="00FF28D4">
        <w:t xml:space="preserve"> </w:t>
      </w:r>
      <w:r w:rsidR="00FF28D4">
        <w:t>2013.gadā. Tāpat, 2013.</w:t>
      </w:r>
      <w:r>
        <w:t xml:space="preserve">gadā materializējās jau gada sākumā identificētais risks attiecībā uz līdzšinēji lielāko metalurģijas uzņēmumu valstī, kā rezultātā tika izpildītas galvotās kredītsaistības </w:t>
      </w:r>
      <w:r w:rsidRPr="00AD22AF">
        <w:t>maksātnespējīg</w:t>
      </w:r>
      <w:r>
        <w:t>ās</w:t>
      </w:r>
      <w:r w:rsidRPr="00AD22AF">
        <w:t xml:space="preserve"> AS “Liepājas metalurgs”</w:t>
      </w:r>
      <w:r>
        <w:t xml:space="preserve"> vārdā, veicot kapitāla pārvedumu </w:t>
      </w:r>
      <w:r w:rsidRPr="00AD22AF">
        <w:t>73,6 milj.</w:t>
      </w:r>
      <w:r>
        <w:t xml:space="preserve"> </w:t>
      </w:r>
      <w:proofErr w:type="spellStart"/>
      <w:r w:rsidR="00FF28D4">
        <w:rPr>
          <w:i/>
        </w:rPr>
        <w:t>euro</w:t>
      </w:r>
      <w:proofErr w:type="spellEnd"/>
      <w:r w:rsidR="00FF28D4" w:rsidRPr="00AD22AF" w:rsidDel="00FF28D4">
        <w:t xml:space="preserve"> </w:t>
      </w:r>
      <w:r w:rsidRPr="00AD22AF">
        <w:t>apmērā</w:t>
      </w:r>
      <w:r>
        <w:t>.</w:t>
      </w:r>
    </w:p>
    <w:p w14:paraId="25EC9E3C" w14:textId="26F51C68" w:rsidR="006B5F7D" w:rsidRDefault="006B5F7D" w:rsidP="006B5F7D">
      <w:r>
        <w:rPr>
          <w:noProof/>
        </w:rPr>
        <w:t>Analizējot vispārējās valdības apakšsektoru</w:t>
      </w:r>
      <w:r>
        <w:rPr>
          <w:rStyle w:val="FootnoteReference"/>
          <w:noProof/>
        </w:rPr>
        <w:footnoteReference w:id="5"/>
      </w:r>
      <w:r>
        <w:t xml:space="preserve"> ieguldījumu kopējā bilancē, jāsecina, ka 20</w:t>
      </w:r>
      <w:r w:rsidR="00FF28D4">
        <w:t>13.gadā salīdzinājumā ar 2012.</w:t>
      </w:r>
      <w:r>
        <w:t>gadu ir būtiski palielinājies vietējās valdības deficīts. To galvenokārt noteica izdevumu pieaugums bruto pamatkapitāla veidošanai, ņemot vērā to, ka pašvaldības intensīvāk īstenoja ES fondu projektus, kā arī aktīvāk aizņēmās dažādu investīciju projektu realizācijai, piemēram, izglītības iestāžu renovācijai.</w:t>
      </w:r>
    </w:p>
    <w:p w14:paraId="017F339A" w14:textId="77777777" w:rsidR="006B5F7D" w:rsidRDefault="006B5F7D" w:rsidP="006B5F7D">
      <w:pPr>
        <w:spacing w:before="240"/>
        <w:jc w:val="center"/>
      </w:pPr>
      <w:r>
        <w:rPr>
          <w:noProof/>
          <w:lang w:eastAsia="lv-LV"/>
        </w:rPr>
        <w:drawing>
          <wp:inline distT="0" distB="0" distL="0" distR="0" wp14:anchorId="1CACCD9A" wp14:editId="2C5854CE">
            <wp:extent cx="4848225" cy="26384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C0D9572" w14:textId="1A30C4C0" w:rsidR="005D3DB3" w:rsidRDefault="005A28E3" w:rsidP="005D3DB3">
      <w:pPr>
        <w:pStyle w:val="teksts"/>
        <w:ind w:firstLine="720"/>
        <w:jc w:val="center"/>
        <w:rPr>
          <w:rFonts w:ascii="Times New Roman" w:hAnsi="Times New Roman"/>
          <w:b/>
          <w:i/>
        </w:rPr>
      </w:pPr>
      <w:r>
        <w:rPr>
          <w:rFonts w:ascii="Times New Roman" w:eastAsia="Calibri" w:hAnsi="Times New Roman"/>
          <w:b/>
          <w:szCs w:val="24"/>
        </w:rPr>
        <w:t>3</w:t>
      </w:r>
      <w:r w:rsidR="006B5F7D" w:rsidRPr="006B5F7D">
        <w:rPr>
          <w:rFonts w:ascii="Times New Roman" w:eastAsia="Calibri" w:hAnsi="Times New Roman"/>
          <w:b/>
          <w:szCs w:val="24"/>
        </w:rPr>
        <w:t>.2. att</w:t>
      </w:r>
      <w:r w:rsidR="00EA0A2F">
        <w:rPr>
          <w:rFonts w:ascii="Times New Roman" w:eastAsia="Calibri" w:hAnsi="Times New Roman"/>
          <w:b/>
          <w:szCs w:val="24"/>
        </w:rPr>
        <w:t>ēls</w:t>
      </w:r>
      <w:r w:rsidR="006B5F7D" w:rsidRPr="006B5F7D">
        <w:rPr>
          <w:rFonts w:ascii="Times New Roman" w:eastAsia="Calibri" w:hAnsi="Times New Roman"/>
          <w:b/>
          <w:szCs w:val="24"/>
        </w:rPr>
        <w:t xml:space="preserve">. Vispārējās valdības budžeta bilance sadalījumā pa </w:t>
      </w:r>
      <w:r w:rsidR="006B5F7D" w:rsidRPr="006B5F7D">
        <w:rPr>
          <w:rFonts w:ascii="Times New Roman" w:eastAsia="Calibri" w:hAnsi="Times New Roman"/>
          <w:b/>
          <w:noProof/>
          <w:szCs w:val="24"/>
        </w:rPr>
        <w:t>apakšsektoriem</w:t>
      </w:r>
      <w:r w:rsidR="006B5F7D" w:rsidRPr="006B5F7D">
        <w:rPr>
          <w:rStyle w:val="FootnoteReference"/>
          <w:rFonts w:ascii="Times New Roman" w:eastAsia="Calibri" w:hAnsi="Times New Roman"/>
          <w:b/>
          <w:szCs w:val="24"/>
        </w:rPr>
        <w:footnoteReference w:id="6"/>
      </w:r>
      <w:r w:rsidR="006B5F7D" w:rsidRPr="006B5F7D">
        <w:rPr>
          <w:rFonts w:ascii="Times New Roman" w:eastAsia="Calibri" w:hAnsi="Times New Roman"/>
          <w:b/>
          <w:noProof/>
          <w:szCs w:val="24"/>
        </w:rPr>
        <w:t>, milj.</w:t>
      </w:r>
      <w:r w:rsidR="00FF28D4" w:rsidRPr="00FF28D4">
        <w:rPr>
          <w:i/>
        </w:rPr>
        <w:t xml:space="preserve"> </w:t>
      </w:r>
      <w:proofErr w:type="spellStart"/>
      <w:r w:rsidR="00FF28D4" w:rsidRPr="009A6681">
        <w:rPr>
          <w:rFonts w:ascii="Times New Roman" w:hAnsi="Times New Roman"/>
          <w:b/>
          <w:i/>
        </w:rPr>
        <w:t>euro</w:t>
      </w:r>
      <w:bookmarkStart w:id="18" w:name="_Toc323120286"/>
      <w:proofErr w:type="spellEnd"/>
    </w:p>
    <w:p w14:paraId="140537AB" w14:textId="77777777" w:rsidR="00D4517C" w:rsidRPr="005D3DB3" w:rsidRDefault="00D4517C" w:rsidP="005D3DB3">
      <w:pPr>
        <w:pStyle w:val="teksts"/>
        <w:ind w:firstLine="720"/>
        <w:jc w:val="center"/>
        <w:rPr>
          <w:rFonts w:ascii="Times New Roman" w:eastAsia="Calibri" w:hAnsi="Times New Roman"/>
          <w:b/>
          <w:noProof/>
          <w:szCs w:val="24"/>
        </w:rPr>
      </w:pPr>
    </w:p>
    <w:p w14:paraId="1C891CE7" w14:textId="425CC25D" w:rsidR="005D3DB3" w:rsidRDefault="00EB6C31" w:rsidP="005D3DB3">
      <w:pPr>
        <w:pStyle w:val="otrais"/>
        <w:ind w:left="0" w:firstLine="0"/>
        <w:rPr>
          <w:color w:val="000000"/>
        </w:rPr>
      </w:pPr>
      <w:bookmarkStart w:id="19" w:name="_Toc385517813"/>
      <w:r>
        <w:rPr>
          <w:color w:val="000000"/>
        </w:rPr>
        <w:t>3</w:t>
      </w:r>
      <w:r w:rsidR="005D3DB3">
        <w:rPr>
          <w:color w:val="000000"/>
        </w:rPr>
        <w:t>.2. Fiskālās politikas stratēģija un vidēja termiņa mērķi</w:t>
      </w:r>
      <w:bookmarkEnd w:id="19"/>
    </w:p>
    <w:p w14:paraId="73AA5B31" w14:textId="44CF1E3D" w:rsidR="00154514" w:rsidRDefault="00D9246B" w:rsidP="00154514">
      <w:pPr>
        <w:pStyle w:val="teksts"/>
        <w:rPr>
          <w:rFonts w:ascii="Times New Roman" w:eastAsia="Calibri" w:hAnsi="Times New Roman"/>
          <w:color w:val="000000"/>
          <w:szCs w:val="24"/>
        </w:rPr>
      </w:pPr>
      <w:r>
        <w:rPr>
          <w:rFonts w:ascii="Times New Roman" w:eastAsia="Calibri" w:hAnsi="Times New Roman"/>
          <w:color w:val="000000"/>
          <w:szCs w:val="24"/>
        </w:rPr>
        <w:t>Latvijas fiskālā</w:t>
      </w:r>
      <w:r w:rsidR="00154514">
        <w:rPr>
          <w:rFonts w:ascii="Times New Roman" w:eastAsia="Calibri" w:hAnsi="Times New Roman"/>
          <w:color w:val="000000"/>
          <w:szCs w:val="24"/>
        </w:rPr>
        <w:t xml:space="preserve"> politika turpina balstīties uz šādiem principiem:</w:t>
      </w:r>
    </w:p>
    <w:p w14:paraId="69796893" w14:textId="77777777" w:rsidR="00154514" w:rsidRPr="00425817" w:rsidRDefault="00154514" w:rsidP="00154514">
      <w:pPr>
        <w:pStyle w:val="teksts"/>
        <w:numPr>
          <w:ilvl w:val="0"/>
          <w:numId w:val="23"/>
        </w:numPr>
        <w:tabs>
          <w:tab w:val="left" w:pos="993"/>
        </w:tabs>
        <w:ind w:hanging="11"/>
        <w:rPr>
          <w:rFonts w:ascii="Times New Roman" w:eastAsia="Calibri" w:hAnsi="Times New Roman"/>
          <w:color w:val="000000"/>
          <w:szCs w:val="24"/>
        </w:rPr>
      </w:pPr>
      <w:r w:rsidRPr="00425817">
        <w:rPr>
          <w:rFonts w:ascii="Times New Roman" w:eastAsia="Calibri" w:hAnsi="Times New Roman"/>
          <w:color w:val="000000"/>
          <w:szCs w:val="24"/>
        </w:rPr>
        <w:t>taupības princips — pieejamie resursi izmantojami lietderīgi un efektīvi;</w:t>
      </w:r>
    </w:p>
    <w:p w14:paraId="71ADC051" w14:textId="77777777"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 xml:space="preserve">uzkrājuma veidošanas princips — ja to ļauj ekonomiskā situācija, budžets </w:t>
      </w:r>
      <w:r>
        <w:rPr>
          <w:rFonts w:ascii="Times New Roman" w:eastAsia="Calibri" w:hAnsi="Times New Roman"/>
          <w:color w:val="000000"/>
          <w:szCs w:val="24"/>
        </w:rPr>
        <w:t xml:space="preserve">tiek </w:t>
      </w:r>
      <w:r w:rsidRPr="00425817">
        <w:rPr>
          <w:rFonts w:ascii="Times New Roman" w:eastAsia="Calibri" w:hAnsi="Times New Roman"/>
          <w:color w:val="000000"/>
          <w:szCs w:val="24"/>
        </w:rPr>
        <w:t>plānots u</w:t>
      </w:r>
      <w:r>
        <w:rPr>
          <w:rFonts w:ascii="Times New Roman" w:eastAsia="Calibri" w:hAnsi="Times New Roman"/>
          <w:color w:val="000000"/>
          <w:szCs w:val="24"/>
        </w:rPr>
        <w:t xml:space="preserve">n izpildīts ar pārpalikumu, kas </w:t>
      </w:r>
      <w:r w:rsidRPr="00425817">
        <w:rPr>
          <w:rFonts w:ascii="Times New Roman" w:eastAsia="Calibri" w:hAnsi="Times New Roman"/>
          <w:color w:val="000000"/>
          <w:szCs w:val="24"/>
        </w:rPr>
        <w:t>savukārt ļauj segt nākotnes saistības ekonomiskās situācijas pasliktināšanās vai budžeta neizpildes gadījumā;</w:t>
      </w:r>
    </w:p>
    <w:p w14:paraId="31B7D95D" w14:textId="77777777"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proofErr w:type="spellStart"/>
      <w:r w:rsidRPr="00425817">
        <w:rPr>
          <w:rFonts w:ascii="Times New Roman" w:eastAsia="Calibri" w:hAnsi="Times New Roman"/>
          <w:color w:val="000000"/>
          <w:szCs w:val="24"/>
        </w:rPr>
        <w:t>pretcikliskas</w:t>
      </w:r>
      <w:proofErr w:type="spellEnd"/>
      <w:r w:rsidRPr="00425817">
        <w:rPr>
          <w:rFonts w:ascii="Times New Roman" w:eastAsia="Calibri" w:hAnsi="Times New Roman"/>
          <w:color w:val="000000"/>
          <w:szCs w:val="24"/>
        </w:rPr>
        <w:t xml:space="preserve"> fiskālās politikas princips — tāda fiskālā politika, kas darbojas pretēji ekonomika</w:t>
      </w:r>
      <w:r>
        <w:rPr>
          <w:rFonts w:ascii="Times New Roman" w:eastAsia="Calibri" w:hAnsi="Times New Roman"/>
          <w:color w:val="000000"/>
          <w:szCs w:val="24"/>
        </w:rPr>
        <w:t xml:space="preserve">s cikla tendencēm, </w:t>
      </w:r>
      <w:r w:rsidRPr="00425817">
        <w:rPr>
          <w:rFonts w:ascii="Times New Roman" w:eastAsia="Calibri" w:hAnsi="Times New Roman"/>
          <w:color w:val="000000"/>
          <w:szCs w:val="24"/>
        </w:rPr>
        <w:t>proti, ekonomikas cikla augšupejas fāzē tiek realizēta ierobežojoša, bet lejupslīdes fāzē — stimulējoša fiskālā politika;</w:t>
      </w:r>
    </w:p>
    <w:p w14:paraId="751A9B06" w14:textId="77777777"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 xml:space="preserve">stabilitātes princips — finanšu politika ir paredzama un pēctecīga, un tādējādi tā veicina ekonomikas attīstību </w:t>
      </w:r>
      <w:r>
        <w:rPr>
          <w:rFonts w:ascii="Times New Roman" w:eastAsia="Calibri" w:hAnsi="Times New Roman"/>
          <w:color w:val="000000"/>
          <w:szCs w:val="24"/>
        </w:rPr>
        <w:t xml:space="preserve">un </w:t>
      </w:r>
      <w:r w:rsidRPr="00425817">
        <w:rPr>
          <w:rFonts w:ascii="Times New Roman" w:eastAsia="Calibri" w:hAnsi="Times New Roman"/>
          <w:color w:val="000000"/>
          <w:szCs w:val="24"/>
        </w:rPr>
        <w:t>finanšu stabilitāti;</w:t>
      </w:r>
    </w:p>
    <w:p w14:paraId="18BA3802" w14:textId="5ED1B822"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ilgtspējīgas fiskālās politikas princips — fiskālās poli</w:t>
      </w:r>
      <w:r>
        <w:rPr>
          <w:rFonts w:ascii="Times New Roman" w:eastAsia="Calibri" w:hAnsi="Times New Roman"/>
          <w:color w:val="000000"/>
          <w:szCs w:val="24"/>
        </w:rPr>
        <w:t xml:space="preserve">tikas mērķis ir nodrošināt, lai vispārējās valdības parāda </w:t>
      </w:r>
      <w:r w:rsidRPr="00425817">
        <w:rPr>
          <w:rFonts w:ascii="Times New Roman" w:eastAsia="Calibri" w:hAnsi="Times New Roman"/>
          <w:color w:val="000000"/>
          <w:szCs w:val="24"/>
        </w:rPr>
        <w:t>apjoms neuzliek nesamērīgu slogu ekonomikai,</w:t>
      </w:r>
      <w:r>
        <w:rPr>
          <w:rFonts w:ascii="Times New Roman" w:eastAsia="Calibri" w:hAnsi="Times New Roman"/>
          <w:color w:val="000000"/>
          <w:szCs w:val="24"/>
        </w:rPr>
        <w:t xml:space="preserve"> </w:t>
      </w:r>
      <w:r w:rsidRPr="00425817">
        <w:rPr>
          <w:rFonts w:ascii="Times New Roman" w:eastAsia="Calibri" w:hAnsi="Times New Roman"/>
          <w:color w:val="000000"/>
          <w:szCs w:val="24"/>
        </w:rPr>
        <w:t>bet veicina tās attīstību ilgtermiņā;</w:t>
      </w:r>
    </w:p>
    <w:p w14:paraId="3B035DE6" w14:textId="77777777"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paaudžu savstarpējās atbildības princips — fiskālajā politikā tiek ņemta vērā tās f</w:t>
      </w:r>
      <w:r>
        <w:rPr>
          <w:rFonts w:ascii="Times New Roman" w:eastAsia="Calibri" w:hAnsi="Times New Roman"/>
          <w:color w:val="000000"/>
          <w:szCs w:val="24"/>
        </w:rPr>
        <w:t xml:space="preserve">inansiālā ietekme uz sabiedrību </w:t>
      </w:r>
      <w:r w:rsidRPr="00425817">
        <w:rPr>
          <w:rFonts w:ascii="Times New Roman" w:eastAsia="Calibri" w:hAnsi="Times New Roman"/>
          <w:color w:val="000000"/>
          <w:szCs w:val="24"/>
        </w:rPr>
        <w:t>gan šobrīd, gan nākamajās paaudzēs;</w:t>
      </w:r>
    </w:p>
    <w:p w14:paraId="0B360ABD" w14:textId="77777777" w:rsidR="00154514" w:rsidRPr="00425817"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atklātuma princips — tiek nodrošināta publiski pieejama info</w:t>
      </w:r>
      <w:r>
        <w:rPr>
          <w:rFonts w:ascii="Times New Roman" w:eastAsia="Calibri" w:hAnsi="Times New Roman"/>
          <w:color w:val="000000"/>
          <w:szCs w:val="24"/>
        </w:rPr>
        <w:t xml:space="preserve">rmācija par fiskālās </w:t>
      </w:r>
      <w:r w:rsidRPr="00425817">
        <w:rPr>
          <w:rFonts w:ascii="Times New Roman" w:eastAsia="Calibri" w:hAnsi="Times New Roman"/>
          <w:color w:val="000000"/>
          <w:szCs w:val="24"/>
        </w:rPr>
        <w:t>pol</w:t>
      </w:r>
      <w:r>
        <w:rPr>
          <w:rFonts w:ascii="Times New Roman" w:eastAsia="Calibri" w:hAnsi="Times New Roman"/>
          <w:color w:val="000000"/>
          <w:szCs w:val="24"/>
        </w:rPr>
        <w:t>itikas mērķiem, to sasniegšanas metodēm un rezultātiem;</w:t>
      </w:r>
    </w:p>
    <w:p w14:paraId="3346A165" w14:textId="5C47C68F" w:rsidR="00154514" w:rsidRDefault="00154514" w:rsidP="00154514">
      <w:pPr>
        <w:pStyle w:val="teksts"/>
        <w:numPr>
          <w:ilvl w:val="0"/>
          <w:numId w:val="23"/>
        </w:numPr>
        <w:tabs>
          <w:tab w:val="left" w:pos="993"/>
        </w:tabs>
        <w:ind w:left="993" w:hanging="284"/>
        <w:rPr>
          <w:rFonts w:ascii="Times New Roman" w:eastAsia="Calibri" w:hAnsi="Times New Roman"/>
          <w:color w:val="000000"/>
          <w:szCs w:val="24"/>
        </w:rPr>
      </w:pPr>
      <w:r w:rsidRPr="00425817">
        <w:rPr>
          <w:rFonts w:ascii="Times New Roman" w:eastAsia="Calibri" w:hAnsi="Times New Roman"/>
          <w:color w:val="000000"/>
          <w:szCs w:val="24"/>
        </w:rPr>
        <w:t>solidaritātes princips — vispārējās valdības sektorā iekļautās institūcijas solidāri iev</w:t>
      </w:r>
      <w:r>
        <w:rPr>
          <w:rFonts w:ascii="Times New Roman" w:eastAsia="Calibri" w:hAnsi="Times New Roman"/>
          <w:color w:val="000000"/>
          <w:szCs w:val="24"/>
        </w:rPr>
        <w:t xml:space="preserve">ēro </w:t>
      </w:r>
      <w:r w:rsidR="00F82AFD">
        <w:rPr>
          <w:rFonts w:ascii="Times New Roman" w:eastAsia="Calibri" w:hAnsi="Times New Roman"/>
          <w:color w:val="000000"/>
          <w:szCs w:val="24"/>
        </w:rPr>
        <w:t>FDL</w:t>
      </w:r>
      <w:r>
        <w:rPr>
          <w:rFonts w:ascii="Times New Roman" w:eastAsia="Calibri" w:hAnsi="Times New Roman"/>
          <w:color w:val="000000"/>
          <w:szCs w:val="24"/>
        </w:rPr>
        <w:t xml:space="preserve"> noteiktos un uz </w:t>
      </w:r>
      <w:r w:rsidRPr="00425817">
        <w:rPr>
          <w:rFonts w:ascii="Times New Roman" w:eastAsia="Calibri" w:hAnsi="Times New Roman"/>
          <w:color w:val="000000"/>
          <w:szCs w:val="24"/>
        </w:rPr>
        <w:t>vispārējās valdības sektoru attiecināmos fiskālos nosacījumus.</w:t>
      </w:r>
    </w:p>
    <w:p w14:paraId="37AA6407" w14:textId="2B0EFF94"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Latvijas fiskālās politikas stratēģijas pamatā ir ekonomiskajā ciklā sabalansēta budžeta nosacījums jeb nosacījums, ka strukturāla</w:t>
      </w:r>
      <w:r w:rsidR="0000191C">
        <w:rPr>
          <w:rFonts w:ascii="Times New Roman" w:eastAsia="Calibri" w:hAnsi="Times New Roman"/>
          <w:color w:val="000000"/>
          <w:szCs w:val="24"/>
        </w:rPr>
        <w:t>i</w:t>
      </w:r>
      <w:r>
        <w:rPr>
          <w:rFonts w:ascii="Times New Roman" w:eastAsia="Calibri" w:hAnsi="Times New Roman"/>
          <w:color w:val="000000"/>
          <w:szCs w:val="24"/>
        </w:rPr>
        <w:t>s deficīts ilgtermiņā (VTM) nedrīkst pārsniegt 0,5% no IKP.</w:t>
      </w:r>
    </w:p>
    <w:p w14:paraId="1ECC2D32" w14:textId="6B806061" w:rsidR="00154514" w:rsidRDefault="00154514" w:rsidP="00154514">
      <w:pPr>
        <w:pStyle w:val="teksts"/>
        <w:ind w:firstLine="720"/>
        <w:rPr>
          <w:rFonts w:ascii="Times New Roman" w:eastAsia="Calibri" w:hAnsi="Times New Roman"/>
          <w:i/>
          <w:color w:val="000000"/>
          <w:szCs w:val="24"/>
        </w:rPr>
      </w:pPr>
      <w:r>
        <w:rPr>
          <w:rFonts w:ascii="Times New Roman" w:eastAsia="Calibri" w:hAnsi="Times New Roman"/>
          <w:color w:val="000000"/>
          <w:szCs w:val="24"/>
        </w:rPr>
        <w:t xml:space="preserve">2013.gadā pieņemtais </w:t>
      </w:r>
      <w:r w:rsidR="00701569">
        <w:rPr>
          <w:rFonts w:ascii="Times New Roman" w:eastAsia="Calibri" w:hAnsi="Times New Roman"/>
          <w:color w:val="000000"/>
          <w:szCs w:val="24"/>
        </w:rPr>
        <w:t>FDL</w:t>
      </w:r>
      <w:r>
        <w:rPr>
          <w:rFonts w:ascii="Times New Roman" w:eastAsia="Calibri" w:hAnsi="Times New Roman"/>
          <w:color w:val="000000"/>
          <w:szCs w:val="24"/>
        </w:rPr>
        <w:t xml:space="preserve"> izveido sistēmu vispārējās valdības bilances mērķu noteikšanai saskaņā ar </w:t>
      </w:r>
      <w:r w:rsidRPr="007D5FFD">
        <w:rPr>
          <w:rFonts w:ascii="Times New Roman" w:eastAsia="Calibri" w:hAnsi="Times New Roman"/>
          <w:i/>
          <w:color w:val="000000"/>
          <w:szCs w:val="24"/>
        </w:rPr>
        <w:t>lejupvērst</w:t>
      </w:r>
      <w:r>
        <w:rPr>
          <w:rFonts w:ascii="Times New Roman" w:eastAsia="Calibri" w:hAnsi="Times New Roman"/>
          <w:i/>
          <w:color w:val="000000"/>
          <w:szCs w:val="24"/>
        </w:rPr>
        <w:t>o</w:t>
      </w:r>
      <w:r w:rsidRPr="007D5FFD">
        <w:rPr>
          <w:rFonts w:ascii="Times New Roman" w:eastAsia="Calibri" w:hAnsi="Times New Roman"/>
          <w:i/>
          <w:color w:val="000000"/>
          <w:szCs w:val="24"/>
        </w:rPr>
        <w:t xml:space="preserve"> budžeta </w:t>
      </w:r>
      <w:r>
        <w:rPr>
          <w:rFonts w:ascii="Times New Roman" w:eastAsia="Calibri" w:hAnsi="Times New Roman"/>
          <w:i/>
          <w:color w:val="000000"/>
          <w:szCs w:val="24"/>
        </w:rPr>
        <w:t>bilances</w:t>
      </w:r>
      <w:r w:rsidRPr="007D5FFD">
        <w:rPr>
          <w:rFonts w:ascii="Times New Roman" w:eastAsia="Calibri" w:hAnsi="Times New Roman"/>
          <w:i/>
          <w:color w:val="000000"/>
          <w:szCs w:val="24"/>
        </w:rPr>
        <w:t xml:space="preserve"> plānošanas metod</w:t>
      </w:r>
      <w:r>
        <w:rPr>
          <w:rFonts w:ascii="Times New Roman" w:eastAsia="Calibri" w:hAnsi="Times New Roman"/>
          <w:i/>
          <w:color w:val="000000"/>
          <w:szCs w:val="24"/>
        </w:rPr>
        <w:t>i.</w:t>
      </w:r>
    </w:p>
    <w:p w14:paraId="19EEAA0A" w14:textId="1053D22B"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Šī metode ļauj izvirzīt strukturāl</w:t>
      </w:r>
      <w:r w:rsidR="00205F98">
        <w:rPr>
          <w:rFonts w:ascii="Times New Roman" w:eastAsia="Calibri" w:hAnsi="Times New Roman"/>
          <w:color w:val="000000"/>
          <w:szCs w:val="24"/>
        </w:rPr>
        <w:t>ās bilances mērķus katram gadam</w:t>
      </w:r>
      <w:r>
        <w:rPr>
          <w:rFonts w:ascii="Times New Roman" w:eastAsia="Calibri" w:hAnsi="Times New Roman"/>
          <w:color w:val="000000"/>
          <w:szCs w:val="24"/>
        </w:rPr>
        <w:t xml:space="preserve"> tā</w:t>
      </w:r>
      <w:r w:rsidR="00205F98">
        <w:rPr>
          <w:rFonts w:ascii="Times New Roman" w:eastAsia="Calibri" w:hAnsi="Times New Roman"/>
          <w:color w:val="000000"/>
          <w:szCs w:val="24"/>
        </w:rPr>
        <w:t>,</w:t>
      </w:r>
      <w:r>
        <w:rPr>
          <w:rFonts w:ascii="Times New Roman" w:eastAsia="Calibri" w:hAnsi="Times New Roman"/>
          <w:color w:val="000000"/>
          <w:szCs w:val="24"/>
        </w:rPr>
        <w:t xml:space="preserve"> lai tie atbilstu Stabilitātes un izaugsmes </w:t>
      </w:r>
      <w:proofErr w:type="spellStart"/>
      <w:r>
        <w:rPr>
          <w:rFonts w:ascii="Times New Roman" w:eastAsia="Calibri" w:hAnsi="Times New Roman"/>
          <w:color w:val="000000"/>
          <w:szCs w:val="24"/>
        </w:rPr>
        <w:t>pakta</w:t>
      </w:r>
      <w:proofErr w:type="spellEnd"/>
      <w:r>
        <w:rPr>
          <w:rFonts w:ascii="Times New Roman" w:eastAsia="Calibri" w:hAnsi="Times New Roman"/>
          <w:color w:val="000000"/>
          <w:szCs w:val="24"/>
        </w:rPr>
        <w:t xml:space="preserve"> nosacījumiem un attiecīgi aprēķināt nominālās</w:t>
      </w:r>
      <w:r w:rsidR="00DC7E37">
        <w:rPr>
          <w:rFonts w:ascii="Times New Roman" w:eastAsia="Calibri" w:hAnsi="Times New Roman"/>
          <w:color w:val="000000"/>
          <w:szCs w:val="24"/>
        </w:rPr>
        <w:t xml:space="preserve"> pieļaujamās</w:t>
      </w:r>
      <w:r>
        <w:rPr>
          <w:rFonts w:ascii="Times New Roman" w:eastAsia="Calibri" w:hAnsi="Times New Roman"/>
          <w:color w:val="000000"/>
          <w:szCs w:val="24"/>
        </w:rPr>
        <w:t xml:space="preserve"> bilances (maksimāli pieļaujamo vispārējās valdības deficītu, vai minimālo pieļaujamo vispārējās valdības budžeta pārpalikumu).</w:t>
      </w:r>
    </w:p>
    <w:p w14:paraId="73FDF10F" w14:textId="13EC9435"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Vienlaicīgi tiek piemērota arī </w:t>
      </w:r>
      <w:proofErr w:type="spellStart"/>
      <w:r w:rsidRPr="002A4FCF">
        <w:rPr>
          <w:rFonts w:ascii="Times New Roman" w:eastAsia="Calibri" w:hAnsi="Times New Roman"/>
          <w:i/>
          <w:color w:val="000000"/>
          <w:szCs w:val="24"/>
        </w:rPr>
        <w:t>augšupvērstā</w:t>
      </w:r>
      <w:proofErr w:type="spellEnd"/>
      <w:r w:rsidRPr="002A4FCF">
        <w:rPr>
          <w:rFonts w:ascii="Times New Roman" w:eastAsia="Calibri" w:hAnsi="Times New Roman"/>
          <w:i/>
          <w:color w:val="000000"/>
          <w:szCs w:val="24"/>
        </w:rPr>
        <w:t xml:space="preserve"> budžeta bilances plānošanas metode</w:t>
      </w:r>
      <w:r>
        <w:rPr>
          <w:rFonts w:ascii="Times New Roman" w:eastAsia="Calibri" w:hAnsi="Times New Roman"/>
          <w:color w:val="000000"/>
          <w:szCs w:val="24"/>
        </w:rPr>
        <w:t xml:space="preserve">, saskaņā ar kuru tiek prognozēta vispārējās valdības budžeta bilance nemainīgas politikas gadījumā. </w:t>
      </w:r>
    </w:p>
    <w:p w14:paraId="7015CBD3" w14:textId="2B7976F4"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Vispārīgā gadījumā budžeta bilances pēc abām metodēm atšķiras. Ja budžeta bilance pēc </w:t>
      </w:r>
      <w:r w:rsidRPr="002A4FCF">
        <w:rPr>
          <w:rFonts w:ascii="Times New Roman" w:eastAsia="Calibri" w:hAnsi="Times New Roman"/>
          <w:color w:val="000000"/>
          <w:szCs w:val="24"/>
        </w:rPr>
        <w:t>pirmās metodes</w:t>
      </w:r>
      <w:r>
        <w:rPr>
          <w:rFonts w:ascii="Times New Roman" w:eastAsia="Calibri" w:hAnsi="Times New Roman"/>
          <w:i/>
          <w:color w:val="000000"/>
          <w:szCs w:val="24"/>
        </w:rPr>
        <w:t xml:space="preserve"> </w:t>
      </w:r>
      <w:r w:rsidRPr="002A4FCF">
        <w:rPr>
          <w:rFonts w:ascii="Times New Roman" w:eastAsia="Calibri" w:hAnsi="Times New Roman"/>
          <w:color w:val="000000"/>
          <w:szCs w:val="24"/>
        </w:rPr>
        <w:t>ir lielāka, kā</w:t>
      </w:r>
      <w:r>
        <w:rPr>
          <w:rFonts w:ascii="Times New Roman" w:eastAsia="Calibri" w:hAnsi="Times New Roman"/>
          <w:i/>
          <w:color w:val="000000"/>
          <w:szCs w:val="24"/>
        </w:rPr>
        <w:t xml:space="preserve"> </w:t>
      </w:r>
      <w:r>
        <w:rPr>
          <w:rFonts w:ascii="Times New Roman" w:eastAsia="Calibri" w:hAnsi="Times New Roman"/>
          <w:color w:val="000000"/>
          <w:szCs w:val="24"/>
        </w:rPr>
        <w:t>pēc otrās metodes, valdības rīcībā ir tā saucamā fiskālā telpa, jeb iespējas palielināt izdevumus jaunām politikas iniciatīvām, vai samazināt ieņēmumus</w:t>
      </w:r>
      <w:r w:rsidR="00205F98">
        <w:rPr>
          <w:rFonts w:ascii="Times New Roman" w:eastAsia="Calibri" w:hAnsi="Times New Roman"/>
          <w:color w:val="000000"/>
          <w:szCs w:val="24"/>
        </w:rPr>
        <w:t>, atbalstot</w:t>
      </w:r>
      <w:r>
        <w:rPr>
          <w:rFonts w:ascii="Times New Roman" w:eastAsia="Calibri" w:hAnsi="Times New Roman"/>
          <w:color w:val="000000"/>
          <w:szCs w:val="24"/>
        </w:rPr>
        <w:t xml:space="preserve"> </w:t>
      </w:r>
      <w:r w:rsidR="00205F98">
        <w:rPr>
          <w:rFonts w:ascii="Times New Roman" w:eastAsia="Calibri" w:hAnsi="Times New Roman"/>
          <w:color w:val="000000"/>
          <w:szCs w:val="24"/>
        </w:rPr>
        <w:t>izmaiņas nodokļu politikā</w:t>
      </w:r>
      <w:r>
        <w:rPr>
          <w:rFonts w:ascii="Times New Roman" w:eastAsia="Calibri" w:hAnsi="Times New Roman"/>
          <w:color w:val="000000"/>
          <w:szCs w:val="24"/>
        </w:rPr>
        <w:t xml:space="preserve">. Ja budžeta bilance pēc  </w:t>
      </w:r>
      <w:r w:rsidRPr="002A4FCF">
        <w:rPr>
          <w:rFonts w:ascii="Times New Roman" w:eastAsia="Calibri" w:hAnsi="Times New Roman"/>
          <w:color w:val="000000"/>
          <w:szCs w:val="24"/>
        </w:rPr>
        <w:t>pirmās metodes</w:t>
      </w:r>
      <w:r>
        <w:rPr>
          <w:rFonts w:ascii="Times New Roman" w:eastAsia="Calibri" w:hAnsi="Times New Roman"/>
          <w:i/>
          <w:color w:val="000000"/>
          <w:szCs w:val="24"/>
        </w:rPr>
        <w:t xml:space="preserve"> </w:t>
      </w:r>
      <w:r w:rsidRPr="002A4FCF">
        <w:rPr>
          <w:rFonts w:ascii="Times New Roman" w:eastAsia="Calibri" w:hAnsi="Times New Roman"/>
          <w:color w:val="000000"/>
          <w:szCs w:val="24"/>
        </w:rPr>
        <w:t xml:space="preserve">ir </w:t>
      </w:r>
      <w:r>
        <w:rPr>
          <w:rFonts w:ascii="Times New Roman" w:eastAsia="Calibri" w:hAnsi="Times New Roman"/>
          <w:color w:val="000000"/>
          <w:szCs w:val="24"/>
        </w:rPr>
        <w:t>mazāka</w:t>
      </w:r>
      <w:r w:rsidRPr="002A4FCF">
        <w:rPr>
          <w:rFonts w:ascii="Times New Roman" w:eastAsia="Calibri" w:hAnsi="Times New Roman"/>
          <w:color w:val="000000"/>
          <w:szCs w:val="24"/>
        </w:rPr>
        <w:t>, kā</w:t>
      </w:r>
      <w:r>
        <w:rPr>
          <w:rFonts w:ascii="Times New Roman" w:eastAsia="Calibri" w:hAnsi="Times New Roman"/>
          <w:i/>
          <w:color w:val="000000"/>
          <w:szCs w:val="24"/>
        </w:rPr>
        <w:t xml:space="preserve"> </w:t>
      </w:r>
      <w:r>
        <w:rPr>
          <w:rFonts w:ascii="Times New Roman" w:eastAsia="Calibri" w:hAnsi="Times New Roman"/>
          <w:color w:val="000000"/>
          <w:szCs w:val="24"/>
        </w:rPr>
        <w:t>pēc otrās metodes, valdība</w:t>
      </w:r>
      <w:r w:rsidR="0000191C">
        <w:rPr>
          <w:rFonts w:ascii="Times New Roman" w:eastAsia="Calibri" w:hAnsi="Times New Roman"/>
          <w:color w:val="000000"/>
          <w:szCs w:val="24"/>
        </w:rPr>
        <w:t>i</w:t>
      </w:r>
      <w:r>
        <w:rPr>
          <w:rFonts w:ascii="Times New Roman" w:eastAsia="Calibri" w:hAnsi="Times New Roman"/>
          <w:color w:val="000000"/>
          <w:szCs w:val="24"/>
        </w:rPr>
        <w:t xml:space="preserve"> ir jāveic konsolidācijas pasākumi, pieņemot </w:t>
      </w:r>
      <w:proofErr w:type="spellStart"/>
      <w:r>
        <w:rPr>
          <w:rFonts w:ascii="Times New Roman" w:eastAsia="Calibri" w:hAnsi="Times New Roman"/>
          <w:color w:val="000000"/>
          <w:szCs w:val="24"/>
        </w:rPr>
        <w:t>diskrecionāros</w:t>
      </w:r>
      <w:proofErr w:type="spellEnd"/>
      <w:r>
        <w:rPr>
          <w:rFonts w:ascii="Times New Roman" w:eastAsia="Calibri" w:hAnsi="Times New Roman"/>
          <w:color w:val="000000"/>
          <w:szCs w:val="24"/>
        </w:rPr>
        <w:t xml:space="preserve"> pasākumus izdevumu samazināšanai vai ieņēmumu palielināšanai.</w:t>
      </w:r>
    </w:p>
    <w:p w14:paraId="0F3955C4" w14:textId="0A31A6C4"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Ņemot vērā, ka Latvija ir sekmīgi pārvarējusi krīzi un nu jau vairākus gadus ir viena no straujāk augošajām ES dalībvalstīm, to, ka valsts parāds ir zem 60% un to, ka Latvija jau 2012.gadā sasniedza savu </w:t>
      </w:r>
      <w:r w:rsidR="00701569">
        <w:rPr>
          <w:rFonts w:ascii="Times New Roman" w:eastAsia="Calibri" w:hAnsi="Times New Roman"/>
          <w:color w:val="000000"/>
          <w:szCs w:val="24"/>
        </w:rPr>
        <w:t>VTM</w:t>
      </w:r>
      <w:r w:rsidR="00D9246B">
        <w:rPr>
          <w:rFonts w:ascii="Times New Roman" w:eastAsia="Calibri" w:hAnsi="Times New Roman"/>
          <w:color w:val="000000"/>
          <w:szCs w:val="24"/>
        </w:rPr>
        <w:t>, iepriekšējā K</w:t>
      </w:r>
      <w:r>
        <w:rPr>
          <w:rFonts w:ascii="Times New Roman" w:eastAsia="Calibri" w:hAnsi="Times New Roman"/>
          <w:color w:val="000000"/>
          <w:szCs w:val="24"/>
        </w:rPr>
        <w:t>onverģences programm</w:t>
      </w:r>
      <w:r w:rsidR="00205F98">
        <w:rPr>
          <w:rFonts w:ascii="Times New Roman" w:eastAsia="Calibri" w:hAnsi="Times New Roman"/>
          <w:color w:val="000000"/>
          <w:szCs w:val="24"/>
        </w:rPr>
        <w:t>ā</w:t>
      </w:r>
      <w:r>
        <w:rPr>
          <w:rFonts w:ascii="Times New Roman" w:eastAsia="Calibri" w:hAnsi="Times New Roman"/>
          <w:color w:val="000000"/>
          <w:szCs w:val="24"/>
        </w:rPr>
        <w:t xml:space="preserve"> </w:t>
      </w:r>
      <w:r w:rsidR="00701569">
        <w:rPr>
          <w:rFonts w:ascii="Times New Roman" w:eastAsia="Calibri" w:hAnsi="Times New Roman"/>
          <w:color w:val="000000"/>
          <w:szCs w:val="24"/>
        </w:rPr>
        <w:t>2013.-</w:t>
      </w:r>
      <w:r>
        <w:rPr>
          <w:rFonts w:ascii="Times New Roman" w:eastAsia="Calibri" w:hAnsi="Times New Roman"/>
          <w:color w:val="000000"/>
          <w:szCs w:val="24"/>
        </w:rPr>
        <w:t xml:space="preserve"> 2016</w:t>
      </w:r>
      <w:r w:rsidR="00701569">
        <w:rPr>
          <w:rFonts w:ascii="Times New Roman" w:eastAsia="Calibri" w:hAnsi="Times New Roman"/>
          <w:color w:val="000000"/>
          <w:szCs w:val="24"/>
        </w:rPr>
        <w:t>.gada</w:t>
      </w:r>
      <w:r>
        <w:rPr>
          <w:rFonts w:ascii="Times New Roman" w:eastAsia="Calibri" w:hAnsi="Times New Roman"/>
          <w:color w:val="000000"/>
          <w:szCs w:val="24"/>
        </w:rPr>
        <w:t xml:space="preserve">m </w:t>
      </w:r>
      <w:r w:rsidR="00205F98">
        <w:rPr>
          <w:rFonts w:ascii="Times New Roman" w:eastAsia="Calibri" w:hAnsi="Times New Roman"/>
          <w:color w:val="000000"/>
          <w:szCs w:val="24"/>
        </w:rPr>
        <w:t>2014., 2015</w:t>
      </w:r>
      <w:r w:rsidR="00DC7E37">
        <w:rPr>
          <w:rFonts w:ascii="Times New Roman" w:eastAsia="Calibri" w:hAnsi="Times New Roman"/>
          <w:color w:val="000000"/>
          <w:szCs w:val="24"/>
        </w:rPr>
        <w:t>.</w:t>
      </w:r>
      <w:r w:rsidR="00205F98">
        <w:rPr>
          <w:rFonts w:ascii="Times New Roman" w:eastAsia="Calibri" w:hAnsi="Times New Roman"/>
          <w:color w:val="000000"/>
          <w:szCs w:val="24"/>
        </w:rPr>
        <w:t xml:space="preserve"> un 2016.gadiem tika prognozēta  </w:t>
      </w:r>
      <w:r>
        <w:rPr>
          <w:rFonts w:ascii="Times New Roman" w:eastAsia="Calibri" w:hAnsi="Times New Roman"/>
          <w:color w:val="000000"/>
          <w:szCs w:val="24"/>
        </w:rPr>
        <w:t>pozitīv</w:t>
      </w:r>
      <w:r w:rsidR="00205F98">
        <w:rPr>
          <w:rFonts w:ascii="Times New Roman" w:eastAsia="Calibri" w:hAnsi="Times New Roman"/>
          <w:color w:val="000000"/>
          <w:szCs w:val="24"/>
        </w:rPr>
        <w:t>a</w:t>
      </w:r>
      <w:r>
        <w:rPr>
          <w:rFonts w:ascii="Times New Roman" w:eastAsia="Calibri" w:hAnsi="Times New Roman"/>
          <w:color w:val="000000"/>
          <w:szCs w:val="24"/>
        </w:rPr>
        <w:t xml:space="preserve"> fiskāl</w:t>
      </w:r>
      <w:r w:rsidR="00205F98">
        <w:rPr>
          <w:rFonts w:ascii="Times New Roman" w:eastAsia="Calibri" w:hAnsi="Times New Roman"/>
          <w:color w:val="000000"/>
          <w:szCs w:val="24"/>
        </w:rPr>
        <w:t>ā</w:t>
      </w:r>
      <w:r>
        <w:rPr>
          <w:rFonts w:ascii="Times New Roman" w:eastAsia="Calibri" w:hAnsi="Times New Roman"/>
          <w:color w:val="000000"/>
          <w:szCs w:val="24"/>
        </w:rPr>
        <w:t xml:space="preserve"> telp</w:t>
      </w:r>
      <w:r w:rsidR="00205F98">
        <w:rPr>
          <w:rFonts w:ascii="Times New Roman" w:eastAsia="Calibri" w:hAnsi="Times New Roman"/>
          <w:color w:val="000000"/>
          <w:szCs w:val="24"/>
        </w:rPr>
        <w:t>a</w:t>
      </w:r>
      <w:r>
        <w:rPr>
          <w:rFonts w:ascii="Times New Roman" w:eastAsia="Calibri" w:hAnsi="Times New Roman"/>
          <w:color w:val="000000"/>
          <w:szCs w:val="24"/>
        </w:rPr>
        <w:t>.</w:t>
      </w:r>
    </w:p>
    <w:p w14:paraId="259BFA46" w14:textId="3C739010"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Latvijā galvenie budžeta politikas lēmumi, kas skar vidēja termiņa izdevumu un ieņēmumu politiku tiek pieņemti nevis pavasarī, bet rudenī kopā ar gadskārtējo valsts budžeta likumu. Šajā laikā tiek izstrādāts ne tikai gadskārtējais valsts budžeta likums, bet tiek izstrādāts arī </w:t>
      </w:r>
      <w:r w:rsidR="00701569">
        <w:rPr>
          <w:rFonts w:ascii="Times New Roman" w:eastAsia="Calibri" w:hAnsi="Times New Roman"/>
          <w:color w:val="000000"/>
          <w:szCs w:val="24"/>
        </w:rPr>
        <w:t>I</w:t>
      </w:r>
      <w:r>
        <w:rPr>
          <w:rFonts w:ascii="Times New Roman" w:eastAsia="Calibri" w:hAnsi="Times New Roman"/>
          <w:color w:val="000000"/>
          <w:szCs w:val="24"/>
        </w:rPr>
        <w:t xml:space="preserve">etvara likums turpmākajiem 3 gadiem. Līdz ar to starplaikā starp iepriekšējās </w:t>
      </w:r>
      <w:r w:rsidR="00D9246B">
        <w:rPr>
          <w:rFonts w:ascii="Times New Roman" w:eastAsia="Calibri" w:hAnsi="Times New Roman"/>
          <w:color w:val="000000"/>
          <w:szCs w:val="24"/>
        </w:rPr>
        <w:t>K</w:t>
      </w:r>
      <w:r>
        <w:rPr>
          <w:rFonts w:ascii="Times New Roman" w:eastAsia="Calibri" w:hAnsi="Times New Roman"/>
          <w:color w:val="000000"/>
          <w:szCs w:val="24"/>
        </w:rPr>
        <w:t xml:space="preserve">onverģences programmas izstrādes brīdi un šīs Stabilitātes programmas izstrādes brīdi </w:t>
      </w:r>
      <w:r w:rsidR="00701569">
        <w:rPr>
          <w:rFonts w:ascii="Times New Roman" w:eastAsia="Calibri" w:hAnsi="Times New Roman"/>
          <w:color w:val="000000"/>
          <w:szCs w:val="24"/>
        </w:rPr>
        <w:t>ir</w:t>
      </w:r>
      <w:r>
        <w:rPr>
          <w:rFonts w:ascii="Times New Roman" w:eastAsia="Calibri" w:hAnsi="Times New Roman"/>
          <w:color w:val="000000"/>
          <w:szCs w:val="24"/>
        </w:rPr>
        <w:t xml:space="preserve"> pieņemti būtiski fiskālās politikas lēmumi, kas ir aizpildījuši visu 2014.gada un 2015.gada fiskālo telpu un veido pamatu šīs Stabilitātes programmas stratēģijas īstenošanai. Sīkāk skat</w:t>
      </w:r>
      <w:r w:rsidR="00701569">
        <w:rPr>
          <w:rFonts w:ascii="Times New Roman" w:eastAsia="Calibri" w:hAnsi="Times New Roman"/>
          <w:color w:val="000000"/>
          <w:szCs w:val="24"/>
        </w:rPr>
        <w:t>īt</w:t>
      </w:r>
      <w:r>
        <w:rPr>
          <w:rFonts w:ascii="Times New Roman" w:eastAsia="Calibri" w:hAnsi="Times New Roman"/>
          <w:color w:val="000000"/>
          <w:szCs w:val="24"/>
        </w:rPr>
        <w:t xml:space="preserve"> sadaļu</w:t>
      </w:r>
      <w:r w:rsidR="00205F98">
        <w:rPr>
          <w:rFonts w:ascii="Times New Roman" w:eastAsia="Calibri" w:hAnsi="Times New Roman"/>
          <w:color w:val="000000"/>
          <w:szCs w:val="24"/>
        </w:rPr>
        <w:t xml:space="preserve"> “Fiskālās politikas mērķi un galvenie pasākumi”</w:t>
      </w:r>
      <w:r>
        <w:rPr>
          <w:rFonts w:ascii="Times New Roman" w:eastAsia="Calibri" w:hAnsi="Times New Roman"/>
          <w:color w:val="000000"/>
          <w:szCs w:val="24"/>
        </w:rPr>
        <w:t>.</w:t>
      </w:r>
    </w:p>
    <w:p w14:paraId="6BDD2080" w14:textId="20CE8A65"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Šajā Stabilitātes programmā ir paredzēta fiskālā </w:t>
      </w:r>
      <w:r w:rsidRPr="009D6B3B">
        <w:rPr>
          <w:rFonts w:ascii="Times New Roman" w:eastAsia="Calibri" w:hAnsi="Times New Roman"/>
          <w:color w:val="000000"/>
          <w:szCs w:val="24"/>
        </w:rPr>
        <w:t>telpa 0,7 % no IKP 2016.gadā un 1,5% no IKP 2017.gadā. Attiecīgi, lēmumi par šīs fiskālās telpas sadali tiks pieņemti 2014.gada rudenī un līdz a</w:t>
      </w:r>
      <w:r>
        <w:rPr>
          <w:rFonts w:ascii="Times New Roman" w:eastAsia="Calibri" w:hAnsi="Times New Roman"/>
          <w:color w:val="000000"/>
          <w:szCs w:val="24"/>
        </w:rPr>
        <w:t>r to netiek aprakstī</w:t>
      </w:r>
      <w:r w:rsidR="00701569">
        <w:rPr>
          <w:rFonts w:ascii="Times New Roman" w:eastAsia="Calibri" w:hAnsi="Times New Roman"/>
          <w:color w:val="000000"/>
          <w:szCs w:val="24"/>
        </w:rPr>
        <w:t>ti šajā Stabilitātes programmā.</w:t>
      </w:r>
    </w:p>
    <w:p w14:paraId="1D34BCDF" w14:textId="77777777" w:rsidR="00154514" w:rsidRDefault="00154514" w:rsidP="00154514">
      <w:pPr>
        <w:pStyle w:val="teksts"/>
        <w:rPr>
          <w:rFonts w:ascii="Times New Roman" w:eastAsia="Calibri" w:hAnsi="Times New Roman"/>
          <w:color w:val="000000"/>
          <w:szCs w:val="24"/>
        </w:rPr>
      </w:pPr>
    </w:p>
    <w:p w14:paraId="0B3E7FEC" w14:textId="796F8849" w:rsidR="00154514" w:rsidRPr="00D33000" w:rsidRDefault="00154514" w:rsidP="00154514">
      <w:pPr>
        <w:pStyle w:val="teksts"/>
        <w:ind w:firstLine="720"/>
        <w:rPr>
          <w:rFonts w:ascii="Times New Roman" w:eastAsia="Calibri" w:hAnsi="Times New Roman"/>
          <w:b/>
          <w:color w:val="000000"/>
          <w:szCs w:val="24"/>
        </w:rPr>
      </w:pPr>
      <w:r w:rsidRPr="00D33000">
        <w:rPr>
          <w:rFonts w:ascii="Times New Roman" w:eastAsia="Calibri" w:hAnsi="Times New Roman"/>
          <w:b/>
          <w:color w:val="000000"/>
          <w:szCs w:val="24"/>
        </w:rPr>
        <w:t>2015</w:t>
      </w:r>
      <w:r>
        <w:rPr>
          <w:rFonts w:ascii="Times New Roman" w:eastAsia="Calibri" w:hAnsi="Times New Roman"/>
          <w:b/>
          <w:color w:val="000000"/>
          <w:szCs w:val="24"/>
        </w:rPr>
        <w:t>.</w:t>
      </w:r>
      <w:r w:rsidRPr="00D33000">
        <w:rPr>
          <w:rFonts w:ascii="Times New Roman" w:eastAsia="Calibri" w:hAnsi="Times New Roman"/>
          <w:b/>
          <w:color w:val="000000"/>
          <w:szCs w:val="24"/>
        </w:rPr>
        <w:t>, 2016</w:t>
      </w:r>
      <w:r>
        <w:rPr>
          <w:rFonts w:ascii="Times New Roman" w:eastAsia="Calibri" w:hAnsi="Times New Roman"/>
          <w:b/>
          <w:color w:val="000000"/>
          <w:szCs w:val="24"/>
        </w:rPr>
        <w:t>.</w:t>
      </w:r>
      <w:r w:rsidRPr="00D33000">
        <w:rPr>
          <w:rFonts w:ascii="Times New Roman" w:eastAsia="Calibri" w:hAnsi="Times New Roman"/>
          <w:b/>
          <w:color w:val="000000"/>
          <w:szCs w:val="24"/>
        </w:rPr>
        <w:t xml:space="preserve"> un 2017.gad</w:t>
      </w:r>
      <w:r w:rsidR="0000191C">
        <w:rPr>
          <w:rFonts w:ascii="Times New Roman" w:eastAsia="Calibri" w:hAnsi="Times New Roman"/>
          <w:b/>
          <w:color w:val="000000"/>
          <w:szCs w:val="24"/>
        </w:rPr>
        <w:t>a</w:t>
      </w:r>
      <w:r w:rsidRPr="00D33000">
        <w:rPr>
          <w:rFonts w:ascii="Times New Roman" w:eastAsia="Calibri" w:hAnsi="Times New Roman"/>
          <w:b/>
          <w:color w:val="000000"/>
          <w:szCs w:val="24"/>
        </w:rPr>
        <w:t xml:space="preserve"> strukturālās bilances mērķi</w:t>
      </w:r>
    </w:p>
    <w:p w14:paraId="77BE2A17" w14:textId="0FF35D67"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Strukturālās bilances mērķu noteikšanā tiek piemērota divpakāpju metode. Vispirms par atskaites punktu tiek ņemts </w:t>
      </w:r>
      <w:r w:rsidR="00701569">
        <w:rPr>
          <w:rFonts w:ascii="Times New Roman" w:eastAsia="Calibri" w:hAnsi="Times New Roman"/>
          <w:color w:val="000000"/>
          <w:szCs w:val="24"/>
        </w:rPr>
        <w:t>VTM</w:t>
      </w:r>
      <w:r>
        <w:rPr>
          <w:rFonts w:ascii="Times New Roman" w:eastAsia="Calibri" w:hAnsi="Times New Roman"/>
          <w:color w:val="000000"/>
          <w:szCs w:val="24"/>
        </w:rPr>
        <w:t xml:space="preserve">, kas ir -0,5% no IKP un tiek piemērotas atkāpes, kas izriet no iemaksu palielināšanas otrajā pensiju līmenī. </w:t>
      </w:r>
    </w:p>
    <w:p w14:paraId="5561BEBF" w14:textId="69527FA4" w:rsidR="00154514" w:rsidRDefault="00154514" w:rsidP="00154514">
      <w:pPr>
        <w:pStyle w:val="teksts"/>
        <w:rPr>
          <w:rFonts w:ascii="Times New Roman" w:eastAsia="Calibri" w:hAnsi="Times New Roman"/>
          <w:color w:val="000000"/>
          <w:szCs w:val="24"/>
        </w:rPr>
      </w:pPr>
      <w:r>
        <w:rPr>
          <w:rFonts w:ascii="Times New Roman" w:eastAsia="Calibri" w:hAnsi="Times New Roman"/>
          <w:color w:val="000000"/>
          <w:szCs w:val="24"/>
        </w:rPr>
        <w:t>Latvija</w:t>
      </w:r>
      <w:r w:rsidR="00D9246B">
        <w:rPr>
          <w:rFonts w:ascii="Times New Roman" w:eastAsia="Calibri" w:hAnsi="Times New Roman"/>
          <w:color w:val="000000"/>
          <w:szCs w:val="24"/>
        </w:rPr>
        <w:t xml:space="preserve"> saglabā nemainīgu iepriekšējā K</w:t>
      </w:r>
      <w:r>
        <w:rPr>
          <w:rFonts w:ascii="Times New Roman" w:eastAsia="Calibri" w:hAnsi="Times New Roman"/>
          <w:color w:val="000000"/>
          <w:szCs w:val="24"/>
        </w:rPr>
        <w:t>onverģences programmā pieņemto atkāpju modeli:</w:t>
      </w:r>
    </w:p>
    <w:tbl>
      <w:tblPr>
        <w:tblStyle w:val="TableGrid"/>
        <w:tblW w:w="0" w:type="auto"/>
        <w:tblLook w:val="04A0" w:firstRow="1" w:lastRow="0" w:firstColumn="1" w:lastColumn="0" w:noHBand="0" w:noVBand="1"/>
      </w:tblPr>
      <w:tblGrid>
        <w:gridCol w:w="9287"/>
      </w:tblGrid>
      <w:tr w:rsidR="00154514" w14:paraId="069D9988" w14:textId="77777777" w:rsidTr="00154514">
        <w:tc>
          <w:tcPr>
            <w:tcW w:w="8296" w:type="dxa"/>
          </w:tcPr>
          <w:p w14:paraId="65545207" w14:textId="0979FB0D" w:rsidR="00D9246B" w:rsidRDefault="00154514" w:rsidP="002926A6">
            <w:pPr>
              <w:pStyle w:val="teksts"/>
              <w:spacing w:after="0"/>
              <w:ind w:firstLine="720"/>
              <w:rPr>
                <w:rFonts w:ascii="Times New Roman" w:hAnsi="Times New Roman"/>
                <w:color w:val="000000"/>
                <w:sz w:val="20"/>
              </w:rPr>
            </w:pPr>
            <w:r w:rsidRPr="00746E8D">
              <w:rPr>
                <w:rFonts w:ascii="Times New Roman" w:hAnsi="Times New Roman"/>
                <w:color w:val="000000"/>
                <w:sz w:val="20"/>
              </w:rPr>
              <w:t>Iemaksu palielinājums 2.pensi</w:t>
            </w:r>
            <w:r w:rsidR="00D9246B">
              <w:rPr>
                <w:rFonts w:ascii="Times New Roman" w:hAnsi="Times New Roman"/>
                <w:color w:val="000000"/>
                <w:sz w:val="20"/>
              </w:rPr>
              <w:t>ju līmenī tiek veikts 3 posmos:</w:t>
            </w:r>
          </w:p>
          <w:p w14:paraId="4091B6D5" w14:textId="77777777" w:rsidR="00D9246B" w:rsidRDefault="00154514" w:rsidP="002926A6">
            <w:pPr>
              <w:pStyle w:val="teksts"/>
              <w:numPr>
                <w:ilvl w:val="0"/>
                <w:numId w:val="45"/>
              </w:numPr>
              <w:spacing w:after="0"/>
              <w:ind w:left="1434" w:hanging="357"/>
              <w:rPr>
                <w:rFonts w:ascii="Times New Roman" w:hAnsi="Times New Roman"/>
                <w:color w:val="000000"/>
                <w:sz w:val="20"/>
              </w:rPr>
            </w:pPr>
            <w:r w:rsidRPr="00746E8D">
              <w:rPr>
                <w:rFonts w:ascii="Times New Roman" w:hAnsi="Times New Roman"/>
                <w:color w:val="000000"/>
                <w:sz w:val="20"/>
              </w:rPr>
              <w:t xml:space="preserve">2013.gadā palielinot iemaksas no 2 uz 4% </w:t>
            </w:r>
            <w:r w:rsidR="00D9246B">
              <w:rPr>
                <w:rFonts w:ascii="Times New Roman" w:hAnsi="Times New Roman"/>
                <w:color w:val="000000"/>
                <w:sz w:val="20"/>
              </w:rPr>
              <w:t>(fiskālā ietekme 0,50% no IKP),</w:t>
            </w:r>
          </w:p>
          <w:p w14:paraId="371DB372" w14:textId="77777777" w:rsidR="00D9246B" w:rsidRDefault="00154514" w:rsidP="002926A6">
            <w:pPr>
              <w:pStyle w:val="teksts"/>
              <w:numPr>
                <w:ilvl w:val="0"/>
                <w:numId w:val="45"/>
              </w:numPr>
              <w:spacing w:after="0"/>
              <w:ind w:left="1434" w:hanging="357"/>
              <w:rPr>
                <w:rFonts w:ascii="Times New Roman" w:hAnsi="Times New Roman"/>
                <w:color w:val="000000"/>
                <w:sz w:val="20"/>
              </w:rPr>
            </w:pPr>
            <w:r w:rsidRPr="00746E8D">
              <w:rPr>
                <w:rFonts w:ascii="Times New Roman" w:hAnsi="Times New Roman"/>
                <w:color w:val="000000"/>
                <w:sz w:val="20"/>
              </w:rPr>
              <w:t>2015.gadā palielinot iemaksas no 4 uz 5% (f</w:t>
            </w:r>
            <w:r w:rsidR="00D9246B">
              <w:rPr>
                <w:rFonts w:ascii="Times New Roman" w:hAnsi="Times New Roman"/>
                <w:color w:val="000000"/>
                <w:sz w:val="20"/>
              </w:rPr>
              <w:t>iskālā ietekme 0,27% no IKP),</w:t>
            </w:r>
          </w:p>
          <w:p w14:paraId="21DF921C" w14:textId="2D8DE1D7" w:rsidR="00154514" w:rsidRPr="00746E8D" w:rsidRDefault="00154514" w:rsidP="002926A6">
            <w:pPr>
              <w:pStyle w:val="teksts"/>
              <w:numPr>
                <w:ilvl w:val="0"/>
                <w:numId w:val="45"/>
              </w:numPr>
              <w:spacing w:after="0"/>
              <w:ind w:left="1434" w:hanging="357"/>
              <w:rPr>
                <w:rFonts w:ascii="Times New Roman" w:hAnsi="Times New Roman"/>
                <w:color w:val="000000"/>
                <w:sz w:val="20"/>
              </w:rPr>
            </w:pPr>
            <w:r w:rsidRPr="00746E8D">
              <w:rPr>
                <w:rFonts w:ascii="Times New Roman" w:hAnsi="Times New Roman"/>
                <w:color w:val="000000"/>
                <w:sz w:val="20"/>
              </w:rPr>
              <w:t>2016.gadā palielinot iemaksu no 5 uz 6% (fiskālā ietekme 0,29% no IKP).</w:t>
            </w:r>
            <w:r w:rsidRPr="00746E8D">
              <w:rPr>
                <w:rFonts w:ascii="EUAlbertina" w:eastAsia="Calibri" w:hAnsi="EUAlbertina"/>
                <w:sz w:val="20"/>
                <w:lang w:eastAsia="en-GB"/>
              </w:rPr>
              <w:t xml:space="preserve"> </w:t>
            </w:r>
          </w:p>
          <w:p w14:paraId="18F50528" w14:textId="4C607DCD" w:rsidR="00154514" w:rsidRPr="00746E8D" w:rsidRDefault="00154514" w:rsidP="00154514">
            <w:pPr>
              <w:pStyle w:val="teksts"/>
              <w:ind w:firstLine="720"/>
              <w:rPr>
                <w:rFonts w:ascii="Times New Roman" w:hAnsi="Times New Roman"/>
                <w:color w:val="000000"/>
                <w:sz w:val="20"/>
              </w:rPr>
            </w:pPr>
            <w:r w:rsidRPr="00746E8D">
              <w:rPr>
                <w:rFonts w:ascii="Times New Roman" w:hAnsi="Times New Roman"/>
                <w:color w:val="000000"/>
                <w:sz w:val="20"/>
              </w:rPr>
              <w:t xml:space="preserve">Saskaņā ar </w:t>
            </w:r>
            <w:r w:rsidRPr="00746E8D">
              <w:rPr>
                <w:color w:val="000000"/>
                <w:sz w:val="20"/>
              </w:rPr>
              <w:t xml:space="preserve">Regulas </w:t>
            </w:r>
            <w:r w:rsidR="00BA1002">
              <w:rPr>
                <w:color w:val="000000"/>
                <w:sz w:val="20"/>
              </w:rPr>
              <w:t>N</w:t>
            </w:r>
            <w:r w:rsidRPr="00746E8D">
              <w:rPr>
                <w:color w:val="000000"/>
                <w:sz w:val="20"/>
              </w:rPr>
              <w:t xml:space="preserve">r. 1175/2011 </w:t>
            </w:r>
            <w:r w:rsidRPr="00746E8D">
              <w:rPr>
                <w:rFonts w:ascii="Times New Roman" w:hAnsi="Times New Roman"/>
                <w:color w:val="000000"/>
                <w:sz w:val="20"/>
              </w:rPr>
              <w:t xml:space="preserve">nosacījumiem dalībvalsts drīkst atkāpties no </w:t>
            </w:r>
            <w:r w:rsidR="00BA1002">
              <w:rPr>
                <w:rFonts w:ascii="Times New Roman" w:hAnsi="Times New Roman"/>
                <w:color w:val="000000"/>
                <w:sz w:val="20"/>
              </w:rPr>
              <w:t>VTM</w:t>
            </w:r>
            <w:r w:rsidRPr="00746E8D">
              <w:rPr>
                <w:rFonts w:ascii="Times New Roman" w:hAnsi="Times New Roman"/>
                <w:color w:val="000000"/>
                <w:sz w:val="20"/>
              </w:rPr>
              <w:t xml:space="preserve"> par lielumu, kas atbilst reformas fiskālai ietekmei un šī atkāpe ir „jādzēš” nākamo 3 gadu laikā.</w:t>
            </w:r>
          </w:p>
          <w:p w14:paraId="0AD37FDD" w14:textId="627E5BE9" w:rsidR="00154514" w:rsidRPr="00746E8D" w:rsidRDefault="00154514" w:rsidP="00BA1002">
            <w:pPr>
              <w:pStyle w:val="teksts"/>
              <w:spacing w:after="0"/>
              <w:ind w:firstLine="720"/>
              <w:rPr>
                <w:rFonts w:ascii="Times New Roman" w:hAnsi="Times New Roman"/>
                <w:color w:val="000000"/>
                <w:sz w:val="20"/>
              </w:rPr>
            </w:pPr>
            <w:r w:rsidRPr="00746E8D">
              <w:rPr>
                <w:rFonts w:ascii="Times New Roman" w:hAnsi="Times New Roman"/>
                <w:color w:val="000000"/>
                <w:sz w:val="20"/>
              </w:rPr>
              <w:t xml:space="preserve">Saskaņā ar šo nosacījumu, 2014.gadā un 2015.gadā strukturālā deficīta mērķis tiek noteikts 1,0% no IKP apmērā un 2016.gadā 0,9% no IKP apmērā. Latvija pilnībā dzēsīs atkāpes un atgriezīsies pie </w:t>
            </w:r>
            <w:r w:rsidR="00BA1002">
              <w:rPr>
                <w:rFonts w:ascii="Times New Roman" w:hAnsi="Times New Roman"/>
                <w:color w:val="000000"/>
                <w:sz w:val="20"/>
              </w:rPr>
              <w:t>VTM</w:t>
            </w:r>
            <w:r w:rsidRPr="00746E8D">
              <w:rPr>
                <w:rFonts w:ascii="Times New Roman" w:hAnsi="Times New Roman"/>
                <w:color w:val="000000"/>
                <w:sz w:val="20"/>
              </w:rPr>
              <w:t xml:space="preserve"> 2019.gadā. Atkāpju veidošanas un sa</w:t>
            </w:r>
            <w:r w:rsidR="00D9246B">
              <w:rPr>
                <w:rFonts w:ascii="Times New Roman" w:hAnsi="Times New Roman"/>
                <w:color w:val="000000"/>
                <w:sz w:val="20"/>
              </w:rPr>
              <w:t>mazināšanas scenārijs parādīts 3</w:t>
            </w:r>
            <w:r w:rsidRPr="00746E8D">
              <w:rPr>
                <w:rFonts w:ascii="Times New Roman" w:hAnsi="Times New Roman"/>
                <w:color w:val="000000"/>
                <w:sz w:val="20"/>
              </w:rPr>
              <w:t>.1. tabulā.</w:t>
            </w:r>
          </w:p>
          <w:p w14:paraId="1CB637C2" w14:textId="5BF8A80E" w:rsidR="00BA1002" w:rsidRDefault="00154514" w:rsidP="00BA1002">
            <w:pPr>
              <w:spacing w:after="0"/>
              <w:jc w:val="right"/>
              <w:rPr>
                <w:b/>
                <w:noProof/>
                <w:sz w:val="20"/>
              </w:rPr>
            </w:pPr>
            <w:r w:rsidRPr="009D33DC">
              <w:rPr>
                <w:b/>
                <w:sz w:val="20"/>
              </w:rPr>
              <w:t>3.1. tabula</w:t>
            </w:r>
            <w:r w:rsidR="00EA0A2F">
              <w:rPr>
                <w:b/>
                <w:sz w:val="20"/>
              </w:rPr>
              <w:t>.</w:t>
            </w:r>
            <w:r w:rsidRPr="009D33DC">
              <w:rPr>
                <w:b/>
                <w:sz w:val="20"/>
              </w:rPr>
              <w:t xml:space="preserve"> </w:t>
            </w:r>
            <w:r w:rsidRPr="009D33DC">
              <w:rPr>
                <w:b/>
                <w:noProof/>
                <w:sz w:val="20"/>
              </w:rPr>
              <w:t xml:space="preserve">Strukturālās bilances atkāpju no </w:t>
            </w:r>
            <w:r w:rsidR="00BA1002">
              <w:rPr>
                <w:b/>
                <w:noProof/>
                <w:sz w:val="20"/>
              </w:rPr>
              <w:t xml:space="preserve">VTM lielumi </w:t>
            </w:r>
          </w:p>
          <w:p w14:paraId="004B8B3C" w14:textId="77777777" w:rsidR="00BA1002" w:rsidRDefault="00BA1002" w:rsidP="00BA1002">
            <w:pPr>
              <w:spacing w:after="0"/>
              <w:jc w:val="right"/>
              <w:rPr>
                <w:b/>
                <w:noProof/>
                <w:sz w:val="20"/>
              </w:rPr>
            </w:pPr>
            <w:r>
              <w:rPr>
                <w:b/>
                <w:noProof/>
                <w:sz w:val="20"/>
              </w:rPr>
              <w:t>s</w:t>
            </w:r>
            <w:r w:rsidR="00154514" w:rsidRPr="009D33DC">
              <w:rPr>
                <w:b/>
                <w:noProof/>
                <w:sz w:val="20"/>
              </w:rPr>
              <w:t xml:space="preserve">aistībā ar iemaksu palielināšanu 2.pensiju līmenī </w:t>
            </w:r>
          </w:p>
          <w:p w14:paraId="2E8F840A" w14:textId="6D2933CB" w:rsidR="00154514" w:rsidRPr="009D33DC" w:rsidRDefault="00154514" w:rsidP="00BA1002">
            <w:pPr>
              <w:spacing w:after="0"/>
              <w:jc w:val="right"/>
              <w:rPr>
                <w:b/>
                <w:sz w:val="20"/>
              </w:rPr>
            </w:pPr>
            <w:r w:rsidRPr="009D33DC">
              <w:rPr>
                <w:b/>
                <w:noProof/>
                <w:sz w:val="20"/>
              </w:rPr>
              <w:t xml:space="preserve">un šo atkāpju samazināšanas scenārijs.  </w:t>
            </w:r>
          </w:p>
          <w:tbl>
            <w:tblPr>
              <w:tblW w:w="8943" w:type="dxa"/>
              <w:tblInd w:w="98" w:type="dxa"/>
              <w:tblLook w:val="04A0" w:firstRow="1" w:lastRow="0" w:firstColumn="1" w:lastColumn="0" w:noHBand="0" w:noVBand="1"/>
            </w:tblPr>
            <w:tblGrid>
              <w:gridCol w:w="1163"/>
              <w:gridCol w:w="1205"/>
              <w:gridCol w:w="849"/>
              <w:gridCol w:w="849"/>
              <w:gridCol w:w="989"/>
              <w:gridCol w:w="989"/>
              <w:gridCol w:w="989"/>
              <w:gridCol w:w="849"/>
              <w:gridCol w:w="1061"/>
            </w:tblGrid>
            <w:tr w:rsidR="00154514" w:rsidRPr="00BA1002" w14:paraId="49FCD71D" w14:textId="77777777" w:rsidTr="002926A6">
              <w:trPr>
                <w:trHeight w:val="310"/>
              </w:trPr>
              <w:tc>
                <w:tcPr>
                  <w:tcW w:w="2368" w:type="dxa"/>
                  <w:gridSpan w:val="2"/>
                  <w:tcBorders>
                    <w:top w:val="double" w:sz="4" w:space="0" w:color="auto"/>
                    <w:left w:val="double" w:sz="4" w:space="0" w:color="auto"/>
                    <w:bottom w:val="single" w:sz="4" w:space="0" w:color="auto"/>
                    <w:right w:val="single" w:sz="4" w:space="0" w:color="000000"/>
                  </w:tcBorders>
                  <w:shd w:val="clear" w:color="auto" w:fill="auto"/>
                  <w:noWrap/>
                  <w:vAlign w:val="bottom"/>
                  <w:hideMark/>
                </w:tcPr>
                <w:p w14:paraId="52C93232" w14:textId="77777777" w:rsidR="00154514" w:rsidRPr="00BA1002" w:rsidRDefault="00154514" w:rsidP="00154514">
                  <w:pPr>
                    <w:spacing w:after="0"/>
                    <w:ind w:firstLine="0"/>
                    <w:jc w:val="left"/>
                    <w:rPr>
                      <w:color w:val="000000"/>
                      <w:sz w:val="18"/>
                    </w:rPr>
                  </w:pPr>
                </w:p>
              </w:tc>
              <w:tc>
                <w:tcPr>
                  <w:tcW w:w="849" w:type="dxa"/>
                  <w:tcBorders>
                    <w:top w:val="double" w:sz="4" w:space="0" w:color="auto"/>
                    <w:left w:val="nil"/>
                    <w:bottom w:val="single" w:sz="4" w:space="0" w:color="auto"/>
                    <w:right w:val="single" w:sz="4" w:space="0" w:color="auto"/>
                  </w:tcBorders>
                  <w:shd w:val="clear" w:color="auto" w:fill="auto"/>
                  <w:noWrap/>
                  <w:vAlign w:val="bottom"/>
                  <w:hideMark/>
                </w:tcPr>
                <w:p w14:paraId="0B979BB5" w14:textId="77777777" w:rsidR="00154514" w:rsidRPr="00BA1002" w:rsidRDefault="00154514" w:rsidP="00BA1002">
                  <w:pPr>
                    <w:spacing w:after="0"/>
                    <w:ind w:firstLine="0"/>
                    <w:jc w:val="center"/>
                    <w:rPr>
                      <w:color w:val="000000"/>
                      <w:sz w:val="18"/>
                    </w:rPr>
                  </w:pPr>
                  <w:r w:rsidRPr="00BA1002">
                    <w:rPr>
                      <w:color w:val="000000"/>
                      <w:sz w:val="18"/>
                    </w:rPr>
                    <w:t>2013</w:t>
                  </w:r>
                </w:p>
              </w:tc>
              <w:tc>
                <w:tcPr>
                  <w:tcW w:w="849" w:type="dxa"/>
                  <w:tcBorders>
                    <w:top w:val="double" w:sz="4" w:space="0" w:color="auto"/>
                    <w:left w:val="nil"/>
                    <w:bottom w:val="single" w:sz="4" w:space="0" w:color="auto"/>
                    <w:right w:val="single" w:sz="4" w:space="0" w:color="auto"/>
                  </w:tcBorders>
                  <w:shd w:val="clear" w:color="auto" w:fill="auto"/>
                  <w:noWrap/>
                  <w:vAlign w:val="bottom"/>
                  <w:hideMark/>
                </w:tcPr>
                <w:p w14:paraId="523D25AD" w14:textId="77777777" w:rsidR="00154514" w:rsidRPr="00BA1002" w:rsidRDefault="00154514" w:rsidP="00BA1002">
                  <w:pPr>
                    <w:spacing w:after="0"/>
                    <w:ind w:firstLine="0"/>
                    <w:jc w:val="center"/>
                    <w:rPr>
                      <w:color w:val="000000"/>
                      <w:sz w:val="18"/>
                    </w:rPr>
                  </w:pPr>
                  <w:r w:rsidRPr="00BA1002">
                    <w:rPr>
                      <w:color w:val="000000"/>
                      <w:sz w:val="18"/>
                    </w:rPr>
                    <w:t>2014</w:t>
                  </w:r>
                </w:p>
              </w:tc>
              <w:tc>
                <w:tcPr>
                  <w:tcW w:w="989" w:type="dxa"/>
                  <w:tcBorders>
                    <w:top w:val="double" w:sz="4" w:space="0" w:color="auto"/>
                    <w:left w:val="nil"/>
                    <w:bottom w:val="single" w:sz="4" w:space="0" w:color="auto"/>
                    <w:right w:val="single" w:sz="4" w:space="0" w:color="auto"/>
                  </w:tcBorders>
                  <w:shd w:val="clear" w:color="auto" w:fill="auto"/>
                  <w:noWrap/>
                  <w:vAlign w:val="bottom"/>
                  <w:hideMark/>
                </w:tcPr>
                <w:p w14:paraId="0EDB3D29" w14:textId="77777777" w:rsidR="00154514" w:rsidRPr="00BA1002" w:rsidRDefault="00154514" w:rsidP="00BA1002">
                  <w:pPr>
                    <w:spacing w:after="0"/>
                    <w:ind w:firstLine="0"/>
                    <w:jc w:val="center"/>
                    <w:rPr>
                      <w:color w:val="000000"/>
                      <w:sz w:val="18"/>
                    </w:rPr>
                  </w:pPr>
                  <w:r w:rsidRPr="00BA1002">
                    <w:rPr>
                      <w:color w:val="000000"/>
                      <w:sz w:val="18"/>
                    </w:rPr>
                    <w:t>2015</w:t>
                  </w:r>
                </w:p>
              </w:tc>
              <w:tc>
                <w:tcPr>
                  <w:tcW w:w="989" w:type="dxa"/>
                  <w:tcBorders>
                    <w:top w:val="double" w:sz="4" w:space="0" w:color="auto"/>
                    <w:left w:val="nil"/>
                    <w:bottom w:val="single" w:sz="4" w:space="0" w:color="auto"/>
                    <w:right w:val="single" w:sz="4" w:space="0" w:color="auto"/>
                  </w:tcBorders>
                  <w:shd w:val="clear" w:color="auto" w:fill="auto"/>
                  <w:noWrap/>
                  <w:vAlign w:val="bottom"/>
                  <w:hideMark/>
                </w:tcPr>
                <w:p w14:paraId="0BC6032C" w14:textId="77777777" w:rsidR="00154514" w:rsidRPr="00BA1002" w:rsidRDefault="00154514" w:rsidP="00BA1002">
                  <w:pPr>
                    <w:spacing w:after="0"/>
                    <w:ind w:firstLine="0"/>
                    <w:jc w:val="center"/>
                    <w:rPr>
                      <w:color w:val="000000"/>
                      <w:sz w:val="18"/>
                    </w:rPr>
                  </w:pPr>
                  <w:r w:rsidRPr="00BA1002">
                    <w:rPr>
                      <w:color w:val="000000"/>
                      <w:sz w:val="18"/>
                    </w:rPr>
                    <w:t>2016</w:t>
                  </w:r>
                </w:p>
              </w:tc>
              <w:tc>
                <w:tcPr>
                  <w:tcW w:w="989" w:type="dxa"/>
                  <w:tcBorders>
                    <w:top w:val="double" w:sz="4" w:space="0" w:color="auto"/>
                    <w:left w:val="nil"/>
                    <w:bottom w:val="single" w:sz="4" w:space="0" w:color="auto"/>
                    <w:right w:val="single" w:sz="4" w:space="0" w:color="auto"/>
                  </w:tcBorders>
                  <w:shd w:val="clear" w:color="auto" w:fill="auto"/>
                  <w:noWrap/>
                  <w:vAlign w:val="bottom"/>
                  <w:hideMark/>
                </w:tcPr>
                <w:p w14:paraId="46746814" w14:textId="77777777" w:rsidR="00154514" w:rsidRPr="00BA1002" w:rsidRDefault="00154514" w:rsidP="00BA1002">
                  <w:pPr>
                    <w:spacing w:after="0"/>
                    <w:ind w:firstLine="0"/>
                    <w:jc w:val="center"/>
                    <w:rPr>
                      <w:color w:val="000000"/>
                      <w:sz w:val="18"/>
                    </w:rPr>
                  </w:pPr>
                  <w:r w:rsidRPr="00BA1002">
                    <w:rPr>
                      <w:color w:val="000000"/>
                      <w:sz w:val="18"/>
                    </w:rPr>
                    <w:t>2017</w:t>
                  </w:r>
                </w:p>
              </w:tc>
              <w:tc>
                <w:tcPr>
                  <w:tcW w:w="849" w:type="dxa"/>
                  <w:tcBorders>
                    <w:top w:val="double" w:sz="4" w:space="0" w:color="auto"/>
                    <w:left w:val="nil"/>
                    <w:bottom w:val="single" w:sz="4" w:space="0" w:color="auto"/>
                    <w:right w:val="single" w:sz="4" w:space="0" w:color="auto"/>
                  </w:tcBorders>
                  <w:shd w:val="clear" w:color="auto" w:fill="auto"/>
                  <w:noWrap/>
                  <w:vAlign w:val="bottom"/>
                  <w:hideMark/>
                </w:tcPr>
                <w:p w14:paraId="7AC9B0D6" w14:textId="77777777" w:rsidR="00154514" w:rsidRPr="00BA1002" w:rsidRDefault="00154514" w:rsidP="00BA1002">
                  <w:pPr>
                    <w:spacing w:after="0"/>
                    <w:ind w:firstLine="0"/>
                    <w:jc w:val="center"/>
                    <w:rPr>
                      <w:color w:val="000000"/>
                      <w:sz w:val="18"/>
                    </w:rPr>
                  </w:pPr>
                  <w:r w:rsidRPr="00BA1002">
                    <w:rPr>
                      <w:color w:val="000000"/>
                      <w:sz w:val="18"/>
                    </w:rPr>
                    <w:t>2018</w:t>
                  </w:r>
                </w:p>
              </w:tc>
              <w:tc>
                <w:tcPr>
                  <w:tcW w:w="1061" w:type="dxa"/>
                  <w:tcBorders>
                    <w:top w:val="double" w:sz="4" w:space="0" w:color="auto"/>
                    <w:left w:val="nil"/>
                    <w:bottom w:val="single" w:sz="4" w:space="0" w:color="auto"/>
                    <w:right w:val="double" w:sz="4" w:space="0" w:color="auto"/>
                  </w:tcBorders>
                  <w:shd w:val="clear" w:color="auto" w:fill="auto"/>
                  <w:noWrap/>
                  <w:vAlign w:val="bottom"/>
                  <w:hideMark/>
                </w:tcPr>
                <w:p w14:paraId="2691FF53" w14:textId="77777777" w:rsidR="00154514" w:rsidRPr="00BA1002" w:rsidRDefault="00154514" w:rsidP="00BA1002">
                  <w:pPr>
                    <w:spacing w:after="0"/>
                    <w:ind w:firstLine="0"/>
                    <w:jc w:val="center"/>
                    <w:rPr>
                      <w:color w:val="000000"/>
                      <w:sz w:val="18"/>
                    </w:rPr>
                  </w:pPr>
                  <w:r w:rsidRPr="00BA1002">
                    <w:rPr>
                      <w:color w:val="000000"/>
                      <w:sz w:val="18"/>
                    </w:rPr>
                    <w:t>2019</w:t>
                  </w:r>
                </w:p>
              </w:tc>
            </w:tr>
            <w:tr w:rsidR="00154514" w:rsidRPr="00BA1002" w14:paraId="1009A1E2" w14:textId="77777777" w:rsidTr="002926A6">
              <w:trPr>
                <w:trHeight w:val="310"/>
              </w:trPr>
              <w:tc>
                <w:tcPr>
                  <w:tcW w:w="2368" w:type="dxa"/>
                  <w:gridSpan w:val="2"/>
                  <w:tcBorders>
                    <w:top w:val="single" w:sz="8" w:space="0" w:color="auto"/>
                    <w:left w:val="double" w:sz="4" w:space="0" w:color="auto"/>
                    <w:bottom w:val="single" w:sz="4" w:space="0" w:color="auto"/>
                    <w:right w:val="single" w:sz="4" w:space="0" w:color="000000"/>
                  </w:tcBorders>
                  <w:shd w:val="clear" w:color="auto" w:fill="auto"/>
                  <w:noWrap/>
                  <w:vAlign w:val="bottom"/>
                  <w:hideMark/>
                </w:tcPr>
                <w:p w14:paraId="03D543B6" w14:textId="77777777" w:rsidR="00154514" w:rsidRPr="00BA1002" w:rsidRDefault="00154514" w:rsidP="00154514">
                  <w:pPr>
                    <w:spacing w:after="0"/>
                    <w:ind w:firstLine="0"/>
                    <w:jc w:val="left"/>
                    <w:rPr>
                      <w:color w:val="000000"/>
                      <w:sz w:val="18"/>
                    </w:rPr>
                  </w:pPr>
                  <w:r w:rsidRPr="00BA1002">
                    <w:rPr>
                      <w:color w:val="000000"/>
                      <w:sz w:val="18"/>
                    </w:rPr>
                    <w:t>VTM</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14:paraId="27935E3B"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14:paraId="5B92D15A"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14:paraId="2A765452"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14:paraId="188D937A"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14:paraId="0A5F5FF4"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14:paraId="07F0C2B3"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1061" w:type="dxa"/>
                  <w:tcBorders>
                    <w:top w:val="single" w:sz="8" w:space="0" w:color="auto"/>
                    <w:left w:val="nil"/>
                    <w:bottom w:val="single" w:sz="4" w:space="0" w:color="auto"/>
                    <w:right w:val="double" w:sz="4" w:space="0" w:color="auto"/>
                  </w:tcBorders>
                  <w:shd w:val="clear" w:color="auto" w:fill="auto"/>
                  <w:noWrap/>
                  <w:vAlign w:val="center"/>
                  <w:hideMark/>
                </w:tcPr>
                <w:p w14:paraId="3A6A0333" w14:textId="77777777" w:rsidR="00154514" w:rsidRPr="00BA1002" w:rsidRDefault="00154514" w:rsidP="00980148">
                  <w:pPr>
                    <w:spacing w:after="0"/>
                    <w:ind w:firstLine="0"/>
                    <w:jc w:val="right"/>
                    <w:rPr>
                      <w:color w:val="000000"/>
                      <w:sz w:val="18"/>
                    </w:rPr>
                  </w:pPr>
                  <w:r w:rsidRPr="00BA1002">
                    <w:rPr>
                      <w:color w:val="000000"/>
                      <w:sz w:val="18"/>
                    </w:rPr>
                    <w:t>-0,500%</w:t>
                  </w:r>
                </w:p>
              </w:tc>
            </w:tr>
            <w:tr w:rsidR="00154514" w:rsidRPr="00BA1002" w14:paraId="7DA8D86A" w14:textId="77777777" w:rsidTr="002926A6">
              <w:trPr>
                <w:trHeight w:val="310"/>
              </w:trPr>
              <w:tc>
                <w:tcPr>
                  <w:tcW w:w="1163" w:type="dxa"/>
                  <w:tcBorders>
                    <w:top w:val="nil"/>
                    <w:left w:val="double" w:sz="4" w:space="0" w:color="auto"/>
                    <w:bottom w:val="single" w:sz="4" w:space="0" w:color="auto"/>
                    <w:right w:val="single" w:sz="4" w:space="0" w:color="auto"/>
                  </w:tcBorders>
                  <w:shd w:val="clear" w:color="auto" w:fill="auto"/>
                  <w:noWrap/>
                  <w:vAlign w:val="bottom"/>
                  <w:hideMark/>
                </w:tcPr>
                <w:p w14:paraId="5C941339" w14:textId="77777777" w:rsidR="00154514" w:rsidRPr="00BA1002" w:rsidRDefault="00154514" w:rsidP="00154514">
                  <w:pPr>
                    <w:spacing w:after="0"/>
                    <w:ind w:firstLine="0"/>
                    <w:jc w:val="left"/>
                    <w:rPr>
                      <w:color w:val="000000"/>
                      <w:sz w:val="18"/>
                    </w:rPr>
                  </w:pPr>
                  <w:r w:rsidRPr="00BA1002">
                    <w:rPr>
                      <w:color w:val="000000"/>
                      <w:sz w:val="18"/>
                    </w:rPr>
                    <w:t>Pieļaujamās atkāpes</w:t>
                  </w:r>
                </w:p>
              </w:tc>
              <w:tc>
                <w:tcPr>
                  <w:tcW w:w="1205" w:type="dxa"/>
                  <w:tcBorders>
                    <w:top w:val="nil"/>
                    <w:left w:val="nil"/>
                    <w:bottom w:val="single" w:sz="4" w:space="0" w:color="auto"/>
                    <w:right w:val="single" w:sz="4" w:space="0" w:color="auto"/>
                  </w:tcBorders>
                  <w:shd w:val="clear" w:color="auto" w:fill="auto"/>
                  <w:noWrap/>
                  <w:vAlign w:val="center"/>
                  <w:hideMark/>
                </w:tcPr>
                <w:p w14:paraId="37B24D6C" w14:textId="77777777" w:rsidR="00154514" w:rsidRPr="00BA1002" w:rsidRDefault="00154514" w:rsidP="00154514">
                  <w:pPr>
                    <w:spacing w:after="0"/>
                    <w:ind w:firstLine="0"/>
                    <w:jc w:val="left"/>
                    <w:rPr>
                      <w:color w:val="000000"/>
                      <w:sz w:val="18"/>
                    </w:rPr>
                  </w:pPr>
                  <w:r w:rsidRPr="00BA1002">
                    <w:rPr>
                      <w:color w:val="000000"/>
                      <w:sz w:val="18"/>
                    </w:rPr>
                    <w:t>no 2% uz 4%</w:t>
                  </w:r>
                </w:p>
              </w:tc>
              <w:tc>
                <w:tcPr>
                  <w:tcW w:w="849" w:type="dxa"/>
                  <w:tcBorders>
                    <w:top w:val="nil"/>
                    <w:left w:val="nil"/>
                    <w:bottom w:val="single" w:sz="4" w:space="0" w:color="auto"/>
                    <w:right w:val="single" w:sz="4" w:space="0" w:color="auto"/>
                  </w:tcBorders>
                  <w:shd w:val="clear" w:color="auto" w:fill="auto"/>
                  <w:noWrap/>
                  <w:vAlign w:val="center"/>
                  <w:hideMark/>
                </w:tcPr>
                <w:p w14:paraId="4E50E84C"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849" w:type="dxa"/>
                  <w:tcBorders>
                    <w:top w:val="nil"/>
                    <w:left w:val="nil"/>
                    <w:bottom w:val="single" w:sz="4" w:space="0" w:color="auto"/>
                    <w:right w:val="single" w:sz="4" w:space="0" w:color="auto"/>
                  </w:tcBorders>
                  <w:shd w:val="clear" w:color="auto" w:fill="auto"/>
                  <w:noWrap/>
                  <w:vAlign w:val="center"/>
                  <w:hideMark/>
                </w:tcPr>
                <w:p w14:paraId="10EC9111" w14:textId="77777777" w:rsidR="00154514" w:rsidRPr="00BA1002" w:rsidRDefault="00154514" w:rsidP="00980148">
                  <w:pPr>
                    <w:spacing w:after="0"/>
                    <w:ind w:firstLine="0"/>
                    <w:jc w:val="right"/>
                    <w:rPr>
                      <w:color w:val="000000"/>
                      <w:sz w:val="18"/>
                    </w:rPr>
                  </w:pPr>
                  <w:r w:rsidRPr="00BA1002">
                    <w:rPr>
                      <w:color w:val="000000"/>
                      <w:sz w:val="18"/>
                    </w:rPr>
                    <w:t>-0,500%</w:t>
                  </w:r>
                </w:p>
              </w:tc>
              <w:tc>
                <w:tcPr>
                  <w:tcW w:w="989" w:type="dxa"/>
                  <w:tcBorders>
                    <w:top w:val="nil"/>
                    <w:left w:val="nil"/>
                    <w:bottom w:val="single" w:sz="4" w:space="0" w:color="auto"/>
                    <w:right w:val="single" w:sz="4" w:space="0" w:color="auto"/>
                  </w:tcBorders>
                  <w:shd w:val="clear" w:color="auto" w:fill="auto"/>
                  <w:noWrap/>
                  <w:vAlign w:val="center"/>
                  <w:hideMark/>
                </w:tcPr>
                <w:p w14:paraId="5E85EA67" w14:textId="77777777" w:rsidR="00154514" w:rsidRPr="00BA1002" w:rsidRDefault="00154514" w:rsidP="00980148">
                  <w:pPr>
                    <w:spacing w:after="0"/>
                    <w:ind w:firstLine="0"/>
                    <w:jc w:val="right"/>
                    <w:rPr>
                      <w:color w:val="000000"/>
                      <w:sz w:val="18"/>
                    </w:rPr>
                  </w:pPr>
                  <w:r w:rsidRPr="00BA1002">
                    <w:rPr>
                      <w:color w:val="000000"/>
                      <w:sz w:val="18"/>
                    </w:rPr>
                    <w:t>-0,250%</w:t>
                  </w:r>
                </w:p>
              </w:tc>
              <w:tc>
                <w:tcPr>
                  <w:tcW w:w="989" w:type="dxa"/>
                  <w:tcBorders>
                    <w:top w:val="nil"/>
                    <w:left w:val="nil"/>
                    <w:bottom w:val="single" w:sz="4" w:space="0" w:color="auto"/>
                    <w:right w:val="single" w:sz="4" w:space="0" w:color="auto"/>
                  </w:tcBorders>
                  <w:shd w:val="clear" w:color="auto" w:fill="auto"/>
                  <w:noWrap/>
                  <w:vAlign w:val="center"/>
                  <w:hideMark/>
                </w:tcPr>
                <w:p w14:paraId="527E5838" w14:textId="77777777" w:rsidR="00154514" w:rsidRPr="00BA1002" w:rsidRDefault="00154514" w:rsidP="00980148">
                  <w:pPr>
                    <w:spacing w:after="0"/>
                    <w:ind w:firstLine="0"/>
                    <w:jc w:val="right"/>
                    <w:rPr>
                      <w:color w:val="000000"/>
                      <w:sz w:val="18"/>
                    </w:rPr>
                  </w:pPr>
                  <w:r w:rsidRPr="00BA1002">
                    <w:rPr>
                      <w:color w:val="000000"/>
                      <w:sz w:val="18"/>
                    </w:rPr>
                    <w:t>0,000%</w:t>
                  </w:r>
                </w:p>
              </w:tc>
              <w:tc>
                <w:tcPr>
                  <w:tcW w:w="989" w:type="dxa"/>
                  <w:tcBorders>
                    <w:top w:val="nil"/>
                    <w:left w:val="nil"/>
                    <w:bottom w:val="single" w:sz="4" w:space="0" w:color="auto"/>
                    <w:right w:val="single" w:sz="4" w:space="0" w:color="auto"/>
                  </w:tcBorders>
                  <w:shd w:val="clear" w:color="auto" w:fill="auto"/>
                  <w:noWrap/>
                  <w:vAlign w:val="center"/>
                  <w:hideMark/>
                </w:tcPr>
                <w:p w14:paraId="540B3E46" w14:textId="77777777" w:rsidR="00154514" w:rsidRPr="00BA1002" w:rsidRDefault="00154514" w:rsidP="00980148">
                  <w:pPr>
                    <w:spacing w:after="0"/>
                    <w:ind w:firstLine="0"/>
                    <w:jc w:val="right"/>
                    <w:rPr>
                      <w:color w:val="000000"/>
                      <w:sz w:val="18"/>
                    </w:rPr>
                  </w:pPr>
                  <w:r w:rsidRPr="00BA1002">
                    <w:rPr>
                      <w:color w:val="000000"/>
                      <w:sz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4E60ECC7" w14:textId="77777777" w:rsidR="00154514" w:rsidRPr="00BA1002" w:rsidRDefault="00154514" w:rsidP="00980148">
                  <w:pPr>
                    <w:spacing w:after="0"/>
                    <w:ind w:firstLine="0"/>
                    <w:jc w:val="right"/>
                    <w:rPr>
                      <w:color w:val="000000"/>
                      <w:sz w:val="18"/>
                    </w:rPr>
                  </w:pPr>
                  <w:r w:rsidRPr="00BA1002">
                    <w:rPr>
                      <w:color w:val="000000"/>
                      <w:sz w:val="18"/>
                    </w:rPr>
                    <w:t> </w:t>
                  </w:r>
                </w:p>
              </w:tc>
              <w:tc>
                <w:tcPr>
                  <w:tcW w:w="1061" w:type="dxa"/>
                  <w:tcBorders>
                    <w:top w:val="nil"/>
                    <w:left w:val="nil"/>
                    <w:bottom w:val="single" w:sz="4" w:space="0" w:color="auto"/>
                    <w:right w:val="double" w:sz="4" w:space="0" w:color="auto"/>
                  </w:tcBorders>
                  <w:shd w:val="clear" w:color="auto" w:fill="auto"/>
                  <w:noWrap/>
                  <w:vAlign w:val="center"/>
                  <w:hideMark/>
                </w:tcPr>
                <w:p w14:paraId="776876F7" w14:textId="77777777" w:rsidR="00154514" w:rsidRPr="00BA1002" w:rsidRDefault="00154514" w:rsidP="00980148">
                  <w:pPr>
                    <w:spacing w:after="0"/>
                    <w:ind w:firstLine="0"/>
                    <w:jc w:val="right"/>
                    <w:rPr>
                      <w:color w:val="000000"/>
                      <w:sz w:val="18"/>
                    </w:rPr>
                  </w:pPr>
                  <w:r w:rsidRPr="00BA1002">
                    <w:rPr>
                      <w:color w:val="000000"/>
                      <w:sz w:val="18"/>
                    </w:rPr>
                    <w:t> </w:t>
                  </w:r>
                </w:p>
              </w:tc>
            </w:tr>
            <w:tr w:rsidR="00154514" w:rsidRPr="00BA1002" w14:paraId="36B664AA" w14:textId="77777777" w:rsidTr="002926A6">
              <w:trPr>
                <w:trHeight w:val="310"/>
              </w:trPr>
              <w:tc>
                <w:tcPr>
                  <w:tcW w:w="1163" w:type="dxa"/>
                  <w:tcBorders>
                    <w:top w:val="nil"/>
                    <w:left w:val="double" w:sz="4" w:space="0" w:color="auto"/>
                    <w:bottom w:val="single" w:sz="4" w:space="0" w:color="auto"/>
                    <w:right w:val="single" w:sz="4" w:space="0" w:color="auto"/>
                  </w:tcBorders>
                  <w:shd w:val="clear" w:color="auto" w:fill="auto"/>
                  <w:noWrap/>
                  <w:vAlign w:val="bottom"/>
                  <w:hideMark/>
                </w:tcPr>
                <w:p w14:paraId="51834FEB" w14:textId="77777777" w:rsidR="00154514" w:rsidRPr="00BA1002" w:rsidRDefault="00154514" w:rsidP="00154514">
                  <w:pPr>
                    <w:spacing w:after="0"/>
                    <w:ind w:firstLine="0"/>
                    <w:jc w:val="left"/>
                    <w:rPr>
                      <w:color w:val="000000"/>
                      <w:sz w:val="18"/>
                    </w:rPr>
                  </w:pPr>
                  <w:r w:rsidRPr="00BA1002">
                    <w:rPr>
                      <w:color w:val="000000"/>
                      <w:sz w:val="18"/>
                    </w:rPr>
                    <w:t> </w:t>
                  </w:r>
                </w:p>
              </w:tc>
              <w:tc>
                <w:tcPr>
                  <w:tcW w:w="1205" w:type="dxa"/>
                  <w:tcBorders>
                    <w:top w:val="nil"/>
                    <w:left w:val="nil"/>
                    <w:bottom w:val="single" w:sz="4" w:space="0" w:color="auto"/>
                    <w:right w:val="single" w:sz="4" w:space="0" w:color="auto"/>
                  </w:tcBorders>
                  <w:shd w:val="clear" w:color="auto" w:fill="auto"/>
                  <w:noWrap/>
                  <w:vAlign w:val="center"/>
                  <w:hideMark/>
                </w:tcPr>
                <w:p w14:paraId="359DDC7D" w14:textId="77777777" w:rsidR="00154514" w:rsidRPr="00BA1002" w:rsidRDefault="00154514" w:rsidP="00154514">
                  <w:pPr>
                    <w:spacing w:after="0"/>
                    <w:ind w:firstLine="0"/>
                    <w:jc w:val="left"/>
                    <w:rPr>
                      <w:color w:val="000000"/>
                      <w:sz w:val="18"/>
                    </w:rPr>
                  </w:pPr>
                  <w:r w:rsidRPr="00BA1002">
                    <w:rPr>
                      <w:color w:val="000000"/>
                      <w:sz w:val="18"/>
                    </w:rPr>
                    <w:t>no 4% uz 5%</w:t>
                  </w:r>
                </w:p>
              </w:tc>
              <w:tc>
                <w:tcPr>
                  <w:tcW w:w="849" w:type="dxa"/>
                  <w:tcBorders>
                    <w:top w:val="nil"/>
                    <w:left w:val="nil"/>
                    <w:bottom w:val="single" w:sz="4" w:space="0" w:color="auto"/>
                    <w:right w:val="single" w:sz="4" w:space="0" w:color="auto"/>
                  </w:tcBorders>
                  <w:shd w:val="clear" w:color="auto" w:fill="auto"/>
                  <w:noWrap/>
                  <w:vAlign w:val="center"/>
                  <w:hideMark/>
                </w:tcPr>
                <w:p w14:paraId="04207364" w14:textId="77777777" w:rsidR="00154514" w:rsidRPr="00BA1002" w:rsidRDefault="00154514" w:rsidP="00980148">
                  <w:pPr>
                    <w:spacing w:after="0"/>
                    <w:ind w:firstLine="0"/>
                    <w:jc w:val="right"/>
                    <w:rPr>
                      <w:color w:val="000000"/>
                      <w:sz w:val="18"/>
                    </w:rPr>
                  </w:pPr>
                  <w:r w:rsidRPr="00BA1002">
                    <w:rPr>
                      <w:color w:val="000000"/>
                      <w:sz w:val="18"/>
                    </w:rPr>
                    <w:t> </w:t>
                  </w:r>
                </w:p>
              </w:tc>
              <w:tc>
                <w:tcPr>
                  <w:tcW w:w="849" w:type="dxa"/>
                  <w:tcBorders>
                    <w:top w:val="nil"/>
                    <w:left w:val="nil"/>
                    <w:bottom w:val="single" w:sz="4" w:space="0" w:color="auto"/>
                    <w:right w:val="single" w:sz="4" w:space="0" w:color="auto"/>
                  </w:tcBorders>
                  <w:shd w:val="clear" w:color="auto" w:fill="auto"/>
                  <w:noWrap/>
                  <w:vAlign w:val="center"/>
                  <w:hideMark/>
                </w:tcPr>
                <w:p w14:paraId="6BF77DD8" w14:textId="77777777" w:rsidR="00154514" w:rsidRPr="00BA1002" w:rsidRDefault="00154514" w:rsidP="00980148">
                  <w:pPr>
                    <w:spacing w:after="0"/>
                    <w:ind w:firstLine="0"/>
                    <w:jc w:val="right"/>
                    <w:rPr>
                      <w:color w:val="000000"/>
                      <w:sz w:val="18"/>
                    </w:rPr>
                  </w:pPr>
                  <w:r w:rsidRPr="00BA1002">
                    <w:rPr>
                      <w:color w:val="000000"/>
                      <w:sz w:val="18"/>
                    </w:rPr>
                    <w:t> </w:t>
                  </w:r>
                </w:p>
              </w:tc>
              <w:tc>
                <w:tcPr>
                  <w:tcW w:w="989" w:type="dxa"/>
                  <w:tcBorders>
                    <w:top w:val="nil"/>
                    <w:left w:val="nil"/>
                    <w:bottom w:val="single" w:sz="4" w:space="0" w:color="auto"/>
                    <w:right w:val="single" w:sz="4" w:space="0" w:color="auto"/>
                  </w:tcBorders>
                  <w:shd w:val="clear" w:color="auto" w:fill="auto"/>
                  <w:noWrap/>
                  <w:vAlign w:val="center"/>
                  <w:hideMark/>
                </w:tcPr>
                <w:p w14:paraId="10A3C25B" w14:textId="77777777" w:rsidR="00154514" w:rsidRPr="00BA1002" w:rsidRDefault="00154514" w:rsidP="00980148">
                  <w:pPr>
                    <w:spacing w:after="0"/>
                    <w:ind w:firstLine="0"/>
                    <w:jc w:val="right"/>
                    <w:rPr>
                      <w:color w:val="000000"/>
                      <w:sz w:val="18"/>
                    </w:rPr>
                  </w:pPr>
                  <w:r w:rsidRPr="00BA1002">
                    <w:rPr>
                      <w:color w:val="000000"/>
                      <w:sz w:val="18"/>
                    </w:rPr>
                    <w:t>-0,274%</w:t>
                  </w:r>
                </w:p>
              </w:tc>
              <w:tc>
                <w:tcPr>
                  <w:tcW w:w="989" w:type="dxa"/>
                  <w:tcBorders>
                    <w:top w:val="nil"/>
                    <w:left w:val="nil"/>
                    <w:bottom w:val="single" w:sz="4" w:space="0" w:color="auto"/>
                    <w:right w:val="single" w:sz="4" w:space="0" w:color="auto"/>
                  </w:tcBorders>
                  <w:shd w:val="clear" w:color="auto" w:fill="auto"/>
                  <w:noWrap/>
                  <w:vAlign w:val="center"/>
                  <w:hideMark/>
                </w:tcPr>
                <w:p w14:paraId="7563CC56" w14:textId="77777777" w:rsidR="00154514" w:rsidRPr="00BA1002" w:rsidRDefault="00154514" w:rsidP="00980148">
                  <w:pPr>
                    <w:spacing w:after="0"/>
                    <w:ind w:firstLine="0"/>
                    <w:jc w:val="right"/>
                    <w:rPr>
                      <w:color w:val="000000"/>
                      <w:sz w:val="18"/>
                    </w:rPr>
                  </w:pPr>
                  <w:r w:rsidRPr="00BA1002">
                    <w:rPr>
                      <w:color w:val="000000"/>
                      <w:sz w:val="18"/>
                    </w:rPr>
                    <w:t>-0,137%</w:t>
                  </w:r>
                </w:p>
              </w:tc>
              <w:tc>
                <w:tcPr>
                  <w:tcW w:w="989" w:type="dxa"/>
                  <w:tcBorders>
                    <w:top w:val="nil"/>
                    <w:left w:val="nil"/>
                    <w:bottom w:val="single" w:sz="4" w:space="0" w:color="auto"/>
                    <w:right w:val="single" w:sz="4" w:space="0" w:color="auto"/>
                  </w:tcBorders>
                  <w:shd w:val="clear" w:color="auto" w:fill="auto"/>
                  <w:noWrap/>
                  <w:vAlign w:val="center"/>
                  <w:hideMark/>
                </w:tcPr>
                <w:p w14:paraId="10A2F0B0" w14:textId="77777777" w:rsidR="00154514" w:rsidRPr="00BA1002" w:rsidRDefault="00154514" w:rsidP="00980148">
                  <w:pPr>
                    <w:spacing w:after="0"/>
                    <w:ind w:firstLine="0"/>
                    <w:jc w:val="right"/>
                    <w:rPr>
                      <w:color w:val="000000"/>
                      <w:sz w:val="18"/>
                    </w:rPr>
                  </w:pPr>
                  <w:r w:rsidRPr="00BA1002">
                    <w:rPr>
                      <w:color w:val="000000"/>
                      <w:sz w:val="18"/>
                    </w:rPr>
                    <w:t>-0,069%</w:t>
                  </w:r>
                </w:p>
              </w:tc>
              <w:tc>
                <w:tcPr>
                  <w:tcW w:w="849" w:type="dxa"/>
                  <w:tcBorders>
                    <w:top w:val="nil"/>
                    <w:left w:val="nil"/>
                    <w:bottom w:val="single" w:sz="4" w:space="0" w:color="auto"/>
                    <w:right w:val="single" w:sz="4" w:space="0" w:color="auto"/>
                  </w:tcBorders>
                  <w:shd w:val="clear" w:color="auto" w:fill="auto"/>
                  <w:noWrap/>
                  <w:vAlign w:val="center"/>
                  <w:hideMark/>
                </w:tcPr>
                <w:p w14:paraId="55F843B6" w14:textId="77777777" w:rsidR="00154514" w:rsidRPr="00BA1002" w:rsidRDefault="00154514" w:rsidP="00980148">
                  <w:pPr>
                    <w:spacing w:after="0"/>
                    <w:ind w:firstLine="0"/>
                    <w:jc w:val="right"/>
                    <w:rPr>
                      <w:color w:val="000000"/>
                      <w:sz w:val="18"/>
                    </w:rPr>
                  </w:pPr>
                  <w:r w:rsidRPr="00BA1002">
                    <w:rPr>
                      <w:color w:val="000000"/>
                      <w:sz w:val="18"/>
                    </w:rPr>
                    <w:t>0,000%</w:t>
                  </w:r>
                </w:p>
              </w:tc>
              <w:tc>
                <w:tcPr>
                  <w:tcW w:w="1061" w:type="dxa"/>
                  <w:tcBorders>
                    <w:top w:val="nil"/>
                    <w:left w:val="nil"/>
                    <w:bottom w:val="single" w:sz="4" w:space="0" w:color="auto"/>
                    <w:right w:val="double" w:sz="4" w:space="0" w:color="auto"/>
                  </w:tcBorders>
                  <w:shd w:val="clear" w:color="auto" w:fill="auto"/>
                  <w:noWrap/>
                  <w:vAlign w:val="center"/>
                  <w:hideMark/>
                </w:tcPr>
                <w:p w14:paraId="304A8AAA" w14:textId="77777777" w:rsidR="00154514" w:rsidRPr="00BA1002" w:rsidRDefault="00154514" w:rsidP="00980148">
                  <w:pPr>
                    <w:spacing w:after="0"/>
                    <w:ind w:firstLine="0"/>
                    <w:jc w:val="right"/>
                    <w:rPr>
                      <w:color w:val="000000"/>
                      <w:sz w:val="18"/>
                    </w:rPr>
                  </w:pPr>
                  <w:r w:rsidRPr="00BA1002">
                    <w:rPr>
                      <w:color w:val="000000"/>
                      <w:sz w:val="18"/>
                    </w:rPr>
                    <w:t> </w:t>
                  </w:r>
                </w:p>
              </w:tc>
            </w:tr>
            <w:tr w:rsidR="00154514" w:rsidRPr="00BA1002" w14:paraId="159D2E35" w14:textId="77777777" w:rsidTr="002926A6">
              <w:trPr>
                <w:trHeight w:val="325"/>
              </w:trPr>
              <w:tc>
                <w:tcPr>
                  <w:tcW w:w="1163" w:type="dxa"/>
                  <w:tcBorders>
                    <w:top w:val="nil"/>
                    <w:left w:val="double" w:sz="4" w:space="0" w:color="auto"/>
                    <w:bottom w:val="nil"/>
                    <w:right w:val="single" w:sz="4" w:space="0" w:color="auto"/>
                  </w:tcBorders>
                  <w:shd w:val="clear" w:color="auto" w:fill="auto"/>
                  <w:noWrap/>
                  <w:vAlign w:val="bottom"/>
                  <w:hideMark/>
                </w:tcPr>
                <w:p w14:paraId="0E409D7C" w14:textId="77777777" w:rsidR="00154514" w:rsidRPr="00BA1002" w:rsidRDefault="00154514" w:rsidP="00154514">
                  <w:pPr>
                    <w:spacing w:after="0"/>
                    <w:ind w:firstLine="0"/>
                    <w:jc w:val="left"/>
                    <w:rPr>
                      <w:color w:val="000000"/>
                      <w:sz w:val="18"/>
                    </w:rPr>
                  </w:pPr>
                  <w:r w:rsidRPr="00BA1002">
                    <w:rPr>
                      <w:color w:val="000000"/>
                      <w:sz w:val="18"/>
                    </w:rPr>
                    <w:t> </w:t>
                  </w:r>
                </w:p>
              </w:tc>
              <w:tc>
                <w:tcPr>
                  <w:tcW w:w="1205" w:type="dxa"/>
                  <w:tcBorders>
                    <w:top w:val="nil"/>
                    <w:left w:val="nil"/>
                    <w:bottom w:val="nil"/>
                    <w:right w:val="single" w:sz="4" w:space="0" w:color="auto"/>
                  </w:tcBorders>
                  <w:shd w:val="clear" w:color="auto" w:fill="auto"/>
                  <w:noWrap/>
                  <w:vAlign w:val="center"/>
                  <w:hideMark/>
                </w:tcPr>
                <w:p w14:paraId="5FE65BB6" w14:textId="77777777" w:rsidR="00154514" w:rsidRPr="00BA1002" w:rsidRDefault="00154514" w:rsidP="00154514">
                  <w:pPr>
                    <w:spacing w:after="0"/>
                    <w:ind w:firstLine="0"/>
                    <w:jc w:val="left"/>
                    <w:rPr>
                      <w:color w:val="000000"/>
                      <w:sz w:val="18"/>
                    </w:rPr>
                  </w:pPr>
                  <w:r w:rsidRPr="00BA1002">
                    <w:rPr>
                      <w:color w:val="000000"/>
                      <w:sz w:val="18"/>
                    </w:rPr>
                    <w:t>no 5% uz 6%</w:t>
                  </w:r>
                </w:p>
              </w:tc>
              <w:tc>
                <w:tcPr>
                  <w:tcW w:w="849" w:type="dxa"/>
                  <w:tcBorders>
                    <w:top w:val="nil"/>
                    <w:left w:val="nil"/>
                    <w:bottom w:val="nil"/>
                    <w:right w:val="single" w:sz="4" w:space="0" w:color="auto"/>
                  </w:tcBorders>
                  <w:shd w:val="clear" w:color="auto" w:fill="auto"/>
                  <w:noWrap/>
                  <w:vAlign w:val="center"/>
                  <w:hideMark/>
                </w:tcPr>
                <w:p w14:paraId="235941C4" w14:textId="77777777" w:rsidR="00154514" w:rsidRPr="00BA1002" w:rsidRDefault="00154514" w:rsidP="00980148">
                  <w:pPr>
                    <w:spacing w:after="0"/>
                    <w:ind w:firstLine="0"/>
                    <w:jc w:val="right"/>
                    <w:rPr>
                      <w:color w:val="000000"/>
                      <w:sz w:val="18"/>
                    </w:rPr>
                  </w:pPr>
                  <w:r w:rsidRPr="00BA1002">
                    <w:rPr>
                      <w:color w:val="000000"/>
                      <w:sz w:val="18"/>
                    </w:rPr>
                    <w:t> </w:t>
                  </w:r>
                </w:p>
              </w:tc>
              <w:tc>
                <w:tcPr>
                  <w:tcW w:w="849" w:type="dxa"/>
                  <w:tcBorders>
                    <w:top w:val="nil"/>
                    <w:left w:val="nil"/>
                    <w:bottom w:val="nil"/>
                    <w:right w:val="single" w:sz="4" w:space="0" w:color="auto"/>
                  </w:tcBorders>
                  <w:shd w:val="clear" w:color="auto" w:fill="auto"/>
                  <w:noWrap/>
                  <w:vAlign w:val="center"/>
                  <w:hideMark/>
                </w:tcPr>
                <w:p w14:paraId="323CBE37" w14:textId="77777777" w:rsidR="00154514" w:rsidRPr="00BA1002" w:rsidRDefault="00154514" w:rsidP="00980148">
                  <w:pPr>
                    <w:spacing w:after="0"/>
                    <w:ind w:firstLine="0"/>
                    <w:jc w:val="right"/>
                    <w:rPr>
                      <w:color w:val="000000"/>
                      <w:sz w:val="18"/>
                    </w:rPr>
                  </w:pPr>
                  <w:r w:rsidRPr="00BA1002">
                    <w:rPr>
                      <w:color w:val="000000"/>
                      <w:sz w:val="18"/>
                    </w:rPr>
                    <w:t> </w:t>
                  </w:r>
                </w:p>
              </w:tc>
              <w:tc>
                <w:tcPr>
                  <w:tcW w:w="989" w:type="dxa"/>
                  <w:tcBorders>
                    <w:top w:val="nil"/>
                    <w:left w:val="nil"/>
                    <w:bottom w:val="nil"/>
                    <w:right w:val="single" w:sz="4" w:space="0" w:color="auto"/>
                  </w:tcBorders>
                  <w:shd w:val="clear" w:color="auto" w:fill="auto"/>
                  <w:noWrap/>
                  <w:vAlign w:val="center"/>
                  <w:hideMark/>
                </w:tcPr>
                <w:p w14:paraId="5F5A1ECB" w14:textId="77777777" w:rsidR="00154514" w:rsidRPr="00BA1002" w:rsidRDefault="00154514" w:rsidP="00980148">
                  <w:pPr>
                    <w:spacing w:after="0"/>
                    <w:ind w:firstLine="0"/>
                    <w:jc w:val="right"/>
                    <w:rPr>
                      <w:color w:val="000000"/>
                      <w:sz w:val="18"/>
                    </w:rPr>
                  </w:pPr>
                  <w:r w:rsidRPr="00BA1002">
                    <w:rPr>
                      <w:color w:val="000000"/>
                      <w:sz w:val="18"/>
                    </w:rPr>
                    <w:t> </w:t>
                  </w:r>
                </w:p>
              </w:tc>
              <w:tc>
                <w:tcPr>
                  <w:tcW w:w="989" w:type="dxa"/>
                  <w:tcBorders>
                    <w:top w:val="nil"/>
                    <w:left w:val="nil"/>
                    <w:bottom w:val="nil"/>
                    <w:right w:val="single" w:sz="4" w:space="0" w:color="auto"/>
                  </w:tcBorders>
                  <w:shd w:val="clear" w:color="auto" w:fill="auto"/>
                  <w:noWrap/>
                  <w:vAlign w:val="center"/>
                  <w:hideMark/>
                </w:tcPr>
                <w:p w14:paraId="1F5C3148" w14:textId="77777777" w:rsidR="00154514" w:rsidRPr="00BA1002" w:rsidRDefault="00154514" w:rsidP="00980148">
                  <w:pPr>
                    <w:spacing w:after="0"/>
                    <w:ind w:firstLine="0"/>
                    <w:jc w:val="right"/>
                    <w:rPr>
                      <w:color w:val="000000"/>
                      <w:sz w:val="18"/>
                    </w:rPr>
                  </w:pPr>
                  <w:r w:rsidRPr="00BA1002">
                    <w:rPr>
                      <w:color w:val="000000"/>
                      <w:sz w:val="18"/>
                    </w:rPr>
                    <w:t>-0,286%</w:t>
                  </w:r>
                </w:p>
              </w:tc>
              <w:tc>
                <w:tcPr>
                  <w:tcW w:w="989" w:type="dxa"/>
                  <w:tcBorders>
                    <w:top w:val="nil"/>
                    <w:left w:val="nil"/>
                    <w:bottom w:val="nil"/>
                    <w:right w:val="single" w:sz="4" w:space="0" w:color="auto"/>
                  </w:tcBorders>
                  <w:shd w:val="clear" w:color="auto" w:fill="auto"/>
                  <w:noWrap/>
                  <w:vAlign w:val="center"/>
                  <w:hideMark/>
                </w:tcPr>
                <w:p w14:paraId="2EDB6156" w14:textId="77777777" w:rsidR="00154514" w:rsidRPr="00BA1002" w:rsidRDefault="00154514" w:rsidP="00980148">
                  <w:pPr>
                    <w:spacing w:after="0"/>
                    <w:ind w:firstLine="0"/>
                    <w:jc w:val="right"/>
                    <w:rPr>
                      <w:color w:val="000000"/>
                      <w:sz w:val="18"/>
                    </w:rPr>
                  </w:pPr>
                  <w:r w:rsidRPr="00BA1002">
                    <w:rPr>
                      <w:color w:val="000000"/>
                      <w:sz w:val="18"/>
                    </w:rPr>
                    <w:t>-0,191%</w:t>
                  </w:r>
                </w:p>
              </w:tc>
              <w:tc>
                <w:tcPr>
                  <w:tcW w:w="849" w:type="dxa"/>
                  <w:tcBorders>
                    <w:top w:val="nil"/>
                    <w:left w:val="nil"/>
                    <w:bottom w:val="nil"/>
                    <w:right w:val="single" w:sz="4" w:space="0" w:color="auto"/>
                  </w:tcBorders>
                  <w:shd w:val="clear" w:color="auto" w:fill="auto"/>
                  <w:noWrap/>
                  <w:vAlign w:val="center"/>
                  <w:hideMark/>
                </w:tcPr>
                <w:p w14:paraId="3131F357" w14:textId="77777777" w:rsidR="00154514" w:rsidRPr="00BA1002" w:rsidRDefault="00154514" w:rsidP="00980148">
                  <w:pPr>
                    <w:spacing w:after="0"/>
                    <w:ind w:firstLine="0"/>
                    <w:jc w:val="right"/>
                    <w:rPr>
                      <w:color w:val="000000"/>
                      <w:sz w:val="18"/>
                    </w:rPr>
                  </w:pPr>
                  <w:r w:rsidRPr="00BA1002">
                    <w:rPr>
                      <w:color w:val="000000"/>
                      <w:sz w:val="18"/>
                    </w:rPr>
                    <w:t>-0,095%</w:t>
                  </w:r>
                </w:p>
              </w:tc>
              <w:tc>
                <w:tcPr>
                  <w:tcW w:w="1061" w:type="dxa"/>
                  <w:tcBorders>
                    <w:top w:val="nil"/>
                    <w:left w:val="nil"/>
                    <w:bottom w:val="nil"/>
                    <w:right w:val="double" w:sz="4" w:space="0" w:color="auto"/>
                  </w:tcBorders>
                  <w:shd w:val="clear" w:color="auto" w:fill="auto"/>
                  <w:noWrap/>
                  <w:vAlign w:val="center"/>
                  <w:hideMark/>
                </w:tcPr>
                <w:p w14:paraId="645114F0" w14:textId="77777777" w:rsidR="00154514" w:rsidRPr="00BA1002" w:rsidRDefault="00154514" w:rsidP="00980148">
                  <w:pPr>
                    <w:spacing w:after="0"/>
                    <w:ind w:firstLine="0"/>
                    <w:jc w:val="right"/>
                    <w:rPr>
                      <w:color w:val="000000"/>
                      <w:sz w:val="18"/>
                    </w:rPr>
                  </w:pPr>
                  <w:r w:rsidRPr="00BA1002">
                    <w:rPr>
                      <w:color w:val="000000"/>
                      <w:sz w:val="18"/>
                    </w:rPr>
                    <w:t>0,000%</w:t>
                  </w:r>
                </w:p>
              </w:tc>
            </w:tr>
            <w:tr w:rsidR="00154514" w:rsidRPr="00BA1002" w14:paraId="564A0825" w14:textId="77777777" w:rsidTr="002926A6">
              <w:trPr>
                <w:trHeight w:val="325"/>
              </w:trPr>
              <w:tc>
                <w:tcPr>
                  <w:tcW w:w="2368" w:type="dxa"/>
                  <w:gridSpan w:val="2"/>
                  <w:tcBorders>
                    <w:top w:val="single" w:sz="8" w:space="0" w:color="auto"/>
                    <w:left w:val="double" w:sz="4" w:space="0" w:color="auto"/>
                    <w:bottom w:val="double" w:sz="4" w:space="0" w:color="auto"/>
                    <w:right w:val="single" w:sz="4" w:space="0" w:color="000000"/>
                  </w:tcBorders>
                  <w:shd w:val="clear" w:color="auto" w:fill="auto"/>
                  <w:noWrap/>
                  <w:vAlign w:val="bottom"/>
                  <w:hideMark/>
                </w:tcPr>
                <w:p w14:paraId="4A0253C3" w14:textId="77777777" w:rsidR="00154514" w:rsidRPr="00BA1002" w:rsidRDefault="00154514" w:rsidP="00154514">
                  <w:pPr>
                    <w:spacing w:after="0"/>
                    <w:ind w:firstLine="0"/>
                    <w:jc w:val="left"/>
                    <w:rPr>
                      <w:color w:val="000000"/>
                      <w:sz w:val="18"/>
                    </w:rPr>
                  </w:pPr>
                  <w:r w:rsidRPr="00BA1002">
                    <w:rPr>
                      <w:color w:val="000000"/>
                      <w:sz w:val="18"/>
                    </w:rPr>
                    <w:t>Strukturālās bilances mērķis</w:t>
                  </w:r>
                </w:p>
              </w:tc>
              <w:tc>
                <w:tcPr>
                  <w:tcW w:w="849" w:type="dxa"/>
                  <w:tcBorders>
                    <w:top w:val="single" w:sz="8" w:space="0" w:color="auto"/>
                    <w:left w:val="nil"/>
                    <w:bottom w:val="double" w:sz="4" w:space="0" w:color="auto"/>
                    <w:right w:val="single" w:sz="4" w:space="0" w:color="auto"/>
                  </w:tcBorders>
                  <w:shd w:val="clear" w:color="auto" w:fill="auto"/>
                  <w:noWrap/>
                  <w:vAlign w:val="center"/>
                  <w:hideMark/>
                </w:tcPr>
                <w:p w14:paraId="565435A2" w14:textId="77777777" w:rsidR="00154514" w:rsidRPr="00BA1002" w:rsidRDefault="00154514" w:rsidP="00980148">
                  <w:pPr>
                    <w:spacing w:after="0"/>
                    <w:ind w:firstLine="0"/>
                    <w:jc w:val="right"/>
                    <w:rPr>
                      <w:b/>
                      <w:color w:val="000000"/>
                      <w:sz w:val="18"/>
                    </w:rPr>
                  </w:pPr>
                  <w:r w:rsidRPr="00BA1002">
                    <w:rPr>
                      <w:b/>
                      <w:color w:val="000000"/>
                      <w:sz w:val="18"/>
                    </w:rPr>
                    <w:t>-1,0%</w:t>
                  </w:r>
                </w:p>
              </w:tc>
              <w:tc>
                <w:tcPr>
                  <w:tcW w:w="849" w:type="dxa"/>
                  <w:tcBorders>
                    <w:top w:val="single" w:sz="8" w:space="0" w:color="auto"/>
                    <w:left w:val="nil"/>
                    <w:bottom w:val="double" w:sz="4" w:space="0" w:color="auto"/>
                    <w:right w:val="single" w:sz="4" w:space="0" w:color="auto"/>
                  </w:tcBorders>
                  <w:shd w:val="clear" w:color="auto" w:fill="auto"/>
                  <w:noWrap/>
                  <w:vAlign w:val="center"/>
                  <w:hideMark/>
                </w:tcPr>
                <w:p w14:paraId="779A60DD" w14:textId="77777777" w:rsidR="00154514" w:rsidRPr="00BA1002" w:rsidRDefault="00154514" w:rsidP="00980148">
                  <w:pPr>
                    <w:spacing w:after="0"/>
                    <w:ind w:firstLine="0"/>
                    <w:jc w:val="right"/>
                    <w:rPr>
                      <w:b/>
                      <w:color w:val="000000"/>
                      <w:sz w:val="18"/>
                    </w:rPr>
                  </w:pPr>
                  <w:r w:rsidRPr="00BA1002">
                    <w:rPr>
                      <w:b/>
                      <w:color w:val="000000"/>
                      <w:sz w:val="18"/>
                    </w:rPr>
                    <w:t>-1,0%</w:t>
                  </w:r>
                </w:p>
              </w:tc>
              <w:tc>
                <w:tcPr>
                  <w:tcW w:w="989" w:type="dxa"/>
                  <w:tcBorders>
                    <w:top w:val="single" w:sz="8" w:space="0" w:color="auto"/>
                    <w:left w:val="nil"/>
                    <w:bottom w:val="double" w:sz="4" w:space="0" w:color="auto"/>
                    <w:right w:val="single" w:sz="4" w:space="0" w:color="auto"/>
                  </w:tcBorders>
                  <w:shd w:val="clear" w:color="auto" w:fill="auto"/>
                  <w:noWrap/>
                  <w:vAlign w:val="center"/>
                  <w:hideMark/>
                </w:tcPr>
                <w:p w14:paraId="7882F664" w14:textId="77777777" w:rsidR="00154514" w:rsidRPr="00BA1002" w:rsidRDefault="00154514" w:rsidP="00980148">
                  <w:pPr>
                    <w:spacing w:after="0"/>
                    <w:ind w:firstLine="0"/>
                    <w:jc w:val="right"/>
                    <w:rPr>
                      <w:b/>
                      <w:color w:val="000000"/>
                      <w:sz w:val="18"/>
                    </w:rPr>
                  </w:pPr>
                  <w:r w:rsidRPr="00BA1002">
                    <w:rPr>
                      <w:b/>
                      <w:color w:val="000000"/>
                      <w:sz w:val="18"/>
                    </w:rPr>
                    <w:t>-1,0%</w:t>
                  </w:r>
                </w:p>
              </w:tc>
              <w:tc>
                <w:tcPr>
                  <w:tcW w:w="989" w:type="dxa"/>
                  <w:tcBorders>
                    <w:top w:val="single" w:sz="8" w:space="0" w:color="auto"/>
                    <w:left w:val="nil"/>
                    <w:bottom w:val="double" w:sz="4" w:space="0" w:color="auto"/>
                    <w:right w:val="single" w:sz="4" w:space="0" w:color="auto"/>
                  </w:tcBorders>
                  <w:shd w:val="clear" w:color="auto" w:fill="auto"/>
                  <w:noWrap/>
                  <w:vAlign w:val="center"/>
                  <w:hideMark/>
                </w:tcPr>
                <w:p w14:paraId="53336120" w14:textId="77777777" w:rsidR="00154514" w:rsidRPr="00BA1002" w:rsidRDefault="00154514" w:rsidP="00980148">
                  <w:pPr>
                    <w:spacing w:after="0"/>
                    <w:ind w:firstLine="0"/>
                    <w:jc w:val="right"/>
                    <w:rPr>
                      <w:b/>
                      <w:color w:val="000000"/>
                      <w:sz w:val="18"/>
                    </w:rPr>
                  </w:pPr>
                  <w:r w:rsidRPr="00BA1002">
                    <w:rPr>
                      <w:b/>
                      <w:color w:val="000000"/>
                      <w:sz w:val="18"/>
                    </w:rPr>
                    <w:t>-0,9%</w:t>
                  </w:r>
                </w:p>
              </w:tc>
              <w:tc>
                <w:tcPr>
                  <w:tcW w:w="989" w:type="dxa"/>
                  <w:tcBorders>
                    <w:top w:val="single" w:sz="8" w:space="0" w:color="auto"/>
                    <w:left w:val="nil"/>
                    <w:bottom w:val="double" w:sz="4" w:space="0" w:color="auto"/>
                    <w:right w:val="single" w:sz="4" w:space="0" w:color="auto"/>
                  </w:tcBorders>
                  <w:shd w:val="clear" w:color="auto" w:fill="auto"/>
                  <w:noWrap/>
                  <w:vAlign w:val="center"/>
                  <w:hideMark/>
                </w:tcPr>
                <w:p w14:paraId="7521D9C5" w14:textId="77777777" w:rsidR="00154514" w:rsidRPr="00BA1002" w:rsidRDefault="00154514" w:rsidP="00980148">
                  <w:pPr>
                    <w:spacing w:after="0"/>
                    <w:ind w:firstLine="0"/>
                    <w:jc w:val="right"/>
                    <w:rPr>
                      <w:b/>
                      <w:color w:val="000000"/>
                      <w:sz w:val="18"/>
                    </w:rPr>
                  </w:pPr>
                  <w:r w:rsidRPr="00BA1002">
                    <w:rPr>
                      <w:b/>
                      <w:color w:val="000000"/>
                      <w:sz w:val="18"/>
                    </w:rPr>
                    <w:t>-0,8%</w:t>
                  </w:r>
                </w:p>
              </w:tc>
              <w:tc>
                <w:tcPr>
                  <w:tcW w:w="849" w:type="dxa"/>
                  <w:tcBorders>
                    <w:top w:val="single" w:sz="8" w:space="0" w:color="auto"/>
                    <w:left w:val="nil"/>
                    <w:bottom w:val="double" w:sz="4" w:space="0" w:color="auto"/>
                    <w:right w:val="single" w:sz="4" w:space="0" w:color="auto"/>
                  </w:tcBorders>
                  <w:shd w:val="clear" w:color="auto" w:fill="auto"/>
                  <w:noWrap/>
                  <w:vAlign w:val="center"/>
                  <w:hideMark/>
                </w:tcPr>
                <w:p w14:paraId="2EAC4FE8" w14:textId="77777777" w:rsidR="00154514" w:rsidRPr="00BA1002" w:rsidRDefault="00154514" w:rsidP="00980148">
                  <w:pPr>
                    <w:spacing w:after="0"/>
                    <w:ind w:firstLine="0"/>
                    <w:jc w:val="right"/>
                    <w:rPr>
                      <w:b/>
                      <w:color w:val="000000"/>
                      <w:sz w:val="18"/>
                    </w:rPr>
                  </w:pPr>
                  <w:r w:rsidRPr="00BA1002">
                    <w:rPr>
                      <w:b/>
                      <w:color w:val="000000"/>
                      <w:sz w:val="18"/>
                    </w:rPr>
                    <w:t>-0,6%</w:t>
                  </w:r>
                </w:p>
              </w:tc>
              <w:tc>
                <w:tcPr>
                  <w:tcW w:w="1061" w:type="dxa"/>
                  <w:tcBorders>
                    <w:top w:val="single" w:sz="8" w:space="0" w:color="auto"/>
                    <w:left w:val="nil"/>
                    <w:bottom w:val="double" w:sz="4" w:space="0" w:color="auto"/>
                    <w:right w:val="double" w:sz="4" w:space="0" w:color="auto"/>
                  </w:tcBorders>
                  <w:shd w:val="clear" w:color="auto" w:fill="auto"/>
                  <w:noWrap/>
                  <w:vAlign w:val="center"/>
                  <w:hideMark/>
                </w:tcPr>
                <w:p w14:paraId="23823C24" w14:textId="77777777" w:rsidR="00154514" w:rsidRPr="00BA1002" w:rsidRDefault="00154514" w:rsidP="00980148">
                  <w:pPr>
                    <w:spacing w:after="0"/>
                    <w:ind w:firstLine="0"/>
                    <w:jc w:val="right"/>
                    <w:rPr>
                      <w:b/>
                      <w:color w:val="000000"/>
                      <w:sz w:val="18"/>
                    </w:rPr>
                  </w:pPr>
                  <w:r w:rsidRPr="00BA1002">
                    <w:rPr>
                      <w:b/>
                      <w:color w:val="000000"/>
                      <w:sz w:val="18"/>
                    </w:rPr>
                    <w:t>-0,5%</w:t>
                  </w:r>
                </w:p>
              </w:tc>
            </w:tr>
          </w:tbl>
          <w:p w14:paraId="71274FD3" w14:textId="77777777" w:rsidR="00154514" w:rsidRPr="00746E8D" w:rsidRDefault="00154514" w:rsidP="00BA1002">
            <w:pPr>
              <w:pStyle w:val="teksts"/>
              <w:spacing w:after="0"/>
              <w:ind w:firstLine="720"/>
              <w:rPr>
                <w:rFonts w:ascii="Times New Roman" w:hAnsi="Times New Roman"/>
                <w:color w:val="000000"/>
                <w:sz w:val="20"/>
              </w:rPr>
            </w:pPr>
          </w:p>
          <w:p w14:paraId="0C2E506F" w14:textId="17D05862" w:rsidR="00154514" w:rsidRPr="00746E8D" w:rsidRDefault="00154514" w:rsidP="00BA1002">
            <w:pPr>
              <w:pStyle w:val="teksts"/>
              <w:spacing w:after="0"/>
              <w:ind w:firstLine="720"/>
              <w:rPr>
                <w:rFonts w:ascii="Times New Roman" w:hAnsi="Times New Roman"/>
                <w:color w:val="000000"/>
                <w:sz w:val="20"/>
              </w:rPr>
            </w:pPr>
            <w:r w:rsidRPr="00746E8D">
              <w:rPr>
                <w:rFonts w:ascii="Times New Roman" w:hAnsi="Times New Roman"/>
                <w:color w:val="000000"/>
                <w:sz w:val="20"/>
              </w:rPr>
              <w:t xml:space="preserve">2013.gadā </w:t>
            </w:r>
            <w:r w:rsidR="00D9246B">
              <w:rPr>
                <w:rFonts w:ascii="Times New Roman" w:hAnsi="Times New Roman"/>
                <w:color w:val="000000"/>
                <w:sz w:val="20"/>
              </w:rPr>
              <w:t xml:space="preserve">bija </w:t>
            </w:r>
            <w:r w:rsidRPr="00746E8D">
              <w:rPr>
                <w:rFonts w:ascii="Times New Roman" w:hAnsi="Times New Roman"/>
                <w:color w:val="000000"/>
                <w:sz w:val="20"/>
              </w:rPr>
              <w:t xml:space="preserve">paredzēts palielināt iemaksas 2.pensiju līmenī no 2% uz 4%. Fiskālā ietekme jeb ieņēmumu samazinājums sociālās apdrošināšanas budžetā šajā gadā pēc EKS ir 0,5% no IKP, līdz ar to saskaņā ar </w:t>
            </w:r>
            <w:r w:rsidRPr="00746E8D">
              <w:rPr>
                <w:rFonts w:ascii="Times New Roman" w:hAnsi="Times New Roman"/>
                <w:sz w:val="20"/>
              </w:rPr>
              <w:t xml:space="preserve">Regulu </w:t>
            </w:r>
            <w:r w:rsidR="00BA1002">
              <w:rPr>
                <w:rFonts w:ascii="Times New Roman" w:hAnsi="Times New Roman"/>
                <w:sz w:val="20"/>
              </w:rPr>
              <w:t>N</w:t>
            </w:r>
            <w:r w:rsidRPr="00746E8D">
              <w:rPr>
                <w:rFonts w:ascii="Times New Roman" w:hAnsi="Times New Roman"/>
                <w:sz w:val="20"/>
              </w:rPr>
              <w:t>r. 1175/2011</w:t>
            </w:r>
            <w:r w:rsidRPr="00746E8D">
              <w:rPr>
                <w:rFonts w:ascii="Times New Roman" w:hAnsi="Times New Roman"/>
                <w:color w:val="000000"/>
                <w:sz w:val="20"/>
              </w:rPr>
              <w:t xml:space="preserve">, iespējamais atkāpes līmenis 2013.gadā ir 0,5% un strukturālās bilances mērķis -1,0% no IKP. 0,5% atkāpi, saskaņā ar </w:t>
            </w:r>
            <w:r w:rsidR="00BA1002">
              <w:rPr>
                <w:rFonts w:ascii="Times New Roman" w:hAnsi="Times New Roman"/>
                <w:sz w:val="20"/>
              </w:rPr>
              <w:t>Regulu N</w:t>
            </w:r>
            <w:r w:rsidRPr="00746E8D">
              <w:rPr>
                <w:rFonts w:ascii="Times New Roman" w:hAnsi="Times New Roman"/>
                <w:sz w:val="20"/>
              </w:rPr>
              <w:t>r. 1175/2011</w:t>
            </w:r>
            <w:r w:rsidRPr="00746E8D">
              <w:rPr>
                <w:rFonts w:ascii="Times New Roman" w:hAnsi="Times New Roman"/>
                <w:color w:val="000000"/>
                <w:sz w:val="20"/>
              </w:rPr>
              <w:t>, ir jānovērš 3 gadu laikā. Attiecīgi, fiskālās attīstības scenārijā paredzēts, ka 2014.gadā atkāpe paliek 0,5% no IKP apmērā, 2015.gadā 0,25% un 2016.gadā atkāpe ir 0.</w:t>
            </w:r>
          </w:p>
          <w:p w14:paraId="67D072AF" w14:textId="31C5EE7B" w:rsidR="00154514" w:rsidRPr="00746E8D" w:rsidRDefault="00154514" w:rsidP="00BA1002">
            <w:pPr>
              <w:pStyle w:val="teksts"/>
              <w:spacing w:after="0"/>
              <w:ind w:firstLine="720"/>
              <w:rPr>
                <w:rFonts w:ascii="Times New Roman" w:hAnsi="Times New Roman"/>
                <w:color w:val="000000"/>
                <w:sz w:val="20"/>
              </w:rPr>
            </w:pPr>
            <w:r w:rsidRPr="00746E8D">
              <w:rPr>
                <w:rFonts w:ascii="Times New Roman" w:hAnsi="Times New Roman"/>
                <w:color w:val="000000"/>
                <w:sz w:val="20"/>
              </w:rPr>
              <w:t xml:space="preserve">2015.gadā ir paredzēts palielināt iemaksas 2.pensiju līmenī no 4% uz 5%. Fiskālā ietekme jeb ieņēmumu samazinājums sociālās apdrošināšanas budžetā šajā gadā pēc EKS metodoloģijas ir 0,274% no IKP, līdz ar to saskaņā ar </w:t>
            </w:r>
            <w:r w:rsidR="00D9246B">
              <w:rPr>
                <w:rFonts w:ascii="Times New Roman" w:hAnsi="Times New Roman"/>
                <w:sz w:val="20"/>
              </w:rPr>
              <w:t>Regulu N</w:t>
            </w:r>
            <w:r w:rsidRPr="00746E8D">
              <w:rPr>
                <w:rFonts w:ascii="Times New Roman" w:hAnsi="Times New Roman"/>
                <w:sz w:val="20"/>
              </w:rPr>
              <w:t>r. 1175/2011</w:t>
            </w:r>
            <w:r w:rsidRPr="00746E8D">
              <w:rPr>
                <w:rFonts w:ascii="Times New Roman" w:hAnsi="Times New Roman"/>
                <w:color w:val="000000"/>
                <w:sz w:val="20"/>
              </w:rPr>
              <w:t xml:space="preserve">, iespējamais atkāpes līmenis 2015.gadā ir 0,274%. Šo atkāpi saskaņā ar </w:t>
            </w:r>
            <w:r w:rsidR="00BA1002">
              <w:rPr>
                <w:rFonts w:ascii="Times New Roman" w:hAnsi="Times New Roman"/>
                <w:sz w:val="20"/>
              </w:rPr>
              <w:t>Regulu N</w:t>
            </w:r>
            <w:r w:rsidRPr="00746E8D">
              <w:rPr>
                <w:rFonts w:ascii="Times New Roman" w:hAnsi="Times New Roman"/>
                <w:sz w:val="20"/>
              </w:rPr>
              <w:t>r. 1175/2011</w:t>
            </w:r>
            <w:r w:rsidRPr="00746E8D">
              <w:rPr>
                <w:rFonts w:ascii="Times New Roman" w:hAnsi="Times New Roman"/>
                <w:color w:val="000000"/>
                <w:sz w:val="20"/>
              </w:rPr>
              <w:t xml:space="preserve"> ir jānovērš 3 gadu laikā. Attiecīgi, fiskālās attīstības scenārijā paredzēts, ka 2016.gadā atkāpe ir 0,137% no IKP apmērā, 2017.gadā 0,069% un 2018.gadā atkāpe ir 0.</w:t>
            </w:r>
          </w:p>
          <w:p w14:paraId="42CCA4E7" w14:textId="5E57EE5D" w:rsidR="00154514" w:rsidRPr="00746E8D" w:rsidRDefault="00154514" w:rsidP="00BA1002">
            <w:pPr>
              <w:pStyle w:val="teksts"/>
              <w:spacing w:after="0"/>
              <w:ind w:firstLine="720"/>
              <w:rPr>
                <w:rFonts w:ascii="Times New Roman" w:hAnsi="Times New Roman"/>
                <w:color w:val="000000"/>
                <w:sz w:val="20"/>
              </w:rPr>
            </w:pPr>
            <w:r w:rsidRPr="00746E8D">
              <w:rPr>
                <w:rFonts w:ascii="Times New Roman" w:hAnsi="Times New Roman"/>
                <w:color w:val="000000"/>
                <w:sz w:val="20"/>
              </w:rPr>
              <w:t xml:space="preserve">2016.gadā ir paredzēts palielināt iemaksas 2.pensiju līmenī no 5% uz 6%. Fiskālā ietekme jeb ieņēmumu samazinājums sociālās apdrošināšanas budžetā šajā gadā pēc EKS metodoloģijas ir 0,286% no IKP, līdz ar to saskaņā ar </w:t>
            </w:r>
            <w:r w:rsidR="00BA1002">
              <w:rPr>
                <w:rFonts w:ascii="Times New Roman" w:hAnsi="Times New Roman"/>
                <w:sz w:val="20"/>
              </w:rPr>
              <w:t>Regulu N</w:t>
            </w:r>
            <w:r w:rsidRPr="00746E8D">
              <w:rPr>
                <w:rFonts w:ascii="Times New Roman" w:hAnsi="Times New Roman"/>
                <w:sz w:val="20"/>
              </w:rPr>
              <w:t>r. 1175/2011</w:t>
            </w:r>
            <w:r w:rsidRPr="00746E8D">
              <w:rPr>
                <w:rFonts w:ascii="Times New Roman" w:hAnsi="Times New Roman"/>
                <w:color w:val="000000"/>
                <w:sz w:val="20"/>
              </w:rPr>
              <w:t xml:space="preserve">, iespējamais atkāpes līmenis 2016.gadā ir 0,286%. Šo atkāpi saskaņā ar </w:t>
            </w:r>
            <w:r w:rsidR="00BA1002">
              <w:rPr>
                <w:rFonts w:ascii="Times New Roman" w:hAnsi="Times New Roman"/>
                <w:sz w:val="20"/>
              </w:rPr>
              <w:t>Regulu N</w:t>
            </w:r>
            <w:r w:rsidRPr="00746E8D">
              <w:rPr>
                <w:rFonts w:ascii="Times New Roman" w:hAnsi="Times New Roman"/>
                <w:sz w:val="20"/>
              </w:rPr>
              <w:t>r. 1175/2011</w:t>
            </w:r>
            <w:r w:rsidRPr="00746E8D">
              <w:rPr>
                <w:rFonts w:ascii="Times New Roman" w:hAnsi="Times New Roman"/>
                <w:color w:val="000000"/>
                <w:sz w:val="20"/>
              </w:rPr>
              <w:t xml:space="preserve"> ir jānovērš 3 gadu laikā. Attiecīgi, fiskālās attīstības scenārijā paredzēts, ka 2017.gadā atkāpe ir 0,191% no IKP apmērā, 2018.gadā 0,095% un 2019.gadā atkāpe ir 0.</w:t>
            </w:r>
          </w:p>
          <w:p w14:paraId="3FDEF906" w14:textId="720E1520" w:rsidR="00154514" w:rsidRPr="00746E8D" w:rsidRDefault="00154514" w:rsidP="00D9246B">
            <w:pPr>
              <w:pStyle w:val="teksts"/>
              <w:spacing w:after="0"/>
              <w:ind w:firstLine="720"/>
              <w:rPr>
                <w:rFonts w:ascii="Times New Roman" w:hAnsi="Times New Roman"/>
                <w:color w:val="000000"/>
                <w:sz w:val="20"/>
              </w:rPr>
            </w:pPr>
            <w:r w:rsidRPr="00746E8D">
              <w:rPr>
                <w:rFonts w:ascii="Times New Roman" w:hAnsi="Times New Roman"/>
                <w:color w:val="000000"/>
                <w:sz w:val="20"/>
              </w:rPr>
              <w:t>Summējot trīs augstāk minētās pieļaujamās atkāpes, iegūst strukturālās bilances mērķus, kas attiecīgi 2013.-2015. gados ir -1,0% no IKP un tālāk samazinās, līdz 2019.gadā a</w:t>
            </w:r>
            <w:r w:rsidR="00BA1002">
              <w:rPr>
                <w:rFonts w:ascii="Times New Roman" w:hAnsi="Times New Roman"/>
                <w:color w:val="000000"/>
                <w:sz w:val="20"/>
              </w:rPr>
              <w:t>tgriežas pie MTO -0,5% no IKP.</w:t>
            </w:r>
          </w:p>
          <w:p w14:paraId="6804437A" w14:textId="77777777" w:rsidR="00154514" w:rsidRDefault="00154514" w:rsidP="002926A6">
            <w:pPr>
              <w:pStyle w:val="teksts"/>
              <w:spacing w:after="0"/>
              <w:ind w:firstLine="720"/>
              <w:rPr>
                <w:rFonts w:ascii="Times New Roman" w:eastAsia="Calibri" w:hAnsi="Times New Roman"/>
                <w:color w:val="000000"/>
                <w:szCs w:val="24"/>
              </w:rPr>
            </w:pPr>
            <w:r w:rsidRPr="00746E8D">
              <w:rPr>
                <w:rFonts w:ascii="Times New Roman" w:hAnsi="Times New Roman"/>
                <w:color w:val="000000"/>
                <w:sz w:val="20"/>
              </w:rPr>
              <w:t xml:space="preserve">Jāatzīmē, ka strukturālās bilances mērķis nevienā gadā nepārsniedz saskaņā ar Stabilitātes un izaugsmes </w:t>
            </w:r>
            <w:proofErr w:type="spellStart"/>
            <w:r w:rsidRPr="00746E8D">
              <w:rPr>
                <w:rFonts w:ascii="Times New Roman" w:hAnsi="Times New Roman"/>
                <w:color w:val="000000"/>
                <w:sz w:val="20"/>
              </w:rPr>
              <w:t>paktu</w:t>
            </w:r>
            <w:proofErr w:type="spellEnd"/>
            <w:r w:rsidRPr="00746E8D">
              <w:rPr>
                <w:rFonts w:ascii="Times New Roman" w:hAnsi="Times New Roman"/>
                <w:color w:val="000000"/>
                <w:sz w:val="20"/>
              </w:rPr>
              <w:t xml:space="preserve"> noteikto minimālo MTO, kas Latvijas gadījumā ir -1% no IKP un tiek ievērota pietiekama drošības rezerve attiecībā pret deficīta atsauces vērtību, kas Latvijas gadījumā ir -1,8% no IKP strukturālajā izteiksmē</w:t>
            </w:r>
            <w:r w:rsidRPr="00746E8D">
              <w:rPr>
                <w:rStyle w:val="FootnoteReference"/>
                <w:color w:val="000000"/>
              </w:rPr>
              <w:footnoteReference w:id="7"/>
            </w:r>
            <w:r w:rsidRPr="00746E8D">
              <w:rPr>
                <w:rFonts w:ascii="Times New Roman" w:hAnsi="Times New Roman"/>
                <w:color w:val="000000"/>
                <w:sz w:val="20"/>
              </w:rPr>
              <w:t>.</w:t>
            </w:r>
          </w:p>
        </w:tc>
      </w:tr>
    </w:tbl>
    <w:p w14:paraId="6717B3B2" w14:textId="77777777" w:rsidR="00154514" w:rsidRDefault="00154514" w:rsidP="00154514">
      <w:pPr>
        <w:pStyle w:val="teksts"/>
        <w:rPr>
          <w:rFonts w:ascii="Times New Roman" w:eastAsia="Calibri" w:hAnsi="Times New Roman"/>
          <w:color w:val="000000"/>
          <w:szCs w:val="24"/>
        </w:rPr>
      </w:pPr>
      <w:r>
        <w:rPr>
          <w:rFonts w:ascii="Times New Roman" w:eastAsia="Calibri" w:hAnsi="Times New Roman"/>
          <w:color w:val="000000"/>
          <w:szCs w:val="24"/>
        </w:rPr>
        <w:t xml:space="preserve"> </w:t>
      </w:r>
    </w:p>
    <w:p w14:paraId="1355A3D6" w14:textId="46CC4936"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Pēc tam strukturālās bilances mērķi, ja nepieciešams, tiek koriģēti, lai nodrošinātu zemāk minētos nosacījumus.</w:t>
      </w:r>
    </w:p>
    <w:p w14:paraId="577AF8FF" w14:textId="5C182BDF" w:rsidR="00154514" w:rsidRDefault="00AA06D5"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FDL</w:t>
      </w:r>
      <w:r w:rsidR="00154514">
        <w:rPr>
          <w:rFonts w:ascii="Times New Roman" w:eastAsia="Calibri" w:hAnsi="Times New Roman"/>
          <w:color w:val="000000"/>
          <w:szCs w:val="24"/>
        </w:rPr>
        <w:t xml:space="preserve"> paredz, ka VTM ievērošana nav vienīgais fiskālais nosacījums. Ir jāievēro arī izdevumu pieauguma nosacījums, ko nosaka </w:t>
      </w:r>
      <w:r w:rsidR="00154514" w:rsidRPr="0029532A">
        <w:rPr>
          <w:rFonts w:ascii="Times New Roman" w:eastAsia="Calibri" w:hAnsi="Times New Roman"/>
          <w:color w:val="000000"/>
          <w:szCs w:val="24"/>
        </w:rPr>
        <w:t xml:space="preserve">Regula </w:t>
      </w:r>
      <w:r>
        <w:rPr>
          <w:rFonts w:ascii="Times New Roman" w:eastAsia="Calibri" w:hAnsi="Times New Roman"/>
          <w:color w:val="000000"/>
          <w:szCs w:val="24"/>
        </w:rPr>
        <w:t>N</w:t>
      </w:r>
      <w:r w:rsidR="00154514" w:rsidRPr="0029532A">
        <w:rPr>
          <w:rFonts w:ascii="Times New Roman" w:eastAsia="Calibri" w:hAnsi="Times New Roman"/>
          <w:color w:val="000000"/>
          <w:szCs w:val="24"/>
        </w:rPr>
        <w:t xml:space="preserve">r. 1175/2011. </w:t>
      </w:r>
      <w:r w:rsidR="00154514">
        <w:rPr>
          <w:rFonts w:ascii="Times New Roman" w:eastAsia="Calibri" w:hAnsi="Times New Roman"/>
          <w:color w:val="000000"/>
          <w:szCs w:val="24"/>
        </w:rPr>
        <w:t xml:space="preserve">Šis nosacījums vispārīgajā gadījumā var noteikt ambiciozākus strukturālās bilances mērķus. </w:t>
      </w:r>
      <w:r>
        <w:rPr>
          <w:rFonts w:ascii="Times New Roman" w:eastAsia="Calibri" w:hAnsi="Times New Roman"/>
          <w:color w:val="000000"/>
          <w:szCs w:val="24"/>
        </w:rPr>
        <w:t>FDL</w:t>
      </w:r>
      <w:r w:rsidR="00154514">
        <w:rPr>
          <w:rFonts w:ascii="Times New Roman" w:eastAsia="Calibri" w:hAnsi="Times New Roman"/>
          <w:color w:val="000000"/>
          <w:szCs w:val="24"/>
        </w:rPr>
        <w:t xml:space="preserve"> arī paredz, ka centrālās valdības izdevumi tiek noteikti </w:t>
      </w:r>
      <w:r>
        <w:rPr>
          <w:rFonts w:ascii="Times New Roman" w:eastAsia="Calibri" w:hAnsi="Times New Roman"/>
          <w:color w:val="000000"/>
          <w:szCs w:val="24"/>
        </w:rPr>
        <w:t>I</w:t>
      </w:r>
      <w:r w:rsidR="00154514">
        <w:rPr>
          <w:rFonts w:ascii="Times New Roman" w:eastAsia="Calibri" w:hAnsi="Times New Roman"/>
          <w:color w:val="000000"/>
          <w:szCs w:val="24"/>
        </w:rPr>
        <w:t xml:space="preserve">etvara likumā turpmākajiem 3 gadiem un tie ir juridiski saistoši. Līdz ar to var izveidoties situācija, ka centrālās valdības izdevumu paturēšana iepriekšējā </w:t>
      </w:r>
      <w:r w:rsidR="00FA587D">
        <w:rPr>
          <w:rFonts w:ascii="Times New Roman" w:eastAsia="Calibri" w:hAnsi="Times New Roman"/>
          <w:color w:val="000000"/>
          <w:szCs w:val="24"/>
        </w:rPr>
        <w:t>I</w:t>
      </w:r>
      <w:r w:rsidR="00154514">
        <w:rPr>
          <w:rFonts w:ascii="Times New Roman" w:eastAsia="Calibri" w:hAnsi="Times New Roman"/>
          <w:color w:val="000000"/>
          <w:szCs w:val="24"/>
        </w:rPr>
        <w:t xml:space="preserve">etvara likumā noteiktajā līmenī var mainīt strukturālās bilances mērķi. Tomēr izmaiņas ierobežo </w:t>
      </w:r>
      <w:r w:rsidR="00F82AFD">
        <w:rPr>
          <w:rFonts w:ascii="Times New Roman" w:eastAsia="Calibri" w:hAnsi="Times New Roman"/>
          <w:color w:val="000000"/>
          <w:szCs w:val="24"/>
        </w:rPr>
        <w:t>FDL</w:t>
      </w:r>
      <w:r w:rsidR="00154514">
        <w:rPr>
          <w:rFonts w:ascii="Times New Roman" w:eastAsia="Calibri" w:hAnsi="Times New Roman"/>
          <w:color w:val="000000"/>
          <w:szCs w:val="24"/>
        </w:rPr>
        <w:t xml:space="preserve"> noteikums, ka</w:t>
      </w:r>
      <w:r w:rsidR="00FA587D">
        <w:rPr>
          <w:rFonts w:ascii="Times New Roman" w:eastAsia="Calibri" w:hAnsi="Times New Roman"/>
          <w:color w:val="000000"/>
          <w:szCs w:val="24"/>
        </w:rPr>
        <w:t>,</w:t>
      </w:r>
      <w:r w:rsidR="00154514">
        <w:rPr>
          <w:rFonts w:ascii="Times New Roman" w:eastAsia="Calibri" w:hAnsi="Times New Roman"/>
          <w:color w:val="000000"/>
          <w:szCs w:val="24"/>
        </w:rPr>
        <w:t xml:space="preserve"> ja izdevumu novirzes ir lielākas par 0,1% no IKP, izdevumi netiek saglabāti, bet tiek aprēķināti no jauna saskaņā ar strukturālās bilances mērķi un atjaunotajām makroekonomiskajām prognozēm.</w:t>
      </w:r>
    </w:p>
    <w:p w14:paraId="23AF2794" w14:textId="738BE869"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Veicot izdevumu pieauguma nosacījuma un izdevumu </w:t>
      </w:r>
      <w:proofErr w:type="spellStart"/>
      <w:r>
        <w:rPr>
          <w:rFonts w:ascii="Times New Roman" w:eastAsia="Calibri" w:hAnsi="Times New Roman"/>
          <w:color w:val="000000"/>
          <w:szCs w:val="24"/>
        </w:rPr>
        <w:t>pārma</w:t>
      </w:r>
      <w:r w:rsidR="0000191C">
        <w:rPr>
          <w:rFonts w:ascii="Times New Roman" w:eastAsia="Calibri" w:hAnsi="Times New Roman"/>
          <w:color w:val="000000"/>
          <w:szCs w:val="24"/>
        </w:rPr>
        <w:t>n</w:t>
      </w:r>
      <w:r>
        <w:rPr>
          <w:rFonts w:ascii="Times New Roman" w:eastAsia="Calibri" w:hAnsi="Times New Roman"/>
          <w:color w:val="000000"/>
          <w:szCs w:val="24"/>
        </w:rPr>
        <w:t>tojamības</w:t>
      </w:r>
      <w:proofErr w:type="spellEnd"/>
      <w:r>
        <w:rPr>
          <w:rFonts w:ascii="Times New Roman" w:eastAsia="Calibri" w:hAnsi="Times New Roman"/>
          <w:color w:val="000000"/>
          <w:szCs w:val="24"/>
        </w:rPr>
        <w:t xml:space="preserve"> nosacījuma pārbaudi, tika konstatēts, k</w:t>
      </w:r>
      <w:r w:rsidR="00FA587D">
        <w:rPr>
          <w:rFonts w:ascii="Times New Roman" w:eastAsia="Calibri" w:hAnsi="Times New Roman"/>
          <w:color w:val="000000"/>
          <w:szCs w:val="24"/>
        </w:rPr>
        <w:t>a korekcijas nav nepieciešamas.</w:t>
      </w:r>
    </w:p>
    <w:p w14:paraId="118E238C" w14:textId="157F2BDA" w:rsidR="00154514" w:rsidRDefault="00154514" w:rsidP="00154514">
      <w:pPr>
        <w:pStyle w:val="teksts"/>
        <w:ind w:firstLine="720"/>
        <w:rPr>
          <w:rFonts w:ascii="Times New Roman" w:eastAsia="Calibri" w:hAnsi="Times New Roman"/>
          <w:color w:val="000000"/>
          <w:szCs w:val="24"/>
        </w:rPr>
      </w:pPr>
      <w:r>
        <w:rPr>
          <w:rFonts w:ascii="Times New Roman" w:eastAsia="Calibri" w:hAnsi="Times New Roman"/>
          <w:color w:val="000000"/>
          <w:szCs w:val="24"/>
        </w:rPr>
        <w:t xml:space="preserve">Līdz ar to </w:t>
      </w:r>
      <w:r w:rsidRPr="009D33DC">
        <w:rPr>
          <w:rFonts w:ascii="Times New Roman" w:eastAsia="Calibri" w:hAnsi="Times New Roman"/>
          <w:color w:val="000000"/>
          <w:szCs w:val="24"/>
        </w:rPr>
        <w:t>ir noteikti fiskālie mērķi turpmākajiem trīs gadiem, t.i. nodrošināt</w:t>
      </w:r>
      <w:r w:rsidR="00205F98">
        <w:rPr>
          <w:rFonts w:ascii="Times New Roman" w:eastAsia="Calibri" w:hAnsi="Times New Roman"/>
          <w:color w:val="000000"/>
          <w:szCs w:val="24"/>
        </w:rPr>
        <w:t>, lai</w:t>
      </w:r>
      <w:r w:rsidRPr="009D33DC">
        <w:rPr>
          <w:rFonts w:ascii="Times New Roman" w:eastAsia="Calibri" w:hAnsi="Times New Roman"/>
          <w:color w:val="000000"/>
          <w:szCs w:val="24"/>
        </w:rPr>
        <w:t xml:space="preserve"> vispārējās valdības budžeta strukturāl</w:t>
      </w:r>
      <w:r w:rsidR="00205F98">
        <w:rPr>
          <w:rFonts w:ascii="Times New Roman" w:eastAsia="Calibri" w:hAnsi="Times New Roman"/>
          <w:color w:val="000000"/>
          <w:szCs w:val="24"/>
        </w:rPr>
        <w:t>ais</w:t>
      </w:r>
      <w:r w:rsidRPr="009D33DC">
        <w:rPr>
          <w:rFonts w:ascii="Times New Roman" w:eastAsia="Calibri" w:hAnsi="Times New Roman"/>
          <w:color w:val="000000"/>
          <w:szCs w:val="24"/>
        </w:rPr>
        <w:t xml:space="preserve"> deficīt</w:t>
      </w:r>
      <w:r w:rsidR="00205F98">
        <w:rPr>
          <w:rFonts w:ascii="Times New Roman" w:eastAsia="Calibri" w:hAnsi="Times New Roman"/>
          <w:color w:val="000000"/>
          <w:szCs w:val="24"/>
        </w:rPr>
        <w:t>s nepārsniegtu</w:t>
      </w:r>
      <w:r w:rsidRPr="009D33DC">
        <w:rPr>
          <w:color w:val="000000"/>
          <w:szCs w:val="24"/>
        </w:rPr>
        <w:t xml:space="preserve"> </w:t>
      </w:r>
      <w:r>
        <w:rPr>
          <w:rFonts w:ascii="Times New Roman" w:eastAsia="Calibri" w:hAnsi="Times New Roman"/>
          <w:color w:val="000000"/>
          <w:szCs w:val="24"/>
        </w:rPr>
        <w:t xml:space="preserve">2015.gadā 1,0% no IKP, 2016.gadā 0,9% no IKP un 2017.gadā 0,8% no IKP. </w:t>
      </w:r>
    </w:p>
    <w:p w14:paraId="14F66FFA" w14:textId="77777777" w:rsidR="00154514" w:rsidRDefault="00154514" w:rsidP="00154514">
      <w:pPr>
        <w:pStyle w:val="teksts"/>
        <w:rPr>
          <w:rFonts w:ascii="Times New Roman" w:eastAsia="Calibri" w:hAnsi="Times New Roman"/>
          <w:color w:val="000000"/>
          <w:szCs w:val="24"/>
        </w:rPr>
      </w:pPr>
    </w:p>
    <w:p w14:paraId="4D32938D" w14:textId="1BE9324E" w:rsidR="00154514" w:rsidRPr="002371CA" w:rsidRDefault="00154514" w:rsidP="00154514">
      <w:pPr>
        <w:pStyle w:val="teksts"/>
        <w:ind w:firstLine="720"/>
        <w:rPr>
          <w:rFonts w:ascii="Times New Roman" w:eastAsia="Calibri" w:hAnsi="Times New Roman"/>
          <w:b/>
          <w:color w:val="000000"/>
          <w:szCs w:val="24"/>
        </w:rPr>
      </w:pPr>
      <w:r w:rsidRPr="002371CA">
        <w:rPr>
          <w:rFonts w:ascii="Times New Roman" w:eastAsia="Calibri" w:hAnsi="Times New Roman"/>
          <w:b/>
          <w:color w:val="000000"/>
          <w:szCs w:val="24"/>
        </w:rPr>
        <w:t>Vidēja termiņa mērķis</w:t>
      </w:r>
    </w:p>
    <w:p w14:paraId="205EE313" w14:textId="79462E9F" w:rsidR="00154514" w:rsidRDefault="00154514" w:rsidP="00E44F32">
      <w:pPr>
        <w:pStyle w:val="teksts"/>
        <w:ind w:firstLine="720"/>
        <w:rPr>
          <w:rFonts w:ascii="Times New Roman" w:eastAsia="Calibri" w:hAnsi="Times New Roman"/>
          <w:color w:val="000000"/>
          <w:szCs w:val="24"/>
        </w:rPr>
      </w:pPr>
      <w:r w:rsidRPr="002371CA">
        <w:rPr>
          <w:rFonts w:ascii="Times New Roman" w:eastAsia="Calibri" w:hAnsi="Times New Roman"/>
          <w:color w:val="000000"/>
          <w:szCs w:val="24"/>
        </w:rPr>
        <w:t xml:space="preserve">Iepriekšējā konverģences programmas strukturālās bilances prognozes un </w:t>
      </w:r>
      <w:r w:rsidR="00561179">
        <w:rPr>
          <w:rFonts w:ascii="Times New Roman" w:eastAsia="Calibri" w:hAnsi="Times New Roman"/>
          <w:color w:val="000000"/>
          <w:szCs w:val="24"/>
        </w:rPr>
        <w:t>EK</w:t>
      </w:r>
      <w:r w:rsidRPr="002371CA">
        <w:rPr>
          <w:rFonts w:ascii="Times New Roman" w:eastAsia="Calibri" w:hAnsi="Times New Roman"/>
          <w:color w:val="000000"/>
          <w:szCs w:val="24"/>
        </w:rPr>
        <w:t xml:space="preserve"> 2013.gada rud</w:t>
      </w:r>
      <w:r w:rsidR="00585C80">
        <w:rPr>
          <w:rFonts w:ascii="Times New Roman" w:eastAsia="Calibri" w:hAnsi="Times New Roman"/>
          <w:color w:val="000000"/>
          <w:szCs w:val="24"/>
        </w:rPr>
        <w:t>ens un 2014.gada ziemas ekonomika</w:t>
      </w:r>
      <w:r w:rsidRPr="002371CA">
        <w:rPr>
          <w:rFonts w:ascii="Times New Roman" w:eastAsia="Calibri" w:hAnsi="Times New Roman"/>
          <w:color w:val="000000"/>
          <w:szCs w:val="24"/>
        </w:rPr>
        <w:t>s prognozes attiecībā uz vispārējās valdības strukturālo bilanci bij</w:t>
      </w:r>
      <w:r>
        <w:rPr>
          <w:rFonts w:ascii="Times New Roman" w:eastAsia="Calibri" w:hAnsi="Times New Roman"/>
          <w:color w:val="000000"/>
          <w:szCs w:val="24"/>
        </w:rPr>
        <w:t>a ievērojami atšķirīgas</w:t>
      </w:r>
      <w:r w:rsidRPr="002371CA">
        <w:rPr>
          <w:rFonts w:ascii="Times New Roman" w:eastAsia="Calibri" w:hAnsi="Times New Roman"/>
          <w:color w:val="000000"/>
          <w:szCs w:val="24"/>
        </w:rPr>
        <w:t>:</w:t>
      </w:r>
    </w:p>
    <w:p w14:paraId="733A1A4E" w14:textId="6D5404AA" w:rsidR="00154514" w:rsidRPr="009D6B3B" w:rsidRDefault="00154514" w:rsidP="00154514">
      <w:pPr>
        <w:pStyle w:val="teksts"/>
        <w:ind w:firstLine="720"/>
        <w:jc w:val="right"/>
        <w:rPr>
          <w:rFonts w:ascii="Times New Roman" w:eastAsia="Calibri" w:hAnsi="Times New Roman"/>
          <w:b/>
          <w:color w:val="000000"/>
          <w:szCs w:val="24"/>
        </w:rPr>
      </w:pPr>
      <w:r w:rsidRPr="009D6B3B">
        <w:rPr>
          <w:rFonts w:ascii="Times New Roman" w:eastAsia="Calibri" w:hAnsi="Times New Roman"/>
          <w:b/>
          <w:color w:val="000000"/>
          <w:szCs w:val="24"/>
        </w:rPr>
        <w:t>3.2.</w:t>
      </w:r>
      <w:r w:rsidR="00EA0A2F">
        <w:rPr>
          <w:rFonts w:ascii="Times New Roman" w:eastAsia="Calibri" w:hAnsi="Times New Roman"/>
          <w:b/>
          <w:color w:val="000000"/>
          <w:szCs w:val="24"/>
        </w:rPr>
        <w:t xml:space="preserve"> </w:t>
      </w:r>
      <w:r w:rsidRPr="009D6B3B">
        <w:rPr>
          <w:rFonts w:ascii="Times New Roman" w:eastAsia="Calibri" w:hAnsi="Times New Roman"/>
          <w:b/>
          <w:color w:val="000000"/>
          <w:szCs w:val="24"/>
        </w:rPr>
        <w:t xml:space="preserve">tabula. Latvijas un EK vispārējās valdības </w:t>
      </w:r>
      <w:r w:rsidR="005F533F">
        <w:rPr>
          <w:rFonts w:ascii="Times New Roman" w:eastAsia="Calibri" w:hAnsi="Times New Roman"/>
          <w:b/>
          <w:color w:val="000000"/>
          <w:szCs w:val="24"/>
        </w:rPr>
        <w:t xml:space="preserve">budžeta </w:t>
      </w:r>
      <w:r w:rsidRPr="009D6B3B">
        <w:rPr>
          <w:rFonts w:ascii="Times New Roman" w:eastAsia="Calibri" w:hAnsi="Times New Roman"/>
          <w:b/>
          <w:color w:val="000000"/>
          <w:szCs w:val="24"/>
        </w:rPr>
        <w:t xml:space="preserve">strukturālās bilances </w:t>
      </w:r>
      <w:r>
        <w:rPr>
          <w:rFonts w:ascii="Times New Roman" w:eastAsia="Calibri" w:hAnsi="Times New Roman"/>
          <w:b/>
          <w:color w:val="000000"/>
          <w:szCs w:val="24"/>
        </w:rPr>
        <w:t xml:space="preserve">prognožu </w:t>
      </w:r>
      <w:r w:rsidRPr="009D6B3B">
        <w:rPr>
          <w:rFonts w:ascii="Times New Roman" w:eastAsia="Calibri" w:hAnsi="Times New Roman"/>
          <w:b/>
          <w:color w:val="000000"/>
          <w:szCs w:val="24"/>
        </w:rPr>
        <w:t>salīdzinājums</w:t>
      </w:r>
    </w:p>
    <w:tbl>
      <w:tblPr>
        <w:tblStyle w:val="TableGrid"/>
        <w:tblW w:w="0" w:type="auto"/>
        <w:jc w:val="center"/>
        <w:tblLook w:val="04A0" w:firstRow="1" w:lastRow="0" w:firstColumn="1" w:lastColumn="0" w:noHBand="0" w:noVBand="1"/>
      </w:tblPr>
      <w:tblGrid>
        <w:gridCol w:w="3224"/>
        <w:gridCol w:w="1040"/>
        <w:gridCol w:w="1040"/>
        <w:gridCol w:w="1102"/>
        <w:gridCol w:w="1001"/>
      </w:tblGrid>
      <w:tr w:rsidR="00154514" w:rsidRPr="00FA587D" w14:paraId="3B6EDBFC" w14:textId="77777777" w:rsidTr="00272043">
        <w:trPr>
          <w:jc w:val="center"/>
        </w:trPr>
        <w:tc>
          <w:tcPr>
            <w:tcW w:w="3224" w:type="dxa"/>
            <w:shd w:val="clear" w:color="auto" w:fill="auto"/>
          </w:tcPr>
          <w:p w14:paraId="17100A57" w14:textId="77777777" w:rsidR="00154514" w:rsidRPr="00FA587D" w:rsidRDefault="00154514" w:rsidP="004B74A0">
            <w:pPr>
              <w:pStyle w:val="teksts"/>
              <w:spacing w:after="0"/>
              <w:jc w:val="center"/>
              <w:rPr>
                <w:rFonts w:ascii="Times New Roman" w:eastAsia="Calibri" w:hAnsi="Times New Roman"/>
                <w:b/>
                <w:color w:val="000000"/>
                <w:sz w:val="20"/>
                <w:szCs w:val="24"/>
              </w:rPr>
            </w:pPr>
          </w:p>
        </w:tc>
        <w:tc>
          <w:tcPr>
            <w:tcW w:w="1040" w:type="dxa"/>
            <w:shd w:val="clear" w:color="auto" w:fill="auto"/>
          </w:tcPr>
          <w:p w14:paraId="5D696393" w14:textId="77777777" w:rsidR="00154514" w:rsidRPr="00FA587D" w:rsidRDefault="00154514" w:rsidP="004B74A0">
            <w:pPr>
              <w:pStyle w:val="teksts"/>
              <w:spacing w:after="0"/>
              <w:jc w:val="center"/>
              <w:rPr>
                <w:rFonts w:ascii="Times New Roman" w:eastAsia="Calibri" w:hAnsi="Times New Roman"/>
                <w:b/>
                <w:color w:val="000000"/>
                <w:sz w:val="20"/>
                <w:szCs w:val="24"/>
              </w:rPr>
            </w:pPr>
            <w:r w:rsidRPr="00FA587D">
              <w:rPr>
                <w:rFonts w:ascii="Times New Roman" w:eastAsia="Calibri" w:hAnsi="Times New Roman"/>
                <w:b/>
                <w:color w:val="000000"/>
                <w:sz w:val="20"/>
                <w:szCs w:val="24"/>
              </w:rPr>
              <w:t>2013</w:t>
            </w:r>
          </w:p>
        </w:tc>
        <w:tc>
          <w:tcPr>
            <w:tcW w:w="1040" w:type="dxa"/>
            <w:shd w:val="clear" w:color="auto" w:fill="auto"/>
          </w:tcPr>
          <w:p w14:paraId="2F1DF28B" w14:textId="77777777" w:rsidR="00154514" w:rsidRPr="00FA587D" w:rsidRDefault="00154514" w:rsidP="004B74A0">
            <w:pPr>
              <w:pStyle w:val="teksts"/>
              <w:spacing w:after="0"/>
              <w:jc w:val="center"/>
              <w:rPr>
                <w:rFonts w:ascii="Times New Roman" w:eastAsia="Calibri" w:hAnsi="Times New Roman"/>
                <w:b/>
                <w:color w:val="000000"/>
                <w:sz w:val="20"/>
                <w:szCs w:val="24"/>
              </w:rPr>
            </w:pPr>
            <w:r w:rsidRPr="00FA587D">
              <w:rPr>
                <w:rFonts w:ascii="Times New Roman" w:eastAsia="Calibri" w:hAnsi="Times New Roman"/>
                <w:b/>
                <w:color w:val="000000"/>
                <w:sz w:val="20"/>
                <w:szCs w:val="24"/>
              </w:rPr>
              <w:t>2014</w:t>
            </w:r>
          </w:p>
        </w:tc>
        <w:tc>
          <w:tcPr>
            <w:tcW w:w="1102" w:type="dxa"/>
            <w:shd w:val="clear" w:color="auto" w:fill="auto"/>
          </w:tcPr>
          <w:p w14:paraId="2AEE86CE" w14:textId="77777777" w:rsidR="00154514" w:rsidRPr="00FA587D" w:rsidRDefault="00154514" w:rsidP="004B74A0">
            <w:pPr>
              <w:pStyle w:val="teksts"/>
              <w:spacing w:after="0"/>
              <w:jc w:val="center"/>
              <w:rPr>
                <w:rFonts w:ascii="Times New Roman" w:eastAsia="Calibri" w:hAnsi="Times New Roman"/>
                <w:b/>
                <w:color w:val="000000"/>
                <w:sz w:val="20"/>
                <w:szCs w:val="24"/>
              </w:rPr>
            </w:pPr>
            <w:r w:rsidRPr="00FA587D">
              <w:rPr>
                <w:rFonts w:ascii="Times New Roman" w:eastAsia="Calibri" w:hAnsi="Times New Roman"/>
                <w:b/>
                <w:color w:val="000000"/>
                <w:sz w:val="20"/>
                <w:szCs w:val="24"/>
              </w:rPr>
              <w:t>2015</w:t>
            </w:r>
          </w:p>
        </w:tc>
        <w:tc>
          <w:tcPr>
            <w:tcW w:w="1001" w:type="dxa"/>
            <w:shd w:val="clear" w:color="auto" w:fill="auto"/>
          </w:tcPr>
          <w:p w14:paraId="1BB64B2E" w14:textId="77777777" w:rsidR="00154514" w:rsidRPr="00FA587D" w:rsidRDefault="00154514" w:rsidP="004B74A0">
            <w:pPr>
              <w:pStyle w:val="teksts"/>
              <w:spacing w:after="0"/>
              <w:jc w:val="center"/>
              <w:rPr>
                <w:rFonts w:ascii="Times New Roman" w:eastAsia="Calibri" w:hAnsi="Times New Roman"/>
                <w:b/>
                <w:color w:val="000000"/>
                <w:sz w:val="20"/>
                <w:szCs w:val="24"/>
              </w:rPr>
            </w:pPr>
            <w:r w:rsidRPr="00FA587D">
              <w:rPr>
                <w:rFonts w:ascii="Times New Roman" w:eastAsia="Calibri" w:hAnsi="Times New Roman"/>
                <w:b/>
                <w:color w:val="000000"/>
                <w:sz w:val="20"/>
                <w:szCs w:val="24"/>
              </w:rPr>
              <w:t>2016</w:t>
            </w:r>
          </w:p>
        </w:tc>
      </w:tr>
      <w:tr w:rsidR="00154514" w:rsidRPr="00FA587D" w14:paraId="599D15D1" w14:textId="77777777" w:rsidTr="00272043">
        <w:trPr>
          <w:jc w:val="center"/>
        </w:trPr>
        <w:tc>
          <w:tcPr>
            <w:tcW w:w="3224" w:type="dxa"/>
          </w:tcPr>
          <w:p w14:paraId="26FA15D6" w14:textId="77777777" w:rsidR="00154514" w:rsidRPr="00FA587D" w:rsidRDefault="00154514" w:rsidP="004B74A0">
            <w:pPr>
              <w:pStyle w:val="teksts"/>
              <w:spacing w:after="0"/>
              <w:rPr>
                <w:rFonts w:ascii="Times New Roman" w:eastAsia="Calibri" w:hAnsi="Times New Roman"/>
                <w:color w:val="000000"/>
                <w:sz w:val="20"/>
                <w:szCs w:val="24"/>
              </w:rPr>
            </w:pPr>
            <w:r w:rsidRPr="00FA587D">
              <w:rPr>
                <w:rFonts w:ascii="Times New Roman" w:eastAsia="Calibri" w:hAnsi="Times New Roman"/>
                <w:color w:val="000000"/>
                <w:sz w:val="20"/>
                <w:szCs w:val="24"/>
              </w:rPr>
              <w:t>Iepriekšējā konverģences programma</w:t>
            </w:r>
          </w:p>
        </w:tc>
        <w:tc>
          <w:tcPr>
            <w:tcW w:w="1040" w:type="dxa"/>
            <w:vAlign w:val="center"/>
          </w:tcPr>
          <w:p w14:paraId="63246A90"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-1,1</w:t>
            </w:r>
          </w:p>
        </w:tc>
        <w:tc>
          <w:tcPr>
            <w:tcW w:w="1040" w:type="dxa"/>
            <w:vAlign w:val="center"/>
          </w:tcPr>
          <w:p w14:paraId="0718FC85"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-1,0</w:t>
            </w:r>
          </w:p>
        </w:tc>
        <w:tc>
          <w:tcPr>
            <w:tcW w:w="1102" w:type="dxa"/>
            <w:vAlign w:val="center"/>
          </w:tcPr>
          <w:p w14:paraId="649C2480"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-1,0</w:t>
            </w:r>
          </w:p>
        </w:tc>
        <w:tc>
          <w:tcPr>
            <w:tcW w:w="1001" w:type="dxa"/>
            <w:vAlign w:val="center"/>
          </w:tcPr>
          <w:p w14:paraId="55312674"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-0,9</w:t>
            </w:r>
          </w:p>
        </w:tc>
      </w:tr>
      <w:tr w:rsidR="00154514" w:rsidRPr="00FA587D" w14:paraId="31C6DA5E" w14:textId="77777777" w:rsidTr="00272043">
        <w:trPr>
          <w:jc w:val="center"/>
        </w:trPr>
        <w:tc>
          <w:tcPr>
            <w:tcW w:w="3224" w:type="dxa"/>
          </w:tcPr>
          <w:p w14:paraId="7A5ADF6B" w14:textId="23745F4E" w:rsidR="00154514" w:rsidRPr="00FA587D" w:rsidRDefault="00FA587D" w:rsidP="004B74A0">
            <w:pPr>
              <w:pStyle w:val="teksts"/>
              <w:spacing w:after="0"/>
              <w:rPr>
                <w:rFonts w:ascii="Times New Roman" w:eastAsia="Calibri" w:hAnsi="Times New Roman"/>
                <w:color w:val="000000"/>
                <w:sz w:val="20"/>
                <w:szCs w:val="24"/>
              </w:rPr>
            </w:pPr>
            <w:r>
              <w:rPr>
                <w:rFonts w:ascii="Times New Roman" w:eastAsia="Calibri" w:hAnsi="Times New Roman"/>
                <w:color w:val="000000"/>
                <w:sz w:val="20"/>
                <w:szCs w:val="24"/>
              </w:rPr>
              <w:t>Ietvara likums 2014.-2016.gadam</w:t>
            </w:r>
            <w:r w:rsidR="00154514" w:rsidRPr="00FA587D">
              <w:rPr>
                <w:rFonts w:ascii="Times New Roman" w:eastAsia="Calibri" w:hAnsi="Times New Roman"/>
                <w:color w:val="000000"/>
                <w:sz w:val="20"/>
                <w:szCs w:val="24"/>
              </w:rPr>
              <w:t xml:space="preserve"> </w:t>
            </w:r>
          </w:p>
        </w:tc>
        <w:tc>
          <w:tcPr>
            <w:tcW w:w="1040" w:type="dxa"/>
            <w:vAlign w:val="center"/>
          </w:tcPr>
          <w:p w14:paraId="0B3A0CAD" w14:textId="77777777" w:rsidR="00154514" w:rsidRPr="00FA587D" w:rsidRDefault="00154514" w:rsidP="004B74A0">
            <w:pPr>
              <w:pStyle w:val="teksts"/>
              <w:spacing w:after="0"/>
              <w:jc w:val="right"/>
              <w:rPr>
                <w:rFonts w:ascii="Times New Roman" w:eastAsia="Calibri" w:hAnsi="Times New Roman"/>
                <w:color w:val="000000"/>
                <w:sz w:val="20"/>
                <w:szCs w:val="24"/>
              </w:rPr>
            </w:pPr>
          </w:p>
        </w:tc>
        <w:tc>
          <w:tcPr>
            <w:tcW w:w="1040" w:type="dxa"/>
            <w:vAlign w:val="center"/>
          </w:tcPr>
          <w:p w14:paraId="4D05059D"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-1,0</w:t>
            </w:r>
          </w:p>
        </w:tc>
        <w:tc>
          <w:tcPr>
            <w:tcW w:w="1102" w:type="dxa"/>
            <w:vAlign w:val="center"/>
          </w:tcPr>
          <w:p w14:paraId="54B53DC9"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-1,0</w:t>
            </w:r>
          </w:p>
        </w:tc>
        <w:tc>
          <w:tcPr>
            <w:tcW w:w="1001" w:type="dxa"/>
            <w:vAlign w:val="center"/>
          </w:tcPr>
          <w:p w14:paraId="48103B7C"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-0,9</w:t>
            </w:r>
          </w:p>
        </w:tc>
      </w:tr>
      <w:tr w:rsidR="00154514" w:rsidRPr="00FA587D" w14:paraId="1CED460C" w14:textId="77777777" w:rsidTr="00272043">
        <w:trPr>
          <w:jc w:val="center"/>
        </w:trPr>
        <w:tc>
          <w:tcPr>
            <w:tcW w:w="3224" w:type="dxa"/>
          </w:tcPr>
          <w:p w14:paraId="34B40537" w14:textId="186D538B" w:rsidR="00154514" w:rsidRPr="00FA587D" w:rsidRDefault="00561179" w:rsidP="004B74A0">
            <w:pPr>
              <w:pStyle w:val="teksts"/>
              <w:spacing w:after="0"/>
              <w:rPr>
                <w:rFonts w:ascii="Times New Roman" w:eastAsia="Calibri" w:hAnsi="Times New Roman"/>
                <w:color w:val="000000"/>
                <w:sz w:val="20"/>
                <w:szCs w:val="24"/>
              </w:rPr>
            </w:pPr>
            <w:r>
              <w:rPr>
                <w:rFonts w:ascii="Times New Roman" w:eastAsia="Calibri" w:hAnsi="Times New Roman"/>
                <w:color w:val="000000"/>
                <w:sz w:val="20"/>
                <w:szCs w:val="24"/>
              </w:rPr>
              <w:t>EK</w:t>
            </w:r>
            <w:r w:rsidR="00154514" w:rsidRPr="00FA587D">
              <w:rPr>
                <w:rFonts w:ascii="Times New Roman" w:eastAsia="Calibri" w:hAnsi="Times New Roman"/>
                <w:color w:val="000000"/>
                <w:sz w:val="20"/>
                <w:szCs w:val="24"/>
              </w:rPr>
              <w:t xml:space="preserve"> 2013.gada rudens prognozes</w:t>
            </w:r>
          </w:p>
        </w:tc>
        <w:tc>
          <w:tcPr>
            <w:tcW w:w="1040" w:type="dxa"/>
            <w:vAlign w:val="center"/>
          </w:tcPr>
          <w:p w14:paraId="7938EA3D"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-1,5</w:t>
            </w:r>
          </w:p>
        </w:tc>
        <w:tc>
          <w:tcPr>
            <w:tcW w:w="1040" w:type="dxa"/>
            <w:vAlign w:val="center"/>
          </w:tcPr>
          <w:p w14:paraId="177F2F82"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-1,5</w:t>
            </w:r>
          </w:p>
        </w:tc>
        <w:tc>
          <w:tcPr>
            <w:tcW w:w="1102" w:type="dxa"/>
            <w:vAlign w:val="center"/>
          </w:tcPr>
          <w:p w14:paraId="054E3FC2"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-1,7</w:t>
            </w:r>
          </w:p>
        </w:tc>
        <w:tc>
          <w:tcPr>
            <w:tcW w:w="1001" w:type="dxa"/>
            <w:vAlign w:val="center"/>
          </w:tcPr>
          <w:p w14:paraId="25F0AB6D" w14:textId="77777777" w:rsidR="00154514" w:rsidRPr="00FA587D" w:rsidRDefault="00154514" w:rsidP="004B74A0">
            <w:pPr>
              <w:pStyle w:val="teksts"/>
              <w:spacing w:after="0"/>
              <w:jc w:val="right"/>
              <w:rPr>
                <w:rFonts w:ascii="Times New Roman" w:eastAsia="Calibri" w:hAnsi="Times New Roman"/>
                <w:color w:val="000000"/>
                <w:sz w:val="20"/>
                <w:szCs w:val="24"/>
              </w:rPr>
            </w:pPr>
          </w:p>
        </w:tc>
      </w:tr>
      <w:tr w:rsidR="00154514" w:rsidRPr="00FA587D" w14:paraId="75D69FE2" w14:textId="77777777" w:rsidTr="00272043">
        <w:trPr>
          <w:jc w:val="center"/>
        </w:trPr>
        <w:tc>
          <w:tcPr>
            <w:tcW w:w="3224" w:type="dxa"/>
          </w:tcPr>
          <w:p w14:paraId="55A4FED8" w14:textId="41595A33" w:rsidR="00154514" w:rsidRPr="00FA587D" w:rsidRDefault="00561179" w:rsidP="004B74A0">
            <w:pPr>
              <w:pStyle w:val="teksts"/>
              <w:spacing w:after="0"/>
              <w:rPr>
                <w:rFonts w:ascii="Times New Roman" w:eastAsia="Calibri" w:hAnsi="Times New Roman"/>
                <w:color w:val="000000"/>
                <w:sz w:val="20"/>
                <w:szCs w:val="24"/>
              </w:rPr>
            </w:pPr>
            <w:r>
              <w:rPr>
                <w:rFonts w:ascii="Times New Roman" w:eastAsia="Calibri" w:hAnsi="Times New Roman"/>
                <w:color w:val="000000"/>
                <w:sz w:val="20"/>
                <w:szCs w:val="24"/>
              </w:rPr>
              <w:t>EK</w:t>
            </w:r>
            <w:r w:rsidR="00154514" w:rsidRPr="00FA587D">
              <w:rPr>
                <w:rFonts w:ascii="Times New Roman" w:eastAsia="Calibri" w:hAnsi="Times New Roman"/>
                <w:color w:val="000000"/>
                <w:sz w:val="20"/>
                <w:szCs w:val="24"/>
              </w:rPr>
              <w:t xml:space="preserve"> 2014.gada ziemas prognozes</w:t>
            </w:r>
          </w:p>
        </w:tc>
        <w:tc>
          <w:tcPr>
            <w:tcW w:w="1040" w:type="dxa"/>
            <w:vAlign w:val="center"/>
          </w:tcPr>
          <w:p w14:paraId="35D17F0F"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-1,3</w:t>
            </w:r>
          </w:p>
        </w:tc>
        <w:tc>
          <w:tcPr>
            <w:tcW w:w="1040" w:type="dxa"/>
            <w:vAlign w:val="center"/>
          </w:tcPr>
          <w:p w14:paraId="41042D14"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-1,5</w:t>
            </w:r>
          </w:p>
        </w:tc>
        <w:tc>
          <w:tcPr>
            <w:tcW w:w="1102" w:type="dxa"/>
            <w:vAlign w:val="center"/>
          </w:tcPr>
          <w:p w14:paraId="58422ECF" w14:textId="77777777" w:rsidR="00154514" w:rsidRPr="00FA587D" w:rsidRDefault="00154514" w:rsidP="004B74A0">
            <w:pPr>
              <w:pStyle w:val="teksts"/>
              <w:spacing w:after="0"/>
              <w:jc w:val="right"/>
              <w:rPr>
                <w:rFonts w:ascii="Times New Roman" w:eastAsia="Calibri" w:hAnsi="Times New Roman"/>
                <w:color w:val="000000"/>
                <w:sz w:val="20"/>
                <w:szCs w:val="24"/>
              </w:rPr>
            </w:pPr>
            <w:r w:rsidRPr="00FA587D">
              <w:rPr>
                <w:rFonts w:ascii="Times New Roman" w:eastAsia="Calibri" w:hAnsi="Times New Roman"/>
                <w:color w:val="000000"/>
                <w:sz w:val="20"/>
                <w:szCs w:val="24"/>
              </w:rPr>
              <w:t>-1,8</w:t>
            </w:r>
          </w:p>
        </w:tc>
        <w:tc>
          <w:tcPr>
            <w:tcW w:w="1001" w:type="dxa"/>
            <w:vAlign w:val="center"/>
          </w:tcPr>
          <w:p w14:paraId="7E0A8D2B" w14:textId="77777777" w:rsidR="00154514" w:rsidRPr="00FA587D" w:rsidRDefault="00154514" w:rsidP="004B74A0">
            <w:pPr>
              <w:pStyle w:val="teksts"/>
              <w:spacing w:after="0"/>
              <w:jc w:val="right"/>
              <w:rPr>
                <w:rFonts w:ascii="Times New Roman" w:eastAsia="Calibri" w:hAnsi="Times New Roman"/>
                <w:color w:val="000000"/>
                <w:sz w:val="20"/>
                <w:szCs w:val="24"/>
              </w:rPr>
            </w:pPr>
          </w:p>
        </w:tc>
      </w:tr>
    </w:tbl>
    <w:p w14:paraId="45C08548" w14:textId="77777777" w:rsidR="00154514" w:rsidRPr="002371CA" w:rsidRDefault="00154514" w:rsidP="00154514">
      <w:pPr>
        <w:pStyle w:val="teksts"/>
        <w:rPr>
          <w:rFonts w:ascii="Times New Roman" w:eastAsia="Calibri" w:hAnsi="Times New Roman"/>
          <w:color w:val="000000"/>
          <w:szCs w:val="24"/>
        </w:rPr>
      </w:pPr>
      <w:r w:rsidRPr="002371CA">
        <w:rPr>
          <w:rFonts w:ascii="Times New Roman" w:eastAsia="Calibri" w:hAnsi="Times New Roman"/>
          <w:color w:val="000000"/>
          <w:szCs w:val="24"/>
        </w:rPr>
        <w:t xml:space="preserve"> </w:t>
      </w:r>
    </w:p>
    <w:p w14:paraId="05C5EF74" w14:textId="644A07FA" w:rsidR="00154514" w:rsidRPr="002371CA" w:rsidRDefault="00154514" w:rsidP="00154514">
      <w:pPr>
        <w:pStyle w:val="teksts"/>
        <w:ind w:firstLine="720"/>
        <w:rPr>
          <w:rFonts w:ascii="Times New Roman" w:eastAsia="Calibri" w:hAnsi="Times New Roman"/>
          <w:color w:val="000000"/>
          <w:szCs w:val="24"/>
        </w:rPr>
      </w:pPr>
      <w:r w:rsidRPr="002371CA">
        <w:rPr>
          <w:rFonts w:ascii="Times New Roman" w:eastAsia="Calibri" w:hAnsi="Times New Roman"/>
          <w:color w:val="000000"/>
          <w:szCs w:val="24"/>
        </w:rPr>
        <w:t xml:space="preserve">Tai pat laikā vispārējās valdības nominālās bilances prognozes Latvijai un </w:t>
      </w:r>
      <w:r>
        <w:rPr>
          <w:rFonts w:ascii="Times New Roman" w:eastAsia="Calibri" w:hAnsi="Times New Roman"/>
          <w:color w:val="000000"/>
          <w:szCs w:val="24"/>
        </w:rPr>
        <w:t xml:space="preserve">EK </w:t>
      </w:r>
      <w:r w:rsidRPr="002371CA">
        <w:rPr>
          <w:rFonts w:ascii="Times New Roman" w:eastAsia="Calibri" w:hAnsi="Times New Roman"/>
          <w:color w:val="000000"/>
          <w:szCs w:val="24"/>
        </w:rPr>
        <w:t>ir līdzīgas. Iemesls strukturālā deficīta prognožu atšķirībām rodas no atšķirīg</w:t>
      </w:r>
      <w:r w:rsidR="005F533F">
        <w:rPr>
          <w:rFonts w:ascii="Times New Roman" w:eastAsia="Calibri" w:hAnsi="Times New Roman"/>
          <w:color w:val="000000"/>
          <w:szCs w:val="24"/>
        </w:rPr>
        <w:t>ā</w:t>
      </w:r>
      <w:r w:rsidRPr="002371CA">
        <w:rPr>
          <w:rFonts w:ascii="Times New Roman" w:eastAsia="Calibri" w:hAnsi="Times New Roman"/>
          <w:color w:val="000000"/>
          <w:szCs w:val="24"/>
        </w:rPr>
        <w:t>m bilances cikliskās komponentes prognozēm, kas, savukārt saistīts ar atšķirīgu izlaižu star</w:t>
      </w:r>
      <w:r w:rsidR="00FA587D">
        <w:rPr>
          <w:rFonts w:ascii="Times New Roman" w:eastAsia="Calibri" w:hAnsi="Times New Roman"/>
          <w:color w:val="000000"/>
          <w:szCs w:val="24"/>
        </w:rPr>
        <w:t xml:space="preserve">pību </w:t>
      </w:r>
      <w:r w:rsidR="00FA587D" w:rsidRPr="00FA587D">
        <w:rPr>
          <w:rFonts w:ascii="Times New Roman" w:eastAsia="Calibri" w:hAnsi="Times New Roman"/>
          <w:i/>
          <w:color w:val="000000"/>
          <w:szCs w:val="24"/>
        </w:rPr>
        <w:t>(</w:t>
      </w:r>
      <w:proofErr w:type="spellStart"/>
      <w:r w:rsidR="00FA587D" w:rsidRPr="00FA587D">
        <w:rPr>
          <w:rFonts w:ascii="Times New Roman" w:eastAsia="Calibri" w:hAnsi="Times New Roman"/>
          <w:i/>
          <w:color w:val="000000"/>
          <w:szCs w:val="24"/>
        </w:rPr>
        <w:t>output</w:t>
      </w:r>
      <w:proofErr w:type="spellEnd"/>
      <w:r w:rsidR="00FA587D" w:rsidRPr="00FA587D">
        <w:rPr>
          <w:rFonts w:ascii="Times New Roman" w:eastAsia="Calibri" w:hAnsi="Times New Roman"/>
          <w:i/>
          <w:color w:val="000000"/>
          <w:szCs w:val="24"/>
        </w:rPr>
        <w:t xml:space="preserve"> </w:t>
      </w:r>
      <w:proofErr w:type="spellStart"/>
      <w:r w:rsidR="00FA587D" w:rsidRPr="00FA587D">
        <w:rPr>
          <w:rFonts w:ascii="Times New Roman" w:eastAsia="Calibri" w:hAnsi="Times New Roman"/>
          <w:i/>
          <w:color w:val="000000"/>
          <w:szCs w:val="24"/>
        </w:rPr>
        <w:t>gap</w:t>
      </w:r>
      <w:proofErr w:type="spellEnd"/>
      <w:r w:rsidR="00FA587D" w:rsidRPr="00FA587D">
        <w:rPr>
          <w:rFonts w:ascii="Times New Roman" w:eastAsia="Calibri" w:hAnsi="Times New Roman"/>
          <w:i/>
          <w:color w:val="000000"/>
          <w:szCs w:val="24"/>
        </w:rPr>
        <w:t>)</w:t>
      </w:r>
      <w:r w:rsidR="00FA587D">
        <w:rPr>
          <w:rFonts w:ascii="Times New Roman" w:eastAsia="Calibri" w:hAnsi="Times New Roman"/>
          <w:color w:val="000000"/>
          <w:szCs w:val="24"/>
        </w:rPr>
        <w:t xml:space="preserve"> novērtējumu. </w:t>
      </w:r>
      <w:r w:rsidRPr="002371CA">
        <w:rPr>
          <w:rFonts w:ascii="Times New Roman" w:eastAsia="Calibri" w:hAnsi="Times New Roman"/>
          <w:color w:val="000000"/>
          <w:szCs w:val="24"/>
        </w:rPr>
        <w:t xml:space="preserve">Saskaņā ar Latvijas novērtējumu izlaižu starpība ir neliela un saglabājas nemainīgā līmenī, savukārt, saskaņā ar </w:t>
      </w:r>
      <w:r w:rsidR="00561179">
        <w:rPr>
          <w:rFonts w:ascii="Times New Roman" w:eastAsia="Calibri" w:hAnsi="Times New Roman"/>
          <w:color w:val="000000"/>
          <w:szCs w:val="24"/>
        </w:rPr>
        <w:t>EK</w:t>
      </w:r>
      <w:r w:rsidRPr="002371CA">
        <w:rPr>
          <w:rFonts w:ascii="Times New Roman" w:eastAsia="Calibri" w:hAnsi="Times New Roman"/>
          <w:color w:val="000000"/>
          <w:szCs w:val="24"/>
        </w:rPr>
        <w:t xml:space="preserve"> novērtējumu, kas veikts pēc standartizētas metodoloģijas, izlaižu starpība ir pozitīva un strauji atveras. Latvija nesaskata ekonomisko pamatu šādam vērtējumam, jo nesaskata pazīmes ekonomikas uzkaršanai. Par to liecina, piemēram, zemais inflācijas līmenis.</w:t>
      </w:r>
      <w:r w:rsidR="00205F98" w:rsidRPr="00205F98">
        <w:rPr>
          <w:rFonts w:ascii="Times New Roman" w:eastAsia="Calibri" w:hAnsi="Times New Roman"/>
          <w:color w:val="000000"/>
          <w:szCs w:val="24"/>
        </w:rPr>
        <w:t xml:space="preserve"> </w:t>
      </w:r>
      <w:r w:rsidR="00205F98">
        <w:rPr>
          <w:rFonts w:ascii="Times New Roman" w:eastAsia="Calibri" w:hAnsi="Times New Roman"/>
          <w:color w:val="000000"/>
          <w:szCs w:val="24"/>
        </w:rPr>
        <w:t>Sīkāk skat. II. nodaļas sadaļu “</w:t>
      </w:r>
      <w:r w:rsidR="00205F98" w:rsidRPr="007C165A">
        <w:rPr>
          <w:rFonts w:ascii="Times New Roman" w:hAnsi="Times New Roman"/>
          <w:szCs w:val="24"/>
        </w:rPr>
        <w:t>Ekonomikas cikliskā attīstība</w:t>
      </w:r>
      <w:r w:rsidR="00205F98">
        <w:rPr>
          <w:rFonts w:ascii="Times New Roman" w:eastAsia="Calibri" w:hAnsi="Times New Roman"/>
          <w:color w:val="000000"/>
          <w:szCs w:val="24"/>
        </w:rPr>
        <w:t>”.</w:t>
      </w:r>
    </w:p>
    <w:p w14:paraId="157FF5E2" w14:textId="727998E6" w:rsidR="00154514" w:rsidRPr="002371CA" w:rsidRDefault="00154514" w:rsidP="00154514">
      <w:pPr>
        <w:pStyle w:val="teksts"/>
        <w:ind w:firstLine="720"/>
        <w:rPr>
          <w:rFonts w:ascii="Times New Roman" w:eastAsia="Calibri" w:hAnsi="Times New Roman"/>
          <w:color w:val="000000"/>
          <w:szCs w:val="24"/>
        </w:rPr>
      </w:pPr>
      <w:r w:rsidRPr="002371CA">
        <w:rPr>
          <w:rFonts w:ascii="Times New Roman" w:eastAsia="Calibri" w:hAnsi="Times New Roman"/>
          <w:color w:val="000000"/>
          <w:szCs w:val="24"/>
        </w:rPr>
        <w:t xml:space="preserve">Tai pat laikā </w:t>
      </w:r>
      <w:r>
        <w:rPr>
          <w:rFonts w:ascii="Times New Roman" w:eastAsia="Calibri" w:hAnsi="Times New Roman"/>
          <w:color w:val="000000"/>
          <w:szCs w:val="24"/>
        </w:rPr>
        <w:t>EK</w:t>
      </w:r>
      <w:r w:rsidRPr="002371CA">
        <w:rPr>
          <w:rFonts w:ascii="Times New Roman" w:eastAsia="Calibri" w:hAnsi="Times New Roman"/>
          <w:color w:val="000000"/>
          <w:szCs w:val="24"/>
        </w:rPr>
        <w:t xml:space="preserve"> veiks strukturālās bilances novērtējumu atbilstoši kopīgai izlaižu starpību novērtēšanas metodoloģijai un izdarīs secinājumus par Latvijas fiskālās politikas atbilstību Stabilitātes un </w:t>
      </w:r>
      <w:r w:rsidR="00205F98">
        <w:rPr>
          <w:rFonts w:ascii="Times New Roman" w:eastAsia="Calibri" w:hAnsi="Times New Roman"/>
          <w:color w:val="000000"/>
          <w:szCs w:val="24"/>
        </w:rPr>
        <w:t>i</w:t>
      </w:r>
      <w:r w:rsidRPr="002371CA">
        <w:rPr>
          <w:rFonts w:ascii="Times New Roman" w:eastAsia="Calibri" w:hAnsi="Times New Roman"/>
          <w:color w:val="000000"/>
          <w:szCs w:val="24"/>
        </w:rPr>
        <w:t xml:space="preserve">zaugsmes </w:t>
      </w:r>
      <w:proofErr w:type="spellStart"/>
      <w:r w:rsidRPr="002371CA">
        <w:rPr>
          <w:rFonts w:ascii="Times New Roman" w:eastAsia="Calibri" w:hAnsi="Times New Roman"/>
          <w:color w:val="000000"/>
          <w:szCs w:val="24"/>
        </w:rPr>
        <w:t>pakta</w:t>
      </w:r>
      <w:proofErr w:type="spellEnd"/>
      <w:r w:rsidRPr="002371CA">
        <w:rPr>
          <w:rFonts w:ascii="Times New Roman" w:eastAsia="Calibri" w:hAnsi="Times New Roman"/>
          <w:color w:val="000000"/>
          <w:szCs w:val="24"/>
        </w:rPr>
        <w:t xml:space="preserve"> nosacījumiem saskaņā ar savu strukturālās bilances novērtējumu. Līdz ar to pastāv augsts risks, ka pārrēķinot strukturālo bilanci pēc </w:t>
      </w:r>
      <w:r w:rsidR="00561179">
        <w:rPr>
          <w:rFonts w:ascii="Times New Roman" w:eastAsia="Calibri" w:hAnsi="Times New Roman"/>
          <w:color w:val="000000"/>
          <w:szCs w:val="24"/>
        </w:rPr>
        <w:t>EK</w:t>
      </w:r>
      <w:r w:rsidRPr="002371CA">
        <w:rPr>
          <w:rFonts w:ascii="Times New Roman" w:eastAsia="Calibri" w:hAnsi="Times New Roman"/>
          <w:color w:val="000000"/>
          <w:szCs w:val="24"/>
        </w:rPr>
        <w:t xml:space="preserve"> metodoloģijas, novirzes no vidēja termiņa mērķa, kas ir -0,5% no IKP izrādīsies ievērojami lielākas, kā to pieļauj Stabilitātes un </w:t>
      </w:r>
      <w:r w:rsidR="005F533F">
        <w:rPr>
          <w:rFonts w:ascii="Times New Roman" w:eastAsia="Calibri" w:hAnsi="Times New Roman"/>
          <w:color w:val="000000"/>
          <w:szCs w:val="24"/>
        </w:rPr>
        <w:t>i</w:t>
      </w:r>
      <w:r w:rsidRPr="002371CA">
        <w:rPr>
          <w:rFonts w:ascii="Times New Roman" w:eastAsia="Calibri" w:hAnsi="Times New Roman"/>
          <w:color w:val="000000"/>
          <w:szCs w:val="24"/>
        </w:rPr>
        <w:t xml:space="preserve">zaugsmes </w:t>
      </w:r>
      <w:proofErr w:type="spellStart"/>
      <w:r w:rsidRPr="002371CA">
        <w:rPr>
          <w:rFonts w:ascii="Times New Roman" w:eastAsia="Calibri" w:hAnsi="Times New Roman"/>
          <w:color w:val="000000"/>
          <w:szCs w:val="24"/>
        </w:rPr>
        <w:t>pakta</w:t>
      </w:r>
      <w:proofErr w:type="spellEnd"/>
      <w:r w:rsidRPr="002371CA">
        <w:rPr>
          <w:rFonts w:ascii="Times New Roman" w:eastAsia="Calibri" w:hAnsi="Times New Roman"/>
          <w:color w:val="000000"/>
          <w:szCs w:val="24"/>
        </w:rPr>
        <w:t xml:space="preserve"> nosacījumi, kas Latvijai kā </w:t>
      </w:r>
      <w:proofErr w:type="spellStart"/>
      <w:r w:rsidR="006F7828" w:rsidRPr="006F7828">
        <w:rPr>
          <w:rFonts w:ascii="Times New Roman" w:eastAsia="Calibri" w:hAnsi="Times New Roman"/>
          <w:i/>
          <w:color w:val="000000"/>
          <w:szCs w:val="24"/>
        </w:rPr>
        <w:t>euro</w:t>
      </w:r>
      <w:proofErr w:type="spellEnd"/>
      <w:r w:rsidR="006F7828" w:rsidRPr="006F7828">
        <w:rPr>
          <w:rFonts w:ascii="Times New Roman" w:eastAsia="Calibri" w:hAnsi="Times New Roman"/>
          <w:color w:val="000000"/>
          <w:szCs w:val="24"/>
        </w:rPr>
        <w:t xml:space="preserve"> zonas</w:t>
      </w:r>
      <w:r w:rsidR="006F7828">
        <w:rPr>
          <w:color w:val="000000"/>
          <w:szCs w:val="24"/>
        </w:rPr>
        <w:t xml:space="preserve"> </w:t>
      </w:r>
      <w:r w:rsidRPr="002371CA">
        <w:rPr>
          <w:rFonts w:ascii="Times New Roman" w:eastAsia="Calibri" w:hAnsi="Times New Roman"/>
          <w:color w:val="000000"/>
          <w:szCs w:val="24"/>
        </w:rPr>
        <w:t xml:space="preserve">valstij var izsaukt arī soda sankcijas. Tai pat laikā VTM -0,5% no IKP ir ambiciozāks, nekā to Latvijai pieļauj Stabilitātes un </w:t>
      </w:r>
      <w:r w:rsidR="005F533F">
        <w:rPr>
          <w:rFonts w:ascii="Times New Roman" w:eastAsia="Calibri" w:hAnsi="Times New Roman"/>
          <w:color w:val="000000"/>
          <w:szCs w:val="24"/>
        </w:rPr>
        <w:t>i</w:t>
      </w:r>
      <w:r w:rsidRPr="002371CA">
        <w:rPr>
          <w:rFonts w:ascii="Times New Roman" w:eastAsia="Calibri" w:hAnsi="Times New Roman"/>
          <w:color w:val="000000"/>
          <w:szCs w:val="24"/>
        </w:rPr>
        <w:t>zaugsmes pakts. Līdz ar to var izveidoties situācija, ka Latvija var saņemt soda sankcijas par sava VTM neievērošanu, neskatoties uz to, ka tas ir ambiciozāks</w:t>
      </w:r>
      <w:r w:rsidR="005F533F">
        <w:rPr>
          <w:rFonts w:ascii="Times New Roman" w:eastAsia="Calibri" w:hAnsi="Times New Roman"/>
          <w:color w:val="000000"/>
          <w:szCs w:val="24"/>
        </w:rPr>
        <w:t>,</w:t>
      </w:r>
      <w:r w:rsidRPr="002371CA">
        <w:rPr>
          <w:rFonts w:ascii="Times New Roman" w:eastAsia="Calibri" w:hAnsi="Times New Roman"/>
          <w:color w:val="000000"/>
          <w:szCs w:val="24"/>
        </w:rPr>
        <w:t xml:space="preserve"> </w:t>
      </w:r>
      <w:r w:rsidR="005F533F">
        <w:rPr>
          <w:rFonts w:ascii="Times New Roman" w:eastAsia="Calibri" w:hAnsi="Times New Roman"/>
          <w:color w:val="000000"/>
          <w:szCs w:val="24"/>
        </w:rPr>
        <w:t>ne</w:t>
      </w:r>
      <w:r w:rsidRPr="002371CA">
        <w:rPr>
          <w:rFonts w:ascii="Times New Roman" w:eastAsia="Calibri" w:hAnsi="Times New Roman"/>
          <w:color w:val="000000"/>
          <w:szCs w:val="24"/>
        </w:rPr>
        <w:t xml:space="preserve">kā to prasa  Stabilitātes un Izaugsmes pakts. </w:t>
      </w:r>
    </w:p>
    <w:p w14:paraId="6908902D" w14:textId="70934305" w:rsidR="00154514" w:rsidRDefault="00154514" w:rsidP="00561179">
      <w:pPr>
        <w:pStyle w:val="teksts"/>
        <w:ind w:firstLine="567"/>
        <w:rPr>
          <w:rFonts w:ascii="Times New Roman" w:eastAsia="Calibri" w:hAnsi="Times New Roman"/>
          <w:b/>
          <w:color w:val="000000"/>
          <w:szCs w:val="24"/>
        </w:rPr>
      </w:pPr>
      <w:r w:rsidRPr="002371CA">
        <w:rPr>
          <w:rFonts w:ascii="Times New Roman" w:eastAsia="Calibri" w:hAnsi="Times New Roman"/>
          <w:b/>
          <w:color w:val="000000"/>
          <w:szCs w:val="24"/>
        </w:rPr>
        <w:t xml:space="preserve">Lai novērstu augstāk minēto risku, Latvijas fiskālajā politikā tiek ieviesti divi atšķirīgi </w:t>
      </w:r>
      <w:r w:rsidR="00561179">
        <w:rPr>
          <w:rFonts w:ascii="Times New Roman" w:eastAsia="Calibri" w:hAnsi="Times New Roman"/>
          <w:b/>
          <w:color w:val="000000"/>
          <w:szCs w:val="24"/>
        </w:rPr>
        <w:t>VTM</w:t>
      </w:r>
      <w:r w:rsidR="005F533F">
        <w:rPr>
          <w:rFonts w:ascii="Times New Roman" w:eastAsia="Calibri" w:hAnsi="Times New Roman"/>
          <w:b/>
          <w:color w:val="000000"/>
          <w:szCs w:val="24"/>
        </w:rPr>
        <w:t>:</w:t>
      </w:r>
      <w:r w:rsidRPr="002371CA">
        <w:rPr>
          <w:rFonts w:ascii="Times New Roman" w:eastAsia="Calibri" w:hAnsi="Times New Roman"/>
          <w:b/>
          <w:color w:val="000000"/>
          <w:szCs w:val="24"/>
        </w:rPr>
        <w:t xml:space="preserve"> viens ir  nacionālais VTM, kas saglabājas -0,5% no IKP, bet otrs ir VTM Stabilitātes un Izaugsmes </w:t>
      </w:r>
      <w:proofErr w:type="spellStart"/>
      <w:r w:rsidRPr="002371CA">
        <w:rPr>
          <w:rFonts w:ascii="Times New Roman" w:eastAsia="Calibri" w:hAnsi="Times New Roman"/>
          <w:b/>
          <w:color w:val="000000"/>
          <w:szCs w:val="24"/>
        </w:rPr>
        <w:t>pakta</w:t>
      </w:r>
      <w:proofErr w:type="spellEnd"/>
      <w:r w:rsidRPr="002371CA">
        <w:rPr>
          <w:rFonts w:ascii="Times New Roman" w:eastAsia="Calibri" w:hAnsi="Times New Roman"/>
          <w:b/>
          <w:color w:val="000000"/>
          <w:szCs w:val="24"/>
        </w:rPr>
        <w:t xml:space="preserve"> izpratnē, jeb VTM</w:t>
      </w:r>
      <w:r w:rsidRPr="002371CA">
        <w:rPr>
          <w:rFonts w:ascii="Times New Roman" w:eastAsia="Calibri" w:hAnsi="Times New Roman"/>
          <w:b/>
          <w:color w:val="000000"/>
          <w:szCs w:val="24"/>
          <w:vertAlign w:val="superscript"/>
        </w:rPr>
        <w:t>SIP</w:t>
      </w:r>
      <w:r w:rsidRPr="002371CA">
        <w:rPr>
          <w:rFonts w:ascii="Times New Roman" w:eastAsia="Calibri" w:hAnsi="Times New Roman"/>
          <w:b/>
          <w:color w:val="000000"/>
          <w:szCs w:val="24"/>
        </w:rPr>
        <w:t xml:space="preserve"> , kas tiek noteikts -1,0% no IKP </w:t>
      </w:r>
      <w:r w:rsidR="005F533F" w:rsidRPr="002371CA">
        <w:rPr>
          <w:rFonts w:ascii="Times New Roman" w:eastAsia="Calibri" w:hAnsi="Times New Roman"/>
          <w:b/>
          <w:color w:val="000000"/>
          <w:szCs w:val="24"/>
        </w:rPr>
        <w:t>līmenī</w:t>
      </w:r>
      <w:r w:rsidRPr="002371CA">
        <w:rPr>
          <w:rFonts w:ascii="Times New Roman" w:eastAsia="Calibri" w:hAnsi="Times New Roman"/>
          <w:b/>
          <w:color w:val="000000"/>
          <w:szCs w:val="24"/>
        </w:rPr>
        <w:t>.</w:t>
      </w:r>
    </w:p>
    <w:p w14:paraId="1965AA94" w14:textId="77777777" w:rsidR="00154514" w:rsidRPr="009D33DC" w:rsidRDefault="00154514" w:rsidP="00154514">
      <w:pPr>
        <w:pStyle w:val="otrais"/>
        <w:rPr>
          <w:color w:val="000000"/>
          <w:sz w:val="24"/>
        </w:rPr>
      </w:pPr>
      <w:r>
        <w:rPr>
          <w:color w:val="000000"/>
          <w:sz w:val="24"/>
        </w:rPr>
        <w:tab/>
      </w:r>
      <w:bookmarkStart w:id="20" w:name="_Toc385517814"/>
      <w:r w:rsidRPr="009D33DC">
        <w:rPr>
          <w:color w:val="000000"/>
          <w:sz w:val="24"/>
        </w:rPr>
        <w:t>Fiskālās politikas mērķi un galvenie pasākumi</w:t>
      </w:r>
      <w:bookmarkEnd w:id="20"/>
    </w:p>
    <w:p w14:paraId="6C4DB200" w14:textId="77777777" w:rsidR="00154514" w:rsidRPr="008753ED" w:rsidRDefault="00154514" w:rsidP="00561179">
      <w:pPr>
        <w:pStyle w:val="teksts"/>
        <w:ind w:firstLine="567"/>
        <w:rPr>
          <w:rFonts w:ascii="Times New Roman" w:eastAsia="Calibri" w:hAnsi="Times New Roman"/>
          <w:color w:val="000000"/>
          <w:szCs w:val="24"/>
        </w:rPr>
      </w:pPr>
      <w:r w:rsidRPr="008753ED">
        <w:rPr>
          <w:rFonts w:ascii="Times New Roman" w:eastAsia="Calibri" w:hAnsi="Times New Roman"/>
          <w:color w:val="000000"/>
          <w:szCs w:val="24"/>
        </w:rPr>
        <w:t xml:space="preserve">2013.gads un turpmākie gadi Latvijas ekonomikā iezīmējās kā </w:t>
      </w:r>
      <w:proofErr w:type="spellStart"/>
      <w:r w:rsidRPr="008753ED">
        <w:rPr>
          <w:rFonts w:ascii="Times New Roman" w:eastAsia="Calibri" w:hAnsi="Times New Roman"/>
          <w:color w:val="000000"/>
          <w:szCs w:val="24"/>
        </w:rPr>
        <w:t>pēckrīzes</w:t>
      </w:r>
      <w:proofErr w:type="spellEnd"/>
      <w:r w:rsidRPr="008753ED">
        <w:rPr>
          <w:rFonts w:ascii="Times New Roman" w:eastAsia="Calibri" w:hAnsi="Times New Roman"/>
          <w:color w:val="000000"/>
          <w:szCs w:val="24"/>
        </w:rPr>
        <w:t xml:space="preserve"> periods, kurā ir nepieciešams atjaunot konsolidācijas periodā samazināto finansējuma līmeni valsts funkciju pilnvērtīgai īstenošanai</w:t>
      </w:r>
      <w:r>
        <w:rPr>
          <w:rFonts w:ascii="Times New Roman" w:eastAsia="Calibri" w:hAnsi="Times New Roman"/>
          <w:color w:val="000000"/>
          <w:szCs w:val="24"/>
        </w:rPr>
        <w:t xml:space="preserve">. </w:t>
      </w:r>
    </w:p>
    <w:p w14:paraId="7BB299B7" w14:textId="4A44EB45" w:rsidR="00154514" w:rsidRPr="00163508" w:rsidRDefault="00154514" w:rsidP="00561179">
      <w:pPr>
        <w:pStyle w:val="teksts"/>
        <w:ind w:firstLine="567"/>
        <w:rPr>
          <w:rFonts w:ascii="Times New Roman" w:eastAsia="Calibri" w:hAnsi="Times New Roman"/>
          <w:color w:val="000000"/>
          <w:szCs w:val="24"/>
        </w:rPr>
      </w:pPr>
      <w:r w:rsidRPr="008753ED">
        <w:rPr>
          <w:rFonts w:ascii="Times New Roman" w:eastAsia="Calibri" w:hAnsi="Times New Roman"/>
          <w:color w:val="000000"/>
          <w:szCs w:val="24"/>
        </w:rPr>
        <w:t xml:space="preserve">No </w:t>
      </w:r>
      <w:r>
        <w:rPr>
          <w:rFonts w:ascii="Times New Roman" w:eastAsia="Calibri" w:hAnsi="Times New Roman"/>
          <w:color w:val="000000"/>
          <w:szCs w:val="24"/>
        </w:rPr>
        <w:t>FDL</w:t>
      </w:r>
      <w:r w:rsidRPr="008753ED">
        <w:rPr>
          <w:rFonts w:ascii="Times New Roman" w:eastAsia="Calibri" w:hAnsi="Times New Roman"/>
          <w:color w:val="000000"/>
          <w:szCs w:val="24"/>
        </w:rPr>
        <w:t xml:space="preserve"> ietvertajiem fiskālās politikas principiem izriet </w:t>
      </w:r>
      <w:r w:rsidRPr="006C67A4">
        <w:rPr>
          <w:rFonts w:ascii="Times New Roman" w:eastAsia="Calibri" w:hAnsi="Times New Roman"/>
          <w:b/>
          <w:color w:val="000000"/>
          <w:szCs w:val="24"/>
        </w:rPr>
        <w:t>vispārīgais vidēja termiņa fiskālās politikas mērķis - ilgtspējīgi kāpināt iedzīvotāju dzīves kvalitāti</w:t>
      </w:r>
      <w:r>
        <w:rPr>
          <w:rFonts w:ascii="Times New Roman" w:eastAsia="Calibri" w:hAnsi="Times New Roman"/>
          <w:color w:val="000000"/>
          <w:szCs w:val="24"/>
        </w:rPr>
        <w:t>, kas ietver</w:t>
      </w:r>
      <w:r w:rsidRPr="008753ED">
        <w:rPr>
          <w:rFonts w:ascii="Times New Roman" w:eastAsia="Calibri" w:hAnsi="Times New Roman"/>
          <w:color w:val="000000"/>
          <w:szCs w:val="24"/>
        </w:rPr>
        <w:t xml:space="preserve"> iedzīvotāju labklājību, medicīnas pakalpojumu pieejamību, dabas vidi, attīstīt</w:t>
      </w:r>
      <w:r>
        <w:rPr>
          <w:rFonts w:ascii="Times New Roman" w:eastAsia="Calibri" w:hAnsi="Times New Roman"/>
          <w:color w:val="000000"/>
          <w:szCs w:val="24"/>
        </w:rPr>
        <w:t>u infrastruktūru un kultūru, kā arī</w:t>
      </w:r>
      <w:r w:rsidRPr="008753ED">
        <w:rPr>
          <w:rFonts w:ascii="Times New Roman" w:eastAsia="Calibri" w:hAnsi="Times New Roman"/>
          <w:color w:val="000000"/>
          <w:szCs w:val="24"/>
        </w:rPr>
        <w:t xml:space="preserve"> pārmērīgas iedzīvotāju ienākumu nevienlīdzības novēršanu. Būtiski ir nodrošināt, ka valstī būs apstākļi dzīves kvalitātes uzlabošanai ne tikai šobrīd, bet arī turpmāk. Tāpēc fiskālās politikas mērķī akcents ir likts uz ilgtspēju. Ilgtspējīga dzīves kvalitātes kāpināšana nozīmē, ka publiskie finanšu resursi tiek novirzīti ne tikai pašreizējiem dzīv</w:t>
      </w:r>
      <w:r w:rsidR="00585C80">
        <w:rPr>
          <w:rFonts w:ascii="Times New Roman" w:eastAsia="Calibri" w:hAnsi="Times New Roman"/>
          <w:color w:val="000000"/>
          <w:szCs w:val="24"/>
        </w:rPr>
        <w:t>e</w:t>
      </w:r>
      <w:r w:rsidRPr="008753ED">
        <w:rPr>
          <w:rFonts w:ascii="Times New Roman" w:eastAsia="Calibri" w:hAnsi="Times New Roman"/>
          <w:color w:val="000000"/>
          <w:szCs w:val="24"/>
        </w:rPr>
        <w:t>s kvalitātes uzlabošanas pasākumiem, bet tiek plānoti un sadalīti tā, lai tiktu nodrošināti apstākļi, ka valsts varēs dzīves kvalitāti kāpināt arī turpmākos 10 un 50 gadus. To var panākt, pirmkārt, atsakoties no pašreizējo izdevumu segšanas uz nākamo paaudžu rēķina jeb atsakoties no publisko izdevumu palielināšanas uz deficīta rēķina, otrkārt, novirzot publiskos resursus labvēlīgas vides veidošanai ekonomikas attīstībai, piemēram, ieguldot resursus zinātnē.</w:t>
      </w:r>
    </w:p>
    <w:p w14:paraId="0DBFFB18" w14:textId="5102A004" w:rsidR="00154514" w:rsidRPr="002E4DD5" w:rsidRDefault="00154514" w:rsidP="00813106">
      <w:pPr>
        <w:pStyle w:val="teksts"/>
        <w:spacing w:after="0"/>
        <w:ind w:firstLine="567"/>
        <w:rPr>
          <w:rFonts w:ascii="Times New Roman" w:eastAsia="Calibri" w:hAnsi="Times New Roman"/>
          <w:color w:val="000000"/>
          <w:szCs w:val="24"/>
        </w:rPr>
      </w:pPr>
      <w:r w:rsidRPr="002E4DD5">
        <w:rPr>
          <w:rFonts w:ascii="Times New Roman" w:eastAsia="Calibri" w:hAnsi="Times New Roman"/>
          <w:color w:val="000000"/>
          <w:szCs w:val="24"/>
        </w:rPr>
        <w:t>No augstāk minētā izriet Latvijas fiskālās politikas specifiskie mērķi:</w:t>
      </w:r>
    </w:p>
    <w:p w14:paraId="651B7695" w14:textId="77777777" w:rsidR="00E44F32" w:rsidRDefault="00154514" w:rsidP="00E44F32">
      <w:pPr>
        <w:pStyle w:val="teksts"/>
        <w:numPr>
          <w:ilvl w:val="0"/>
          <w:numId w:val="43"/>
        </w:numPr>
        <w:spacing w:after="0"/>
        <w:rPr>
          <w:rFonts w:ascii="Times New Roman" w:eastAsia="Calibri" w:hAnsi="Times New Roman"/>
          <w:color w:val="000000"/>
          <w:szCs w:val="24"/>
        </w:rPr>
      </w:pPr>
      <w:r w:rsidRPr="002E4DD5">
        <w:rPr>
          <w:rFonts w:ascii="Times New Roman" w:eastAsia="Calibri" w:hAnsi="Times New Roman"/>
          <w:color w:val="000000"/>
          <w:szCs w:val="24"/>
        </w:rPr>
        <w:t>Nodrošināt atbildīgu un ilgtspējīgu fiskālo politiku, ievērojot fiskālo disciplīnu;</w:t>
      </w:r>
    </w:p>
    <w:p w14:paraId="27338BC5" w14:textId="69A11050" w:rsidR="00154514" w:rsidRPr="00E44F32" w:rsidRDefault="00154514" w:rsidP="00E44F32">
      <w:pPr>
        <w:pStyle w:val="teksts"/>
        <w:numPr>
          <w:ilvl w:val="0"/>
          <w:numId w:val="43"/>
        </w:numPr>
        <w:ind w:left="1281" w:hanging="357"/>
        <w:rPr>
          <w:rFonts w:ascii="Times New Roman" w:eastAsia="Calibri" w:hAnsi="Times New Roman"/>
          <w:color w:val="000000"/>
          <w:szCs w:val="24"/>
        </w:rPr>
      </w:pPr>
      <w:r w:rsidRPr="00E44F32">
        <w:rPr>
          <w:rFonts w:ascii="Times New Roman" w:eastAsia="Calibri" w:hAnsi="Times New Roman"/>
          <w:color w:val="000000"/>
          <w:szCs w:val="24"/>
        </w:rPr>
        <w:t>Kāpināt iedzīvotāju dzīves kvalitāti un veicināt valsts ekonomikas attīstību.</w:t>
      </w:r>
    </w:p>
    <w:p w14:paraId="4C255F4D" w14:textId="1F4FE5D3" w:rsidR="00154514" w:rsidRDefault="00154514" w:rsidP="00561179">
      <w:pPr>
        <w:ind w:firstLine="720"/>
        <w:rPr>
          <w:rFonts w:eastAsia="Calibri"/>
        </w:rPr>
      </w:pPr>
      <w:r w:rsidRPr="001731AD">
        <w:rPr>
          <w:rFonts w:eastAsia="Calibri"/>
          <w:u w:val="single"/>
        </w:rPr>
        <w:t>Viens no rīcības virzieniem</w:t>
      </w:r>
      <w:r>
        <w:rPr>
          <w:rFonts w:eastAsia="Calibri"/>
        </w:rPr>
        <w:t xml:space="preserve"> šī mērķa sasniegšanai ir nodokļu politikas koriģēšana, pārskatot darbaspēka nodokļu slogu, nolūkā mazināt iedzīvotāju ienākumu nevienlīdzību un paaugstināt dzīves kvalitāti, it īpaši ģimenēs ar bērniem. </w:t>
      </w:r>
      <w:r w:rsidRPr="001134B3">
        <w:rPr>
          <w:rFonts w:eastAsia="Calibri"/>
        </w:rPr>
        <w:t xml:space="preserve">Būtiskākie pasākumi </w:t>
      </w:r>
      <w:r>
        <w:rPr>
          <w:rFonts w:eastAsia="Calibri"/>
        </w:rPr>
        <w:t>šajā jomā, kas ir iestrādāti l</w:t>
      </w:r>
      <w:r w:rsidRPr="00985094">
        <w:rPr>
          <w:rFonts w:eastAsia="Calibri"/>
          <w:color w:val="000000"/>
          <w:szCs w:val="24"/>
        </w:rPr>
        <w:t>ikumā „Par vidēja termiņa budžeta ietvaru 2014., 2015. un 2016.gadam”</w:t>
      </w:r>
      <w:r>
        <w:rPr>
          <w:rFonts w:eastAsia="Calibri"/>
          <w:color w:val="000000"/>
          <w:szCs w:val="24"/>
        </w:rPr>
        <w:t xml:space="preserve"> </w:t>
      </w:r>
      <w:r>
        <w:rPr>
          <w:rFonts w:eastAsia="Calibri"/>
        </w:rPr>
        <w:t>ir IIN</w:t>
      </w:r>
      <w:r w:rsidRPr="001134B3">
        <w:rPr>
          <w:rFonts w:eastAsia="Calibri"/>
        </w:rPr>
        <w:t xml:space="preserve"> neapliekamā minimuma palielināšana, IIN atvieglojumu palielināšana </w:t>
      </w:r>
      <w:r>
        <w:rPr>
          <w:rFonts w:eastAsia="Calibri"/>
        </w:rPr>
        <w:t xml:space="preserve">par apgādībā esošajām personām, darba devēja un </w:t>
      </w:r>
      <w:r w:rsidRPr="00585158">
        <w:rPr>
          <w:rFonts w:eastAsia="Calibri"/>
        </w:rPr>
        <w:t xml:space="preserve">darba </w:t>
      </w:r>
      <w:r>
        <w:rPr>
          <w:rFonts w:eastAsia="Calibri"/>
        </w:rPr>
        <w:t>ņēmēja</w:t>
      </w:r>
      <w:r w:rsidRPr="00585158">
        <w:rPr>
          <w:rFonts w:eastAsia="Calibri"/>
        </w:rPr>
        <w:t xml:space="preserve"> </w:t>
      </w:r>
      <w:r>
        <w:rPr>
          <w:rFonts w:eastAsia="Calibri"/>
        </w:rPr>
        <w:t xml:space="preserve">valsts </w:t>
      </w:r>
      <w:r w:rsidRPr="00585158">
        <w:rPr>
          <w:rFonts w:eastAsia="Calibri"/>
        </w:rPr>
        <w:t>sociālās apdrošināšanas</w:t>
      </w:r>
      <w:r>
        <w:rPr>
          <w:rFonts w:eastAsia="Calibri"/>
        </w:rPr>
        <w:t xml:space="preserve"> obligāto iemaksu likmes samazināšana, kā arī IIN likmes samazināšana vidējā termiņā.</w:t>
      </w:r>
    </w:p>
    <w:p w14:paraId="3F327EEC" w14:textId="77777777" w:rsidR="004B74A0" w:rsidRDefault="004B74A0" w:rsidP="00561179">
      <w:pPr>
        <w:ind w:firstLine="720"/>
        <w:rPr>
          <w:rFonts w:eastAsia="Calibri"/>
        </w:rPr>
      </w:pPr>
    </w:p>
    <w:p w14:paraId="50C5DF9E" w14:textId="77777777" w:rsidR="00154514" w:rsidRDefault="00154514" w:rsidP="00154514">
      <w:pPr>
        <w:ind w:firstLine="720"/>
        <w:jc w:val="right"/>
        <w:rPr>
          <w:rFonts w:eastAsia="Calibri"/>
          <w:b/>
        </w:rPr>
      </w:pPr>
      <w:r w:rsidRPr="009D6B3B">
        <w:rPr>
          <w:rFonts w:eastAsia="Calibri"/>
          <w:b/>
        </w:rPr>
        <w:t>3.3. tabula. Būtiskākie fiskālo telpu palielinošie ieņēmumu pasākumi</w:t>
      </w:r>
    </w:p>
    <w:tbl>
      <w:tblPr>
        <w:tblW w:w="89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111"/>
        <w:gridCol w:w="952"/>
        <w:gridCol w:w="952"/>
        <w:gridCol w:w="952"/>
      </w:tblGrid>
      <w:tr w:rsidR="001A4C59" w:rsidRPr="001A4C59" w14:paraId="568A011A" w14:textId="77777777" w:rsidTr="002926A6">
        <w:trPr>
          <w:trHeight w:val="315"/>
          <w:jc w:val="center"/>
        </w:trPr>
        <w:tc>
          <w:tcPr>
            <w:tcW w:w="6111" w:type="dxa"/>
            <w:shd w:val="clear" w:color="auto" w:fill="auto"/>
            <w:vAlign w:val="center"/>
            <w:hideMark/>
          </w:tcPr>
          <w:p w14:paraId="0998C661" w14:textId="77777777" w:rsidR="001A4C59" w:rsidRPr="003148B4" w:rsidRDefault="001A4C59" w:rsidP="001A4C59">
            <w:pPr>
              <w:spacing w:after="0"/>
              <w:ind w:firstLine="0"/>
              <w:jc w:val="center"/>
              <w:rPr>
                <w:b/>
                <w:bCs/>
                <w:color w:val="000000"/>
                <w:sz w:val="20"/>
                <w:szCs w:val="22"/>
                <w:lang w:eastAsia="lv-LV"/>
              </w:rPr>
            </w:pPr>
            <w:r w:rsidRPr="003148B4">
              <w:rPr>
                <w:b/>
                <w:bCs/>
                <w:color w:val="000000"/>
                <w:sz w:val="20"/>
                <w:szCs w:val="22"/>
                <w:lang w:eastAsia="lv-LV"/>
              </w:rPr>
              <w:t>Ieņēmumus palielinošais pasākums</w:t>
            </w:r>
          </w:p>
        </w:tc>
        <w:tc>
          <w:tcPr>
            <w:tcW w:w="952" w:type="dxa"/>
            <w:shd w:val="clear" w:color="auto" w:fill="auto"/>
            <w:noWrap/>
            <w:vAlign w:val="center"/>
            <w:hideMark/>
          </w:tcPr>
          <w:p w14:paraId="44FF338E" w14:textId="77777777" w:rsidR="001A4C59" w:rsidRPr="003148B4" w:rsidRDefault="001A4C59" w:rsidP="001A4C59">
            <w:pPr>
              <w:spacing w:after="0"/>
              <w:ind w:firstLine="0"/>
              <w:jc w:val="center"/>
              <w:rPr>
                <w:b/>
                <w:bCs/>
                <w:color w:val="000000"/>
                <w:sz w:val="20"/>
                <w:szCs w:val="22"/>
                <w:lang w:eastAsia="lv-LV"/>
              </w:rPr>
            </w:pPr>
            <w:r w:rsidRPr="003148B4">
              <w:rPr>
                <w:b/>
                <w:bCs/>
                <w:color w:val="000000"/>
                <w:sz w:val="20"/>
                <w:szCs w:val="22"/>
                <w:lang w:eastAsia="lv-LV"/>
              </w:rPr>
              <w:t>2014</w:t>
            </w:r>
          </w:p>
        </w:tc>
        <w:tc>
          <w:tcPr>
            <w:tcW w:w="952" w:type="dxa"/>
            <w:shd w:val="clear" w:color="auto" w:fill="auto"/>
            <w:noWrap/>
            <w:vAlign w:val="center"/>
            <w:hideMark/>
          </w:tcPr>
          <w:p w14:paraId="0D69B0E5" w14:textId="77777777" w:rsidR="001A4C59" w:rsidRPr="003148B4" w:rsidRDefault="001A4C59" w:rsidP="001A4C59">
            <w:pPr>
              <w:spacing w:after="0"/>
              <w:ind w:firstLine="0"/>
              <w:jc w:val="center"/>
              <w:rPr>
                <w:b/>
                <w:bCs/>
                <w:color w:val="000000"/>
                <w:sz w:val="20"/>
                <w:szCs w:val="22"/>
                <w:lang w:eastAsia="lv-LV"/>
              </w:rPr>
            </w:pPr>
            <w:r w:rsidRPr="003148B4">
              <w:rPr>
                <w:b/>
                <w:bCs/>
                <w:color w:val="000000"/>
                <w:sz w:val="20"/>
                <w:szCs w:val="22"/>
                <w:lang w:eastAsia="lv-LV"/>
              </w:rPr>
              <w:t>2015</w:t>
            </w:r>
          </w:p>
        </w:tc>
        <w:tc>
          <w:tcPr>
            <w:tcW w:w="952" w:type="dxa"/>
            <w:shd w:val="clear" w:color="auto" w:fill="auto"/>
            <w:noWrap/>
            <w:vAlign w:val="center"/>
            <w:hideMark/>
          </w:tcPr>
          <w:p w14:paraId="2AB400A8" w14:textId="77777777" w:rsidR="001A4C59" w:rsidRPr="003148B4" w:rsidRDefault="001A4C59" w:rsidP="001A4C59">
            <w:pPr>
              <w:spacing w:after="0"/>
              <w:ind w:firstLine="0"/>
              <w:jc w:val="center"/>
              <w:rPr>
                <w:b/>
                <w:bCs/>
                <w:color w:val="000000"/>
                <w:sz w:val="20"/>
                <w:szCs w:val="22"/>
                <w:lang w:eastAsia="lv-LV"/>
              </w:rPr>
            </w:pPr>
            <w:r w:rsidRPr="003148B4">
              <w:rPr>
                <w:b/>
                <w:bCs/>
                <w:color w:val="000000"/>
                <w:sz w:val="20"/>
                <w:szCs w:val="22"/>
                <w:lang w:eastAsia="lv-LV"/>
              </w:rPr>
              <w:t>2016</w:t>
            </w:r>
          </w:p>
        </w:tc>
      </w:tr>
      <w:tr w:rsidR="001A4C59" w:rsidRPr="001A4C59" w14:paraId="5C02D59A" w14:textId="77777777" w:rsidTr="002926A6">
        <w:trPr>
          <w:trHeight w:val="185"/>
          <w:jc w:val="center"/>
        </w:trPr>
        <w:tc>
          <w:tcPr>
            <w:tcW w:w="6111" w:type="dxa"/>
            <w:shd w:val="clear" w:color="auto" w:fill="auto"/>
            <w:vAlign w:val="bottom"/>
            <w:hideMark/>
          </w:tcPr>
          <w:p w14:paraId="075914A5"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 xml:space="preserve">Subsidētās elektroenerģijas nodokļa ieviešana </w:t>
            </w:r>
          </w:p>
        </w:tc>
        <w:tc>
          <w:tcPr>
            <w:tcW w:w="952" w:type="dxa"/>
            <w:shd w:val="clear" w:color="auto" w:fill="auto"/>
            <w:noWrap/>
            <w:vAlign w:val="center"/>
            <w:hideMark/>
          </w:tcPr>
          <w:p w14:paraId="7F79BB61"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32,8</w:t>
            </w:r>
          </w:p>
        </w:tc>
        <w:tc>
          <w:tcPr>
            <w:tcW w:w="952" w:type="dxa"/>
            <w:shd w:val="clear" w:color="auto" w:fill="auto"/>
            <w:noWrap/>
            <w:vAlign w:val="center"/>
            <w:hideMark/>
          </w:tcPr>
          <w:p w14:paraId="7C167657"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36,9</w:t>
            </w:r>
          </w:p>
        </w:tc>
        <w:tc>
          <w:tcPr>
            <w:tcW w:w="952" w:type="dxa"/>
            <w:shd w:val="clear" w:color="auto" w:fill="auto"/>
            <w:noWrap/>
            <w:vAlign w:val="center"/>
            <w:hideMark/>
          </w:tcPr>
          <w:p w14:paraId="04C6DC6C"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39,7</w:t>
            </w:r>
          </w:p>
        </w:tc>
      </w:tr>
      <w:tr w:rsidR="001A4C59" w:rsidRPr="001A4C59" w14:paraId="447D70C8" w14:textId="77777777" w:rsidTr="002926A6">
        <w:trPr>
          <w:trHeight w:val="185"/>
          <w:jc w:val="center"/>
        </w:trPr>
        <w:tc>
          <w:tcPr>
            <w:tcW w:w="6111" w:type="dxa"/>
            <w:shd w:val="clear" w:color="auto" w:fill="auto"/>
            <w:vAlign w:val="bottom"/>
            <w:hideMark/>
          </w:tcPr>
          <w:p w14:paraId="73C961E3"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 xml:space="preserve">Minimālās mēneša darba algas paaugstināšana </w:t>
            </w:r>
          </w:p>
        </w:tc>
        <w:tc>
          <w:tcPr>
            <w:tcW w:w="952" w:type="dxa"/>
            <w:shd w:val="clear" w:color="auto" w:fill="auto"/>
            <w:noWrap/>
            <w:vAlign w:val="center"/>
            <w:hideMark/>
          </w:tcPr>
          <w:p w14:paraId="0FBD45B7"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36,7</w:t>
            </w:r>
          </w:p>
        </w:tc>
        <w:tc>
          <w:tcPr>
            <w:tcW w:w="952" w:type="dxa"/>
            <w:shd w:val="clear" w:color="auto" w:fill="auto"/>
            <w:noWrap/>
            <w:vAlign w:val="center"/>
            <w:hideMark/>
          </w:tcPr>
          <w:p w14:paraId="6B2847E2"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35,7</w:t>
            </w:r>
          </w:p>
        </w:tc>
        <w:tc>
          <w:tcPr>
            <w:tcW w:w="952" w:type="dxa"/>
            <w:shd w:val="clear" w:color="auto" w:fill="auto"/>
            <w:noWrap/>
            <w:vAlign w:val="center"/>
            <w:hideMark/>
          </w:tcPr>
          <w:p w14:paraId="035A911B"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35,7</w:t>
            </w:r>
          </w:p>
        </w:tc>
      </w:tr>
      <w:tr w:rsidR="001A4C59" w:rsidRPr="001A4C59" w14:paraId="7B947EF8" w14:textId="77777777" w:rsidTr="002926A6">
        <w:trPr>
          <w:trHeight w:val="371"/>
          <w:jc w:val="center"/>
        </w:trPr>
        <w:tc>
          <w:tcPr>
            <w:tcW w:w="6111" w:type="dxa"/>
            <w:shd w:val="clear" w:color="auto" w:fill="auto"/>
            <w:vAlign w:val="bottom"/>
            <w:hideMark/>
          </w:tcPr>
          <w:p w14:paraId="1B5C766F"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Nodokļu kontroles un administrēšanas efektivitātes paaugstināšana</w:t>
            </w:r>
          </w:p>
        </w:tc>
        <w:tc>
          <w:tcPr>
            <w:tcW w:w="952" w:type="dxa"/>
            <w:shd w:val="clear" w:color="auto" w:fill="auto"/>
            <w:noWrap/>
            <w:vAlign w:val="center"/>
            <w:hideMark/>
          </w:tcPr>
          <w:p w14:paraId="453848A1"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40,1</w:t>
            </w:r>
          </w:p>
        </w:tc>
        <w:tc>
          <w:tcPr>
            <w:tcW w:w="952" w:type="dxa"/>
            <w:shd w:val="clear" w:color="auto" w:fill="auto"/>
            <w:noWrap/>
            <w:vAlign w:val="center"/>
            <w:hideMark/>
          </w:tcPr>
          <w:p w14:paraId="1B472D32"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47,4</w:t>
            </w:r>
          </w:p>
        </w:tc>
        <w:tc>
          <w:tcPr>
            <w:tcW w:w="952" w:type="dxa"/>
            <w:shd w:val="clear" w:color="auto" w:fill="auto"/>
            <w:noWrap/>
            <w:vAlign w:val="center"/>
            <w:hideMark/>
          </w:tcPr>
          <w:p w14:paraId="149D8F70"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46,5</w:t>
            </w:r>
          </w:p>
        </w:tc>
      </w:tr>
      <w:tr w:rsidR="001A4C59" w:rsidRPr="001A4C59" w14:paraId="2F8B2C5A" w14:textId="77777777" w:rsidTr="002926A6">
        <w:trPr>
          <w:trHeight w:val="185"/>
          <w:jc w:val="center"/>
        </w:trPr>
        <w:tc>
          <w:tcPr>
            <w:tcW w:w="6111" w:type="dxa"/>
            <w:shd w:val="clear" w:color="auto" w:fill="auto"/>
            <w:vAlign w:val="bottom"/>
            <w:hideMark/>
          </w:tcPr>
          <w:p w14:paraId="0AD7F4A5"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 xml:space="preserve">Dabas resursu nodokļa bāzes paplašināšana </w:t>
            </w:r>
          </w:p>
        </w:tc>
        <w:tc>
          <w:tcPr>
            <w:tcW w:w="952" w:type="dxa"/>
            <w:shd w:val="clear" w:color="auto" w:fill="auto"/>
            <w:noWrap/>
            <w:vAlign w:val="center"/>
            <w:hideMark/>
          </w:tcPr>
          <w:p w14:paraId="19D11DDC"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3,3</w:t>
            </w:r>
          </w:p>
        </w:tc>
        <w:tc>
          <w:tcPr>
            <w:tcW w:w="952" w:type="dxa"/>
            <w:shd w:val="clear" w:color="auto" w:fill="auto"/>
            <w:noWrap/>
            <w:vAlign w:val="center"/>
            <w:hideMark/>
          </w:tcPr>
          <w:p w14:paraId="06733214"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2,7</w:t>
            </w:r>
          </w:p>
        </w:tc>
        <w:tc>
          <w:tcPr>
            <w:tcW w:w="952" w:type="dxa"/>
            <w:shd w:val="clear" w:color="auto" w:fill="auto"/>
            <w:noWrap/>
            <w:vAlign w:val="center"/>
            <w:hideMark/>
          </w:tcPr>
          <w:p w14:paraId="0C54E2BD"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2,1</w:t>
            </w:r>
          </w:p>
        </w:tc>
      </w:tr>
      <w:tr w:rsidR="001A4C59" w:rsidRPr="001A4C59" w14:paraId="60A90328" w14:textId="77777777" w:rsidTr="002926A6">
        <w:trPr>
          <w:trHeight w:val="185"/>
          <w:jc w:val="center"/>
        </w:trPr>
        <w:tc>
          <w:tcPr>
            <w:tcW w:w="6111" w:type="dxa"/>
            <w:shd w:val="clear" w:color="auto" w:fill="auto"/>
            <w:vAlign w:val="bottom"/>
            <w:hideMark/>
          </w:tcPr>
          <w:p w14:paraId="09313B4F" w14:textId="781398D3" w:rsidR="001A4C59" w:rsidRPr="003148B4" w:rsidRDefault="00BA7696" w:rsidP="001A4C59">
            <w:pPr>
              <w:spacing w:after="0"/>
              <w:ind w:firstLine="0"/>
              <w:jc w:val="left"/>
              <w:rPr>
                <w:color w:val="000000"/>
                <w:sz w:val="20"/>
                <w:szCs w:val="22"/>
                <w:lang w:eastAsia="lv-LV"/>
              </w:rPr>
            </w:pPr>
            <w:r w:rsidRPr="003148B4">
              <w:rPr>
                <w:color w:val="000000"/>
                <w:sz w:val="20"/>
                <w:szCs w:val="22"/>
                <w:lang w:eastAsia="lv-LV"/>
              </w:rPr>
              <w:t>Pievienotās vērtības nodoklis</w:t>
            </w:r>
            <w:r w:rsidR="001A4C59" w:rsidRPr="003148B4">
              <w:rPr>
                <w:color w:val="000000"/>
                <w:sz w:val="20"/>
                <w:szCs w:val="22"/>
                <w:lang w:eastAsia="lv-LV"/>
              </w:rPr>
              <w:t xml:space="preserve"> (par nodrošinājumu) </w:t>
            </w:r>
          </w:p>
        </w:tc>
        <w:tc>
          <w:tcPr>
            <w:tcW w:w="952" w:type="dxa"/>
            <w:shd w:val="clear" w:color="auto" w:fill="auto"/>
            <w:noWrap/>
            <w:vAlign w:val="center"/>
            <w:hideMark/>
          </w:tcPr>
          <w:p w14:paraId="40BD0B88"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6,7</w:t>
            </w:r>
          </w:p>
        </w:tc>
        <w:tc>
          <w:tcPr>
            <w:tcW w:w="952" w:type="dxa"/>
            <w:shd w:val="clear" w:color="auto" w:fill="auto"/>
            <w:noWrap/>
            <w:vAlign w:val="center"/>
            <w:hideMark/>
          </w:tcPr>
          <w:p w14:paraId="2F704556"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6,7</w:t>
            </w:r>
          </w:p>
        </w:tc>
        <w:tc>
          <w:tcPr>
            <w:tcW w:w="952" w:type="dxa"/>
            <w:shd w:val="clear" w:color="auto" w:fill="auto"/>
            <w:noWrap/>
            <w:vAlign w:val="center"/>
            <w:hideMark/>
          </w:tcPr>
          <w:p w14:paraId="0120C16C"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6,7</w:t>
            </w:r>
          </w:p>
        </w:tc>
      </w:tr>
      <w:tr w:rsidR="001A4C59" w:rsidRPr="001A4C59" w14:paraId="744A4D37" w14:textId="77777777" w:rsidTr="002926A6">
        <w:trPr>
          <w:trHeight w:val="371"/>
          <w:jc w:val="center"/>
        </w:trPr>
        <w:tc>
          <w:tcPr>
            <w:tcW w:w="6111" w:type="dxa"/>
            <w:shd w:val="clear" w:color="auto" w:fill="auto"/>
            <w:vAlign w:val="bottom"/>
            <w:hideMark/>
          </w:tcPr>
          <w:p w14:paraId="4EEAF4D7"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 xml:space="preserve">Autoceļu lietošanas nodeva par valsts galveno autoceļu lietošanu </w:t>
            </w:r>
          </w:p>
        </w:tc>
        <w:tc>
          <w:tcPr>
            <w:tcW w:w="952" w:type="dxa"/>
            <w:shd w:val="clear" w:color="auto" w:fill="auto"/>
            <w:noWrap/>
            <w:vAlign w:val="center"/>
            <w:hideMark/>
          </w:tcPr>
          <w:p w14:paraId="26BFC335"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4,3</w:t>
            </w:r>
          </w:p>
        </w:tc>
        <w:tc>
          <w:tcPr>
            <w:tcW w:w="952" w:type="dxa"/>
            <w:shd w:val="clear" w:color="auto" w:fill="auto"/>
            <w:noWrap/>
            <w:vAlign w:val="center"/>
            <w:hideMark/>
          </w:tcPr>
          <w:p w14:paraId="25B09FB2"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11,4</w:t>
            </w:r>
          </w:p>
        </w:tc>
        <w:tc>
          <w:tcPr>
            <w:tcW w:w="952" w:type="dxa"/>
            <w:shd w:val="clear" w:color="auto" w:fill="auto"/>
            <w:noWrap/>
            <w:vAlign w:val="center"/>
            <w:hideMark/>
          </w:tcPr>
          <w:p w14:paraId="03EB4888"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15,7</w:t>
            </w:r>
          </w:p>
        </w:tc>
      </w:tr>
      <w:tr w:rsidR="001A4C59" w:rsidRPr="001A4C59" w14:paraId="757D43D5" w14:textId="77777777" w:rsidTr="002926A6">
        <w:trPr>
          <w:trHeight w:val="185"/>
          <w:jc w:val="center"/>
        </w:trPr>
        <w:tc>
          <w:tcPr>
            <w:tcW w:w="6111" w:type="dxa"/>
            <w:shd w:val="clear" w:color="auto" w:fill="auto"/>
            <w:vAlign w:val="bottom"/>
            <w:hideMark/>
          </w:tcPr>
          <w:p w14:paraId="61811F94"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 xml:space="preserve">Akcīzes nodokļa likmes palielināšana </w:t>
            </w:r>
            <w:proofErr w:type="spellStart"/>
            <w:r w:rsidRPr="003148B4">
              <w:rPr>
                <w:color w:val="000000"/>
                <w:sz w:val="20"/>
                <w:szCs w:val="22"/>
                <w:lang w:eastAsia="lv-LV"/>
              </w:rPr>
              <w:t>autogāzei</w:t>
            </w:r>
            <w:proofErr w:type="spellEnd"/>
            <w:r w:rsidRPr="003148B4">
              <w:rPr>
                <w:color w:val="000000"/>
                <w:sz w:val="20"/>
                <w:szCs w:val="22"/>
                <w:lang w:eastAsia="lv-LV"/>
              </w:rPr>
              <w:t xml:space="preserve"> </w:t>
            </w:r>
          </w:p>
        </w:tc>
        <w:tc>
          <w:tcPr>
            <w:tcW w:w="952" w:type="dxa"/>
            <w:shd w:val="clear" w:color="auto" w:fill="auto"/>
            <w:noWrap/>
            <w:vAlign w:val="center"/>
            <w:hideMark/>
          </w:tcPr>
          <w:p w14:paraId="31A5607C"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4,0</w:t>
            </w:r>
          </w:p>
        </w:tc>
        <w:tc>
          <w:tcPr>
            <w:tcW w:w="952" w:type="dxa"/>
            <w:shd w:val="clear" w:color="auto" w:fill="auto"/>
            <w:noWrap/>
            <w:vAlign w:val="center"/>
            <w:hideMark/>
          </w:tcPr>
          <w:p w14:paraId="30734838"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4,3</w:t>
            </w:r>
          </w:p>
        </w:tc>
        <w:tc>
          <w:tcPr>
            <w:tcW w:w="952" w:type="dxa"/>
            <w:shd w:val="clear" w:color="auto" w:fill="auto"/>
            <w:noWrap/>
            <w:vAlign w:val="center"/>
            <w:hideMark/>
          </w:tcPr>
          <w:p w14:paraId="51A657A5"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4,4</w:t>
            </w:r>
          </w:p>
        </w:tc>
      </w:tr>
      <w:tr w:rsidR="001A4C59" w:rsidRPr="001A4C59" w14:paraId="2016E527" w14:textId="77777777" w:rsidTr="002926A6">
        <w:trPr>
          <w:trHeight w:val="417"/>
          <w:jc w:val="center"/>
        </w:trPr>
        <w:tc>
          <w:tcPr>
            <w:tcW w:w="6111" w:type="dxa"/>
            <w:shd w:val="clear" w:color="auto" w:fill="auto"/>
            <w:hideMark/>
          </w:tcPr>
          <w:p w14:paraId="61A03BFC" w14:textId="77777777" w:rsidR="001A4C59" w:rsidRPr="003148B4" w:rsidRDefault="001A4C59" w:rsidP="001A4C59">
            <w:pPr>
              <w:spacing w:after="0"/>
              <w:ind w:firstLine="0"/>
              <w:jc w:val="left"/>
              <w:rPr>
                <w:color w:val="000000"/>
                <w:sz w:val="20"/>
                <w:szCs w:val="22"/>
                <w:lang w:eastAsia="lv-LV"/>
              </w:rPr>
            </w:pPr>
            <w:r w:rsidRPr="003148B4">
              <w:rPr>
                <w:color w:val="000000"/>
                <w:sz w:val="20"/>
                <w:szCs w:val="22"/>
                <w:lang w:eastAsia="lv-LV"/>
              </w:rPr>
              <w:t>Akcīzes nodokļa likmes paaugstināšana tabakas izstrādājumiem un likmes restrukturizēšana cigaretēm</w:t>
            </w:r>
          </w:p>
        </w:tc>
        <w:tc>
          <w:tcPr>
            <w:tcW w:w="952" w:type="dxa"/>
            <w:shd w:val="clear" w:color="auto" w:fill="auto"/>
            <w:noWrap/>
            <w:vAlign w:val="center"/>
            <w:hideMark/>
          </w:tcPr>
          <w:p w14:paraId="5B2A2B41"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0,7</w:t>
            </w:r>
          </w:p>
        </w:tc>
        <w:tc>
          <w:tcPr>
            <w:tcW w:w="952" w:type="dxa"/>
            <w:shd w:val="clear" w:color="auto" w:fill="auto"/>
            <w:noWrap/>
            <w:vAlign w:val="center"/>
            <w:hideMark/>
          </w:tcPr>
          <w:p w14:paraId="7BCA4E5A"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2,9</w:t>
            </w:r>
          </w:p>
        </w:tc>
        <w:tc>
          <w:tcPr>
            <w:tcW w:w="952" w:type="dxa"/>
            <w:shd w:val="clear" w:color="auto" w:fill="auto"/>
            <w:noWrap/>
            <w:vAlign w:val="center"/>
            <w:hideMark/>
          </w:tcPr>
          <w:p w14:paraId="1B2CC88F" w14:textId="77777777" w:rsidR="001A4C59" w:rsidRPr="003148B4" w:rsidRDefault="001A4C59" w:rsidP="00980148">
            <w:pPr>
              <w:spacing w:after="0"/>
              <w:ind w:firstLine="0"/>
              <w:jc w:val="right"/>
              <w:rPr>
                <w:color w:val="000000"/>
                <w:sz w:val="20"/>
                <w:szCs w:val="22"/>
                <w:lang w:eastAsia="lv-LV"/>
              </w:rPr>
            </w:pPr>
            <w:r w:rsidRPr="003148B4">
              <w:rPr>
                <w:color w:val="000000"/>
                <w:sz w:val="20"/>
                <w:szCs w:val="22"/>
                <w:lang w:eastAsia="lv-LV"/>
              </w:rPr>
              <w:t>3,9</w:t>
            </w:r>
          </w:p>
        </w:tc>
      </w:tr>
    </w:tbl>
    <w:p w14:paraId="4766A0AF" w14:textId="77777777" w:rsidR="00154514" w:rsidRDefault="00154514" w:rsidP="001A4C59">
      <w:pPr>
        <w:spacing w:before="240"/>
        <w:ind w:firstLine="720"/>
        <w:rPr>
          <w:rFonts w:eastAsia="Calibri"/>
        </w:rPr>
      </w:pPr>
      <w:r w:rsidRPr="001731AD">
        <w:rPr>
          <w:rFonts w:eastAsia="Calibri"/>
          <w:u w:val="single"/>
        </w:rPr>
        <w:t>Otrs rīcības virziens</w:t>
      </w:r>
      <w:r>
        <w:rPr>
          <w:rFonts w:eastAsia="Calibri"/>
        </w:rPr>
        <w:t xml:space="preserve"> ir racionāla p</w:t>
      </w:r>
      <w:r w:rsidRPr="00DF3356">
        <w:rPr>
          <w:rFonts w:eastAsia="Calibri"/>
        </w:rPr>
        <w:t>ieejam</w:t>
      </w:r>
      <w:r>
        <w:rPr>
          <w:rFonts w:eastAsia="Calibri"/>
        </w:rPr>
        <w:t>o publisko resursu apjoma</w:t>
      </w:r>
      <w:r w:rsidRPr="00DF3356">
        <w:rPr>
          <w:rFonts w:eastAsia="Calibri"/>
        </w:rPr>
        <w:t xml:space="preserve"> </w:t>
      </w:r>
      <w:r>
        <w:rPr>
          <w:rFonts w:eastAsia="Calibri"/>
        </w:rPr>
        <w:t xml:space="preserve">novirzīšana </w:t>
      </w:r>
      <w:r w:rsidRPr="00DF3356">
        <w:rPr>
          <w:rFonts w:eastAsia="Calibri"/>
        </w:rPr>
        <w:t>vidēja termiņa budžeta prioritārajiem attīstības virzieniem</w:t>
      </w:r>
      <w:r>
        <w:rPr>
          <w:rFonts w:eastAsia="Calibri"/>
        </w:rPr>
        <w:t xml:space="preserve">, kas </w:t>
      </w:r>
      <w:r w:rsidRPr="009713B8">
        <w:rPr>
          <w:rFonts w:eastAsia="Calibri"/>
        </w:rPr>
        <w:t>likumā „Par vidēja termiņa budžeta ietvaru 2014., 2015. un 2016.gadam”</w:t>
      </w:r>
      <w:r>
        <w:rPr>
          <w:rFonts w:eastAsia="Calibri"/>
        </w:rPr>
        <w:t xml:space="preserve"> tika definēti saskaņā ar:</w:t>
      </w:r>
    </w:p>
    <w:p w14:paraId="472F2A32" w14:textId="062C53F6" w:rsidR="00154514" w:rsidRPr="009D33DC" w:rsidRDefault="00154514" w:rsidP="00561179">
      <w:pPr>
        <w:pStyle w:val="ListParagraph"/>
        <w:numPr>
          <w:ilvl w:val="0"/>
          <w:numId w:val="22"/>
        </w:numPr>
        <w:spacing w:after="120" w:line="240" w:lineRule="auto"/>
        <w:ind w:left="1281" w:hanging="357"/>
        <w:jc w:val="both"/>
        <w:rPr>
          <w:rFonts w:ascii="Times New Roman" w:eastAsia="Calibri" w:hAnsi="Times New Roman"/>
          <w:sz w:val="24"/>
        </w:rPr>
      </w:pPr>
      <w:r w:rsidRPr="009D33DC">
        <w:rPr>
          <w:rFonts w:ascii="Times New Roman" w:eastAsia="Calibri" w:hAnsi="Times New Roman"/>
          <w:sz w:val="24"/>
        </w:rPr>
        <w:t xml:space="preserve">Latvijas </w:t>
      </w:r>
      <w:r w:rsidR="00585C80">
        <w:rPr>
          <w:rFonts w:ascii="Times New Roman" w:eastAsia="Calibri" w:hAnsi="Times New Roman"/>
          <w:sz w:val="24"/>
          <w:lang w:val="lv-LV"/>
        </w:rPr>
        <w:t>Nacionālo attīstības plānu 2014.-2020.gadam</w:t>
      </w:r>
      <w:r w:rsidRPr="009D33DC">
        <w:rPr>
          <w:rFonts w:ascii="Times New Roman" w:eastAsia="Calibri" w:hAnsi="Times New Roman"/>
          <w:sz w:val="24"/>
        </w:rPr>
        <w:t xml:space="preserve">, kurā ir noteiktas trīs prioritātes – tautsaimniecības izaugsme, cilvēka </w:t>
      </w:r>
      <w:proofErr w:type="spellStart"/>
      <w:r w:rsidRPr="009D33DC">
        <w:rPr>
          <w:rFonts w:ascii="Times New Roman" w:eastAsia="Calibri" w:hAnsi="Times New Roman"/>
          <w:sz w:val="24"/>
        </w:rPr>
        <w:t>drošumspēja</w:t>
      </w:r>
      <w:proofErr w:type="spellEnd"/>
      <w:r w:rsidRPr="009D33DC">
        <w:rPr>
          <w:rFonts w:ascii="Times New Roman" w:eastAsia="Calibri" w:hAnsi="Times New Roman"/>
          <w:sz w:val="24"/>
        </w:rPr>
        <w:t xml:space="preserve"> un reģionālā attīstība;</w:t>
      </w:r>
    </w:p>
    <w:p w14:paraId="7772AB15" w14:textId="77777777" w:rsidR="00154514" w:rsidRPr="009D33DC" w:rsidRDefault="00154514" w:rsidP="00561179">
      <w:pPr>
        <w:pStyle w:val="ListParagraph"/>
        <w:numPr>
          <w:ilvl w:val="0"/>
          <w:numId w:val="22"/>
        </w:numPr>
        <w:spacing w:after="120" w:line="240" w:lineRule="auto"/>
        <w:ind w:left="1281" w:hanging="357"/>
        <w:jc w:val="both"/>
        <w:rPr>
          <w:rFonts w:ascii="Times New Roman" w:eastAsia="Calibri" w:hAnsi="Times New Roman"/>
          <w:sz w:val="24"/>
        </w:rPr>
      </w:pPr>
      <w:r w:rsidRPr="009D33DC">
        <w:rPr>
          <w:rFonts w:ascii="Times New Roman" w:eastAsia="Calibri" w:hAnsi="Times New Roman"/>
          <w:sz w:val="24"/>
        </w:rPr>
        <w:t xml:space="preserve">Valsts aizsardzības koncepciju; </w:t>
      </w:r>
    </w:p>
    <w:p w14:paraId="051A4C8E" w14:textId="5771A1D4" w:rsidR="00154514" w:rsidRPr="009D33DC" w:rsidRDefault="00154514" w:rsidP="00561179">
      <w:pPr>
        <w:pStyle w:val="ListParagraph"/>
        <w:numPr>
          <w:ilvl w:val="0"/>
          <w:numId w:val="22"/>
        </w:numPr>
        <w:spacing w:after="120" w:line="240" w:lineRule="auto"/>
        <w:ind w:left="1281" w:hanging="357"/>
        <w:jc w:val="both"/>
        <w:rPr>
          <w:rFonts w:ascii="Times New Roman" w:eastAsia="Calibri" w:hAnsi="Times New Roman"/>
          <w:sz w:val="24"/>
        </w:rPr>
      </w:pPr>
      <w:r w:rsidRPr="009D33DC">
        <w:rPr>
          <w:rFonts w:ascii="Times New Roman" w:eastAsia="Calibri" w:hAnsi="Times New Roman"/>
          <w:sz w:val="24"/>
        </w:rPr>
        <w:t>Citām politikas iniciatīvām, lai risinātu atalgojuma jautājumus valsts sektorā strādājošajiem, finansējuma nodrošināšanu zinātnes attīstībai, kultūrvides attīstīb</w:t>
      </w:r>
      <w:r w:rsidR="00585C80">
        <w:rPr>
          <w:rFonts w:ascii="Times New Roman" w:eastAsia="Calibri" w:hAnsi="Times New Roman"/>
          <w:sz w:val="24"/>
          <w:lang w:val="lv-LV"/>
        </w:rPr>
        <w:t>ai</w:t>
      </w:r>
      <w:r w:rsidRPr="009D33DC">
        <w:rPr>
          <w:rFonts w:ascii="Times New Roman" w:eastAsia="Calibri" w:hAnsi="Times New Roman"/>
          <w:sz w:val="24"/>
        </w:rPr>
        <w:t>.</w:t>
      </w:r>
    </w:p>
    <w:p w14:paraId="66BA5689" w14:textId="316A0B79" w:rsidR="00813106" w:rsidRDefault="00154514" w:rsidP="002123CA">
      <w:pPr>
        <w:spacing w:after="0"/>
        <w:ind w:firstLine="0"/>
        <w:jc w:val="right"/>
        <w:rPr>
          <w:rFonts w:eastAsia="Calibri"/>
          <w:b/>
          <w:color w:val="000000"/>
          <w:szCs w:val="24"/>
        </w:rPr>
      </w:pPr>
      <w:r>
        <w:rPr>
          <w:rFonts w:eastAsia="Calibri"/>
          <w:b/>
          <w:color w:val="000000"/>
          <w:szCs w:val="24"/>
        </w:rPr>
        <w:t>3.4</w:t>
      </w:r>
      <w:r w:rsidRPr="00383DBE">
        <w:rPr>
          <w:rFonts w:eastAsia="Calibri"/>
          <w:b/>
          <w:color w:val="000000"/>
          <w:szCs w:val="24"/>
        </w:rPr>
        <w:t>.</w:t>
      </w:r>
      <w:r w:rsidR="00EA0A2F">
        <w:rPr>
          <w:rFonts w:eastAsia="Calibri"/>
          <w:b/>
          <w:color w:val="000000"/>
          <w:szCs w:val="24"/>
        </w:rPr>
        <w:t xml:space="preserve"> </w:t>
      </w:r>
      <w:r w:rsidRPr="00383DBE">
        <w:rPr>
          <w:rFonts w:eastAsia="Calibri"/>
          <w:b/>
          <w:color w:val="000000"/>
          <w:szCs w:val="24"/>
        </w:rPr>
        <w:t>tabula. Jomas, kurām visbūtiskāk palielināts finansējuma (virs 10 milj</w:t>
      </w:r>
      <w:r w:rsidR="00585C80">
        <w:rPr>
          <w:rFonts w:eastAsia="Calibri"/>
          <w:b/>
          <w:color w:val="000000"/>
          <w:szCs w:val="24"/>
        </w:rPr>
        <w:t>.</w:t>
      </w:r>
      <w:r w:rsidR="00585C80" w:rsidRPr="00585C80">
        <w:rPr>
          <w:rFonts w:eastAsia="Calibri"/>
          <w:b/>
          <w:color w:val="000000"/>
          <w:szCs w:val="24"/>
        </w:rPr>
        <w:t xml:space="preserve"> </w:t>
      </w:r>
      <w:r w:rsidR="002123CA">
        <w:rPr>
          <w:rFonts w:eastAsia="Calibri"/>
          <w:b/>
          <w:color w:val="000000"/>
          <w:szCs w:val="24"/>
        </w:rPr>
        <w:t>lati</w:t>
      </w:r>
      <w:r w:rsidRPr="00383DBE">
        <w:rPr>
          <w:rFonts w:eastAsia="Calibri"/>
          <w:b/>
          <w:color w:val="000000"/>
          <w:szCs w:val="24"/>
        </w:rPr>
        <w:t>) un būtiskākie izdevumus palielinoši pasākumi</w:t>
      </w:r>
    </w:p>
    <w:tbl>
      <w:tblPr>
        <w:tblW w:w="9067"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665"/>
        <w:gridCol w:w="975"/>
        <w:gridCol w:w="1140"/>
        <w:gridCol w:w="1287"/>
      </w:tblGrid>
      <w:tr w:rsidR="00813106" w:rsidRPr="00813106" w14:paraId="53E07371" w14:textId="77777777" w:rsidTr="002926A6">
        <w:trPr>
          <w:trHeight w:val="300"/>
        </w:trPr>
        <w:tc>
          <w:tcPr>
            <w:tcW w:w="5665" w:type="dxa"/>
            <w:shd w:val="clear" w:color="auto" w:fill="auto"/>
            <w:vAlign w:val="center"/>
            <w:hideMark/>
          </w:tcPr>
          <w:p w14:paraId="3A47C017" w14:textId="77777777" w:rsidR="00813106" w:rsidRPr="00A56F8E" w:rsidRDefault="00813106" w:rsidP="004B74A0">
            <w:pPr>
              <w:spacing w:after="0"/>
              <w:ind w:firstLine="0"/>
              <w:contextualSpacing/>
              <w:jc w:val="center"/>
              <w:rPr>
                <w:b/>
                <w:bCs/>
                <w:color w:val="000000"/>
                <w:sz w:val="20"/>
                <w:lang w:eastAsia="lv-LV"/>
              </w:rPr>
            </w:pPr>
            <w:r w:rsidRPr="00A56F8E">
              <w:rPr>
                <w:b/>
                <w:bCs/>
                <w:color w:val="000000"/>
                <w:sz w:val="20"/>
                <w:lang w:eastAsia="lv-LV"/>
              </w:rPr>
              <w:t>Joma</w:t>
            </w:r>
          </w:p>
        </w:tc>
        <w:tc>
          <w:tcPr>
            <w:tcW w:w="975" w:type="dxa"/>
            <w:shd w:val="clear" w:color="auto" w:fill="auto"/>
            <w:vAlign w:val="center"/>
            <w:hideMark/>
          </w:tcPr>
          <w:p w14:paraId="6DA105C0" w14:textId="77777777" w:rsidR="00813106" w:rsidRPr="00A56F8E" w:rsidRDefault="00813106" w:rsidP="004B74A0">
            <w:pPr>
              <w:spacing w:after="0"/>
              <w:ind w:firstLine="0"/>
              <w:contextualSpacing/>
              <w:jc w:val="center"/>
              <w:rPr>
                <w:b/>
                <w:bCs/>
                <w:color w:val="000000"/>
                <w:sz w:val="20"/>
                <w:lang w:eastAsia="lv-LV"/>
              </w:rPr>
            </w:pPr>
            <w:r w:rsidRPr="00A56F8E">
              <w:rPr>
                <w:b/>
                <w:bCs/>
                <w:color w:val="000000"/>
                <w:sz w:val="20"/>
                <w:lang w:eastAsia="lv-LV"/>
              </w:rPr>
              <w:t>2014</w:t>
            </w:r>
          </w:p>
        </w:tc>
        <w:tc>
          <w:tcPr>
            <w:tcW w:w="1140" w:type="dxa"/>
            <w:shd w:val="clear" w:color="auto" w:fill="auto"/>
            <w:vAlign w:val="center"/>
            <w:hideMark/>
          </w:tcPr>
          <w:p w14:paraId="55668DF6" w14:textId="77777777" w:rsidR="00813106" w:rsidRPr="00A56F8E" w:rsidRDefault="00813106" w:rsidP="004B74A0">
            <w:pPr>
              <w:spacing w:after="0"/>
              <w:ind w:firstLine="0"/>
              <w:contextualSpacing/>
              <w:jc w:val="center"/>
              <w:rPr>
                <w:b/>
                <w:bCs/>
                <w:color w:val="000000"/>
                <w:sz w:val="20"/>
                <w:lang w:eastAsia="lv-LV"/>
              </w:rPr>
            </w:pPr>
            <w:r w:rsidRPr="00A56F8E">
              <w:rPr>
                <w:b/>
                <w:bCs/>
                <w:color w:val="000000"/>
                <w:sz w:val="20"/>
                <w:lang w:eastAsia="lv-LV"/>
              </w:rPr>
              <w:t>2015</w:t>
            </w:r>
          </w:p>
        </w:tc>
        <w:tc>
          <w:tcPr>
            <w:tcW w:w="1287" w:type="dxa"/>
            <w:shd w:val="clear" w:color="auto" w:fill="auto"/>
            <w:vAlign w:val="center"/>
            <w:hideMark/>
          </w:tcPr>
          <w:p w14:paraId="5A60EFE8" w14:textId="77777777" w:rsidR="00813106" w:rsidRPr="00A56F8E" w:rsidRDefault="00813106" w:rsidP="004B74A0">
            <w:pPr>
              <w:spacing w:after="0"/>
              <w:ind w:firstLine="0"/>
              <w:contextualSpacing/>
              <w:jc w:val="center"/>
              <w:rPr>
                <w:b/>
                <w:bCs/>
                <w:color w:val="000000"/>
                <w:sz w:val="20"/>
                <w:lang w:eastAsia="lv-LV"/>
              </w:rPr>
            </w:pPr>
            <w:r w:rsidRPr="00A56F8E">
              <w:rPr>
                <w:b/>
                <w:bCs/>
                <w:color w:val="000000"/>
                <w:sz w:val="20"/>
                <w:lang w:eastAsia="lv-LV"/>
              </w:rPr>
              <w:t>2016</w:t>
            </w:r>
          </w:p>
        </w:tc>
      </w:tr>
      <w:tr w:rsidR="00813106" w:rsidRPr="00813106" w14:paraId="5DAB8CCD" w14:textId="77777777" w:rsidTr="002926A6">
        <w:trPr>
          <w:trHeight w:val="300"/>
        </w:trPr>
        <w:tc>
          <w:tcPr>
            <w:tcW w:w="5665" w:type="dxa"/>
            <w:shd w:val="clear" w:color="auto" w:fill="auto"/>
            <w:hideMark/>
          </w:tcPr>
          <w:p w14:paraId="64B99FEC"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Satiksme</w:t>
            </w:r>
          </w:p>
        </w:tc>
        <w:tc>
          <w:tcPr>
            <w:tcW w:w="975" w:type="dxa"/>
            <w:shd w:val="clear" w:color="auto" w:fill="auto"/>
            <w:hideMark/>
          </w:tcPr>
          <w:p w14:paraId="403913D3"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44,7</w:t>
            </w:r>
          </w:p>
        </w:tc>
        <w:tc>
          <w:tcPr>
            <w:tcW w:w="1140" w:type="dxa"/>
            <w:shd w:val="clear" w:color="auto" w:fill="auto"/>
            <w:hideMark/>
          </w:tcPr>
          <w:p w14:paraId="68BA5F7D"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47,3</w:t>
            </w:r>
          </w:p>
        </w:tc>
        <w:tc>
          <w:tcPr>
            <w:tcW w:w="1287" w:type="dxa"/>
            <w:shd w:val="clear" w:color="auto" w:fill="auto"/>
            <w:hideMark/>
          </w:tcPr>
          <w:p w14:paraId="50EE3672"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65,8</w:t>
            </w:r>
          </w:p>
        </w:tc>
      </w:tr>
      <w:tr w:rsidR="00813106" w:rsidRPr="00813106" w14:paraId="61B1E4BD" w14:textId="77777777" w:rsidTr="0011050B">
        <w:trPr>
          <w:trHeight w:val="250"/>
        </w:trPr>
        <w:tc>
          <w:tcPr>
            <w:tcW w:w="5665" w:type="dxa"/>
            <w:shd w:val="clear" w:color="auto" w:fill="auto"/>
            <w:hideMark/>
          </w:tcPr>
          <w:p w14:paraId="19458910"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Autoceļu sakārtošanas programmai 2014.-2020.gadam</w:t>
            </w:r>
          </w:p>
        </w:tc>
        <w:tc>
          <w:tcPr>
            <w:tcW w:w="975" w:type="dxa"/>
            <w:shd w:val="clear" w:color="auto" w:fill="auto"/>
            <w:hideMark/>
          </w:tcPr>
          <w:p w14:paraId="1BA7F691"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30,8</w:t>
            </w:r>
          </w:p>
        </w:tc>
        <w:tc>
          <w:tcPr>
            <w:tcW w:w="1140" w:type="dxa"/>
            <w:shd w:val="clear" w:color="auto" w:fill="auto"/>
            <w:hideMark/>
          </w:tcPr>
          <w:p w14:paraId="15AAE4A8"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47,0</w:t>
            </w:r>
          </w:p>
        </w:tc>
        <w:tc>
          <w:tcPr>
            <w:tcW w:w="1287" w:type="dxa"/>
            <w:shd w:val="clear" w:color="auto" w:fill="auto"/>
            <w:hideMark/>
          </w:tcPr>
          <w:p w14:paraId="5812BB8D"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65,5</w:t>
            </w:r>
          </w:p>
        </w:tc>
      </w:tr>
      <w:tr w:rsidR="00813106" w:rsidRPr="00813106" w14:paraId="0B30A3C0" w14:textId="77777777" w:rsidTr="002926A6">
        <w:trPr>
          <w:trHeight w:val="300"/>
        </w:trPr>
        <w:tc>
          <w:tcPr>
            <w:tcW w:w="5665" w:type="dxa"/>
            <w:shd w:val="clear" w:color="auto" w:fill="auto"/>
            <w:hideMark/>
          </w:tcPr>
          <w:p w14:paraId="00A122AC"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Veselība</w:t>
            </w:r>
          </w:p>
        </w:tc>
        <w:tc>
          <w:tcPr>
            <w:tcW w:w="975" w:type="dxa"/>
            <w:shd w:val="clear" w:color="auto" w:fill="auto"/>
            <w:hideMark/>
          </w:tcPr>
          <w:p w14:paraId="40BBC533"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42,0</w:t>
            </w:r>
          </w:p>
        </w:tc>
        <w:tc>
          <w:tcPr>
            <w:tcW w:w="1140" w:type="dxa"/>
            <w:shd w:val="clear" w:color="auto" w:fill="auto"/>
            <w:hideMark/>
          </w:tcPr>
          <w:p w14:paraId="7E890F84"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48,9</w:t>
            </w:r>
          </w:p>
        </w:tc>
        <w:tc>
          <w:tcPr>
            <w:tcW w:w="1287" w:type="dxa"/>
            <w:shd w:val="clear" w:color="auto" w:fill="auto"/>
            <w:hideMark/>
          </w:tcPr>
          <w:p w14:paraId="6B252606"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51,0</w:t>
            </w:r>
          </w:p>
        </w:tc>
      </w:tr>
      <w:tr w:rsidR="00813106" w:rsidRPr="00813106" w14:paraId="387C9DD1" w14:textId="77777777" w:rsidTr="002926A6">
        <w:trPr>
          <w:trHeight w:val="279"/>
        </w:trPr>
        <w:tc>
          <w:tcPr>
            <w:tcW w:w="5665" w:type="dxa"/>
            <w:shd w:val="clear" w:color="auto" w:fill="auto"/>
            <w:hideMark/>
          </w:tcPr>
          <w:p w14:paraId="6406C20F"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ārstniecības personu darba samaksas paaugstināšanai</w:t>
            </w:r>
          </w:p>
        </w:tc>
        <w:tc>
          <w:tcPr>
            <w:tcW w:w="975" w:type="dxa"/>
            <w:shd w:val="clear" w:color="auto" w:fill="auto"/>
            <w:hideMark/>
          </w:tcPr>
          <w:p w14:paraId="724F93F6"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22,0</w:t>
            </w:r>
          </w:p>
        </w:tc>
        <w:tc>
          <w:tcPr>
            <w:tcW w:w="1140" w:type="dxa"/>
            <w:shd w:val="clear" w:color="auto" w:fill="auto"/>
            <w:hideMark/>
          </w:tcPr>
          <w:p w14:paraId="71EC2E63"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22,0</w:t>
            </w:r>
          </w:p>
        </w:tc>
        <w:tc>
          <w:tcPr>
            <w:tcW w:w="1287" w:type="dxa"/>
            <w:shd w:val="clear" w:color="auto" w:fill="auto"/>
            <w:hideMark/>
          </w:tcPr>
          <w:p w14:paraId="0CBC8D12"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22,0</w:t>
            </w:r>
          </w:p>
        </w:tc>
      </w:tr>
      <w:tr w:rsidR="00813106" w:rsidRPr="00813106" w14:paraId="3FD5ED34" w14:textId="77777777" w:rsidTr="002926A6">
        <w:trPr>
          <w:trHeight w:val="300"/>
        </w:trPr>
        <w:tc>
          <w:tcPr>
            <w:tcW w:w="5665" w:type="dxa"/>
            <w:shd w:val="clear" w:color="auto" w:fill="auto"/>
            <w:hideMark/>
          </w:tcPr>
          <w:p w14:paraId="1FBF3032"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Ekonomikas attīstība</w:t>
            </w:r>
          </w:p>
        </w:tc>
        <w:tc>
          <w:tcPr>
            <w:tcW w:w="975" w:type="dxa"/>
            <w:shd w:val="clear" w:color="auto" w:fill="auto"/>
            <w:hideMark/>
          </w:tcPr>
          <w:p w14:paraId="04A8BCC5"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34,9</w:t>
            </w:r>
          </w:p>
        </w:tc>
        <w:tc>
          <w:tcPr>
            <w:tcW w:w="1140" w:type="dxa"/>
            <w:shd w:val="clear" w:color="auto" w:fill="auto"/>
            <w:hideMark/>
          </w:tcPr>
          <w:p w14:paraId="585E736F"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49,8</w:t>
            </w:r>
          </w:p>
        </w:tc>
        <w:tc>
          <w:tcPr>
            <w:tcW w:w="1287" w:type="dxa"/>
            <w:shd w:val="clear" w:color="auto" w:fill="auto"/>
            <w:hideMark/>
          </w:tcPr>
          <w:p w14:paraId="3A7F470F"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58,2</w:t>
            </w:r>
          </w:p>
        </w:tc>
      </w:tr>
      <w:tr w:rsidR="00813106" w:rsidRPr="00813106" w14:paraId="25DBBF61" w14:textId="77777777" w:rsidTr="0011050B">
        <w:trPr>
          <w:trHeight w:val="367"/>
        </w:trPr>
        <w:tc>
          <w:tcPr>
            <w:tcW w:w="5665" w:type="dxa"/>
            <w:shd w:val="clear" w:color="auto" w:fill="auto"/>
            <w:hideMark/>
          </w:tcPr>
          <w:p w14:paraId="0CF9CD2B"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Elektroenerģijas ražošanas atbalsta fonda (EAF) izveide konkurētspējīgas elektroenerģijas kopējās cenas nodrošināšanai</w:t>
            </w:r>
          </w:p>
        </w:tc>
        <w:tc>
          <w:tcPr>
            <w:tcW w:w="975" w:type="dxa"/>
            <w:shd w:val="clear" w:color="auto" w:fill="auto"/>
            <w:hideMark/>
          </w:tcPr>
          <w:p w14:paraId="6640A5F6"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29,3</w:t>
            </w:r>
          </w:p>
        </w:tc>
        <w:tc>
          <w:tcPr>
            <w:tcW w:w="1140" w:type="dxa"/>
            <w:shd w:val="clear" w:color="auto" w:fill="auto"/>
            <w:hideMark/>
          </w:tcPr>
          <w:p w14:paraId="592BC92C"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47,7</w:t>
            </w:r>
          </w:p>
        </w:tc>
        <w:tc>
          <w:tcPr>
            <w:tcW w:w="1287" w:type="dxa"/>
            <w:shd w:val="clear" w:color="auto" w:fill="auto"/>
            <w:hideMark/>
          </w:tcPr>
          <w:p w14:paraId="7FD19205"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56,1</w:t>
            </w:r>
          </w:p>
        </w:tc>
      </w:tr>
      <w:tr w:rsidR="00813106" w:rsidRPr="00813106" w14:paraId="44824229" w14:textId="77777777" w:rsidTr="002926A6">
        <w:trPr>
          <w:trHeight w:val="300"/>
        </w:trPr>
        <w:tc>
          <w:tcPr>
            <w:tcW w:w="5665" w:type="dxa"/>
            <w:shd w:val="clear" w:color="auto" w:fill="auto"/>
            <w:hideMark/>
          </w:tcPr>
          <w:p w14:paraId="7A49C5ED"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Labklājība</w:t>
            </w:r>
          </w:p>
        </w:tc>
        <w:tc>
          <w:tcPr>
            <w:tcW w:w="975" w:type="dxa"/>
            <w:shd w:val="clear" w:color="auto" w:fill="auto"/>
            <w:hideMark/>
          </w:tcPr>
          <w:p w14:paraId="7B3AFF31"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26,3</w:t>
            </w:r>
          </w:p>
        </w:tc>
        <w:tc>
          <w:tcPr>
            <w:tcW w:w="1140" w:type="dxa"/>
            <w:shd w:val="clear" w:color="auto" w:fill="auto"/>
            <w:hideMark/>
          </w:tcPr>
          <w:p w14:paraId="215D02CC"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57,9</w:t>
            </w:r>
          </w:p>
        </w:tc>
        <w:tc>
          <w:tcPr>
            <w:tcW w:w="1287" w:type="dxa"/>
            <w:shd w:val="clear" w:color="auto" w:fill="auto"/>
            <w:hideMark/>
          </w:tcPr>
          <w:p w14:paraId="084119AA"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56,1</w:t>
            </w:r>
          </w:p>
        </w:tc>
      </w:tr>
      <w:tr w:rsidR="00813106" w:rsidRPr="00813106" w14:paraId="6AFBF383" w14:textId="77777777" w:rsidTr="002926A6">
        <w:trPr>
          <w:trHeight w:val="300"/>
        </w:trPr>
        <w:tc>
          <w:tcPr>
            <w:tcW w:w="5665" w:type="dxa"/>
            <w:shd w:val="clear" w:color="auto" w:fill="auto"/>
            <w:hideMark/>
          </w:tcPr>
          <w:p w14:paraId="5430E999"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demogrāfijas pasākumu īstenošanai</w:t>
            </w:r>
          </w:p>
        </w:tc>
        <w:tc>
          <w:tcPr>
            <w:tcW w:w="975" w:type="dxa"/>
            <w:shd w:val="clear" w:color="auto" w:fill="auto"/>
            <w:hideMark/>
          </w:tcPr>
          <w:p w14:paraId="737E7017"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9,0</w:t>
            </w:r>
          </w:p>
        </w:tc>
        <w:tc>
          <w:tcPr>
            <w:tcW w:w="1140" w:type="dxa"/>
            <w:shd w:val="clear" w:color="auto" w:fill="auto"/>
            <w:hideMark/>
          </w:tcPr>
          <w:p w14:paraId="549F1691"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32,1</w:t>
            </w:r>
          </w:p>
        </w:tc>
        <w:tc>
          <w:tcPr>
            <w:tcW w:w="1287" w:type="dxa"/>
            <w:shd w:val="clear" w:color="auto" w:fill="auto"/>
            <w:hideMark/>
          </w:tcPr>
          <w:p w14:paraId="7631AE63"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29,1</w:t>
            </w:r>
          </w:p>
        </w:tc>
      </w:tr>
      <w:tr w:rsidR="00813106" w:rsidRPr="00813106" w14:paraId="36FECF89" w14:textId="77777777" w:rsidTr="0011050B">
        <w:trPr>
          <w:trHeight w:val="254"/>
        </w:trPr>
        <w:tc>
          <w:tcPr>
            <w:tcW w:w="5665" w:type="dxa"/>
            <w:shd w:val="clear" w:color="auto" w:fill="auto"/>
            <w:hideMark/>
          </w:tcPr>
          <w:p w14:paraId="5EB9E9FD"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valsts sociālajiem pabalstiem personām ar invaliditāti</w:t>
            </w:r>
          </w:p>
        </w:tc>
        <w:tc>
          <w:tcPr>
            <w:tcW w:w="975" w:type="dxa"/>
            <w:shd w:val="clear" w:color="auto" w:fill="auto"/>
            <w:hideMark/>
          </w:tcPr>
          <w:p w14:paraId="1D52836D"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6,7</w:t>
            </w:r>
          </w:p>
        </w:tc>
        <w:tc>
          <w:tcPr>
            <w:tcW w:w="1140" w:type="dxa"/>
            <w:shd w:val="clear" w:color="auto" w:fill="auto"/>
            <w:hideMark/>
          </w:tcPr>
          <w:p w14:paraId="0188B163"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14,0</w:t>
            </w:r>
          </w:p>
        </w:tc>
        <w:tc>
          <w:tcPr>
            <w:tcW w:w="1287" w:type="dxa"/>
            <w:shd w:val="clear" w:color="auto" w:fill="auto"/>
            <w:hideMark/>
          </w:tcPr>
          <w:p w14:paraId="7409CCB2"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14,7</w:t>
            </w:r>
          </w:p>
        </w:tc>
      </w:tr>
      <w:tr w:rsidR="00813106" w:rsidRPr="00813106" w14:paraId="6FF1C406" w14:textId="77777777" w:rsidTr="002926A6">
        <w:trPr>
          <w:trHeight w:val="300"/>
        </w:trPr>
        <w:tc>
          <w:tcPr>
            <w:tcW w:w="5665" w:type="dxa"/>
            <w:shd w:val="clear" w:color="auto" w:fill="auto"/>
            <w:hideMark/>
          </w:tcPr>
          <w:p w14:paraId="686C9E59"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Kultūra</w:t>
            </w:r>
          </w:p>
        </w:tc>
        <w:tc>
          <w:tcPr>
            <w:tcW w:w="975" w:type="dxa"/>
            <w:shd w:val="clear" w:color="auto" w:fill="auto"/>
            <w:hideMark/>
          </w:tcPr>
          <w:p w14:paraId="2A03A588"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19,4</w:t>
            </w:r>
          </w:p>
        </w:tc>
        <w:tc>
          <w:tcPr>
            <w:tcW w:w="1140" w:type="dxa"/>
            <w:shd w:val="clear" w:color="auto" w:fill="auto"/>
            <w:hideMark/>
          </w:tcPr>
          <w:p w14:paraId="68F22D24"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21,8</w:t>
            </w:r>
          </w:p>
        </w:tc>
        <w:tc>
          <w:tcPr>
            <w:tcW w:w="1287" w:type="dxa"/>
            <w:shd w:val="clear" w:color="auto" w:fill="auto"/>
            <w:hideMark/>
          </w:tcPr>
          <w:p w14:paraId="2DBABD02"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24,6</w:t>
            </w:r>
          </w:p>
        </w:tc>
      </w:tr>
      <w:tr w:rsidR="00813106" w:rsidRPr="00813106" w14:paraId="6CB15AA6" w14:textId="77777777" w:rsidTr="002926A6">
        <w:trPr>
          <w:trHeight w:val="300"/>
        </w:trPr>
        <w:tc>
          <w:tcPr>
            <w:tcW w:w="5665" w:type="dxa"/>
            <w:shd w:val="clear" w:color="auto" w:fill="auto"/>
            <w:hideMark/>
          </w:tcPr>
          <w:p w14:paraId="28FA1344"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Izglītība un zinātne</w:t>
            </w:r>
          </w:p>
        </w:tc>
        <w:tc>
          <w:tcPr>
            <w:tcW w:w="975" w:type="dxa"/>
            <w:shd w:val="clear" w:color="auto" w:fill="auto"/>
            <w:hideMark/>
          </w:tcPr>
          <w:p w14:paraId="1CC1DF90"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17,1</w:t>
            </w:r>
          </w:p>
        </w:tc>
        <w:tc>
          <w:tcPr>
            <w:tcW w:w="1140" w:type="dxa"/>
            <w:shd w:val="clear" w:color="auto" w:fill="auto"/>
            <w:hideMark/>
          </w:tcPr>
          <w:p w14:paraId="54AA5235"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28,4</w:t>
            </w:r>
          </w:p>
        </w:tc>
        <w:tc>
          <w:tcPr>
            <w:tcW w:w="1287" w:type="dxa"/>
            <w:shd w:val="clear" w:color="auto" w:fill="auto"/>
            <w:hideMark/>
          </w:tcPr>
          <w:p w14:paraId="25208C41"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35,0</w:t>
            </w:r>
          </w:p>
        </w:tc>
      </w:tr>
      <w:tr w:rsidR="00813106" w:rsidRPr="00813106" w14:paraId="109F568A" w14:textId="77777777" w:rsidTr="002926A6">
        <w:trPr>
          <w:trHeight w:val="300"/>
        </w:trPr>
        <w:tc>
          <w:tcPr>
            <w:tcW w:w="5665" w:type="dxa"/>
            <w:shd w:val="clear" w:color="auto" w:fill="auto"/>
            <w:hideMark/>
          </w:tcPr>
          <w:p w14:paraId="6AEF859E"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zinātnes bāzes finansējuma palielināšanai</w:t>
            </w:r>
          </w:p>
        </w:tc>
        <w:tc>
          <w:tcPr>
            <w:tcW w:w="975" w:type="dxa"/>
            <w:shd w:val="clear" w:color="auto" w:fill="auto"/>
            <w:noWrap/>
            <w:hideMark/>
          </w:tcPr>
          <w:p w14:paraId="01E5ED39"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4,4</w:t>
            </w:r>
          </w:p>
        </w:tc>
        <w:tc>
          <w:tcPr>
            <w:tcW w:w="1140" w:type="dxa"/>
            <w:shd w:val="clear" w:color="auto" w:fill="auto"/>
            <w:noWrap/>
            <w:hideMark/>
          </w:tcPr>
          <w:p w14:paraId="6CCA49B1"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12,2</w:t>
            </w:r>
          </w:p>
        </w:tc>
        <w:tc>
          <w:tcPr>
            <w:tcW w:w="1287" w:type="dxa"/>
            <w:shd w:val="clear" w:color="auto" w:fill="auto"/>
            <w:noWrap/>
            <w:hideMark/>
          </w:tcPr>
          <w:p w14:paraId="277A0F07"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16,4</w:t>
            </w:r>
          </w:p>
        </w:tc>
      </w:tr>
      <w:tr w:rsidR="00813106" w:rsidRPr="00813106" w14:paraId="29F3BE5D" w14:textId="77777777" w:rsidTr="002926A6">
        <w:trPr>
          <w:trHeight w:val="300"/>
        </w:trPr>
        <w:tc>
          <w:tcPr>
            <w:tcW w:w="5665" w:type="dxa"/>
            <w:shd w:val="clear" w:color="auto" w:fill="auto"/>
            <w:hideMark/>
          </w:tcPr>
          <w:p w14:paraId="4BC79B30"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Aizsardzība</w:t>
            </w:r>
          </w:p>
        </w:tc>
        <w:tc>
          <w:tcPr>
            <w:tcW w:w="975" w:type="dxa"/>
            <w:shd w:val="clear" w:color="auto" w:fill="auto"/>
            <w:hideMark/>
          </w:tcPr>
          <w:p w14:paraId="43995CF9"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16,0</w:t>
            </w:r>
          </w:p>
        </w:tc>
        <w:tc>
          <w:tcPr>
            <w:tcW w:w="1140" w:type="dxa"/>
            <w:shd w:val="clear" w:color="auto" w:fill="auto"/>
            <w:hideMark/>
          </w:tcPr>
          <w:p w14:paraId="6D90A2CE"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36,2</w:t>
            </w:r>
          </w:p>
        </w:tc>
        <w:tc>
          <w:tcPr>
            <w:tcW w:w="1287" w:type="dxa"/>
            <w:shd w:val="clear" w:color="auto" w:fill="auto"/>
            <w:hideMark/>
          </w:tcPr>
          <w:p w14:paraId="60C2BDAF"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41,0</w:t>
            </w:r>
          </w:p>
        </w:tc>
      </w:tr>
      <w:tr w:rsidR="00813106" w:rsidRPr="00813106" w14:paraId="06CE06B5" w14:textId="77777777" w:rsidTr="002926A6">
        <w:trPr>
          <w:trHeight w:val="300"/>
        </w:trPr>
        <w:tc>
          <w:tcPr>
            <w:tcW w:w="5665" w:type="dxa"/>
            <w:shd w:val="clear" w:color="auto" w:fill="auto"/>
            <w:hideMark/>
          </w:tcPr>
          <w:p w14:paraId="06DABCD2" w14:textId="77777777" w:rsidR="00813106" w:rsidRPr="00A56F8E" w:rsidRDefault="00813106" w:rsidP="004B74A0">
            <w:pPr>
              <w:spacing w:after="0"/>
              <w:ind w:firstLine="0"/>
              <w:contextualSpacing/>
              <w:jc w:val="left"/>
              <w:rPr>
                <w:b/>
                <w:bCs/>
                <w:color w:val="000000"/>
                <w:sz w:val="20"/>
                <w:lang w:eastAsia="lv-LV"/>
              </w:rPr>
            </w:pPr>
            <w:proofErr w:type="spellStart"/>
            <w:r w:rsidRPr="00A56F8E">
              <w:rPr>
                <w:b/>
                <w:bCs/>
                <w:color w:val="000000"/>
                <w:sz w:val="20"/>
                <w:lang w:eastAsia="lv-LV"/>
              </w:rPr>
              <w:t>Iekšlietas</w:t>
            </w:r>
            <w:proofErr w:type="spellEnd"/>
          </w:p>
        </w:tc>
        <w:tc>
          <w:tcPr>
            <w:tcW w:w="975" w:type="dxa"/>
            <w:shd w:val="clear" w:color="auto" w:fill="auto"/>
            <w:hideMark/>
          </w:tcPr>
          <w:p w14:paraId="108A7F43"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13,9</w:t>
            </w:r>
          </w:p>
        </w:tc>
        <w:tc>
          <w:tcPr>
            <w:tcW w:w="1140" w:type="dxa"/>
            <w:shd w:val="clear" w:color="auto" w:fill="auto"/>
            <w:hideMark/>
          </w:tcPr>
          <w:p w14:paraId="2C40DEF2"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17,9</w:t>
            </w:r>
          </w:p>
        </w:tc>
        <w:tc>
          <w:tcPr>
            <w:tcW w:w="1287" w:type="dxa"/>
            <w:shd w:val="clear" w:color="auto" w:fill="auto"/>
            <w:hideMark/>
          </w:tcPr>
          <w:p w14:paraId="4FB5A6D5"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32,4</w:t>
            </w:r>
          </w:p>
        </w:tc>
      </w:tr>
      <w:tr w:rsidR="00813106" w:rsidRPr="00813106" w14:paraId="0D9B3A7A" w14:textId="77777777" w:rsidTr="002926A6">
        <w:trPr>
          <w:trHeight w:val="300"/>
        </w:trPr>
        <w:tc>
          <w:tcPr>
            <w:tcW w:w="5665" w:type="dxa"/>
            <w:shd w:val="clear" w:color="auto" w:fill="auto"/>
            <w:hideMark/>
          </w:tcPr>
          <w:p w14:paraId="28E4129D" w14:textId="77777777" w:rsidR="00813106" w:rsidRPr="00A56F8E" w:rsidRDefault="00813106" w:rsidP="004B74A0">
            <w:pPr>
              <w:spacing w:after="0"/>
              <w:ind w:firstLine="0"/>
              <w:contextualSpacing/>
              <w:jc w:val="left"/>
              <w:rPr>
                <w:b/>
                <w:bCs/>
                <w:color w:val="000000"/>
                <w:sz w:val="20"/>
                <w:lang w:eastAsia="lv-LV"/>
              </w:rPr>
            </w:pPr>
            <w:r w:rsidRPr="00A56F8E">
              <w:rPr>
                <w:b/>
                <w:bCs/>
                <w:color w:val="000000"/>
                <w:sz w:val="20"/>
                <w:lang w:eastAsia="lv-LV"/>
              </w:rPr>
              <w:t>Finanses</w:t>
            </w:r>
          </w:p>
        </w:tc>
        <w:tc>
          <w:tcPr>
            <w:tcW w:w="975" w:type="dxa"/>
            <w:shd w:val="clear" w:color="auto" w:fill="auto"/>
            <w:hideMark/>
          </w:tcPr>
          <w:p w14:paraId="50AAE81A"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9,2</w:t>
            </w:r>
          </w:p>
        </w:tc>
        <w:tc>
          <w:tcPr>
            <w:tcW w:w="1140" w:type="dxa"/>
            <w:shd w:val="clear" w:color="auto" w:fill="auto"/>
            <w:hideMark/>
          </w:tcPr>
          <w:p w14:paraId="479709D5"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29,6</w:t>
            </w:r>
          </w:p>
        </w:tc>
        <w:tc>
          <w:tcPr>
            <w:tcW w:w="1287" w:type="dxa"/>
            <w:shd w:val="clear" w:color="auto" w:fill="auto"/>
            <w:hideMark/>
          </w:tcPr>
          <w:p w14:paraId="086108CC" w14:textId="77777777" w:rsidR="00813106" w:rsidRPr="00A56F8E" w:rsidRDefault="00813106" w:rsidP="004B74A0">
            <w:pPr>
              <w:spacing w:after="0"/>
              <w:ind w:firstLine="0"/>
              <w:contextualSpacing/>
              <w:jc w:val="right"/>
              <w:rPr>
                <w:b/>
                <w:bCs/>
                <w:color w:val="000000"/>
                <w:sz w:val="20"/>
                <w:lang w:eastAsia="lv-LV"/>
              </w:rPr>
            </w:pPr>
            <w:r w:rsidRPr="00A56F8E">
              <w:rPr>
                <w:b/>
                <w:bCs/>
                <w:color w:val="000000"/>
                <w:sz w:val="20"/>
                <w:lang w:eastAsia="lv-LV"/>
              </w:rPr>
              <w:t>18,7</w:t>
            </w:r>
          </w:p>
        </w:tc>
      </w:tr>
      <w:tr w:rsidR="00813106" w:rsidRPr="00813106" w14:paraId="222844C8" w14:textId="77777777" w:rsidTr="002926A6">
        <w:trPr>
          <w:trHeight w:val="300"/>
        </w:trPr>
        <w:tc>
          <w:tcPr>
            <w:tcW w:w="5665" w:type="dxa"/>
            <w:shd w:val="clear" w:color="auto" w:fill="auto"/>
            <w:hideMark/>
          </w:tcPr>
          <w:p w14:paraId="171F0EEC" w14:textId="77777777" w:rsidR="00813106" w:rsidRPr="00A56F8E" w:rsidRDefault="00813106" w:rsidP="004B74A0">
            <w:pPr>
              <w:spacing w:after="0"/>
              <w:ind w:firstLineChars="200" w:firstLine="400"/>
              <w:contextualSpacing/>
              <w:jc w:val="left"/>
              <w:rPr>
                <w:i/>
                <w:iCs/>
                <w:color w:val="000000"/>
                <w:sz w:val="20"/>
                <w:lang w:eastAsia="lv-LV"/>
              </w:rPr>
            </w:pPr>
            <w:r w:rsidRPr="00A56F8E">
              <w:rPr>
                <w:i/>
                <w:iCs/>
                <w:color w:val="000000"/>
                <w:sz w:val="20"/>
                <w:lang w:eastAsia="lv-LV"/>
              </w:rPr>
              <w:t>t.sk. nodokļu iekasēšanas uzlabošanai</w:t>
            </w:r>
          </w:p>
        </w:tc>
        <w:tc>
          <w:tcPr>
            <w:tcW w:w="975" w:type="dxa"/>
            <w:shd w:val="clear" w:color="auto" w:fill="auto"/>
            <w:hideMark/>
          </w:tcPr>
          <w:p w14:paraId="1D8C3AD8"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3,6</w:t>
            </w:r>
          </w:p>
        </w:tc>
        <w:tc>
          <w:tcPr>
            <w:tcW w:w="1140" w:type="dxa"/>
            <w:shd w:val="clear" w:color="auto" w:fill="auto"/>
            <w:hideMark/>
          </w:tcPr>
          <w:p w14:paraId="27BA3268"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20,0</w:t>
            </w:r>
          </w:p>
        </w:tc>
        <w:tc>
          <w:tcPr>
            <w:tcW w:w="1287" w:type="dxa"/>
            <w:shd w:val="clear" w:color="auto" w:fill="auto"/>
            <w:hideMark/>
          </w:tcPr>
          <w:p w14:paraId="2D2C93A1" w14:textId="77777777" w:rsidR="00813106" w:rsidRPr="00A56F8E" w:rsidRDefault="00813106" w:rsidP="004B74A0">
            <w:pPr>
              <w:spacing w:after="0"/>
              <w:ind w:firstLine="0"/>
              <w:contextualSpacing/>
              <w:jc w:val="right"/>
              <w:rPr>
                <w:i/>
                <w:iCs/>
                <w:color w:val="000000"/>
                <w:sz w:val="20"/>
                <w:lang w:eastAsia="lv-LV"/>
              </w:rPr>
            </w:pPr>
            <w:r w:rsidRPr="00A56F8E">
              <w:rPr>
                <w:i/>
                <w:iCs/>
                <w:color w:val="000000"/>
                <w:sz w:val="20"/>
                <w:lang w:eastAsia="lv-LV"/>
              </w:rPr>
              <w:t>10,0</w:t>
            </w:r>
          </w:p>
        </w:tc>
      </w:tr>
    </w:tbl>
    <w:p w14:paraId="1B1FCE7D" w14:textId="77777777" w:rsidR="004B74A0" w:rsidRDefault="004B74A0" w:rsidP="00154514">
      <w:pPr>
        <w:rPr>
          <w:rFonts w:eastAsia="Calibri"/>
          <w:color w:val="000000"/>
          <w:szCs w:val="24"/>
        </w:rPr>
      </w:pPr>
    </w:p>
    <w:p w14:paraId="4FBE8738" w14:textId="4666E129" w:rsidR="00154514" w:rsidRPr="00433EFD" w:rsidRDefault="00154514" w:rsidP="00154514">
      <w:pPr>
        <w:rPr>
          <w:rFonts w:eastAsia="Calibri"/>
          <w:color w:val="000000"/>
          <w:szCs w:val="24"/>
        </w:rPr>
      </w:pPr>
      <w:r>
        <w:rPr>
          <w:rFonts w:eastAsia="Calibri"/>
          <w:color w:val="000000"/>
          <w:szCs w:val="24"/>
        </w:rPr>
        <w:t xml:space="preserve">Īstenojot otro rīcības virzienu </w:t>
      </w:r>
      <w:r w:rsidRPr="00AD2F2B">
        <w:rPr>
          <w:rFonts w:eastAsia="Calibri"/>
          <w:color w:val="000000"/>
          <w:szCs w:val="24"/>
        </w:rPr>
        <w:t>iedzīvotāju</w:t>
      </w:r>
      <w:r>
        <w:rPr>
          <w:rFonts w:eastAsia="Calibri"/>
          <w:color w:val="000000"/>
          <w:szCs w:val="24"/>
        </w:rPr>
        <w:t xml:space="preserve"> dzīves kvalitātes nodrošināšanai</w:t>
      </w:r>
      <w:r w:rsidRPr="00AD2F2B">
        <w:rPr>
          <w:rFonts w:eastAsia="Calibri"/>
          <w:color w:val="000000"/>
          <w:szCs w:val="24"/>
        </w:rPr>
        <w:t xml:space="preserve"> un valsts ekonomikas attīstības veicināšan</w:t>
      </w:r>
      <w:r>
        <w:rPr>
          <w:rFonts w:eastAsia="Calibri"/>
          <w:color w:val="000000"/>
          <w:szCs w:val="24"/>
        </w:rPr>
        <w:t>ai,</w:t>
      </w:r>
      <w:r w:rsidRPr="00AD2F2B">
        <w:rPr>
          <w:rFonts w:eastAsia="Calibri"/>
          <w:color w:val="000000"/>
          <w:szCs w:val="24"/>
        </w:rPr>
        <w:t xml:space="preserve"> </w:t>
      </w:r>
      <w:r w:rsidR="00585C80">
        <w:rPr>
          <w:rFonts w:eastAsia="Calibri"/>
          <w:color w:val="000000"/>
          <w:szCs w:val="24"/>
        </w:rPr>
        <w:t>būtiski ir atzīmēt, ka</w:t>
      </w:r>
      <w:r>
        <w:rPr>
          <w:rFonts w:eastAsia="Calibri"/>
          <w:color w:val="000000"/>
          <w:szCs w:val="24"/>
        </w:rPr>
        <w:t xml:space="preserve"> tas ir jāskata kopā ar nodokļu politikas lēmumiem, jo Latvija tradicionāli ir valsts ar relatīvi zemu nodokļu slogu un </w:t>
      </w:r>
      <w:r w:rsidRPr="008C7BAF">
        <w:rPr>
          <w:rFonts w:eastAsia="Calibri"/>
          <w:color w:val="000000"/>
          <w:szCs w:val="24"/>
        </w:rPr>
        <w:t xml:space="preserve">nodokļu ieņēmumu attiecība pret IKP ir viena no zemākajām </w:t>
      </w:r>
      <w:r>
        <w:rPr>
          <w:rFonts w:eastAsia="Calibri"/>
          <w:color w:val="000000"/>
          <w:szCs w:val="24"/>
        </w:rPr>
        <w:t>ES</w:t>
      </w:r>
      <w:r w:rsidRPr="008C7BAF">
        <w:rPr>
          <w:rFonts w:eastAsia="Calibri"/>
          <w:color w:val="000000"/>
          <w:szCs w:val="24"/>
        </w:rPr>
        <w:t xml:space="preserve"> un pašreiz spēkā esošās nodokļu politikas prognozes liecina, ka turpmākajos gados nodokļu ieņēmumu attiecība pret IKP turpinās samazināties.</w:t>
      </w:r>
      <w:r>
        <w:rPr>
          <w:rFonts w:eastAsia="Calibri"/>
          <w:color w:val="000000"/>
          <w:szCs w:val="24"/>
        </w:rPr>
        <w:t xml:space="preserve"> </w:t>
      </w:r>
    </w:p>
    <w:p w14:paraId="5B563FE4" w14:textId="77777777" w:rsidR="00154514" w:rsidRPr="008C7BAF" w:rsidRDefault="00154514" w:rsidP="00154514">
      <w:pPr>
        <w:jc w:val="center"/>
        <w:rPr>
          <w:rFonts w:eastAsia="Calibri"/>
          <w:color w:val="000000"/>
          <w:szCs w:val="24"/>
        </w:rPr>
      </w:pPr>
      <w:r w:rsidRPr="00360A93">
        <w:rPr>
          <w:rFonts w:eastAsia="Calibri"/>
          <w:noProof/>
          <w:lang w:eastAsia="lv-LV"/>
        </w:rPr>
        <w:drawing>
          <wp:inline distT="0" distB="0" distL="0" distR="0" wp14:anchorId="2BB9D04B" wp14:editId="7F5553A8">
            <wp:extent cx="4795283" cy="2963724"/>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19780" cy="2978864"/>
                    </a:xfrm>
                    <a:prstGeom prst="rect">
                      <a:avLst/>
                    </a:prstGeom>
                    <a:noFill/>
                    <a:ln>
                      <a:noFill/>
                    </a:ln>
                  </pic:spPr>
                </pic:pic>
              </a:graphicData>
            </a:graphic>
          </wp:inline>
        </w:drawing>
      </w:r>
    </w:p>
    <w:p w14:paraId="16DDF1C9" w14:textId="049A4FBF" w:rsidR="00154514" w:rsidRPr="009D6B3B" w:rsidRDefault="00154514" w:rsidP="00154514">
      <w:pPr>
        <w:jc w:val="center"/>
        <w:rPr>
          <w:rFonts w:eastAsia="Calibri"/>
          <w:b/>
          <w:color w:val="000000"/>
          <w:szCs w:val="24"/>
        </w:rPr>
      </w:pPr>
      <w:r w:rsidRPr="009D6B3B">
        <w:rPr>
          <w:rFonts w:eastAsia="Calibri"/>
          <w:b/>
          <w:color w:val="000000"/>
          <w:szCs w:val="24"/>
        </w:rPr>
        <w:t>3.3. att</w:t>
      </w:r>
      <w:r w:rsidR="00EA0A2F">
        <w:rPr>
          <w:rFonts w:eastAsia="Calibri"/>
          <w:b/>
          <w:color w:val="000000"/>
          <w:szCs w:val="24"/>
        </w:rPr>
        <w:t>ēls</w:t>
      </w:r>
      <w:r w:rsidRPr="009D6B3B">
        <w:rPr>
          <w:rFonts w:eastAsia="Calibri"/>
          <w:b/>
          <w:color w:val="000000"/>
          <w:szCs w:val="24"/>
        </w:rPr>
        <w:t xml:space="preserve">. Nodokļu </w:t>
      </w:r>
      <w:r w:rsidR="005F533F">
        <w:rPr>
          <w:rFonts w:eastAsia="Calibri"/>
          <w:b/>
          <w:color w:val="000000"/>
          <w:szCs w:val="24"/>
        </w:rPr>
        <w:t xml:space="preserve">slogs </w:t>
      </w:r>
      <w:r w:rsidR="005F533F" w:rsidRPr="00CD2C2E">
        <w:rPr>
          <w:rFonts w:eastAsia="Calibri"/>
          <w:b/>
          <w:color w:val="000000"/>
          <w:szCs w:val="24"/>
        </w:rPr>
        <w:t>% no IKP</w:t>
      </w:r>
      <w:r w:rsidR="00561179" w:rsidRPr="00CD2C2E">
        <w:rPr>
          <w:rStyle w:val="FootnoteReference"/>
          <w:rFonts w:ascii="Times New Roman" w:eastAsia="Calibri" w:hAnsi="Times New Roman"/>
          <w:b/>
          <w:color w:val="000000"/>
          <w:sz w:val="24"/>
          <w:szCs w:val="24"/>
        </w:rPr>
        <w:footnoteReference w:id="8"/>
      </w:r>
    </w:p>
    <w:p w14:paraId="5B916B55" w14:textId="65823538" w:rsidR="00154514" w:rsidRPr="00774822" w:rsidRDefault="00154514" w:rsidP="00154514">
      <w:pPr>
        <w:rPr>
          <w:rFonts w:eastAsia="Calibri"/>
          <w:color w:val="000000"/>
          <w:szCs w:val="24"/>
        </w:rPr>
      </w:pPr>
      <w:r>
        <w:rPr>
          <w:rFonts w:eastAsia="Calibri"/>
          <w:color w:val="000000"/>
          <w:szCs w:val="24"/>
        </w:rPr>
        <w:t xml:space="preserve">Līdz ar to, pieņemot lēmumu par darbaspēka nodokļa samazināšanu, Latvija </w:t>
      </w:r>
      <w:r w:rsidR="00585C80">
        <w:rPr>
          <w:rFonts w:eastAsia="Calibri"/>
          <w:color w:val="000000"/>
          <w:szCs w:val="24"/>
        </w:rPr>
        <w:t>vidējā termiņā</w:t>
      </w:r>
      <w:r>
        <w:rPr>
          <w:rFonts w:eastAsia="Calibri"/>
          <w:color w:val="000000"/>
          <w:szCs w:val="24"/>
        </w:rPr>
        <w:t xml:space="preserve"> kā galveno prioritāti ir izvēlējusies ekonomikas attīstību. Šajā situācijā publiski pieejamie resursi relatīvi pret IKP ir ievērojami zemāki</w:t>
      </w:r>
      <w:r w:rsidR="00E44F32">
        <w:rPr>
          <w:rFonts w:eastAsia="Calibri"/>
          <w:color w:val="000000"/>
          <w:szCs w:val="24"/>
        </w:rPr>
        <w:t xml:space="preserve"> </w:t>
      </w:r>
      <w:r w:rsidR="005F533F">
        <w:rPr>
          <w:rFonts w:eastAsia="Calibri"/>
          <w:color w:val="000000"/>
          <w:szCs w:val="24"/>
        </w:rPr>
        <w:t>ne</w:t>
      </w:r>
      <w:r>
        <w:rPr>
          <w:rFonts w:eastAsia="Calibri"/>
          <w:color w:val="000000"/>
          <w:szCs w:val="24"/>
        </w:rPr>
        <w:t>kā citās ES valstīs, padarot sarežģītu uzdevumu atrast finanšu resursus valsts sniegto pakalpojumu attīstībai atbilstoši ES pieņemtajiem standartiem.</w:t>
      </w:r>
    </w:p>
    <w:p w14:paraId="20E8CDB9" w14:textId="77777777" w:rsidR="00A56F8E" w:rsidRDefault="00A56F8E" w:rsidP="00154514">
      <w:pPr>
        <w:pStyle w:val="teksts"/>
        <w:rPr>
          <w:rFonts w:ascii="Times New Roman" w:hAnsi="Times New Roman"/>
          <w:b/>
          <w:color w:val="000000"/>
          <w:szCs w:val="24"/>
        </w:rPr>
      </w:pPr>
    </w:p>
    <w:p w14:paraId="6565D131" w14:textId="4746DC23" w:rsidR="00154514" w:rsidRDefault="00154514" w:rsidP="00154514">
      <w:pPr>
        <w:pStyle w:val="teksts"/>
        <w:ind w:firstLine="567"/>
        <w:rPr>
          <w:rFonts w:ascii="Times New Roman" w:eastAsia="Calibri" w:hAnsi="Times New Roman"/>
          <w:b/>
          <w:color w:val="000000"/>
          <w:szCs w:val="24"/>
        </w:rPr>
      </w:pPr>
      <w:r w:rsidRPr="002371CA">
        <w:rPr>
          <w:rFonts w:ascii="Times New Roman" w:hAnsi="Times New Roman"/>
          <w:b/>
          <w:color w:val="000000"/>
          <w:szCs w:val="24"/>
        </w:rPr>
        <w:t xml:space="preserve">Fiskāli nozīmīgākās strukturālās reformas </w:t>
      </w:r>
      <w:r w:rsidRPr="002371CA">
        <w:rPr>
          <w:rFonts w:ascii="Times New Roman" w:eastAsia="Calibri" w:hAnsi="Times New Roman"/>
          <w:b/>
          <w:color w:val="000000"/>
          <w:szCs w:val="24"/>
        </w:rPr>
        <w:t>Regu</w:t>
      </w:r>
      <w:r w:rsidR="00561179">
        <w:rPr>
          <w:rFonts w:ascii="Times New Roman" w:eastAsia="Calibri" w:hAnsi="Times New Roman"/>
          <w:b/>
          <w:color w:val="000000"/>
          <w:szCs w:val="24"/>
        </w:rPr>
        <w:t>las N</w:t>
      </w:r>
      <w:r w:rsidRPr="002371CA">
        <w:rPr>
          <w:rFonts w:ascii="Times New Roman" w:eastAsia="Calibri" w:hAnsi="Times New Roman"/>
          <w:b/>
          <w:color w:val="000000"/>
          <w:szCs w:val="24"/>
        </w:rPr>
        <w:t>r. 1175/2011 izpratnē</w:t>
      </w:r>
    </w:p>
    <w:p w14:paraId="29C856B0" w14:textId="1A2DF253" w:rsidR="00154514" w:rsidRPr="002371CA" w:rsidRDefault="00585C80" w:rsidP="00561179">
      <w:pPr>
        <w:spacing w:after="0"/>
        <w:contextualSpacing/>
        <w:rPr>
          <w:szCs w:val="24"/>
        </w:rPr>
      </w:pPr>
      <w:r>
        <w:rPr>
          <w:szCs w:val="24"/>
        </w:rPr>
        <w:t>Fiskāli ietilpīgākā strukturālā reforma ir saistīta</w:t>
      </w:r>
      <w:r w:rsidR="00154514" w:rsidRPr="002371CA">
        <w:rPr>
          <w:szCs w:val="24"/>
        </w:rPr>
        <w:t xml:space="preserve"> ar pensi</w:t>
      </w:r>
      <w:r w:rsidR="00154514">
        <w:rPr>
          <w:szCs w:val="24"/>
        </w:rPr>
        <w:t xml:space="preserve">ju sistēmas pilnveidošanu. </w:t>
      </w:r>
      <w:r w:rsidR="00154514" w:rsidRPr="002371CA">
        <w:rPr>
          <w:szCs w:val="24"/>
        </w:rPr>
        <w:t>2012.gadā tika veikti grozījumi likumā „Par valsts pensijām”, kas paredz:</w:t>
      </w:r>
    </w:p>
    <w:p w14:paraId="384FCC8C" w14:textId="77777777" w:rsidR="00E44F32" w:rsidRDefault="00154514" w:rsidP="00E44F32">
      <w:pPr>
        <w:pStyle w:val="ListParagraph"/>
        <w:numPr>
          <w:ilvl w:val="0"/>
          <w:numId w:val="44"/>
        </w:numPr>
        <w:spacing w:after="120" w:line="240" w:lineRule="auto"/>
        <w:jc w:val="both"/>
        <w:rPr>
          <w:rFonts w:ascii="Times New Roman" w:hAnsi="Times New Roman"/>
          <w:sz w:val="24"/>
          <w:szCs w:val="24"/>
        </w:rPr>
      </w:pPr>
      <w:r w:rsidRPr="002371CA">
        <w:rPr>
          <w:rFonts w:ascii="Times New Roman" w:hAnsi="Times New Roman"/>
          <w:sz w:val="24"/>
          <w:szCs w:val="24"/>
        </w:rPr>
        <w:t>Pensionēšanās vecuma pakāpenisku paaugstināšanu līdz 65 gadiem: ar 2014.gada 1.janvāri palielinājums katru gadu par 3 mēnešiem, sasniedzot pensionēšanās vecumu 65 gadi no 2025.gada 1.janvāra.</w:t>
      </w:r>
    </w:p>
    <w:p w14:paraId="2A22C50B" w14:textId="6FB6139F" w:rsidR="00154514" w:rsidRPr="00E44F32" w:rsidRDefault="00154514" w:rsidP="00E44F32">
      <w:pPr>
        <w:pStyle w:val="ListParagraph"/>
        <w:numPr>
          <w:ilvl w:val="0"/>
          <w:numId w:val="44"/>
        </w:numPr>
        <w:spacing w:after="120" w:line="240" w:lineRule="auto"/>
        <w:jc w:val="both"/>
        <w:rPr>
          <w:rFonts w:ascii="Times New Roman" w:hAnsi="Times New Roman"/>
          <w:sz w:val="24"/>
          <w:szCs w:val="24"/>
        </w:rPr>
      </w:pPr>
      <w:r w:rsidRPr="00E44F32">
        <w:rPr>
          <w:rFonts w:ascii="Times New Roman" w:hAnsi="Times New Roman"/>
          <w:sz w:val="24"/>
          <w:szCs w:val="24"/>
        </w:rPr>
        <w:t>Vienlaicīgi ar pensionēšanās vecuma paaugstināšanu, priekšlaicīgās pensionēšanās vecuma paaugstināšanu</w:t>
      </w:r>
      <w:r w:rsidR="00585C80">
        <w:rPr>
          <w:rFonts w:ascii="Times New Roman" w:hAnsi="Times New Roman"/>
          <w:sz w:val="24"/>
          <w:szCs w:val="24"/>
          <w:lang w:val="lv-LV"/>
        </w:rPr>
        <w:t>,</w:t>
      </w:r>
      <w:r w:rsidRPr="00E44F32">
        <w:rPr>
          <w:rFonts w:ascii="Times New Roman" w:hAnsi="Times New Roman"/>
          <w:sz w:val="24"/>
          <w:szCs w:val="24"/>
        </w:rPr>
        <w:t xml:space="preserve"> sākot ar 2014.gada 1.janvāri.</w:t>
      </w:r>
    </w:p>
    <w:p w14:paraId="12EE1243" w14:textId="77777777" w:rsidR="00154514" w:rsidRPr="002371CA" w:rsidRDefault="00154514" w:rsidP="00585C80">
      <w:pPr>
        <w:pStyle w:val="ListParagraph"/>
        <w:numPr>
          <w:ilvl w:val="0"/>
          <w:numId w:val="44"/>
        </w:numPr>
        <w:spacing w:after="120" w:line="240" w:lineRule="auto"/>
        <w:jc w:val="both"/>
        <w:rPr>
          <w:rFonts w:ascii="Times New Roman" w:hAnsi="Times New Roman"/>
          <w:sz w:val="24"/>
          <w:szCs w:val="24"/>
        </w:rPr>
      </w:pPr>
      <w:r w:rsidRPr="002371CA">
        <w:rPr>
          <w:rFonts w:ascii="Times New Roman" w:hAnsi="Times New Roman"/>
          <w:sz w:val="24"/>
          <w:szCs w:val="24"/>
        </w:rPr>
        <w:t>Minimālā apdrošināšanas stāža palielināšanu tiesībām uz valsts vecuma pensiju līdz 15 gadiem, sākot ar 2014.gada 1.janvāri, un līdz 20 gadiem, sākot ar 2025.gada 1.janvāri.</w:t>
      </w:r>
    </w:p>
    <w:p w14:paraId="523F50F5" w14:textId="77777777" w:rsidR="00154514" w:rsidRPr="002371CA" w:rsidRDefault="00154514" w:rsidP="00154514">
      <w:pPr>
        <w:spacing w:after="0"/>
        <w:ind w:firstLine="720"/>
        <w:contextualSpacing/>
        <w:rPr>
          <w:szCs w:val="24"/>
        </w:rPr>
      </w:pPr>
      <w:r w:rsidRPr="002371CA">
        <w:rPr>
          <w:szCs w:val="24"/>
        </w:rPr>
        <w:t xml:space="preserve">Tāpat 2012.gadā tika veikti grozījumi Valsts </w:t>
      </w:r>
      <w:r w:rsidRPr="002371CA">
        <w:rPr>
          <w:noProof/>
          <w:szCs w:val="24"/>
        </w:rPr>
        <w:t>fondēto</w:t>
      </w:r>
      <w:r w:rsidRPr="002371CA">
        <w:rPr>
          <w:szCs w:val="24"/>
        </w:rPr>
        <w:t xml:space="preserve"> pensiju likumā, kas paredz pakāpeniskāku iemaksu likmes paaugstināšanu pensiju sistēmas 2.līmenī, t.i. 2013.-2014.gadā 4%, 2015.gadā 5% un 2016.gadā 6%.</w:t>
      </w:r>
    </w:p>
    <w:p w14:paraId="62119ED1" w14:textId="7C6AC1C4" w:rsidR="00154514" w:rsidRPr="002371CA" w:rsidRDefault="00154514" w:rsidP="00154514">
      <w:pPr>
        <w:spacing w:after="0"/>
        <w:ind w:firstLine="720"/>
        <w:contextualSpacing/>
        <w:rPr>
          <w:szCs w:val="24"/>
        </w:rPr>
      </w:pPr>
      <w:r w:rsidRPr="002371CA">
        <w:rPr>
          <w:szCs w:val="24"/>
        </w:rPr>
        <w:t xml:space="preserve">2014.gada 3.aprīlī Saeima </w:t>
      </w:r>
      <w:r w:rsidR="00585C80">
        <w:rPr>
          <w:szCs w:val="24"/>
        </w:rPr>
        <w:t>apstiprināja</w:t>
      </w:r>
      <w:r w:rsidRPr="002371CA">
        <w:rPr>
          <w:szCs w:val="24"/>
        </w:rPr>
        <w:t xml:space="preserve"> likumu „Grozījumi likumā „Par valsts pensijām””, saskaņā ar kuru ir stājušās spēkā izmaiņas pensiju indeksācijas kārtībā, kas paredz:</w:t>
      </w:r>
    </w:p>
    <w:p w14:paraId="37F246AA" w14:textId="2A71799A" w:rsidR="0037075E" w:rsidRDefault="00154514" w:rsidP="0037075E">
      <w:pPr>
        <w:pStyle w:val="ListParagraph"/>
        <w:numPr>
          <w:ilvl w:val="0"/>
          <w:numId w:val="42"/>
        </w:numPr>
        <w:spacing w:after="120" w:line="240" w:lineRule="auto"/>
        <w:jc w:val="both"/>
        <w:rPr>
          <w:rFonts w:ascii="Times New Roman" w:hAnsi="Times New Roman"/>
          <w:color w:val="000000"/>
          <w:sz w:val="24"/>
          <w:szCs w:val="24"/>
        </w:rPr>
      </w:pPr>
      <w:r w:rsidRPr="002371CA">
        <w:rPr>
          <w:rFonts w:ascii="Times New Roman" w:hAnsi="Times New Roman"/>
          <w:color w:val="000000"/>
          <w:sz w:val="24"/>
          <w:szCs w:val="24"/>
        </w:rPr>
        <w:t>2014.gada 1.oktobrī indeksēt valsts pensijas vai tās daļas apmēru, kas nepārsniedz 285 </w:t>
      </w:r>
      <w:proofErr w:type="spellStart"/>
      <w:r w:rsidR="00CD2C2E">
        <w:rPr>
          <w:rFonts w:ascii="Times New Roman" w:hAnsi="Times New Roman"/>
          <w:i/>
          <w:color w:val="000000"/>
          <w:sz w:val="24"/>
          <w:szCs w:val="24"/>
          <w:lang w:val="lv-LV"/>
        </w:rPr>
        <w:t>euro</w:t>
      </w:r>
      <w:proofErr w:type="spellEnd"/>
      <w:r w:rsidRPr="002371CA">
        <w:rPr>
          <w:rFonts w:ascii="Times New Roman" w:hAnsi="Times New Roman"/>
          <w:color w:val="000000"/>
          <w:sz w:val="24"/>
          <w:szCs w:val="24"/>
        </w:rPr>
        <w:t>, ņemot vērā faktisko patēriņa cenu indeksu un 25% no apdrošināšanas iemaksu algas reālā pieauguma procentiem.</w:t>
      </w:r>
    </w:p>
    <w:p w14:paraId="7126236B" w14:textId="018CA113" w:rsidR="00154514" w:rsidRPr="0037075E" w:rsidRDefault="00154514" w:rsidP="0037075E">
      <w:pPr>
        <w:pStyle w:val="ListParagraph"/>
        <w:numPr>
          <w:ilvl w:val="0"/>
          <w:numId w:val="42"/>
        </w:numPr>
        <w:spacing w:after="120" w:line="240" w:lineRule="auto"/>
        <w:jc w:val="both"/>
        <w:rPr>
          <w:rFonts w:ascii="Times New Roman" w:hAnsi="Times New Roman"/>
          <w:color w:val="000000"/>
          <w:sz w:val="24"/>
          <w:szCs w:val="24"/>
        </w:rPr>
      </w:pPr>
      <w:r w:rsidRPr="0037075E">
        <w:rPr>
          <w:rFonts w:ascii="Times New Roman" w:hAnsi="Times New Roman"/>
          <w:color w:val="000000"/>
          <w:sz w:val="24"/>
          <w:szCs w:val="24"/>
        </w:rPr>
        <w:t xml:space="preserve">turpmāk indeksēt reizi gadā 1.oktobrī valsts pensijas vai tās daļas apmēru, kas nepārsniedz 50% no iepriekšējā kalendārā gada vidējās apdrošināšanas iemaksu algas valstī (noapaļotu līdz veseliem </w:t>
      </w:r>
      <w:proofErr w:type="spellStart"/>
      <w:r w:rsidR="00CD2C2E">
        <w:rPr>
          <w:rFonts w:ascii="Times New Roman" w:hAnsi="Times New Roman"/>
          <w:i/>
          <w:color w:val="000000"/>
          <w:sz w:val="24"/>
          <w:szCs w:val="24"/>
          <w:lang w:val="lv-LV"/>
        </w:rPr>
        <w:t>euro</w:t>
      </w:r>
      <w:proofErr w:type="spellEnd"/>
      <w:r w:rsidRPr="0037075E">
        <w:rPr>
          <w:rFonts w:ascii="Times New Roman" w:hAnsi="Times New Roman"/>
          <w:color w:val="000000"/>
          <w:sz w:val="24"/>
          <w:szCs w:val="24"/>
        </w:rPr>
        <w:t>), ņemot vērā faktisko patēriņa cenu indeksu un 25% no apdrošināšanas iemaksu algas reālā pieauguma procentiem.</w:t>
      </w:r>
    </w:p>
    <w:p w14:paraId="5F29AA58" w14:textId="77777777" w:rsidR="00154514" w:rsidRDefault="00154514" w:rsidP="00154514">
      <w:pPr>
        <w:pStyle w:val="teksts"/>
        <w:rPr>
          <w:rFonts w:ascii="Times New Roman" w:hAnsi="Times New Roman"/>
          <w:b/>
          <w:color w:val="000000"/>
        </w:rPr>
      </w:pPr>
    </w:p>
    <w:p w14:paraId="5C78D027" w14:textId="77777777" w:rsidR="00154514" w:rsidRPr="005776DA" w:rsidRDefault="00154514" w:rsidP="00154514">
      <w:pPr>
        <w:pStyle w:val="teksts"/>
        <w:ind w:firstLine="709"/>
        <w:rPr>
          <w:rFonts w:ascii="Times New Roman" w:hAnsi="Times New Roman"/>
          <w:b/>
          <w:color w:val="000000"/>
        </w:rPr>
      </w:pPr>
      <w:r>
        <w:rPr>
          <w:rFonts w:ascii="Times New Roman" w:hAnsi="Times New Roman"/>
          <w:b/>
          <w:color w:val="000000"/>
        </w:rPr>
        <w:t>Turpmākie pasākumi</w:t>
      </w:r>
    </w:p>
    <w:p w14:paraId="21D64E5F" w14:textId="59BFD707" w:rsidR="00154514" w:rsidRPr="007279D9" w:rsidRDefault="00154514" w:rsidP="00154514">
      <w:pPr>
        <w:pStyle w:val="teksts"/>
        <w:ind w:firstLine="709"/>
        <w:rPr>
          <w:rFonts w:ascii="Times New Roman" w:eastAsia="Calibri" w:hAnsi="Times New Roman"/>
          <w:color w:val="000000"/>
          <w:szCs w:val="24"/>
        </w:rPr>
      </w:pPr>
      <w:r w:rsidRPr="005776DA">
        <w:rPr>
          <w:rFonts w:ascii="Times New Roman" w:eastAsia="Calibri" w:hAnsi="Times New Roman"/>
          <w:color w:val="000000"/>
          <w:szCs w:val="24"/>
        </w:rPr>
        <w:t xml:space="preserve">Fiskālās prognozes rāda, ka centrālās valdības izdevumu apjoms saskaņā ar apstiprinātajiem bāzes izdevumiem ir zemāks par maksimāli iespējamo centrālās valdības izdevumu apjomu, kas aprēķināts saskaņā ar </w:t>
      </w:r>
      <w:proofErr w:type="spellStart"/>
      <w:r w:rsidRPr="005776DA">
        <w:rPr>
          <w:rFonts w:ascii="Times New Roman" w:eastAsia="Calibri" w:hAnsi="Times New Roman"/>
          <w:i/>
          <w:color w:val="000000"/>
        </w:rPr>
        <w:t>augšupvērsto</w:t>
      </w:r>
      <w:proofErr w:type="spellEnd"/>
      <w:r w:rsidRPr="005776DA">
        <w:rPr>
          <w:rFonts w:ascii="Times New Roman" w:eastAsia="Calibri" w:hAnsi="Times New Roman"/>
          <w:i/>
          <w:color w:val="000000"/>
        </w:rPr>
        <w:t xml:space="preserve"> izdevumu plānošanas </w:t>
      </w:r>
      <w:r w:rsidRPr="005776DA">
        <w:rPr>
          <w:rFonts w:ascii="Times New Roman" w:eastAsia="Calibri" w:hAnsi="Times New Roman"/>
          <w:color w:val="000000"/>
          <w:szCs w:val="24"/>
        </w:rPr>
        <w:t>pieeju</w:t>
      </w:r>
      <w:r w:rsidRPr="005776DA">
        <w:rPr>
          <w:rFonts w:ascii="Times New Roman" w:eastAsia="Calibri" w:hAnsi="Times New Roman"/>
          <w:color w:val="000000"/>
        </w:rPr>
        <w:t>.</w:t>
      </w:r>
      <w:r w:rsidRPr="005776DA">
        <w:rPr>
          <w:rFonts w:ascii="Times New Roman" w:eastAsia="Calibri" w:hAnsi="Times New Roman"/>
          <w:color w:val="000000"/>
          <w:szCs w:val="24"/>
        </w:rPr>
        <w:t xml:space="preserve"> Saskaņā ar pašreizējiem aprēķiniem šī starpība</w:t>
      </w:r>
      <w:r>
        <w:rPr>
          <w:rFonts w:ascii="Times New Roman" w:eastAsia="Calibri" w:hAnsi="Times New Roman"/>
          <w:color w:val="000000"/>
          <w:szCs w:val="24"/>
        </w:rPr>
        <w:t>, jeb tā saucamā fiskālā telpa</w:t>
      </w:r>
      <w:r w:rsidRPr="005776DA">
        <w:rPr>
          <w:rFonts w:ascii="Times New Roman" w:eastAsia="Calibri" w:hAnsi="Times New Roman"/>
          <w:color w:val="000000"/>
          <w:szCs w:val="24"/>
        </w:rPr>
        <w:t xml:space="preserve"> </w:t>
      </w:r>
      <w:r w:rsidRPr="005776DA">
        <w:rPr>
          <w:rFonts w:ascii="Times New Roman" w:eastAsia="Calibri" w:hAnsi="Times New Roman"/>
          <w:color w:val="000000"/>
        </w:rPr>
        <w:t>201</w:t>
      </w:r>
      <w:r>
        <w:rPr>
          <w:rFonts w:ascii="Times New Roman" w:eastAsia="Calibri" w:hAnsi="Times New Roman"/>
          <w:color w:val="000000"/>
        </w:rPr>
        <w:t>5</w:t>
      </w:r>
      <w:r w:rsidRPr="005776DA">
        <w:rPr>
          <w:rFonts w:ascii="Times New Roman" w:eastAsia="Calibri" w:hAnsi="Times New Roman"/>
          <w:color w:val="000000"/>
        </w:rPr>
        <w:t xml:space="preserve">.gadā ir </w:t>
      </w:r>
      <w:r w:rsidRPr="00A273E4">
        <w:rPr>
          <w:rFonts w:ascii="Times New Roman" w:eastAsia="Calibri" w:hAnsi="Times New Roman"/>
          <w:b/>
          <w:color w:val="000000"/>
          <w:szCs w:val="24"/>
        </w:rPr>
        <w:t>0</w:t>
      </w:r>
      <w:r w:rsidRPr="005776DA">
        <w:rPr>
          <w:rFonts w:ascii="Times New Roman" w:eastAsia="Calibri" w:hAnsi="Times New Roman"/>
          <w:color w:val="000000"/>
        </w:rPr>
        <w:t>, 201</w:t>
      </w:r>
      <w:r>
        <w:rPr>
          <w:rFonts w:ascii="Times New Roman" w:eastAsia="Calibri" w:hAnsi="Times New Roman"/>
          <w:color w:val="000000"/>
        </w:rPr>
        <w:t>6</w:t>
      </w:r>
      <w:r w:rsidRPr="005776DA">
        <w:rPr>
          <w:rFonts w:ascii="Times New Roman" w:eastAsia="Calibri" w:hAnsi="Times New Roman"/>
          <w:color w:val="000000"/>
        </w:rPr>
        <w:t xml:space="preserve">.gadā </w:t>
      </w:r>
      <w:r w:rsidRPr="00A273E4">
        <w:rPr>
          <w:rFonts w:ascii="Times New Roman" w:eastAsia="Calibri" w:hAnsi="Times New Roman"/>
          <w:b/>
          <w:color w:val="000000"/>
          <w:szCs w:val="24"/>
        </w:rPr>
        <w:t>0,7</w:t>
      </w:r>
      <w:r w:rsidRPr="00A273E4">
        <w:rPr>
          <w:rFonts w:ascii="Times New Roman" w:eastAsia="Calibri" w:hAnsi="Times New Roman"/>
          <w:b/>
          <w:color w:val="000000"/>
        </w:rPr>
        <w:t>% no IKP</w:t>
      </w:r>
      <w:r w:rsidRPr="005776DA">
        <w:rPr>
          <w:rFonts w:ascii="Times New Roman" w:eastAsia="Calibri" w:hAnsi="Times New Roman"/>
          <w:color w:val="000000"/>
        </w:rPr>
        <w:t xml:space="preserve"> un 201</w:t>
      </w:r>
      <w:r>
        <w:rPr>
          <w:rFonts w:ascii="Times New Roman" w:eastAsia="Calibri" w:hAnsi="Times New Roman"/>
          <w:color w:val="000000"/>
        </w:rPr>
        <w:t>7</w:t>
      </w:r>
      <w:r w:rsidRPr="005776DA">
        <w:rPr>
          <w:rFonts w:ascii="Times New Roman" w:eastAsia="Calibri" w:hAnsi="Times New Roman"/>
          <w:color w:val="000000"/>
        </w:rPr>
        <w:t xml:space="preserve">.gadā </w:t>
      </w:r>
      <w:r w:rsidRPr="00A273E4">
        <w:rPr>
          <w:rFonts w:ascii="Times New Roman" w:eastAsia="Calibri" w:hAnsi="Times New Roman"/>
          <w:b/>
          <w:color w:val="000000"/>
          <w:szCs w:val="24"/>
        </w:rPr>
        <w:t>1,5</w:t>
      </w:r>
      <w:r w:rsidRPr="00A273E4">
        <w:rPr>
          <w:rFonts w:ascii="Times New Roman" w:eastAsia="Calibri" w:hAnsi="Times New Roman"/>
          <w:b/>
          <w:color w:val="000000"/>
        </w:rPr>
        <w:t xml:space="preserve">% no </w:t>
      </w:r>
      <w:r w:rsidR="005F533F" w:rsidRPr="00A273E4">
        <w:rPr>
          <w:rFonts w:ascii="Times New Roman" w:eastAsia="Calibri" w:hAnsi="Times New Roman"/>
          <w:b/>
          <w:color w:val="000000"/>
        </w:rPr>
        <w:t>IKP</w:t>
      </w:r>
      <w:r w:rsidRPr="005776DA">
        <w:rPr>
          <w:rFonts w:ascii="Times New Roman" w:eastAsia="Calibri" w:hAnsi="Times New Roman"/>
          <w:color w:val="000000"/>
          <w:szCs w:val="24"/>
        </w:rPr>
        <w:t>.</w:t>
      </w:r>
      <w:r w:rsidRPr="007279D9">
        <w:rPr>
          <w:rFonts w:ascii="Times New Roman" w:eastAsia="Calibri" w:hAnsi="Times New Roman"/>
          <w:color w:val="000000"/>
          <w:szCs w:val="24"/>
        </w:rPr>
        <w:t xml:space="preserve"> </w:t>
      </w:r>
    </w:p>
    <w:p w14:paraId="35896310" w14:textId="27043E0F" w:rsidR="00154514" w:rsidRDefault="00154514" w:rsidP="00154514">
      <w:pPr>
        <w:pStyle w:val="teksts"/>
        <w:ind w:firstLine="709"/>
        <w:rPr>
          <w:rFonts w:ascii="Times New Roman" w:eastAsia="Calibri" w:hAnsi="Times New Roman"/>
          <w:color w:val="000000"/>
          <w:szCs w:val="24"/>
        </w:rPr>
      </w:pPr>
      <w:r>
        <w:rPr>
          <w:rFonts w:ascii="Times New Roman" w:eastAsia="Calibri" w:hAnsi="Times New Roman"/>
          <w:color w:val="000000"/>
          <w:szCs w:val="24"/>
        </w:rPr>
        <w:t xml:space="preserve">Saskaņā ar </w:t>
      </w:r>
      <w:r w:rsidR="0037075E">
        <w:rPr>
          <w:rFonts w:ascii="Times New Roman" w:eastAsia="Calibri" w:hAnsi="Times New Roman"/>
          <w:color w:val="000000"/>
          <w:szCs w:val="24"/>
        </w:rPr>
        <w:t>FDL</w:t>
      </w:r>
      <w:r>
        <w:rPr>
          <w:rFonts w:ascii="Times New Roman" w:eastAsia="Calibri" w:hAnsi="Times New Roman"/>
          <w:color w:val="000000"/>
          <w:szCs w:val="24"/>
        </w:rPr>
        <w:t xml:space="preserve"> noteikumiem šo fiskālo telpu var izmantot, plānojot jaunus izdevumu politikas pasākumus, kas iekļaujami kādā no turpmākajiem </w:t>
      </w:r>
      <w:r w:rsidR="0037075E">
        <w:rPr>
          <w:rFonts w:ascii="Times New Roman" w:eastAsia="Calibri" w:hAnsi="Times New Roman"/>
          <w:color w:val="000000"/>
          <w:szCs w:val="24"/>
        </w:rPr>
        <w:t>I</w:t>
      </w:r>
      <w:r>
        <w:rPr>
          <w:rFonts w:ascii="Times New Roman" w:eastAsia="Calibri" w:hAnsi="Times New Roman"/>
          <w:color w:val="000000"/>
          <w:szCs w:val="24"/>
        </w:rPr>
        <w:t xml:space="preserve">etvaru likumiem. Var prognozēt, ka būtisks izaicinājums būs 2015.gada gadskārtējā </w:t>
      </w:r>
      <w:r w:rsidR="00585C80">
        <w:rPr>
          <w:rFonts w:ascii="Times New Roman" w:eastAsia="Calibri" w:hAnsi="Times New Roman"/>
          <w:color w:val="000000"/>
          <w:szCs w:val="24"/>
        </w:rPr>
        <w:t xml:space="preserve">valsts </w:t>
      </w:r>
      <w:r>
        <w:rPr>
          <w:rFonts w:ascii="Times New Roman" w:eastAsia="Calibri" w:hAnsi="Times New Roman"/>
          <w:color w:val="000000"/>
          <w:szCs w:val="24"/>
        </w:rPr>
        <w:t>budžeta sagatavošana, ņemot vērā, ka pēc pašreizējām prognozēm fiskālās telpas jaunām politikas iniciatīvām nav, it īpaši, ja ņem vērā negatīvos makroekonomiskos riskus un to, ka ģeopolitiskie apsvērumi liek strauji kāpināt izdevumus aizsardzībai, lai virzītos uz 2% no IKP mērķ</w:t>
      </w:r>
      <w:r w:rsidR="005F533F">
        <w:rPr>
          <w:rFonts w:ascii="Times New Roman" w:eastAsia="Calibri" w:hAnsi="Times New Roman"/>
          <w:color w:val="000000"/>
          <w:szCs w:val="24"/>
        </w:rPr>
        <w:t>i</w:t>
      </w:r>
      <w:r>
        <w:rPr>
          <w:rFonts w:ascii="Times New Roman" w:eastAsia="Calibri" w:hAnsi="Times New Roman"/>
          <w:color w:val="000000"/>
          <w:szCs w:val="24"/>
        </w:rPr>
        <w:t>.</w:t>
      </w:r>
    </w:p>
    <w:p w14:paraId="1E46969D" w14:textId="1F3E55EA" w:rsidR="00CA04B5" w:rsidRPr="005D3DB3" w:rsidRDefault="00CA04B5" w:rsidP="0037075E">
      <w:pPr>
        <w:pStyle w:val="teksts"/>
        <w:rPr>
          <w:rFonts w:ascii="Times New Roman" w:eastAsia="Calibri" w:hAnsi="Times New Roman"/>
          <w:color w:val="000000"/>
          <w:szCs w:val="24"/>
        </w:rPr>
      </w:pPr>
    </w:p>
    <w:p w14:paraId="768693E5" w14:textId="42A73895" w:rsidR="0060396D" w:rsidRDefault="00EB6C31" w:rsidP="001B6A4A">
      <w:pPr>
        <w:pStyle w:val="otrais"/>
        <w:ind w:left="0" w:firstLine="0"/>
        <w:rPr>
          <w:color w:val="000000"/>
        </w:rPr>
      </w:pPr>
      <w:bookmarkStart w:id="21" w:name="_Toc385517815"/>
      <w:r>
        <w:rPr>
          <w:color w:val="000000"/>
        </w:rPr>
        <w:t>3</w:t>
      </w:r>
      <w:r w:rsidR="0060396D" w:rsidRPr="00A92B55">
        <w:rPr>
          <w:color w:val="000000"/>
        </w:rPr>
        <w:t>.</w:t>
      </w:r>
      <w:r w:rsidR="005D3DB3">
        <w:rPr>
          <w:color w:val="000000"/>
        </w:rPr>
        <w:t>3</w:t>
      </w:r>
      <w:r w:rsidR="0060396D" w:rsidRPr="00A92B55">
        <w:rPr>
          <w:color w:val="000000"/>
        </w:rPr>
        <w:t>. Fiskālās attīstības scenārijs</w:t>
      </w:r>
      <w:bookmarkEnd w:id="18"/>
      <w:bookmarkEnd w:id="21"/>
    </w:p>
    <w:p w14:paraId="2F5A7441" w14:textId="3C2AB708" w:rsidR="00CA04B5" w:rsidRDefault="00CA04B5" w:rsidP="00CA04B5">
      <w:pPr>
        <w:pStyle w:val="teksts"/>
        <w:ind w:firstLine="720"/>
        <w:rPr>
          <w:rFonts w:ascii="Times New Roman" w:hAnsi="Times New Roman"/>
          <w:color w:val="000000"/>
        </w:rPr>
      </w:pPr>
      <w:r w:rsidRPr="008D177B">
        <w:rPr>
          <w:rFonts w:ascii="Times New Roman" w:hAnsi="Times New Roman"/>
          <w:color w:val="000000"/>
        </w:rPr>
        <w:t xml:space="preserve">Fiskālās attīstības scenārijs </w:t>
      </w:r>
      <w:r>
        <w:rPr>
          <w:rFonts w:ascii="Times New Roman" w:hAnsi="Times New Roman"/>
          <w:color w:val="000000"/>
        </w:rPr>
        <w:t>vidējam termiņam ir veidots, ņemot vērā par pamatu strukturālās vispārējās valdības budžeta bilances mērķus un ievērojot budžeta bilances cikliskās komponentes prognozes atbilstoši makroekonomiskajam scenārijam. Atbilstoši aprēķiniem, kas veikti, ņemot vērā faktiskos datus, izlaižu starpība ir praktiski noslēgusies 2013. gadā, kā rezultātā budžeta bilances cikliskā komponente 2013.gadā bija nulle. Salīdzinājumā ar straujās ekonomiskās izaugsmes un lejupslīdes gadiem, kad bilances cikliskā komponente, ņemot vērā būtiskas svārstības ekonomikā, bija ievērojama, vidējā termiņa scenārijs paredz nelielu pozitīvu izlaižu starpību un līdz ar to nelielu budžeta bilances ciklisko komponenti (ap +0,2% no IKP).</w:t>
      </w:r>
    </w:p>
    <w:p w14:paraId="55E23AC6" w14:textId="5F9F9879" w:rsidR="00CA04B5" w:rsidRPr="003B7650" w:rsidRDefault="005F533F" w:rsidP="00F96EB2">
      <w:pPr>
        <w:pStyle w:val="teksts"/>
        <w:ind w:firstLine="720"/>
        <w:rPr>
          <w:rFonts w:ascii="Times New Roman" w:hAnsi="Times New Roman"/>
          <w:color w:val="000000"/>
        </w:rPr>
      </w:pPr>
      <w:r w:rsidRPr="00D25769">
        <w:rPr>
          <w:noProof/>
          <w:lang w:eastAsia="lv-LV"/>
        </w:rPr>
        <w:drawing>
          <wp:inline distT="0" distB="0" distL="0" distR="0" wp14:anchorId="64294944" wp14:editId="1EECB41C">
            <wp:extent cx="4852147" cy="273423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2F5B2BE" w14:textId="2EF20497" w:rsidR="00CA04B5" w:rsidRPr="00CA04B5" w:rsidRDefault="0037075E" w:rsidP="00CA04B5">
      <w:pPr>
        <w:pStyle w:val="teksts"/>
        <w:ind w:firstLine="720"/>
        <w:jc w:val="center"/>
        <w:rPr>
          <w:rFonts w:ascii="Times New Roman" w:eastAsia="Calibri" w:hAnsi="Times New Roman"/>
          <w:b/>
          <w:szCs w:val="24"/>
        </w:rPr>
      </w:pPr>
      <w:r>
        <w:rPr>
          <w:rFonts w:ascii="Times New Roman" w:eastAsia="Calibri" w:hAnsi="Times New Roman"/>
          <w:b/>
          <w:szCs w:val="24"/>
        </w:rPr>
        <w:t>3.4</w:t>
      </w:r>
      <w:r w:rsidR="00CA04B5" w:rsidRPr="00CA04B5">
        <w:rPr>
          <w:rFonts w:ascii="Times New Roman" w:eastAsia="Calibri" w:hAnsi="Times New Roman"/>
          <w:b/>
          <w:szCs w:val="24"/>
        </w:rPr>
        <w:t>. att</w:t>
      </w:r>
      <w:r w:rsidR="00EA0A2F">
        <w:rPr>
          <w:rFonts w:ascii="Times New Roman" w:eastAsia="Calibri" w:hAnsi="Times New Roman"/>
          <w:b/>
          <w:szCs w:val="24"/>
        </w:rPr>
        <w:t>ēls</w:t>
      </w:r>
      <w:r w:rsidR="00CA04B5" w:rsidRPr="00CA04B5">
        <w:rPr>
          <w:rFonts w:ascii="Times New Roman" w:eastAsia="Calibri" w:hAnsi="Times New Roman"/>
          <w:b/>
          <w:szCs w:val="24"/>
        </w:rPr>
        <w:t>. Vispārējās valdības budžeta bilance sadalījumā pa komponentēm</w:t>
      </w:r>
      <w:r w:rsidR="00CA04B5" w:rsidRPr="00CA04B5">
        <w:rPr>
          <w:rStyle w:val="FootnoteReference"/>
          <w:rFonts w:ascii="Times New Roman" w:eastAsia="Calibri" w:hAnsi="Times New Roman"/>
          <w:b/>
          <w:sz w:val="24"/>
          <w:szCs w:val="24"/>
        </w:rPr>
        <w:footnoteReference w:id="9"/>
      </w:r>
      <w:r w:rsidR="00CA04B5" w:rsidRPr="00CA04B5">
        <w:rPr>
          <w:rFonts w:ascii="Times New Roman" w:eastAsia="Calibri" w:hAnsi="Times New Roman"/>
          <w:b/>
          <w:szCs w:val="24"/>
        </w:rPr>
        <w:t>, % no IKP</w:t>
      </w:r>
    </w:p>
    <w:p w14:paraId="06D703AF" w14:textId="77777777" w:rsidR="00CA04B5" w:rsidRPr="008D177B" w:rsidRDefault="00CA04B5" w:rsidP="00CA04B5">
      <w:pPr>
        <w:pStyle w:val="teksts"/>
        <w:ind w:firstLine="720"/>
        <w:rPr>
          <w:rFonts w:ascii="Times New Roman" w:hAnsi="Times New Roman"/>
          <w:color w:val="000000"/>
        </w:rPr>
      </w:pPr>
      <w:r>
        <w:rPr>
          <w:rFonts w:ascii="Times New Roman" w:hAnsi="Times New Roman"/>
          <w:color w:val="000000"/>
        </w:rPr>
        <w:t>Vidējā termiņa s</w:t>
      </w:r>
      <w:r w:rsidRPr="008D177B">
        <w:rPr>
          <w:rFonts w:ascii="Times New Roman" w:hAnsi="Times New Roman"/>
          <w:color w:val="000000"/>
        </w:rPr>
        <w:t>cenārijs neparedz laika posmā no 2014. līdz </w:t>
      </w:r>
      <w:r>
        <w:rPr>
          <w:rFonts w:ascii="Times New Roman" w:hAnsi="Times New Roman"/>
          <w:color w:val="000000"/>
        </w:rPr>
        <w:t>2017</w:t>
      </w:r>
      <w:r w:rsidRPr="008D177B">
        <w:rPr>
          <w:rFonts w:ascii="Times New Roman" w:hAnsi="Times New Roman"/>
          <w:color w:val="000000"/>
        </w:rPr>
        <w:t>.gadam vienreizējos pasākumus</w:t>
      </w:r>
      <w:r>
        <w:rPr>
          <w:rFonts w:ascii="Times New Roman" w:hAnsi="Times New Roman"/>
          <w:color w:val="000000"/>
        </w:rPr>
        <w:t xml:space="preserve"> (</w:t>
      </w:r>
      <w:proofErr w:type="spellStart"/>
      <w:r w:rsidRPr="00597B0B">
        <w:rPr>
          <w:rFonts w:ascii="Times New Roman" w:hAnsi="Times New Roman"/>
          <w:i/>
          <w:color w:val="000000"/>
        </w:rPr>
        <w:t>one-off</w:t>
      </w:r>
      <w:proofErr w:type="spellEnd"/>
      <w:r>
        <w:rPr>
          <w:rFonts w:ascii="Times New Roman" w:hAnsi="Times New Roman"/>
          <w:color w:val="000000"/>
        </w:rPr>
        <w:t xml:space="preserve">). </w:t>
      </w:r>
    </w:p>
    <w:p w14:paraId="01B51031" w14:textId="6C21F29B" w:rsidR="00CA04B5" w:rsidRDefault="00CA04B5" w:rsidP="00CA04B5">
      <w:pPr>
        <w:pStyle w:val="teksts"/>
        <w:ind w:firstLine="709"/>
        <w:rPr>
          <w:rFonts w:ascii="Times New Roman" w:hAnsi="Times New Roman"/>
          <w:color w:val="000000"/>
        </w:rPr>
      </w:pPr>
      <w:r>
        <w:rPr>
          <w:rFonts w:ascii="Times New Roman" w:hAnsi="Times New Roman"/>
          <w:color w:val="000000"/>
        </w:rPr>
        <w:t xml:space="preserve">Lai izstrādātu vispārējās valdības budžeta bilances prognozes vidējam termiņam, sākotnēji tika sagatavots scenārijs pie nemainīgas valdības politikas, kas tika </w:t>
      </w:r>
      <w:r w:rsidRPr="00367B07">
        <w:rPr>
          <w:rFonts w:ascii="Times New Roman" w:hAnsi="Times New Roman"/>
          <w:color w:val="000000"/>
        </w:rPr>
        <w:t>balst</w:t>
      </w:r>
      <w:r>
        <w:rPr>
          <w:rFonts w:ascii="Times New Roman" w:hAnsi="Times New Roman"/>
          <w:color w:val="000000"/>
        </w:rPr>
        <w:t>īts</w:t>
      </w:r>
      <w:r w:rsidRPr="00367B07">
        <w:rPr>
          <w:rFonts w:ascii="Times New Roman" w:hAnsi="Times New Roman"/>
          <w:color w:val="000000"/>
        </w:rPr>
        <w:t xml:space="preserve"> uz aktualizētām ieņēmumu prognozēm atbilstoši jaunākajam makroekonomi</w:t>
      </w:r>
      <w:r>
        <w:rPr>
          <w:rFonts w:ascii="Times New Roman" w:hAnsi="Times New Roman"/>
          <w:color w:val="000000"/>
        </w:rPr>
        <w:t>skās</w:t>
      </w:r>
      <w:r w:rsidRPr="00367B07">
        <w:rPr>
          <w:rFonts w:ascii="Times New Roman" w:hAnsi="Times New Roman"/>
          <w:color w:val="000000"/>
        </w:rPr>
        <w:t xml:space="preserve"> attīstības scenārijam</w:t>
      </w:r>
      <w:r>
        <w:rPr>
          <w:rFonts w:ascii="Times New Roman" w:hAnsi="Times New Roman"/>
          <w:color w:val="000000"/>
        </w:rPr>
        <w:t>,</w:t>
      </w:r>
      <w:r w:rsidRPr="00367B07">
        <w:rPr>
          <w:rFonts w:ascii="Times New Roman" w:hAnsi="Times New Roman"/>
          <w:color w:val="000000"/>
        </w:rPr>
        <w:t xml:space="preserve"> iepriekš pieņemtiem lēmumiem nodokļu politikā un apstiprinātiem centrālās valdības budžeta</w:t>
      </w:r>
      <w:r>
        <w:rPr>
          <w:rFonts w:ascii="Times New Roman" w:hAnsi="Times New Roman"/>
          <w:color w:val="000000"/>
        </w:rPr>
        <w:t xml:space="preserve"> t.s.</w:t>
      </w:r>
      <w:r w:rsidRPr="00367B07">
        <w:rPr>
          <w:rFonts w:ascii="Times New Roman" w:hAnsi="Times New Roman"/>
          <w:color w:val="000000"/>
        </w:rPr>
        <w:t xml:space="preserve"> </w:t>
      </w:r>
      <w:r>
        <w:rPr>
          <w:rFonts w:ascii="Times New Roman" w:hAnsi="Times New Roman"/>
          <w:color w:val="000000"/>
        </w:rPr>
        <w:t xml:space="preserve">“bāzes” </w:t>
      </w:r>
      <w:r w:rsidRPr="00367B07">
        <w:rPr>
          <w:rFonts w:ascii="Times New Roman" w:hAnsi="Times New Roman"/>
          <w:color w:val="000000"/>
        </w:rPr>
        <w:t xml:space="preserve">izdevumiem turpmākajiem trim gadiem. </w:t>
      </w:r>
      <w:r>
        <w:rPr>
          <w:rFonts w:ascii="Times New Roman" w:hAnsi="Times New Roman"/>
          <w:color w:val="000000"/>
        </w:rPr>
        <w:t xml:space="preserve">Atbilstoši scenārijam pie nemainīgas valdības politikas 2016. un 2017. gadā vispārējās valdības budžetā tiek prognozēts neliels pārpalikums, savukārt atbilstoši </w:t>
      </w:r>
      <w:r w:rsidR="00F82AFD">
        <w:rPr>
          <w:rFonts w:ascii="Times New Roman" w:hAnsi="Times New Roman"/>
          <w:color w:val="000000"/>
        </w:rPr>
        <w:t xml:space="preserve">FDL </w:t>
      </w:r>
      <w:r>
        <w:rPr>
          <w:rFonts w:ascii="Times New Roman" w:hAnsi="Times New Roman"/>
          <w:color w:val="000000"/>
        </w:rPr>
        <w:t xml:space="preserve">nosacījumiem šajos gados ir pieļaujams deficīts. Attiecīgi atbilstoši pašreizējiem aprēķiniem rodas starpība (“fiskālā telpa”) starp prognozēto un pieļaujamo deficīta līmeni: 2016. gadā </w:t>
      </w:r>
      <w:r w:rsidRPr="00D25769">
        <w:rPr>
          <w:rFonts w:ascii="Times New Roman" w:hAnsi="Times New Roman"/>
          <w:color w:val="000000"/>
        </w:rPr>
        <w:t>0,7% no IKP, 2017. gadā 1,5% no IKP apmērā.</w:t>
      </w:r>
    </w:p>
    <w:p w14:paraId="1A3AE372" w14:textId="77777777" w:rsidR="00CA04B5" w:rsidRPr="008259B9" w:rsidRDefault="00CA04B5" w:rsidP="00CA04B5">
      <w:pPr>
        <w:pStyle w:val="teksts"/>
        <w:ind w:firstLine="720"/>
        <w:rPr>
          <w:rFonts w:ascii="Times New Roman" w:eastAsia="Calibri" w:hAnsi="Times New Roman"/>
          <w:color w:val="000000"/>
          <w:szCs w:val="24"/>
        </w:rPr>
      </w:pPr>
      <w:r>
        <w:rPr>
          <w:rFonts w:ascii="Times New Roman" w:eastAsiaTheme="minorHAnsi" w:hAnsi="Times New Roman"/>
          <w:szCs w:val="24"/>
        </w:rPr>
        <w:t xml:space="preserve">Sagatavojot </w:t>
      </w:r>
      <w:r>
        <w:rPr>
          <w:rFonts w:ascii="Times New Roman" w:hAnsi="Times New Roman"/>
          <w:color w:val="000000"/>
        </w:rPr>
        <w:t>vispārējās valdības budžeta bilances prognozes vidējam termiņam,</w:t>
      </w:r>
      <w:r>
        <w:rPr>
          <w:rFonts w:ascii="Times New Roman" w:eastAsiaTheme="minorHAnsi" w:hAnsi="Times New Roman"/>
          <w:szCs w:val="24"/>
        </w:rPr>
        <w:t xml:space="preserve"> tiek pieņemts, ka iepriekš minētā starpība </w:t>
      </w:r>
      <w:r>
        <w:rPr>
          <w:rFonts w:ascii="Times New Roman" w:hAnsi="Times New Roman"/>
          <w:color w:val="000000"/>
        </w:rPr>
        <w:t xml:space="preserve">tiek pilnībā izmantota papildus izdevumiem, bet </w:t>
      </w:r>
      <w:r>
        <w:rPr>
          <w:rFonts w:ascii="Times New Roman" w:eastAsia="Calibri" w:hAnsi="Times New Roman"/>
          <w:color w:val="000000"/>
          <w:szCs w:val="24"/>
        </w:rPr>
        <w:t>tā kā</w:t>
      </w:r>
      <w:r w:rsidRPr="00506DDA">
        <w:rPr>
          <w:rFonts w:ascii="Times New Roman" w:eastAsia="Calibri" w:hAnsi="Times New Roman"/>
          <w:color w:val="000000"/>
          <w:szCs w:val="24"/>
        </w:rPr>
        <w:t xml:space="preserve"> nav pieņemti lēmumi par šīs starpības </w:t>
      </w:r>
      <w:r>
        <w:rPr>
          <w:rFonts w:ascii="Times New Roman" w:eastAsia="Calibri" w:hAnsi="Times New Roman"/>
          <w:color w:val="000000"/>
          <w:szCs w:val="24"/>
        </w:rPr>
        <w:t xml:space="preserve">sadalījumu (lēmumi tiks pieņemti kārtējā vidējā termiņa budžeta ietvara sagatavošanas laikā), </w:t>
      </w:r>
      <w:r w:rsidRPr="00506DDA">
        <w:rPr>
          <w:rFonts w:ascii="Times New Roman" w:eastAsia="Calibri" w:hAnsi="Times New Roman"/>
          <w:color w:val="000000"/>
          <w:szCs w:val="24"/>
        </w:rPr>
        <w:t>tā ir iekļauta</w:t>
      </w:r>
      <w:r>
        <w:rPr>
          <w:rFonts w:ascii="Times New Roman" w:eastAsia="Calibri" w:hAnsi="Times New Roman"/>
          <w:color w:val="000000"/>
          <w:szCs w:val="24"/>
        </w:rPr>
        <w:t xml:space="preserve"> centrālās valdības</w:t>
      </w:r>
      <w:r w:rsidRPr="00506DDA">
        <w:rPr>
          <w:rFonts w:ascii="Times New Roman" w:eastAsia="Calibri" w:hAnsi="Times New Roman"/>
          <w:color w:val="000000"/>
          <w:szCs w:val="24"/>
        </w:rPr>
        <w:t xml:space="preserve"> izdevumu pozīcijā „pārējie izdevumi</w:t>
      </w:r>
      <w:r w:rsidRPr="00D25769">
        <w:rPr>
          <w:rFonts w:ascii="Times New Roman" w:eastAsia="Calibri" w:hAnsi="Times New Roman"/>
          <w:color w:val="000000"/>
          <w:szCs w:val="24"/>
        </w:rPr>
        <w:t xml:space="preserve">”. </w:t>
      </w:r>
      <w:r w:rsidRPr="00D25769">
        <w:rPr>
          <w:rFonts w:ascii="Times New Roman" w:eastAsiaTheme="minorHAnsi" w:hAnsi="Times New Roman"/>
          <w:szCs w:val="24"/>
        </w:rPr>
        <w:t>Ņemot vērā iepriekš minēto, vispārējās valdības budžeta deficīts 2015. gadā tiek prognozēts 0,8% no IKP, 2016. gadā 0,7% no IKP un 2017. gadā 0,7% no IKP.</w:t>
      </w:r>
    </w:p>
    <w:p w14:paraId="2F3AA71D" w14:textId="77777777" w:rsidR="0037075E" w:rsidRDefault="0037075E" w:rsidP="00CA04B5">
      <w:pPr>
        <w:pStyle w:val="teksts"/>
        <w:spacing w:line="276" w:lineRule="auto"/>
        <w:ind w:firstLine="720"/>
        <w:jc w:val="right"/>
        <w:rPr>
          <w:rFonts w:ascii="Times New Roman" w:eastAsiaTheme="minorHAnsi" w:hAnsi="Times New Roman"/>
          <w:b/>
          <w:szCs w:val="24"/>
        </w:rPr>
      </w:pPr>
    </w:p>
    <w:p w14:paraId="7829CE76" w14:textId="77777777" w:rsidR="0037075E" w:rsidRDefault="0037075E" w:rsidP="00CA04B5">
      <w:pPr>
        <w:pStyle w:val="teksts"/>
        <w:spacing w:line="276" w:lineRule="auto"/>
        <w:ind w:firstLine="720"/>
        <w:jc w:val="right"/>
        <w:rPr>
          <w:rFonts w:ascii="Times New Roman" w:eastAsiaTheme="minorHAnsi" w:hAnsi="Times New Roman"/>
          <w:b/>
          <w:szCs w:val="24"/>
        </w:rPr>
      </w:pPr>
    </w:p>
    <w:p w14:paraId="6034565E" w14:textId="3CCC5F18" w:rsidR="00CA04B5" w:rsidRPr="00CA04B5" w:rsidRDefault="0037075E" w:rsidP="00CA04B5">
      <w:pPr>
        <w:pStyle w:val="teksts"/>
        <w:spacing w:line="276" w:lineRule="auto"/>
        <w:ind w:firstLine="720"/>
        <w:jc w:val="right"/>
        <w:rPr>
          <w:rFonts w:ascii="Times New Roman" w:eastAsiaTheme="minorHAnsi" w:hAnsi="Times New Roman"/>
          <w:b/>
          <w:szCs w:val="24"/>
        </w:rPr>
      </w:pPr>
      <w:r>
        <w:rPr>
          <w:rFonts w:ascii="Times New Roman" w:eastAsiaTheme="minorHAnsi" w:hAnsi="Times New Roman"/>
          <w:b/>
          <w:szCs w:val="24"/>
        </w:rPr>
        <w:t>3.5</w:t>
      </w:r>
      <w:r w:rsidR="00CA04B5" w:rsidRPr="00CA04B5">
        <w:rPr>
          <w:rFonts w:ascii="Times New Roman" w:eastAsiaTheme="minorHAnsi" w:hAnsi="Times New Roman"/>
          <w:b/>
          <w:szCs w:val="24"/>
        </w:rPr>
        <w:t>. tabula. Vidējā termiņa fiskālās attīstības scenārijs</w:t>
      </w:r>
    </w:p>
    <w:tbl>
      <w:tblPr>
        <w:tblStyle w:val="TableGrid"/>
        <w:tblW w:w="8075"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89"/>
        <w:gridCol w:w="1134"/>
        <w:gridCol w:w="850"/>
        <w:gridCol w:w="851"/>
        <w:gridCol w:w="850"/>
        <w:gridCol w:w="851"/>
        <w:gridCol w:w="850"/>
      </w:tblGrid>
      <w:tr w:rsidR="00CA04B5" w:rsidRPr="001518C9" w14:paraId="6E559E09" w14:textId="77777777" w:rsidTr="003148B4">
        <w:trPr>
          <w:jc w:val="center"/>
        </w:trPr>
        <w:tc>
          <w:tcPr>
            <w:tcW w:w="2689" w:type="dxa"/>
          </w:tcPr>
          <w:p w14:paraId="52E24FB4" w14:textId="77777777" w:rsidR="00CA04B5" w:rsidRPr="00B074AD" w:rsidRDefault="00CA04B5" w:rsidP="00CA04B5">
            <w:pPr>
              <w:pStyle w:val="tabteksts"/>
              <w:jc w:val="center"/>
              <w:rPr>
                <w:b/>
                <w:highlight w:val="yellow"/>
              </w:rPr>
            </w:pPr>
          </w:p>
        </w:tc>
        <w:tc>
          <w:tcPr>
            <w:tcW w:w="1134" w:type="dxa"/>
          </w:tcPr>
          <w:p w14:paraId="4F189A62" w14:textId="77777777" w:rsidR="00CA04B5" w:rsidRPr="00147F95" w:rsidRDefault="00CA04B5" w:rsidP="00CA04B5">
            <w:pPr>
              <w:pStyle w:val="tabteksts"/>
              <w:jc w:val="center"/>
              <w:rPr>
                <w:b/>
              </w:rPr>
            </w:pPr>
          </w:p>
        </w:tc>
        <w:tc>
          <w:tcPr>
            <w:tcW w:w="850" w:type="dxa"/>
          </w:tcPr>
          <w:p w14:paraId="7DE79450" w14:textId="77777777" w:rsidR="00CA04B5" w:rsidRPr="00147F95" w:rsidRDefault="00CA04B5" w:rsidP="00CA04B5">
            <w:pPr>
              <w:pStyle w:val="tabteksts"/>
              <w:jc w:val="center"/>
              <w:rPr>
                <w:b/>
              </w:rPr>
            </w:pPr>
            <w:r w:rsidRPr="00147F95">
              <w:rPr>
                <w:b/>
              </w:rPr>
              <w:t>2013</w:t>
            </w:r>
          </w:p>
        </w:tc>
        <w:tc>
          <w:tcPr>
            <w:tcW w:w="851" w:type="dxa"/>
          </w:tcPr>
          <w:p w14:paraId="3831C4CA" w14:textId="77777777" w:rsidR="00CA04B5" w:rsidRPr="00147F95" w:rsidRDefault="00CA04B5" w:rsidP="00CA04B5">
            <w:pPr>
              <w:pStyle w:val="tabteksts"/>
              <w:jc w:val="center"/>
              <w:rPr>
                <w:b/>
              </w:rPr>
            </w:pPr>
            <w:r w:rsidRPr="00147F95">
              <w:rPr>
                <w:b/>
              </w:rPr>
              <w:t>2014</w:t>
            </w:r>
          </w:p>
        </w:tc>
        <w:tc>
          <w:tcPr>
            <w:tcW w:w="850" w:type="dxa"/>
          </w:tcPr>
          <w:p w14:paraId="68573972" w14:textId="77777777" w:rsidR="00CA04B5" w:rsidRPr="00147F95" w:rsidRDefault="00CA04B5" w:rsidP="00CA04B5">
            <w:pPr>
              <w:pStyle w:val="tabteksts"/>
              <w:jc w:val="center"/>
              <w:rPr>
                <w:b/>
              </w:rPr>
            </w:pPr>
            <w:r w:rsidRPr="00147F95">
              <w:rPr>
                <w:b/>
              </w:rPr>
              <w:t>2015</w:t>
            </w:r>
          </w:p>
        </w:tc>
        <w:tc>
          <w:tcPr>
            <w:tcW w:w="851" w:type="dxa"/>
          </w:tcPr>
          <w:p w14:paraId="7543AFDD" w14:textId="77777777" w:rsidR="00CA04B5" w:rsidRPr="00147F95" w:rsidRDefault="00CA04B5" w:rsidP="00CA04B5">
            <w:pPr>
              <w:pStyle w:val="tabteksts"/>
              <w:jc w:val="center"/>
              <w:rPr>
                <w:b/>
              </w:rPr>
            </w:pPr>
            <w:r w:rsidRPr="00147F95">
              <w:rPr>
                <w:b/>
              </w:rPr>
              <w:t>2016</w:t>
            </w:r>
          </w:p>
        </w:tc>
        <w:tc>
          <w:tcPr>
            <w:tcW w:w="850" w:type="dxa"/>
          </w:tcPr>
          <w:p w14:paraId="40BEAF3D" w14:textId="77777777" w:rsidR="00CA04B5" w:rsidRPr="00147F95" w:rsidRDefault="00CA04B5" w:rsidP="00CA04B5">
            <w:pPr>
              <w:pStyle w:val="tabteksts"/>
              <w:jc w:val="center"/>
              <w:rPr>
                <w:b/>
              </w:rPr>
            </w:pPr>
            <w:r w:rsidRPr="00147F95">
              <w:rPr>
                <w:b/>
              </w:rPr>
              <w:t>2017</w:t>
            </w:r>
          </w:p>
        </w:tc>
      </w:tr>
      <w:tr w:rsidR="00CA04B5" w:rsidRPr="007A44FD" w14:paraId="42D911E7" w14:textId="77777777" w:rsidTr="003148B4">
        <w:trPr>
          <w:jc w:val="center"/>
        </w:trPr>
        <w:tc>
          <w:tcPr>
            <w:tcW w:w="2689" w:type="dxa"/>
          </w:tcPr>
          <w:p w14:paraId="659CA82B" w14:textId="77777777" w:rsidR="00CA04B5" w:rsidRPr="00B074AD" w:rsidRDefault="00CA04B5" w:rsidP="00CA04B5">
            <w:pPr>
              <w:pStyle w:val="tabteksts"/>
              <w:rPr>
                <w:highlight w:val="yellow"/>
              </w:rPr>
            </w:pPr>
          </w:p>
        </w:tc>
        <w:tc>
          <w:tcPr>
            <w:tcW w:w="1134" w:type="dxa"/>
          </w:tcPr>
          <w:p w14:paraId="45EC5ED9" w14:textId="77777777" w:rsidR="00CA04B5" w:rsidRPr="00147F95" w:rsidRDefault="00CA04B5" w:rsidP="00CA04B5">
            <w:pPr>
              <w:pStyle w:val="tabteksts"/>
              <w:jc w:val="center"/>
            </w:pPr>
            <w:r w:rsidRPr="00147F95">
              <w:t>EKS kods</w:t>
            </w:r>
          </w:p>
        </w:tc>
        <w:tc>
          <w:tcPr>
            <w:tcW w:w="4252" w:type="dxa"/>
            <w:gridSpan w:val="5"/>
          </w:tcPr>
          <w:p w14:paraId="17FF93E2" w14:textId="77777777" w:rsidR="00CA04B5" w:rsidRPr="00147F95" w:rsidRDefault="00CA04B5" w:rsidP="00CA04B5">
            <w:pPr>
              <w:pStyle w:val="tabteksts"/>
              <w:jc w:val="center"/>
            </w:pPr>
            <w:r w:rsidRPr="00147F95">
              <w:t>% no IKP</w:t>
            </w:r>
          </w:p>
        </w:tc>
      </w:tr>
      <w:tr w:rsidR="00CA04B5" w:rsidRPr="003871D3" w14:paraId="7518CC1E" w14:textId="77777777" w:rsidTr="003148B4">
        <w:trPr>
          <w:jc w:val="center"/>
        </w:trPr>
        <w:tc>
          <w:tcPr>
            <w:tcW w:w="8075" w:type="dxa"/>
            <w:gridSpan w:val="7"/>
          </w:tcPr>
          <w:p w14:paraId="1C90ABBA" w14:textId="77777777" w:rsidR="00CA04B5" w:rsidRPr="00147F95" w:rsidRDefault="00CA04B5" w:rsidP="00CA04B5">
            <w:pPr>
              <w:spacing w:after="0"/>
              <w:ind w:firstLine="720"/>
              <w:jc w:val="center"/>
              <w:rPr>
                <w:b/>
                <w:noProof/>
                <w:snapToGrid w:val="0"/>
                <w:sz w:val="18"/>
                <w:szCs w:val="18"/>
              </w:rPr>
            </w:pPr>
            <w:r w:rsidRPr="00147F95">
              <w:rPr>
                <w:b/>
                <w:snapToGrid w:val="0"/>
                <w:sz w:val="18"/>
                <w:szCs w:val="18"/>
              </w:rPr>
              <w:t xml:space="preserve">Neto aizdevumi (EDP B.9) pa </w:t>
            </w:r>
            <w:r w:rsidRPr="00147F95">
              <w:rPr>
                <w:b/>
                <w:noProof/>
                <w:snapToGrid w:val="0"/>
                <w:sz w:val="18"/>
                <w:szCs w:val="18"/>
              </w:rPr>
              <w:t>apakšsektoriem</w:t>
            </w:r>
          </w:p>
        </w:tc>
      </w:tr>
      <w:tr w:rsidR="00CA04B5" w:rsidRPr="00C704FB" w14:paraId="41394298" w14:textId="77777777" w:rsidTr="003148B4">
        <w:trPr>
          <w:jc w:val="center"/>
        </w:trPr>
        <w:tc>
          <w:tcPr>
            <w:tcW w:w="2689" w:type="dxa"/>
          </w:tcPr>
          <w:p w14:paraId="535B9B06" w14:textId="77777777" w:rsidR="00CA04B5" w:rsidRPr="00147F95" w:rsidRDefault="00CA04B5" w:rsidP="00CA04B5">
            <w:pPr>
              <w:pStyle w:val="tabteksts"/>
              <w:rPr>
                <w:snapToGrid w:val="0"/>
              </w:rPr>
            </w:pPr>
            <w:r w:rsidRPr="00147F95">
              <w:rPr>
                <w:snapToGrid w:val="0"/>
              </w:rPr>
              <w:t>Vispārējā valdība</w:t>
            </w:r>
          </w:p>
        </w:tc>
        <w:tc>
          <w:tcPr>
            <w:tcW w:w="1134" w:type="dxa"/>
          </w:tcPr>
          <w:p w14:paraId="7C572665" w14:textId="77777777" w:rsidR="00CA04B5" w:rsidRPr="00147F95" w:rsidRDefault="00CA04B5" w:rsidP="00CA04B5">
            <w:pPr>
              <w:pStyle w:val="tabteksts"/>
            </w:pPr>
            <w:r w:rsidRPr="00147F95">
              <w:t>S.13</w:t>
            </w:r>
          </w:p>
        </w:tc>
        <w:tc>
          <w:tcPr>
            <w:tcW w:w="850" w:type="dxa"/>
          </w:tcPr>
          <w:p w14:paraId="3668DC24" w14:textId="77777777" w:rsidR="00CA04B5" w:rsidRPr="0049071C" w:rsidRDefault="00CA04B5" w:rsidP="00CA04B5">
            <w:pPr>
              <w:pStyle w:val="tabteksts"/>
              <w:jc w:val="right"/>
              <w:rPr>
                <w:snapToGrid w:val="0"/>
              </w:rPr>
            </w:pPr>
            <w:r w:rsidRPr="0049071C">
              <w:rPr>
                <w:snapToGrid w:val="0"/>
              </w:rPr>
              <w:t>-1,0</w:t>
            </w:r>
          </w:p>
        </w:tc>
        <w:tc>
          <w:tcPr>
            <w:tcW w:w="851" w:type="dxa"/>
          </w:tcPr>
          <w:p w14:paraId="6FD216D5" w14:textId="77777777" w:rsidR="00CA04B5" w:rsidRPr="00602FEE" w:rsidRDefault="00CA04B5" w:rsidP="00CA04B5">
            <w:pPr>
              <w:pStyle w:val="tabteksts"/>
              <w:jc w:val="right"/>
              <w:rPr>
                <w:snapToGrid w:val="0"/>
              </w:rPr>
            </w:pPr>
            <w:r w:rsidRPr="00602FEE">
              <w:rPr>
                <w:snapToGrid w:val="0"/>
              </w:rPr>
              <w:t>-1,0</w:t>
            </w:r>
          </w:p>
        </w:tc>
        <w:tc>
          <w:tcPr>
            <w:tcW w:w="850" w:type="dxa"/>
          </w:tcPr>
          <w:p w14:paraId="69C2EDB3" w14:textId="77777777" w:rsidR="00CA04B5" w:rsidRPr="00602FEE" w:rsidRDefault="00CA04B5" w:rsidP="00CA04B5">
            <w:pPr>
              <w:pStyle w:val="tabteksts"/>
              <w:jc w:val="right"/>
              <w:rPr>
                <w:snapToGrid w:val="0"/>
              </w:rPr>
            </w:pPr>
            <w:r w:rsidRPr="00602FEE">
              <w:rPr>
                <w:snapToGrid w:val="0"/>
              </w:rPr>
              <w:t>-0,8</w:t>
            </w:r>
          </w:p>
        </w:tc>
        <w:tc>
          <w:tcPr>
            <w:tcW w:w="851" w:type="dxa"/>
          </w:tcPr>
          <w:p w14:paraId="7625E3D6" w14:textId="77777777" w:rsidR="00CA04B5" w:rsidRPr="00602FEE" w:rsidRDefault="00CA04B5" w:rsidP="00CA04B5">
            <w:pPr>
              <w:pStyle w:val="tabteksts"/>
              <w:jc w:val="right"/>
              <w:rPr>
                <w:snapToGrid w:val="0"/>
              </w:rPr>
            </w:pPr>
            <w:r w:rsidRPr="00602FEE">
              <w:rPr>
                <w:snapToGrid w:val="0"/>
              </w:rPr>
              <w:t>-0,7</w:t>
            </w:r>
          </w:p>
        </w:tc>
        <w:tc>
          <w:tcPr>
            <w:tcW w:w="850" w:type="dxa"/>
          </w:tcPr>
          <w:p w14:paraId="26A27398" w14:textId="77777777" w:rsidR="00CA04B5" w:rsidRPr="00602FEE" w:rsidRDefault="00CA04B5" w:rsidP="00CA04B5">
            <w:pPr>
              <w:pStyle w:val="tabteksts"/>
              <w:jc w:val="right"/>
              <w:rPr>
                <w:snapToGrid w:val="0"/>
              </w:rPr>
            </w:pPr>
            <w:r w:rsidRPr="00602FEE">
              <w:rPr>
                <w:snapToGrid w:val="0"/>
              </w:rPr>
              <w:t>-0,7</w:t>
            </w:r>
          </w:p>
        </w:tc>
      </w:tr>
      <w:tr w:rsidR="00CA04B5" w:rsidRPr="00C704FB" w14:paraId="3D4AC50A" w14:textId="77777777" w:rsidTr="003148B4">
        <w:trPr>
          <w:jc w:val="center"/>
        </w:trPr>
        <w:tc>
          <w:tcPr>
            <w:tcW w:w="2689" w:type="dxa"/>
          </w:tcPr>
          <w:p w14:paraId="4CBC99C9" w14:textId="77777777" w:rsidR="00CA04B5" w:rsidRPr="00147F95" w:rsidRDefault="00CA04B5" w:rsidP="00CA04B5">
            <w:pPr>
              <w:pStyle w:val="tabteksts"/>
              <w:rPr>
                <w:snapToGrid w:val="0"/>
              </w:rPr>
            </w:pPr>
            <w:r w:rsidRPr="00147F95">
              <w:rPr>
                <w:snapToGrid w:val="0"/>
              </w:rPr>
              <w:t>Centrālā valdība</w:t>
            </w:r>
          </w:p>
        </w:tc>
        <w:tc>
          <w:tcPr>
            <w:tcW w:w="1134" w:type="dxa"/>
          </w:tcPr>
          <w:p w14:paraId="7A648251" w14:textId="77777777" w:rsidR="00CA04B5" w:rsidRPr="00147F95" w:rsidRDefault="00CA04B5" w:rsidP="00CA04B5">
            <w:pPr>
              <w:pStyle w:val="tabteksts"/>
            </w:pPr>
            <w:r w:rsidRPr="00147F95">
              <w:t>S.1311</w:t>
            </w:r>
          </w:p>
        </w:tc>
        <w:tc>
          <w:tcPr>
            <w:tcW w:w="850" w:type="dxa"/>
          </w:tcPr>
          <w:p w14:paraId="7CE85682" w14:textId="77777777" w:rsidR="00CA04B5" w:rsidRPr="0049071C" w:rsidRDefault="00CA04B5" w:rsidP="00CA04B5">
            <w:pPr>
              <w:pStyle w:val="tabteksts"/>
              <w:jc w:val="right"/>
              <w:rPr>
                <w:snapToGrid w:val="0"/>
              </w:rPr>
            </w:pPr>
            <w:r w:rsidRPr="0049071C">
              <w:rPr>
                <w:snapToGrid w:val="0"/>
              </w:rPr>
              <w:t>-0,1</w:t>
            </w:r>
          </w:p>
        </w:tc>
        <w:tc>
          <w:tcPr>
            <w:tcW w:w="851" w:type="dxa"/>
          </w:tcPr>
          <w:p w14:paraId="784BA771" w14:textId="77777777" w:rsidR="00CA04B5" w:rsidRPr="00602FEE" w:rsidRDefault="00CA04B5" w:rsidP="00CA04B5">
            <w:pPr>
              <w:pStyle w:val="tabteksts"/>
              <w:jc w:val="right"/>
              <w:rPr>
                <w:snapToGrid w:val="0"/>
              </w:rPr>
            </w:pPr>
            <w:r w:rsidRPr="00602FEE">
              <w:rPr>
                <w:snapToGrid w:val="0"/>
              </w:rPr>
              <w:t>-1,4</w:t>
            </w:r>
          </w:p>
        </w:tc>
        <w:tc>
          <w:tcPr>
            <w:tcW w:w="850" w:type="dxa"/>
          </w:tcPr>
          <w:p w14:paraId="0963A1C0" w14:textId="77777777" w:rsidR="00CA04B5" w:rsidRPr="00602FEE" w:rsidRDefault="00CA04B5" w:rsidP="00CA04B5">
            <w:pPr>
              <w:pStyle w:val="tabteksts"/>
              <w:jc w:val="right"/>
              <w:rPr>
                <w:snapToGrid w:val="0"/>
              </w:rPr>
            </w:pPr>
            <w:r w:rsidRPr="00602FEE">
              <w:rPr>
                <w:snapToGrid w:val="0"/>
              </w:rPr>
              <w:t>-1,1</w:t>
            </w:r>
          </w:p>
        </w:tc>
        <w:tc>
          <w:tcPr>
            <w:tcW w:w="851" w:type="dxa"/>
          </w:tcPr>
          <w:p w14:paraId="4E40F46D" w14:textId="77777777" w:rsidR="00CA04B5" w:rsidRPr="00602FEE" w:rsidRDefault="00CA04B5" w:rsidP="00CA04B5">
            <w:pPr>
              <w:pStyle w:val="tabteksts"/>
              <w:jc w:val="right"/>
              <w:rPr>
                <w:snapToGrid w:val="0"/>
              </w:rPr>
            </w:pPr>
            <w:r w:rsidRPr="00602FEE">
              <w:rPr>
                <w:snapToGrid w:val="0"/>
              </w:rPr>
              <w:t>-1,2</w:t>
            </w:r>
          </w:p>
        </w:tc>
        <w:tc>
          <w:tcPr>
            <w:tcW w:w="850" w:type="dxa"/>
          </w:tcPr>
          <w:p w14:paraId="2CEDE3D9" w14:textId="77777777" w:rsidR="00CA04B5" w:rsidRPr="00602FEE" w:rsidRDefault="00CA04B5" w:rsidP="00CA04B5">
            <w:pPr>
              <w:pStyle w:val="tabteksts"/>
              <w:jc w:val="right"/>
              <w:rPr>
                <w:snapToGrid w:val="0"/>
              </w:rPr>
            </w:pPr>
            <w:r w:rsidRPr="00602FEE">
              <w:rPr>
                <w:snapToGrid w:val="0"/>
              </w:rPr>
              <w:t>-1,2</w:t>
            </w:r>
          </w:p>
        </w:tc>
      </w:tr>
      <w:tr w:rsidR="00CA04B5" w:rsidRPr="00C704FB" w14:paraId="63074162" w14:textId="77777777" w:rsidTr="003148B4">
        <w:trPr>
          <w:jc w:val="center"/>
        </w:trPr>
        <w:tc>
          <w:tcPr>
            <w:tcW w:w="2689" w:type="dxa"/>
          </w:tcPr>
          <w:p w14:paraId="7875D5DD" w14:textId="77777777" w:rsidR="00CA04B5" w:rsidRPr="00147F95" w:rsidRDefault="00CA04B5" w:rsidP="00CA04B5">
            <w:pPr>
              <w:pStyle w:val="tabteksts"/>
              <w:rPr>
                <w:snapToGrid w:val="0"/>
              </w:rPr>
            </w:pPr>
            <w:r w:rsidRPr="00147F95">
              <w:rPr>
                <w:snapToGrid w:val="0"/>
              </w:rPr>
              <w:t>Vietējā valdība</w:t>
            </w:r>
          </w:p>
        </w:tc>
        <w:tc>
          <w:tcPr>
            <w:tcW w:w="1134" w:type="dxa"/>
          </w:tcPr>
          <w:p w14:paraId="5B9A7931" w14:textId="77777777" w:rsidR="00CA04B5" w:rsidRPr="00147F95" w:rsidRDefault="00CA04B5" w:rsidP="00CA04B5">
            <w:pPr>
              <w:pStyle w:val="tabteksts"/>
            </w:pPr>
            <w:r w:rsidRPr="00147F95">
              <w:t>S.1313</w:t>
            </w:r>
          </w:p>
        </w:tc>
        <w:tc>
          <w:tcPr>
            <w:tcW w:w="850" w:type="dxa"/>
          </w:tcPr>
          <w:p w14:paraId="50283B05" w14:textId="77777777" w:rsidR="00CA04B5" w:rsidRPr="0049071C" w:rsidRDefault="00CA04B5" w:rsidP="00CA04B5">
            <w:pPr>
              <w:pStyle w:val="tabteksts"/>
              <w:jc w:val="right"/>
              <w:rPr>
                <w:snapToGrid w:val="0"/>
              </w:rPr>
            </w:pPr>
            <w:r w:rsidRPr="0049071C">
              <w:rPr>
                <w:snapToGrid w:val="0"/>
              </w:rPr>
              <w:t>-0,5</w:t>
            </w:r>
          </w:p>
        </w:tc>
        <w:tc>
          <w:tcPr>
            <w:tcW w:w="851" w:type="dxa"/>
          </w:tcPr>
          <w:p w14:paraId="326D1013" w14:textId="77777777" w:rsidR="00CA04B5" w:rsidRPr="00602FEE" w:rsidRDefault="00CA04B5" w:rsidP="00CA04B5">
            <w:pPr>
              <w:pStyle w:val="tabteksts"/>
              <w:jc w:val="right"/>
              <w:rPr>
                <w:snapToGrid w:val="0"/>
              </w:rPr>
            </w:pPr>
            <w:r w:rsidRPr="00602FEE">
              <w:rPr>
                <w:snapToGrid w:val="0"/>
              </w:rPr>
              <w:t>-0,3</w:t>
            </w:r>
          </w:p>
        </w:tc>
        <w:tc>
          <w:tcPr>
            <w:tcW w:w="850" w:type="dxa"/>
          </w:tcPr>
          <w:p w14:paraId="1D0E79E7" w14:textId="77777777" w:rsidR="00CA04B5" w:rsidRPr="00602FEE" w:rsidRDefault="00CA04B5" w:rsidP="00CA04B5">
            <w:pPr>
              <w:pStyle w:val="tabteksts"/>
              <w:jc w:val="right"/>
              <w:rPr>
                <w:snapToGrid w:val="0"/>
              </w:rPr>
            </w:pPr>
            <w:r w:rsidRPr="00602FEE">
              <w:rPr>
                <w:snapToGrid w:val="0"/>
              </w:rPr>
              <w:t>-0,2</w:t>
            </w:r>
          </w:p>
        </w:tc>
        <w:tc>
          <w:tcPr>
            <w:tcW w:w="851" w:type="dxa"/>
          </w:tcPr>
          <w:p w14:paraId="4F6753F5" w14:textId="77777777" w:rsidR="00CA04B5" w:rsidRPr="00602FEE" w:rsidRDefault="00CA04B5" w:rsidP="00CA04B5">
            <w:pPr>
              <w:pStyle w:val="tabteksts"/>
              <w:jc w:val="right"/>
              <w:rPr>
                <w:snapToGrid w:val="0"/>
              </w:rPr>
            </w:pPr>
            <w:r w:rsidRPr="00602FEE">
              <w:rPr>
                <w:snapToGrid w:val="0"/>
              </w:rPr>
              <w:t>0,1</w:t>
            </w:r>
          </w:p>
        </w:tc>
        <w:tc>
          <w:tcPr>
            <w:tcW w:w="850" w:type="dxa"/>
          </w:tcPr>
          <w:p w14:paraId="4A0CAAF4" w14:textId="77777777" w:rsidR="00CA04B5" w:rsidRPr="00602FEE" w:rsidRDefault="00CA04B5" w:rsidP="00CA04B5">
            <w:pPr>
              <w:pStyle w:val="tabteksts"/>
              <w:jc w:val="right"/>
              <w:rPr>
                <w:snapToGrid w:val="0"/>
              </w:rPr>
            </w:pPr>
            <w:r w:rsidRPr="00602FEE">
              <w:rPr>
                <w:snapToGrid w:val="0"/>
              </w:rPr>
              <w:t>0,1</w:t>
            </w:r>
          </w:p>
        </w:tc>
      </w:tr>
      <w:tr w:rsidR="00CA04B5" w:rsidRPr="00C704FB" w14:paraId="2C16F773" w14:textId="77777777" w:rsidTr="003148B4">
        <w:trPr>
          <w:jc w:val="center"/>
        </w:trPr>
        <w:tc>
          <w:tcPr>
            <w:tcW w:w="2689" w:type="dxa"/>
          </w:tcPr>
          <w:p w14:paraId="28643846" w14:textId="77777777" w:rsidR="00CA04B5" w:rsidRPr="00147F95" w:rsidRDefault="00CA04B5" w:rsidP="00CA04B5">
            <w:pPr>
              <w:pStyle w:val="tabteksts"/>
              <w:rPr>
                <w:snapToGrid w:val="0"/>
              </w:rPr>
            </w:pPr>
            <w:r w:rsidRPr="00147F95">
              <w:rPr>
                <w:snapToGrid w:val="0"/>
              </w:rPr>
              <w:t>Sociālās nodrošināšanas fondi</w:t>
            </w:r>
          </w:p>
        </w:tc>
        <w:tc>
          <w:tcPr>
            <w:tcW w:w="1134" w:type="dxa"/>
          </w:tcPr>
          <w:p w14:paraId="27CFAFF2" w14:textId="77777777" w:rsidR="00CA04B5" w:rsidRPr="00147F95" w:rsidRDefault="00CA04B5" w:rsidP="00CA04B5">
            <w:pPr>
              <w:pStyle w:val="tabteksts"/>
            </w:pPr>
            <w:r w:rsidRPr="00147F95">
              <w:t>S.1314</w:t>
            </w:r>
          </w:p>
        </w:tc>
        <w:tc>
          <w:tcPr>
            <w:tcW w:w="850" w:type="dxa"/>
          </w:tcPr>
          <w:p w14:paraId="659D9A93" w14:textId="77777777" w:rsidR="00CA04B5" w:rsidRPr="0049071C" w:rsidRDefault="00CA04B5" w:rsidP="00CA04B5">
            <w:pPr>
              <w:pStyle w:val="tabteksts"/>
              <w:jc w:val="right"/>
              <w:rPr>
                <w:snapToGrid w:val="0"/>
              </w:rPr>
            </w:pPr>
            <w:r w:rsidRPr="0049071C">
              <w:rPr>
                <w:snapToGrid w:val="0"/>
              </w:rPr>
              <w:t>-0,3</w:t>
            </w:r>
          </w:p>
        </w:tc>
        <w:tc>
          <w:tcPr>
            <w:tcW w:w="851" w:type="dxa"/>
          </w:tcPr>
          <w:p w14:paraId="6A3FD410" w14:textId="77777777" w:rsidR="00CA04B5" w:rsidRPr="00602FEE" w:rsidRDefault="00CA04B5" w:rsidP="00CA04B5">
            <w:pPr>
              <w:pStyle w:val="tabteksts"/>
              <w:jc w:val="right"/>
              <w:rPr>
                <w:snapToGrid w:val="0"/>
              </w:rPr>
            </w:pPr>
            <w:r w:rsidRPr="00602FEE">
              <w:rPr>
                <w:snapToGrid w:val="0"/>
              </w:rPr>
              <w:t>0,7</w:t>
            </w:r>
          </w:p>
        </w:tc>
        <w:tc>
          <w:tcPr>
            <w:tcW w:w="850" w:type="dxa"/>
          </w:tcPr>
          <w:p w14:paraId="2DB761C6" w14:textId="77777777" w:rsidR="00CA04B5" w:rsidRPr="00602FEE" w:rsidRDefault="00CA04B5" w:rsidP="00CA04B5">
            <w:pPr>
              <w:pStyle w:val="tabteksts"/>
              <w:jc w:val="right"/>
              <w:rPr>
                <w:snapToGrid w:val="0"/>
              </w:rPr>
            </w:pPr>
            <w:r w:rsidRPr="00602FEE">
              <w:rPr>
                <w:snapToGrid w:val="0"/>
              </w:rPr>
              <w:t>0,4</w:t>
            </w:r>
          </w:p>
        </w:tc>
        <w:tc>
          <w:tcPr>
            <w:tcW w:w="851" w:type="dxa"/>
          </w:tcPr>
          <w:p w14:paraId="6F2EBB59" w14:textId="77777777" w:rsidR="00CA04B5" w:rsidRPr="00602FEE" w:rsidRDefault="00CA04B5" w:rsidP="00CA04B5">
            <w:pPr>
              <w:pStyle w:val="tabteksts"/>
              <w:jc w:val="right"/>
              <w:rPr>
                <w:snapToGrid w:val="0"/>
              </w:rPr>
            </w:pPr>
            <w:r w:rsidRPr="00602FEE">
              <w:rPr>
                <w:snapToGrid w:val="0"/>
              </w:rPr>
              <w:t>0,4</w:t>
            </w:r>
          </w:p>
        </w:tc>
        <w:tc>
          <w:tcPr>
            <w:tcW w:w="850" w:type="dxa"/>
          </w:tcPr>
          <w:p w14:paraId="6ED63E0A" w14:textId="77777777" w:rsidR="00CA04B5" w:rsidRPr="00602FEE" w:rsidRDefault="00CA04B5" w:rsidP="00CA04B5">
            <w:pPr>
              <w:pStyle w:val="tabteksts"/>
              <w:jc w:val="right"/>
              <w:rPr>
                <w:snapToGrid w:val="0"/>
              </w:rPr>
            </w:pPr>
            <w:r w:rsidRPr="00602FEE">
              <w:rPr>
                <w:snapToGrid w:val="0"/>
              </w:rPr>
              <w:t>0,5</w:t>
            </w:r>
          </w:p>
        </w:tc>
      </w:tr>
      <w:tr w:rsidR="00CA04B5" w:rsidRPr="003871D3" w14:paraId="471494C3" w14:textId="77777777" w:rsidTr="003148B4">
        <w:trPr>
          <w:jc w:val="center"/>
        </w:trPr>
        <w:tc>
          <w:tcPr>
            <w:tcW w:w="8075" w:type="dxa"/>
            <w:gridSpan w:val="7"/>
            <w:shd w:val="clear" w:color="auto" w:fill="auto"/>
          </w:tcPr>
          <w:p w14:paraId="081FCD53" w14:textId="77777777" w:rsidR="00CA04B5" w:rsidRPr="00147F95" w:rsidRDefault="00CA04B5" w:rsidP="00CA04B5">
            <w:pPr>
              <w:spacing w:after="0"/>
              <w:ind w:firstLine="720"/>
              <w:jc w:val="center"/>
              <w:rPr>
                <w:b/>
                <w:snapToGrid w:val="0"/>
                <w:sz w:val="18"/>
                <w:szCs w:val="18"/>
              </w:rPr>
            </w:pPr>
            <w:r w:rsidRPr="00147F95">
              <w:rPr>
                <w:b/>
                <w:snapToGrid w:val="0"/>
                <w:sz w:val="18"/>
                <w:szCs w:val="18"/>
              </w:rPr>
              <w:t>Vispārējā valdība (S.13)</w:t>
            </w:r>
          </w:p>
        </w:tc>
      </w:tr>
      <w:tr w:rsidR="00CA04B5" w:rsidRPr="00C704FB" w14:paraId="7B07DCE7" w14:textId="77777777" w:rsidTr="003148B4">
        <w:trPr>
          <w:jc w:val="center"/>
        </w:trPr>
        <w:tc>
          <w:tcPr>
            <w:tcW w:w="2689" w:type="dxa"/>
          </w:tcPr>
          <w:p w14:paraId="7B9BCBBC" w14:textId="77777777" w:rsidR="00CA04B5" w:rsidRPr="00147F95" w:rsidRDefault="00CA04B5" w:rsidP="00CA04B5">
            <w:pPr>
              <w:pStyle w:val="tabteksts"/>
              <w:rPr>
                <w:snapToGrid w:val="0"/>
              </w:rPr>
            </w:pPr>
            <w:r w:rsidRPr="00147F95">
              <w:rPr>
                <w:snapToGrid w:val="0"/>
              </w:rPr>
              <w:t xml:space="preserve">Kopējie ieņēmumi </w:t>
            </w:r>
          </w:p>
        </w:tc>
        <w:tc>
          <w:tcPr>
            <w:tcW w:w="1134" w:type="dxa"/>
            <w:shd w:val="clear" w:color="auto" w:fill="auto"/>
          </w:tcPr>
          <w:p w14:paraId="22E3F5C4" w14:textId="77777777" w:rsidR="00CA04B5" w:rsidRPr="00147F95" w:rsidRDefault="00CA04B5" w:rsidP="00CA04B5">
            <w:pPr>
              <w:pStyle w:val="tabteksts"/>
            </w:pPr>
            <w:r w:rsidRPr="00147F95">
              <w:t>TR</w:t>
            </w:r>
          </w:p>
        </w:tc>
        <w:tc>
          <w:tcPr>
            <w:tcW w:w="850" w:type="dxa"/>
            <w:shd w:val="clear" w:color="auto" w:fill="auto"/>
          </w:tcPr>
          <w:p w14:paraId="1E582D75" w14:textId="77777777" w:rsidR="00CA04B5" w:rsidRPr="00147F95" w:rsidRDefault="00CA04B5" w:rsidP="00CA04B5">
            <w:pPr>
              <w:pStyle w:val="tabteksts"/>
              <w:jc w:val="right"/>
              <w:rPr>
                <w:snapToGrid w:val="0"/>
              </w:rPr>
            </w:pPr>
            <w:r w:rsidRPr="00147F95">
              <w:rPr>
                <w:snapToGrid w:val="0"/>
              </w:rPr>
              <w:t>35,1</w:t>
            </w:r>
          </w:p>
        </w:tc>
        <w:tc>
          <w:tcPr>
            <w:tcW w:w="851" w:type="dxa"/>
          </w:tcPr>
          <w:p w14:paraId="37D49F65" w14:textId="77777777" w:rsidR="00CA04B5" w:rsidRPr="00602FEE" w:rsidRDefault="00CA04B5" w:rsidP="00CA04B5">
            <w:pPr>
              <w:pStyle w:val="tabteksts"/>
              <w:jc w:val="right"/>
              <w:rPr>
                <w:snapToGrid w:val="0"/>
              </w:rPr>
            </w:pPr>
            <w:r w:rsidRPr="00602FEE">
              <w:rPr>
                <w:snapToGrid w:val="0"/>
              </w:rPr>
              <w:t>33,9</w:t>
            </w:r>
          </w:p>
        </w:tc>
        <w:tc>
          <w:tcPr>
            <w:tcW w:w="850" w:type="dxa"/>
          </w:tcPr>
          <w:p w14:paraId="72F3C0E0" w14:textId="77777777" w:rsidR="00CA04B5" w:rsidRPr="00602FEE" w:rsidRDefault="00CA04B5" w:rsidP="00CA04B5">
            <w:pPr>
              <w:pStyle w:val="tabteksts"/>
              <w:jc w:val="right"/>
              <w:rPr>
                <w:snapToGrid w:val="0"/>
              </w:rPr>
            </w:pPr>
            <w:r w:rsidRPr="00602FEE">
              <w:rPr>
                <w:snapToGrid w:val="0"/>
              </w:rPr>
              <w:t>32,0</w:t>
            </w:r>
          </w:p>
        </w:tc>
        <w:tc>
          <w:tcPr>
            <w:tcW w:w="851" w:type="dxa"/>
          </w:tcPr>
          <w:p w14:paraId="0C3B53C1" w14:textId="77777777" w:rsidR="00CA04B5" w:rsidRPr="00602FEE" w:rsidRDefault="00CA04B5" w:rsidP="00CA04B5">
            <w:pPr>
              <w:pStyle w:val="tabteksts"/>
              <w:jc w:val="right"/>
              <w:rPr>
                <w:snapToGrid w:val="0"/>
              </w:rPr>
            </w:pPr>
            <w:r w:rsidRPr="00602FEE">
              <w:rPr>
                <w:snapToGrid w:val="0"/>
              </w:rPr>
              <w:t>30,9</w:t>
            </w:r>
          </w:p>
        </w:tc>
        <w:tc>
          <w:tcPr>
            <w:tcW w:w="850" w:type="dxa"/>
          </w:tcPr>
          <w:p w14:paraId="5B08C8B0" w14:textId="77777777" w:rsidR="00CA04B5" w:rsidRPr="00602FEE" w:rsidRDefault="00CA04B5" w:rsidP="00CA04B5">
            <w:pPr>
              <w:pStyle w:val="tabteksts"/>
              <w:jc w:val="right"/>
              <w:rPr>
                <w:snapToGrid w:val="0"/>
              </w:rPr>
            </w:pPr>
            <w:r w:rsidRPr="00602FEE">
              <w:rPr>
                <w:snapToGrid w:val="0"/>
              </w:rPr>
              <w:t>30,1</w:t>
            </w:r>
          </w:p>
        </w:tc>
      </w:tr>
      <w:tr w:rsidR="00CA04B5" w:rsidRPr="00C704FB" w14:paraId="1F9354C8" w14:textId="77777777" w:rsidTr="003148B4">
        <w:trPr>
          <w:trHeight w:val="158"/>
          <w:jc w:val="center"/>
        </w:trPr>
        <w:tc>
          <w:tcPr>
            <w:tcW w:w="2689" w:type="dxa"/>
          </w:tcPr>
          <w:p w14:paraId="77B2895E" w14:textId="77777777" w:rsidR="00CA04B5" w:rsidRPr="00147F95" w:rsidRDefault="00CA04B5" w:rsidP="00CA04B5">
            <w:pPr>
              <w:pStyle w:val="tabteksts"/>
              <w:rPr>
                <w:snapToGrid w:val="0"/>
              </w:rPr>
            </w:pPr>
            <w:r w:rsidRPr="00147F95">
              <w:rPr>
                <w:snapToGrid w:val="0"/>
              </w:rPr>
              <w:t>Kopējie izdevumi</w:t>
            </w:r>
          </w:p>
        </w:tc>
        <w:tc>
          <w:tcPr>
            <w:tcW w:w="1134" w:type="dxa"/>
            <w:shd w:val="clear" w:color="auto" w:fill="auto"/>
          </w:tcPr>
          <w:p w14:paraId="174CDA4E" w14:textId="77777777" w:rsidR="00CA04B5" w:rsidRPr="00147F95" w:rsidRDefault="00CA04B5" w:rsidP="00CA04B5">
            <w:pPr>
              <w:pStyle w:val="tabteksts"/>
            </w:pPr>
            <w:r w:rsidRPr="00147F95">
              <w:t>TE</w:t>
            </w:r>
          </w:p>
        </w:tc>
        <w:tc>
          <w:tcPr>
            <w:tcW w:w="850" w:type="dxa"/>
            <w:shd w:val="clear" w:color="auto" w:fill="auto"/>
          </w:tcPr>
          <w:p w14:paraId="7A5F9F40" w14:textId="77777777" w:rsidR="00CA04B5" w:rsidRPr="00147F95" w:rsidRDefault="00CA04B5" w:rsidP="00CA04B5">
            <w:pPr>
              <w:pStyle w:val="tabteksts"/>
              <w:jc w:val="right"/>
              <w:rPr>
                <w:snapToGrid w:val="0"/>
              </w:rPr>
            </w:pPr>
            <w:r w:rsidRPr="00147F95">
              <w:rPr>
                <w:snapToGrid w:val="0"/>
              </w:rPr>
              <w:t>36,1</w:t>
            </w:r>
          </w:p>
        </w:tc>
        <w:tc>
          <w:tcPr>
            <w:tcW w:w="851" w:type="dxa"/>
          </w:tcPr>
          <w:p w14:paraId="416D4DF1" w14:textId="77777777" w:rsidR="00CA04B5" w:rsidRPr="00602FEE" w:rsidRDefault="00CA04B5" w:rsidP="00CA04B5">
            <w:pPr>
              <w:pStyle w:val="tabteksts"/>
              <w:jc w:val="right"/>
              <w:rPr>
                <w:snapToGrid w:val="0"/>
              </w:rPr>
            </w:pPr>
            <w:r w:rsidRPr="00602FEE">
              <w:rPr>
                <w:snapToGrid w:val="0"/>
              </w:rPr>
              <w:t>34,9</w:t>
            </w:r>
          </w:p>
        </w:tc>
        <w:tc>
          <w:tcPr>
            <w:tcW w:w="850" w:type="dxa"/>
          </w:tcPr>
          <w:p w14:paraId="1953DB6A" w14:textId="77777777" w:rsidR="00CA04B5" w:rsidRPr="00602FEE" w:rsidRDefault="00CA04B5" w:rsidP="00CA04B5">
            <w:pPr>
              <w:pStyle w:val="tabteksts"/>
              <w:jc w:val="right"/>
              <w:rPr>
                <w:snapToGrid w:val="0"/>
              </w:rPr>
            </w:pPr>
            <w:r w:rsidRPr="00602FEE">
              <w:rPr>
                <w:snapToGrid w:val="0"/>
              </w:rPr>
              <w:t>32,8</w:t>
            </w:r>
          </w:p>
        </w:tc>
        <w:tc>
          <w:tcPr>
            <w:tcW w:w="851" w:type="dxa"/>
          </w:tcPr>
          <w:p w14:paraId="41152236" w14:textId="77777777" w:rsidR="00CA04B5" w:rsidRPr="00602FEE" w:rsidRDefault="00CA04B5" w:rsidP="00CA04B5">
            <w:pPr>
              <w:pStyle w:val="tabteksts"/>
              <w:jc w:val="right"/>
              <w:rPr>
                <w:snapToGrid w:val="0"/>
              </w:rPr>
            </w:pPr>
            <w:r w:rsidRPr="00602FEE">
              <w:rPr>
                <w:snapToGrid w:val="0"/>
              </w:rPr>
              <w:t>31,6</w:t>
            </w:r>
          </w:p>
        </w:tc>
        <w:tc>
          <w:tcPr>
            <w:tcW w:w="850" w:type="dxa"/>
          </w:tcPr>
          <w:p w14:paraId="62CE4E01" w14:textId="77777777" w:rsidR="00CA04B5" w:rsidRPr="00602FEE" w:rsidRDefault="00CA04B5" w:rsidP="00CA04B5">
            <w:pPr>
              <w:pStyle w:val="tabteksts"/>
              <w:jc w:val="right"/>
              <w:rPr>
                <w:snapToGrid w:val="0"/>
              </w:rPr>
            </w:pPr>
            <w:r w:rsidRPr="00602FEE">
              <w:rPr>
                <w:snapToGrid w:val="0"/>
              </w:rPr>
              <w:t>30,8</w:t>
            </w:r>
          </w:p>
        </w:tc>
      </w:tr>
      <w:tr w:rsidR="00CA04B5" w:rsidRPr="00C704FB" w14:paraId="0EB1BCAD" w14:textId="77777777" w:rsidTr="003148B4">
        <w:trPr>
          <w:jc w:val="center"/>
        </w:trPr>
        <w:tc>
          <w:tcPr>
            <w:tcW w:w="2689" w:type="dxa"/>
          </w:tcPr>
          <w:p w14:paraId="72283D04" w14:textId="01DAF912" w:rsidR="00CA04B5" w:rsidRPr="00147F95" w:rsidRDefault="00CA04B5" w:rsidP="00CA04B5">
            <w:pPr>
              <w:pStyle w:val="tabteksts"/>
              <w:rPr>
                <w:snapToGrid w:val="0"/>
              </w:rPr>
            </w:pPr>
            <w:r w:rsidRPr="00147F95">
              <w:rPr>
                <w:snapToGrid w:val="0"/>
              </w:rPr>
              <w:t>Procentu izdevumi</w:t>
            </w:r>
          </w:p>
        </w:tc>
        <w:tc>
          <w:tcPr>
            <w:tcW w:w="1134" w:type="dxa"/>
          </w:tcPr>
          <w:p w14:paraId="0CB9C3C8" w14:textId="77777777" w:rsidR="00CA04B5" w:rsidRPr="00147F95" w:rsidRDefault="00CA04B5" w:rsidP="00CA04B5">
            <w:pPr>
              <w:pStyle w:val="tabteksts"/>
            </w:pPr>
            <w:r w:rsidRPr="00147F95">
              <w:t xml:space="preserve">EDP D.41 </w:t>
            </w:r>
          </w:p>
        </w:tc>
        <w:tc>
          <w:tcPr>
            <w:tcW w:w="850" w:type="dxa"/>
          </w:tcPr>
          <w:p w14:paraId="4D9896EA" w14:textId="77777777" w:rsidR="00CA04B5" w:rsidRPr="0049071C" w:rsidRDefault="00CA04B5" w:rsidP="00CA04B5">
            <w:pPr>
              <w:pStyle w:val="tabteksts"/>
              <w:jc w:val="right"/>
              <w:rPr>
                <w:snapToGrid w:val="0"/>
              </w:rPr>
            </w:pPr>
            <w:r w:rsidRPr="0049071C">
              <w:rPr>
                <w:snapToGrid w:val="0"/>
              </w:rPr>
              <w:t>1,7</w:t>
            </w:r>
          </w:p>
        </w:tc>
        <w:tc>
          <w:tcPr>
            <w:tcW w:w="851" w:type="dxa"/>
          </w:tcPr>
          <w:p w14:paraId="71E25EE1" w14:textId="77777777" w:rsidR="00CA04B5" w:rsidRPr="00602FEE" w:rsidRDefault="00CA04B5" w:rsidP="00CA04B5">
            <w:pPr>
              <w:pStyle w:val="tabteksts"/>
              <w:jc w:val="right"/>
              <w:rPr>
                <w:snapToGrid w:val="0"/>
              </w:rPr>
            </w:pPr>
            <w:r w:rsidRPr="00602FEE">
              <w:rPr>
                <w:snapToGrid w:val="0"/>
              </w:rPr>
              <w:t>1,6</w:t>
            </w:r>
          </w:p>
        </w:tc>
        <w:tc>
          <w:tcPr>
            <w:tcW w:w="850" w:type="dxa"/>
          </w:tcPr>
          <w:p w14:paraId="145ECFB5" w14:textId="77777777" w:rsidR="00CA04B5" w:rsidRPr="00602FEE" w:rsidRDefault="00CA04B5" w:rsidP="00CA04B5">
            <w:pPr>
              <w:pStyle w:val="tabteksts"/>
              <w:jc w:val="right"/>
              <w:rPr>
                <w:snapToGrid w:val="0"/>
              </w:rPr>
            </w:pPr>
            <w:r w:rsidRPr="00602FEE">
              <w:rPr>
                <w:snapToGrid w:val="0"/>
              </w:rPr>
              <w:t>1,2</w:t>
            </w:r>
          </w:p>
        </w:tc>
        <w:tc>
          <w:tcPr>
            <w:tcW w:w="851" w:type="dxa"/>
          </w:tcPr>
          <w:p w14:paraId="145310DF" w14:textId="77777777" w:rsidR="00CA04B5" w:rsidRPr="00602FEE" w:rsidRDefault="00CA04B5" w:rsidP="00CA04B5">
            <w:pPr>
              <w:pStyle w:val="tabteksts"/>
              <w:jc w:val="right"/>
              <w:rPr>
                <w:snapToGrid w:val="0"/>
              </w:rPr>
            </w:pPr>
            <w:r w:rsidRPr="00602FEE">
              <w:rPr>
                <w:snapToGrid w:val="0"/>
              </w:rPr>
              <w:t>1,2</w:t>
            </w:r>
          </w:p>
        </w:tc>
        <w:tc>
          <w:tcPr>
            <w:tcW w:w="850" w:type="dxa"/>
          </w:tcPr>
          <w:p w14:paraId="51BB04BE" w14:textId="77777777" w:rsidR="00CA04B5" w:rsidRPr="00602FEE" w:rsidRDefault="00CA04B5" w:rsidP="00CA04B5">
            <w:pPr>
              <w:pStyle w:val="tabteksts"/>
              <w:jc w:val="right"/>
              <w:rPr>
                <w:snapToGrid w:val="0"/>
              </w:rPr>
            </w:pPr>
            <w:r w:rsidRPr="00602FEE">
              <w:rPr>
                <w:snapToGrid w:val="0"/>
              </w:rPr>
              <w:t>1,1</w:t>
            </w:r>
          </w:p>
        </w:tc>
      </w:tr>
      <w:tr w:rsidR="00CA04B5" w:rsidRPr="003871D3" w14:paraId="39B59844" w14:textId="77777777" w:rsidTr="003148B4">
        <w:trPr>
          <w:jc w:val="center"/>
        </w:trPr>
        <w:tc>
          <w:tcPr>
            <w:tcW w:w="8075" w:type="dxa"/>
            <w:gridSpan w:val="7"/>
          </w:tcPr>
          <w:p w14:paraId="539FEF8B" w14:textId="77777777" w:rsidR="00CA04B5" w:rsidRPr="00B074AD" w:rsidRDefault="00CA04B5" w:rsidP="00CA04B5">
            <w:pPr>
              <w:spacing w:after="0"/>
              <w:ind w:firstLine="720"/>
              <w:jc w:val="center"/>
              <w:rPr>
                <w:b/>
                <w:snapToGrid w:val="0"/>
                <w:sz w:val="18"/>
                <w:szCs w:val="18"/>
                <w:highlight w:val="yellow"/>
              </w:rPr>
            </w:pPr>
            <w:r w:rsidRPr="00147F95">
              <w:rPr>
                <w:b/>
                <w:snapToGrid w:val="0"/>
                <w:sz w:val="18"/>
                <w:szCs w:val="18"/>
              </w:rPr>
              <w:t>Cikliskā attīstība</w:t>
            </w:r>
          </w:p>
        </w:tc>
      </w:tr>
      <w:tr w:rsidR="00CA04B5" w:rsidRPr="00C704FB" w14:paraId="5E4259A5" w14:textId="77777777" w:rsidTr="003148B4">
        <w:trPr>
          <w:jc w:val="center"/>
        </w:trPr>
        <w:tc>
          <w:tcPr>
            <w:tcW w:w="2689" w:type="dxa"/>
          </w:tcPr>
          <w:p w14:paraId="069F2A58" w14:textId="77777777" w:rsidR="00CA04B5" w:rsidRPr="00B074AD" w:rsidRDefault="00CA04B5" w:rsidP="00CA04B5">
            <w:pPr>
              <w:pStyle w:val="tabteksts"/>
              <w:rPr>
                <w:snapToGrid w:val="0"/>
                <w:highlight w:val="yellow"/>
              </w:rPr>
            </w:pPr>
            <w:r w:rsidRPr="00147F95">
              <w:rPr>
                <w:snapToGrid w:val="0"/>
              </w:rPr>
              <w:t xml:space="preserve">Budžeta bilances cikliskā komponente </w:t>
            </w:r>
          </w:p>
        </w:tc>
        <w:tc>
          <w:tcPr>
            <w:tcW w:w="1134" w:type="dxa"/>
          </w:tcPr>
          <w:p w14:paraId="232829F1" w14:textId="77777777" w:rsidR="00CA04B5" w:rsidRPr="00B074AD" w:rsidRDefault="00CA04B5" w:rsidP="00CA04B5">
            <w:pPr>
              <w:pStyle w:val="tabteksts"/>
              <w:rPr>
                <w:highlight w:val="yellow"/>
              </w:rPr>
            </w:pPr>
          </w:p>
        </w:tc>
        <w:tc>
          <w:tcPr>
            <w:tcW w:w="850" w:type="dxa"/>
            <w:shd w:val="clear" w:color="auto" w:fill="auto"/>
            <w:vAlign w:val="bottom"/>
          </w:tcPr>
          <w:p w14:paraId="56DDD053" w14:textId="77777777" w:rsidR="00CA04B5" w:rsidRPr="00147F95" w:rsidRDefault="00CA04B5" w:rsidP="00CA04B5">
            <w:pPr>
              <w:pStyle w:val="tabteksts"/>
              <w:jc w:val="right"/>
              <w:rPr>
                <w:snapToGrid w:val="0"/>
              </w:rPr>
            </w:pPr>
            <w:r w:rsidRPr="00147F95">
              <w:rPr>
                <w:snapToGrid w:val="0"/>
              </w:rPr>
              <w:t>0,0</w:t>
            </w:r>
          </w:p>
        </w:tc>
        <w:tc>
          <w:tcPr>
            <w:tcW w:w="851" w:type="dxa"/>
            <w:shd w:val="clear" w:color="auto" w:fill="auto"/>
            <w:vAlign w:val="bottom"/>
          </w:tcPr>
          <w:p w14:paraId="168DEED3" w14:textId="77777777" w:rsidR="00CA04B5" w:rsidRPr="00147F95" w:rsidRDefault="00CA04B5" w:rsidP="00CA04B5">
            <w:pPr>
              <w:pStyle w:val="tabteksts"/>
              <w:jc w:val="right"/>
              <w:rPr>
                <w:snapToGrid w:val="0"/>
              </w:rPr>
            </w:pPr>
            <w:r w:rsidRPr="00147F95">
              <w:rPr>
                <w:snapToGrid w:val="0"/>
              </w:rPr>
              <w:t>0,2</w:t>
            </w:r>
          </w:p>
        </w:tc>
        <w:tc>
          <w:tcPr>
            <w:tcW w:w="850" w:type="dxa"/>
            <w:shd w:val="clear" w:color="auto" w:fill="auto"/>
            <w:vAlign w:val="bottom"/>
          </w:tcPr>
          <w:p w14:paraId="5E0FD2FE" w14:textId="77777777" w:rsidR="00CA04B5" w:rsidRPr="00147F95" w:rsidRDefault="00CA04B5" w:rsidP="00CA04B5">
            <w:pPr>
              <w:pStyle w:val="tabteksts"/>
              <w:jc w:val="right"/>
              <w:rPr>
                <w:snapToGrid w:val="0"/>
              </w:rPr>
            </w:pPr>
            <w:r w:rsidRPr="00147F95">
              <w:rPr>
                <w:snapToGrid w:val="0"/>
              </w:rPr>
              <w:t>0,2</w:t>
            </w:r>
          </w:p>
        </w:tc>
        <w:tc>
          <w:tcPr>
            <w:tcW w:w="851" w:type="dxa"/>
            <w:shd w:val="clear" w:color="auto" w:fill="auto"/>
            <w:vAlign w:val="bottom"/>
          </w:tcPr>
          <w:p w14:paraId="201E38E9" w14:textId="77777777" w:rsidR="00CA04B5" w:rsidRPr="00147F95" w:rsidRDefault="00CA04B5" w:rsidP="00CA04B5">
            <w:pPr>
              <w:pStyle w:val="tabteksts"/>
              <w:jc w:val="right"/>
              <w:rPr>
                <w:snapToGrid w:val="0"/>
              </w:rPr>
            </w:pPr>
            <w:r w:rsidRPr="00147F95">
              <w:rPr>
                <w:snapToGrid w:val="0"/>
              </w:rPr>
              <w:t>0,2</w:t>
            </w:r>
          </w:p>
        </w:tc>
        <w:tc>
          <w:tcPr>
            <w:tcW w:w="850" w:type="dxa"/>
            <w:shd w:val="clear" w:color="auto" w:fill="auto"/>
            <w:vAlign w:val="bottom"/>
          </w:tcPr>
          <w:p w14:paraId="427A05EE" w14:textId="77777777" w:rsidR="00CA04B5" w:rsidRPr="00147F95" w:rsidRDefault="00CA04B5" w:rsidP="00CA04B5">
            <w:pPr>
              <w:pStyle w:val="tabteksts"/>
              <w:jc w:val="right"/>
              <w:rPr>
                <w:snapToGrid w:val="0"/>
              </w:rPr>
            </w:pPr>
            <w:r w:rsidRPr="00147F95">
              <w:rPr>
                <w:snapToGrid w:val="0"/>
              </w:rPr>
              <w:t>0,1</w:t>
            </w:r>
          </w:p>
        </w:tc>
      </w:tr>
      <w:tr w:rsidR="00CA04B5" w:rsidRPr="00C704FB" w14:paraId="3ACE20DD" w14:textId="77777777" w:rsidTr="003148B4">
        <w:trPr>
          <w:trHeight w:val="158"/>
          <w:jc w:val="center"/>
        </w:trPr>
        <w:tc>
          <w:tcPr>
            <w:tcW w:w="2689" w:type="dxa"/>
          </w:tcPr>
          <w:p w14:paraId="3275F525" w14:textId="77777777" w:rsidR="00CA04B5" w:rsidRPr="00B074AD" w:rsidRDefault="00CA04B5" w:rsidP="00CA04B5">
            <w:pPr>
              <w:pStyle w:val="tabteksts"/>
              <w:rPr>
                <w:snapToGrid w:val="0"/>
                <w:highlight w:val="yellow"/>
              </w:rPr>
            </w:pPr>
            <w:r w:rsidRPr="00147F95">
              <w:rPr>
                <w:snapToGrid w:val="0"/>
              </w:rPr>
              <w:t>Strukturālā bilance</w:t>
            </w:r>
          </w:p>
        </w:tc>
        <w:tc>
          <w:tcPr>
            <w:tcW w:w="1134" w:type="dxa"/>
          </w:tcPr>
          <w:p w14:paraId="724A5CFD" w14:textId="77777777" w:rsidR="00CA04B5" w:rsidRPr="00B074AD" w:rsidRDefault="00CA04B5" w:rsidP="00CA04B5">
            <w:pPr>
              <w:pStyle w:val="tabteksts"/>
              <w:rPr>
                <w:highlight w:val="yellow"/>
              </w:rPr>
            </w:pPr>
          </w:p>
        </w:tc>
        <w:tc>
          <w:tcPr>
            <w:tcW w:w="850" w:type="dxa"/>
            <w:shd w:val="clear" w:color="auto" w:fill="auto"/>
            <w:vAlign w:val="bottom"/>
          </w:tcPr>
          <w:p w14:paraId="29DE39DE" w14:textId="77777777" w:rsidR="00CA04B5" w:rsidRPr="00147F95" w:rsidRDefault="00CA04B5" w:rsidP="00CA04B5">
            <w:pPr>
              <w:pStyle w:val="tabteksts"/>
              <w:jc w:val="right"/>
              <w:rPr>
                <w:snapToGrid w:val="0"/>
              </w:rPr>
            </w:pPr>
            <w:r w:rsidRPr="00147F95">
              <w:rPr>
                <w:snapToGrid w:val="0"/>
              </w:rPr>
              <w:t>-0,9</w:t>
            </w:r>
          </w:p>
        </w:tc>
        <w:tc>
          <w:tcPr>
            <w:tcW w:w="851" w:type="dxa"/>
            <w:shd w:val="clear" w:color="auto" w:fill="auto"/>
            <w:vAlign w:val="bottom"/>
          </w:tcPr>
          <w:p w14:paraId="4D5EB91D" w14:textId="77777777" w:rsidR="00CA04B5" w:rsidRPr="00147F95" w:rsidRDefault="00CA04B5" w:rsidP="00CA04B5">
            <w:pPr>
              <w:pStyle w:val="tabteksts"/>
              <w:jc w:val="right"/>
              <w:rPr>
                <w:snapToGrid w:val="0"/>
              </w:rPr>
            </w:pPr>
            <w:r w:rsidRPr="00147F95">
              <w:rPr>
                <w:snapToGrid w:val="0"/>
              </w:rPr>
              <w:t>-1,2</w:t>
            </w:r>
          </w:p>
        </w:tc>
        <w:tc>
          <w:tcPr>
            <w:tcW w:w="850" w:type="dxa"/>
            <w:shd w:val="clear" w:color="auto" w:fill="auto"/>
            <w:vAlign w:val="bottom"/>
          </w:tcPr>
          <w:p w14:paraId="45F0619B" w14:textId="77777777" w:rsidR="00CA04B5" w:rsidRPr="00147F95" w:rsidRDefault="00CA04B5" w:rsidP="00CA04B5">
            <w:pPr>
              <w:pStyle w:val="tabteksts"/>
              <w:jc w:val="right"/>
              <w:rPr>
                <w:snapToGrid w:val="0"/>
              </w:rPr>
            </w:pPr>
            <w:r w:rsidRPr="00147F95">
              <w:rPr>
                <w:snapToGrid w:val="0"/>
              </w:rPr>
              <w:t>-1,0</w:t>
            </w:r>
          </w:p>
        </w:tc>
        <w:tc>
          <w:tcPr>
            <w:tcW w:w="851" w:type="dxa"/>
            <w:shd w:val="clear" w:color="auto" w:fill="auto"/>
            <w:vAlign w:val="bottom"/>
          </w:tcPr>
          <w:p w14:paraId="31DD4982" w14:textId="77777777" w:rsidR="00CA04B5" w:rsidRPr="00147F95" w:rsidRDefault="00CA04B5" w:rsidP="00CA04B5">
            <w:pPr>
              <w:pStyle w:val="tabteksts"/>
              <w:jc w:val="right"/>
              <w:rPr>
                <w:snapToGrid w:val="0"/>
              </w:rPr>
            </w:pPr>
            <w:r w:rsidRPr="00147F95">
              <w:rPr>
                <w:snapToGrid w:val="0"/>
              </w:rPr>
              <w:t>-0,9</w:t>
            </w:r>
          </w:p>
        </w:tc>
        <w:tc>
          <w:tcPr>
            <w:tcW w:w="850" w:type="dxa"/>
            <w:shd w:val="clear" w:color="auto" w:fill="auto"/>
            <w:vAlign w:val="bottom"/>
          </w:tcPr>
          <w:p w14:paraId="1159BDAC" w14:textId="77777777" w:rsidR="00CA04B5" w:rsidRPr="00147F95" w:rsidRDefault="00CA04B5" w:rsidP="00CA04B5">
            <w:pPr>
              <w:pStyle w:val="tabteksts"/>
              <w:jc w:val="right"/>
              <w:rPr>
                <w:snapToGrid w:val="0"/>
              </w:rPr>
            </w:pPr>
            <w:r w:rsidRPr="00147F95">
              <w:rPr>
                <w:snapToGrid w:val="0"/>
              </w:rPr>
              <w:t>-0,8</w:t>
            </w:r>
          </w:p>
        </w:tc>
      </w:tr>
      <w:tr w:rsidR="00CA04B5" w:rsidRPr="00147F95" w14:paraId="1E8E0EAB" w14:textId="77777777" w:rsidTr="003148B4">
        <w:trPr>
          <w:jc w:val="center"/>
        </w:trPr>
        <w:tc>
          <w:tcPr>
            <w:tcW w:w="2689" w:type="dxa"/>
          </w:tcPr>
          <w:p w14:paraId="10CF8CAA" w14:textId="77777777" w:rsidR="00CA04B5" w:rsidRPr="00B074AD" w:rsidRDefault="00CA04B5" w:rsidP="00CA04B5">
            <w:pPr>
              <w:pStyle w:val="tabteksts"/>
              <w:rPr>
                <w:snapToGrid w:val="0"/>
                <w:highlight w:val="yellow"/>
              </w:rPr>
            </w:pPr>
            <w:r w:rsidRPr="00147F95">
              <w:rPr>
                <w:snapToGrid w:val="0"/>
              </w:rPr>
              <w:t>Cikliski koriģētā primārā bilance</w:t>
            </w:r>
          </w:p>
        </w:tc>
        <w:tc>
          <w:tcPr>
            <w:tcW w:w="1134" w:type="dxa"/>
          </w:tcPr>
          <w:p w14:paraId="05540916" w14:textId="77777777" w:rsidR="00CA04B5" w:rsidRPr="00B074AD" w:rsidRDefault="00CA04B5" w:rsidP="00CA04B5">
            <w:pPr>
              <w:pStyle w:val="tabteksts"/>
              <w:rPr>
                <w:highlight w:val="yellow"/>
              </w:rPr>
            </w:pPr>
          </w:p>
        </w:tc>
        <w:tc>
          <w:tcPr>
            <w:tcW w:w="850" w:type="dxa"/>
            <w:shd w:val="clear" w:color="auto" w:fill="auto"/>
            <w:vAlign w:val="bottom"/>
          </w:tcPr>
          <w:p w14:paraId="03ED54BB" w14:textId="77777777" w:rsidR="00CA04B5" w:rsidRPr="00147F95" w:rsidRDefault="00CA04B5" w:rsidP="00CA04B5">
            <w:pPr>
              <w:pStyle w:val="tabteksts"/>
              <w:jc w:val="right"/>
              <w:rPr>
                <w:snapToGrid w:val="0"/>
              </w:rPr>
            </w:pPr>
            <w:r>
              <w:rPr>
                <w:snapToGrid w:val="0"/>
              </w:rPr>
              <w:t>0,7</w:t>
            </w:r>
          </w:p>
        </w:tc>
        <w:tc>
          <w:tcPr>
            <w:tcW w:w="851" w:type="dxa"/>
            <w:shd w:val="clear" w:color="auto" w:fill="auto"/>
            <w:vAlign w:val="bottom"/>
          </w:tcPr>
          <w:p w14:paraId="42D84534" w14:textId="77777777" w:rsidR="00CA04B5" w:rsidRPr="00147F95" w:rsidRDefault="00CA04B5" w:rsidP="00CA04B5">
            <w:pPr>
              <w:pStyle w:val="tabteksts"/>
              <w:jc w:val="right"/>
              <w:rPr>
                <w:snapToGrid w:val="0"/>
              </w:rPr>
            </w:pPr>
            <w:r>
              <w:rPr>
                <w:snapToGrid w:val="0"/>
              </w:rPr>
              <w:t>0,4</w:t>
            </w:r>
          </w:p>
        </w:tc>
        <w:tc>
          <w:tcPr>
            <w:tcW w:w="850" w:type="dxa"/>
            <w:shd w:val="clear" w:color="auto" w:fill="auto"/>
            <w:vAlign w:val="bottom"/>
          </w:tcPr>
          <w:p w14:paraId="7DE3A95D" w14:textId="77777777" w:rsidR="00CA04B5" w:rsidRPr="00147F95" w:rsidRDefault="00CA04B5" w:rsidP="00CA04B5">
            <w:pPr>
              <w:pStyle w:val="tabteksts"/>
              <w:jc w:val="right"/>
              <w:rPr>
                <w:snapToGrid w:val="0"/>
              </w:rPr>
            </w:pPr>
            <w:r>
              <w:rPr>
                <w:snapToGrid w:val="0"/>
              </w:rPr>
              <w:t>0,2</w:t>
            </w:r>
          </w:p>
        </w:tc>
        <w:tc>
          <w:tcPr>
            <w:tcW w:w="851" w:type="dxa"/>
            <w:shd w:val="clear" w:color="auto" w:fill="auto"/>
            <w:vAlign w:val="bottom"/>
          </w:tcPr>
          <w:p w14:paraId="21E54DF2" w14:textId="77777777" w:rsidR="00CA04B5" w:rsidRPr="00147F95" w:rsidRDefault="00CA04B5" w:rsidP="00CA04B5">
            <w:pPr>
              <w:pStyle w:val="tabteksts"/>
              <w:jc w:val="right"/>
              <w:rPr>
                <w:snapToGrid w:val="0"/>
              </w:rPr>
            </w:pPr>
            <w:r>
              <w:rPr>
                <w:snapToGrid w:val="0"/>
              </w:rPr>
              <w:t>0,3</w:t>
            </w:r>
          </w:p>
        </w:tc>
        <w:tc>
          <w:tcPr>
            <w:tcW w:w="850" w:type="dxa"/>
            <w:shd w:val="clear" w:color="auto" w:fill="auto"/>
            <w:vAlign w:val="bottom"/>
          </w:tcPr>
          <w:p w14:paraId="74EC0BD0" w14:textId="77777777" w:rsidR="00CA04B5" w:rsidRPr="00147F95" w:rsidRDefault="00CA04B5" w:rsidP="00CA04B5">
            <w:pPr>
              <w:pStyle w:val="tabteksts"/>
              <w:jc w:val="right"/>
              <w:rPr>
                <w:snapToGrid w:val="0"/>
              </w:rPr>
            </w:pPr>
            <w:r>
              <w:rPr>
                <w:snapToGrid w:val="0"/>
              </w:rPr>
              <w:t>0,3</w:t>
            </w:r>
          </w:p>
        </w:tc>
      </w:tr>
      <w:tr w:rsidR="00CA04B5" w:rsidRPr="003871D3" w14:paraId="7C1DB7C3" w14:textId="77777777" w:rsidTr="003148B4">
        <w:trPr>
          <w:jc w:val="center"/>
        </w:trPr>
        <w:tc>
          <w:tcPr>
            <w:tcW w:w="8075" w:type="dxa"/>
            <w:gridSpan w:val="7"/>
            <w:shd w:val="clear" w:color="auto" w:fill="auto"/>
          </w:tcPr>
          <w:p w14:paraId="4AD5835F" w14:textId="77777777" w:rsidR="00CA04B5" w:rsidRPr="00B074AD" w:rsidRDefault="00CA04B5" w:rsidP="00CA04B5">
            <w:pPr>
              <w:spacing w:after="0"/>
              <w:ind w:firstLine="720"/>
              <w:jc w:val="center"/>
              <w:rPr>
                <w:b/>
                <w:snapToGrid w:val="0"/>
                <w:sz w:val="18"/>
                <w:szCs w:val="18"/>
                <w:highlight w:val="yellow"/>
              </w:rPr>
            </w:pPr>
            <w:r w:rsidRPr="00147F95">
              <w:rPr>
                <w:b/>
                <w:snapToGrid w:val="0"/>
                <w:sz w:val="18"/>
                <w:szCs w:val="18"/>
              </w:rPr>
              <w:t>Prognozes pie nemainīgas politikas</w:t>
            </w:r>
          </w:p>
        </w:tc>
      </w:tr>
      <w:tr w:rsidR="00CA04B5" w:rsidRPr="00147F95" w14:paraId="66C84014" w14:textId="77777777" w:rsidTr="003148B4">
        <w:trPr>
          <w:jc w:val="center"/>
        </w:trPr>
        <w:tc>
          <w:tcPr>
            <w:tcW w:w="2689" w:type="dxa"/>
          </w:tcPr>
          <w:p w14:paraId="1B1FB565" w14:textId="77777777" w:rsidR="00CA04B5" w:rsidRPr="00147F95" w:rsidRDefault="00CA04B5" w:rsidP="00CA04B5">
            <w:pPr>
              <w:pStyle w:val="tabteksts"/>
              <w:rPr>
                <w:snapToGrid w:val="0"/>
              </w:rPr>
            </w:pPr>
            <w:r w:rsidRPr="00147F95">
              <w:rPr>
                <w:snapToGrid w:val="0"/>
              </w:rPr>
              <w:t>Vispārējās valdības bilance</w:t>
            </w:r>
          </w:p>
        </w:tc>
        <w:tc>
          <w:tcPr>
            <w:tcW w:w="1134" w:type="dxa"/>
          </w:tcPr>
          <w:p w14:paraId="2A7E996B" w14:textId="77777777" w:rsidR="00CA04B5" w:rsidRPr="00B074AD" w:rsidRDefault="00CA04B5" w:rsidP="00CA04B5">
            <w:pPr>
              <w:pStyle w:val="tabteksts"/>
              <w:rPr>
                <w:highlight w:val="yellow"/>
              </w:rPr>
            </w:pPr>
          </w:p>
        </w:tc>
        <w:tc>
          <w:tcPr>
            <w:tcW w:w="850" w:type="dxa"/>
            <w:shd w:val="clear" w:color="auto" w:fill="auto"/>
            <w:vAlign w:val="center"/>
          </w:tcPr>
          <w:p w14:paraId="55D05A6A" w14:textId="77777777" w:rsidR="00CA04B5" w:rsidRPr="00147F95" w:rsidRDefault="00CA04B5" w:rsidP="00CA04B5">
            <w:pPr>
              <w:pStyle w:val="tabteksts"/>
              <w:jc w:val="right"/>
              <w:rPr>
                <w:snapToGrid w:val="0"/>
              </w:rPr>
            </w:pPr>
            <w:r w:rsidRPr="00147F95">
              <w:rPr>
                <w:snapToGrid w:val="0"/>
              </w:rPr>
              <w:t xml:space="preserve">-1,0 </w:t>
            </w:r>
          </w:p>
        </w:tc>
        <w:tc>
          <w:tcPr>
            <w:tcW w:w="851" w:type="dxa"/>
            <w:shd w:val="clear" w:color="auto" w:fill="auto"/>
            <w:vAlign w:val="center"/>
          </w:tcPr>
          <w:p w14:paraId="3529655B" w14:textId="77777777" w:rsidR="00CA04B5" w:rsidRPr="00147F95" w:rsidRDefault="00CA04B5" w:rsidP="00CA04B5">
            <w:pPr>
              <w:pStyle w:val="tabteksts"/>
              <w:jc w:val="right"/>
              <w:rPr>
                <w:snapToGrid w:val="0"/>
              </w:rPr>
            </w:pPr>
            <w:r w:rsidRPr="00147F95">
              <w:rPr>
                <w:snapToGrid w:val="0"/>
              </w:rPr>
              <w:t xml:space="preserve">-1,0 </w:t>
            </w:r>
          </w:p>
        </w:tc>
        <w:tc>
          <w:tcPr>
            <w:tcW w:w="850" w:type="dxa"/>
            <w:shd w:val="clear" w:color="auto" w:fill="auto"/>
            <w:vAlign w:val="center"/>
          </w:tcPr>
          <w:p w14:paraId="10222D87" w14:textId="77777777" w:rsidR="00CA04B5" w:rsidRPr="00147F95" w:rsidRDefault="00CA04B5" w:rsidP="00CA04B5">
            <w:pPr>
              <w:pStyle w:val="tabteksts"/>
              <w:jc w:val="right"/>
              <w:rPr>
                <w:snapToGrid w:val="0"/>
              </w:rPr>
            </w:pPr>
            <w:r w:rsidRPr="00147F95">
              <w:rPr>
                <w:snapToGrid w:val="0"/>
              </w:rPr>
              <w:t xml:space="preserve">-0,8 </w:t>
            </w:r>
          </w:p>
        </w:tc>
        <w:tc>
          <w:tcPr>
            <w:tcW w:w="851" w:type="dxa"/>
            <w:shd w:val="clear" w:color="auto" w:fill="auto"/>
            <w:vAlign w:val="center"/>
          </w:tcPr>
          <w:p w14:paraId="0A3942E0" w14:textId="77777777" w:rsidR="00CA04B5" w:rsidRPr="00147F95" w:rsidRDefault="00CA04B5" w:rsidP="00CA04B5">
            <w:pPr>
              <w:pStyle w:val="tabteksts"/>
              <w:jc w:val="right"/>
              <w:rPr>
                <w:snapToGrid w:val="0"/>
              </w:rPr>
            </w:pPr>
            <w:r w:rsidRPr="00147F95">
              <w:rPr>
                <w:snapToGrid w:val="0"/>
              </w:rPr>
              <w:t xml:space="preserve">0,0 </w:t>
            </w:r>
          </w:p>
        </w:tc>
        <w:tc>
          <w:tcPr>
            <w:tcW w:w="850" w:type="dxa"/>
            <w:shd w:val="clear" w:color="auto" w:fill="auto"/>
            <w:vAlign w:val="center"/>
          </w:tcPr>
          <w:p w14:paraId="51C75301" w14:textId="77777777" w:rsidR="00CA04B5" w:rsidRPr="00147F95" w:rsidRDefault="00CA04B5" w:rsidP="00CA04B5">
            <w:pPr>
              <w:pStyle w:val="tabteksts"/>
              <w:jc w:val="right"/>
              <w:rPr>
                <w:snapToGrid w:val="0"/>
              </w:rPr>
            </w:pPr>
            <w:r w:rsidRPr="00147F95">
              <w:rPr>
                <w:snapToGrid w:val="0"/>
              </w:rPr>
              <w:t xml:space="preserve">0,9 </w:t>
            </w:r>
          </w:p>
        </w:tc>
      </w:tr>
      <w:tr w:rsidR="00CA04B5" w:rsidRPr="00C704FB" w14:paraId="788D5101" w14:textId="77777777" w:rsidTr="003148B4">
        <w:trPr>
          <w:jc w:val="center"/>
        </w:trPr>
        <w:tc>
          <w:tcPr>
            <w:tcW w:w="2689" w:type="dxa"/>
          </w:tcPr>
          <w:p w14:paraId="2B4F1CA1" w14:textId="77777777" w:rsidR="00CA04B5" w:rsidRPr="00147F95" w:rsidRDefault="00CA04B5" w:rsidP="00CA04B5">
            <w:pPr>
              <w:pStyle w:val="tabteksts"/>
              <w:rPr>
                <w:snapToGrid w:val="0"/>
              </w:rPr>
            </w:pPr>
            <w:r w:rsidRPr="00147F95">
              <w:rPr>
                <w:snapToGrid w:val="0"/>
              </w:rPr>
              <w:t xml:space="preserve">Kopējie ieņēmumi </w:t>
            </w:r>
          </w:p>
        </w:tc>
        <w:tc>
          <w:tcPr>
            <w:tcW w:w="1134" w:type="dxa"/>
          </w:tcPr>
          <w:p w14:paraId="150A0C68" w14:textId="77777777" w:rsidR="00CA04B5" w:rsidRPr="00B074AD" w:rsidRDefault="00CA04B5" w:rsidP="00CA04B5">
            <w:pPr>
              <w:pStyle w:val="tabteksts"/>
              <w:rPr>
                <w:highlight w:val="yellow"/>
              </w:rPr>
            </w:pPr>
          </w:p>
        </w:tc>
        <w:tc>
          <w:tcPr>
            <w:tcW w:w="850" w:type="dxa"/>
          </w:tcPr>
          <w:p w14:paraId="3D8AA2EF" w14:textId="77777777" w:rsidR="00CA04B5" w:rsidRPr="001C57EA" w:rsidRDefault="00CA04B5" w:rsidP="00CA04B5">
            <w:pPr>
              <w:pStyle w:val="tabteksts"/>
              <w:jc w:val="right"/>
              <w:rPr>
                <w:snapToGrid w:val="0"/>
              </w:rPr>
            </w:pPr>
            <w:r w:rsidRPr="001C57EA">
              <w:rPr>
                <w:snapToGrid w:val="0"/>
              </w:rPr>
              <w:t>35,1</w:t>
            </w:r>
          </w:p>
        </w:tc>
        <w:tc>
          <w:tcPr>
            <w:tcW w:w="851" w:type="dxa"/>
          </w:tcPr>
          <w:p w14:paraId="0A998AA9" w14:textId="77777777" w:rsidR="00CA04B5" w:rsidRPr="001C57EA" w:rsidRDefault="00CA04B5" w:rsidP="00CA04B5">
            <w:pPr>
              <w:pStyle w:val="tabteksts"/>
              <w:jc w:val="right"/>
              <w:rPr>
                <w:snapToGrid w:val="0"/>
              </w:rPr>
            </w:pPr>
            <w:r w:rsidRPr="001C57EA">
              <w:rPr>
                <w:snapToGrid w:val="0"/>
              </w:rPr>
              <w:t>33,9</w:t>
            </w:r>
          </w:p>
        </w:tc>
        <w:tc>
          <w:tcPr>
            <w:tcW w:w="850" w:type="dxa"/>
          </w:tcPr>
          <w:p w14:paraId="3F693515" w14:textId="77777777" w:rsidR="00CA04B5" w:rsidRPr="001C57EA" w:rsidRDefault="00CA04B5" w:rsidP="00CA04B5">
            <w:pPr>
              <w:pStyle w:val="tabteksts"/>
              <w:jc w:val="right"/>
              <w:rPr>
                <w:snapToGrid w:val="0"/>
              </w:rPr>
            </w:pPr>
            <w:r w:rsidRPr="001C57EA">
              <w:rPr>
                <w:snapToGrid w:val="0"/>
              </w:rPr>
              <w:t>32,0</w:t>
            </w:r>
          </w:p>
        </w:tc>
        <w:tc>
          <w:tcPr>
            <w:tcW w:w="851" w:type="dxa"/>
          </w:tcPr>
          <w:p w14:paraId="42264F9B" w14:textId="77777777" w:rsidR="00CA04B5" w:rsidRPr="001C57EA" w:rsidRDefault="00CA04B5" w:rsidP="00CA04B5">
            <w:pPr>
              <w:pStyle w:val="tabteksts"/>
              <w:jc w:val="right"/>
              <w:rPr>
                <w:snapToGrid w:val="0"/>
              </w:rPr>
            </w:pPr>
            <w:r w:rsidRPr="001C57EA">
              <w:rPr>
                <w:snapToGrid w:val="0"/>
              </w:rPr>
              <w:t>30,9</w:t>
            </w:r>
          </w:p>
        </w:tc>
        <w:tc>
          <w:tcPr>
            <w:tcW w:w="850" w:type="dxa"/>
          </w:tcPr>
          <w:p w14:paraId="52C8B324" w14:textId="77777777" w:rsidR="00CA04B5" w:rsidRPr="001C57EA" w:rsidRDefault="00CA04B5" w:rsidP="00CA04B5">
            <w:pPr>
              <w:pStyle w:val="tabteksts"/>
              <w:jc w:val="right"/>
              <w:rPr>
                <w:snapToGrid w:val="0"/>
              </w:rPr>
            </w:pPr>
            <w:r w:rsidRPr="001C57EA">
              <w:rPr>
                <w:snapToGrid w:val="0"/>
              </w:rPr>
              <w:t>30,1</w:t>
            </w:r>
          </w:p>
        </w:tc>
      </w:tr>
      <w:tr w:rsidR="00CA04B5" w:rsidRPr="00C704FB" w14:paraId="41735F9B" w14:textId="77777777" w:rsidTr="003148B4">
        <w:trPr>
          <w:trHeight w:val="158"/>
          <w:jc w:val="center"/>
        </w:trPr>
        <w:tc>
          <w:tcPr>
            <w:tcW w:w="2689" w:type="dxa"/>
          </w:tcPr>
          <w:p w14:paraId="606986E7" w14:textId="77777777" w:rsidR="00CA04B5" w:rsidRPr="00147F95" w:rsidRDefault="00CA04B5" w:rsidP="00CA04B5">
            <w:pPr>
              <w:pStyle w:val="tabteksts"/>
              <w:rPr>
                <w:snapToGrid w:val="0"/>
              </w:rPr>
            </w:pPr>
            <w:r w:rsidRPr="00147F95">
              <w:rPr>
                <w:snapToGrid w:val="0"/>
              </w:rPr>
              <w:t>Kopējie izdevumi</w:t>
            </w:r>
          </w:p>
        </w:tc>
        <w:tc>
          <w:tcPr>
            <w:tcW w:w="1134" w:type="dxa"/>
          </w:tcPr>
          <w:p w14:paraId="4B69295A" w14:textId="77777777" w:rsidR="00CA04B5" w:rsidRPr="00B074AD" w:rsidRDefault="00CA04B5" w:rsidP="00CA04B5">
            <w:pPr>
              <w:pStyle w:val="tabteksts"/>
              <w:rPr>
                <w:highlight w:val="yellow"/>
              </w:rPr>
            </w:pPr>
          </w:p>
        </w:tc>
        <w:tc>
          <w:tcPr>
            <w:tcW w:w="850" w:type="dxa"/>
          </w:tcPr>
          <w:p w14:paraId="1C644EF1" w14:textId="77777777" w:rsidR="00CA04B5" w:rsidRPr="001C57EA" w:rsidRDefault="00CA04B5" w:rsidP="00CA04B5">
            <w:pPr>
              <w:pStyle w:val="tabteksts"/>
              <w:jc w:val="right"/>
              <w:rPr>
                <w:snapToGrid w:val="0"/>
              </w:rPr>
            </w:pPr>
            <w:r w:rsidRPr="001C57EA">
              <w:rPr>
                <w:snapToGrid w:val="0"/>
              </w:rPr>
              <w:t>36,1</w:t>
            </w:r>
          </w:p>
        </w:tc>
        <w:tc>
          <w:tcPr>
            <w:tcW w:w="851" w:type="dxa"/>
          </w:tcPr>
          <w:p w14:paraId="4F3546F2" w14:textId="77777777" w:rsidR="00CA04B5" w:rsidRPr="001C57EA" w:rsidRDefault="00CA04B5" w:rsidP="00CA04B5">
            <w:pPr>
              <w:pStyle w:val="tabteksts"/>
              <w:jc w:val="right"/>
              <w:rPr>
                <w:snapToGrid w:val="0"/>
              </w:rPr>
            </w:pPr>
            <w:r w:rsidRPr="001C57EA">
              <w:rPr>
                <w:snapToGrid w:val="0"/>
              </w:rPr>
              <w:t>34,9</w:t>
            </w:r>
          </w:p>
        </w:tc>
        <w:tc>
          <w:tcPr>
            <w:tcW w:w="850" w:type="dxa"/>
          </w:tcPr>
          <w:p w14:paraId="49EF921F" w14:textId="77777777" w:rsidR="00CA04B5" w:rsidRPr="001C57EA" w:rsidRDefault="00CA04B5" w:rsidP="00CA04B5">
            <w:pPr>
              <w:pStyle w:val="tabteksts"/>
              <w:jc w:val="right"/>
              <w:rPr>
                <w:snapToGrid w:val="0"/>
              </w:rPr>
            </w:pPr>
            <w:r w:rsidRPr="001C57EA">
              <w:rPr>
                <w:snapToGrid w:val="0"/>
              </w:rPr>
              <w:t>32,8</w:t>
            </w:r>
          </w:p>
        </w:tc>
        <w:tc>
          <w:tcPr>
            <w:tcW w:w="851" w:type="dxa"/>
          </w:tcPr>
          <w:p w14:paraId="06C591CC" w14:textId="77777777" w:rsidR="00CA04B5" w:rsidRPr="001C57EA" w:rsidRDefault="00CA04B5" w:rsidP="00CA04B5">
            <w:pPr>
              <w:pStyle w:val="tabteksts"/>
              <w:jc w:val="right"/>
              <w:rPr>
                <w:snapToGrid w:val="0"/>
              </w:rPr>
            </w:pPr>
            <w:r w:rsidRPr="001C57EA">
              <w:rPr>
                <w:snapToGrid w:val="0"/>
              </w:rPr>
              <w:t>30,9</w:t>
            </w:r>
          </w:p>
        </w:tc>
        <w:tc>
          <w:tcPr>
            <w:tcW w:w="850" w:type="dxa"/>
          </w:tcPr>
          <w:p w14:paraId="6476ED1D" w14:textId="77777777" w:rsidR="00CA04B5" w:rsidRPr="001C57EA" w:rsidRDefault="00CA04B5" w:rsidP="00CA04B5">
            <w:pPr>
              <w:pStyle w:val="tabteksts"/>
              <w:jc w:val="right"/>
              <w:rPr>
                <w:snapToGrid w:val="0"/>
              </w:rPr>
            </w:pPr>
            <w:r w:rsidRPr="001C57EA">
              <w:rPr>
                <w:snapToGrid w:val="0"/>
              </w:rPr>
              <w:t>29,2</w:t>
            </w:r>
          </w:p>
        </w:tc>
      </w:tr>
    </w:tbl>
    <w:p w14:paraId="022790A2" w14:textId="446202A9" w:rsidR="00CA04B5" w:rsidRDefault="00CA04B5" w:rsidP="00CA04B5">
      <w:pPr>
        <w:spacing w:before="120" w:after="0"/>
        <w:ind w:firstLine="720"/>
        <w:rPr>
          <w:szCs w:val="24"/>
        </w:rPr>
      </w:pPr>
      <w:r>
        <w:rPr>
          <w:szCs w:val="24"/>
        </w:rPr>
        <w:t xml:space="preserve">Fiskālās attīstības </w:t>
      </w:r>
      <w:r w:rsidRPr="00523E35">
        <w:rPr>
          <w:szCs w:val="24"/>
        </w:rPr>
        <w:t>scenārijs paredz, ka vispārējās valdības budžeta ieņēmumu īpatsvars</w:t>
      </w:r>
      <w:r w:rsidR="00585C80">
        <w:rPr>
          <w:szCs w:val="24"/>
        </w:rPr>
        <w:t xml:space="preserve"> pret</w:t>
      </w:r>
      <w:r w:rsidRPr="00523E35">
        <w:rPr>
          <w:szCs w:val="24"/>
        </w:rPr>
        <w:t xml:space="preserve"> IKP vidējā termiņā samazināsies, galvenokārt samazinoties nodokļu slogam no 27,3% no IKP 2013. gadā līdz 25,5% no IKP 2017. gadā, kā arī samazinoties</w:t>
      </w:r>
      <w:r>
        <w:rPr>
          <w:szCs w:val="24"/>
        </w:rPr>
        <w:t xml:space="preserve"> saņemtajiem maksājumiem no </w:t>
      </w:r>
      <w:r w:rsidR="00422474">
        <w:rPr>
          <w:szCs w:val="24"/>
        </w:rPr>
        <w:t>EK</w:t>
      </w:r>
      <w:r>
        <w:rPr>
          <w:szCs w:val="24"/>
        </w:rPr>
        <w:t xml:space="preserve">, noslēdzoties 2007.-2013. gada plānošanas periodam. Nodokļu </w:t>
      </w:r>
      <w:r w:rsidRPr="00523E35">
        <w:rPr>
          <w:szCs w:val="24"/>
        </w:rPr>
        <w:t>ieņēmumu prognoze vispārējās valdības budžetā vidējam termiņam paredz kāpumu vidēji ap 4% gadā, izņemot 2016. gadā, kad pieaugums būs mērenāks galvenokārt dēļ sociālās apdrošināšanas</w:t>
      </w:r>
      <w:r>
        <w:rPr>
          <w:szCs w:val="24"/>
        </w:rPr>
        <w:t xml:space="preserve"> iemaksu likmes palielinājuma iemaksām 2.pensiju līmenī, kā arī dēļ paredzētā iedzīvotāju ienākuma nodokļa likmes samazinājuma. Lai sasniegtu pieļaujamo bilanci, tiek prognozēts, ka vispārējās valdības budžeta izdevumu īpatsvars </w:t>
      </w:r>
      <w:r w:rsidR="00585C80">
        <w:rPr>
          <w:szCs w:val="24"/>
        </w:rPr>
        <w:t xml:space="preserve">pret </w:t>
      </w:r>
      <w:r>
        <w:rPr>
          <w:szCs w:val="24"/>
        </w:rPr>
        <w:t>IKP vidējā termiņā arī samazināsies.</w:t>
      </w:r>
    </w:p>
    <w:p w14:paraId="42E449BA" w14:textId="3BB97523" w:rsidR="00CA04B5" w:rsidRDefault="00CA04B5" w:rsidP="00CA04B5">
      <w:pPr>
        <w:spacing w:before="120" w:after="0"/>
        <w:ind w:firstLine="720"/>
        <w:rPr>
          <w:color w:val="000000"/>
        </w:rPr>
      </w:pPr>
      <w:r>
        <w:rPr>
          <w:b/>
          <w:color w:val="000000"/>
        </w:rPr>
        <w:t>C</w:t>
      </w:r>
      <w:r w:rsidRPr="009C6E1F">
        <w:rPr>
          <w:b/>
          <w:color w:val="000000"/>
        </w:rPr>
        <w:t>entrālās valdības budžeta</w:t>
      </w:r>
      <w:r w:rsidRPr="00367B07">
        <w:rPr>
          <w:color w:val="000000"/>
        </w:rPr>
        <w:t xml:space="preserve"> deficīts </w:t>
      </w:r>
      <w:r>
        <w:rPr>
          <w:color w:val="000000"/>
        </w:rPr>
        <w:t xml:space="preserve">2014. gadā </w:t>
      </w:r>
      <w:r w:rsidRPr="00367B07">
        <w:rPr>
          <w:color w:val="000000"/>
        </w:rPr>
        <w:t xml:space="preserve">tiek prognozēts 1,4% no IKP apmērā, jo izdevumu pieaugums pret iepriekšējo gadu </w:t>
      </w:r>
      <w:r>
        <w:rPr>
          <w:color w:val="000000"/>
        </w:rPr>
        <w:t>tiek prognozēt</w:t>
      </w:r>
      <w:r w:rsidRPr="00367B07">
        <w:rPr>
          <w:color w:val="000000"/>
        </w:rPr>
        <w:t xml:space="preserve">s straujāks nekā pieaugums ieņēmumu daļā. Jāatzīmē, ka centrālās valdības budžeta izdevumi </w:t>
      </w:r>
      <w:r>
        <w:rPr>
          <w:color w:val="000000"/>
        </w:rPr>
        <w:t>tiek prognozēti</w:t>
      </w:r>
      <w:r w:rsidRPr="00367B07">
        <w:rPr>
          <w:color w:val="000000"/>
        </w:rPr>
        <w:t xml:space="preserve"> saskaņā ar </w:t>
      </w:r>
      <w:r>
        <w:rPr>
          <w:color w:val="000000"/>
        </w:rPr>
        <w:t>likumā “Par valsts budžetu 2014. gadam”</w:t>
      </w:r>
      <w:r w:rsidRPr="00367B07">
        <w:rPr>
          <w:color w:val="000000"/>
        </w:rPr>
        <w:t xml:space="preserve"> plānoto izdevumu līmeni. </w:t>
      </w:r>
      <w:r>
        <w:rPr>
          <w:color w:val="000000"/>
        </w:rPr>
        <w:t xml:space="preserve">Vidējā termiņā </w:t>
      </w:r>
      <w:r>
        <w:rPr>
          <w:szCs w:val="24"/>
        </w:rPr>
        <w:t>centrālās valdības budžeta ieņēmumos pieaugumu nodrošinās iekasētie līdzekļi no ražošanas un importa nodokļiem jeb patēriņa nodokļiem, kā arī nodokļi no ienākuma un mantas. Savukārt prognozētie ieņēmumi no īpašuma, ko galvenokārt veido ieņēmumi par valsts kapitāla izmantošanu, saruks</w:t>
      </w:r>
      <w:r w:rsidRPr="00DC4265">
        <w:rPr>
          <w:szCs w:val="24"/>
        </w:rPr>
        <w:t xml:space="preserve"> </w:t>
      </w:r>
      <w:r>
        <w:rPr>
          <w:szCs w:val="24"/>
        </w:rPr>
        <w:t>līdz 2016. gadam, jo pašreiz apstiprinātā kārtība paredz budžetā iemaksājamās peļņas daļas samazināšanu (2015. gadā 80% no gūtās peļņas un sākot ar 2016. gadu - 27%). Centrālās valdības budžeta izdevumi 2015.-2017. gadā pieaugs, bet procentuāli no IKP tie samazināsies, tādējādi īstenojot normatīvo aktu prasības attiecībā uz fiskālās disciplīnas nodrošināšanu. Izdevumu prognozēs tika ņemts vērā nozaru ministriju iesniegtais un valdībā apstiprinātais bāzes finansējums turpmākajiem trim gadiem, kā arī iekļauts iespējamais papildu finansējums</w:t>
      </w:r>
      <w:r w:rsidR="00F96EB2">
        <w:rPr>
          <w:szCs w:val="24"/>
        </w:rPr>
        <w:t xml:space="preserve"> (fiskālā telpa)</w:t>
      </w:r>
      <w:r>
        <w:rPr>
          <w:szCs w:val="24"/>
        </w:rPr>
        <w:t xml:space="preserve">, par kura izmantošanu lēmums tiks pieņemts kārtējā </w:t>
      </w:r>
      <w:r w:rsidR="00F82AFD">
        <w:rPr>
          <w:szCs w:val="24"/>
        </w:rPr>
        <w:t>Ietvara likuma</w:t>
      </w:r>
      <w:r>
        <w:rPr>
          <w:szCs w:val="24"/>
        </w:rPr>
        <w:t xml:space="preserve"> izstrādes laikā.</w:t>
      </w:r>
    </w:p>
    <w:p w14:paraId="4AED4B39" w14:textId="7F0CF1F2" w:rsidR="00CA04B5" w:rsidRPr="00446963" w:rsidRDefault="00CA04B5" w:rsidP="00CA04B5">
      <w:pPr>
        <w:spacing w:before="120" w:after="0"/>
        <w:ind w:firstLine="720"/>
        <w:rPr>
          <w:szCs w:val="24"/>
        </w:rPr>
      </w:pPr>
      <w:r w:rsidRPr="009C6E1F">
        <w:rPr>
          <w:b/>
          <w:szCs w:val="24"/>
        </w:rPr>
        <w:t>Sociālās nodrošināšanas fondos</w:t>
      </w:r>
      <w:r>
        <w:rPr>
          <w:szCs w:val="24"/>
        </w:rPr>
        <w:t xml:space="preserve"> 2014. gadā </w:t>
      </w:r>
      <w:r w:rsidRPr="00367B07">
        <w:rPr>
          <w:color w:val="000000"/>
        </w:rPr>
        <w:t xml:space="preserve">sagaidāms pārpalikums 0,7% no IKP apmērā, </w:t>
      </w:r>
      <w:r w:rsidR="00F96EB2">
        <w:rPr>
          <w:color w:val="000000"/>
        </w:rPr>
        <w:t>turklāt jāņem vērā, ka  šogad ir ieviestas</w:t>
      </w:r>
      <w:r w:rsidR="00F96EB2" w:rsidRPr="00367B07">
        <w:rPr>
          <w:color w:val="000000"/>
        </w:rPr>
        <w:t xml:space="preserve"> </w:t>
      </w:r>
      <w:r w:rsidR="00F96EB2">
        <w:rPr>
          <w:color w:val="000000"/>
        </w:rPr>
        <w:t>izmaiņas</w:t>
      </w:r>
      <w:r w:rsidRPr="00367B07">
        <w:rPr>
          <w:color w:val="000000"/>
        </w:rPr>
        <w:t xml:space="preserve">, </w:t>
      </w:r>
      <w:r w:rsidR="00F96EB2">
        <w:rPr>
          <w:color w:val="000000"/>
        </w:rPr>
        <w:t xml:space="preserve">kas paredz, ka </w:t>
      </w:r>
      <w:r w:rsidRPr="00367B07">
        <w:rPr>
          <w:color w:val="000000"/>
        </w:rPr>
        <w:t xml:space="preserve">līdzekļi </w:t>
      </w:r>
      <w:r>
        <w:rPr>
          <w:color w:val="000000"/>
        </w:rPr>
        <w:t>(</w:t>
      </w:r>
      <w:proofErr w:type="spellStart"/>
      <w:r>
        <w:rPr>
          <w:noProof/>
          <w:color w:val="000000"/>
        </w:rPr>
        <w:t>transferts</w:t>
      </w:r>
      <w:proofErr w:type="spellEnd"/>
      <w:r w:rsidR="00CD2C2E">
        <w:rPr>
          <w:color w:val="000000"/>
        </w:rPr>
        <w:t>)</w:t>
      </w:r>
      <w:r w:rsidR="00F96EB2">
        <w:rPr>
          <w:color w:val="000000"/>
        </w:rPr>
        <w:t xml:space="preserve">– pensiju piemaksu izmaksai </w:t>
      </w:r>
      <w:r w:rsidRPr="00367B07">
        <w:rPr>
          <w:color w:val="000000"/>
        </w:rPr>
        <w:t>tiek saņemti no centrālās valdības budžeta.</w:t>
      </w:r>
      <w:r>
        <w:rPr>
          <w:color w:val="000000"/>
        </w:rPr>
        <w:t xml:space="preserve"> Tiek prognozēts, ka </w:t>
      </w:r>
      <w:r>
        <w:rPr>
          <w:szCs w:val="24"/>
        </w:rPr>
        <w:t>2015.-2017. gadā sociālās nodrošināšanas fondos arī saglabāsies pārpalikums, kas būs nedaudz zemāks. Tas galvenokārt skaidrojams</w:t>
      </w:r>
      <w:r w:rsidR="00585C80">
        <w:rPr>
          <w:szCs w:val="24"/>
        </w:rPr>
        <w:t xml:space="preserve"> ar to</w:t>
      </w:r>
      <w:r>
        <w:rPr>
          <w:szCs w:val="24"/>
        </w:rPr>
        <w:t xml:space="preserve">, ka sākot ar 2015. gadu tiek ieviests sociālās apdrošināšanas iemaksu maksimālais apmērs (“griesti”), kā </w:t>
      </w:r>
      <w:r w:rsidRPr="007E5D33">
        <w:rPr>
          <w:szCs w:val="24"/>
        </w:rPr>
        <w:t xml:space="preserve">arī </w:t>
      </w:r>
      <w:r>
        <w:rPr>
          <w:szCs w:val="24"/>
        </w:rPr>
        <w:t xml:space="preserve">tiek paaugstināta </w:t>
      </w:r>
      <w:r w:rsidRPr="007E5D33">
        <w:rPr>
          <w:szCs w:val="24"/>
        </w:rPr>
        <w:t>sociālās apdrošināšanas iemaks</w:t>
      </w:r>
      <w:r>
        <w:rPr>
          <w:szCs w:val="24"/>
        </w:rPr>
        <w:t xml:space="preserve">u likme </w:t>
      </w:r>
      <w:r w:rsidRPr="007E5D33">
        <w:rPr>
          <w:szCs w:val="24"/>
        </w:rPr>
        <w:t>2.pensiju līmenī, kā rezultātā lielāks</w:t>
      </w:r>
      <w:r>
        <w:rPr>
          <w:szCs w:val="24"/>
        </w:rPr>
        <w:t xml:space="preserve"> ieņēmumu apjoms tiks novirzīts </w:t>
      </w:r>
      <w:proofErr w:type="spellStart"/>
      <w:r>
        <w:rPr>
          <w:szCs w:val="24"/>
        </w:rPr>
        <w:t>fondēto</w:t>
      </w:r>
      <w:proofErr w:type="spellEnd"/>
      <w:r>
        <w:rPr>
          <w:szCs w:val="24"/>
        </w:rPr>
        <w:t xml:space="preserve"> pensiju shēmā un tie nebūs uzskatāmi par budžeta ieņēmumiem. Vidējā termiņā tiek prognozēts pakāpenisks budžeta izdevumu pieaugums. Prognozēs ir iekļauta ietekme uz budžeta izdevumiem no jaunās pensiju indeksācijas kārtības, kura tika pieņemta Saeimā š.g. aprīlī. Tā paredz pensiju pārrēķināšanu, ņemot vērā inflācijas rādītāju un 25% no iemaksu algas pieauguma koeficienta. </w:t>
      </w:r>
    </w:p>
    <w:p w14:paraId="20254CC7" w14:textId="0C745998" w:rsidR="00EA0A2F" w:rsidRDefault="00CA04B5" w:rsidP="00EA0A2F">
      <w:pPr>
        <w:spacing w:before="120" w:after="0"/>
        <w:ind w:firstLine="720"/>
        <w:rPr>
          <w:szCs w:val="24"/>
        </w:rPr>
      </w:pPr>
      <w:r w:rsidRPr="00D554D6">
        <w:rPr>
          <w:b/>
          <w:color w:val="000000"/>
        </w:rPr>
        <w:t>Vietējās valdības budžetā</w:t>
      </w:r>
      <w:r w:rsidRPr="00367B07">
        <w:rPr>
          <w:color w:val="000000"/>
        </w:rPr>
        <w:t xml:space="preserve"> 2014. gadā tiek prognozēts deficīts 0,3% no IKP, kur izdevumu attīstība tiek prognozēta līdzīgi iepriekšējos gados novērotajām tendencēm</w:t>
      </w:r>
      <w:r>
        <w:rPr>
          <w:color w:val="000000"/>
        </w:rPr>
        <w:t>. Tiek prognozēts, ka vietējās valdības budžetā saglabāsies augsts izdevumu līmenis, turpinoties intensīvai</w:t>
      </w:r>
      <w:r w:rsidRPr="00367B07">
        <w:rPr>
          <w:color w:val="000000"/>
        </w:rPr>
        <w:t xml:space="preserve"> ES </w:t>
      </w:r>
      <w:r>
        <w:rPr>
          <w:color w:val="000000"/>
        </w:rPr>
        <w:t xml:space="preserve">fondu projektu īstenošanai, kā arī ieguldījumiem investīciju projektos. Vidējā termiņā </w:t>
      </w:r>
      <w:r>
        <w:rPr>
          <w:szCs w:val="24"/>
        </w:rPr>
        <w:t>attiecībā uz nodokļiem no ienākuma, kas ir lielākā vietējās valdības budžeta ieņēmumu pozīcija, tika ņemta vērā iespējamā darba tirgus attīstība un apstiprinātā nodokļu politika. Tā paredz nākamajos divos gados iedzīvotāju ienākuma nodokļa likmes samazinājumu ik gadu par vienu procentpunktu un tiek prognozēts, ka 2015. un 2016. gadā šī nodokļa ieņēmumi pieaugs mērenāk, savukārt, 2017. gadā tie būtiski palielināsies, ņemot vērā bāzes efektu. Vienlaicīgi jāatzīmē, ka saskaņā ar atjaunotajām prognozēm pārējās ieņēmumu pozīcijās būtiskas izmaiņas</w:t>
      </w:r>
      <w:r w:rsidRPr="00B63B7F">
        <w:rPr>
          <w:szCs w:val="24"/>
        </w:rPr>
        <w:t xml:space="preserve"> </w:t>
      </w:r>
      <w:r>
        <w:rPr>
          <w:szCs w:val="24"/>
        </w:rPr>
        <w:t xml:space="preserve">nav gaidāmas. </w:t>
      </w:r>
      <w:r w:rsidR="006F7828">
        <w:t xml:space="preserve">Vietējās valdības budžeta izdevumi vidējā termiņā tiek prognozēti, balstoties uz pieņēmumu, ka uzturēšanas izdevumi pieaugs gandrīz visās pozīcijās, izņemot sociālos pabalstus, kur, uzlabojoties ekonomiskajiem apstākļiem, ir vērojama tendence samazināties gan pabalstu apmēram, gan saņēmēju skaitam. Savukārt, izdevumi bruto pamatkapitāla veidošanai 2015. un 2016. gadā tiek prognozēti ar pakāpenisku samazinājumu, ņemot vērā to, ka pēc intensīvās investēšanas perioda 2011.-2014. gadā vietējo valdību rīcībā būs ierobežots resursu daudzums investīciju veikšanai. </w:t>
      </w:r>
      <w:r>
        <w:rPr>
          <w:szCs w:val="24"/>
        </w:rPr>
        <w:t>Vērtējot ieņēmumu un izdevumu attīstību, finansiālā situācija turpmākajos gados uzlabosies un šobrīd tiek prognozēts, ka 2016. un 2017. gadā vietējās valdības budžetus izdosies sabalansēt</w:t>
      </w:r>
      <w:r w:rsidRPr="007B5783">
        <w:rPr>
          <w:szCs w:val="24"/>
        </w:rPr>
        <w:t>. Jāatzīmē, ka papildu naudas plūsmas rādītājiem, pozitīvu efektu uz vietējās valdības budžetu radīs kredītsaistību dzēšana par nozīmīga investīciju objekta (Dienvidu tilts) būvniecību, jo izdevumi tika atzīti iepriekšējos gados (objekta būvniecības laikā).</w:t>
      </w:r>
      <w:r>
        <w:rPr>
          <w:szCs w:val="24"/>
        </w:rPr>
        <w:t xml:space="preserve">  </w:t>
      </w:r>
      <w:bookmarkStart w:id="22" w:name="_Toc385517816"/>
    </w:p>
    <w:p w14:paraId="77DACD59" w14:textId="77777777" w:rsidR="00EA0A2F" w:rsidRDefault="00EA0A2F" w:rsidP="00EA0A2F">
      <w:pPr>
        <w:spacing w:before="120" w:after="0"/>
        <w:ind w:firstLine="720"/>
        <w:rPr>
          <w:szCs w:val="24"/>
        </w:rPr>
      </w:pPr>
    </w:p>
    <w:p w14:paraId="31D7DBDF" w14:textId="51FF3FAA" w:rsidR="0088146B" w:rsidRPr="00EA0A2F" w:rsidRDefault="00EB6C31" w:rsidP="00EA0A2F">
      <w:pPr>
        <w:pStyle w:val="otrais"/>
        <w:ind w:left="0" w:firstLine="0"/>
        <w:rPr>
          <w:color w:val="000000"/>
        </w:rPr>
      </w:pPr>
      <w:r w:rsidRPr="00EA0A2F">
        <w:rPr>
          <w:color w:val="000000"/>
        </w:rPr>
        <w:t>3</w:t>
      </w:r>
      <w:r w:rsidR="0088146B" w:rsidRPr="00EA0A2F">
        <w:rPr>
          <w:color w:val="000000"/>
        </w:rPr>
        <w:t>.4. Valdības parāda vidējā termiņa attīstības tendences</w:t>
      </w:r>
      <w:bookmarkEnd w:id="13"/>
      <w:bookmarkEnd w:id="22"/>
    </w:p>
    <w:p w14:paraId="49E01B29" w14:textId="68C68D6C" w:rsidR="00225EFF" w:rsidRPr="00A30F99" w:rsidRDefault="00225EFF" w:rsidP="00225EFF">
      <w:pPr>
        <w:ind w:firstLine="720"/>
        <w:rPr>
          <w:szCs w:val="26"/>
        </w:rPr>
      </w:pPr>
      <w:r w:rsidRPr="00A30F99">
        <w:rPr>
          <w:szCs w:val="26"/>
        </w:rPr>
        <w:t>Saskaņā ar valsts budžeta deficīta un parāda 2014.gada aprīļa notifikācijas datiem, k</w:t>
      </w:r>
      <w:r w:rsidR="00585C80">
        <w:rPr>
          <w:szCs w:val="26"/>
        </w:rPr>
        <w:t>uri sagatavoti atbilstoši EKS</w:t>
      </w:r>
      <w:r w:rsidRPr="00A30F99">
        <w:rPr>
          <w:szCs w:val="26"/>
        </w:rPr>
        <w:t xml:space="preserve"> metodoloģijai, vispārējās valdības parāds 2013.gada beigās sasniedza 8 873,3 milj.</w:t>
      </w:r>
      <w:r w:rsidR="00CD2C2E">
        <w:rPr>
          <w:szCs w:val="26"/>
        </w:rPr>
        <w:t xml:space="preserve"> </w:t>
      </w:r>
      <w:proofErr w:type="spellStart"/>
      <w:r w:rsidRPr="00A30F99">
        <w:rPr>
          <w:i/>
          <w:szCs w:val="26"/>
        </w:rPr>
        <w:t>euro</w:t>
      </w:r>
      <w:proofErr w:type="spellEnd"/>
      <w:r w:rsidRPr="00A30F99">
        <w:rPr>
          <w:szCs w:val="26"/>
        </w:rPr>
        <w:t xml:space="preserve"> jeb 38,1% no </w:t>
      </w:r>
      <w:r w:rsidR="00F375DE" w:rsidRPr="00A30F99">
        <w:rPr>
          <w:szCs w:val="26"/>
        </w:rPr>
        <w:t>IKP</w:t>
      </w:r>
      <w:r w:rsidRPr="00A30F99">
        <w:rPr>
          <w:szCs w:val="26"/>
        </w:rPr>
        <w:t>. Vispārējās valdības parāda līmeni galvenokārt ietekmē centrālās valdības parāds, kas uz 2013.gada beigām bija 8 092,9 milj.</w:t>
      </w:r>
      <w:r w:rsidR="00CD2C2E">
        <w:rPr>
          <w:szCs w:val="26"/>
        </w:rPr>
        <w:t xml:space="preserve"> </w:t>
      </w:r>
      <w:proofErr w:type="spellStart"/>
      <w:r w:rsidRPr="00A30F99">
        <w:rPr>
          <w:i/>
          <w:szCs w:val="26"/>
        </w:rPr>
        <w:t>euro</w:t>
      </w:r>
      <w:proofErr w:type="spellEnd"/>
      <w:r w:rsidRPr="00A30F99">
        <w:rPr>
          <w:szCs w:val="26"/>
        </w:rPr>
        <w:t xml:space="preserve">. </w:t>
      </w:r>
    </w:p>
    <w:p w14:paraId="357EDA53" w14:textId="45D68B02" w:rsidR="00225EFF" w:rsidRPr="00A30F99" w:rsidRDefault="00225EFF" w:rsidP="00225EFF">
      <w:pPr>
        <w:spacing w:after="0"/>
        <w:ind w:firstLine="720"/>
        <w:rPr>
          <w:szCs w:val="26"/>
        </w:rPr>
      </w:pPr>
      <w:r w:rsidRPr="00A30F99">
        <w:rPr>
          <w:szCs w:val="26"/>
        </w:rPr>
        <w:t xml:space="preserve">Centrālās valdības parāda vadības mērķis ir nodrošināt nepieciešamos finanšu resursus valsts parāda pārfinansēšanai, valsts budžeta izpildei un finanšu resursu rezerves uzturēšanai ar iespējami zemākām izmaksām, ierobežojot finanšu riskus un ņemot vērā Latvijas valsts makroekonomikas attīstību un finanšu tirgus integrāciju kopējā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 xml:space="preserve">zonas </w:t>
      </w:r>
      <w:r w:rsidRPr="00A30F99">
        <w:rPr>
          <w:szCs w:val="26"/>
        </w:rPr>
        <w:t xml:space="preserve">finanšu tirgū. </w:t>
      </w:r>
    </w:p>
    <w:p w14:paraId="5E8A613E" w14:textId="51A62E1C" w:rsidR="00225EFF" w:rsidRPr="00A30F99" w:rsidRDefault="00225EFF" w:rsidP="00225EFF">
      <w:pPr>
        <w:spacing w:after="0"/>
        <w:ind w:firstLine="720"/>
        <w:rPr>
          <w:szCs w:val="26"/>
        </w:rPr>
      </w:pPr>
      <w:r w:rsidRPr="00A30F99">
        <w:rPr>
          <w:szCs w:val="26"/>
        </w:rPr>
        <w:t>Centrālās valdības parāda portfeļa un aizņēmumu vadības mērķus, pamatprincipus un uzdevumus parāda vadības ietvaros vidējā termiņā nosaka Latvijas valsts parāda vadības stratēģija, kas paredz centrālās valdības parāda portfeļa struktūras optimālu rādītāju ievērošanu attiecībā uz dzēšanas profilu, tīrā parāda valūtu kompozīciju, procentu likmju struktūru, procentu likmju vidējo svērto fiksēto periodu</w:t>
      </w:r>
      <w:r w:rsidR="00563329">
        <w:rPr>
          <w:szCs w:val="26"/>
        </w:rPr>
        <w:t xml:space="preserve"> un</w:t>
      </w:r>
      <w:r w:rsidRPr="00A30F99">
        <w:rPr>
          <w:szCs w:val="26"/>
        </w:rPr>
        <w:t xml:space="preserve"> iekšējā aizņēmuma vērtspapīru apjomu.</w:t>
      </w:r>
    </w:p>
    <w:p w14:paraId="7DC15F1C" w14:textId="7BE8D52A" w:rsidR="00225EFF" w:rsidRPr="00A30F99" w:rsidRDefault="00225EFF" w:rsidP="00225EFF">
      <w:pPr>
        <w:spacing w:after="0"/>
        <w:ind w:firstLine="720"/>
        <w:rPr>
          <w:szCs w:val="26"/>
        </w:rPr>
      </w:pPr>
      <w:r w:rsidRPr="00A30F99">
        <w:rPr>
          <w:szCs w:val="26"/>
        </w:rPr>
        <w:t>Starptautiskajos finanšu tirgos Latvija 2012.gadā jau nostiprināja regulāra aizņēmēja pozīcijas, veicot divas obligāciju emisijas ASV tirgū – februārī (1 mljrd.</w:t>
      </w:r>
      <w:r w:rsidR="00F375DE" w:rsidRPr="00A30F99">
        <w:rPr>
          <w:szCs w:val="26"/>
        </w:rPr>
        <w:t xml:space="preserve"> </w:t>
      </w:r>
      <w:r w:rsidRPr="00A30F99">
        <w:rPr>
          <w:szCs w:val="26"/>
        </w:rPr>
        <w:t>ASV dolāru) un decembrī (1,25 mljrd.</w:t>
      </w:r>
      <w:r w:rsidR="00F375DE" w:rsidRPr="00A30F99">
        <w:rPr>
          <w:szCs w:val="26"/>
        </w:rPr>
        <w:t xml:space="preserve"> </w:t>
      </w:r>
      <w:r w:rsidRPr="00A30F99">
        <w:rPr>
          <w:szCs w:val="26"/>
        </w:rPr>
        <w:t xml:space="preserve">ASV dolāru). Savukārt, 2014.gada janvārī Latvija pēc sešu gadu pārtraukuma un neilgi pēc </w:t>
      </w:r>
      <w:proofErr w:type="spellStart"/>
      <w:r w:rsidRPr="00A30F99">
        <w:rPr>
          <w:i/>
          <w:szCs w:val="26"/>
        </w:rPr>
        <w:t>euro</w:t>
      </w:r>
      <w:proofErr w:type="spellEnd"/>
      <w:r w:rsidRPr="00A30F99">
        <w:rPr>
          <w:szCs w:val="26"/>
        </w:rPr>
        <w:t xml:space="preserve"> ieviešanas sekmīgi emitēja septiņu gadu obligācijas viena miljarda </w:t>
      </w:r>
      <w:proofErr w:type="spellStart"/>
      <w:r w:rsidRPr="00A30F99">
        <w:rPr>
          <w:i/>
          <w:szCs w:val="26"/>
        </w:rPr>
        <w:t>euro</w:t>
      </w:r>
      <w:proofErr w:type="spellEnd"/>
      <w:r w:rsidRPr="00A30F99">
        <w:rPr>
          <w:szCs w:val="26"/>
        </w:rPr>
        <w:t xml:space="preserve"> apmērā ar fiksēto procentu (kupona) likmi 2,625% gadā. Atšķirībā no iepriekšējiem aizņēmumiem starptautiskajos finanšu tirgos šis darījums tika orientēts pārsvarā uz Eiropas investoriem.</w:t>
      </w:r>
      <w:r w:rsidRPr="00A30F99">
        <w:rPr>
          <w:sz w:val="22"/>
        </w:rPr>
        <w:t xml:space="preserve"> </w:t>
      </w:r>
      <w:r w:rsidRPr="00A30F99">
        <w:rPr>
          <w:szCs w:val="26"/>
        </w:rPr>
        <w:t xml:space="preserve">Ekonomiskā izaugsme, pievienošanās </w:t>
      </w:r>
      <w:proofErr w:type="spellStart"/>
      <w:r w:rsidR="006F7828">
        <w:rPr>
          <w:i/>
          <w:color w:val="000000"/>
          <w:szCs w:val="24"/>
        </w:rPr>
        <w:t>euro</w:t>
      </w:r>
      <w:proofErr w:type="spellEnd"/>
      <w:r w:rsidR="006F7828">
        <w:rPr>
          <w:i/>
          <w:color w:val="000000"/>
          <w:szCs w:val="24"/>
        </w:rPr>
        <w:t xml:space="preserve"> </w:t>
      </w:r>
      <w:r w:rsidR="006F7828">
        <w:rPr>
          <w:color w:val="000000"/>
          <w:szCs w:val="24"/>
        </w:rPr>
        <w:t>zonai</w:t>
      </w:r>
      <w:r w:rsidRPr="00A30F99">
        <w:rPr>
          <w:szCs w:val="26"/>
        </w:rPr>
        <w:t xml:space="preserve">, saņemtie Latvijas kredītreitingu uzlabojumi, investoru augstais novērtējums par paveikto Latvijas valsts ekonomikā iepriekšējos gados un ticība Latvijas attīstībai ilgtermiņā ir ļāvuši aizņemties finanšu resursus starptautiskajos tirgos ar ļoti izdevīgiem nosacījumiem. </w:t>
      </w:r>
    </w:p>
    <w:p w14:paraId="7E6AC255" w14:textId="77777777" w:rsidR="00225EFF" w:rsidRPr="00A30F99" w:rsidRDefault="00225EFF" w:rsidP="00DE7DCB">
      <w:pPr>
        <w:spacing w:after="0"/>
        <w:ind w:firstLine="720"/>
        <w:rPr>
          <w:szCs w:val="26"/>
        </w:rPr>
      </w:pPr>
      <w:r w:rsidRPr="00A30F99">
        <w:rPr>
          <w:szCs w:val="26"/>
        </w:rPr>
        <w:t xml:space="preserve">Iekšzemes finanšu tirgū tiek turpinātas regulāras valsts vērtspapīru izsoles, 2013.gadā iekšzemes investoriem izsolēs piedāvājot parādzīmes un obligācijas ar dažādiem dzēšanas termiņiem. Ar mērķi sekmēt valsts vērtspapīru tirgus attīstību un otrreizējā tirgus aktivitāti, no 2013.gada februāra darbojas primāro dīleru sistēma. </w:t>
      </w:r>
    </w:p>
    <w:p w14:paraId="60AE3F2C" w14:textId="200BE7C2" w:rsidR="00225EFF" w:rsidRPr="00A30F99" w:rsidRDefault="00225EFF" w:rsidP="00225EFF">
      <w:pPr>
        <w:spacing w:after="0"/>
        <w:ind w:firstLine="720"/>
        <w:rPr>
          <w:szCs w:val="26"/>
        </w:rPr>
      </w:pPr>
      <w:r w:rsidRPr="00A30F99">
        <w:rPr>
          <w:szCs w:val="26"/>
        </w:rPr>
        <w:t>Lai veicinātu privātpersonu ieguldījumus iekšzemes finanšu tirgus instrumentos, sākot ar 2013.gad</w:t>
      </w:r>
      <w:r w:rsidR="00563329">
        <w:rPr>
          <w:szCs w:val="26"/>
        </w:rPr>
        <w:t>a</w:t>
      </w:r>
      <w:r w:rsidRPr="00A30F99">
        <w:rPr>
          <w:szCs w:val="26"/>
        </w:rPr>
        <w:t xml:space="preserve"> jūniju iedzīvotājiem ir iespēja iegādāties valsts </w:t>
      </w:r>
      <w:proofErr w:type="spellStart"/>
      <w:r w:rsidRPr="00A30F99">
        <w:rPr>
          <w:szCs w:val="26"/>
        </w:rPr>
        <w:t>krājobligācijas</w:t>
      </w:r>
      <w:proofErr w:type="spellEnd"/>
      <w:r w:rsidRPr="00A30F99">
        <w:rPr>
          <w:szCs w:val="26"/>
        </w:rPr>
        <w:t xml:space="preserve">. 2014.gada marta beigās apgrozībā esošais </w:t>
      </w:r>
      <w:proofErr w:type="spellStart"/>
      <w:r w:rsidRPr="00A30F99">
        <w:rPr>
          <w:szCs w:val="26"/>
        </w:rPr>
        <w:t>krājobligāciju</w:t>
      </w:r>
      <w:proofErr w:type="spellEnd"/>
      <w:r w:rsidRPr="00A30F99">
        <w:rPr>
          <w:szCs w:val="26"/>
        </w:rPr>
        <w:t xml:space="preserve"> apjoms sasniedzis 3,8 milj.</w:t>
      </w:r>
      <w:r w:rsidR="00CD2C2E">
        <w:rPr>
          <w:szCs w:val="26"/>
        </w:rPr>
        <w:t xml:space="preserve"> </w:t>
      </w:r>
      <w:proofErr w:type="spellStart"/>
      <w:r w:rsidRPr="00A30F99">
        <w:rPr>
          <w:i/>
          <w:szCs w:val="26"/>
        </w:rPr>
        <w:t>euro</w:t>
      </w:r>
      <w:proofErr w:type="spellEnd"/>
      <w:r w:rsidRPr="00A30F99">
        <w:rPr>
          <w:szCs w:val="26"/>
        </w:rPr>
        <w:t xml:space="preserve">.    </w:t>
      </w:r>
      <w:r w:rsidRPr="00A30F99" w:rsidDel="00110054">
        <w:rPr>
          <w:szCs w:val="26"/>
        </w:rPr>
        <w:t xml:space="preserve"> </w:t>
      </w:r>
    </w:p>
    <w:p w14:paraId="17BA6469" w14:textId="77777777" w:rsidR="00225EFF" w:rsidRPr="00A30F99" w:rsidRDefault="00225EFF" w:rsidP="00225EFF">
      <w:pPr>
        <w:spacing w:after="0"/>
        <w:ind w:firstLine="720"/>
        <w:rPr>
          <w:szCs w:val="26"/>
        </w:rPr>
      </w:pPr>
      <w:r w:rsidRPr="00A30F99">
        <w:rPr>
          <w:szCs w:val="26"/>
        </w:rPr>
        <w:t>Lai saskaņā ar Latvijas valsts parāda vadības stratēģiju nodrošinātu centrālās valdības parāda pārfinansēšanas riska novēršanu un parāda vadības izdevumu optimizēšanu vidējā termiņā, vidēja termiņa aizņemšanās stratēģijas realizēšanā izvirzītas šādas prioritātes:</w:t>
      </w:r>
    </w:p>
    <w:p w14:paraId="64AAD96C" w14:textId="1798E631" w:rsidR="00225EFF" w:rsidRPr="00A30F99" w:rsidRDefault="00225EFF" w:rsidP="00225EFF">
      <w:pPr>
        <w:spacing w:after="0"/>
        <w:ind w:firstLine="720"/>
        <w:rPr>
          <w:szCs w:val="26"/>
        </w:rPr>
      </w:pPr>
      <w:r w:rsidRPr="00A30F99">
        <w:rPr>
          <w:szCs w:val="26"/>
        </w:rPr>
        <w:t>1) turpināt pakāpenisku un savlaicīgu aizņemšanos starptautiskajos finanšu tirgos, galvenokārt organizējot regulāras publiskas valsts parāda vērtspapīru emisijas, lai saskaņā ar noteiktiem atmaksas grafikiem nodrošinātu starptautiskā aizņēmuma programmas ietvaros uzņemto valsts parāda saistību pārfinansēšanu ar aizņ</w:t>
      </w:r>
      <w:r w:rsidR="00563329">
        <w:rPr>
          <w:szCs w:val="26"/>
        </w:rPr>
        <w:t>emšanās</w:t>
      </w:r>
      <w:r w:rsidRPr="00A30F99">
        <w:rPr>
          <w:szCs w:val="26"/>
        </w:rPr>
        <w:t xml:space="preserve"> likmju un termiņu ziņā labvēlīgiem nosacījumiem;</w:t>
      </w:r>
    </w:p>
    <w:p w14:paraId="0963F6CE" w14:textId="77777777" w:rsidR="00225EFF" w:rsidRPr="00A30F99" w:rsidRDefault="00225EFF" w:rsidP="00225EFF">
      <w:pPr>
        <w:spacing w:after="0"/>
        <w:ind w:firstLine="720"/>
        <w:rPr>
          <w:szCs w:val="26"/>
        </w:rPr>
      </w:pPr>
      <w:r w:rsidRPr="00A30F99">
        <w:rPr>
          <w:szCs w:val="26"/>
        </w:rPr>
        <w:t>2) nodrošināt valsts vērtspapīru investoru loka diversifikāciju un paplašināšanu, īstenojot regulāru, pastāvīgu dialogu un ilgtermiņa darbu ar investoriem un sadarbības partneriem, lai veicinātu dažādu pasaules reģionu investoru aktīvu dalību valsts ārējā aizņēmuma vērtspapīru sākotnējā izvietošanā;</w:t>
      </w:r>
    </w:p>
    <w:p w14:paraId="5AFFE5E5" w14:textId="77777777" w:rsidR="00225EFF" w:rsidRPr="00A30F99" w:rsidRDefault="00225EFF" w:rsidP="00225EFF">
      <w:pPr>
        <w:spacing w:after="0"/>
        <w:ind w:firstLine="720"/>
        <w:rPr>
          <w:szCs w:val="26"/>
        </w:rPr>
      </w:pPr>
      <w:r w:rsidRPr="00A30F99">
        <w:rPr>
          <w:szCs w:val="26"/>
        </w:rPr>
        <w:t>3) veicināt iekšzemes finanšu tirgus attīstību un nodrošināt atbilstošas ieguldījumu iespējas iekšzemes finanšu tirgus dalībniekiem, veidojot piedāvāto finanšu instrumentu spektru atbilstoši investoru pieprasījumam un izmantojot aizņemšanās iekšzemes finanšu tirgū potenciālu.</w:t>
      </w:r>
    </w:p>
    <w:p w14:paraId="0D261FBF" w14:textId="2114990A" w:rsidR="00C96AAD" w:rsidRPr="00A30F99" w:rsidRDefault="00225EFF" w:rsidP="00C96AAD">
      <w:pPr>
        <w:rPr>
          <w:szCs w:val="26"/>
        </w:rPr>
      </w:pPr>
      <w:r w:rsidRPr="00A30F99">
        <w:rPr>
          <w:szCs w:val="26"/>
        </w:rPr>
        <w:t xml:space="preserve">2014.gada 1.ceturksnī Latvija atmaksāja pirmo starptautiskā aizņēmuma programmas ietvaros saņemto </w:t>
      </w:r>
      <w:r w:rsidR="00F375DE" w:rsidRPr="00A30F99">
        <w:rPr>
          <w:szCs w:val="26"/>
        </w:rPr>
        <w:t>EK</w:t>
      </w:r>
      <w:r w:rsidRPr="00A30F99">
        <w:rPr>
          <w:szCs w:val="26"/>
        </w:rPr>
        <w:t xml:space="preserve"> aizdevuma daļu viena miljarda </w:t>
      </w:r>
      <w:proofErr w:type="spellStart"/>
      <w:r w:rsidRPr="00A30F99">
        <w:rPr>
          <w:i/>
          <w:szCs w:val="26"/>
        </w:rPr>
        <w:t>euro</w:t>
      </w:r>
      <w:proofErr w:type="spellEnd"/>
      <w:r w:rsidRPr="00A30F99">
        <w:rPr>
          <w:szCs w:val="26"/>
        </w:rPr>
        <w:t xml:space="preserve"> apmērā. Vidējā termiņā (2014.gada aprīlī – 2017.gada decembrī) atmaksājamās centrālās valdības parāda saistības ir 3,4 mljrd.</w:t>
      </w:r>
      <w:r w:rsidR="00CD2C2E">
        <w:rPr>
          <w:szCs w:val="26"/>
        </w:rPr>
        <w:t xml:space="preserve"> </w:t>
      </w:r>
      <w:proofErr w:type="spellStart"/>
      <w:r w:rsidRPr="00A30F99">
        <w:rPr>
          <w:i/>
          <w:szCs w:val="26"/>
        </w:rPr>
        <w:t>euro</w:t>
      </w:r>
      <w:proofErr w:type="spellEnd"/>
      <w:r w:rsidRPr="00A30F99">
        <w:rPr>
          <w:szCs w:val="26"/>
        </w:rPr>
        <w:t xml:space="preserve">, kurā lielāko īpatsvaru veido 2015.–2017.gadā atmaksājamie starptautiskā aizņēmuma programmas ietvaros piešķirtie </w:t>
      </w:r>
      <w:r w:rsidR="00F375DE" w:rsidRPr="00A30F99">
        <w:rPr>
          <w:szCs w:val="26"/>
        </w:rPr>
        <w:t>EK</w:t>
      </w:r>
      <w:r w:rsidRPr="00A30F99">
        <w:rPr>
          <w:szCs w:val="26"/>
        </w:rPr>
        <w:t xml:space="preserve"> un </w:t>
      </w:r>
      <w:r w:rsidR="00F375DE" w:rsidRPr="00A30F99">
        <w:rPr>
          <w:szCs w:val="26"/>
        </w:rPr>
        <w:t>PB</w:t>
      </w:r>
      <w:r w:rsidRPr="00A30F99">
        <w:rPr>
          <w:szCs w:val="26"/>
        </w:rPr>
        <w:t xml:space="preserve"> aizdevumi, kā arī 2014.gada aprīlī un 2017.gadā dzēšamās </w:t>
      </w:r>
      <w:proofErr w:type="spellStart"/>
      <w:r w:rsidR="00806431" w:rsidRPr="00806431">
        <w:rPr>
          <w:i/>
          <w:szCs w:val="26"/>
        </w:rPr>
        <w:t>eu</w:t>
      </w:r>
      <w:r w:rsidRPr="00806431">
        <w:rPr>
          <w:i/>
          <w:szCs w:val="26"/>
        </w:rPr>
        <w:t>ro</w:t>
      </w:r>
      <w:proofErr w:type="spellEnd"/>
      <w:r w:rsidR="00806431">
        <w:rPr>
          <w:szCs w:val="26"/>
        </w:rPr>
        <w:t xml:space="preserve"> </w:t>
      </w:r>
      <w:r w:rsidRPr="0037075E">
        <w:rPr>
          <w:szCs w:val="26"/>
        </w:rPr>
        <w:t xml:space="preserve">obligācijas (sk. </w:t>
      </w:r>
      <w:r w:rsidR="0037075E" w:rsidRPr="0037075E">
        <w:rPr>
          <w:szCs w:val="26"/>
        </w:rPr>
        <w:t>3.5</w:t>
      </w:r>
      <w:r w:rsidRPr="0037075E">
        <w:rPr>
          <w:szCs w:val="26"/>
        </w:rPr>
        <w:t>.attēlu). Ņemot vērā vidējā termiņā atmaksājamo centrālās valdības parāda saistību</w:t>
      </w:r>
      <w:r w:rsidRPr="00A30F99">
        <w:rPr>
          <w:szCs w:val="26"/>
        </w:rPr>
        <w:t xml:space="preserve"> ievērojam</w:t>
      </w:r>
      <w:r w:rsidR="00806431">
        <w:rPr>
          <w:szCs w:val="26"/>
        </w:rPr>
        <w:t>o</w:t>
      </w:r>
      <w:r w:rsidRPr="00A30F99">
        <w:rPr>
          <w:szCs w:val="26"/>
        </w:rPr>
        <w:t xml:space="preserve"> apjomu, atbilstoši vidēja termiņa aizņemšanās stratēģijai tiek nodrošināta atbilstoša finansējuma savlaicīga piesaiste, lai samazinātu parāda pārfinansēšanas risku.</w:t>
      </w:r>
    </w:p>
    <w:p w14:paraId="7DA2BFB7" w14:textId="77777777" w:rsidR="00225EFF" w:rsidRDefault="00225EFF" w:rsidP="00225EFF">
      <w:pPr>
        <w:spacing w:after="0"/>
        <w:ind w:firstLine="0"/>
        <w:jc w:val="center"/>
        <w:rPr>
          <w:b/>
          <w:sz w:val="26"/>
          <w:szCs w:val="26"/>
        </w:rPr>
      </w:pPr>
      <w:r>
        <w:rPr>
          <w:b/>
          <w:noProof/>
          <w:sz w:val="26"/>
          <w:szCs w:val="26"/>
          <w:lang w:eastAsia="lv-LV"/>
        </w:rPr>
        <w:drawing>
          <wp:inline distT="0" distB="0" distL="0" distR="0" wp14:anchorId="0C83E09F" wp14:editId="3A4CE1B2">
            <wp:extent cx="5885410" cy="18161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93143" cy="1818487"/>
                    </a:xfrm>
                    <a:prstGeom prst="rect">
                      <a:avLst/>
                    </a:prstGeom>
                    <a:noFill/>
                  </pic:spPr>
                </pic:pic>
              </a:graphicData>
            </a:graphic>
          </wp:inline>
        </w:drawing>
      </w:r>
    </w:p>
    <w:p w14:paraId="74D898C3" w14:textId="15A6E329" w:rsidR="00C96AAD" w:rsidRPr="00A30F99" w:rsidRDefault="0037075E" w:rsidP="00C96AAD">
      <w:pPr>
        <w:spacing w:after="0"/>
        <w:ind w:firstLine="0"/>
        <w:jc w:val="center"/>
        <w:rPr>
          <w:b/>
          <w:szCs w:val="26"/>
        </w:rPr>
      </w:pPr>
      <w:r w:rsidRPr="0037075E">
        <w:rPr>
          <w:b/>
          <w:szCs w:val="26"/>
        </w:rPr>
        <w:t>3.5</w:t>
      </w:r>
      <w:r w:rsidR="00C96AAD" w:rsidRPr="0037075E">
        <w:rPr>
          <w:b/>
          <w:szCs w:val="26"/>
        </w:rPr>
        <w:t>.</w:t>
      </w:r>
      <w:r w:rsidR="00EA0A2F">
        <w:rPr>
          <w:b/>
          <w:szCs w:val="26"/>
        </w:rPr>
        <w:t xml:space="preserve"> </w:t>
      </w:r>
      <w:r w:rsidR="00C96AAD" w:rsidRPr="0037075E">
        <w:rPr>
          <w:b/>
          <w:szCs w:val="26"/>
        </w:rPr>
        <w:t>attēls. Centrālās</w:t>
      </w:r>
      <w:r w:rsidR="00C96AAD" w:rsidRPr="00A30F99">
        <w:rPr>
          <w:b/>
          <w:szCs w:val="26"/>
        </w:rPr>
        <w:t xml:space="preserve"> valdības aizņēmumu atmaksas grafiks</w:t>
      </w:r>
    </w:p>
    <w:p w14:paraId="67A1DB12" w14:textId="4A92F6A5" w:rsidR="00225EFF" w:rsidRPr="00C96AAD" w:rsidRDefault="00C96AAD" w:rsidP="00C96AAD">
      <w:pPr>
        <w:ind w:firstLine="0"/>
        <w:jc w:val="center"/>
        <w:rPr>
          <w:sz w:val="20"/>
        </w:rPr>
      </w:pPr>
      <w:r w:rsidRPr="00062D25">
        <w:rPr>
          <w:sz w:val="20"/>
        </w:rPr>
        <w:t>(līdz 201</w:t>
      </w:r>
      <w:r>
        <w:rPr>
          <w:sz w:val="20"/>
        </w:rPr>
        <w:t>4</w:t>
      </w:r>
      <w:r w:rsidRPr="00062D25">
        <w:rPr>
          <w:sz w:val="20"/>
        </w:rPr>
        <w:t xml:space="preserve">.gada </w:t>
      </w:r>
      <w:r>
        <w:rPr>
          <w:sz w:val="20"/>
        </w:rPr>
        <w:t>31.martam</w:t>
      </w:r>
      <w:r w:rsidRPr="00062D25">
        <w:rPr>
          <w:sz w:val="20"/>
        </w:rPr>
        <w:t xml:space="preserve"> uzņemtās saistības, nominālvērtībā)</w:t>
      </w:r>
    </w:p>
    <w:p w14:paraId="475E2AAA" w14:textId="648971D6" w:rsidR="00225EFF" w:rsidRPr="00A30F99" w:rsidRDefault="00225EFF" w:rsidP="00225EFF">
      <w:pPr>
        <w:spacing w:after="0"/>
        <w:ind w:firstLine="720"/>
        <w:rPr>
          <w:szCs w:val="26"/>
        </w:rPr>
      </w:pPr>
      <w:r w:rsidRPr="00A30F99">
        <w:rPr>
          <w:szCs w:val="26"/>
        </w:rPr>
        <w:t>Ņemot vērā aizņemšanās stratēģiskos mērķus, tuvākajos gados tieši ārēj</w:t>
      </w:r>
      <w:r w:rsidR="00563329">
        <w:rPr>
          <w:szCs w:val="26"/>
        </w:rPr>
        <w:t>ā</w:t>
      </w:r>
      <w:r w:rsidRPr="00A30F99">
        <w:rPr>
          <w:szCs w:val="26"/>
        </w:rPr>
        <w:t xml:space="preserve"> aizņēmuma instrumenti veidos būtiskāko daļu no kopēja piesaistāmā finanšu resursu apjoma. Aizņēmumus starptautiskajos finanšu un kapitāla tirgos plānots balstīt uz publiskiem darījumiem globālajos finanšu tirgos – ASV un Eiropā, kā arī vēršoties pie citu reģionu investoriem. </w:t>
      </w:r>
    </w:p>
    <w:p w14:paraId="02978F88" w14:textId="1E388E97" w:rsidR="00225EFF" w:rsidRPr="00A30F99" w:rsidRDefault="00225EFF" w:rsidP="00225EFF">
      <w:pPr>
        <w:spacing w:after="0"/>
        <w:ind w:firstLine="720"/>
        <w:rPr>
          <w:szCs w:val="26"/>
        </w:rPr>
      </w:pPr>
      <w:r w:rsidRPr="00A30F99">
        <w:rPr>
          <w:szCs w:val="26"/>
        </w:rPr>
        <w:t>Iekšzemes finanšu tirgū arī turpmāk plānots nodrošināt regulāru un pieprasījumam atbilstošu valsts iekšējā aizņēmuma vērtspapīru un obligāciju piedāvājumu, sekmējot valsts vērtspapīru tirgus attīstību un aktivitāti primāro dīleru sistēmas ietvaros.</w:t>
      </w:r>
    </w:p>
    <w:p w14:paraId="33176A7A" w14:textId="0B35A7CE" w:rsidR="00C96AAD" w:rsidRPr="00C96AAD" w:rsidRDefault="00C96AAD" w:rsidP="00C96AAD">
      <w:pPr>
        <w:spacing w:after="0"/>
        <w:ind w:firstLine="720"/>
        <w:rPr>
          <w:szCs w:val="26"/>
        </w:rPr>
      </w:pPr>
      <w:r>
        <w:rPr>
          <w:b/>
          <w:bCs/>
          <w:noProof/>
          <w:sz w:val="26"/>
          <w:szCs w:val="26"/>
          <w:lang w:eastAsia="lv-LV"/>
        </w:rPr>
        <w:drawing>
          <wp:anchor distT="0" distB="0" distL="114300" distR="114300" simplePos="0" relativeHeight="251656192" behindDoc="1" locked="0" layoutInCell="1" allowOverlap="1" wp14:anchorId="300746A9" wp14:editId="4E2D162A">
            <wp:simplePos x="0" y="0"/>
            <wp:positionH relativeFrom="column">
              <wp:posOffset>234315</wp:posOffset>
            </wp:positionH>
            <wp:positionV relativeFrom="paragraph">
              <wp:posOffset>951230</wp:posOffset>
            </wp:positionV>
            <wp:extent cx="5088255" cy="2360295"/>
            <wp:effectExtent l="0" t="0" r="0" b="1905"/>
            <wp:wrapTight wrapText="bothSides">
              <wp:wrapPolygon edited="0">
                <wp:start x="0" y="0"/>
                <wp:lineTo x="0" y="21443"/>
                <wp:lineTo x="21511" y="21443"/>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088255" cy="2360295"/>
                    </a:xfrm>
                    <a:prstGeom prst="rect">
                      <a:avLst/>
                    </a:prstGeom>
                    <a:noFill/>
                  </pic:spPr>
                </pic:pic>
              </a:graphicData>
            </a:graphic>
          </wp:anchor>
        </w:drawing>
      </w:r>
      <w:r w:rsidR="00225EFF" w:rsidRPr="00A30F99">
        <w:rPr>
          <w:szCs w:val="26"/>
        </w:rPr>
        <w:t xml:space="preserve">Veicot savlaicīgus aizņemšanās pasākumus atbilstoši vidējā termiņa stratēģijai, kā arī turpinot īstenot ilgtspējīgu fiskālo politiku, ir iespējams ar likmju un termiņu ziņā labvēlīgiem nosacījumiem pārfinansēt pašreiz uzņemtās valsts parāda saistības, kā arī ilgtermiņā panākt valsts parāda līmeņa samazināšanos un stabilizēšanos ilgtspējīgā līmenī, pārliecinoši ievērojot Māstrihtas līgumā noteikto vispārējās valdības parāda apjoma </w:t>
      </w:r>
      <w:r w:rsidR="00225EFF" w:rsidRPr="0037075E">
        <w:rPr>
          <w:szCs w:val="26"/>
        </w:rPr>
        <w:t xml:space="preserve">kritēriju (sk. </w:t>
      </w:r>
      <w:r w:rsidR="0037075E" w:rsidRPr="0037075E">
        <w:rPr>
          <w:szCs w:val="26"/>
        </w:rPr>
        <w:t>3.6</w:t>
      </w:r>
      <w:r w:rsidR="00225EFF" w:rsidRPr="0037075E">
        <w:rPr>
          <w:szCs w:val="26"/>
        </w:rPr>
        <w:t>.attēlu).</w:t>
      </w:r>
    </w:p>
    <w:p w14:paraId="20663820" w14:textId="76A8E946" w:rsidR="00225EFF" w:rsidRPr="00C96AAD" w:rsidRDefault="0037075E" w:rsidP="00C96AAD">
      <w:pPr>
        <w:ind w:firstLine="0"/>
        <w:jc w:val="center"/>
        <w:rPr>
          <w:b/>
          <w:bCs/>
          <w:sz w:val="26"/>
          <w:szCs w:val="26"/>
        </w:rPr>
      </w:pPr>
      <w:r w:rsidRPr="0037075E">
        <w:rPr>
          <w:b/>
          <w:szCs w:val="26"/>
        </w:rPr>
        <w:t>3.6</w:t>
      </w:r>
      <w:r w:rsidR="00C96AAD" w:rsidRPr="0037075E">
        <w:rPr>
          <w:b/>
          <w:szCs w:val="26"/>
        </w:rPr>
        <w:t>.attēls.</w:t>
      </w:r>
      <w:r w:rsidR="00C96AAD" w:rsidRPr="00A30F99">
        <w:rPr>
          <w:szCs w:val="26"/>
        </w:rPr>
        <w:t xml:space="preserve"> </w:t>
      </w:r>
      <w:r w:rsidR="00C96AAD" w:rsidRPr="00A30F99">
        <w:rPr>
          <w:b/>
          <w:szCs w:val="26"/>
        </w:rPr>
        <w:t xml:space="preserve">Vispārējās valdības parāda attīstības tendences </w:t>
      </w:r>
      <w:r w:rsidR="00C96AAD" w:rsidRPr="00A30F99">
        <w:rPr>
          <w:szCs w:val="26"/>
        </w:rPr>
        <w:t>(% no IKP)</w:t>
      </w:r>
    </w:p>
    <w:p w14:paraId="396633B7" w14:textId="498405F1" w:rsidR="000F6956" w:rsidRPr="009C61B1" w:rsidRDefault="00EB6C31" w:rsidP="002D62B9">
      <w:pPr>
        <w:pStyle w:val="PIRMAIS"/>
      </w:pPr>
      <w:bookmarkStart w:id="23" w:name="_Toc385517817"/>
      <w:bookmarkStart w:id="24" w:name="_Toc284924054"/>
      <w:bookmarkStart w:id="25" w:name="_Toc92091188"/>
      <w:bookmarkStart w:id="26" w:name="_Toc120504687"/>
      <w:bookmarkStart w:id="27" w:name="_Toc155518728"/>
      <w:bookmarkStart w:id="28" w:name="_Toc214080403"/>
      <w:bookmarkStart w:id="29" w:name="_Toc215906646"/>
      <w:bookmarkStart w:id="30" w:name="_Toc120504688"/>
      <w:bookmarkEnd w:id="14"/>
      <w:bookmarkEnd w:id="15"/>
      <w:r>
        <w:t>4</w:t>
      </w:r>
      <w:r w:rsidR="000F6956" w:rsidRPr="009C61B1">
        <w:t>.</w:t>
      </w:r>
      <w:r w:rsidR="000F6956" w:rsidRPr="009C61B1">
        <w:tab/>
        <w:t>Jutīguma analīze un salīdzinājums</w:t>
      </w:r>
      <w:bookmarkEnd w:id="23"/>
      <w:r w:rsidR="000F6956" w:rsidRPr="009C61B1">
        <w:t xml:space="preserve"> </w:t>
      </w:r>
      <w:bookmarkEnd w:id="24"/>
    </w:p>
    <w:p w14:paraId="20DAC5E7" w14:textId="2BA3791B" w:rsidR="000F6956" w:rsidRPr="001B6A4A" w:rsidRDefault="00EB6C31" w:rsidP="001B6A4A">
      <w:pPr>
        <w:pStyle w:val="otrais"/>
        <w:ind w:left="0" w:firstLine="0"/>
        <w:rPr>
          <w:color w:val="000000"/>
        </w:rPr>
      </w:pPr>
      <w:bookmarkStart w:id="31" w:name="_Toc290024504"/>
      <w:bookmarkStart w:id="32" w:name="_Toc385517818"/>
      <w:bookmarkEnd w:id="25"/>
      <w:bookmarkEnd w:id="26"/>
      <w:bookmarkEnd w:id="27"/>
      <w:bookmarkEnd w:id="28"/>
      <w:bookmarkEnd w:id="29"/>
      <w:r w:rsidRPr="001B6A4A">
        <w:rPr>
          <w:color w:val="000000"/>
        </w:rPr>
        <w:t>4</w:t>
      </w:r>
      <w:r w:rsidR="000F6956" w:rsidRPr="001B6A4A">
        <w:rPr>
          <w:color w:val="000000"/>
        </w:rPr>
        <w:t>.1. Makroekonomiskā scenārija riski</w:t>
      </w:r>
      <w:bookmarkEnd w:id="31"/>
      <w:bookmarkEnd w:id="32"/>
    </w:p>
    <w:p w14:paraId="70732D16" w14:textId="5E914316" w:rsidR="00CB2E4C" w:rsidRPr="00A71BAD" w:rsidRDefault="00CB2E4C" w:rsidP="00CB2E4C">
      <w:pPr>
        <w:ind w:firstLine="720"/>
      </w:pPr>
      <w:r w:rsidRPr="00A71BAD">
        <w:t xml:space="preserve">Saskaņā ar </w:t>
      </w:r>
      <w:r>
        <w:t>FM</w:t>
      </w:r>
      <w:r w:rsidRPr="00A71BAD">
        <w:t xml:space="preserve"> izstrādāto makroekonomiskās attīstības scenāriju 2014. – 2017. gadam Latvijas ekonomikas izaugsme šobrīd atrodas tās potenciālā līmenī, tomēr vidējā termiņā izaugsmi var ietekmēt gan pozitīvi, gan negatīvi riski. Vidējā termiņā makroekonomiskās attīstības scenārija pozitīvie un negatīvie riski ir sabalansēti, tomēr īstermiņā vairāk dominē negatīvie riski. Tas lielākoties saistīts ar pēdējo mēnešu notikumiem Ukrainā, kā arī iespējamām abpusējām vai vienpusējām sankcijām starp ES un Krieviju.</w:t>
      </w:r>
    </w:p>
    <w:p w14:paraId="0D9589C6" w14:textId="77777777" w:rsidR="00CB2E4C" w:rsidRPr="00A71BAD" w:rsidRDefault="00CB2E4C" w:rsidP="00CB2E4C">
      <w:pPr>
        <w:ind w:firstLine="720"/>
      </w:pPr>
      <w:r w:rsidRPr="00A71BAD">
        <w:t>Starp riskiem joprojām turpina dominēt ārējās vides riski, kas var negatīvi ietekmēt Latvijas eksporta apjomus. Starp galvenajiem ārējās vides riskiem minami notikumi Ukrainā, ekonomikas izaugsmes bremzēšanās Krievijā, ilgstoši zemas inflācijas draudi ES, Ķīnas un citu attīstības valstu izaugsmes samazināšanās, kā arī ASV monetārās politikas izmaiņas.</w:t>
      </w:r>
    </w:p>
    <w:p w14:paraId="3CD3303F" w14:textId="6A71CC6D" w:rsidR="00CB2E4C" w:rsidRPr="00A71BAD" w:rsidRDefault="00CB2E4C" w:rsidP="00CB2E4C">
      <w:pPr>
        <w:ind w:firstLine="720"/>
      </w:pPr>
      <w:r w:rsidRPr="00A71BAD">
        <w:t xml:space="preserve">Vienlaikus jāuzsver, ka ģeopolitiskais risks saistībā ar situāciju Ukrainā šobrīd ir būtiskākais risks Latvijas ekonomikas izaugsmei. </w:t>
      </w:r>
      <w:r>
        <w:t>FM</w:t>
      </w:r>
      <w:r w:rsidRPr="00A71BAD">
        <w:t xml:space="preserve"> aktīvi seko līdzi aktuālākajiem makroekonomiskajiem indikatoriem un analizē Ukrainas notikumu potenciālo ietekmi uz Latvijas ekonomiku. Tomēr jānorāda, ka uz stabilitātes programmas izstrādes brīdi pirmie īstermiņa makroekonomiskie indikatori bija pieejami tikai par janvāri un februāri. </w:t>
      </w:r>
      <w:r>
        <w:t>Turpmākā</w:t>
      </w:r>
      <w:r w:rsidRPr="00A71BAD">
        <w:t xml:space="preserve"> Ukrainas notikumu ietekme uz Latvijas ekonomiku </w:t>
      </w:r>
      <w:r>
        <w:t>tiek padziļināti analizēta un būs atspoguļota</w:t>
      </w:r>
      <w:r w:rsidRPr="00A71BAD">
        <w:t xml:space="preserve"> </w:t>
      </w:r>
      <w:r>
        <w:t>FM</w:t>
      </w:r>
      <w:r w:rsidRPr="00A71BAD">
        <w:t xml:space="preserve"> izstrādā</w:t>
      </w:r>
      <w:r>
        <w:t>tajās</w:t>
      </w:r>
      <w:r w:rsidRPr="00A71BAD">
        <w:t xml:space="preserve"> makroekonomisko rādītāju prognoz</w:t>
      </w:r>
      <w:r>
        <w:t>ē</w:t>
      </w:r>
      <w:r w:rsidRPr="00A71BAD">
        <w:t>s</w:t>
      </w:r>
      <w:r>
        <w:t>, kas tiks aktualizētas šā gada jūnijā</w:t>
      </w:r>
      <w:r w:rsidRPr="00A71BAD">
        <w:t>. Uz to brīdi būs pieejami pilnie IKP dati par 2014. gada 1. ceturksni, kā arī atsevišķi īstermiņa makroekonomiskie indikatori par otro ceturksni, kā rezultātā būs iespējams precīzāk novērtēt Ukrainas notikumu ietekmi uz Latvijas ekonomikas attīstību.</w:t>
      </w:r>
    </w:p>
    <w:p w14:paraId="0CEEA706" w14:textId="77777777" w:rsidR="00CB2E4C" w:rsidRPr="00A71BAD" w:rsidRDefault="00CB2E4C" w:rsidP="00CB2E4C">
      <w:pPr>
        <w:ind w:firstLine="720"/>
      </w:pPr>
      <w:r w:rsidRPr="00A71BAD">
        <w:t>Papildus ārējās vides riskiem makroekonomiskā scenārija izpildi ietekmēs arī iekšējie faktori – uzņēmumu iespējas piesaistīt finanšu līdzekļus un īstenot investīciju projektus, lai palielinātu ražošanas jaudas, situācija darba tirgū, kreditēšanas attīstība u.c. faktori, kas tiešā veidā ietekmē valsts kredītreitingu, procentu likmes, konfidences rādītājus un iekšzemes pieprasījumu.</w:t>
      </w:r>
    </w:p>
    <w:p w14:paraId="3A8A4541" w14:textId="77777777" w:rsidR="00CB2E4C" w:rsidRPr="00A71BAD" w:rsidRDefault="00CB2E4C" w:rsidP="0037075E">
      <w:pPr>
        <w:ind w:firstLine="0"/>
        <w:rPr>
          <w:b/>
          <w:szCs w:val="24"/>
        </w:rPr>
      </w:pPr>
      <w:r w:rsidRPr="00A71BAD">
        <w:rPr>
          <w:b/>
          <w:szCs w:val="24"/>
        </w:rPr>
        <w:t>Negatīvie riski:</w:t>
      </w:r>
    </w:p>
    <w:p w14:paraId="658FB1AB" w14:textId="77777777" w:rsidR="00CB2E4C" w:rsidRPr="00A71BAD" w:rsidRDefault="00CB2E4C" w:rsidP="00CB2E4C">
      <w:pPr>
        <w:pStyle w:val="ListParagraph"/>
        <w:numPr>
          <w:ilvl w:val="0"/>
          <w:numId w:val="16"/>
        </w:numPr>
        <w:spacing w:after="120" w:line="259" w:lineRule="auto"/>
        <w:jc w:val="both"/>
        <w:rPr>
          <w:rFonts w:ascii="Times New Roman" w:hAnsi="Times New Roman"/>
          <w:b/>
          <w:sz w:val="24"/>
          <w:szCs w:val="24"/>
        </w:rPr>
      </w:pPr>
      <w:r w:rsidRPr="00A71BAD">
        <w:rPr>
          <w:rFonts w:ascii="Times New Roman" w:hAnsi="Times New Roman"/>
          <w:b/>
          <w:sz w:val="24"/>
          <w:szCs w:val="24"/>
        </w:rPr>
        <w:t xml:space="preserve">Situācija Ukrainā – Krievijā </w:t>
      </w:r>
      <w:r w:rsidRPr="00A71BAD">
        <w:rPr>
          <w:rFonts w:ascii="Times New Roman" w:hAnsi="Times New Roman"/>
          <w:sz w:val="24"/>
          <w:szCs w:val="24"/>
        </w:rPr>
        <w:t>un ar to saistītie ģeopolitiskie riski šobrīd uzskatāmi par visbūtiskāko īstermiņa risku</w:t>
      </w:r>
      <w:r>
        <w:rPr>
          <w:rFonts w:ascii="Times New Roman" w:hAnsi="Times New Roman"/>
          <w:sz w:val="24"/>
          <w:szCs w:val="24"/>
        </w:rPr>
        <w:t xml:space="preserve"> Latvijas ekonomikas attīstībai, tajā skaitā ņemot vērā augsto Latvijas eksporta īpatsvaru uz Krieviju.</w:t>
      </w:r>
      <w:r w:rsidRPr="00A71BAD">
        <w:rPr>
          <w:rFonts w:ascii="Times New Roman" w:hAnsi="Times New Roman"/>
          <w:sz w:val="24"/>
          <w:szCs w:val="24"/>
        </w:rPr>
        <w:t xml:space="preserve"> Tiešie riski saistāmi ar Krievijas rubļa vērtības kritumu, kas mazina Latvijas produktu konkurētspēju Krievijas tirgū, kā arī būtiski pieaugusī neskaidrība par nākotnes attīstības perspektīvām, kas bremzē investīcijas. Būtiskākie riski gan saistāmi ar</w:t>
      </w:r>
      <w:r>
        <w:rPr>
          <w:rFonts w:ascii="Times New Roman" w:hAnsi="Times New Roman"/>
          <w:sz w:val="24"/>
          <w:szCs w:val="24"/>
        </w:rPr>
        <w:t xml:space="preserve"> ES un Krievijas </w:t>
      </w:r>
      <w:r w:rsidRPr="00A71BAD">
        <w:rPr>
          <w:rFonts w:ascii="Times New Roman" w:hAnsi="Times New Roman"/>
          <w:sz w:val="24"/>
          <w:szCs w:val="24"/>
        </w:rPr>
        <w:t>iespējamām</w:t>
      </w:r>
      <w:r>
        <w:rPr>
          <w:rFonts w:ascii="Times New Roman" w:hAnsi="Times New Roman"/>
          <w:sz w:val="24"/>
          <w:szCs w:val="24"/>
        </w:rPr>
        <w:t xml:space="preserve"> savstarpējām</w:t>
      </w:r>
      <w:r w:rsidRPr="00A71BAD">
        <w:rPr>
          <w:rFonts w:ascii="Times New Roman" w:hAnsi="Times New Roman"/>
          <w:sz w:val="24"/>
          <w:szCs w:val="24"/>
        </w:rPr>
        <w:t xml:space="preserve"> sankcijām, kas lielā mērā varētu skart tieši Baltijas valstis. Šādu sankciju eskalācijas gadījumā nevar izslēgt arī Latvijas ekonomikas nonākšanu recesijā.</w:t>
      </w:r>
    </w:p>
    <w:p w14:paraId="549FCBE8"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sz w:val="24"/>
          <w:szCs w:val="24"/>
        </w:rPr>
        <w:t xml:space="preserve">Pat neskatoties uz ģeopolitiskajiem riskiem, šobrīd redzami </w:t>
      </w:r>
      <w:r w:rsidRPr="00A71BAD">
        <w:rPr>
          <w:rFonts w:ascii="Times New Roman" w:hAnsi="Times New Roman"/>
          <w:b/>
          <w:sz w:val="24"/>
          <w:szCs w:val="24"/>
        </w:rPr>
        <w:t>recesijas draudi Krievijā</w:t>
      </w:r>
      <w:r>
        <w:rPr>
          <w:rFonts w:ascii="Times New Roman" w:hAnsi="Times New Roman"/>
          <w:b/>
          <w:sz w:val="24"/>
          <w:szCs w:val="24"/>
        </w:rPr>
        <w:t xml:space="preserve"> </w:t>
      </w:r>
      <w:r w:rsidRPr="00A1710F">
        <w:rPr>
          <w:rFonts w:ascii="Times New Roman" w:hAnsi="Times New Roman"/>
          <w:sz w:val="24"/>
          <w:szCs w:val="24"/>
        </w:rPr>
        <w:t xml:space="preserve">un </w:t>
      </w:r>
      <w:r>
        <w:rPr>
          <w:rFonts w:ascii="Times New Roman" w:hAnsi="Times New Roman"/>
          <w:sz w:val="24"/>
          <w:szCs w:val="24"/>
        </w:rPr>
        <w:t>rubļa vērtības tālāka krišanā</w:t>
      </w:r>
      <w:r w:rsidRPr="00A71BAD">
        <w:rPr>
          <w:rFonts w:ascii="Times New Roman" w:hAnsi="Times New Roman"/>
          <w:sz w:val="24"/>
          <w:szCs w:val="24"/>
        </w:rPr>
        <w:t>s, kas nozīmēt</w:t>
      </w:r>
      <w:r>
        <w:rPr>
          <w:rFonts w:ascii="Times New Roman" w:hAnsi="Times New Roman"/>
          <w:sz w:val="24"/>
          <w:szCs w:val="24"/>
        </w:rPr>
        <w:t>u</w:t>
      </w:r>
      <w:r w:rsidRPr="00A71BAD">
        <w:rPr>
          <w:rFonts w:ascii="Times New Roman" w:hAnsi="Times New Roman"/>
          <w:sz w:val="24"/>
          <w:szCs w:val="24"/>
        </w:rPr>
        <w:t xml:space="preserve"> mazāku pieprasījumu pēc Latvijas eksporta precēm</w:t>
      </w:r>
      <w:r>
        <w:rPr>
          <w:rFonts w:ascii="Times New Roman" w:hAnsi="Times New Roman"/>
          <w:sz w:val="24"/>
          <w:szCs w:val="24"/>
        </w:rPr>
        <w:t xml:space="preserve"> un </w:t>
      </w:r>
      <w:r w:rsidRPr="00A71BAD">
        <w:rPr>
          <w:rFonts w:ascii="Times New Roman" w:hAnsi="Times New Roman"/>
          <w:sz w:val="24"/>
          <w:szCs w:val="24"/>
        </w:rPr>
        <w:t>negatīvi ietekmētu Latvijas ekonomikas attīstību.</w:t>
      </w:r>
    </w:p>
    <w:p w14:paraId="115E5482"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sz w:val="24"/>
          <w:szCs w:val="24"/>
        </w:rPr>
        <w:t xml:space="preserve">Ārējās vides risku pieaugums arī netiešā veidā var ietekmēt ekonomikas attīstību, pasliktinot </w:t>
      </w:r>
      <w:r w:rsidRPr="00A71BAD">
        <w:rPr>
          <w:rFonts w:ascii="Times New Roman" w:hAnsi="Times New Roman"/>
          <w:b/>
          <w:sz w:val="24"/>
          <w:szCs w:val="24"/>
        </w:rPr>
        <w:t xml:space="preserve">patērētāju un uzņēmēju noskaņojumu. </w:t>
      </w:r>
      <w:r w:rsidRPr="00A71BAD">
        <w:rPr>
          <w:rFonts w:ascii="Times New Roman" w:hAnsi="Times New Roman"/>
          <w:sz w:val="24"/>
          <w:szCs w:val="24"/>
        </w:rPr>
        <w:t xml:space="preserve">Tā rezultātā patērētāji varētu palielināt savus uzkrājumus uz zemāka patēriņa rēķina, savukārt uzņēmēji var ieņemt nogaidošu pozīciju un atlikt investīciju lēmumus, tādējādi mazinot ekonomikas izaugsmes tempus. </w:t>
      </w:r>
    </w:p>
    <w:p w14:paraId="6ADCAECE"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sz w:val="24"/>
          <w:szCs w:val="24"/>
        </w:rPr>
        <w:t xml:space="preserve">Pēdējā laikā </w:t>
      </w:r>
      <w:r w:rsidRPr="00A71BAD">
        <w:rPr>
          <w:rFonts w:ascii="Times New Roman" w:hAnsi="Times New Roman"/>
          <w:b/>
          <w:sz w:val="24"/>
          <w:szCs w:val="24"/>
        </w:rPr>
        <w:t>neskaidrākas kļuvušas attīstības valstu, tajā skaitā Ķīnas, izaugsmes perspektīvas</w:t>
      </w:r>
      <w:r w:rsidRPr="00A71BAD">
        <w:rPr>
          <w:rFonts w:ascii="Times New Roman" w:hAnsi="Times New Roman"/>
          <w:sz w:val="24"/>
          <w:szCs w:val="24"/>
        </w:rPr>
        <w:t xml:space="preserve">. Zemāki attīstības valstu izaugsmes tempi negatīvi ietekmētu pasaules kopējos izaugsmes rādītājus, kas ietekmētu arī </w:t>
      </w:r>
      <w:r>
        <w:rPr>
          <w:rFonts w:ascii="Times New Roman" w:hAnsi="Times New Roman"/>
          <w:sz w:val="24"/>
          <w:szCs w:val="24"/>
        </w:rPr>
        <w:t xml:space="preserve">ES un </w:t>
      </w:r>
      <w:r w:rsidRPr="00A71BAD">
        <w:rPr>
          <w:rFonts w:ascii="Times New Roman" w:hAnsi="Times New Roman"/>
          <w:sz w:val="24"/>
          <w:szCs w:val="24"/>
        </w:rPr>
        <w:t xml:space="preserve">Latvijas ekonomiku. </w:t>
      </w:r>
    </w:p>
    <w:p w14:paraId="2F2AFBCA"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b/>
          <w:sz w:val="24"/>
          <w:szCs w:val="24"/>
        </w:rPr>
        <w:t xml:space="preserve">Potenciālu risku Latvijas ekonomikas izaugsmei rada pēdējā laika vājie investīciju rādītāji. </w:t>
      </w:r>
      <w:r w:rsidRPr="00A71BAD">
        <w:rPr>
          <w:rFonts w:ascii="Times New Roman" w:hAnsi="Times New Roman"/>
          <w:sz w:val="24"/>
          <w:szCs w:val="24"/>
        </w:rPr>
        <w:t xml:space="preserve">Jau pērn salīdzinājumā ar 2012. gadu investīcijas Latvijā samazinājās par 4,3%, savukārt ģeopolitiskais saspīlējums Ukrainā un rietumvalstu attiecībās ar Krieviju var ietekmēt uzņēmēju investīciju lēmumus arī šogad. Latvijas rūpniecībā jaudu noslodze šobrīd ir tuvu vēsturiski augstākajam līmenim, tādēļ investīciju lēmumu atlikšana var ierobežot ne tikai īstermiņa attīstības perspektīvas, bet negatīvi ietekmēt arī Latvijas vidēja termiņa izaugsmes potenciālu. </w:t>
      </w:r>
    </w:p>
    <w:p w14:paraId="1F0A3E0A"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sz w:val="24"/>
          <w:szCs w:val="24"/>
        </w:rPr>
        <w:t xml:space="preserve">Uzlabojoties ekonomiskajai situācijai ASV arvien </w:t>
      </w:r>
      <w:r w:rsidRPr="00A71BAD">
        <w:rPr>
          <w:rFonts w:ascii="Times New Roman" w:hAnsi="Times New Roman"/>
          <w:b/>
          <w:sz w:val="24"/>
          <w:szCs w:val="24"/>
        </w:rPr>
        <w:t>aktuālāks kļūst jautājums par ASV monetāro politiku</w:t>
      </w:r>
      <w:r w:rsidRPr="00A71BAD">
        <w:rPr>
          <w:rFonts w:ascii="Times New Roman" w:hAnsi="Times New Roman"/>
          <w:sz w:val="24"/>
          <w:szCs w:val="24"/>
        </w:rPr>
        <w:t xml:space="preserve"> un tās izmaiņu potenciālo ietekmi uz pasaules ekonomiku. No vienas puses, straujāki pasaules lielākās ekonomikas izaugsmes tempi palielina pieprasījumu pēc citu valstu eksporta precēm, tādējādi veicinot šo valstu izaugsmi. Tomēr ASV monetārajai politikai kļūstot mazāk ekspansīvai, sagaidāmas izmaiņas pasaules kapitāla plūsmās, kas var likt virknei citu valstu īstenot ierobežojošu monetāro politiku, tādējādi bremzējot pasaules izaugsmes tempus.</w:t>
      </w:r>
    </w:p>
    <w:p w14:paraId="66FACE50" w14:textId="1D244CCE"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sz w:val="24"/>
          <w:szCs w:val="24"/>
        </w:rPr>
        <w:t>Neskatoties uz pēdējo mēnešu pozitīvajiem datiem</w:t>
      </w:r>
      <w:r w:rsidRPr="00A71BAD">
        <w:rPr>
          <w:rFonts w:ascii="Times New Roman" w:hAnsi="Times New Roman"/>
          <w:b/>
          <w:sz w:val="24"/>
          <w:szCs w:val="24"/>
        </w:rPr>
        <w:t xml:space="preserve">, riski izaugsmei joprojām saglabājas arī </w:t>
      </w:r>
      <w:proofErr w:type="spellStart"/>
      <w:r w:rsidR="006F7828" w:rsidRPr="006F7828">
        <w:rPr>
          <w:rFonts w:ascii="Times New Roman" w:hAnsi="Times New Roman"/>
          <w:b/>
          <w:i/>
          <w:color w:val="000000"/>
          <w:sz w:val="24"/>
          <w:szCs w:val="24"/>
        </w:rPr>
        <w:t>euro</w:t>
      </w:r>
      <w:proofErr w:type="spellEnd"/>
      <w:r w:rsidR="006F7828" w:rsidRPr="006F7828">
        <w:rPr>
          <w:rFonts w:ascii="Times New Roman" w:hAnsi="Times New Roman"/>
          <w:b/>
          <w:i/>
          <w:color w:val="000000"/>
          <w:sz w:val="24"/>
          <w:szCs w:val="24"/>
        </w:rPr>
        <w:t xml:space="preserve"> </w:t>
      </w:r>
      <w:r w:rsidR="006F7828" w:rsidRPr="006F7828">
        <w:rPr>
          <w:rFonts w:ascii="Times New Roman" w:hAnsi="Times New Roman"/>
          <w:b/>
          <w:color w:val="000000"/>
          <w:sz w:val="24"/>
          <w:szCs w:val="24"/>
        </w:rPr>
        <w:t>zon</w:t>
      </w:r>
      <w:r w:rsidR="006F7828" w:rsidRPr="006F7828">
        <w:rPr>
          <w:rFonts w:ascii="Times New Roman" w:hAnsi="Times New Roman"/>
          <w:b/>
          <w:color w:val="000000"/>
          <w:sz w:val="24"/>
          <w:szCs w:val="24"/>
          <w:lang w:val="lv-LV"/>
        </w:rPr>
        <w:t>ā</w:t>
      </w:r>
      <w:r w:rsidRPr="00A71BAD">
        <w:rPr>
          <w:rFonts w:ascii="Times New Roman" w:hAnsi="Times New Roman"/>
          <w:sz w:val="24"/>
          <w:szCs w:val="24"/>
        </w:rPr>
        <w:t xml:space="preserve">. Joprojām saglabājas bažas par atsevišķu valstu fiskālo ilgtspēju sakarā ar šo valstu augsto parādu līmeni un nepieciešamību atsevišķās valstīs turpināt budžeta deficīta samazināšanu. Papildus fiskālajiem riskiem pēdējā laikā novērotā zemā inflācija, kas varētu pārtapt deflācijā, </w:t>
      </w:r>
      <w:proofErr w:type="spellStart"/>
      <w:r w:rsidR="006F7828" w:rsidRPr="006F7828">
        <w:rPr>
          <w:rFonts w:ascii="Times New Roman" w:hAnsi="Times New Roman"/>
          <w:i/>
          <w:color w:val="000000"/>
          <w:sz w:val="24"/>
          <w:szCs w:val="24"/>
        </w:rPr>
        <w:t>euro</w:t>
      </w:r>
      <w:proofErr w:type="spellEnd"/>
      <w:r w:rsidR="006F7828" w:rsidRPr="006F7828">
        <w:rPr>
          <w:rFonts w:ascii="Times New Roman" w:hAnsi="Times New Roman"/>
          <w:i/>
          <w:color w:val="000000"/>
          <w:sz w:val="24"/>
          <w:szCs w:val="24"/>
        </w:rPr>
        <w:t xml:space="preserve"> </w:t>
      </w:r>
      <w:r w:rsidR="006F7828" w:rsidRPr="006F7828">
        <w:rPr>
          <w:rFonts w:ascii="Times New Roman" w:hAnsi="Times New Roman"/>
          <w:color w:val="000000"/>
          <w:sz w:val="24"/>
          <w:szCs w:val="24"/>
        </w:rPr>
        <w:t>zon</w:t>
      </w:r>
      <w:r w:rsidR="006F7828" w:rsidRPr="006F7828">
        <w:rPr>
          <w:rFonts w:ascii="Times New Roman" w:hAnsi="Times New Roman"/>
          <w:color w:val="000000"/>
          <w:sz w:val="24"/>
          <w:szCs w:val="24"/>
          <w:lang w:val="lv-LV"/>
        </w:rPr>
        <w:t>ā</w:t>
      </w:r>
      <w:r w:rsidR="006F7828">
        <w:rPr>
          <w:color w:val="000000"/>
          <w:szCs w:val="24"/>
          <w:lang w:val="lv-LV"/>
        </w:rPr>
        <w:t xml:space="preserve"> </w:t>
      </w:r>
      <w:r w:rsidRPr="00A71BAD">
        <w:rPr>
          <w:rFonts w:ascii="Times New Roman" w:hAnsi="Times New Roman"/>
          <w:sz w:val="24"/>
          <w:szCs w:val="24"/>
        </w:rPr>
        <w:t>ir potenciāls risks vidēja termiņa izaugsmei un apgrūtina valstu centienus sabalansēt budžetus, kā arī samazināt parāda apjomus.</w:t>
      </w:r>
    </w:p>
    <w:p w14:paraId="3EC9B43F"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b/>
          <w:sz w:val="24"/>
          <w:szCs w:val="24"/>
        </w:rPr>
        <w:t>No iekšējiem riskiem vidējā termiņā būtisks risks ir darbspējīgo iedzīvotāju skaita samazināšanās</w:t>
      </w:r>
      <w:r w:rsidRPr="00A71BAD">
        <w:rPr>
          <w:rFonts w:ascii="Times New Roman" w:hAnsi="Times New Roman"/>
          <w:sz w:val="24"/>
          <w:szCs w:val="24"/>
        </w:rPr>
        <w:t xml:space="preserve">. Darbaspēka izmaksu pieaugums, ekonomiski aktīvo iedzīvotāju skaita samazināšanās, darbaspēka pieprasījuma un piedāvājuma nesabalansētības prasmju un ģeogrāfiskās pieejamības ziņā, darbaspēka novecošanās atsevišķās profesijās vidējā termiņā var radīt problēmas darba devējiem darbaspēka resursu nodrošināšanā, mazināt Latvijas eksporta apjomu kāpumu, eksporta konkurētspēju, kā arī investīcijas. </w:t>
      </w:r>
    </w:p>
    <w:p w14:paraId="5B149EEA" w14:textId="77777777"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b/>
          <w:sz w:val="24"/>
          <w:szCs w:val="24"/>
        </w:rPr>
        <w:t>Augšupvērsti pasaules energoresursu un izejvielu cenu šoki</w:t>
      </w:r>
      <w:r w:rsidRPr="00A71BAD">
        <w:rPr>
          <w:rFonts w:ascii="Times New Roman" w:hAnsi="Times New Roman"/>
          <w:sz w:val="24"/>
          <w:szCs w:val="24"/>
        </w:rPr>
        <w:t xml:space="preserve">, kā arī pieprasījuma puses faktori vietējā tirgū var veicināt straujāku nekā prognozēts cenu pieaugumu. </w:t>
      </w:r>
    </w:p>
    <w:p w14:paraId="41216288" w14:textId="77777777" w:rsidR="00CB2E4C" w:rsidRPr="00A71BAD" w:rsidRDefault="00CB2E4C" w:rsidP="0037075E">
      <w:pPr>
        <w:ind w:firstLine="0"/>
        <w:rPr>
          <w:b/>
          <w:szCs w:val="24"/>
        </w:rPr>
      </w:pPr>
      <w:r w:rsidRPr="00A71BAD">
        <w:rPr>
          <w:b/>
          <w:szCs w:val="24"/>
        </w:rPr>
        <w:t>Pozitīvie riski:</w:t>
      </w:r>
    </w:p>
    <w:p w14:paraId="38CDC7FC" w14:textId="2B3A846F" w:rsidR="00CB2E4C" w:rsidRPr="00A71BAD" w:rsidRDefault="00CB2E4C" w:rsidP="00CB2E4C">
      <w:pPr>
        <w:numPr>
          <w:ilvl w:val="0"/>
          <w:numId w:val="16"/>
        </w:numPr>
        <w:rPr>
          <w:szCs w:val="24"/>
        </w:rPr>
      </w:pPr>
      <w:r w:rsidRPr="00A71BAD">
        <w:rPr>
          <w:szCs w:val="24"/>
        </w:rPr>
        <w:t xml:space="preserve">Lai gan </w:t>
      </w:r>
      <w:proofErr w:type="spellStart"/>
      <w:r w:rsidR="006F7828" w:rsidRPr="006F7828">
        <w:rPr>
          <w:i/>
          <w:color w:val="000000"/>
          <w:szCs w:val="24"/>
        </w:rPr>
        <w:t>euro</w:t>
      </w:r>
      <w:proofErr w:type="spellEnd"/>
      <w:r w:rsidR="006F7828" w:rsidRPr="006F7828">
        <w:rPr>
          <w:i/>
          <w:color w:val="000000"/>
          <w:szCs w:val="24"/>
        </w:rPr>
        <w:t xml:space="preserve"> </w:t>
      </w:r>
      <w:r w:rsidR="006F7828" w:rsidRPr="006F7828">
        <w:rPr>
          <w:color w:val="000000"/>
          <w:szCs w:val="24"/>
        </w:rPr>
        <w:t>zonā</w:t>
      </w:r>
      <w:r w:rsidR="006F7828">
        <w:rPr>
          <w:color w:val="000000"/>
          <w:szCs w:val="24"/>
        </w:rPr>
        <w:t xml:space="preserve"> </w:t>
      </w:r>
      <w:r w:rsidRPr="00A71BAD">
        <w:rPr>
          <w:szCs w:val="24"/>
        </w:rPr>
        <w:t xml:space="preserve">joprojām vērojami negatīvie riski, pēdējo mēnešu noskaņojuma indikatori parāda, ka </w:t>
      </w:r>
      <w:r w:rsidRPr="00A71BAD">
        <w:rPr>
          <w:b/>
          <w:szCs w:val="24"/>
        </w:rPr>
        <w:t xml:space="preserve">iespējama arī straujāka </w:t>
      </w:r>
      <w:proofErr w:type="spellStart"/>
      <w:r w:rsidR="006F7828" w:rsidRPr="006F7828">
        <w:rPr>
          <w:b/>
          <w:i/>
          <w:color w:val="000000"/>
          <w:szCs w:val="24"/>
        </w:rPr>
        <w:t>euro</w:t>
      </w:r>
      <w:proofErr w:type="spellEnd"/>
      <w:r w:rsidR="006F7828" w:rsidRPr="006F7828">
        <w:rPr>
          <w:b/>
          <w:i/>
          <w:color w:val="000000"/>
          <w:szCs w:val="24"/>
        </w:rPr>
        <w:t xml:space="preserve"> </w:t>
      </w:r>
      <w:r w:rsidR="006F7828" w:rsidRPr="006F7828">
        <w:rPr>
          <w:b/>
          <w:color w:val="000000"/>
          <w:szCs w:val="24"/>
        </w:rPr>
        <w:t>zonas</w:t>
      </w:r>
      <w:r w:rsidR="006F7828">
        <w:rPr>
          <w:color w:val="000000"/>
          <w:szCs w:val="24"/>
        </w:rPr>
        <w:t xml:space="preserve"> </w:t>
      </w:r>
      <w:r w:rsidRPr="00A71BAD">
        <w:rPr>
          <w:b/>
          <w:szCs w:val="24"/>
        </w:rPr>
        <w:t xml:space="preserve">ekonomikas atkopšanās, </w:t>
      </w:r>
      <w:r w:rsidRPr="00A71BAD">
        <w:rPr>
          <w:szCs w:val="24"/>
        </w:rPr>
        <w:t>kas ļautu Latvijas ekonomikai attīstīties straujāk nekā prognozēts.</w:t>
      </w:r>
    </w:p>
    <w:p w14:paraId="497DDA73" w14:textId="77777777" w:rsidR="00CB2E4C" w:rsidRPr="00A71BAD" w:rsidRDefault="00CB2E4C" w:rsidP="00CB2E4C">
      <w:pPr>
        <w:numPr>
          <w:ilvl w:val="0"/>
          <w:numId w:val="16"/>
        </w:numPr>
        <w:rPr>
          <w:szCs w:val="24"/>
        </w:rPr>
      </w:pPr>
      <w:r w:rsidRPr="00A71BAD">
        <w:rPr>
          <w:b/>
          <w:szCs w:val="24"/>
        </w:rPr>
        <w:t>Sekmīga investora piesaiste AS “Liepājas metalurgs”</w:t>
      </w:r>
      <w:r w:rsidRPr="00A71BAD">
        <w:rPr>
          <w:szCs w:val="24"/>
        </w:rPr>
        <w:t xml:space="preserve"> un tā darbības daļēja vai pilnīga atjaunošana ļautu būtiski palielināt apstrādes rūpniecības apjomu, atgūt zaudētās darba vietas, kā arī kāpināt eksporta apjomus.</w:t>
      </w:r>
    </w:p>
    <w:p w14:paraId="7C3247B0" w14:textId="629E02A6"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b/>
          <w:sz w:val="24"/>
          <w:szCs w:val="24"/>
        </w:rPr>
        <w:t xml:space="preserve">Mazinoties ģeopolitiskajiem </w:t>
      </w:r>
      <w:r w:rsidRPr="006F7828">
        <w:rPr>
          <w:rFonts w:ascii="Times New Roman" w:hAnsi="Times New Roman"/>
          <w:b/>
          <w:sz w:val="24"/>
          <w:szCs w:val="24"/>
        </w:rPr>
        <w:t xml:space="preserve">riskiem un </w:t>
      </w:r>
      <w:proofErr w:type="spellStart"/>
      <w:r w:rsidR="006F7828" w:rsidRPr="006F7828">
        <w:rPr>
          <w:rFonts w:ascii="Times New Roman" w:hAnsi="Times New Roman"/>
          <w:b/>
          <w:i/>
          <w:color w:val="000000"/>
          <w:sz w:val="24"/>
          <w:szCs w:val="24"/>
        </w:rPr>
        <w:t>euro</w:t>
      </w:r>
      <w:proofErr w:type="spellEnd"/>
      <w:r w:rsidR="006F7828" w:rsidRPr="006F7828">
        <w:rPr>
          <w:rFonts w:ascii="Times New Roman" w:hAnsi="Times New Roman"/>
          <w:b/>
          <w:color w:val="000000"/>
          <w:sz w:val="24"/>
          <w:szCs w:val="24"/>
        </w:rPr>
        <w:t xml:space="preserve"> zon</w:t>
      </w:r>
      <w:r w:rsidR="006F7828" w:rsidRPr="006F7828">
        <w:rPr>
          <w:rFonts w:ascii="Times New Roman" w:hAnsi="Times New Roman"/>
          <w:b/>
          <w:color w:val="000000"/>
          <w:sz w:val="24"/>
          <w:szCs w:val="24"/>
          <w:lang w:val="lv-LV"/>
        </w:rPr>
        <w:t>as</w:t>
      </w:r>
      <w:r w:rsidR="006F7828" w:rsidRPr="006F7828">
        <w:rPr>
          <w:b/>
          <w:color w:val="000000"/>
          <w:szCs w:val="24"/>
          <w:lang w:val="lv-LV"/>
        </w:rPr>
        <w:t xml:space="preserve"> </w:t>
      </w:r>
      <w:r w:rsidRPr="006F7828">
        <w:rPr>
          <w:rFonts w:ascii="Times New Roman" w:hAnsi="Times New Roman"/>
          <w:b/>
          <w:sz w:val="24"/>
          <w:szCs w:val="24"/>
        </w:rPr>
        <w:t>izaugsmei</w:t>
      </w:r>
      <w:r w:rsidRPr="00A71BAD">
        <w:rPr>
          <w:rFonts w:ascii="Times New Roman" w:hAnsi="Times New Roman"/>
          <w:b/>
          <w:sz w:val="24"/>
          <w:szCs w:val="24"/>
        </w:rPr>
        <w:t xml:space="preserve"> kļūstot straujākai, varētu būtiskāk pieaugt privātās investīcijas.</w:t>
      </w:r>
      <w:r w:rsidRPr="00A71BAD">
        <w:rPr>
          <w:rFonts w:ascii="Times New Roman" w:hAnsi="Times New Roman"/>
          <w:sz w:val="24"/>
          <w:szCs w:val="24"/>
        </w:rPr>
        <w:t xml:space="preserve"> Uzņēmēju aptaujas un pieaugošie uzņēmēju depozīti parāda, ka uzņēmumiem būtiskākais investīcijas ierobežojošais faktors ir pieprasījums. Ņemot vērā, ka vēsturiski investīcijas daudz lielākā mērā nekā citi indikatori reaģē uz izmaiņām ekonomiskajā situācijā, kā arī uzņēmēju noskaņojumā, pieaugot ārējam pieprasījumam un mazinoties citiem riskiem, investīciju kāpums varētu pārsniegt prognozēto.</w:t>
      </w:r>
    </w:p>
    <w:p w14:paraId="2FF529F1" w14:textId="77777777" w:rsidR="00CB2E4C" w:rsidRPr="00A71BAD" w:rsidRDefault="00CB2E4C" w:rsidP="00CB2E4C">
      <w:pPr>
        <w:numPr>
          <w:ilvl w:val="0"/>
          <w:numId w:val="6"/>
        </w:numPr>
        <w:ind w:left="720" w:hanging="357"/>
        <w:rPr>
          <w:szCs w:val="24"/>
        </w:rPr>
      </w:pPr>
      <w:r w:rsidRPr="00A71BAD">
        <w:rPr>
          <w:b/>
          <w:szCs w:val="24"/>
        </w:rPr>
        <w:t>Vidējā termiņā iespējams straujāks nekā prognozēts privātā patēriņa pieaugums</w:t>
      </w:r>
      <w:r w:rsidRPr="00A71BAD">
        <w:rPr>
          <w:szCs w:val="24"/>
        </w:rPr>
        <w:t>. Makroekonomiskās attīstības scenārijā izdarīti konservatīvi pieņēmumi par privātā patēriņa attīstību. Straujš vidējās darba algas, kā arī minimālās algas pieaugums, darbaspēka nodokļu sloga samazināšana, zema inflācija un konfidenču kāpums saistībā ar ekonomisko attīstību pēdējo divu gadu laikā var sekmēt straujāku privātā patēriņa pieaugumu.</w:t>
      </w:r>
    </w:p>
    <w:p w14:paraId="6B56D7E4" w14:textId="40E2DDDF" w:rsidR="00CB2E4C" w:rsidRPr="00A71BAD" w:rsidRDefault="00CB2E4C" w:rsidP="00CB2E4C">
      <w:pPr>
        <w:pStyle w:val="ListParagraph"/>
        <w:numPr>
          <w:ilvl w:val="0"/>
          <w:numId w:val="16"/>
        </w:numPr>
        <w:spacing w:after="120" w:line="259" w:lineRule="auto"/>
        <w:jc w:val="both"/>
        <w:rPr>
          <w:rFonts w:ascii="Times New Roman" w:hAnsi="Times New Roman"/>
          <w:sz w:val="24"/>
          <w:szCs w:val="24"/>
        </w:rPr>
      </w:pPr>
      <w:r w:rsidRPr="00A71BAD">
        <w:rPr>
          <w:rFonts w:ascii="Times New Roman" w:hAnsi="Times New Roman"/>
          <w:b/>
          <w:sz w:val="24"/>
          <w:szCs w:val="24"/>
        </w:rPr>
        <w:t xml:space="preserve">Latvijas pievienošanās </w:t>
      </w:r>
      <w:proofErr w:type="spellStart"/>
      <w:r w:rsidR="006F7828" w:rsidRPr="006F7828">
        <w:rPr>
          <w:rFonts w:ascii="Times New Roman" w:hAnsi="Times New Roman"/>
          <w:b/>
          <w:i/>
          <w:color w:val="000000"/>
          <w:sz w:val="24"/>
          <w:szCs w:val="24"/>
        </w:rPr>
        <w:t>euro</w:t>
      </w:r>
      <w:proofErr w:type="spellEnd"/>
      <w:r w:rsidR="006F7828" w:rsidRPr="006F7828">
        <w:rPr>
          <w:rFonts w:ascii="Times New Roman" w:hAnsi="Times New Roman"/>
          <w:b/>
          <w:i/>
          <w:color w:val="000000"/>
          <w:sz w:val="24"/>
          <w:szCs w:val="24"/>
        </w:rPr>
        <w:t xml:space="preserve"> </w:t>
      </w:r>
      <w:r w:rsidR="006F7828" w:rsidRPr="006F7828">
        <w:rPr>
          <w:rFonts w:ascii="Times New Roman" w:hAnsi="Times New Roman"/>
          <w:b/>
          <w:color w:val="000000"/>
          <w:sz w:val="24"/>
          <w:szCs w:val="24"/>
        </w:rPr>
        <w:t>zon</w:t>
      </w:r>
      <w:r w:rsidR="006F7828" w:rsidRPr="006F7828">
        <w:rPr>
          <w:rFonts w:ascii="Times New Roman" w:hAnsi="Times New Roman"/>
          <w:b/>
          <w:color w:val="000000"/>
          <w:sz w:val="24"/>
          <w:szCs w:val="24"/>
          <w:lang w:val="lv-LV"/>
        </w:rPr>
        <w:t>ai</w:t>
      </w:r>
      <w:r w:rsidR="006F7828">
        <w:rPr>
          <w:color w:val="000000"/>
          <w:szCs w:val="24"/>
          <w:lang w:val="lv-LV"/>
        </w:rPr>
        <w:t xml:space="preserve"> </w:t>
      </w:r>
      <w:r w:rsidRPr="00A71BAD">
        <w:rPr>
          <w:rFonts w:ascii="Times New Roman" w:hAnsi="Times New Roman"/>
          <w:sz w:val="24"/>
          <w:szCs w:val="24"/>
        </w:rPr>
        <w:t>2014. gada 1. janvārī vidējā termiņā ir būtisks pozitīvs faktors, kas var veicināt jaunu investoru piesaisti, palielinoties valsts atpazīstamībai un uzticamībai. Valūtas riska mazināšanās papildus investīciju pieplūdumam var veicināt arī straujāku eksporta kāpumu.</w:t>
      </w:r>
    </w:p>
    <w:p w14:paraId="7DA541C2" w14:textId="77777777" w:rsidR="00CB2E4C" w:rsidRPr="00A71BAD" w:rsidRDefault="00CB2E4C" w:rsidP="00CB2E4C">
      <w:pPr>
        <w:pStyle w:val="ListParagraph"/>
        <w:numPr>
          <w:ilvl w:val="0"/>
          <w:numId w:val="16"/>
        </w:numPr>
        <w:spacing w:after="120" w:line="240" w:lineRule="auto"/>
        <w:jc w:val="both"/>
        <w:rPr>
          <w:rFonts w:ascii="Times New Roman" w:hAnsi="Times New Roman"/>
          <w:sz w:val="24"/>
          <w:szCs w:val="24"/>
        </w:rPr>
      </w:pPr>
      <w:r w:rsidRPr="00A71BAD">
        <w:rPr>
          <w:rFonts w:ascii="Times New Roman" w:hAnsi="Times New Roman"/>
          <w:sz w:val="24"/>
          <w:szCs w:val="24"/>
        </w:rPr>
        <w:t xml:space="preserve">Starptautisko aizdevēju </w:t>
      </w:r>
      <w:r w:rsidRPr="00A71BAD">
        <w:rPr>
          <w:rFonts w:ascii="Times New Roman" w:hAnsi="Times New Roman"/>
          <w:b/>
          <w:sz w:val="24"/>
          <w:szCs w:val="24"/>
        </w:rPr>
        <w:t>un kredītreitinga aģentūru labvēlīgais vērtējums</w:t>
      </w:r>
      <w:r w:rsidRPr="00A71BAD">
        <w:rPr>
          <w:rFonts w:ascii="Times New Roman" w:hAnsi="Times New Roman"/>
          <w:sz w:val="24"/>
          <w:szCs w:val="24"/>
        </w:rPr>
        <w:t xml:space="preserve"> Latvijas tautsaimniecībai ir viens no faktoriem, kas apstiprina to, ka ekonomiskā vide Latvijā turpina uzlaboties. Tas var veicināt investīciju ieplūdes, kas var pozitīvi ietekmēt apstrādes rūpniecības attīstību un eksporta apjomu.</w:t>
      </w:r>
    </w:p>
    <w:p w14:paraId="47D89A19" w14:textId="77777777" w:rsidR="00CB2E4C" w:rsidRPr="00A71BAD" w:rsidRDefault="00CB2E4C" w:rsidP="00CB2E4C">
      <w:pPr>
        <w:pStyle w:val="ListParagraph"/>
        <w:numPr>
          <w:ilvl w:val="0"/>
          <w:numId w:val="16"/>
        </w:numPr>
        <w:autoSpaceDE w:val="0"/>
        <w:autoSpaceDN w:val="0"/>
        <w:adjustRightInd w:val="0"/>
        <w:spacing w:after="120" w:line="240" w:lineRule="auto"/>
        <w:jc w:val="both"/>
        <w:rPr>
          <w:rFonts w:ascii="Times New Roman" w:hAnsi="Times New Roman"/>
          <w:sz w:val="24"/>
          <w:szCs w:val="24"/>
        </w:rPr>
      </w:pPr>
      <w:r w:rsidRPr="00A71BAD">
        <w:rPr>
          <w:rFonts w:ascii="Times New Roman" w:hAnsi="Times New Roman"/>
          <w:sz w:val="24"/>
          <w:szCs w:val="24"/>
        </w:rPr>
        <w:t xml:space="preserve">Augstāka nekā prognozēts </w:t>
      </w:r>
      <w:r w:rsidRPr="00A71BAD">
        <w:rPr>
          <w:rFonts w:ascii="Times New Roman" w:hAnsi="Times New Roman"/>
          <w:b/>
          <w:sz w:val="24"/>
          <w:szCs w:val="24"/>
        </w:rPr>
        <w:t>pasaules ekonomikas attīstība</w:t>
      </w:r>
      <w:r w:rsidRPr="00A71BAD">
        <w:rPr>
          <w:rFonts w:ascii="Times New Roman" w:hAnsi="Times New Roman"/>
          <w:sz w:val="24"/>
          <w:szCs w:val="24"/>
        </w:rPr>
        <w:t>, t.sk. ASV un attīstības valstīs var dot papildu stimulu Eiropas un Latvijas ekonomikas attīstībai.</w:t>
      </w:r>
    </w:p>
    <w:p w14:paraId="391A4047" w14:textId="3C2BC73F" w:rsidR="00CB2E4C" w:rsidRPr="00CB2E4C" w:rsidRDefault="00CB2E4C" w:rsidP="00CB2E4C">
      <w:pPr>
        <w:pStyle w:val="ListParagraph"/>
        <w:numPr>
          <w:ilvl w:val="0"/>
          <w:numId w:val="16"/>
        </w:numPr>
        <w:autoSpaceDE w:val="0"/>
        <w:autoSpaceDN w:val="0"/>
        <w:adjustRightInd w:val="0"/>
        <w:spacing w:after="120" w:line="240" w:lineRule="auto"/>
        <w:jc w:val="both"/>
        <w:rPr>
          <w:rFonts w:ascii="Times New Roman" w:hAnsi="Times New Roman"/>
          <w:sz w:val="24"/>
          <w:szCs w:val="24"/>
        </w:rPr>
      </w:pPr>
      <w:r w:rsidRPr="00A71BAD">
        <w:rPr>
          <w:rFonts w:ascii="Times New Roman" w:hAnsi="Times New Roman"/>
          <w:sz w:val="24"/>
          <w:szCs w:val="24"/>
        </w:rPr>
        <w:t xml:space="preserve">Produktivitātes pieauguma virzīts algu pieaugums un </w:t>
      </w:r>
      <w:r w:rsidRPr="00CB2E4C">
        <w:rPr>
          <w:rFonts w:ascii="Times New Roman" w:hAnsi="Times New Roman"/>
          <w:b/>
          <w:sz w:val="24"/>
          <w:szCs w:val="24"/>
        </w:rPr>
        <w:t xml:space="preserve">valsts atbalsts </w:t>
      </w:r>
      <w:proofErr w:type="spellStart"/>
      <w:r w:rsidRPr="00CB2E4C">
        <w:rPr>
          <w:rFonts w:ascii="Times New Roman" w:hAnsi="Times New Roman"/>
          <w:b/>
          <w:sz w:val="24"/>
          <w:szCs w:val="24"/>
        </w:rPr>
        <w:t>reemigrācijas</w:t>
      </w:r>
      <w:proofErr w:type="spellEnd"/>
      <w:r w:rsidRPr="00CB2E4C">
        <w:rPr>
          <w:rFonts w:ascii="Times New Roman" w:hAnsi="Times New Roman"/>
          <w:b/>
          <w:sz w:val="24"/>
          <w:szCs w:val="24"/>
        </w:rPr>
        <w:t xml:space="preserve">, mobilitātes, </w:t>
      </w:r>
      <w:proofErr w:type="spellStart"/>
      <w:r w:rsidRPr="00CB2E4C">
        <w:rPr>
          <w:rFonts w:ascii="Times New Roman" w:hAnsi="Times New Roman"/>
          <w:b/>
          <w:sz w:val="24"/>
          <w:szCs w:val="24"/>
        </w:rPr>
        <w:t>pārkvalifikācijas</w:t>
      </w:r>
      <w:proofErr w:type="spellEnd"/>
      <w:r w:rsidRPr="00CB2E4C">
        <w:rPr>
          <w:rFonts w:ascii="Times New Roman" w:hAnsi="Times New Roman"/>
          <w:b/>
          <w:sz w:val="24"/>
          <w:szCs w:val="24"/>
        </w:rPr>
        <w:t>, izglītības reformu u.c. darba tirgus sabalansēšanas pasākumiem vidējā termiņā var veicināt sabalansēta darba tirgus attīstību</w:t>
      </w:r>
      <w:r w:rsidRPr="00A71BAD">
        <w:rPr>
          <w:rFonts w:ascii="Times New Roman" w:hAnsi="Times New Roman"/>
          <w:sz w:val="24"/>
          <w:szCs w:val="24"/>
        </w:rPr>
        <w:t>, kas veicinātu straujāku kā prognozēts ekonomikas attīstību.</w:t>
      </w:r>
    </w:p>
    <w:p w14:paraId="26BA143A" w14:textId="394F2963" w:rsidR="00C5794C" w:rsidRPr="001B6A4A" w:rsidRDefault="00EB6C31" w:rsidP="001B6A4A">
      <w:pPr>
        <w:pStyle w:val="otrais"/>
        <w:ind w:left="0" w:firstLine="0"/>
        <w:rPr>
          <w:color w:val="000000"/>
        </w:rPr>
      </w:pPr>
      <w:bookmarkStart w:id="33" w:name="_Toc385517819"/>
      <w:r w:rsidRPr="001B6A4A">
        <w:rPr>
          <w:color w:val="000000"/>
        </w:rPr>
        <w:t>4</w:t>
      </w:r>
      <w:r w:rsidR="00C5794C" w:rsidRPr="001B6A4A">
        <w:rPr>
          <w:color w:val="000000"/>
        </w:rPr>
        <w:t>.2. Jutīguma analīze</w:t>
      </w:r>
      <w:bookmarkEnd w:id="33"/>
    </w:p>
    <w:p w14:paraId="685AE53C" w14:textId="147D65D0" w:rsidR="006407DD" w:rsidRPr="00D63229" w:rsidRDefault="006407DD" w:rsidP="006407DD">
      <w:r w:rsidRPr="00D63229">
        <w:t xml:space="preserve">Balstoties uz </w:t>
      </w:r>
      <w:r w:rsidR="003708F5">
        <w:t>4</w:t>
      </w:r>
      <w:r w:rsidRPr="00D63229">
        <w:t>.1. nodaļā apskatīto makroekonomisko risku iespējamo ietekmi uz tautsaimniecību, ir izstrādāti divi alternatīvie makroekonomiskās attīstības scenāriji. Stabilitātes programmas centrālais makroekonomiskās attīstības scenārijs ir izstrādāts 2014. gada februārī pirms notikumu eskalācijas Ukrainā un neņem vērā šo risku potenciālo ietekmi uz Latvijas ekonomiku. Tādējādi īstermiņā dominē negatīvie riski, savukārt vidējā termiņā riski uzskatāmi par sabalansētiem.</w:t>
      </w:r>
    </w:p>
    <w:p w14:paraId="02192C88" w14:textId="30DC14BC" w:rsidR="006407DD" w:rsidRPr="00D63229" w:rsidRDefault="006407DD" w:rsidP="006407DD">
      <w:r w:rsidRPr="00D63229">
        <w:t xml:space="preserve">Optimistiskā scenārija īstenošanās iespējama, ja nenotiek turpmāka situācijas eskalācija Ukrainā un konfliktam tiek rasts diplomātisks risinājums. Tā rezultātā neturpinās pret Krieviju vērstās rietumvalstu sankcijas un Krievijas ekonomika atgriežas pie iepriekšējiem izaugsmes tempiem. Papildus tam ekonomiskā situācija </w:t>
      </w:r>
      <w:proofErr w:type="spellStart"/>
      <w:r w:rsidR="006F7828" w:rsidRPr="006F7828">
        <w:rPr>
          <w:i/>
          <w:color w:val="000000"/>
          <w:szCs w:val="24"/>
        </w:rPr>
        <w:t>euro</w:t>
      </w:r>
      <w:proofErr w:type="spellEnd"/>
      <w:r w:rsidR="006F7828" w:rsidRPr="006F7828">
        <w:rPr>
          <w:i/>
          <w:color w:val="000000"/>
          <w:szCs w:val="24"/>
        </w:rPr>
        <w:t xml:space="preserve"> </w:t>
      </w:r>
      <w:r w:rsidR="006F7828" w:rsidRPr="006F7828">
        <w:rPr>
          <w:color w:val="000000"/>
          <w:szCs w:val="24"/>
        </w:rPr>
        <w:t>zonā</w:t>
      </w:r>
      <w:r w:rsidR="006F7828">
        <w:rPr>
          <w:color w:val="000000"/>
          <w:szCs w:val="24"/>
        </w:rPr>
        <w:t xml:space="preserve"> </w:t>
      </w:r>
      <w:r w:rsidRPr="00D63229">
        <w:t>turpina uzlaboties, apsteidzot šobrīd prognozētos pieauguma tempus, savukārt attīstības valstīs turpinās stabila izaugsme.</w:t>
      </w:r>
    </w:p>
    <w:p w14:paraId="1ACE08F1" w14:textId="77777777" w:rsidR="006407DD" w:rsidRDefault="006407DD" w:rsidP="006407DD">
      <w:r w:rsidRPr="00D63229">
        <w:t xml:space="preserve">Šāda notikumu attīstība būtiski uzlabotu uzņēmēju un investoru noskaņojumu, kā arī palielinātu pieprasījumu pēc Latvijas eksporta precēm. Tādējādi salīdzinājumā ar centrālo scenāriju būtu sagaidāms straujāks investīciju un eksporta pieauguma temps, kas vienlaikus ar patēriņu stimulējošiem faktoriem kā darba algu pieaugums, nodokļu sloga samazināšana un zema inflācija veicinātu straujāku nekā centrālajā scenārijā prognozēts privātā patēriņa izaugsmi. Pozitīvāki IKP pieauguma tempi balstītos gan uz produktivitātes pieaugumu, gan uzlabojumiem nodarbinātībā. Šajā scenārijā bezdarba līmenis vidējā termiņā samazinātos straujāk vienlaikus ar lielāku darba algu </w:t>
      </w:r>
      <w:r w:rsidRPr="00712767">
        <w:t>pieaugumu</w:t>
      </w:r>
      <w:r>
        <w:t>.</w:t>
      </w:r>
      <w:r w:rsidRPr="00712767">
        <w:t xml:space="preserve"> </w:t>
      </w:r>
    </w:p>
    <w:p w14:paraId="1E29077A" w14:textId="77777777" w:rsidR="00A56F8E" w:rsidRDefault="00A56F8E" w:rsidP="006407DD"/>
    <w:p w14:paraId="2710A1EC" w14:textId="77777777" w:rsidR="00A56F8E" w:rsidRPr="00712767" w:rsidRDefault="00A56F8E" w:rsidP="006407DD"/>
    <w:p w14:paraId="6D39CD7B" w14:textId="18BE5507" w:rsidR="006407DD" w:rsidRPr="0037075E" w:rsidRDefault="0037075E" w:rsidP="006407DD">
      <w:pPr>
        <w:pStyle w:val="T"/>
        <w:ind w:left="720"/>
        <w:jc w:val="right"/>
        <w:rPr>
          <w:rFonts w:ascii="Times New Roman" w:hAnsi="Times New Roman"/>
        </w:rPr>
      </w:pPr>
      <w:r>
        <w:rPr>
          <w:rFonts w:ascii="Times New Roman" w:hAnsi="Times New Roman"/>
        </w:rPr>
        <w:t>4</w:t>
      </w:r>
      <w:r w:rsidR="006407DD" w:rsidRPr="0037075E">
        <w:rPr>
          <w:rFonts w:ascii="Times New Roman" w:hAnsi="Times New Roman"/>
        </w:rPr>
        <w:t>.1. tabula. Optimistiskais makroekonomiskais scenārijs</w:t>
      </w:r>
    </w:p>
    <w:tbl>
      <w:tblPr>
        <w:tblW w:w="8889"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69"/>
        <w:gridCol w:w="980"/>
        <w:gridCol w:w="1000"/>
        <w:gridCol w:w="980"/>
        <w:gridCol w:w="980"/>
        <w:gridCol w:w="980"/>
      </w:tblGrid>
      <w:tr w:rsidR="006407DD" w:rsidRPr="00AB170B" w14:paraId="17E45F70" w14:textId="77777777" w:rsidTr="00980148">
        <w:trPr>
          <w:trHeight w:val="300"/>
        </w:trPr>
        <w:tc>
          <w:tcPr>
            <w:tcW w:w="3969" w:type="dxa"/>
            <w:tcBorders>
              <w:top w:val="double" w:sz="4" w:space="0" w:color="auto"/>
              <w:bottom w:val="double" w:sz="4" w:space="0" w:color="auto"/>
              <w:right w:val="double" w:sz="4" w:space="0" w:color="auto"/>
            </w:tcBorders>
            <w:shd w:val="clear" w:color="auto" w:fill="auto"/>
            <w:noWrap/>
            <w:vAlign w:val="bottom"/>
            <w:hideMark/>
          </w:tcPr>
          <w:p w14:paraId="5D8CE6E9" w14:textId="77777777" w:rsidR="006407DD" w:rsidRPr="00AB170B" w:rsidRDefault="006407DD" w:rsidP="00926426">
            <w:pPr>
              <w:pStyle w:val="tabteksts"/>
              <w:rPr>
                <w:highlight w:val="yellow"/>
              </w:rPr>
            </w:pPr>
            <w:r w:rsidRPr="00AB170B">
              <w:rPr>
                <w:highlight w:val="yellow"/>
              </w:rPr>
              <w:t xml:space="preserve">                                                  </w:t>
            </w:r>
          </w:p>
        </w:tc>
        <w:tc>
          <w:tcPr>
            <w:tcW w:w="98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018362F9" w14:textId="77777777" w:rsidR="006407DD" w:rsidRDefault="006407DD" w:rsidP="00980148">
            <w:pPr>
              <w:pStyle w:val="tabteksts"/>
              <w:spacing w:after="120"/>
              <w:jc w:val="center"/>
              <w:rPr>
                <w:b/>
                <w:color w:val="000000"/>
              </w:rPr>
            </w:pPr>
            <w:r>
              <w:rPr>
                <w:b/>
                <w:color w:val="000000"/>
              </w:rPr>
              <w:t>2013</w:t>
            </w:r>
          </w:p>
        </w:tc>
        <w:tc>
          <w:tcPr>
            <w:tcW w:w="100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28789445" w14:textId="77777777" w:rsidR="006407DD" w:rsidRDefault="006407DD" w:rsidP="00980148">
            <w:pPr>
              <w:pStyle w:val="tabteksts"/>
              <w:spacing w:after="120"/>
              <w:jc w:val="center"/>
              <w:rPr>
                <w:b/>
                <w:color w:val="000000"/>
              </w:rPr>
            </w:pPr>
            <w:r>
              <w:rPr>
                <w:b/>
                <w:color w:val="000000"/>
              </w:rPr>
              <w:t>2014</w:t>
            </w:r>
          </w:p>
        </w:tc>
        <w:tc>
          <w:tcPr>
            <w:tcW w:w="98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34DCDC2E" w14:textId="77777777" w:rsidR="006407DD" w:rsidRDefault="006407DD" w:rsidP="00980148">
            <w:pPr>
              <w:pStyle w:val="tabteksts"/>
              <w:spacing w:after="120"/>
              <w:jc w:val="center"/>
              <w:rPr>
                <w:b/>
                <w:color w:val="000000"/>
              </w:rPr>
            </w:pPr>
            <w:r>
              <w:rPr>
                <w:b/>
                <w:color w:val="000000"/>
              </w:rPr>
              <w:t>2015</w:t>
            </w:r>
          </w:p>
        </w:tc>
        <w:tc>
          <w:tcPr>
            <w:tcW w:w="98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17F7B023" w14:textId="77777777" w:rsidR="006407DD" w:rsidRDefault="006407DD" w:rsidP="00980148">
            <w:pPr>
              <w:pStyle w:val="tabteksts"/>
              <w:spacing w:after="120"/>
              <w:jc w:val="center"/>
              <w:rPr>
                <w:b/>
                <w:color w:val="000000"/>
              </w:rPr>
            </w:pPr>
            <w:r>
              <w:rPr>
                <w:b/>
                <w:color w:val="000000"/>
              </w:rPr>
              <w:t>2016</w:t>
            </w:r>
          </w:p>
        </w:tc>
        <w:tc>
          <w:tcPr>
            <w:tcW w:w="980" w:type="dxa"/>
            <w:tcBorders>
              <w:top w:val="double" w:sz="4" w:space="0" w:color="auto"/>
              <w:left w:val="single" w:sz="4" w:space="0" w:color="auto"/>
              <w:bottom w:val="double" w:sz="4" w:space="0" w:color="auto"/>
            </w:tcBorders>
            <w:shd w:val="clear" w:color="auto" w:fill="auto"/>
            <w:noWrap/>
            <w:vAlign w:val="center"/>
            <w:hideMark/>
          </w:tcPr>
          <w:p w14:paraId="142CDB43" w14:textId="77777777" w:rsidR="006407DD" w:rsidRDefault="006407DD" w:rsidP="00980148">
            <w:pPr>
              <w:pStyle w:val="tabteksts"/>
              <w:spacing w:after="120"/>
              <w:jc w:val="center"/>
              <w:rPr>
                <w:b/>
                <w:color w:val="000000"/>
              </w:rPr>
            </w:pPr>
            <w:r>
              <w:rPr>
                <w:b/>
                <w:color w:val="000000"/>
              </w:rPr>
              <w:t>2017</w:t>
            </w:r>
          </w:p>
        </w:tc>
      </w:tr>
      <w:tr w:rsidR="006407DD" w:rsidRPr="00AB170B" w14:paraId="0A732000" w14:textId="77777777" w:rsidTr="00980148">
        <w:trPr>
          <w:trHeight w:val="300"/>
        </w:trPr>
        <w:tc>
          <w:tcPr>
            <w:tcW w:w="3969" w:type="dxa"/>
            <w:tcBorders>
              <w:top w:val="double" w:sz="4" w:space="0" w:color="auto"/>
              <w:bottom w:val="single" w:sz="4" w:space="0" w:color="auto"/>
              <w:right w:val="double" w:sz="4" w:space="0" w:color="auto"/>
            </w:tcBorders>
            <w:shd w:val="clear" w:color="auto" w:fill="auto"/>
            <w:noWrap/>
            <w:vAlign w:val="bottom"/>
            <w:hideMark/>
          </w:tcPr>
          <w:p w14:paraId="2F2E0F76" w14:textId="1F30DC8F" w:rsidR="006407DD" w:rsidRPr="0083563A" w:rsidRDefault="006407DD" w:rsidP="002D5EB9">
            <w:pPr>
              <w:pStyle w:val="tabteksts"/>
            </w:pPr>
            <w:r w:rsidRPr="0083563A">
              <w:t xml:space="preserve">Iekšzemes kopprodukts, faktiskajās cenās, milj. </w:t>
            </w:r>
            <w:proofErr w:type="spellStart"/>
            <w:r w:rsidR="002D5EB9">
              <w:rPr>
                <w:i/>
              </w:rPr>
              <w:t>euro</w:t>
            </w:r>
            <w:proofErr w:type="spellEnd"/>
          </w:p>
        </w:tc>
        <w:tc>
          <w:tcPr>
            <w:tcW w:w="98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513F3CE" w14:textId="77777777" w:rsidR="006407DD" w:rsidRPr="0083563A" w:rsidRDefault="006407DD" w:rsidP="00980148">
            <w:pPr>
              <w:pStyle w:val="tabteksts"/>
              <w:jc w:val="right"/>
            </w:pPr>
            <w:r w:rsidRPr="0083563A">
              <w:t>23315</w:t>
            </w:r>
            <w:r>
              <w:t>,</w:t>
            </w:r>
            <w:r w:rsidRPr="0083563A">
              <w:t>5</w:t>
            </w:r>
          </w:p>
        </w:tc>
        <w:tc>
          <w:tcPr>
            <w:tcW w:w="10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97CDE12" w14:textId="77777777" w:rsidR="006407DD" w:rsidRPr="0083563A" w:rsidRDefault="006407DD" w:rsidP="00980148">
            <w:pPr>
              <w:pStyle w:val="tabteksts"/>
              <w:jc w:val="right"/>
            </w:pPr>
            <w:r w:rsidRPr="0083563A">
              <w:t>24880</w:t>
            </w:r>
            <w:r>
              <w:t>,</w:t>
            </w:r>
            <w:r w:rsidRPr="0083563A">
              <w:t>0</w:t>
            </w:r>
          </w:p>
        </w:tc>
        <w:tc>
          <w:tcPr>
            <w:tcW w:w="9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6602B87" w14:textId="77777777" w:rsidR="006407DD" w:rsidRPr="0083563A" w:rsidRDefault="006407DD" w:rsidP="00980148">
            <w:pPr>
              <w:pStyle w:val="tabteksts"/>
              <w:jc w:val="right"/>
            </w:pPr>
            <w:r w:rsidRPr="0083563A">
              <w:t>26745</w:t>
            </w:r>
            <w:r>
              <w:t>,</w:t>
            </w:r>
            <w:r w:rsidRPr="0083563A">
              <w:t>3</w:t>
            </w:r>
          </w:p>
        </w:tc>
        <w:tc>
          <w:tcPr>
            <w:tcW w:w="9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7280B5" w14:textId="77777777" w:rsidR="006407DD" w:rsidRPr="0083563A" w:rsidRDefault="006407DD" w:rsidP="00980148">
            <w:pPr>
              <w:pStyle w:val="tabteksts"/>
              <w:jc w:val="right"/>
            </w:pPr>
            <w:r w:rsidRPr="0083563A">
              <w:t>28503</w:t>
            </w:r>
            <w:r>
              <w:t>,</w:t>
            </w:r>
            <w:r w:rsidRPr="0083563A">
              <w:t>8</w:t>
            </w:r>
          </w:p>
        </w:tc>
        <w:tc>
          <w:tcPr>
            <w:tcW w:w="980" w:type="dxa"/>
            <w:tcBorders>
              <w:top w:val="double" w:sz="4" w:space="0" w:color="auto"/>
              <w:left w:val="single" w:sz="4" w:space="0" w:color="auto"/>
              <w:bottom w:val="single" w:sz="4" w:space="0" w:color="auto"/>
            </w:tcBorders>
            <w:shd w:val="clear" w:color="auto" w:fill="auto"/>
            <w:noWrap/>
            <w:vAlign w:val="center"/>
            <w:hideMark/>
          </w:tcPr>
          <w:p w14:paraId="6DC06F1A" w14:textId="77777777" w:rsidR="006407DD" w:rsidRPr="0083563A" w:rsidRDefault="006407DD" w:rsidP="00980148">
            <w:pPr>
              <w:pStyle w:val="tabteksts"/>
              <w:jc w:val="right"/>
            </w:pPr>
            <w:r w:rsidRPr="0083563A">
              <w:t>30379</w:t>
            </w:r>
            <w:r>
              <w:t>,</w:t>
            </w:r>
            <w:r w:rsidRPr="0083563A">
              <w:t>7</w:t>
            </w:r>
          </w:p>
        </w:tc>
      </w:tr>
      <w:tr w:rsidR="006407DD" w:rsidRPr="00AB170B" w14:paraId="3927E03E"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7D9F54AC" w14:textId="77777777" w:rsidR="006407DD" w:rsidRPr="0083563A" w:rsidRDefault="006407DD" w:rsidP="00926426">
            <w:pPr>
              <w:pStyle w:val="tabteksts"/>
              <w:ind w:firstLine="474"/>
            </w:pPr>
            <w:r w:rsidRPr="0083563A">
              <w:t>pieaugums faktiskajās cenās ,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4803EEC" w14:textId="77777777" w:rsidR="006407DD" w:rsidRPr="0083563A" w:rsidRDefault="006407DD" w:rsidP="00980148">
            <w:pPr>
              <w:pStyle w:val="tabteksts"/>
              <w:jc w:val="right"/>
            </w:pPr>
            <w:r w:rsidRPr="0083563A">
              <w:t>5</w:t>
            </w:r>
            <w:r>
              <w:t>,</w:t>
            </w:r>
            <w:r w:rsidRPr="0083563A">
              <w:t>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C811" w14:textId="77777777" w:rsidR="006407DD" w:rsidRPr="0083563A" w:rsidRDefault="006407DD" w:rsidP="00980148">
            <w:pPr>
              <w:pStyle w:val="tabteksts"/>
              <w:jc w:val="right"/>
            </w:pPr>
            <w:r w:rsidRPr="0083563A">
              <w:t>6</w:t>
            </w:r>
            <w:r>
              <w:t>,</w:t>
            </w:r>
            <w:r w:rsidRPr="0083563A">
              <w:t>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9EFF7" w14:textId="77777777" w:rsidR="006407DD" w:rsidRPr="0083563A" w:rsidRDefault="006407DD" w:rsidP="00980148">
            <w:pPr>
              <w:pStyle w:val="tabteksts"/>
              <w:jc w:val="right"/>
            </w:pPr>
            <w:r w:rsidRPr="0083563A">
              <w:t>7</w:t>
            </w:r>
            <w:r>
              <w:t>,</w:t>
            </w:r>
            <w:r w:rsidRPr="0083563A">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7D4FC" w14:textId="77777777" w:rsidR="006407DD" w:rsidRPr="0083563A" w:rsidRDefault="006407DD" w:rsidP="00980148">
            <w:pPr>
              <w:pStyle w:val="tabteksts"/>
              <w:jc w:val="right"/>
            </w:pPr>
            <w:r w:rsidRPr="0083563A">
              <w:t>6</w:t>
            </w:r>
            <w:r>
              <w:t>,</w:t>
            </w:r>
            <w:r w:rsidRPr="0083563A">
              <w:t>6</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6F12A3EE" w14:textId="77777777" w:rsidR="006407DD" w:rsidRPr="0083563A" w:rsidRDefault="006407DD" w:rsidP="00980148">
            <w:pPr>
              <w:pStyle w:val="tabteksts"/>
              <w:jc w:val="right"/>
            </w:pPr>
            <w:r w:rsidRPr="0083563A">
              <w:t>6</w:t>
            </w:r>
            <w:r>
              <w:t>,</w:t>
            </w:r>
            <w:r w:rsidRPr="0083563A">
              <w:t>6</w:t>
            </w:r>
          </w:p>
        </w:tc>
      </w:tr>
      <w:tr w:rsidR="006407DD" w:rsidRPr="00AB170B" w14:paraId="55AF50D0"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49D26AE3" w14:textId="77777777" w:rsidR="006407DD" w:rsidRPr="0083563A" w:rsidRDefault="006407DD" w:rsidP="00926426">
            <w:pPr>
              <w:pStyle w:val="tabteksts"/>
              <w:ind w:firstLine="474"/>
            </w:pPr>
            <w:r w:rsidRPr="0083563A">
              <w:t>pieaugums salīdzināmās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85B616E" w14:textId="77777777" w:rsidR="006407DD" w:rsidRPr="0083563A" w:rsidRDefault="006407DD" w:rsidP="00980148">
            <w:pPr>
              <w:pStyle w:val="tabteksts"/>
              <w:jc w:val="right"/>
            </w:pPr>
            <w:r w:rsidRPr="0083563A">
              <w:t>4</w:t>
            </w:r>
            <w:r>
              <w:t>,</w:t>
            </w:r>
            <w:r w:rsidRPr="0083563A">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8011" w14:textId="77777777" w:rsidR="006407DD" w:rsidRPr="0083563A" w:rsidRDefault="006407DD" w:rsidP="00980148">
            <w:pPr>
              <w:pStyle w:val="tabteksts"/>
              <w:jc w:val="right"/>
            </w:pPr>
            <w:r w:rsidRPr="0083563A">
              <w:t>5</w:t>
            </w:r>
            <w:r>
              <w:t>,</w:t>
            </w:r>
            <w:r w:rsidRPr="0083563A">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F47A" w14:textId="77777777" w:rsidR="006407DD" w:rsidRPr="0083563A" w:rsidRDefault="006407DD" w:rsidP="00980148">
            <w:pPr>
              <w:pStyle w:val="tabteksts"/>
              <w:jc w:val="right"/>
            </w:pPr>
            <w:r w:rsidRPr="0083563A">
              <w:t>4</w:t>
            </w:r>
            <w:r>
              <w:t>,</w:t>
            </w:r>
            <w:r w:rsidRPr="0083563A">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C02A" w14:textId="77777777" w:rsidR="006407DD" w:rsidRPr="0083563A" w:rsidRDefault="006407DD" w:rsidP="00980148">
            <w:pPr>
              <w:pStyle w:val="tabteksts"/>
              <w:jc w:val="right"/>
            </w:pPr>
            <w:r w:rsidRPr="0083563A">
              <w:t>4</w:t>
            </w:r>
            <w:r>
              <w:t>,</w:t>
            </w:r>
            <w:r w:rsidRPr="0083563A">
              <w:t>0</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3AD9EEEA" w14:textId="77777777" w:rsidR="006407DD" w:rsidRPr="0083563A" w:rsidRDefault="006407DD" w:rsidP="00980148">
            <w:pPr>
              <w:pStyle w:val="tabteksts"/>
              <w:jc w:val="right"/>
            </w:pPr>
            <w:r w:rsidRPr="0083563A">
              <w:t>4</w:t>
            </w:r>
            <w:r>
              <w:t>,</w:t>
            </w:r>
            <w:r w:rsidRPr="0083563A">
              <w:t>0</w:t>
            </w:r>
          </w:p>
        </w:tc>
      </w:tr>
      <w:tr w:rsidR="006407DD" w:rsidRPr="00AB170B" w14:paraId="6E9B88A9"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41BC122E" w14:textId="77777777" w:rsidR="006407DD" w:rsidRPr="0083563A" w:rsidRDefault="006407DD" w:rsidP="00926426">
            <w:pPr>
              <w:pStyle w:val="tabteksts"/>
            </w:pPr>
            <w:r w:rsidRPr="0083563A">
              <w:t>PCI, (gada vidējā),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71247A6" w14:textId="77777777" w:rsidR="006407DD" w:rsidRPr="0083563A" w:rsidRDefault="006407DD" w:rsidP="00980148">
            <w:pPr>
              <w:pStyle w:val="tabteksts"/>
              <w:jc w:val="right"/>
            </w:pPr>
            <w:r w:rsidRPr="0083563A">
              <w:t>0</w:t>
            </w:r>
            <w:r>
              <w:t>,</w:t>
            </w:r>
            <w:r w:rsidRPr="0083563A">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9C72" w14:textId="77777777" w:rsidR="006407DD" w:rsidRPr="0083563A" w:rsidRDefault="006407DD" w:rsidP="00980148">
            <w:pPr>
              <w:pStyle w:val="tabteksts"/>
              <w:jc w:val="right"/>
            </w:pPr>
            <w:r w:rsidRPr="0083563A">
              <w:t>1</w:t>
            </w:r>
            <w:r>
              <w:t>,</w:t>
            </w:r>
            <w:r w:rsidRPr="0083563A">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A5E4" w14:textId="77777777" w:rsidR="006407DD" w:rsidRPr="0083563A" w:rsidRDefault="006407DD" w:rsidP="00980148">
            <w:pPr>
              <w:pStyle w:val="tabteksts"/>
              <w:jc w:val="right"/>
            </w:pPr>
            <w:r w:rsidRPr="0083563A">
              <w:t>3</w:t>
            </w:r>
            <w:r>
              <w:t>,</w:t>
            </w:r>
            <w:r w:rsidRPr="0083563A">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0BEB" w14:textId="77777777" w:rsidR="006407DD" w:rsidRPr="0083563A" w:rsidRDefault="006407DD" w:rsidP="00980148">
            <w:pPr>
              <w:pStyle w:val="tabteksts"/>
              <w:jc w:val="right"/>
            </w:pPr>
            <w:r w:rsidRPr="0083563A">
              <w:t>2</w:t>
            </w:r>
            <w:r>
              <w:t>,</w:t>
            </w:r>
            <w:r w:rsidRPr="0083563A">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62082C62" w14:textId="77777777" w:rsidR="006407DD" w:rsidRPr="0083563A" w:rsidRDefault="006407DD" w:rsidP="00980148">
            <w:pPr>
              <w:pStyle w:val="tabteksts"/>
              <w:jc w:val="right"/>
            </w:pPr>
            <w:r w:rsidRPr="0083563A">
              <w:t>2</w:t>
            </w:r>
            <w:r>
              <w:t>,</w:t>
            </w:r>
            <w:r w:rsidRPr="0083563A">
              <w:t>5</w:t>
            </w:r>
          </w:p>
        </w:tc>
      </w:tr>
      <w:tr w:rsidR="006407DD" w:rsidRPr="00AB170B" w14:paraId="20684D47"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FD6AC29" w14:textId="2ABC6B48" w:rsidR="006407DD" w:rsidRPr="0083563A" w:rsidRDefault="006407DD" w:rsidP="006407DD">
            <w:pPr>
              <w:pStyle w:val="tabteksts"/>
            </w:pPr>
            <w:r w:rsidRPr="0083563A">
              <w:t xml:space="preserve">Vidējā darba samaksa tautsaimniecība, </w:t>
            </w:r>
            <w:proofErr w:type="spellStart"/>
            <w:r>
              <w:rPr>
                <w:i/>
              </w:rPr>
              <w:t>euro</w:t>
            </w:r>
            <w:proofErr w:type="spellEnd"/>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99788F8" w14:textId="77777777" w:rsidR="006407DD" w:rsidRPr="0083563A" w:rsidRDefault="006407DD" w:rsidP="00980148">
            <w:pPr>
              <w:pStyle w:val="tabteksts"/>
              <w:jc w:val="right"/>
            </w:pPr>
            <w:r w:rsidRPr="0083563A">
              <w:t>716</w:t>
            </w:r>
            <w:r>
              <w:t>,</w:t>
            </w:r>
            <w:r w:rsidRPr="0083563A">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7765" w14:textId="77777777" w:rsidR="006407DD" w:rsidRPr="0083563A" w:rsidRDefault="006407DD" w:rsidP="00980148">
            <w:pPr>
              <w:pStyle w:val="tabteksts"/>
              <w:jc w:val="right"/>
            </w:pPr>
            <w:r w:rsidRPr="0083563A">
              <w:t>759</w:t>
            </w:r>
            <w:r>
              <w:t>,</w:t>
            </w:r>
            <w:r w:rsidRPr="0083563A">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4DB6" w14:textId="77777777" w:rsidR="006407DD" w:rsidRPr="0083563A" w:rsidRDefault="006407DD" w:rsidP="00980148">
            <w:pPr>
              <w:pStyle w:val="tabteksts"/>
              <w:jc w:val="right"/>
            </w:pPr>
            <w:r w:rsidRPr="0083563A">
              <w:t>802</w:t>
            </w:r>
            <w:r>
              <w:t>,</w:t>
            </w:r>
            <w:r w:rsidRPr="0083563A">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07CD" w14:textId="77777777" w:rsidR="006407DD" w:rsidRPr="0083563A" w:rsidRDefault="006407DD" w:rsidP="00980148">
            <w:pPr>
              <w:pStyle w:val="tabteksts"/>
              <w:jc w:val="right"/>
            </w:pPr>
            <w:r w:rsidRPr="0083563A">
              <w:t>846</w:t>
            </w:r>
            <w:r>
              <w:t>,</w:t>
            </w:r>
            <w:r w:rsidRPr="0083563A">
              <w:t>6</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6840FE4A" w14:textId="77777777" w:rsidR="006407DD" w:rsidRPr="0083563A" w:rsidRDefault="006407DD" w:rsidP="00980148">
            <w:pPr>
              <w:pStyle w:val="tabteksts"/>
              <w:jc w:val="right"/>
            </w:pPr>
            <w:r w:rsidRPr="0083563A">
              <w:t>893</w:t>
            </w:r>
            <w:r>
              <w:t>,</w:t>
            </w:r>
            <w:r w:rsidRPr="0083563A">
              <w:t>1</w:t>
            </w:r>
          </w:p>
        </w:tc>
      </w:tr>
      <w:tr w:rsidR="006407DD" w:rsidRPr="00AB170B" w14:paraId="6A4E136F"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C6961F3" w14:textId="77777777" w:rsidR="006407DD" w:rsidRPr="0083563A" w:rsidRDefault="006407DD" w:rsidP="00926426">
            <w:pPr>
              <w:pStyle w:val="tabteksts"/>
              <w:ind w:firstLine="474"/>
            </w:pPr>
            <w:r w:rsidRPr="0083563A">
              <w:t>pieaugums faktiskajās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1DF9A37" w14:textId="77777777" w:rsidR="006407DD" w:rsidRPr="0083563A" w:rsidRDefault="006407DD" w:rsidP="00980148">
            <w:pPr>
              <w:pStyle w:val="tabteksts"/>
              <w:jc w:val="right"/>
            </w:pPr>
            <w:r w:rsidRPr="0083563A">
              <w:t>4</w:t>
            </w:r>
            <w:r>
              <w:t>,</w:t>
            </w:r>
            <w:r w:rsidRPr="0083563A">
              <w:t>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2240" w14:textId="77777777" w:rsidR="006407DD" w:rsidRPr="0083563A" w:rsidRDefault="006407DD" w:rsidP="00980148">
            <w:pPr>
              <w:pStyle w:val="tabteksts"/>
              <w:jc w:val="right"/>
            </w:pPr>
            <w:r w:rsidRPr="0083563A">
              <w:t>6</w:t>
            </w:r>
            <w:r>
              <w:t>,</w:t>
            </w:r>
            <w:r w:rsidRPr="0083563A">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A4CD" w14:textId="77777777" w:rsidR="006407DD" w:rsidRPr="0083563A" w:rsidRDefault="006407DD" w:rsidP="00980148">
            <w:pPr>
              <w:pStyle w:val="tabteksts"/>
              <w:jc w:val="right"/>
            </w:pPr>
            <w:r w:rsidRPr="0083563A">
              <w:t>5</w:t>
            </w:r>
            <w:r>
              <w:t>,</w:t>
            </w:r>
            <w:r w:rsidRPr="0083563A">
              <w:t>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251D" w14:textId="77777777" w:rsidR="006407DD" w:rsidRPr="0083563A" w:rsidRDefault="006407DD" w:rsidP="00980148">
            <w:pPr>
              <w:pStyle w:val="tabteksts"/>
              <w:jc w:val="right"/>
            </w:pPr>
            <w:r w:rsidRPr="0083563A">
              <w:t>5</w:t>
            </w:r>
            <w:r>
              <w:t>,</w:t>
            </w:r>
            <w:r w:rsidRPr="0083563A">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13F99ECE" w14:textId="77777777" w:rsidR="006407DD" w:rsidRPr="0083563A" w:rsidRDefault="006407DD" w:rsidP="00980148">
            <w:pPr>
              <w:pStyle w:val="tabteksts"/>
              <w:jc w:val="right"/>
            </w:pPr>
            <w:r w:rsidRPr="0083563A">
              <w:t>5</w:t>
            </w:r>
            <w:r>
              <w:t>,</w:t>
            </w:r>
            <w:r w:rsidRPr="0083563A">
              <w:t>5</w:t>
            </w:r>
          </w:p>
        </w:tc>
      </w:tr>
      <w:tr w:rsidR="006407DD" w:rsidRPr="00AB170B" w14:paraId="3E20C222"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04C77EB" w14:textId="77777777" w:rsidR="006407DD" w:rsidRPr="0083563A" w:rsidRDefault="006407DD" w:rsidP="00926426">
            <w:pPr>
              <w:pStyle w:val="tabteksts"/>
            </w:pPr>
            <w:r w:rsidRPr="0083563A">
              <w:t xml:space="preserve">Nodarbinātība, tūkst. cilvēku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0A1501C" w14:textId="77777777" w:rsidR="006407DD" w:rsidRPr="0083563A" w:rsidRDefault="006407DD" w:rsidP="00980148">
            <w:pPr>
              <w:pStyle w:val="tabteksts"/>
              <w:jc w:val="right"/>
            </w:pPr>
            <w:r w:rsidRPr="0083563A">
              <w:t>893</w:t>
            </w:r>
            <w:r>
              <w:t>,</w:t>
            </w:r>
            <w:r w:rsidRPr="0083563A">
              <w: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FE90" w14:textId="77777777" w:rsidR="006407DD" w:rsidRPr="0083563A" w:rsidRDefault="006407DD" w:rsidP="00980148">
            <w:pPr>
              <w:pStyle w:val="tabteksts"/>
              <w:jc w:val="right"/>
            </w:pPr>
            <w:r w:rsidRPr="0083563A">
              <w:t>907</w:t>
            </w:r>
            <w:r>
              <w:t>,</w:t>
            </w:r>
            <w:r w:rsidRPr="0083563A">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C396" w14:textId="77777777" w:rsidR="006407DD" w:rsidRPr="0083563A" w:rsidRDefault="006407DD" w:rsidP="00980148">
            <w:pPr>
              <w:pStyle w:val="tabteksts"/>
              <w:jc w:val="right"/>
            </w:pPr>
            <w:r w:rsidRPr="0083563A">
              <w:t>915</w:t>
            </w:r>
            <w:r>
              <w:t>,</w:t>
            </w:r>
            <w:r w:rsidRPr="0083563A">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3334" w14:textId="77777777" w:rsidR="006407DD" w:rsidRPr="0083563A" w:rsidRDefault="006407DD" w:rsidP="00980148">
            <w:pPr>
              <w:pStyle w:val="tabteksts"/>
              <w:jc w:val="right"/>
            </w:pPr>
            <w:r w:rsidRPr="0083563A">
              <w:t>920</w:t>
            </w:r>
            <w:r>
              <w:t>,</w:t>
            </w:r>
            <w:r w:rsidRPr="0083563A">
              <w:t>1</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3418FFF9" w14:textId="77777777" w:rsidR="006407DD" w:rsidRPr="0083563A" w:rsidRDefault="006407DD" w:rsidP="00980148">
            <w:pPr>
              <w:pStyle w:val="tabteksts"/>
              <w:jc w:val="right"/>
            </w:pPr>
            <w:r w:rsidRPr="0083563A">
              <w:t>922</w:t>
            </w:r>
            <w:r>
              <w:t>,</w:t>
            </w:r>
            <w:r w:rsidRPr="0083563A">
              <w:t>8</w:t>
            </w:r>
          </w:p>
        </w:tc>
      </w:tr>
      <w:tr w:rsidR="006407DD" w:rsidRPr="00AB170B" w14:paraId="25002C43"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09C46D0E" w14:textId="77777777" w:rsidR="006407DD" w:rsidRPr="0083563A" w:rsidRDefault="006407DD" w:rsidP="00926426">
            <w:pPr>
              <w:pStyle w:val="tabteksts"/>
              <w:ind w:firstLine="474"/>
            </w:pPr>
            <w:r w:rsidRPr="0083563A">
              <w:t>pieaugums,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F987406" w14:textId="77777777" w:rsidR="006407DD" w:rsidRPr="0083563A" w:rsidRDefault="006407DD" w:rsidP="00980148">
            <w:pPr>
              <w:pStyle w:val="tabteksts"/>
              <w:jc w:val="right"/>
            </w:pPr>
            <w:r w:rsidRPr="0083563A">
              <w:t>2</w:t>
            </w:r>
            <w:r>
              <w:t>,</w:t>
            </w:r>
            <w:r w:rsidRPr="0083563A">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DE07" w14:textId="77777777" w:rsidR="006407DD" w:rsidRPr="0083563A" w:rsidRDefault="006407DD" w:rsidP="00980148">
            <w:pPr>
              <w:pStyle w:val="tabteksts"/>
              <w:jc w:val="right"/>
            </w:pPr>
            <w:r w:rsidRPr="0083563A">
              <w:t>1</w:t>
            </w:r>
            <w:r>
              <w:t>,</w:t>
            </w:r>
            <w:r w:rsidRPr="0083563A">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D6FD6" w14:textId="77777777" w:rsidR="006407DD" w:rsidRPr="0083563A" w:rsidRDefault="006407DD" w:rsidP="00980148">
            <w:pPr>
              <w:pStyle w:val="tabteksts"/>
              <w:jc w:val="right"/>
            </w:pPr>
            <w:r w:rsidRPr="0083563A">
              <w:t>0</w:t>
            </w:r>
            <w:r>
              <w:t>,</w:t>
            </w:r>
            <w:r w:rsidRPr="0083563A">
              <w:t>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2E8B" w14:textId="77777777" w:rsidR="006407DD" w:rsidRPr="0083563A" w:rsidRDefault="006407DD" w:rsidP="00980148">
            <w:pPr>
              <w:pStyle w:val="tabteksts"/>
              <w:jc w:val="right"/>
            </w:pPr>
            <w:r w:rsidRPr="0083563A">
              <w:t>0</w:t>
            </w:r>
            <w:r>
              <w:t>,</w:t>
            </w:r>
            <w:r w:rsidRPr="0083563A">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65DE8779" w14:textId="77777777" w:rsidR="006407DD" w:rsidRPr="0083563A" w:rsidRDefault="006407DD" w:rsidP="00980148">
            <w:pPr>
              <w:pStyle w:val="tabteksts"/>
              <w:jc w:val="right"/>
            </w:pPr>
            <w:r w:rsidRPr="0083563A">
              <w:t>0</w:t>
            </w:r>
            <w:r>
              <w:t>,</w:t>
            </w:r>
            <w:r w:rsidRPr="0083563A">
              <w:t>3</w:t>
            </w:r>
          </w:p>
        </w:tc>
      </w:tr>
      <w:tr w:rsidR="006407DD" w:rsidRPr="00AB170B" w14:paraId="11A76DC5"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12AED11F" w14:textId="77777777" w:rsidR="006407DD" w:rsidRPr="0083563A" w:rsidRDefault="006407DD" w:rsidP="00926426">
            <w:pPr>
              <w:pStyle w:val="tabteksts"/>
            </w:pPr>
            <w:r w:rsidRPr="0083563A">
              <w:t>Bezdarba līmenis (gada vidēja</w:t>
            </w:r>
            <w:r>
              <w:t>is), % no ekon. aktīviem iedzīvotājiem</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7995060" w14:textId="77777777" w:rsidR="006407DD" w:rsidRPr="0083563A" w:rsidRDefault="006407DD" w:rsidP="00980148">
            <w:pPr>
              <w:pStyle w:val="tabteksts"/>
              <w:jc w:val="right"/>
            </w:pPr>
            <w:r w:rsidRPr="0083563A">
              <w:t>11</w:t>
            </w:r>
            <w:r>
              <w:t>,</w:t>
            </w:r>
            <w:r w:rsidRPr="0083563A">
              <w: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62F8" w14:textId="77777777" w:rsidR="006407DD" w:rsidRPr="0083563A" w:rsidRDefault="006407DD" w:rsidP="00980148">
            <w:pPr>
              <w:pStyle w:val="tabteksts"/>
              <w:jc w:val="right"/>
            </w:pPr>
            <w:r w:rsidRPr="0083563A">
              <w:t>10</w:t>
            </w:r>
            <w:r>
              <w:t>,</w:t>
            </w:r>
            <w:r w:rsidRPr="0083563A">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93BF" w14:textId="77777777" w:rsidR="006407DD" w:rsidRPr="0083563A" w:rsidRDefault="006407DD" w:rsidP="00980148">
            <w:pPr>
              <w:pStyle w:val="tabteksts"/>
              <w:jc w:val="right"/>
            </w:pPr>
            <w:r w:rsidRPr="0083563A">
              <w:t>9</w:t>
            </w:r>
            <w:r>
              <w:t>,</w:t>
            </w:r>
            <w:r w:rsidRPr="0083563A">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BD15" w14:textId="77777777" w:rsidR="006407DD" w:rsidRPr="0083563A" w:rsidRDefault="006407DD" w:rsidP="00980148">
            <w:pPr>
              <w:pStyle w:val="tabteksts"/>
              <w:jc w:val="right"/>
            </w:pPr>
            <w:r w:rsidRPr="0083563A">
              <w:t>8</w:t>
            </w:r>
            <w:r>
              <w:t>,</w:t>
            </w:r>
            <w:r w:rsidRPr="0083563A">
              <w:t>6</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4ADCBF65" w14:textId="77777777" w:rsidR="006407DD" w:rsidRPr="0083563A" w:rsidRDefault="006407DD" w:rsidP="00980148">
            <w:pPr>
              <w:pStyle w:val="tabteksts"/>
              <w:jc w:val="right"/>
            </w:pPr>
            <w:r w:rsidRPr="0083563A">
              <w:t>8</w:t>
            </w:r>
            <w:r>
              <w:t>,</w:t>
            </w:r>
            <w:r w:rsidRPr="0083563A">
              <w:t>4</w:t>
            </w:r>
          </w:p>
        </w:tc>
      </w:tr>
      <w:tr w:rsidR="006407DD" w:rsidRPr="00AB170B" w14:paraId="36801F2A"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F2ADD81" w14:textId="77777777" w:rsidR="006407DD" w:rsidRPr="0083563A" w:rsidRDefault="006407DD" w:rsidP="00926426">
            <w:pPr>
              <w:pStyle w:val="tabteksts"/>
            </w:pPr>
            <w:r w:rsidRPr="0083563A">
              <w:t>Eksporta pieauguma tempi faktiskajās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A808DE2" w14:textId="77777777" w:rsidR="006407DD" w:rsidRPr="0083563A" w:rsidRDefault="006407DD" w:rsidP="00980148">
            <w:pPr>
              <w:pStyle w:val="tabteksts"/>
              <w:jc w:val="right"/>
            </w:pPr>
            <w:r w:rsidRPr="0083563A">
              <w:t>2</w:t>
            </w:r>
            <w:r>
              <w:t>,</w:t>
            </w:r>
            <w:r w:rsidRPr="0083563A">
              <w:t>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DFC9" w14:textId="77777777" w:rsidR="006407DD" w:rsidRPr="0083563A" w:rsidRDefault="006407DD" w:rsidP="00980148">
            <w:pPr>
              <w:pStyle w:val="tabteksts"/>
              <w:jc w:val="right"/>
            </w:pPr>
            <w:r w:rsidRPr="0083563A">
              <w:t>6</w:t>
            </w:r>
            <w:r>
              <w:t>,</w:t>
            </w:r>
            <w:r w:rsidRPr="0083563A">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8DCD7" w14:textId="77777777" w:rsidR="006407DD" w:rsidRPr="0083563A" w:rsidRDefault="006407DD" w:rsidP="00980148">
            <w:pPr>
              <w:pStyle w:val="tabteksts"/>
              <w:jc w:val="right"/>
            </w:pPr>
            <w:r w:rsidRPr="0083563A">
              <w:t>7</w:t>
            </w:r>
            <w:r>
              <w:t>,</w:t>
            </w:r>
            <w:r w:rsidRPr="0083563A">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EE23" w14:textId="77777777" w:rsidR="006407DD" w:rsidRPr="0083563A" w:rsidRDefault="006407DD" w:rsidP="00980148">
            <w:pPr>
              <w:pStyle w:val="tabteksts"/>
              <w:jc w:val="right"/>
            </w:pPr>
            <w:r w:rsidRPr="0083563A">
              <w:t>7</w:t>
            </w:r>
            <w:r>
              <w:t>,</w:t>
            </w:r>
            <w:r w:rsidRPr="0083563A">
              <w:t>1</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3DD88557" w14:textId="77777777" w:rsidR="006407DD" w:rsidRPr="0083563A" w:rsidRDefault="006407DD" w:rsidP="00980148">
            <w:pPr>
              <w:pStyle w:val="tabteksts"/>
              <w:jc w:val="right"/>
            </w:pPr>
            <w:r w:rsidRPr="0083563A">
              <w:t>7</w:t>
            </w:r>
            <w:r>
              <w:t>,</w:t>
            </w:r>
            <w:r w:rsidRPr="0083563A">
              <w:t>4</w:t>
            </w:r>
          </w:p>
        </w:tc>
      </w:tr>
      <w:tr w:rsidR="006407DD" w:rsidRPr="00712767" w14:paraId="1EE0A9F8" w14:textId="77777777" w:rsidTr="00980148">
        <w:trPr>
          <w:trHeight w:val="300"/>
        </w:trPr>
        <w:tc>
          <w:tcPr>
            <w:tcW w:w="3969" w:type="dxa"/>
            <w:tcBorders>
              <w:top w:val="single" w:sz="4" w:space="0" w:color="auto"/>
              <w:bottom w:val="double" w:sz="4" w:space="0" w:color="auto"/>
              <w:right w:val="double" w:sz="4" w:space="0" w:color="auto"/>
            </w:tcBorders>
            <w:shd w:val="clear" w:color="auto" w:fill="auto"/>
            <w:noWrap/>
            <w:vAlign w:val="bottom"/>
            <w:hideMark/>
          </w:tcPr>
          <w:p w14:paraId="6C386FD0" w14:textId="77777777" w:rsidR="006407DD" w:rsidRPr="00712767" w:rsidRDefault="006407DD" w:rsidP="00926426">
            <w:pPr>
              <w:pStyle w:val="tabteksts"/>
            </w:pPr>
            <w:r w:rsidRPr="00712767">
              <w:t>Importa pieauguma tempi faktiskajās cenās, %</w:t>
            </w:r>
          </w:p>
        </w:tc>
        <w:tc>
          <w:tcPr>
            <w:tcW w:w="98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4C266B6F" w14:textId="77777777" w:rsidR="006407DD" w:rsidRPr="00712767" w:rsidRDefault="006407DD" w:rsidP="00980148">
            <w:pPr>
              <w:pStyle w:val="tabteksts"/>
              <w:jc w:val="right"/>
            </w:pPr>
            <w:r w:rsidRPr="00712767">
              <w:t>-0,9</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8F45850" w14:textId="77777777" w:rsidR="006407DD" w:rsidRPr="00712767" w:rsidRDefault="006407DD" w:rsidP="00980148">
            <w:pPr>
              <w:pStyle w:val="tabteksts"/>
              <w:jc w:val="right"/>
            </w:pPr>
            <w:r w:rsidRPr="00712767">
              <w:t>7,1</w:t>
            </w:r>
          </w:p>
        </w:tc>
        <w:tc>
          <w:tcPr>
            <w:tcW w:w="9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ECF0D8" w14:textId="77777777" w:rsidR="006407DD" w:rsidRPr="00712767" w:rsidRDefault="006407DD" w:rsidP="00980148">
            <w:pPr>
              <w:pStyle w:val="tabteksts"/>
              <w:jc w:val="right"/>
            </w:pPr>
            <w:r w:rsidRPr="00712767">
              <w:t>7,6</w:t>
            </w:r>
          </w:p>
        </w:tc>
        <w:tc>
          <w:tcPr>
            <w:tcW w:w="9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CE06B02" w14:textId="77777777" w:rsidR="006407DD" w:rsidRPr="00712767" w:rsidRDefault="006407DD" w:rsidP="00980148">
            <w:pPr>
              <w:pStyle w:val="tabteksts"/>
              <w:jc w:val="right"/>
            </w:pPr>
            <w:r w:rsidRPr="00712767">
              <w:t>7,3</w:t>
            </w:r>
          </w:p>
        </w:tc>
        <w:tc>
          <w:tcPr>
            <w:tcW w:w="980" w:type="dxa"/>
            <w:tcBorders>
              <w:top w:val="single" w:sz="4" w:space="0" w:color="auto"/>
              <w:left w:val="single" w:sz="4" w:space="0" w:color="auto"/>
              <w:bottom w:val="double" w:sz="4" w:space="0" w:color="auto"/>
            </w:tcBorders>
            <w:shd w:val="clear" w:color="auto" w:fill="auto"/>
            <w:noWrap/>
            <w:vAlign w:val="center"/>
            <w:hideMark/>
          </w:tcPr>
          <w:p w14:paraId="3875EBB7" w14:textId="77777777" w:rsidR="006407DD" w:rsidRPr="00712767" w:rsidRDefault="006407DD" w:rsidP="00980148">
            <w:pPr>
              <w:pStyle w:val="tabteksts"/>
              <w:jc w:val="right"/>
            </w:pPr>
            <w:r w:rsidRPr="00712767">
              <w:t>7,5</w:t>
            </w:r>
          </w:p>
        </w:tc>
      </w:tr>
    </w:tbl>
    <w:p w14:paraId="4420A2F7" w14:textId="77777777" w:rsidR="00A56F8E" w:rsidRDefault="00A56F8E" w:rsidP="006407DD"/>
    <w:p w14:paraId="2BE54472" w14:textId="196C8266" w:rsidR="006407DD" w:rsidRPr="00D63229" w:rsidRDefault="006407DD" w:rsidP="006407DD">
      <w:r w:rsidRPr="00D63229">
        <w:t xml:space="preserve">Optimistiskais makroekonomiskās attīstības scenārijs paredz </w:t>
      </w:r>
      <w:r>
        <w:t>IKP</w:t>
      </w:r>
      <w:r w:rsidRPr="00D63229">
        <w:t xml:space="preserve"> salīdzināmajās cenās pieaugumu 5,0% apmērā 2014. gadā un 4,5% apmērā 2015. gadā. Potenciālais IKP pieauguma temps vidējā termiņā saglabātos 4% apmērā.</w:t>
      </w:r>
    </w:p>
    <w:p w14:paraId="157F897B" w14:textId="77777777" w:rsidR="006407DD" w:rsidRPr="00D63229" w:rsidRDefault="006407DD" w:rsidP="006407DD">
      <w:r w:rsidRPr="00D63229">
        <w:t>Optimistiskā makroekonomiskā scenārija gadījumā, kas paredz straujāku IKP izaugsmi, nekā centrālajā scenārijā un nosaka pozitīvākus patēriņa un darba tirgus rādītājus, ievērojami tiktu uzlabota arī budžeta ieņēmumu bāze. Gadījumā, ja ekonomikas attīstība noritēs atbilstoši optimistiskajam scenārijam, budžeta ieņēmumi, salīdzinot ar centrālo scenāriju, visā prognožu periodā būs par 0,2% no IKP lielāki.</w:t>
      </w:r>
    </w:p>
    <w:p w14:paraId="58C9F2C6" w14:textId="77777777" w:rsidR="006407DD" w:rsidRPr="00D63229" w:rsidRDefault="006407DD" w:rsidP="006407DD">
      <w:r w:rsidRPr="00D63229">
        <w:t>Pesimistiskā makroekonomiskā scenārija īstenošanās sagaidāma gadījumā, ja ģeopolitiskā situācija Ukrainā saglabājas nestabila, tomēr nenotiek konflikta būtiska tālāka eskalācija, piemēram, militāra rakstura konflikts starp Ukrainu un Krieviju vai situācijas destabilizācija kādā citā Austrumeiropas valstī. Negatīvajā scenārijā pret Krieviju vērstās rietumvalstu sankcijas saglabājas vidējā termiņā, tomēr tās netiek būtiski pastiprinātas no to sākotnējā līmeņa, savukārt Krievija nevērš plašas ekonomiskas atbildes sankcijas pret ES dalībvalstīm.</w:t>
      </w:r>
    </w:p>
    <w:p w14:paraId="56736D85" w14:textId="77777777" w:rsidR="006407DD" w:rsidRDefault="006407DD" w:rsidP="006407DD">
      <w:r w:rsidRPr="00D63229">
        <w:t>Šādā gadījumā Krievijas ekonomika 2014. gadā varētu piedzīvot tehnisku recesiju (negatīva izaugsme divus ceturkšņus pēc kārtas) gada pirmajā pusē, atgriežoties pie pozitīvas izaugsmes gada otrajā pusē. Tādējādi mazinātos pieprasījums pēc Latvijas eksporta precēm un pakalpojumiem gan Krievijas tirgū, gan citās Latvijas tirdzniecības partnervalstīs – Igaunijā, Lietuvā un Polijā, kuras tāpat negatīvi ietekmētu lēnāki Krievijas ekonomiskās izaugsmes tempi. Būtu arī gaidāms uzņēmēju un investoru noskaņojuma kritums, kas būtiski sabremzētu investīciju apjomu Latvijā. Īstenojoties šādam scenārijam, nodarbinātības un algu pieaugums būtu zemāks kā centrālajā scenārijā, savukārt bezdarba līmenis vidējā termiņā saglabātos augstākā</w:t>
      </w:r>
      <w:r w:rsidRPr="00E958DF">
        <w:t xml:space="preserve"> līmenī. </w:t>
      </w:r>
    </w:p>
    <w:p w14:paraId="7CF72074" w14:textId="77777777" w:rsidR="0011050B" w:rsidRPr="00D63229" w:rsidRDefault="0011050B" w:rsidP="0011050B">
      <w:r w:rsidRPr="00D63229">
        <w:t>Pesimistiskā makroekonomiskā scenārija attīstība paredz, ka 2014. gadā IKP varētu palielināties tikai par 2,0%, savukārt 2015. gadā par 3,0%, tomēr šie ģeopolitiskie satricinājumi neietekmētu Latvijas vidēja termiņa IKP izaugsmes potenciālu un turpmākajos gados IKP izaugsme būtu centrālā scenārija līmenī.</w:t>
      </w:r>
    </w:p>
    <w:p w14:paraId="474353EA" w14:textId="77777777" w:rsidR="0011050B" w:rsidRPr="00E958DF" w:rsidRDefault="0011050B" w:rsidP="006407DD"/>
    <w:p w14:paraId="253D6E1F" w14:textId="7934AF04" w:rsidR="006407DD" w:rsidRPr="0037075E" w:rsidRDefault="0037075E" w:rsidP="006407DD">
      <w:pPr>
        <w:pStyle w:val="T"/>
        <w:ind w:left="720"/>
        <w:jc w:val="right"/>
        <w:rPr>
          <w:rFonts w:ascii="Times New Roman" w:hAnsi="Times New Roman"/>
        </w:rPr>
      </w:pPr>
      <w:r>
        <w:rPr>
          <w:rFonts w:ascii="Times New Roman" w:hAnsi="Times New Roman"/>
        </w:rPr>
        <w:t>4</w:t>
      </w:r>
      <w:r w:rsidR="006407DD" w:rsidRPr="0037075E">
        <w:rPr>
          <w:rFonts w:ascii="Times New Roman" w:hAnsi="Times New Roman"/>
        </w:rPr>
        <w:t>.2. tabula. Pesimistiskais makroekonomiskais scenārijs</w:t>
      </w:r>
    </w:p>
    <w:tbl>
      <w:tblPr>
        <w:tblW w:w="8889"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69"/>
        <w:gridCol w:w="980"/>
        <w:gridCol w:w="1000"/>
        <w:gridCol w:w="980"/>
        <w:gridCol w:w="980"/>
        <w:gridCol w:w="980"/>
      </w:tblGrid>
      <w:tr w:rsidR="006407DD" w:rsidRPr="00AB170B" w14:paraId="0E8C5963" w14:textId="77777777" w:rsidTr="00980148">
        <w:trPr>
          <w:trHeight w:val="300"/>
        </w:trPr>
        <w:tc>
          <w:tcPr>
            <w:tcW w:w="3969" w:type="dxa"/>
            <w:tcBorders>
              <w:top w:val="double" w:sz="4" w:space="0" w:color="auto"/>
              <w:bottom w:val="double" w:sz="4" w:space="0" w:color="auto"/>
              <w:right w:val="double" w:sz="4" w:space="0" w:color="auto"/>
            </w:tcBorders>
            <w:shd w:val="clear" w:color="auto" w:fill="auto"/>
            <w:noWrap/>
            <w:vAlign w:val="bottom"/>
            <w:hideMark/>
          </w:tcPr>
          <w:p w14:paraId="40B656D4" w14:textId="77777777" w:rsidR="006407DD" w:rsidRPr="00AB170B" w:rsidRDefault="006407DD" w:rsidP="00926426">
            <w:pPr>
              <w:pStyle w:val="tabteksts"/>
            </w:pPr>
            <w:r w:rsidRPr="00AB170B">
              <w:t xml:space="preserve">                                                  </w:t>
            </w:r>
          </w:p>
        </w:tc>
        <w:tc>
          <w:tcPr>
            <w:tcW w:w="98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E2DEC5E" w14:textId="77777777" w:rsidR="006407DD" w:rsidRPr="00AB170B" w:rsidRDefault="006407DD" w:rsidP="00980148">
            <w:pPr>
              <w:pStyle w:val="tabteksts"/>
              <w:spacing w:after="120"/>
              <w:jc w:val="center"/>
              <w:rPr>
                <w:b/>
                <w:color w:val="000000"/>
              </w:rPr>
            </w:pPr>
            <w:r w:rsidRPr="00AB170B">
              <w:rPr>
                <w:b/>
                <w:color w:val="000000"/>
              </w:rPr>
              <w:t>2013</w:t>
            </w:r>
          </w:p>
        </w:tc>
        <w:tc>
          <w:tcPr>
            <w:tcW w:w="100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32D19476" w14:textId="77777777" w:rsidR="006407DD" w:rsidRPr="00AB170B" w:rsidRDefault="006407DD" w:rsidP="00980148">
            <w:pPr>
              <w:pStyle w:val="tabteksts"/>
              <w:spacing w:after="120"/>
              <w:jc w:val="center"/>
              <w:rPr>
                <w:b/>
                <w:color w:val="000000"/>
              </w:rPr>
            </w:pPr>
            <w:r w:rsidRPr="00AB170B">
              <w:rPr>
                <w:b/>
                <w:color w:val="000000"/>
              </w:rPr>
              <w:t>2014</w:t>
            </w:r>
          </w:p>
        </w:tc>
        <w:tc>
          <w:tcPr>
            <w:tcW w:w="98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2D394331" w14:textId="77777777" w:rsidR="006407DD" w:rsidRPr="00AB170B" w:rsidRDefault="006407DD" w:rsidP="00980148">
            <w:pPr>
              <w:pStyle w:val="tabteksts"/>
              <w:spacing w:after="120"/>
              <w:jc w:val="center"/>
              <w:rPr>
                <w:b/>
                <w:color w:val="000000"/>
              </w:rPr>
            </w:pPr>
            <w:r w:rsidRPr="00AB170B">
              <w:rPr>
                <w:b/>
                <w:color w:val="000000"/>
              </w:rPr>
              <w:t>2015</w:t>
            </w:r>
          </w:p>
        </w:tc>
        <w:tc>
          <w:tcPr>
            <w:tcW w:w="98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8D37DDB" w14:textId="77777777" w:rsidR="006407DD" w:rsidRPr="00AB170B" w:rsidRDefault="006407DD" w:rsidP="00980148">
            <w:pPr>
              <w:pStyle w:val="tabteksts"/>
              <w:spacing w:after="120"/>
              <w:jc w:val="center"/>
              <w:rPr>
                <w:b/>
                <w:color w:val="000000"/>
              </w:rPr>
            </w:pPr>
            <w:r w:rsidRPr="00AB170B">
              <w:rPr>
                <w:b/>
                <w:color w:val="000000"/>
              </w:rPr>
              <w:t>2016</w:t>
            </w:r>
          </w:p>
        </w:tc>
        <w:tc>
          <w:tcPr>
            <w:tcW w:w="980" w:type="dxa"/>
            <w:tcBorders>
              <w:top w:val="double" w:sz="4" w:space="0" w:color="auto"/>
              <w:left w:val="single" w:sz="4" w:space="0" w:color="auto"/>
              <w:bottom w:val="double" w:sz="4" w:space="0" w:color="auto"/>
            </w:tcBorders>
            <w:shd w:val="clear" w:color="auto" w:fill="auto"/>
            <w:noWrap/>
            <w:vAlign w:val="center"/>
            <w:hideMark/>
          </w:tcPr>
          <w:p w14:paraId="348FDFE0" w14:textId="77777777" w:rsidR="006407DD" w:rsidRPr="00AB170B" w:rsidRDefault="006407DD" w:rsidP="00980148">
            <w:pPr>
              <w:pStyle w:val="tabteksts"/>
              <w:spacing w:after="120"/>
              <w:jc w:val="center"/>
              <w:rPr>
                <w:b/>
                <w:color w:val="000000"/>
              </w:rPr>
            </w:pPr>
            <w:r w:rsidRPr="00AB170B">
              <w:rPr>
                <w:b/>
                <w:color w:val="000000"/>
              </w:rPr>
              <w:t>2017</w:t>
            </w:r>
          </w:p>
        </w:tc>
      </w:tr>
      <w:tr w:rsidR="006407DD" w:rsidRPr="00AB170B" w14:paraId="4F8B08B3" w14:textId="77777777" w:rsidTr="00980148">
        <w:trPr>
          <w:trHeight w:val="300"/>
        </w:trPr>
        <w:tc>
          <w:tcPr>
            <w:tcW w:w="3969" w:type="dxa"/>
            <w:tcBorders>
              <w:top w:val="double" w:sz="4" w:space="0" w:color="auto"/>
              <w:bottom w:val="single" w:sz="4" w:space="0" w:color="auto"/>
              <w:right w:val="double" w:sz="4" w:space="0" w:color="auto"/>
            </w:tcBorders>
            <w:shd w:val="clear" w:color="auto" w:fill="auto"/>
            <w:noWrap/>
            <w:vAlign w:val="bottom"/>
            <w:hideMark/>
          </w:tcPr>
          <w:p w14:paraId="394DE99B" w14:textId="3B2940A8" w:rsidR="006407DD" w:rsidRPr="00AB170B" w:rsidRDefault="006407DD" w:rsidP="002D5EB9">
            <w:pPr>
              <w:pStyle w:val="tabteksts"/>
            </w:pPr>
            <w:r w:rsidRPr="00AB170B">
              <w:t xml:space="preserve">Iekšzemes kopprodukts, faktiskajās cenās, milj. </w:t>
            </w:r>
            <w:proofErr w:type="spellStart"/>
            <w:r w:rsidR="002D5EB9">
              <w:rPr>
                <w:i/>
              </w:rPr>
              <w:t>euro</w:t>
            </w:r>
            <w:proofErr w:type="spellEnd"/>
          </w:p>
        </w:tc>
        <w:tc>
          <w:tcPr>
            <w:tcW w:w="98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D07B373" w14:textId="77777777" w:rsidR="006407DD" w:rsidRPr="000F1019" w:rsidRDefault="006407DD" w:rsidP="00980148">
            <w:pPr>
              <w:pStyle w:val="tabteksts"/>
              <w:jc w:val="right"/>
            </w:pPr>
            <w:r w:rsidRPr="000F1019">
              <w:t>23315</w:t>
            </w:r>
            <w:r>
              <w:t>,</w:t>
            </w:r>
            <w:r w:rsidRPr="000F1019">
              <w:t>5</w:t>
            </w:r>
          </w:p>
        </w:tc>
        <w:tc>
          <w:tcPr>
            <w:tcW w:w="10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B7C424F" w14:textId="77777777" w:rsidR="006407DD" w:rsidRPr="000F1019" w:rsidRDefault="006407DD" w:rsidP="00980148">
            <w:pPr>
              <w:pStyle w:val="tabteksts"/>
              <w:jc w:val="right"/>
            </w:pPr>
            <w:r w:rsidRPr="000F1019">
              <w:t>24163</w:t>
            </w:r>
            <w:r>
              <w:t>,</w:t>
            </w:r>
            <w:r w:rsidRPr="000F1019">
              <w:t>9</w:t>
            </w:r>
          </w:p>
        </w:tc>
        <w:tc>
          <w:tcPr>
            <w:tcW w:w="9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9088A2B" w14:textId="77777777" w:rsidR="006407DD" w:rsidRPr="000F1019" w:rsidRDefault="006407DD" w:rsidP="00980148">
            <w:pPr>
              <w:pStyle w:val="tabteksts"/>
              <w:jc w:val="right"/>
            </w:pPr>
            <w:r w:rsidRPr="000F1019">
              <w:t>25568</w:t>
            </w:r>
            <w:r>
              <w:t>,</w:t>
            </w:r>
            <w:r w:rsidRPr="000F1019">
              <w:t>1</w:t>
            </w:r>
          </w:p>
        </w:tc>
        <w:tc>
          <w:tcPr>
            <w:tcW w:w="9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979AD" w14:textId="77777777" w:rsidR="006407DD" w:rsidRPr="000F1019" w:rsidRDefault="006407DD" w:rsidP="00980148">
            <w:pPr>
              <w:pStyle w:val="tabteksts"/>
              <w:jc w:val="right"/>
            </w:pPr>
            <w:r w:rsidRPr="000F1019">
              <w:t>27254</w:t>
            </w:r>
            <w:r>
              <w:t>,</w:t>
            </w:r>
            <w:r w:rsidRPr="000F1019">
              <w:t>7</w:t>
            </w:r>
          </w:p>
        </w:tc>
        <w:tc>
          <w:tcPr>
            <w:tcW w:w="980" w:type="dxa"/>
            <w:tcBorders>
              <w:top w:val="double" w:sz="4" w:space="0" w:color="auto"/>
              <w:left w:val="single" w:sz="4" w:space="0" w:color="auto"/>
              <w:bottom w:val="single" w:sz="4" w:space="0" w:color="auto"/>
            </w:tcBorders>
            <w:shd w:val="clear" w:color="auto" w:fill="auto"/>
            <w:noWrap/>
            <w:vAlign w:val="center"/>
            <w:hideMark/>
          </w:tcPr>
          <w:p w14:paraId="7BADA475" w14:textId="77777777" w:rsidR="006407DD" w:rsidRPr="000F1019" w:rsidRDefault="006407DD" w:rsidP="00980148">
            <w:pPr>
              <w:pStyle w:val="tabteksts"/>
              <w:jc w:val="right"/>
            </w:pPr>
            <w:r w:rsidRPr="000F1019">
              <w:t>29053</w:t>
            </w:r>
            <w:r>
              <w:t>,</w:t>
            </w:r>
            <w:r w:rsidRPr="000F1019">
              <w:t>9</w:t>
            </w:r>
          </w:p>
        </w:tc>
      </w:tr>
      <w:tr w:rsidR="006407DD" w:rsidRPr="00AB170B" w14:paraId="5FA858FC"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23D99FF5" w14:textId="77777777" w:rsidR="006407DD" w:rsidRPr="00AB170B" w:rsidRDefault="006407DD" w:rsidP="00926426">
            <w:pPr>
              <w:pStyle w:val="tabteksts"/>
              <w:ind w:firstLine="474"/>
            </w:pPr>
            <w:r w:rsidRPr="00AB170B">
              <w:t>pieaugums faktiskajās cenās ,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EDA472D" w14:textId="77777777" w:rsidR="006407DD" w:rsidRPr="000F1019" w:rsidRDefault="006407DD" w:rsidP="00980148">
            <w:pPr>
              <w:pStyle w:val="tabteksts"/>
              <w:jc w:val="right"/>
            </w:pPr>
            <w:r w:rsidRPr="000F1019">
              <w:t>5</w:t>
            </w:r>
            <w:r>
              <w:t>,</w:t>
            </w:r>
            <w:r w:rsidRPr="000F1019">
              <w:t>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98CFF" w14:textId="77777777" w:rsidR="006407DD" w:rsidRPr="000F1019" w:rsidRDefault="006407DD" w:rsidP="00980148">
            <w:pPr>
              <w:pStyle w:val="tabteksts"/>
              <w:jc w:val="right"/>
            </w:pPr>
            <w:r w:rsidRPr="000F1019">
              <w:t>3</w:t>
            </w:r>
            <w:r>
              <w:t>,</w:t>
            </w:r>
            <w:r w:rsidRPr="000F1019">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F206" w14:textId="77777777" w:rsidR="006407DD" w:rsidRPr="000F1019" w:rsidRDefault="006407DD" w:rsidP="00980148">
            <w:pPr>
              <w:pStyle w:val="tabteksts"/>
              <w:jc w:val="right"/>
            </w:pPr>
            <w:r w:rsidRPr="000F1019">
              <w:t>5</w:t>
            </w:r>
            <w:r>
              <w:t>,</w:t>
            </w:r>
            <w:r w:rsidRPr="000F1019">
              <w:t>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B8C6D" w14:textId="77777777" w:rsidR="006407DD" w:rsidRPr="000F1019" w:rsidRDefault="006407DD" w:rsidP="00980148">
            <w:pPr>
              <w:pStyle w:val="tabteksts"/>
              <w:jc w:val="right"/>
            </w:pPr>
            <w:r w:rsidRPr="000F1019">
              <w:t>6</w:t>
            </w:r>
            <w:r>
              <w:t>,</w:t>
            </w:r>
            <w:r w:rsidRPr="000F1019">
              <w:t>6</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2D66E693" w14:textId="77777777" w:rsidR="006407DD" w:rsidRPr="000F1019" w:rsidRDefault="006407DD" w:rsidP="00980148">
            <w:pPr>
              <w:pStyle w:val="tabteksts"/>
              <w:jc w:val="right"/>
            </w:pPr>
            <w:r w:rsidRPr="000F1019">
              <w:t>6</w:t>
            </w:r>
            <w:r>
              <w:t>,</w:t>
            </w:r>
            <w:r w:rsidRPr="000F1019">
              <w:t>6</w:t>
            </w:r>
          </w:p>
        </w:tc>
      </w:tr>
      <w:tr w:rsidR="006407DD" w:rsidRPr="00AB170B" w14:paraId="24E5D155"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86AB59B" w14:textId="77777777" w:rsidR="006407DD" w:rsidRPr="00AB170B" w:rsidRDefault="006407DD" w:rsidP="00926426">
            <w:pPr>
              <w:pStyle w:val="tabteksts"/>
              <w:ind w:firstLine="474"/>
            </w:pPr>
            <w:r w:rsidRPr="00AB170B">
              <w:t>pieaugums salīdzināmās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0C5D108" w14:textId="77777777" w:rsidR="006407DD" w:rsidRPr="000F1019" w:rsidRDefault="006407DD" w:rsidP="00980148">
            <w:pPr>
              <w:pStyle w:val="tabteksts"/>
              <w:jc w:val="right"/>
            </w:pPr>
            <w:r w:rsidRPr="000F1019">
              <w:t>4</w:t>
            </w:r>
            <w:r>
              <w:t>,</w:t>
            </w:r>
            <w:r w:rsidRPr="000F1019">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CB98" w14:textId="77777777" w:rsidR="006407DD" w:rsidRPr="000F1019" w:rsidRDefault="006407DD" w:rsidP="00980148">
            <w:pPr>
              <w:pStyle w:val="tabteksts"/>
              <w:jc w:val="right"/>
            </w:pPr>
            <w:r w:rsidRPr="000F1019">
              <w:t>2</w:t>
            </w:r>
            <w:r>
              <w:t>,</w:t>
            </w:r>
            <w:r w:rsidRPr="000F1019">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35BA" w14:textId="77777777" w:rsidR="006407DD" w:rsidRPr="000F1019" w:rsidRDefault="006407DD" w:rsidP="00980148">
            <w:pPr>
              <w:pStyle w:val="tabteksts"/>
              <w:jc w:val="right"/>
            </w:pPr>
            <w:r w:rsidRPr="000F1019">
              <w:t>3</w:t>
            </w:r>
            <w:r>
              <w:t>,</w:t>
            </w:r>
            <w:r w:rsidRPr="000F1019">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CDA30" w14:textId="77777777" w:rsidR="006407DD" w:rsidRPr="000F1019" w:rsidRDefault="006407DD" w:rsidP="00980148">
            <w:pPr>
              <w:pStyle w:val="tabteksts"/>
              <w:jc w:val="right"/>
            </w:pPr>
            <w:r w:rsidRPr="000F1019">
              <w:t>4</w:t>
            </w:r>
            <w:r>
              <w:t>,</w:t>
            </w:r>
            <w:r w:rsidRPr="000F1019">
              <w:t>0</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45CB576D" w14:textId="77777777" w:rsidR="006407DD" w:rsidRPr="000F1019" w:rsidRDefault="006407DD" w:rsidP="00980148">
            <w:pPr>
              <w:pStyle w:val="tabteksts"/>
              <w:jc w:val="right"/>
            </w:pPr>
            <w:r w:rsidRPr="000F1019">
              <w:t>4</w:t>
            </w:r>
            <w:r>
              <w:t>,</w:t>
            </w:r>
            <w:r w:rsidRPr="000F1019">
              <w:t>0</w:t>
            </w:r>
          </w:p>
        </w:tc>
      </w:tr>
      <w:tr w:rsidR="006407DD" w:rsidRPr="00AB170B" w14:paraId="6BE47D84"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1F9C7077" w14:textId="77777777" w:rsidR="006407DD" w:rsidRPr="00AB170B" w:rsidRDefault="006407DD" w:rsidP="00926426">
            <w:pPr>
              <w:pStyle w:val="tabteksts"/>
            </w:pPr>
            <w:r w:rsidRPr="00AB170B">
              <w:t>PCI, (gada vidējā),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F933CC0" w14:textId="77777777" w:rsidR="006407DD" w:rsidRPr="000F1019" w:rsidRDefault="006407DD" w:rsidP="00980148">
            <w:pPr>
              <w:pStyle w:val="tabteksts"/>
              <w:jc w:val="right"/>
            </w:pPr>
            <w:r w:rsidRPr="000F1019">
              <w:t>0</w:t>
            </w:r>
            <w:r>
              <w:t>,</w:t>
            </w:r>
            <w:r w:rsidRPr="000F1019">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8271" w14:textId="77777777" w:rsidR="006407DD" w:rsidRPr="000F1019" w:rsidRDefault="006407DD" w:rsidP="00980148">
            <w:pPr>
              <w:pStyle w:val="tabteksts"/>
              <w:jc w:val="right"/>
            </w:pPr>
            <w:r w:rsidRPr="000F1019">
              <w:t>1</w:t>
            </w:r>
            <w:r>
              <w:t>,</w:t>
            </w:r>
            <w:r w:rsidRPr="000F1019">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F0A16" w14:textId="77777777" w:rsidR="006407DD" w:rsidRPr="000F1019" w:rsidRDefault="006407DD" w:rsidP="00980148">
            <w:pPr>
              <w:pStyle w:val="tabteksts"/>
              <w:jc w:val="right"/>
            </w:pPr>
            <w:r w:rsidRPr="000F1019">
              <w:t>3</w:t>
            </w:r>
            <w:r>
              <w:t>,</w:t>
            </w:r>
            <w:r w:rsidRPr="000F1019">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AA15" w14:textId="77777777" w:rsidR="006407DD" w:rsidRPr="000F1019" w:rsidRDefault="006407DD" w:rsidP="00980148">
            <w:pPr>
              <w:pStyle w:val="tabteksts"/>
              <w:jc w:val="right"/>
            </w:pPr>
            <w:r w:rsidRPr="000F1019">
              <w:t>2</w:t>
            </w:r>
            <w:r>
              <w:t>,</w:t>
            </w:r>
            <w:r w:rsidRPr="000F1019">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2263DB65" w14:textId="77777777" w:rsidR="006407DD" w:rsidRPr="000F1019" w:rsidRDefault="006407DD" w:rsidP="00980148">
            <w:pPr>
              <w:pStyle w:val="tabteksts"/>
              <w:jc w:val="right"/>
            </w:pPr>
            <w:r w:rsidRPr="000F1019">
              <w:t>2</w:t>
            </w:r>
            <w:r>
              <w:t>,</w:t>
            </w:r>
            <w:r w:rsidRPr="000F1019">
              <w:t>5</w:t>
            </w:r>
          </w:p>
        </w:tc>
      </w:tr>
      <w:tr w:rsidR="006407DD" w:rsidRPr="00AB170B" w14:paraId="2F909425"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37B02A43" w14:textId="72D34357" w:rsidR="006407DD" w:rsidRPr="00AB170B" w:rsidRDefault="006407DD" w:rsidP="006407DD">
            <w:pPr>
              <w:pStyle w:val="tabteksts"/>
            </w:pPr>
            <w:r w:rsidRPr="00AB170B">
              <w:t xml:space="preserve">Vidējā darba samaksa tautsaimniecība, </w:t>
            </w:r>
            <w:proofErr w:type="spellStart"/>
            <w:r>
              <w:rPr>
                <w:i/>
              </w:rPr>
              <w:t>euro</w:t>
            </w:r>
            <w:proofErr w:type="spellEnd"/>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C52292C" w14:textId="77777777" w:rsidR="006407DD" w:rsidRPr="000F1019" w:rsidRDefault="006407DD" w:rsidP="00980148">
            <w:pPr>
              <w:pStyle w:val="tabteksts"/>
              <w:jc w:val="right"/>
            </w:pPr>
            <w:r w:rsidRPr="000F1019">
              <w:t>716</w:t>
            </w:r>
            <w:r>
              <w:t>,</w:t>
            </w:r>
            <w:r w:rsidRPr="000F1019">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27F35" w14:textId="77777777" w:rsidR="006407DD" w:rsidRPr="000F1019" w:rsidRDefault="006407DD" w:rsidP="00980148">
            <w:pPr>
              <w:pStyle w:val="tabteksts"/>
              <w:jc w:val="right"/>
            </w:pPr>
            <w:r w:rsidRPr="000F1019">
              <w:t>748</w:t>
            </w:r>
            <w:r>
              <w:t>,</w:t>
            </w:r>
            <w:r w:rsidRPr="000F1019">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08C5" w14:textId="77777777" w:rsidR="006407DD" w:rsidRPr="000F1019" w:rsidRDefault="006407DD" w:rsidP="00980148">
            <w:pPr>
              <w:pStyle w:val="tabteksts"/>
              <w:jc w:val="right"/>
            </w:pPr>
            <w:r w:rsidRPr="000F1019">
              <w:t>778</w:t>
            </w:r>
            <w:r>
              <w:t>,</w:t>
            </w:r>
            <w:r w:rsidRPr="000F1019">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326E" w14:textId="77777777" w:rsidR="006407DD" w:rsidRPr="000F1019" w:rsidRDefault="006407DD" w:rsidP="00980148">
            <w:pPr>
              <w:pStyle w:val="tabteksts"/>
              <w:jc w:val="right"/>
            </w:pPr>
            <w:r w:rsidRPr="000F1019">
              <w:t>821</w:t>
            </w:r>
            <w:r>
              <w:t>,</w:t>
            </w:r>
            <w:r w:rsidRPr="000F1019">
              <w:t>2</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3F3356AA" w14:textId="77777777" w:rsidR="006407DD" w:rsidRPr="000F1019" w:rsidRDefault="006407DD" w:rsidP="00980148">
            <w:pPr>
              <w:pStyle w:val="tabteksts"/>
              <w:jc w:val="right"/>
            </w:pPr>
            <w:r w:rsidRPr="000F1019">
              <w:t>866</w:t>
            </w:r>
            <w:r>
              <w:t>,</w:t>
            </w:r>
            <w:r w:rsidRPr="000F1019">
              <w:t>3</w:t>
            </w:r>
          </w:p>
        </w:tc>
      </w:tr>
      <w:tr w:rsidR="006407DD" w:rsidRPr="00AB170B" w14:paraId="234F4D6B"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589027DB" w14:textId="77777777" w:rsidR="006407DD" w:rsidRPr="00AB170B" w:rsidRDefault="006407DD" w:rsidP="00926426">
            <w:pPr>
              <w:pStyle w:val="tabteksts"/>
              <w:ind w:firstLine="474"/>
            </w:pPr>
            <w:r w:rsidRPr="00AB170B">
              <w:t>pieaugums faktiskajās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D55E349" w14:textId="77777777" w:rsidR="006407DD" w:rsidRPr="000F1019" w:rsidRDefault="006407DD" w:rsidP="00980148">
            <w:pPr>
              <w:pStyle w:val="tabteksts"/>
              <w:jc w:val="right"/>
            </w:pPr>
            <w:r w:rsidRPr="000F1019">
              <w:t>4</w:t>
            </w:r>
            <w:r>
              <w:t>,</w:t>
            </w:r>
            <w:r w:rsidRPr="000F1019">
              <w:t>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D427B" w14:textId="77777777" w:rsidR="006407DD" w:rsidRPr="000F1019" w:rsidRDefault="006407DD" w:rsidP="00980148">
            <w:pPr>
              <w:pStyle w:val="tabteksts"/>
              <w:jc w:val="right"/>
            </w:pPr>
            <w:r w:rsidRPr="000F1019">
              <w:t>4</w:t>
            </w:r>
            <w:r>
              <w:t>,</w:t>
            </w:r>
            <w:r w:rsidRPr="000F1019">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5627" w14:textId="77777777" w:rsidR="006407DD" w:rsidRPr="000F1019" w:rsidRDefault="006407DD" w:rsidP="00980148">
            <w:pPr>
              <w:pStyle w:val="tabteksts"/>
              <w:jc w:val="right"/>
            </w:pPr>
            <w:r w:rsidRPr="000F1019">
              <w:t>4</w:t>
            </w:r>
            <w:r>
              <w:t>,</w:t>
            </w:r>
            <w:r w:rsidRPr="000F1019">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FE77" w14:textId="77777777" w:rsidR="006407DD" w:rsidRPr="000F1019" w:rsidRDefault="006407DD" w:rsidP="00980148">
            <w:pPr>
              <w:pStyle w:val="tabteksts"/>
              <w:jc w:val="right"/>
            </w:pPr>
            <w:r w:rsidRPr="000F1019">
              <w:t>5</w:t>
            </w:r>
            <w:r>
              <w:t>,</w:t>
            </w:r>
            <w:r w:rsidRPr="000F1019">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307C1571" w14:textId="77777777" w:rsidR="006407DD" w:rsidRPr="000F1019" w:rsidRDefault="006407DD" w:rsidP="00980148">
            <w:pPr>
              <w:pStyle w:val="tabteksts"/>
              <w:jc w:val="right"/>
            </w:pPr>
            <w:r w:rsidRPr="000F1019">
              <w:t>5</w:t>
            </w:r>
            <w:r>
              <w:t>,</w:t>
            </w:r>
            <w:r w:rsidRPr="000F1019">
              <w:t>5</w:t>
            </w:r>
          </w:p>
        </w:tc>
      </w:tr>
      <w:tr w:rsidR="006407DD" w:rsidRPr="00AB170B" w14:paraId="4BDC8A54"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3459D2A5" w14:textId="77777777" w:rsidR="006407DD" w:rsidRPr="00AB170B" w:rsidRDefault="006407DD" w:rsidP="00926426">
            <w:pPr>
              <w:pStyle w:val="tabteksts"/>
            </w:pPr>
            <w:r w:rsidRPr="00AB170B">
              <w:t xml:space="preserve">Nodarbinātība, tūkst. cilvēku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4F2D66F" w14:textId="77777777" w:rsidR="006407DD" w:rsidRPr="000F1019" w:rsidRDefault="006407DD" w:rsidP="00980148">
            <w:pPr>
              <w:pStyle w:val="tabteksts"/>
              <w:jc w:val="right"/>
            </w:pPr>
            <w:r w:rsidRPr="000F1019">
              <w:t>893</w:t>
            </w:r>
            <w:r>
              <w:t>,</w:t>
            </w:r>
            <w:r w:rsidRPr="000F1019">
              <w: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96001" w14:textId="77777777" w:rsidR="006407DD" w:rsidRPr="000F1019" w:rsidRDefault="006407DD" w:rsidP="00980148">
            <w:pPr>
              <w:pStyle w:val="tabteksts"/>
              <w:jc w:val="right"/>
            </w:pPr>
            <w:r w:rsidRPr="000F1019">
              <w:t>897</w:t>
            </w:r>
            <w:r>
              <w:t>,</w:t>
            </w:r>
            <w:r w:rsidRPr="000F1019">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CD9F" w14:textId="77777777" w:rsidR="006407DD" w:rsidRPr="000F1019" w:rsidRDefault="006407DD" w:rsidP="00980148">
            <w:pPr>
              <w:pStyle w:val="tabteksts"/>
              <w:jc w:val="right"/>
            </w:pPr>
            <w:r w:rsidRPr="000F1019">
              <w:t>902</w:t>
            </w:r>
            <w:r>
              <w:t>,</w:t>
            </w:r>
            <w:r w:rsidRPr="000F1019">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1CA3" w14:textId="77777777" w:rsidR="006407DD" w:rsidRPr="000F1019" w:rsidRDefault="006407DD" w:rsidP="00980148">
            <w:pPr>
              <w:pStyle w:val="tabteksts"/>
              <w:jc w:val="right"/>
            </w:pPr>
            <w:r w:rsidRPr="000F1019">
              <w:t>906</w:t>
            </w:r>
            <w:r>
              <w:t>,</w:t>
            </w:r>
            <w:r w:rsidRPr="000F1019">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254464D2" w14:textId="77777777" w:rsidR="006407DD" w:rsidRPr="000F1019" w:rsidRDefault="006407DD" w:rsidP="00980148">
            <w:pPr>
              <w:pStyle w:val="tabteksts"/>
              <w:jc w:val="right"/>
            </w:pPr>
            <w:r w:rsidRPr="000F1019">
              <w:t>909</w:t>
            </w:r>
            <w:r>
              <w:t>,</w:t>
            </w:r>
            <w:r w:rsidRPr="000F1019">
              <w:t>2</w:t>
            </w:r>
          </w:p>
        </w:tc>
      </w:tr>
      <w:tr w:rsidR="006407DD" w:rsidRPr="00AB170B" w14:paraId="3C1662A5"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66B3A1A3" w14:textId="77777777" w:rsidR="006407DD" w:rsidRPr="00AB170B" w:rsidRDefault="006407DD" w:rsidP="00926426">
            <w:pPr>
              <w:pStyle w:val="tabteksts"/>
              <w:ind w:firstLine="474"/>
            </w:pPr>
            <w:r w:rsidRPr="00AB170B">
              <w:t>pieaugums,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44CE45A" w14:textId="77777777" w:rsidR="006407DD" w:rsidRPr="000F1019" w:rsidRDefault="006407DD" w:rsidP="00980148">
            <w:pPr>
              <w:pStyle w:val="tabteksts"/>
              <w:jc w:val="right"/>
            </w:pPr>
            <w:r w:rsidRPr="000F1019">
              <w:t>2</w:t>
            </w:r>
            <w:r>
              <w:t>,</w:t>
            </w:r>
            <w:r w:rsidRPr="000F1019">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0704" w14:textId="77777777" w:rsidR="006407DD" w:rsidRPr="000F1019" w:rsidRDefault="006407DD" w:rsidP="00980148">
            <w:pPr>
              <w:pStyle w:val="tabteksts"/>
              <w:jc w:val="right"/>
            </w:pPr>
            <w:r w:rsidRPr="000F1019">
              <w:t>0</w:t>
            </w:r>
            <w:r>
              <w:t>,</w:t>
            </w:r>
            <w:r w:rsidRPr="000F1019">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18BE" w14:textId="77777777" w:rsidR="006407DD" w:rsidRPr="000F1019" w:rsidRDefault="006407DD" w:rsidP="00980148">
            <w:pPr>
              <w:pStyle w:val="tabteksts"/>
              <w:jc w:val="right"/>
            </w:pPr>
            <w:r w:rsidRPr="000F1019">
              <w:t>0</w:t>
            </w:r>
            <w:r>
              <w:t>,</w:t>
            </w:r>
            <w:r w:rsidRPr="000F1019">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D0745" w14:textId="77777777" w:rsidR="006407DD" w:rsidRPr="000F1019" w:rsidRDefault="006407DD" w:rsidP="00980148">
            <w:pPr>
              <w:pStyle w:val="tabteksts"/>
              <w:jc w:val="right"/>
            </w:pPr>
            <w:r w:rsidRPr="000F1019">
              <w:t>0</w:t>
            </w:r>
            <w:r>
              <w:t>,</w:t>
            </w:r>
            <w:r w:rsidRPr="000F1019">
              <w:t>5</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176C982B" w14:textId="77777777" w:rsidR="006407DD" w:rsidRPr="000F1019" w:rsidRDefault="006407DD" w:rsidP="00980148">
            <w:pPr>
              <w:pStyle w:val="tabteksts"/>
              <w:jc w:val="right"/>
            </w:pPr>
            <w:r w:rsidRPr="000F1019">
              <w:t>0</w:t>
            </w:r>
            <w:r>
              <w:t>,</w:t>
            </w:r>
            <w:r w:rsidRPr="000F1019">
              <w:t>3</w:t>
            </w:r>
          </w:p>
        </w:tc>
      </w:tr>
      <w:tr w:rsidR="006407DD" w:rsidRPr="00AB170B" w14:paraId="086AF357"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41D32730" w14:textId="77777777" w:rsidR="006407DD" w:rsidRPr="00AB170B" w:rsidRDefault="006407DD" w:rsidP="00926426">
            <w:pPr>
              <w:pStyle w:val="tabteksts"/>
            </w:pPr>
            <w:r w:rsidRPr="00AB170B">
              <w:t>Bezdarba līmenis (gada vidēja</w:t>
            </w:r>
            <w:r>
              <w:t>is), % no ekon. aktīviem iedzīvotājiem</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C932EB5" w14:textId="77777777" w:rsidR="006407DD" w:rsidRPr="000F1019" w:rsidRDefault="006407DD" w:rsidP="00980148">
            <w:pPr>
              <w:pStyle w:val="tabteksts"/>
              <w:jc w:val="right"/>
            </w:pPr>
            <w:r w:rsidRPr="000F1019">
              <w:t>11</w:t>
            </w:r>
            <w:r>
              <w:t>,</w:t>
            </w:r>
            <w:r w:rsidRPr="000F1019">
              <w: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3C088" w14:textId="77777777" w:rsidR="006407DD" w:rsidRPr="000F1019" w:rsidRDefault="006407DD" w:rsidP="00980148">
            <w:pPr>
              <w:pStyle w:val="tabteksts"/>
              <w:jc w:val="right"/>
            </w:pPr>
            <w:r w:rsidRPr="000F1019">
              <w:t>11</w:t>
            </w:r>
            <w:r>
              <w:t>,</w:t>
            </w:r>
            <w:r w:rsidRPr="000F1019">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DCEAA" w14:textId="77777777" w:rsidR="006407DD" w:rsidRPr="000F1019" w:rsidRDefault="006407DD" w:rsidP="00980148">
            <w:pPr>
              <w:pStyle w:val="tabteksts"/>
              <w:jc w:val="right"/>
            </w:pPr>
            <w:r w:rsidRPr="000F1019">
              <w:t>10</w:t>
            </w:r>
            <w:r>
              <w:t>,</w:t>
            </w:r>
            <w:r w:rsidRPr="000F1019">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1E81" w14:textId="77777777" w:rsidR="006407DD" w:rsidRPr="000F1019" w:rsidRDefault="006407DD" w:rsidP="00980148">
            <w:pPr>
              <w:pStyle w:val="tabteksts"/>
              <w:jc w:val="right"/>
            </w:pPr>
            <w:r w:rsidRPr="000F1019">
              <w:t>10</w:t>
            </w:r>
            <w:r>
              <w:t>,</w:t>
            </w:r>
            <w:r w:rsidRPr="000F1019">
              <w:t>0</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66453764" w14:textId="77777777" w:rsidR="006407DD" w:rsidRPr="000F1019" w:rsidRDefault="006407DD" w:rsidP="00980148">
            <w:pPr>
              <w:pStyle w:val="tabteksts"/>
              <w:jc w:val="right"/>
            </w:pPr>
            <w:r w:rsidRPr="000F1019">
              <w:t>9</w:t>
            </w:r>
            <w:r>
              <w:t>,</w:t>
            </w:r>
            <w:r w:rsidRPr="000F1019">
              <w:t>7</w:t>
            </w:r>
          </w:p>
        </w:tc>
      </w:tr>
      <w:tr w:rsidR="006407DD" w:rsidRPr="00AB170B" w14:paraId="2DAB9FDF" w14:textId="77777777" w:rsidTr="00980148">
        <w:trPr>
          <w:trHeight w:val="300"/>
        </w:trPr>
        <w:tc>
          <w:tcPr>
            <w:tcW w:w="3969" w:type="dxa"/>
            <w:tcBorders>
              <w:top w:val="single" w:sz="4" w:space="0" w:color="auto"/>
              <w:bottom w:val="single" w:sz="4" w:space="0" w:color="auto"/>
              <w:right w:val="double" w:sz="4" w:space="0" w:color="auto"/>
            </w:tcBorders>
            <w:shd w:val="clear" w:color="auto" w:fill="auto"/>
            <w:noWrap/>
            <w:vAlign w:val="bottom"/>
            <w:hideMark/>
          </w:tcPr>
          <w:p w14:paraId="0A05F553" w14:textId="77777777" w:rsidR="006407DD" w:rsidRPr="00AB170B" w:rsidRDefault="006407DD" w:rsidP="00926426">
            <w:pPr>
              <w:pStyle w:val="tabteksts"/>
            </w:pPr>
            <w:r w:rsidRPr="00AB170B">
              <w:t>Eksporta pieauguma tempi faktiskajās cenās, %</w:t>
            </w:r>
          </w:p>
        </w:tc>
        <w:tc>
          <w:tcPr>
            <w:tcW w:w="9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1A124C8" w14:textId="77777777" w:rsidR="006407DD" w:rsidRPr="000F1019" w:rsidRDefault="006407DD" w:rsidP="00980148">
            <w:pPr>
              <w:pStyle w:val="tabteksts"/>
              <w:jc w:val="right"/>
            </w:pPr>
            <w:r w:rsidRPr="000F1019">
              <w:t>2</w:t>
            </w:r>
            <w:r>
              <w:t>,</w:t>
            </w:r>
            <w:r w:rsidRPr="000F1019">
              <w:t>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C5E7" w14:textId="77777777" w:rsidR="006407DD" w:rsidRPr="000F1019" w:rsidRDefault="006407DD" w:rsidP="00980148">
            <w:pPr>
              <w:pStyle w:val="tabteksts"/>
              <w:jc w:val="right"/>
            </w:pPr>
            <w:r w:rsidRPr="000F1019">
              <w:t>4</w:t>
            </w:r>
            <w:r>
              <w:t>,</w:t>
            </w:r>
            <w:r w:rsidRPr="000F1019">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0012" w14:textId="77777777" w:rsidR="006407DD" w:rsidRPr="000F1019" w:rsidRDefault="006407DD" w:rsidP="00980148">
            <w:pPr>
              <w:pStyle w:val="tabteksts"/>
              <w:jc w:val="right"/>
            </w:pPr>
            <w:r w:rsidRPr="000F1019">
              <w:t>6</w:t>
            </w:r>
            <w:r>
              <w:t>,</w:t>
            </w:r>
            <w:r w:rsidRPr="000F1019">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5B27" w14:textId="77777777" w:rsidR="006407DD" w:rsidRPr="000F1019" w:rsidRDefault="006407DD" w:rsidP="00980148">
            <w:pPr>
              <w:pStyle w:val="tabteksts"/>
              <w:jc w:val="right"/>
            </w:pPr>
            <w:r w:rsidRPr="000F1019">
              <w:t>7</w:t>
            </w:r>
            <w:r>
              <w:t>,</w:t>
            </w:r>
            <w:r w:rsidRPr="000F1019">
              <w:t>1</w:t>
            </w:r>
          </w:p>
        </w:tc>
        <w:tc>
          <w:tcPr>
            <w:tcW w:w="980" w:type="dxa"/>
            <w:tcBorders>
              <w:top w:val="single" w:sz="4" w:space="0" w:color="auto"/>
              <w:left w:val="single" w:sz="4" w:space="0" w:color="auto"/>
              <w:bottom w:val="single" w:sz="4" w:space="0" w:color="auto"/>
            </w:tcBorders>
            <w:shd w:val="clear" w:color="auto" w:fill="auto"/>
            <w:noWrap/>
            <w:vAlign w:val="center"/>
            <w:hideMark/>
          </w:tcPr>
          <w:p w14:paraId="7481ABE0" w14:textId="77777777" w:rsidR="006407DD" w:rsidRPr="000F1019" w:rsidRDefault="006407DD" w:rsidP="00980148">
            <w:pPr>
              <w:pStyle w:val="tabteksts"/>
              <w:jc w:val="right"/>
            </w:pPr>
            <w:r w:rsidRPr="000F1019">
              <w:t>7</w:t>
            </w:r>
            <w:r>
              <w:t>,</w:t>
            </w:r>
            <w:r w:rsidRPr="000F1019">
              <w:t>4</w:t>
            </w:r>
          </w:p>
        </w:tc>
      </w:tr>
      <w:tr w:rsidR="006407DD" w:rsidRPr="00AB170B" w14:paraId="2FDE9391" w14:textId="77777777" w:rsidTr="00980148">
        <w:trPr>
          <w:trHeight w:val="300"/>
        </w:trPr>
        <w:tc>
          <w:tcPr>
            <w:tcW w:w="3969" w:type="dxa"/>
            <w:tcBorders>
              <w:top w:val="single" w:sz="4" w:space="0" w:color="auto"/>
              <w:bottom w:val="double" w:sz="4" w:space="0" w:color="auto"/>
              <w:right w:val="double" w:sz="4" w:space="0" w:color="auto"/>
            </w:tcBorders>
            <w:shd w:val="clear" w:color="auto" w:fill="auto"/>
            <w:noWrap/>
            <w:vAlign w:val="bottom"/>
            <w:hideMark/>
          </w:tcPr>
          <w:p w14:paraId="2C20EC47" w14:textId="77777777" w:rsidR="006407DD" w:rsidRPr="00AB170B" w:rsidRDefault="006407DD" w:rsidP="00926426">
            <w:pPr>
              <w:pStyle w:val="tabteksts"/>
            </w:pPr>
            <w:r w:rsidRPr="00AB170B">
              <w:t>Importa pieauguma tempi faktiskajās cenās, %</w:t>
            </w:r>
          </w:p>
        </w:tc>
        <w:tc>
          <w:tcPr>
            <w:tcW w:w="98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06153777" w14:textId="77777777" w:rsidR="006407DD" w:rsidRPr="000F1019" w:rsidRDefault="006407DD" w:rsidP="00980148">
            <w:pPr>
              <w:pStyle w:val="tabteksts"/>
              <w:jc w:val="right"/>
            </w:pPr>
            <w:r w:rsidRPr="000F1019">
              <w:t>-0</w:t>
            </w:r>
            <w:r>
              <w:t>,</w:t>
            </w:r>
            <w:r w:rsidRPr="000F1019">
              <w:t>9</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6FD7145" w14:textId="77777777" w:rsidR="006407DD" w:rsidRPr="000F1019" w:rsidRDefault="006407DD" w:rsidP="00980148">
            <w:pPr>
              <w:pStyle w:val="tabteksts"/>
              <w:jc w:val="right"/>
            </w:pPr>
            <w:r w:rsidRPr="000F1019">
              <w:t>5</w:t>
            </w:r>
            <w:r>
              <w:t>,</w:t>
            </w:r>
            <w:r w:rsidRPr="000F1019">
              <w:t>1</w:t>
            </w:r>
          </w:p>
        </w:tc>
        <w:tc>
          <w:tcPr>
            <w:tcW w:w="9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3EF683D" w14:textId="77777777" w:rsidR="006407DD" w:rsidRPr="000F1019" w:rsidRDefault="006407DD" w:rsidP="00980148">
            <w:pPr>
              <w:pStyle w:val="tabteksts"/>
              <w:jc w:val="right"/>
            </w:pPr>
            <w:r w:rsidRPr="000F1019">
              <w:t>6</w:t>
            </w:r>
            <w:r>
              <w:t>,</w:t>
            </w:r>
            <w:r w:rsidRPr="000F1019">
              <w:t>6</w:t>
            </w:r>
          </w:p>
        </w:tc>
        <w:tc>
          <w:tcPr>
            <w:tcW w:w="9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27ED5E2" w14:textId="77777777" w:rsidR="006407DD" w:rsidRPr="000F1019" w:rsidRDefault="006407DD" w:rsidP="00980148">
            <w:pPr>
              <w:pStyle w:val="tabteksts"/>
              <w:jc w:val="right"/>
            </w:pPr>
            <w:r w:rsidRPr="000F1019">
              <w:t>7</w:t>
            </w:r>
            <w:r>
              <w:t>,</w:t>
            </w:r>
            <w:r w:rsidRPr="000F1019">
              <w:t>3</w:t>
            </w:r>
          </w:p>
        </w:tc>
        <w:tc>
          <w:tcPr>
            <w:tcW w:w="980" w:type="dxa"/>
            <w:tcBorders>
              <w:top w:val="single" w:sz="4" w:space="0" w:color="auto"/>
              <w:left w:val="single" w:sz="4" w:space="0" w:color="auto"/>
              <w:bottom w:val="double" w:sz="4" w:space="0" w:color="auto"/>
            </w:tcBorders>
            <w:shd w:val="clear" w:color="auto" w:fill="auto"/>
            <w:noWrap/>
            <w:vAlign w:val="center"/>
            <w:hideMark/>
          </w:tcPr>
          <w:p w14:paraId="16E02455" w14:textId="77777777" w:rsidR="006407DD" w:rsidRPr="000F1019" w:rsidRDefault="006407DD" w:rsidP="00980148">
            <w:pPr>
              <w:pStyle w:val="tabteksts"/>
              <w:jc w:val="right"/>
            </w:pPr>
            <w:r w:rsidRPr="000F1019">
              <w:t>7</w:t>
            </w:r>
            <w:r>
              <w:t>,</w:t>
            </w:r>
            <w:r w:rsidRPr="000F1019">
              <w:t>5</w:t>
            </w:r>
          </w:p>
        </w:tc>
      </w:tr>
    </w:tbl>
    <w:p w14:paraId="08CFEE7B" w14:textId="77777777" w:rsidR="006407DD" w:rsidRDefault="006407DD" w:rsidP="006407DD"/>
    <w:p w14:paraId="1571828B" w14:textId="77777777" w:rsidR="006407DD" w:rsidRPr="00D63229" w:rsidRDefault="006407DD" w:rsidP="006407DD">
      <w:r w:rsidRPr="00D63229">
        <w:t xml:space="preserve">Gadījumā, ja Ukrainā vai Austrumeiropas reģionā būs vērojama būtiska ģeopolitisko risku eskalācija vai esošos riskus papildinās kādi citi makroekonomiskie riski, piemēram, ekonomiskās situācijas pasliktināšanās ES vai būtisks attīstības valstu izaugsmes tempu kritums, Latvijas ekonomikas izaugsme vidējā termiņā var būt vēl zemāka, nekā to paredz pesimistiskais scenārijs. </w:t>
      </w:r>
    </w:p>
    <w:p w14:paraId="34B8844B" w14:textId="791B41F2" w:rsidR="004E357B" w:rsidRPr="006407DD" w:rsidRDefault="006407DD" w:rsidP="006407DD">
      <w:r w:rsidRPr="00D63229">
        <w:t xml:space="preserve">Lēnāks IKP pieaugums nekā centrālajā scenārijā, kas balstās uz sliktāku ārējās vides situāciju un zemāku privāto patēriņu, kā arī vājākiem darba tirgus rādītājiem, negatīvi ietekmēs arī budžeta ieņēmumus. Situācijā, ja ekonomikas attīstība noritēs atbilstoši pesimistiskajam scenārijam, budžeta ieņēmumi, salīdzinot ar centrālo scenāriju, 2014. gadā samazināsies par 0,6% no IKP, savukārt 2015. gadā un tālāk vidējā termiņā ik gadu samazināsies par 0,9% no IKP. </w:t>
      </w:r>
    </w:p>
    <w:p w14:paraId="399F4ED1" w14:textId="563414B2" w:rsidR="005A28E3" w:rsidRPr="007A647F" w:rsidRDefault="00EB6C31" w:rsidP="007A647F">
      <w:pPr>
        <w:pStyle w:val="PIRMAIS"/>
        <w:ind w:left="0" w:firstLine="0"/>
        <w:jc w:val="both"/>
      </w:pPr>
      <w:bookmarkStart w:id="34" w:name="_Toc284924057"/>
      <w:bookmarkStart w:id="35" w:name="_Toc385517820"/>
      <w:r>
        <w:t>5</w:t>
      </w:r>
      <w:r w:rsidR="00AC1A6A" w:rsidRPr="007E0A0D">
        <w:t xml:space="preserve">. </w:t>
      </w:r>
      <w:r w:rsidR="004B5CC1" w:rsidRPr="00096D57">
        <w:rPr>
          <w:szCs w:val="32"/>
        </w:rPr>
        <w:t>Vispārējās valdības budžeta bilance</w:t>
      </w:r>
      <w:r w:rsidR="004B5CC1">
        <w:rPr>
          <w:szCs w:val="32"/>
        </w:rPr>
        <w:t>s</w:t>
      </w:r>
      <w:r w:rsidR="004B5CC1" w:rsidRPr="00096D57">
        <w:rPr>
          <w:szCs w:val="32"/>
        </w:rPr>
        <w:t xml:space="preserve"> un parād</w:t>
      </w:r>
      <w:r w:rsidR="004B5CC1">
        <w:rPr>
          <w:szCs w:val="32"/>
        </w:rPr>
        <w:t>a prognožu</w:t>
      </w:r>
      <w:r w:rsidR="004B5CC1" w:rsidRPr="007E0A0D">
        <w:t xml:space="preserve"> </w:t>
      </w:r>
      <w:r w:rsidR="004B5CC1">
        <w:t>s</w:t>
      </w:r>
      <w:r w:rsidR="00C53CDD" w:rsidRPr="007E0A0D">
        <w:t xml:space="preserve">alīdzinājums ar </w:t>
      </w:r>
      <w:r w:rsidR="0087768C" w:rsidRPr="007E0A0D">
        <w:t xml:space="preserve">Latvijas Konverģences programmu </w:t>
      </w:r>
      <w:r w:rsidR="00DF5F16" w:rsidRPr="007E0A0D">
        <w:t>201</w:t>
      </w:r>
      <w:r w:rsidR="00BB08CC">
        <w:t>3</w:t>
      </w:r>
      <w:r w:rsidR="00C53CDD" w:rsidRPr="007E0A0D">
        <w:t>.</w:t>
      </w:r>
      <w:r w:rsidR="0087768C" w:rsidRPr="007E0A0D">
        <w:t xml:space="preserve"> – 201</w:t>
      </w:r>
      <w:r w:rsidR="00BB08CC">
        <w:t>6</w:t>
      </w:r>
      <w:r w:rsidR="0087768C" w:rsidRPr="007E0A0D">
        <w:t xml:space="preserve">. </w:t>
      </w:r>
      <w:r w:rsidR="00C53CDD" w:rsidRPr="007E0A0D">
        <w:t>gada</w:t>
      </w:r>
      <w:r w:rsidR="0087768C" w:rsidRPr="007E0A0D">
        <w:t>m</w:t>
      </w:r>
      <w:bookmarkEnd w:id="34"/>
      <w:bookmarkEnd w:id="35"/>
    </w:p>
    <w:p w14:paraId="05AA6428" w14:textId="69886E01" w:rsidR="00225EFF" w:rsidRDefault="00225EFF" w:rsidP="007A647F">
      <w:pPr>
        <w:spacing w:before="240"/>
        <w:ind w:firstLine="851"/>
        <w:rPr>
          <w:rFonts w:eastAsia="Calibri"/>
          <w:szCs w:val="26"/>
        </w:rPr>
      </w:pPr>
      <w:r w:rsidRPr="00706595">
        <w:rPr>
          <w:rFonts w:eastAsia="Calibri"/>
          <w:szCs w:val="26"/>
        </w:rPr>
        <w:t xml:space="preserve">Vispārējās valdības parāda prognoze ir samazināta, salīdzinot ar Konverģences programmas </w:t>
      </w:r>
      <w:r w:rsidR="00433760" w:rsidRPr="00706595">
        <w:rPr>
          <w:rFonts w:eastAsia="Calibri"/>
          <w:szCs w:val="26"/>
        </w:rPr>
        <w:t>2013. – 2016.</w:t>
      </w:r>
      <w:r w:rsidR="0011050B">
        <w:rPr>
          <w:rFonts w:eastAsia="Calibri"/>
          <w:szCs w:val="26"/>
        </w:rPr>
        <w:t> </w:t>
      </w:r>
      <w:r w:rsidR="00433760" w:rsidRPr="00706595">
        <w:rPr>
          <w:rFonts w:eastAsia="Calibri"/>
          <w:szCs w:val="26"/>
        </w:rPr>
        <w:t xml:space="preserve">gada </w:t>
      </w:r>
      <w:r w:rsidRPr="00706595">
        <w:rPr>
          <w:rFonts w:eastAsia="Calibri"/>
          <w:szCs w:val="26"/>
        </w:rPr>
        <w:t>prognozēm (sk.</w:t>
      </w:r>
      <w:r w:rsidR="002A03FF">
        <w:rPr>
          <w:rFonts w:eastAsia="Calibri"/>
          <w:szCs w:val="26"/>
        </w:rPr>
        <w:t>5</w:t>
      </w:r>
      <w:r w:rsidR="00706595" w:rsidRPr="004B1CAD">
        <w:rPr>
          <w:rFonts w:eastAsia="Calibri"/>
          <w:szCs w:val="26"/>
        </w:rPr>
        <w:t>.</w:t>
      </w:r>
      <w:r w:rsidRPr="004B1CAD">
        <w:rPr>
          <w:rFonts w:eastAsia="Calibri"/>
          <w:szCs w:val="26"/>
        </w:rPr>
        <w:t>1.tabulu),</w:t>
      </w:r>
      <w:r w:rsidRPr="00706595">
        <w:rPr>
          <w:rFonts w:eastAsia="Calibri"/>
          <w:szCs w:val="26"/>
        </w:rPr>
        <w:t xml:space="preserve"> ņemot vērā aktualizētu valsts budžeta izpildes prognozi un  precizētu aizņemšanās stratēģiju vidējam termiņam, saskaņā ar kuru 2013.</w:t>
      </w:r>
      <w:r w:rsidR="00433760">
        <w:rPr>
          <w:rFonts w:eastAsia="Calibri"/>
          <w:szCs w:val="26"/>
        </w:rPr>
        <w:t xml:space="preserve">gadā plānotā publiska etalona </w:t>
      </w:r>
      <w:proofErr w:type="spellStart"/>
      <w:r w:rsidR="00433760" w:rsidRPr="00433760">
        <w:rPr>
          <w:rFonts w:eastAsia="Calibri"/>
          <w:i/>
          <w:szCs w:val="26"/>
        </w:rPr>
        <w:t>eu</w:t>
      </w:r>
      <w:r w:rsidRPr="00433760">
        <w:rPr>
          <w:rFonts w:eastAsia="Calibri"/>
          <w:i/>
          <w:szCs w:val="26"/>
        </w:rPr>
        <w:t>ro</w:t>
      </w:r>
      <w:proofErr w:type="spellEnd"/>
      <w:r w:rsidR="00433760">
        <w:rPr>
          <w:rFonts w:eastAsia="Calibri"/>
          <w:szCs w:val="26"/>
        </w:rPr>
        <w:t xml:space="preserve"> </w:t>
      </w:r>
      <w:r w:rsidRPr="00706595">
        <w:rPr>
          <w:rFonts w:eastAsia="Calibri"/>
          <w:szCs w:val="26"/>
        </w:rPr>
        <w:t>obligāciju emisija tika pārcelta uz 2014.</w:t>
      </w:r>
      <w:r w:rsidR="0011050B">
        <w:rPr>
          <w:rFonts w:eastAsia="Calibri"/>
          <w:szCs w:val="26"/>
        </w:rPr>
        <w:t> </w:t>
      </w:r>
      <w:r w:rsidRPr="00706595">
        <w:rPr>
          <w:rFonts w:eastAsia="Calibri"/>
          <w:szCs w:val="26"/>
        </w:rPr>
        <w:t>gada janvāri, kā arī aktualizētās e</w:t>
      </w:r>
      <w:r w:rsidR="004B1CAD">
        <w:rPr>
          <w:rFonts w:eastAsia="Calibri"/>
          <w:szCs w:val="26"/>
        </w:rPr>
        <w:t>konomikas attīstības prognozes.</w:t>
      </w:r>
    </w:p>
    <w:p w14:paraId="74D1039B" w14:textId="6C0C1254" w:rsidR="00225EFF" w:rsidRDefault="005A28E3" w:rsidP="00706595">
      <w:pPr>
        <w:keepNext/>
        <w:ind w:firstLine="0"/>
        <w:jc w:val="right"/>
        <w:rPr>
          <w:b/>
          <w:szCs w:val="26"/>
        </w:rPr>
      </w:pPr>
      <w:r>
        <w:rPr>
          <w:b/>
          <w:szCs w:val="26"/>
        </w:rPr>
        <w:t>5</w:t>
      </w:r>
      <w:r w:rsidR="00706595" w:rsidRPr="00706595">
        <w:rPr>
          <w:b/>
          <w:szCs w:val="26"/>
        </w:rPr>
        <w:t>.1</w:t>
      </w:r>
      <w:r w:rsidR="00225EFF" w:rsidRPr="00706595">
        <w:rPr>
          <w:b/>
          <w:szCs w:val="26"/>
        </w:rPr>
        <w:t>.</w:t>
      </w:r>
      <w:r w:rsidR="007A647F">
        <w:rPr>
          <w:b/>
          <w:szCs w:val="26"/>
        </w:rPr>
        <w:t xml:space="preserve"> </w:t>
      </w:r>
      <w:r w:rsidR="00225EFF" w:rsidRPr="00706595">
        <w:rPr>
          <w:b/>
          <w:szCs w:val="26"/>
        </w:rPr>
        <w:t xml:space="preserve">tabula. Salīdzinājums ar Konverģences programmas </w:t>
      </w:r>
      <w:r w:rsidR="00433760" w:rsidRPr="00706595">
        <w:rPr>
          <w:b/>
          <w:szCs w:val="26"/>
        </w:rPr>
        <w:t xml:space="preserve">2013. – 2016.gada </w:t>
      </w:r>
      <w:r w:rsidR="00225EFF" w:rsidRPr="00706595">
        <w:rPr>
          <w:b/>
          <w:szCs w:val="26"/>
        </w:rPr>
        <w:t>prognozēm</w:t>
      </w:r>
    </w:p>
    <w:tbl>
      <w:tblPr>
        <w:tblW w:w="85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75"/>
        <w:gridCol w:w="992"/>
        <w:gridCol w:w="709"/>
        <w:gridCol w:w="850"/>
        <w:gridCol w:w="851"/>
        <w:gridCol w:w="850"/>
        <w:gridCol w:w="851"/>
      </w:tblGrid>
      <w:tr w:rsidR="00A05D85" w:rsidRPr="002C538F" w14:paraId="48F41548" w14:textId="77777777" w:rsidTr="003148B4">
        <w:trPr>
          <w:jc w:val="center"/>
        </w:trPr>
        <w:tc>
          <w:tcPr>
            <w:tcW w:w="3475" w:type="dxa"/>
          </w:tcPr>
          <w:p w14:paraId="706E246A" w14:textId="77777777" w:rsidR="00A05D85" w:rsidRPr="004D0B40" w:rsidRDefault="00A05D85" w:rsidP="0037075E">
            <w:pPr>
              <w:pStyle w:val="tabteksts"/>
              <w:jc w:val="center"/>
            </w:pPr>
          </w:p>
        </w:tc>
        <w:tc>
          <w:tcPr>
            <w:tcW w:w="992" w:type="dxa"/>
          </w:tcPr>
          <w:p w14:paraId="4C77E088" w14:textId="77777777" w:rsidR="00A05D85" w:rsidRPr="002C538F" w:rsidRDefault="00A05D85" w:rsidP="0037075E">
            <w:pPr>
              <w:pStyle w:val="tabteksts"/>
              <w:jc w:val="center"/>
            </w:pPr>
            <w:r w:rsidRPr="002C538F">
              <w:t>EKS kods</w:t>
            </w:r>
          </w:p>
        </w:tc>
        <w:tc>
          <w:tcPr>
            <w:tcW w:w="709" w:type="dxa"/>
          </w:tcPr>
          <w:p w14:paraId="2DED9C25" w14:textId="77777777" w:rsidR="00A05D85" w:rsidRPr="002C538F" w:rsidRDefault="00A05D85" w:rsidP="0037075E">
            <w:pPr>
              <w:pStyle w:val="tabteksts"/>
              <w:jc w:val="center"/>
              <w:rPr>
                <w:b/>
              </w:rPr>
            </w:pPr>
            <w:r w:rsidRPr="002C538F">
              <w:rPr>
                <w:b/>
              </w:rPr>
              <w:t>2013</w:t>
            </w:r>
          </w:p>
        </w:tc>
        <w:tc>
          <w:tcPr>
            <w:tcW w:w="850" w:type="dxa"/>
          </w:tcPr>
          <w:p w14:paraId="0F8C1003" w14:textId="77777777" w:rsidR="00A05D85" w:rsidRPr="002C538F" w:rsidRDefault="00A05D85" w:rsidP="0037075E">
            <w:pPr>
              <w:pStyle w:val="tabteksts"/>
              <w:jc w:val="center"/>
              <w:rPr>
                <w:b/>
              </w:rPr>
            </w:pPr>
            <w:r w:rsidRPr="002C538F">
              <w:rPr>
                <w:b/>
              </w:rPr>
              <w:t>2014</w:t>
            </w:r>
          </w:p>
        </w:tc>
        <w:tc>
          <w:tcPr>
            <w:tcW w:w="851" w:type="dxa"/>
          </w:tcPr>
          <w:p w14:paraId="0B4EEB08" w14:textId="77777777" w:rsidR="00A05D85" w:rsidRPr="002C538F" w:rsidRDefault="00A05D85" w:rsidP="0037075E">
            <w:pPr>
              <w:pStyle w:val="tabteksts"/>
              <w:jc w:val="center"/>
              <w:rPr>
                <w:b/>
              </w:rPr>
            </w:pPr>
            <w:r w:rsidRPr="002C538F">
              <w:rPr>
                <w:b/>
              </w:rPr>
              <w:t>2015</w:t>
            </w:r>
          </w:p>
        </w:tc>
        <w:tc>
          <w:tcPr>
            <w:tcW w:w="850" w:type="dxa"/>
          </w:tcPr>
          <w:p w14:paraId="6D9B3E43" w14:textId="77777777" w:rsidR="00A05D85" w:rsidRPr="002C538F" w:rsidRDefault="00A05D85" w:rsidP="0037075E">
            <w:pPr>
              <w:pStyle w:val="tabteksts"/>
              <w:jc w:val="center"/>
              <w:rPr>
                <w:b/>
              </w:rPr>
            </w:pPr>
            <w:r w:rsidRPr="002C538F">
              <w:rPr>
                <w:b/>
              </w:rPr>
              <w:t>2016</w:t>
            </w:r>
          </w:p>
        </w:tc>
        <w:tc>
          <w:tcPr>
            <w:tcW w:w="851" w:type="dxa"/>
          </w:tcPr>
          <w:p w14:paraId="77B07E8E" w14:textId="77777777" w:rsidR="00A05D85" w:rsidRPr="002C538F" w:rsidRDefault="00A05D85" w:rsidP="0037075E">
            <w:pPr>
              <w:pStyle w:val="tabteksts"/>
              <w:jc w:val="center"/>
              <w:rPr>
                <w:b/>
              </w:rPr>
            </w:pPr>
            <w:r w:rsidRPr="002C538F">
              <w:rPr>
                <w:b/>
              </w:rPr>
              <w:t>2017</w:t>
            </w:r>
          </w:p>
        </w:tc>
      </w:tr>
      <w:tr w:rsidR="00433760" w:rsidRPr="002C538F" w14:paraId="2E56925A" w14:textId="77777777" w:rsidTr="00433760">
        <w:trPr>
          <w:jc w:val="center"/>
        </w:trPr>
        <w:tc>
          <w:tcPr>
            <w:tcW w:w="3475" w:type="dxa"/>
          </w:tcPr>
          <w:p w14:paraId="3ABDAE97" w14:textId="697E5938" w:rsidR="00433760" w:rsidRPr="004D0B40" w:rsidRDefault="00433760" w:rsidP="00433760">
            <w:pPr>
              <w:pStyle w:val="tabteksts"/>
            </w:pPr>
            <w:r w:rsidRPr="002C538F">
              <w:rPr>
                <w:b/>
              </w:rPr>
              <w:t>Vispārējās valdības kopējais parāds (% no IKP)</w:t>
            </w:r>
          </w:p>
        </w:tc>
        <w:tc>
          <w:tcPr>
            <w:tcW w:w="992" w:type="dxa"/>
          </w:tcPr>
          <w:p w14:paraId="19DF9ECA" w14:textId="77777777" w:rsidR="00433760" w:rsidRPr="002C538F" w:rsidRDefault="00433760" w:rsidP="00433760">
            <w:pPr>
              <w:pStyle w:val="tabteksts"/>
              <w:jc w:val="center"/>
            </w:pPr>
          </w:p>
        </w:tc>
        <w:tc>
          <w:tcPr>
            <w:tcW w:w="709" w:type="dxa"/>
            <w:vAlign w:val="center"/>
          </w:tcPr>
          <w:p w14:paraId="32DB6D3F" w14:textId="77777777" w:rsidR="00433760" w:rsidRPr="002C538F" w:rsidRDefault="00433760" w:rsidP="00433760">
            <w:pPr>
              <w:pStyle w:val="tabteksts"/>
              <w:jc w:val="center"/>
              <w:rPr>
                <w:b/>
              </w:rPr>
            </w:pPr>
          </w:p>
        </w:tc>
        <w:tc>
          <w:tcPr>
            <w:tcW w:w="850" w:type="dxa"/>
            <w:vAlign w:val="center"/>
          </w:tcPr>
          <w:p w14:paraId="26FAD6C4" w14:textId="77777777" w:rsidR="00433760" w:rsidRPr="002C538F" w:rsidRDefault="00433760" w:rsidP="00433760">
            <w:pPr>
              <w:pStyle w:val="tabteksts"/>
              <w:jc w:val="center"/>
              <w:rPr>
                <w:b/>
              </w:rPr>
            </w:pPr>
          </w:p>
        </w:tc>
        <w:tc>
          <w:tcPr>
            <w:tcW w:w="851" w:type="dxa"/>
            <w:vAlign w:val="center"/>
          </w:tcPr>
          <w:p w14:paraId="000DDE9F" w14:textId="77777777" w:rsidR="00433760" w:rsidRPr="002C538F" w:rsidRDefault="00433760" w:rsidP="00433760">
            <w:pPr>
              <w:pStyle w:val="tabteksts"/>
              <w:jc w:val="center"/>
              <w:rPr>
                <w:b/>
              </w:rPr>
            </w:pPr>
          </w:p>
        </w:tc>
        <w:tc>
          <w:tcPr>
            <w:tcW w:w="850" w:type="dxa"/>
            <w:vAlign w:val="center"/>
          </w:tcPr>
          <w:p w14:paraId="2F221CD4" w14:textId="77777777" w:rsidR="00433760" w:rsidRPr="002C538F" w:rsidRDefault="00433760" w:rsidP="00433760">
            <w:pPr>
              <w:pStyle w:val="tabteksts"/>
              <w:jc w:val="center"/>
              <w:rPr>
                <w:b/>
              </w:rPr>
            </w:pPr>
          </w:p>
        </w:tc>
        <w:tc>
          <w:tcPr>
            <w:tcW w:w="851" w:type="dxa"/>
            <w:vAlign w:val="center"/>
          </w:tcPr>
          <w:p w14:paraId="4AB8CB28" w14:textId="77777777" w:rsidR="00433760" w:rsidRPr="002C538F" w:rsidRDefault="00433760" w:rsidP="00433760">
            <w:pPr>
              <w:pStyle w:val="tabteksts"/>
              <w:jc w:val="center"/>
              <w:rPr>
                <w:b/>
              </w:rPr>
            </w:pPr>
          </w:p>
        </w:tc>
      </w:tr>
      <w:tr w:rsidR="00433760" w:rsidRPr="002C538F" w14:paraId="208E9C70" w14:textId="77777777" w:rsidTr="00433760">
        <w:trPr>
          <w:jc w:val="center"/>
        </w:trPr>
        <w:tc>
          <w:tcPr>
            <w:tcW w:w="3475" w:type="dxa"/>
          </w:tcPr>
          <w:p w14:paraId="66EED9A6" w14:textId="2F31B62D" w:rsidR="00433760" w:rsidRPr="004D0B40" w:rsidRDefault="00433760" w:rsidP="00433760">
            <w:pPr>
              <w:pStyle w:val="tabteksts"/>
              <w:jc w:val="right"/>
            </w:pPr>
            <w:r w:rsidRPr="002C538F">
              <w:t>2013. gads</w:t>
            </w:r>
          </w:p>
        </w:tc>
        <w:tc>
          <w:tcPr>
            <w:tcW w:w="992" w:type="dxa"/>
          </w:tcPr>
          <w:p w14:paraId="742093C9" w14:textId="77777777" w:rsidR="00433760" w:rsidRPr="002C538F" w:rsidRDefault="00433760" w:rsidP="00433760">
            <w:pPr>
              <w:pStyle w:val="tabteksts"/>
              <w:jc w:val="center"/>
            </w:pPr>
          </w:p>
        </w:tc>
        <w:tc>
          <w:tcPr>
            <w:tcW w:w="709" w:type="dxa"/>
          </w:tcPr>
          <w:p w14:paraId="20D28819" w14:textId="2126A75A" w:rsidR="00433760" w:rsidRPr="002C538F" w:rsidRDefault="00433760" w:rsidP="00433760">
            <w:pPr>
              <w:pStyle w:val="tabteksts"/>
              <w:jc w:val="right"/>
              <w:rPr>
                <w:b/>
              </w:rPr>
            </w:pPr>
            <w:r w:rsidRPr="002C538F">
              <w:t xml:space="preserve">  44,5</w:t>
            </w:r>
          </w:p>
        </w:tc>
        <w:tc>
          <w:tcPr>
            <w:tcW w:w="850" w:type="dxa"/>
          </w:tcPr>
          <w:p w14:paraId="47BBE725" w14:textId="62EEFAB7" w:rsidR="00433760" w:rsidRPr="002C538F" w:rsidRDefault="00433760" w:rsidP="00433760">
            <w:pPr>
              <w:pStyle w:val="tabteksts"/>
              <w:jc w:val="right"/>
              <w:rPr>
                <w:b/>
              </w:rPr>
            </w:pPr>
            <w:r w:rsidRPr="002C538F">
              <w:t xml:space="preserve">  41,0</w:t>
            </w:r>
          </w:p>
        </w:tc>
        <w:tc>
          <w:tcPr>
            <w:tcW w:w="851" w:type="dxa"/>
          </w:tcPr>
          <w:p w14:paraId="0E9F5BE6" w14:textId="05152237" w:rsidR="00433760" w:rsidRPr="002C538F" w:rsidRDefault="00433760" w:rsidP="00433760">
            <w:pPr>
              <w:pStyle w:val="tabteksts"/>
              <w:jc w:val="right"/>
              <w:rPr>
                <w:b/>
              </w:rPr>
            </w:pPr>
            <w:r w:rsidRPr="002C538F">
              <w:t xml:space="preserve">  36,4</w:t>
            </w:r>
          </w:p>
        </w:tc>
        <w:tc>
          <w:tcPr>
            <w:tcW w:w="850" w:type="dxa"/>
          </w:tcPr>
          <w:p w14:paraId="129537C9" w14:textId="16CE4265" w:rsidR="00433760" w:rsidRPr="002C538F" w:rsidRDefault="00433760" w:rsidP="00433760">
            <w:pPr>
              <w:pStyle w:val="tabteksts"/>
              <w:jc w:val="right"/>
              <w:rPr>
                <w:b/>
              </w:rPr>
            </w:pPr>
            <w:r w:rsidRPr="002C538F">
              <w:t>34,6</w:t>
            </w:r>
          </w:p>
        </w:tc>
        <w:tc>
          <w:tcPr>
            <w:tcW w:w="851" w:type="dxa"/>
          </w:tcPr>
          <w:p w14:paraId="0189DA76" w14:textId="01D5C8D4" w:rsidR="00433760" w:rsidRPr="002C538F" w:rsidRDefault="00433760" w:rsidP="00433760">
            <w:pPr>
              <w:pStyle w:val="tabteksts"/>
              <w:jc w:val="right"/>
              <w:rPr>
                <w:b/>
              </w:rPr>
            </w:pPr>
            <w:r w:rsidRPr="002C538F">
              <w:rPr>
                <w:rFonts w:eastAsia="Arial Unicode MS"/>
              </w:rPr>
              <w:t>-</w:t>
            </w:r>
          </w:p>
        </w:tc>
      </w:tr>
      <w:tr w:rsidR="00433760" w:rsidRPr="002C538F" w14:paraId="2498FF94" w14:textId="77777777" w:rsidTr="00433760">
        <w:trPr>
          <w:jc w:val="center"/>
        </w:trPr>
        <w:tc>
          <w:tcPr>
            <w:tcW w:w="3475" w:type="dxa"/>
          </w:tcPr>
          <w:p w14:paraId="20290A34" w14:textId="01861FF9" w:rsidR="00433760" w:rsidRPr="004D0B40" w:rsidRDefault="00433760" w:rsidP="00433760">
            <w:pPr>
              <w:pStyle w:val="tabteksts"/>
              <w:jc w:val="right"/>
            </w:pPr>
            <w:r w:rsidRPr="002C538F">
              <w:t>2014. gads</w:t>
            </w:r>
          </w:p>
        </w:tc>
        <w:tc>
          <w:tcPr>
            <w:tcW w:w="992" w:type="dxa"/>
          </w:tcPr>
          <w:p w14:paraId="61792709" w14:textId="77777777" w:rsidR="00433760" w:rsidRPr="002C538F" w:rsidRDefault="00433760" w:rsidP="00433760">
            <w:pPr>
              <w:pStyle w:val="tabteksts"/>
              <w:jc w:val="center"/>
            </w:pPr>
          </w:p>
        </w:tc>
        <w:tc>
          <w:tcPr>
            <w:tcW w:w="709" w:type="dxa"/>
          </w:tcPr>
          <w:p w14:paraId="7FDB5C4F" w14:textId="1185345B" w:rsidR="00433760" w:rsidRPr="002C538F" w:rsidRDefault="00433760" w:rsidP="00433760">
            <w:pPr>
              <w:pStyle w:val="tabteksts"/>
              <w:jc w:val="right"/>
              <w:rPr>
                <w:b/>
              </w:rPr>
            </w:pPr>
            <w:r>
              <w:t>38,1</w:t>
            </w:r>
          </w:p>
        </w:tc>
        <w:tc>
          <w:tcPr>
            <w:tcW w:w="850" w:type="dxa"/>
          </w:tcPr>
          <w:p w14:paraId="1D712CF3" w14:textId="3E364791" w:rsidR="00433760" w:rsidRPr="002C538F" w:rsidRDefault="00433760" w:rsidP="00433760">
            <w:pPr>
              <w:pStyle w:val="tabteksts"/>
              <w:jc w:val="right"/>
              <w:rPr>
                <w:b/>
              </w:rPr>
            </w:pPr>
            <w:r w:rsidRPr="00D53831">
              <w:t xml:space="preserve">  </w:t>
            </w:r>
            <w:r>
              <w:t>38,8</w:t>
            </w:r>
          </w:p>
        </w:tc>
        <w:tc>
          <w:tcPr>
            <w:tcW w:w="851" w:type="dxa"/>
          </w:tcPr>
          <w:p w14:paraId="19D62FA3" w14:textId="43645B73" w:rsidR="00433760" w:rsidRPr="002C538F" w:rsidRDefault="00433760" w:rsidP="00433760">
            <w:pPr>
              <w:pStyle w:val="tabteksts"/>
              <w:jc w:val="right"/>
              <w:rPr>
                <w:b/>
              </w:rPr>
            </w:pPr>
            <w:r w:rsidRPr="00D53831">
              <w:t xml:space="preserve">  </w:t>
            </w:r>
            <w:r>
              <w:t>32,9</w:t>
            </w:r>
          </w:p>
        </w:tc>
        <w:tc>
          <w:tcPr>
            <w:tcW w:w="850" w:type="dxa"/>
          </w:tcPr>
          <w:p w14:paraId="48EE2D06" w14:textId="7C152BA8" w:rsidR="00433760" w:rsidRPr="002C538F" w:rsidRDefault="00433760" w:rsidP="00433760">
            <w:pPr>
              <w:pStyle w:val="tabteksts"/>
              <w:jc w:val="right"/>
              <w:rPr>
                <w:b/>
              </w:rPr>
            </w:pPr>
            <w:r w:rsidRPr="00D53831">
              <w:t xml:space="preserve">  </w:t>
            </w:r>
            <w:r>
              <w:t>34,2</w:t>
            </w:r>
          </w:p>
        </w:tc>
        <w:tc>
          <w:tcPr>
            <w:tcW w:w="851" w:type="dxa"/>
          </w:tcPr>
          <w:p w14:paraId="74420A7B" w14:textId="5338C6EA" w:rsidR="00433760" w:rsidRPr="002C538F" w:rsidRDefault="00433760" w:rsidP="00433760">
            <w:pPr>
              <w:pStyle w:val="tabteksts"/>
              <w:jc w:val="right"/>
              <w:rPr>
                <w:b/>
              </w:rPr>
            </w:pPr>
            <w:r>
              <w:t>31,3</w:t>
            </w:r>
          </w:p>
        </w:tc>
      </w:tr>
      <w:tr w:rsidR="00433760" w:rsidRPr="002C538F" w14:paraId="161047E1" w14:textId="77777777" w:rsidTr="00433760">
        <w:trPr>
          <w:jc w:val="center"/>
        </w:trPr>
        <w:tc>
          <w:tcPr>
            <w:tcW w:w="3475" w:type="dxa"/>
          </w:tcPr>
          <w:p w14:paraId="065CD545" w14:textId="4433D4A7" w:rsidR="00433760" w:rsidRPr="004D0B40" w:rsidRDefault="00433760" w:rsidP="00433760">
            <w:pPr>
              <w:pStyle w:val="tabteksts"/>
              <w:jc w:val="right"/>
            </w:pPr>
            <w:r w:rsidRPr="002C538F">
              <w:rPr>
                <w:snapToGrid w:val="0"/>
              </w:rPr>
              <w:t>Izmaiņas</w:t>
            </w:r>
          </w:p>
        </w:tc>
        <w:tc>
          <w:tcPr>
            <w:tcW w:w="992" w:type="dxa"/>
          </w:tcPr>
          <w:p w14:paraId="326E72D0" w14:textId="77777777" w:rsidR="00433760" w:rsidRPr="002C538F" w:rsidRDefault="00433760" w:rsidP="00433760">
            <w:pPr>
              <w:pStyle w:val="tabteksts"/>
              <w:jc w:val="center"/>
            </w:pPr>
          </w:p>
        </w:tc>
        <w:tc>
          <w:tcPr>
            <w:tcW w:w="709" w:type="dxa"/>
          </w:tcPr>
          <w:p w14:paraId="5237589F" w14:textId="1371D5C0" w:rsidR="00433760" w:rsidRPr="002C538F" w:rsidRDefault="00433760" w:rsidP="00433760">
            <w:pPr>
              <w:pStyle w:val="tabteksts"/>
              <w:jc w:val="right"/>
              <w:rPr>
                <w:b/>
              </w:rPr>
            </w:pPr>
            <w:r w:rsidRPr="00D53831">
              <w:t>-6,4</w:t>
            </w:r>
          </w:p>
        </w:tc>
        <w:tc>
          <w:tcPr>
            <w:tcW w:w="850" w:type="dxa"/>
          </w:tcPr>
          <w:p w14:paraId="304FBB68" w14:textId="1121DA61" w:rsidR="00433760" w:rsidRPr="002C538F" w:rsidRDefault="00433760" w:rsidP="00433760">
            <w:pPr>
              <w:pStyle w:val="tabteksts"/>
              <w:jc w:val="right"/>
              <w:rPr>
                <w:b/>
              </w:rPr>
            </w:pPr>
            <w:r w:rsidRPr="00D53831">
              <w:t>-2,2</w:t>
            </w:r>
          </w:p>
        </w:tc>
        <w:tc>
          <w:tcPr>
            <w:tcW w:w="851" w:type="dxa"/>
          </w:tcPr>
          <w:p w14:paraId="7DD550FB" w14:textId="5AC3747B" w:rsidR="00433760" w:rsidRPr="002C538F" w:rsidRDefault="00433760" w:rsidP="00433760">
            <w:pPr>
              <w:pStyle w:val="tabteksts"/>
              <w:jc w:val="right"/>
              <w:rPr>
                <w:b/>
              </w:rPr>
            </w:pPr>
            <w:r w:rsidRPr="00D53831">
              <w:t>-3,5</w:t>
            </w:r>
          </w:p>
        </w:tc>
        <w:tc>
          <w:tcPr>
            <w:tcW w:w="850" w:type="dxa"/>
          </w:tcPr>
          <w:p w14:paraId="7B90A2F8" w14:textId="17588A32" w:rsidR="00433760" w:rsidRPr="002C538F" w:rsidRDefault="00433760" w:rsidP="00433760">
            <w:pPr>
              <w:pStyle w:val="tabteksts"/>
              <w:jc w:val="right"/>
              <w:rPr>
                <w:b/>
              </w:rPr>
            </w:pPr>
            <w:r w:rsidRPr="00D53831">
              <w:t>-0,4</w:t>
            </w:r>
          </w:p>
        </w:tc>
        <w:tc>
          <w:tcPr>
            <w:tcW w:w="851" w:type="dxa"/>
          </w:tcPr>
          <w:p w14:paraId="76C8F29C" w14:textId="3ABA6F24" w:rsidR="00433760" w:rsidRPr="002C538F" w:rsidRDefault="00433760" w:rsidP="00433760">
            <w:pPr>
              <w:pStyle w:val="tabteksts"/>
              <w:jc w:val="right"/>
              <w:rPr>
                <w:b/>
              </w:rPr>
            </w:pPr>
            <w:r w:rsidRPr="00D53831">
              <w:t>-</w:t>
            </w:r>
          </w:p>
        </w:tc>
      </w:tr>
      <w:tr w:rsidR="00433760" w:rsidRPr="002C538F" w14:paraId="4BBD512B" w14:textId="77777777" w:rsidTr="003148B4">
        <w:trPr>
          <w:jc w:val="center"/>
        </w:trPr>
        <w:tc>
          <w:tcPr>
            <w:tcW w:w="3475" w:type="dxa"/>
            <w:vAlign w:val="center"/>
          </w:tcPr>
          <w:p w14:paraId="56E14332" w14:textId="77777777" w:rsidR="00433760" w:rsidRPr="002C538F" w:rsidRDefault="00433760" w:rsidP="00433760">
            <w:pPr>
              <w:pStyle w:val="tabteksts"/>
              <w:rPr>
                <w:snapToGrid w:val="0"/>
              </w:rPr>
            </w:pPr>
            <w:r w:rsidRPr="002C538F">
              <w:rPr>
                <w:b/>
              </w:rPr>
              <w:t>IKP pieaugums (%)</w:t>
            </w:r>
          </w:p>
        </w:tc>
        <w:tc>
          <w:tcPr>
            <w:tcW w:w="992" w:type="dxa"/>
            <w:vAlign w:val="center"/>
          </w:tcPr>
          <w:p w14:paraId="1ADBBF6A" w14:textId="77777777" w:rsidR="00433760" w:rsidRPr="002C538F" w:rsidRDefault="00433760" w:rsidP="00433760">
            <w:pPr>
              <w:pStyle w:val="tabteksts"/>
            </w:pPr>
            <w:r w:rsidRPr="002C538F">
              <w:t>B1g</w:t>
            </w:r>
          </w:p>
        </w:tc>
        <w:tc>
          <w:tcPr>
            <w:tcW w:w="709" w:type="dxa"/>
            <w:vAlign w:val="center"/>
          </w:tcPr>
          <w:p w14:paraId="7B4B0EB6" w14:textId="77777777" w:rsidR="00433760" w:rsidRPr="004D0B40" w:rsidRDefault="00433760" w:rsidP="00433760">
            <w:pPr>
              <w:pStyle w:val="tabteksts"/>
            </w:pPr>
          </w:p>
        </w:tc>
        <w:tc>
          <w:tcPr>
            <w:tcW w:w="850" w:type="dxa"/>
            <w:vAlign w:val="center"/>
          </w:tcPr>
          <w:p w14:paraId="098047B8" w14:textId="77777777" w:rsidR="00433760" w:rsidRPr="004D0B40" w:rsidRDefault="00433760" w:rsidP="00433760">
            <w:pPr>
              <w:pStyle w:val="tabteksts"/>
            </w:pPr>
          </w:p>
        </w:tc>
        <w:tc>
          <w:tcPr>
            <w:tcW w:w="851" w:type="dxa"/>
            <w:vAlign w:val="center"/>
          </w:tcPr>
          <w:p w14:paraId="194C0B07" w14:textId="77777777" w:rsidR="00433760" w:rsidRPr="004D0B40" w:rsidRDefault="00433760" w:rsidP="00433760">
            <w:pPr>
              <w:pStyle w:val="tabteksts"/>
            </w:pPr>
          </w:p>
        </w:tc>
        <w:tc>
          <w:tcPr>
            <w:tcW w:w="850" w:type="dxa"/>
            <w:vAlign w:val="center"/>
          </w:tcPr>
          <w:p w14:paraId="154FD354" w14:textId="77777777" w:rsidR="00433760" w:rsidRPr="004D0B40" w:rsidRDefault="00433760" w:rsidP="00433760">
            <w:pPr>
              <w:pStyle w:val="tabteksts"/>
              <w:rPr>
                <w:rFonts w:eastAsia="Arial Unicode MS"/>
              </w:rPr>
            </w:pPr>
          </w:p>
        </w:tc>
        <w:tc>
          <w:tcPr>
            <w:tcW w:w="851" w:type="dxa"/>
            <w:vAlign w:val="center"/>
          </w:tcPr>
          <w:p w14:paraId="326AF171" w14:textId="77777777" w:rsidR="00433760" w:rsidRPr="004D0B40" w:rsidRDefault="00433760" w:rsidP="00433760">
            <w:pPr>
              <w:pStyle w:val="tabteksts"/>
            </w:pPr>
          </w:p>
        </w:tc>
      </w:tr>
      <w:tr w:rsidR="00433760" w:rsidRPr="002C538F" w14:paraId="50A152CA" w14:textId="77777777" w:rsidTr="003148B4">
        <w:trPr>
          <w:jc w:val="center"/>
        </w:trPr>
        <w:tc>
          <w:tcPr>
            <w:tcW w:w="3475" w:type="dxa"/>
            <w:vAlign w:val="center"/>
          </w:tcPr>
          <w:p w14:paraId="38DFC5A6" w14:textId="77777777" w:rsidR="00433760" w:rsidRPr="002C538F" w:rsidRDefault="00433760" w:rsidP="00433760">
            <w:pPr>
              <w:pStyle w:val="tabteksts"/>
              <w:jc w:val="right"/>
            </w:pPr>
            <w:r w:rsidRPr="002C538F">
              <w:t>2013. gads</w:t>
            </w:r>
          </w:p>
        </w:tc>
        <w:tc>
          <w:tcPr>
            <w:tcW w:w="992" w:type="dxa"/>
            <w:vAlign w:val="center"/>
          </w:tcPr>
          <w:p w14:paraId="7BAE41C6" w14:textId="77777777" w:rsidR="00433760" w:rsidRPr="002C538F" w:rsidRDefault="00433760" w:rsidP="00433760">
            <w:pPr>
              <w:pStyle w:val="tabteksts"/>
              <w:jc w:val="center"/>
            </w:pPr>
          </w:p>
        </w:tc>
        <w:tc>
          <w:tcPr>
            <w:tcW w:w="709" w:type="dxa"/>
            <w:vAlign w:val="center"/>
          </w:tcPr>
          <w:p w14:paraId="671E4C47"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0" w:type="dxa"/>
            <w:vAlign w:val="center"/>
          </w:tcPr>
          <w:p w14:paraId="106129AB"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1" w:type="dxa"/>
            <w:vAlign w:val="center"/>
          </w:tcPr>
          <w:p w14:paraId="7A8851D8"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0" w:type="dxa"/>
            <w:vAlign w:val="center"/>
          </w:tcPr>
          <w:p w14:paraId="5AB8CBAB"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1" w:type="dxa"/>
            <w:vAlign w:val="center"/>
          </w:tcPr>
          <w:p w14:paraId="7E6A573A" w14:textId="77777777" w:rsidR="00433760" w:rsidRPr="002C538F" w:rsidRDefault="00433760" w:rsidP="00433760">
            <w:pPr>
              <w:spacing w:after="0"/>
              <w:jc w:val="right"/>
              <w:rPr>
                <w:rFonts w:eastAsia="Arial Unicode MS"/>
              </w:rPr>
            </w:pPr>
            <w:r w:rsidRPr="002C538F">
              <w:rPr>
                <w:color w:val="000000"/>
                <w:sz w:val="20"/>
              </w:rPr>
              <w:t>-</w:t>
            </w:r>
          </w:p>
        </w:tc>
      </w:tr>
      <w:tr w:rsidR="00433760" w:rsidRPr="002C538F" w14:paraId="1E7F1614" w14:textId="77777777" w:rsidTr="003148B4">
        <w:trPr>
          <w:jc w:val="center"/>
        </w:trPr>
        <w:tc>
          <w:tcPr>
            <w:tcW w:w="3475" w:type="dxa"/>
            <w:vAlign w:val="center"/>
          </w:tcPr>
          <w:p w14:paraId="57F20000" w14:textId="77777777" w:rsidR="00433760" w:rsidRPr="002C538F" w:rsidRDefault="00433760" w:rsidP="00433760">
            <w:pPr>
              <w:pStyle w:val="tabteksts"/>
              <w:jc w:val="right"/>
            </w:pPr>
            <w:r w:rsidRPr="002C538F">
              <w:t>2014. gads</w:t>
            </w:r>
          </w:p>
        </w:tc>
        <w:tc>
          <w:tcPr>
            <w:tcW w:w="992" w:type="dxa"/>
            <w:vAlign w:val="center"/>
          </w:tcPr>
          <w:p w14:paraId="79F6DA10" w14:textId="77777777" w:rsidR="00433760" w:rsidRPr="002C538F" w:rsidRDefault="00433760" w:rsidP="00433760">
            <w:pPr>
              <w:pStyle w:val="tabteksts"/>
              <w:jc w:val="center"/>
            </w:pPr>
          </w:p>
        </w:tc>
        <w:tc>
          <w:tcPr>
            <w:tcW w:w="709" w:type="dxa"/>
            <w:vAlign w:val="center"/>
          </w:tcPr>
          <w:p w14:paraId="0E187E65" w14:textId="77777777" w:rsidR="00433760" w:rsidRPr="002C538F" w:rsidRDefault="00433760" w:rsidP="00433760">
            <w:pPr>
              <w:spacing w:after="0"/>
              <w:ind w:firstLine="0"/>
              <w:jc w:val="right"/>
              <w:rPr>
                <w:color w:val="000000"/>
                <w:sz w:val="20"/>
              </w:rPr>
            </w:pPr>
            <w:r w:rsidRPr="002C538F">
              <w:rPr>
                <w:color w:val="000000"/>
                <w:sz w:val="20"/>
              </w:rPr>
              <w:t>4,1</w:t>
            </w:r>
          </w:p>
        </w:tc>
        <w:tc>
          <w:tcPr>
            <w:tcW w:w="850" w:type="dxa"/>
            <w:vAlign w:val="center"/>
          </w:tcPr>
          <w:p w14:paraId="5CB58F6E"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1" w:type="dxa"/>
            <w:vAlign w:val="center"/>
          </w:tcPr>
          <w:p w14:paraId="3C4C4547"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0" w:type="dxa"/>
            <w:vAlign w:val="center"/>
          </w:tcPr>
          <w:p w14:paraId="550A9839" w14:textId="77777777" w:rsidR="00433760" w:rsidRPr="002C538F" w:rsidRDefault="00433760" w:rsidP="00433760">
            <w:pPr>
              <w:spacing w:after="0"/>
              <w:ind w:firstLine="0"/>
              <w:jc w:val="right"/>
              <w:rPr>
                <w:color w:val="000000"/>
                <w:sz w:val="20"/>
              </w:rPr>
            </w:pPr>
            <w:r w:rsidRPr="002C538F">
              <w:rPr>
                <w:color w:val="000000"/>
                <w:sz w:val="20"/>
              </w:rPr>
              <w:t>4,0</w:t>
            </w:r>
          </w:p>
        </w:tc>
        <w:tc>
          <w:tcPr>
            <w:tcW w:w="851" w:type="dxa"/>
            <w:vAlign w:val="center"/>
          </w:tcPr>
          <w:p w14:paraId="127E9DF9" w14:textId="77777777" w:rsidR="00433760" w:rsidRPr="002C538F" w:rsidRDefault="00433760" w:rsidP="00433760">
            <w:pPr>
              <w:spacing w:after="0"/>
              <w:ind w:firstLine="0"/>
              <w:jc w:val="right"/>
              <w:rPr>
                <w:color w:val="000000"/>
                <w:sz w:val="20"/>
              </w:rPr>
            </w:pPr>
            <w:r w:rsidRPr="002C538F">
              <w:rPr>
                <w:color w:val="000000"/>
                <w:sz w:val="20"/>
              </w:rPr>
              <w:t>4,0</w:t>
            </w:r>
          </w:p>
        </w:tc>
      </w:tr>
      <w:tr w:rsidR="00433760" w:rsidRPr="002C538F" w14:paraId="6879C0CE" w14:textId="77777777" w:rsidTr="003148B4">
        <w:trPr>
          <w:jc w:val="center"/>
        </w:trPr>
        <w:tc>
          <w:tcPr>
            <w:tcW w:w="3475" w:type="dxa"/>
            <w:vAlign w:val="center"/>
          </w:tcPr>
          <w:p w14:paraId="0C7EAEB9" w14:textId="77777777" w:rsidR="00433760" w:rsidRPr="002C538F" w:rsidRDefault="00433760" w:rsidP="00433760">
            <w:pPr>
              <w:pStyle w:val="tabteksts"/>
              <w:jc w:val="right"/>
              <w:rPr>
                <w:snapToGrid w:val="0"/>
              </w:rPr>
            </w:pPr>
            <w:r w:rsidRPr="002C538F">
              <w:rPr>
                <w:snapToGrid w:val="0"/>
              </w:rPr>
              <w:t>Izmaiņas</w:t>
            </w:r>
          </w:p>
        </w:tc>
        <w:tc>
          <w:tcPr>
            <w:tcW w:w="992" w:type="dxa"/>
            <w:vAlign w:val="center"/>
          </w:tcPr>
          <w:p w14:paraId="73019E2F" w14:textId="77777777" w:rsidR="00433760" w:rsidRPr="002C538F" w:rsidRDefault="00433760" w:rsidP="00433760">
            <w:pPr>
              <w:pStyle w:val="tabteksts"/>
              <w:jc w:val="center"/>
            </w:pPr>
          </w:p>
        </w:tc>
        <w:tc>
          <w:tcPr>
            <w:tcW w:w="709" w:type="dxa"/>
            <w:vAlign w:val="center"/>
          </w:tcPr>
          <w:p w14:paraId="201E6D02" w14:textId="77777777" w:rsidR="00433760" w:rsidRPr="002C538F" w:rsidRDefault="00433760" w:rsidP="00433760">
            <w:pPr>
              <w:spacing w:after="0"/>
              <w:ind w:firstLine="0"/>
              <w:jc w:val="right"/>
              <w:rPr>
                <w:color w:val="000000"/>
                <w:sz w:val="20"/>
              </w:rPr>
            </w:pPr>
            <w:r w:rsidRPr="002C538F">
              <w:rPr>
                <w:color w:val="000000"/>
                <w:sz w:val="20"/>
              </w:rPr>
              <w:t>0,1</w:t>
            </w:r>
          </w:p>
        </w:tc>
        <w:tc>
          <w:tcPr>
            <w:tcW w:w="850" w:type="dxa"/>
            <w:vAlign w:val="center"/>
          </w:tcPr>
          <w:p w14:paraId="4A48A9FC" w14:textId="77777777" w:rsidR="00433760" w:rsidRPr="002C538F" w:rsidRDefault="00433760" w:rsidP="00433760">
            <w:pPr>
              <w:spacing w:after="0"/>
              <w:ind w:firstLine="0"/>
              <w:jc w:val="right"/>
              <w:rPr>
                <w:color w:val="000000"/>
                <w:sz w:val="20"/>
              </w:rPr>
            </w:pPr>
            <w:r w:rsidRPr="002C538F">
              <w:rPr>
                <w:color w:val="000000"/>
                <w:sz w:val="20"/>
              </w:rPr>
              <w:t>0,0</w:t>
            </w:r>
          </w:p>
        </w:tc>
        <w:tc>
          <w:tcPr>
            <w:tcW w:w="851" w:type="dxa"/>
            <w:vAlign w:val="center"/>
          </w:tcPr>
          <w:p w14:paraId="60AE1498" w14:textId="77777777" w:rsidR="00433760" w:rsidRPr="002C538F" w:rsidRDefault="00433760" w:rsidP="00433760">
            <w:pPr>
              <w:spacing w:after="0"/>
              <w:ind w:firstLine="0"/>
              <w:jc w:val="right"/>
              <w:rPr>
                <w:color w:val="000000"/>
                <w:sz w:val="20"/>
              </w:rPr>
            </w:pPr>
            <w:r w:rsidRPr="002C538F">
              <w:rPr>
                <w:color w:val="000000"/>
                <w:sz w:val="20"/>
              </w:rPr>
              <w:t>0,0</w:t>
            </w:r>
          </w:p>
        </w:tc>
        <w:tc>
          <w:tcPr>
            <w:tcW w:w="850" w:type="dxa"/>
            <w:vAlign w:val="center"/>
          </w:tcPr>
          <w:p w14:paraId="1158E237" w14:textId="77777777" w:rsidR="00433760" w:rsidRPr="002C538F" w:rsidRDefault="00433760" w:rsidP="00433760">
            <w:pPr>
              <w:spacing w:after="0"/>
              <w:ind w:firstLine="0"/>
              <w:jc w:val="right"/>
              <w:rPr>
                <w:color w:val="000000"/>
                <w:sz w:val="20"/>
              </w:rPr>
            </w:pPr>
            <w:r w:rsidRPr="002C538F">
              <w:rPr>
                <w:color w:val="000000"/>
                <w:sz w:val="20"/>
              </w:rPr>
              <w:t>0,0</w:t>
            </w:r>
          </w:p>
        </w:tc>
        <w:tc>
          <w:tcPr>
            <w:tcW w:w="851" w:type="dxa"/>
            <w:vAlign w:val="center"/>
          </w:tcPr>
          <w:p w14:paraId="19EB070A" w14:textId="77777777" w:rsidR="00433760" w:rsidRPr="002C538F" w:rsidRDefault="00433760" w:rsidP="00433760">
            <w:pPr>
              <w:spacing w:after="0"/>
              <w:jc w:val="right"/>
              <w:rPr>
                <w:color w:val="000000"/>
                <w:sz w:val="20"/>
              </w:rPr>
            </w:pPr>
            <w:r w:rsidRPr="002C538F">
              <w:rPr>
                <w:color w:val="000000"/>
                <w:sz w:val="20"/>
              </w:rPr>
              <w:t>-</w:t>
            </w:r>
          </w:p>
        </w:tc>
      </w:tr>
      <w:tr w:rsidR="00433760" w:rsidRPr="002C538F" w14:paraId="64BB349C" w14:textId="77777777" w:rsidTr="003148B4">
        <w:trPr>
          <w:jc w:val="center"/>
        </w:trPr>
        <w:tc>
          <w:tcPr>
            <w:tcW w:w="3475" w:type="dxa"/>
            <w:vAlign w:val="center"/>
          </w:tcPr>
          <w:p w14:paraId="239060ED" w14:textId="4D6DB538" w:rsidR="00433760" w:rsidRPr="002C538F" w:rsidRDefault="00433760" w:rsidP="00433760">
            <w:pPr>
              <w:pStyle w:val="tabteksts"/>
              <w:rPr>
                <w:snapToGrid w:val="0"/>
              </w:rPr>
            </w:pPr>
            <w:r w:rsidRPr="002C538F">
              <w:rPr>
                <w:b/>
              </w:rPr>
              <w:t>Faktiskā budžeta bilance</w:t>
            </w:r>
            <w:r>
              <w:rPr>
                <w:b/>
              </w:rPr>
              <w:t xml:space="preserve"> </w:t>
            </w:r>
            <w:r w:rsidRPr="002C538F">
              <w:rPr>
                <w:b/>
              </w:rPr>
              <w:t>(% no IKP)</w:t>
            </w:r>
          </w:p>
        </w:tc>
        <w:tc>
          <w:tcPr>
            <w:tcW w:w="992" w:type="dxa"/>
            <w:vAlign w:val="center"/>
          </w:tcPr>
          <w:p w14:paraId="74E31972" w14:textId="77777777" w:rsidR="00433760" w:rsidRPr="002C538F" w:rsidRDefault="00433760" w:rsidP="00433760">
            <w:pPr>
              <w:pStyle w:val="tabteksts"/>
            </w:pPr>
            <w:r w:rsidRPr="002C538F">
              <w:t>B.9</w:t>
            </w:r>
          </w:p>
        </w:tc>
        <w:tc>
          <w:tcPr>
            <w:tcW w:w="709" w:type="dxa"/>
            <w:vAlign w:val="center"/>
          </w:tcPr>
          <w:p w14:paraId="475410D7" w14:textId="77777777" w:rsidR="00433760" w:rsidRPr="004D0B40" w:rsidRDefault="00433760" w:rsidP="00433760">
            <w:pPr>
              <w:pStyle w:val="tabteksts"/>
              <w:tabs>
                <w:tab w:val="decimal" w:pos="330"/>
              </w:tabs>
              <w:jc w:val="right"/>
            </w:pPr>
          </w:p>
        </w:tc>
        <w:tc>
          <w:tcPr>
            <w:tcW w:w="850" w:type="dxa"/>
            <w:vAlign w:val="center"/>
          </w:tcPr>
          <w:p w14:paraId="7F16EDA1" w14:textId="77777777" w:rsidR="00433760" w:rsidRPr="004D0B40" w:rsidRDefault="00433760" w:rsidP="00433760">
            <w:pPr>
              <w:pStyle w:val="tabteksts"/>
              <w:tabs>
                <w:tab w:val="decimal" w:pos="330"/>
              </w:tabs>
              <w:jc w:val="right"/>
            </w:pPr>
          </w:p>
        </w:tc>
        <w:tc>
          <w:tcPr>
            <w:tcW w:w="851" w:type="dxa"/>
            <w:vAlign w:val="center"/>
          </w:tcPr>
          <w:p w14:paraId="2DA73E6A" w14:textId="77777777" w:rsidR="00433760" w:rsidRPr="004D0B40" w:rsidRDefault="00433760" w:rsidP="00433760">
            <w:pPr>
              <w:pStyle w:val="tabteksts"/>
              <w:tabs>
                <w:tab w:val="decimal" w:pos="330"/>
              </w:tabs>
              <w:jc w:val="right"/>
            </w:pPr>
          </w:p>
        </w:tc>
        <w:tc>
          <w:tcPr>
            <w:tcW w:w="850" w:type="dxa"/>
            <w:vAlign w:val="center"/>
          </w:tcPr>
          <w:p w14:paraId="041224FB" w14:textId="77777777" w:rsidR="00433760" w:rsidRPr="004D0B40" w:rsidRDefault="00433760" w:rsidP="00433760">
            <w:pPr>
              <w:pStyle w:val="tabteksts"/>
              <w:tabs>
                <w:tab w:val="decimal" w:pos="330"/>
              </w:tabs>
              <w:jc w:val="right"/>
              <w:rPr>
                <w:rFonts w:eastAsia="Arial Unicode MS"/>
              </w:rPr>
            </w:pPr>
          </w:p>
        </w:tc>
        <w:tc>
          <w:tcPr>
            <w:tcW w:w="851" w:type="dxa"/>
            <w:vAlign w:val="center"/>
          </w:tcPr>
          <w:p w14:paraId="472154B3" w14:textId="77777777" w:rsidR="00433760" w:rsidRPr="004D0B40" w:rsidRDefault="00433760" w:rsidP="00433760">
            <w:pPr>
              <w:pStyle w:val="tabteksts"/>
              <w:tabs>
                <w:tab w:val="decimal" w:pos="330"/>
              </w:tabs>
              <w:jc w:val="right"/>
            </w:pPr>
          </w:p>
        </w:tc>
      </w:tr>
      <w:tr w:rsidR="00433760" w:rsidRPr="002C538F" w14:paraId="2959CC36" w14:textId="77777777" w:rsidTr="003148B4">
        <w:trPr>
          <w:jc w:val="center"/>
        </w:trPr>
        <w:tc>
          <w:tcPr>
            <w:tcW w:w="3475" w:type="dxa"/>
            <w:vAlign w:val="center"/>
          </w:tcPr>
          <w:p w14:paraId="7CDE3FDA" w14:textId="77777777" w:rsidR="00433760" w:rsidRPr="002C538F" w:rsidRDefault="00433760" w:rsidP="00433760">
            <w:pPr>
              <w:pStyle w:val="tabteksts"/>
              <w:jc w:val="right"/>
            </w:pPr>
            <w:r w:rsidRPr="002C538F">
              <w:t>2013. gads</w:t>
            </w:r>
          </w:p>
        </w:tc>
        <w:tc>
          <w:tcPr>
            <w:tcW w:w="992" w:type="dxa"/>
            <w:vAlign w:val="center"/>
          </w:tcPr>
          <w:p w14:paraId="75447FB5" w14:textId="77777777" w:rsidR="00433760" w:rsidRPr="004D0B40" w:rsidRDefault="00433760" w:rsidP="00433760">
            <w:pPr>
              <w:pStyle w:val="tabteksts"/>
            </w:pPr>
          </w:p>
        </w:tc>
        <w:tc>
          <w:tcPr>
            <w:tcW w:w="709" w:type="dxa"/>
            <w:vAlign w:val="center"/>
          </w:tcPr>
          <w:p w14:paraId="5FE44A26" w14:textId="77777777" w:rsidR="00433760" w:rsidRPr="002C538F" w:rsidRDefault="00433760" w:rsidP="00433760">
            <w:pPr>
              <w:spacing w:after="0"/>
              <w:ind w:firstLine="0"/>
              <w:jc w:val="right"/>
              <w:rPr>
                <w:rFonts w:eastAsia="Arial Unicode MS"/>
                <w:sz w:val="20"/>
              </w:rPr>
            </w:pPr>
            <w:r w:rsidRPr="002C538F">
              <w:rPr>
                <w:rFonts w:eastAsia="Arial Unicode MS"/>
                <w:sz w:val="20"/>
              </w:rPr>
              <w:t>-1,1</w:t>
            </w:r>
          </w:p>
        </w:tc>
        <w:tc>
          <w:tcPr>
            <w:tcW w:w="850" w:type="dxa"/>
            <w:vAlign w:val="center"/>
          </w:tcPr>
          <w:p w14:paraId="53FD7656" w14:textId="77777777" w:rsidR="00433760" w:rsidRPr="002C538F" w:rsidRDefault="00433760" w:rsidP="00433760">
            <w:pPr>
              <w:spacing w:after="0"/>
              <w:ind w:firstLine="0"/>
              <w:jc w:val="right"/>
              <w:rPr>
                <w:rFonts w:eastAsia="Arial Unicode MS"/>
                <w:sz w:val="20"/>
              </w:rPr>
            </w:pPr>
            <w:r w:rsidRPr="002C538F">
              <w:rPr>
                <w:rFonts w:eastAsia="Arial Unicode MS"/>
                <w:sz w:val="20"/>
              </w:rPr>
              <w:t>-0,9</w:t>
            </w:r>
          </w:p>
        </w:tc>
        <w:tc>
          <w:tcPr>
            <w:tcW w:w="851" w:type="dxa"/>
            <w:vAlign w:val="center"/>
          </w:tcPr>
          <w:p w14:paraId="3DB1959D" w14:textId="77777777" w:rsidR="00433760" w:rsidRPr="002C538F" w:rsidRDefault="00433760" w:rsidP="00433760">
            <w:pPr>
              <w:spacing w:after="0"/>
              <w:ind w:firstLine="0"/>
              <w:jc w:val="right"/>
              <w:rPr>
                <w:rFonts w:eastAsia="Arial Unicode MS"/>
                <w:sz w:val="20"/>
              </w:rPr>
            </w:pPr>
            <w:r w:rsidRPr="002C538F">
              <w:rPr>
                <w:rFonts w:eastAsia="Arial Unicode MS"/>
                <w:sz w:val="20"/>
              </w:rPr>
              <w:t>-0,9</w:t>
            </w:r>
          </w:p>
        </w:tc>
        <w:tc>
          <w:tcPr>
            <w:tcW w:w="850" w:type="dxa"/>
            <w:vAlign w:val="center"/>
          </w:tcPr>
          <w:p w14:paraId="60C56FBD" w14:textId="77777777" w:rsidR="00433760" w:rsidRPr="002C538F" w:rsidRDefault="00433760" w:rsidP="00433760">
            <w:pPr>
              <w:spacing w:after="0"/>
              <w:ind w:firstLine="0"/>
              <w:jc w:val="right"/>
              <w:rPr>
                <w:rFonts w:eastAsia="Arial Unicode MS"/>
                <w:sz w:val="20"/>
              </w:rPr>
            </w:pPr>
            <w:r w:rsidRPr="002C538F">
              <w:rPr>
                <w:rFonts w:eastAsia="Arial Unicode MS"/>
                <w:sz w:val="20"/>
              </w:rPr>
              <w:t>-0,9</w:t>
            </w:r>
          </w:p>
        </w:tc>
        <w:tc>
          <w:tcPr>
            <w:tcW w:w="851" w:type="dxa"/>
            <w:vAlign w:val="center"/>
          </w:tcPr>
          <w:p w14:paraId="115C9F59" w14:textId="77777777" w:rsidR="00433760" w:rsidRPr="004D0B40" w:rsidRDefault="00433760" w:rsidP="00433760">
            <w:pPr>
              <w:pStyle w:val="tabteksts"/>
              <w:jc w:val="right"/>
              <w:rPr>
                <w:rFonts w:eastAsia="Arial Unicode MS"/>
              </w:rPr>
            </w:pPr>
            <w:r w:rsidRPr="002C538F">
              <w:rPr>
                <w:rFonts w:eastAsia="Arial Unicode MS"/>
              </w:rPr>
              <w:t>-</w:t>
            </w:r>
          </w:p>
        </w:tc>
      </w:tr>
      <w:tr w:rsidR="00433760" w:rsidRPr="002C538F" w14:paraId="702E9B33" w14:textId="77777777" w:rsidTr="003148B4">
        <w:trPr>
          <w:jc w:val="center"/>
        </w:trPr>
        <w:tc>
          <w:tcPr>
            <w:tcW w:w="3475" w:type="dxa"/>
            <w:vAlign w:val="center"/>
          </w:tcPr>
          <w:p w14:paraId="74FBF3E7" w14:textId="77777777" w:rsidR="00433760" w:rsidRPr="002C538F" w:rsidRDefault="00433760" w:rsidP="00433760">
            <w:pPr>
              <w:pStyle w:val="tabteksts"/>
              <w:jc w:val="right"/>
            </w:pPr>
            <w:r w:rsidRPr="002C538F">
              <w:t>2014. gads</w:t>
            </w:r>
          </w:p>
        </w:tc>
        <w:tc>
          <w:tcPr>
            <w:tcW w:w="992" w:type="dxa"/>
            <w:vAlign w:val="center"/>
          </w:tcPr>
          <w:p w14:paraId="00C8DF48" w14:textId="77777777" w:rsidR="00433760" w:rsidRPr="004D0B40" w:rsidRDefault="00433760" w:rsidP="00433760">
            <w:pPr>
              <w:pStyle w:val="tabteksts"/>
            </w:pPr>
          </w:p>
        </w:tc>
        <w:tc>
          <w:tcPr>
            <w:tcW w:w="709" w:type="dxa"/>
            <w:vAlign w:val="center"/>
          </w:tcPr>
          <w:p w14:paraId="352A7219" w14:textId="77777777" w:rsidR="00433760" w:rsidRPr="002C538F" w:rsidRDefault="00433760" w:rsidP="00433760">
            <w:pPr>
              <w:pStyle w:val="tabteksts"/>
              <w:jc w:val="right"/>
              <w:rPr>
                <w:rFonts w:eastAsia="Arial Unicode MS"/>
              </w:rPr>
            </w:pPr>
            <w:r w:rsidRPr="002C538F">
              <w:rPr>
                <w:rFonts w:eastAsia="Arial Unicode MS"/>
              </w:rPr>
              <w:t>-1,0</w:t>
            </w:r>
          </w:p>
        </w:tc>
        <w:tc>
          <w:tcPr>
            <w:tcW w:w="850" w:type="dxa"/>
            <w:shd w:val="clear" w:color="auto" w:fill="auto"/>
            <w:vAlign w:val="center"/>
          </w:tcPr>
          <w:p w14:paraId="3867F19D" w14:textId="77777777" w:rsidR="00433760" w:rsidRPr="002C538F" w:rsidRDefault="00433760" w:rsidP="00433760">
            <w:pPr>
              <w:spacing w:after="0"/>
              <w:ind w:firstLine="0"/>
              <w:jc w:val="right"/>
              <w:rPr>
                <w:rFonts w:eastAsia="Arial Unicode MS"/>
                <w:sz w:val="20"/>
              </w:rPr>
            </w:pPr>
            <w:r w:rsidRPr="002C538F">
              <w:rPr>
                <w:rFonts w:eastAsia="Arial Unicode MS"/>
                <w:sz w:val="20"/>
              </w:rPr>
              <w:t>-1,0</w:t>
            </w:r>
          </w:p>
        </w:tc>
        <w:tc>
          <w:tcPr>
            <w:tcW w:w="851" w:type="dxa"/>
            <w:shd w:val="clear" w:color="auto" w:fill="auto"/>
            <w:vAlign w:val="center"/>
          </w:tcPr>
          <w:p w14:paraId="06ACF2C9" w14:textId="77777777" w:rsidR="00433760" w:rsidRPr="002C538F" w:rsidRDefault="00433760" w:rsidP="00433760">
            <w:pPr>
              <w:spacing w:after="0"/>
              <w:ind w:firstLine="0"/>
              <w:jc w:val="right"/>
              <w:rPr>
                <w:rFonts w:eastAsia="Arial Unicode MS"/>
                <w:sz w:val="20"/>
              </w:rPr>
            </w:pPr>
            <w:r w:rsidRPr="002C538F">
              <w:rPr>
                <w:rFonts w:eastAsia="Arial Unicode MS"/>
                <w:sz w:val="20"/>
              </w:rPr>
              <w:t>-0,8</w:t>
            </w:r>
          </w:p>
        </w:tc>
        <w:tc>
          <w:tcPr>
            <w:tcW w:w="850" w:type="dxa"/>
            <w:shd w:val="clear" w:color="auto" w:fill="auto"/>
            <w:vAlign w:val="center"/>
          </w:tcPr>
          <w:p w14:paraId="33EAC39D" w14:textId="77777777" w:rsidR="00433760" w:rsidRPr="002C538F" w:rsidRDefault="00433760" w:rsidP="00433760">
            <w:pPr>
              <w:spacing w:after="0"/>
              <w:ind w:firstLine="0"/>
              <w:jc w:val="right"/>
              <w:rPr>
                <w:rFonts w:eastAsia="Arial Unicode MS"/>
                <w:sz w:val="20"/>
              </w:rPr>
            </w:pPr>
            <w:r w:rsidRPr="002C538F">
              <w:rPr>
                <w:rFonts w:eastAsia="Arial Unicode MS"/>
                <w:sz w:val="20"/>
              </w:rPr>
              <w:t>-0,7</w:t>
            </w:r>
          </w:p>
        </w:tc>
        <w:tc>
          <w:tcPr>
            <w:tcW w:w="851" w:type="dxa"/>
            <w:shd w:val="clear" w:color="auto" w:fill="auto"/>
            <w:vAlign w:val="center"/>
          </w:tcPr>
          <w:p w14:paraId="505F3986" w14:textId="77777777" w:rsidR="00433760" w:rsidRPr="002C538F" w:rsidRDefault="00433760" w:rsidP="00433760">
            <w:pPr>
              <w:spacing w:after="0"/>
              <w:ind w:firstLine="0"/>
              <w:jc w:val="right"/>
              <w:rPr>
                <w:rFonts w:eastAsia="Arial Unicode MS"/>
                <w:sz w:val="20"/>
              </w:rPr>
            </w:pPr>
            <w:r w:rsidRPr="002C538F">
              <w:rPr>
                <w:rFonts w:eastAsia="Arial Unicode MS"/>
                <w:sz w:val="20"/>
              </w:rPr>
              <w:t>-0,</w:t>
            </w:r>
            <w:r>
              <w:rPr>
                <w:rFonts w:eastAsia="Arial Unicode MS"/>
                <w:sz w:val="20"/>
              </w:rPr>
              <w:t>7</w:t>
            </w:r>
          </w:p>
        </w:tc>
      </w:tr>
      <w:tr w:rsidR="00433760" w:rsidRPr="002C538F" w14:paraId="3461FB2B" w14:textId="77777777" w:rsidTr="003148B4">
        <w:trPr>
          <w:jc w:val="center"/>
        </w:trPr>
        <w:tc>
          <w:tcPr>
            <w:tcW w:w="3475" w:type="dxa"/>
          </w:tcPr>
          <w:p w14:paraId="4704E558" w14:textId="77777777" w:rsidR="00433760" w:rsidRPr="002C538F" w:rsidRDefault="00433760" w:rsidP="00433760">
            <w:pPr>
              <w:pStyle w:val="tabteksts"/>
              <w:jc w:val="right"/>
              <w:rPr>
                <w:snapToGrid w:val="0"/>
              </w:rPr>
            </w:pPr>
            <w:r w:rsidRPr="002C538F">
              <w:rPr>
                <w:snapToGrid w:val="0"/>
              </w:rPr>
              <w:t>Izmaiņas</w:t>
            </w:r>
          </w:p>
        </w:tc>
        <w:tc>
          <w:tcPr>
            <w:tcW w:w="992" w:type="dxa"/>
          </w:tcPr>
          <w:p w14:paraId="21DF3783" w14:textId="77777777" w:rsidR="00433760" w:rsidRPr="004D0B40" w:rsidRDefault="00433760" w:rsidP="00433760">
            <w:pPr>
              <w:pStyle w:val="tabteksts"/>
            </w:pPr>
          </w:p>
        </w:tc>
        <w:tc>
          <w:tcPr>
            <w:tcW w:w="709" w:type="dxa"/>
            <w:vAlign w:val="center"/>
          </w:tcPr>
          <w:p w14:paraId="0B616E91" w14:textId="77777777" w:rsidR="00433760" w:rsidRPr="002C538F" w:rsidRDefault="00433760" w:rsidP="00433760">
            <w:pPr>
              <w:pStyle w:val="tabteksts"/>
              <w:jc w:val="right"/>
              <w:rPr>
                <w:rFonts w:eastAsia="Arial Unicode MS"/>
              </w:rPr>
            </w:pPr>
            <w:r w:rsidRPr="002C538F">
              <w:rPr>
                <w:rFonts w:eastAsia="Arial Unicode MS"/>
              </w:rPr>
              <w:t>0,1</w:t>
            </w:r>
          </w:p>
        </w:tc>
        <w:tc>
          <w:tcPr>
            <w:tcW w:w="850" w:type="dxa"/>
            <w:vAlign w:val="center"/>
          </w:tcPr>
          <w:p w14:paraId="33DB5937" w14:textId="77777777" w:rsidR="00433760" w:rsidRPr="002C538F" w:rsidRDefault="00433760" w:rsidP="00433760">
            <w:pPr>
              <w:pStyle w:val="tabteksts"/>
              <w:jc w:val="right"/>
              <w:rPr>
                <w:rFonts w:eastAsia="Arial Unicode MS"/>
              </w:rPr>
            </w:pPr>
            <w:r w:rsidRPr="002C538F">
              <w:rPr>
                <w:rFonts w:eastAsia="Arial Unicode MS"/>
              </w:rPr>
              <w:t>-0,1</w:t>
            </w:r>
          </w:p>
        </w:tc>
        <w:tc>
          <w:tcPr>
            <w:tcW w:w="851" w:type="dxa"/>
            <w:vAlign w:val="center"/>
          </w:tcPr>
          <w:p w14:paraId="00FA50BA" w14:textId="77777777" w:rsidR="00433760" w:rsidRPr="002C538F" w:rsidRDefault="00433760" w:rsidP="00433760">
            <w:pPr>
              <w:pStyle w:val="tabteksts"/>
              <w:jc w:val="right"/>
              <w:rPr>
                <w:rFonts w:eastAsia="Arial Unicode MS"/>
              </w:rPr>
            </w:pPr>
            <w:r w:rsidRPr="002C538F">
              <w:rPr>
                <w:rFonts w:eastAsia="Arial Unicode MS"/>
              </w:rPr>
              <w:t>0,1</w:t>
            </w:r>
          </w:p>
        </w:tc>
        <w:tc>
          <w:tcPr>
            <w:tcW w:w="850" w:type="dxa"/>
            <w:vAlign w:val="center"/>
          </w:tcPr>
          <w:p w14:paraId="1DF79676" w14:textId="77777777" w:rsidR="00433760" w:rsidRPr="002C538F" w:rsidRDefault="00433760" w:rsidP="00433760">
            <w:pPr>
              <w:pStyle w:val="tabteksts"/>
              <w:jc w:val="right"/>
              <w:rPr>
                <w:rFonts w:eastAsia="Arial Unicode MS"/>
              </w:rPr>
            </w:pPr>
            <w:r w:rsidRPr="002C538F">
              <w:rPr>
                <w:rFonts w:eastAsia="Arial Unicode MS"/>
              </w:rPr>
              <w:t>0,2</w:t>
            </w:r>
          </w:p>
        </w:tc>
        <w:tc>
          <w:tcPr>
            <w:tcW w:w="851" w:type="dxa"/>
            <w:vAlign w:val="center"/>
          </w:tcPr>
          <w:p w14:paraId="3E53EAC2" w14:textId="77777777" w:rsidR="00433760" w:rsidRPr="002C538F" w:rsidRDefault="00433760" w:rsidP="00433760">
            <w:pPr>
              <w:pStyle w:val="tabteksts"/>
              <w:jc w:val="right"/>
              <w:rPr>
                <w:rFonts w:eastAsia="Arial Unicode MS"/>
              </w:rPr>
            </w:pPr>
            <w:r w:rsidRPr="002C538F">
              <w:rPr>
                <w:rFonts w:eastAsia="Arial Unicode MS"/>
              </w:rPr>
              <w:t>-</w:t>
            </w:r>
          </w:p>
        </w:tc>
      </w:tr>
    </w:tbl>
    <w:p w14:paraId="2C95DA94" w14:textId="77777777" w:rsidR="00A05D85" w:rsidRDefault="00A05D85" w:rsidP="00706595">
      <w:pPr>
        <w:keepNext/>
        <w:ind w:firstLine="0"/>
        <w:jc w:val="right"/>
        <w:rPr>
          <w:b/>
          <w:szCs w:val="26"/>
        </w:rPr>
      </w:pPr>
    </w:p>
    <w:p w14:paraId="4AE6D3FB" w14:textId="4FE93ADD" w:rsidR="001B3555" w:rsidRPr="000A568A" w:rsidRDefault="001B3555" w:rsidP="005A28E3">
      <w:pPr>
        <w:pStyle w:val="teksts"/>
        <w:spacing w:before="120"/>
        <w:ind w:firstLine="720"/>
        <w:rPr>
          <w:rFonts w:ascii="Times New Roman" w:eastAsia="Calibri" w:hAnsi="Times New Roman"/>
          <w:szCs w:val="24"/>
        </w:rPr>
      </w:pPr>
      <w:r w:rsidRPr="000A568A">
        <w:rPr>
          <w:rFonts w:ascii="Times New Roman" w:eastAsia="Calibri" w:hAnsi="Times New Roman"/>
          <w:szCs w:val="24"/>
        </w:rPr>
        <w:t>IKP piea</w:t>
      </w:r>
      <w:r w:rsidR="004B1CAD">
        <w:rPr>
          <w:rFonts w:ascii="Times New Roman" w:eastAsia="Calibri" w:hAnsi="Times New Roman"/>
          <w:szCs w:val="24"/>
        </w:rPr>
        <w:t>ugums 2013.</w:t>
      </w:r>
      <w:r w:rsidRPr="000A568A">
        <w:rPr>
          <w:rFonts w:ascii="Times New Roman" w:eastAsia="Calibri" w:hAnsi="Times New Roman"/>
          <w:szCs w:val="24"/>
        </w:rPr>
        <w:t>gadā ir bijis nedaudz str</w:t>
      </w:r>
      <w:r w:rsidR="004B1CAD">
        <w:rPr>
          <w:rFonts w:ascii="Times New Roman" w:eastAsia="Calibri" w:hAnsi="Times New Roman"/>
          <w:szCs w:val="24"/>
        </w:rPr>
        <w:t>aujāks, nekā to paredzēja 2013.</w:t>
      </w:r>
      <w:r w:rsidRPr="000A568A">
        <w:rPr>
          <w:rFonts w:ascii="Times New Roman" w:eastAsia="Calibri" w:hAnsi="Times New Roman"/>
          <w:szCs w:val="24"/>
        </w:rPr>
        <w:t xml:space="preserve">gada Konverģences programmas scenārijs. Neskatoties uz ekonomikas lejupslīdi </w:t>
      </w:r>
      <w:proofErr w:type="spellStart"/>
      <w:r w:rsidR="006F7828" w:rsidRPr="006F7828">
        <w:rPr>
          <w:rFonts w:ascii="Times New Roman" w:hAnsi="Times New Roman"/>
          <w:i/>
          <w:color w:val="000000"/>
          <w:szCs w:val="24"/>
        </w:rPr>
        <w:t>euro</w:t>
      </w:r>
      <w:proofErr w:type="spellEnd"/>
      <w:r w:rsidR="006F7828" w:rsidRPr="006F7828">
        <w:rPr>
          <w:rFonts w:ascii="Times New Roman" w:hAnsi="Times New Roman"/>
          <w:i/>
          <w:color w:val="000000"/>
          <w:szCs w:val="24"/>
        </w:rPr>
        <w:t xml:space="preserve"> </w:t>
      </w:r>
      <w:r w:rsidR="006F7828" w:rsidRPr="006F7828">
        <w:rPr>
          <w:rFonts w:ascii="Times New Roman" w:hAnsi="Times New Roman"/>
          <w:color w:val="000000"/>
          <w:szCs w:val="24"/>
        </w:rPr>
        <w:t>zonā</w:t>
      </w:r>
      <w:r w:rsidR="006F7828">
        <w:rPr>
          <w:color w:val="000000"/>
          <w:szCs w:val="24"/>
        </w:rPr>
        <w:t xml:space="preserve"> </w:t>
      </w:r>
      <w:r w:rsidRPr="000A568A">
        <w:rPr>
          <w:rFonts w:ascii="Times New Roman" w:eastAsia="Calibri" w:hAnsi="Times New Roman"/>
          <w:szCs w:val="24"/>
        </w:rPr>
        <w:t xml:space="preserve">un vietējām problēmām metālu ražošanas nozarē, Latvijas IKP pieaugums sasniedza 4,1% pretstatā prognozētajiem 4,0%, un pozitīvās izmaiņas nodrošināja galvenokārt spēcīgais iekšzemes pieprasījuma pieaugums. </w:t>
      </w:r>
    </w:p>
    <w:p w14:paraId="5D12E99B" w14:textId="21BCE7EC" w:rsidR="001B3555" w:rsidRPr="001B3555" w:rsidRDefault="00205F98" w:rsidP="001B3555">
      <w:pPr>
        <w:pStyle w:val="teksts"/>
        <w:ind w:firstLine="720"/>
        <w:rPr>
          <w:rFonts w:ascii="Times New Roman" w:eastAsia="Calibri" w:hAnsi="Times New Roman"/>
          <w:szCs w:val="24"/>
          <w:highlight w:val="yellow"/>
        </w:rPr>
      </w:pPr>
      <w:r>
        <w:rPr>
          <w:rFonts w:ascii="Times New Roman" w:eastAsia="Calibri" w:hAnsi="Times New Roman"/>
          <w:szCs w:val="24"/>
        </w:rPr>
        <w:t xml:space="preserve">Vidējā termiņā </w:t>
      </w:r>
      <w:r w:rsidR="001B3555" w:rsidRPr="00121DD7">
        <w:rPr>
          <w:rFonts w:ascii="Times New Roman" w:eastAsia="Calibri" w:hAnsi="Times New Roman"/>
          <w:szCs w:val="24"/>
        </w:rPr>
        <w:t xml:space="preserve">ekonomikas izaugsme tiek prognozēta </w:t>
      </w:r>
      <w:r>
        <w:rPr>
          <w:rFonts w:ascii="Times New Roman" w:eastAsia="Calibri" w:hAnsi="Times New Roman"/>
          <w:szCs w:val="24"/>
        </w:rPr>
        <w:t>tādā pašā līmenī kā</w:t>
      </w:r>
      <w:r w:rsidR="001B3555" w:rsidRPr="00121DD7">
        <w:rPr>
          <w:rFonts w:ascii="Times New Roman" w:eastAsia="Calibri" w:hAnsi="Times New Roman"/>
          <w:szCs w:val="24"/>
        </w:rPr>
        <w:t xml:space="preserve"> iepriekšējās Konverģences programmas scenārijā,</w:t>
      </w:r>
      <w:r w:rsidRPr="00205F98">
        <w:rPr>
          <w:rFonts w:ascii="Times New Roman" w:eastAsia="Calibri" w:hAnsi="Times New Roman"/>
          <w:szCs w:val="24"/>
        </w:rPr>
        <w:t xml:space="preserve"> </w:t>
      </w:r>
      <w:r w:rsidRPr="00522D03">
        <w:rPr>
          <w:rFonts w:ascii="Times New Roman" w:eastAsia="Calibri" w:hAnsi="Times New Roman"/>
          <w:szCs w:val="24"/>
        </w:rPr>
        <w:t>kas atspoguļo Latvijas ekonomikas izaugsmes potenciālu.</w:t>
      </w:r>
    </w:p>
    <w:p w14:paraId="2CC6D8DF" w14:textId="31F11440" w:rsidR="00CE3BA2" w:rsidRPr="00CE3BA2" w:rsidRDefault="001B3555" w:rsidP="0037075E">
      <w:pPr>
        <w:pStyle w:val="teksts"/>
        <w:spacing w:after="240"/>
        <w:ind w:firstLine="720"/>
        <w:rPr>
          <w:i/>
          <w:szCs w:val="24"/>
        </w:rPr>
      </w:pPr>
      <w:r w:rsidRPr="004337EB">
        <w:rPr>
          <w:rFonts w:ascii="Times New Roman" w:eastAsia="Calibri" w:hAnsi="Times New Roman"/>
          <w:szCs w:val="24"/>
        </w:rPr>
        <w:t>Vispārējās valdības budžeta deficīts 2013.</w:t>
      </w:r>
      <w:r w:rsidR="0011050B">
        <w:rPr>
          <w:rFonts w:ascii="Times New Roman" w:eastAsia="Calibri" w:hAnsi="Times New Roman"/>
          <w:szCs w:val="24"/>
        </w:rPr>
        <w:t> </w:t>
      </w:r>
      <w:r w:rsidRPr="004337EB">
        <w:rPr>
          <w:rFonts w:ascii="Times New Roman" w:eastAsia="Calibri" w:hAnsi="Times New Roman"/>
          <w:szCs w:val="24"/>
        </w:rPr>
        <w:t xml:space="preserve">gadā bija nedaudz zemāks nekā iepriekšējā gada Konverģences programmas scenārijā tika prognozēts. Pamatā tas skaidrojams ar labāku tautsaimniecības attīstību un attiecīgi augstākiem nodokļu ieņēmumiem nekā plānots.   </w:t>
      </w:r>
      <w:r w:rsidRPr="001B3555">
        <w:rPr>
          <w:rFonts w:ascii="Times New Roman" w:eastAsia="Calibri" w:hAnsi="Times New Roman"/>
          <w:szCs w:val="24"/>
        </w:rPr>
        <w:t xml:space="preserve">Atjaunotajā fiskālās attīstības scenārijā vispārējās </w:t>
      </w:r>
      <w:r w:rsidR="004B1CAD">
        <w:rPr>
          <w:rFonts w:ascii="Times New Roman" w:eastAsia="Calibri" w:hAnsi="Times New Roman"/>
          <w:szCs w:val="24"/>
        </w:rPr>
        <w:t>valdības budžeta deficīts 2014.</w:t>
      </w:r>
      <w:r w:rsidRPr="001B3555">
        <w:rPr>
          <w:rFonts w:ascii="Times New Roman" w:eastAsia="Calibri" w:hAnsi="Times New Roman"/>
          <w:szCs w:val="24"/>
        </w:rPr>
        <w:t>gadā tiek prognozēts 1% no IKP. Vispārējās valdības budžeta prognozes ir balstītas uz aktualizētām nodokļu ieņēmumu prognozēm atbilstoši jaunākajam makroekonomikas attīstības scenārijam. Savukārt, t</w:t>
      </w:r>
      <w:r w:rsidRPr="004337EB">
        <w:rPr>
          <w:rFonts w:ascii="Times New Roman" w:eastAsia="Calibri" w:hAnsi="Times New Roman"/>
          <w:szCs w:val="24"/>
        </w:rPr>
        <w:t>urpmākajiem gadiem vispārējās valdības budžeta bilance tiek noteikta, ņemot vērā strukturālās budžeta bilances mērķ</w:t>
      </w:r>
      <w:r>
        <w:rPr>
          <w:rFonts w:ascii="Times New Roman" w:eastAsia="Calibri" w:hAnsi="Times New Roman"/>
          <w:szCs w:val="24"/>
        </w:rPr>
        <w:t>i un izmaiņas budžeta bilances cikliskajā komponentē atbilstoši makroekonomikas attīstības scenārijam. Tādējādi vispārējās valdības budžeta</w:t>
      </w:r>
      <w:r w:rsidRPr="00CF0DA8">
        <w:rPr>
          <w:rFonts w:ascii="Times New Roman" w:eastAsia="Calibri" w:hAnsi="Times New Roman"/>
          <w:szCs w:val="24"/>
        </w:rPr>
        <w:t xml:space="preserve"> </w:t>
      </w:r>
      <w:r>
        <w:rPr>
          <w:rFonts w:ascii="Times New Roman" w:eastAsia="Calibri" w:hAnsi="Times New Roman"/>
          <w:szCs w:val="24"/>
        </w:rPr>
        <w:t>deficīts 2015.gadā tie</w:t>
      </w:r>
      <w:r w:rsidR="004B1CAD">
        <w:rPr>
          <w:rFonts w:ascii="Times New Roman" w:eastAsia="Calibri" w:hAnsi="Times New Roman"/>
          <w:szCs w:val="24"/>
        </w:rPr>
        <w:t>k prognozēts 0,8% no IKP, 2016.gadā – 0,7% no IKP un 2017.</w:t>
      </w:r>
      <w:r w:rsidR="00A05D85">
        <w:rPr>
          <w:rFonts w:ascii="Times New Roman" w:eastAsia="Calibri" w:hAnsi="Times New Roman"/>
          <w:szCs w:val="24"/>
        </w:rPr>
        <w:t>gadā – 0,7</w:t>
      </w:r>
      <w:r>
        <w:rPr>
          <w:rFonts w:ascii="Times New Roman" w:eastAsia="Calibri" w:hAnsi="Times New Roman"/>
          <w:szCs w:val="24"/>
        </w:rPr>
        <w:t>% no IKP apmērā.</w:t>
      </w:r>
      <w:bookmarkStart w:id="36" w:name="_Toc290024506"/>
      <w:r w:rsidR="0037075E">
        <w:rPr>
          <w:rFonts w:ascii="Times New Roman" w:eastAsia="Calibri" w:hAnsi="Times New Roman"/>
          <w:szCs w:val="24"/>
        </w:rPr>
        <w:t xml:space="preserve"> </w:t>
      </w:r>
    </w:p>
    <w:p w14:paraId="3C9EA02E" w14:textId="793564DD" w:rsidR="000F6956" w:rsidRPr="009C61B1" w:rsidRDefault="00EB6C31" w:rsidP="002D62B9">
      <w:pPr>
        <w:pStyle w:val="PIRMAIS"/>
      </w:pPr>
      <w:bookmarkStart w:id="37" w:name="_Toc284924058"/>
      <w:bookmarkStart w:id="38" w:name="_Toc385517821"/>
      <w:bookmarkEnd w:id="36"/>
      <w:r>
        <w:t>6</w:t>
      </w:r>
      <w:r w:rsidR="000F6956" w:rsidRPr="009C61B1">
        <w:t>.</w:t>
      </w:r>
      <w:r w:rsidR="000F6956" w:rsidRPr="009C61B1">
        <w:tab/>
        <w:t>Valsts finanšu kvalitāte</w:t>
      </w:r>
      <w:bookmarkEnd w:id="30"/>
      <w:bookmarkEnd w:id="37"/>
      <w:bookmarkEnd w:id="38"/>
    </w:p>
    <w:p w14:paraId="2C73CC0B" w14:textId="7B532143" w:rsidR="000F6956" w:rsidRPr="001B6A4A" w:rsidRDefault="00EB6C31" w:rsidP="001B6A4A">
      <w:pPr>
        <w:pStyle w:val="otrais"/>
        <w:ind w:left="0" w:firstLine="0"/>
        <w:rPr>
          <w:color w:val="000000"/>
        </w:rPr>
      </w:pPr>
      <w:bookmarkStart w:id="39" w:name="_Toc284924060"/>
      <w:bookmarkStart w:id="40" w:name="_Toc385517822"/>
      <w:bookmarkStart w:id="41" w:name="_Toc155751088"/>
      <w:r w:rsidRPr="001B6A4A">
        <w:rPr>
          <w:color w:val="000000"/>
        </w:rPr>
        <w:t>6</w:t>
      </w:r>
      <w:r w:rsidR="00B64633" w:rsidRPr="001B6A4A">
        <w:rPr>
          <w:color w:val="000000"/>
        </w:rPr>
        <w:t>.1.</w:t>
      </w:r>
      <w:r w:rsidR="00D056AD" w:rsidRPr="001B6A4A">
        <w:rPr>
          <w:color w:val="000000"/>
        </w:rPr>
        <w:t> </w:t>
      </w:r>
      <w:r w:rsidR="000F6956" w:rsidRPr="001B6A4A">
        <w:rPr>
          <w:color w:val="000000"/>
        </w:rPr>
        <w:t xml:space="preserve">Valsts </w:t>
      </w:r>
      <w:bookmarkEnd w:id="39"/>
      <w:r w:rsidR="00A466D6" w:rsidRPr="001B6A4A">
        <w:rPr>
          <w:color w:val="000000"/>
        </w:rPr>
        <w:t>budžeta līdzekļu efektivitāte un izlietojuma kontrole</w:t>
      </w:r>
      <w:bookmarkEnd w:id="40"/>
    </w:p>
    <w:p w14:paraId="1180BE76" w14:textId="77777777" w:rsidR="00F12F43" w:rsidRPr="004F7D04" w:rsidRDefault="00F12F43" w:rsidP="00F12F43">
      <w:pPr>
        <w:ind w:firstLine="720"/>
        <w:rPr>
          <w:szCs w:val="24"/>
        </w:rPr>
      </w:pPr>
      <w:bookmarkStart w:id="42" w:name="_Toc284924061"/>
      <w:r w:rsidRPr="004F7D04">
        <w:rPr>
          <w:szCs w:val="24"/>
        </w:rPr>
        <w:t>Valsts budžeta izstrādāšanas, apstiprināšanas un izpildes kārtību un atbildību budžeta procesā nosaka LBFV. Par valsts budžeta izpildes procesa organizāciju un vadību atbildīgs ir finanšu ministrs.</w:t>
      </w:r>
    </w:p>
    <w:p w14:paraId="13178199" w14:textId="77777777" w:rsidR="00F12F43" w:rsidRPr="004F7D04" w:rsidRDefault="00F12F43" w:rsidP="00F12F43">
      <w:pPr>
        <w:ind w:firstLine="720"/>
        <w:rPr>
          <w:szCs w:val="24"/>
        </w:rPr>
      </w:pPr>
      <w:r w:rsidRPr="004F7D04">
        <w:rPr>
          <w:szCs w:val="24"/>
        </w:rPr>
        <w:t>Saskaņā ar LBFV budžeta finansētu institūciju, budžeta nefinansētu iestāžu un pašvaldību, kā arī kapitālsabiedrību, kurās ieguldīta valsts vai pašvaldību kapitāla daļa, vadītāji ir atbildīgi par minētajā likumā noteiktās kārtības un prasību ievērošanu, izpildi un kontroli, kā arī par budžeta līdzekļu efektīvu un ekonomisku izlietošanu atbilstoši paredzētajiem mērķiem.</w:t>
      </w:r>
    </w:p>
    <w:p w14:paraId="07D37E10" w14:textId="77777777" w:rsidR="00F12F43" w:rsidRPr="004F7D04" w:rsidRDefault="00F12F43" w:rsidP="00F12F43">
      <w:pPr>
        <w:ind w:firstLine="720"/>
        <w:rPr>
          <w:szCs w:val="24"/>
        </w:rPr>
      </w:pPr>
      <w:r w:rsidRPr="004F7D04">
        <w:rPr>
          <w:szCs w:val="24"/>
        </w:rPr>
        <w:t xml:space="preserve">Saskaņā ar LBFV finanšu ministrs nodrošina gadskārtējā valsts budžeta likuma projekta izstrādi. Izstrādājot gadskārtējo valsts budžeta likuma projektu, finanšu ministrs izvērtē budžeta pieprasījumu atbilstību paredzētajiem mērķiem, sasniedzamajiem rezultātiem, ekonomiskuma un efektivitātes principiem un, ja nepieciešams, pieprasa papildu informāciju. Pamatojoties uz </w:t>
      </w:r>
      <w:proofErr w:type="spellStart"/>
      <w:r w:rsidRPr="004F7D04">
        <w:rPr>
          <w:szCs w:val="24"/>
        </w:rPr>
        <w:t>izvērtējumu</w:t>
      </w:r>
      <w:proofErr w:type="spellEnd"/>
      <w:r w:rsidRPr="004F7D04">
        <w:rPr>
          <w:szCs w:val="24"/>
        </w:rPr>
        <w:t xml:space="preserve"> un sniegto informāciju, finanšu ministrs (līdz gadskārtējā valsts budžeta likuma projekta iesniegšanai MK) pieņem lēmumu par budžeta pieprasījumu iekļaušanu gadskārtējā valsts budžeta likuma projektā. Finanšu ministrs jebkurā valsts budžeta likuma projekta izskatīšanas stadijā var izteikt savu viedokli, pievienot nepieciešamos atzinumus, kā arī atsevišķu revīziju rezultātus.</w:t>
      </w:r>
    </w:p>
    <w:p w14:paraId="5797D71F" w14:textId="77777777" w:rsidR="00F12F43" w:rsidRPr="004F7D04" w:rsidRDefault="00F12F43" w:rsidP="00F12F43">
      <w:pPr>
        <w:ind w:firstLine="720"/>
        <w:rPr>
          <w:szCs w:val="24"/>
        </w:rPr>
      </w:pPr>
      <w:r w:rsidRPr="004F7D04">
        <w:rPr>
          <w:szCs w:val="24"/>
        </w:rPr>
        <w:t>Saskaņā ar LBFV valsts budžeta izpildītāji var veikt valsts budžeta izdevumus vai uzņemties īstermiņa saistības tikai to finansēšanas plānos noteikto asignējumu ietvaros, kurus izsniedz VK. Savukārt VK piešķir asignējumus izdevumiem, pamatojoties uz gadskārtējā valsts budžeta likumā noteikto apropriāciju un nodrošina to izpildi MK noteiktajā kārtībā. Budžeta iestādes var uzņemties valsts budžeta ilgtermiņa saistības, nepārsniedzot saimnieciskā gada valsts budžeta likumā noteiktos valsts budžeta ilgtermiņa saistību maksimāli pieļaujamos apjomus.</w:t>
      </w:r>
    </w:p>
    <w:p w14:paraId="772499A6" w14:textId="77777777" w:rsidR="00F12F43" w:rsidRPr="004F7D04" w:rsidRDefault="00F12F43" w:rsidP="00F12F43">
      <w:pPr>
        <w:rPr>
          <w:szCs w:val="24"/>
        </w:rPr>
      </w:pPr>
      <w:r w:rsidRPr="004F7D04">
        <w:rPr>
          <w:szCs w:val="24"/>
        </w:rPr>
        <w:t xml:space="preserve">Lai nodrošinātu valsts budžeta izpildes uzraudzību, kā arī veicinātu budžeta izlietojuma kontroli, VK gatavo pārskatus par valsts un pašvaldību budžetu izpildi, nodrošinot ministriju, citu centrālo valsts iestāžu, FM, kā arī sabiedrības informēšanu par budžeta izpildes gaitu. </w:t>
      </w:r>
    </w:p>
    <w:p w14:paraId="522769E4" w14:textId="2DCB5AF7" w:rsidR="00F12F43" w:rsidRPr="004F7D04" w:rsidRDefault="00F12F43" w:rsidP="00F12F43">
      <w:pPr>
        <w:rPr>
          <w:szCs w:val="24"/>
        </w:rPr>
      </w:pPr>
      <w:r w:rsidRPr="004F7D04">
        <w:rPr>
          <w:szCs w:val="24"/>
        </w:rPr>
        <w:t>Vienlaikus budžeta mērķu sasniegšanai nozaru ministrijas un citas centrālās valsts iestādes reizi ceturksnī sagatavo pārskatus par valsts budžeta izpildes gaitu un iesniedz to</w:t>
      </w:r>
      <w:r w:rsidR="00A829A3">
        <w:rPr>
          <w:szCs w:val="24"/>
        </w:rPr>
        <w:t>s</w:t>
      </w:r>
      <w:r w:rsidRPr="004F7D04">
        <w:rPr>
          <w:szCs w:val="24"/>
        </w:rPr>
        <w:t xml:space="preserve"> FM. </w:t>
      </w:r>
      <w:r w:rsidR="00A829A3" w:rsidRPr="004F7D04">
        <w:rPr>
          <w:szCs w:val="24"/>
        </w:rPr>
        <w:t>Pārskat</w:t>
      </w:r>
      <w:r w:rsidR="00A829A3">
        <w:rPr>
          <w:szCs w:val="24"/>
        </w:rPr>
        <w:t>os</w:t>
      </w:r>
      <w:r w:rsidR="00A829A3" w:rsidRPr="004F7D04">
        <w:rPr>
          <w:szCs w:val="24"/>
        </w:rPr>
        <w:t xml:space="preserve"> </w:t>
      </w:r>
      <w:r w:rsidRPr="004F7D04">
        <w:rPr>
          <w:szCs w:val="24"/>
        </w:rPr>
        <w:t>tiek sniegta informācija par valsts budžeta izpildi attiecīgajā pārskata periodā – veikto izdevumu salīdzinājums ar iepriekšējā gada pārskata periodu, salīdzinājums ar pārskata perioda plānu, pārskats par veiktajām un neveiktajām aktivitātēm, informācija par finanšu vadības uzlabošanas pasākumiem u.c.</w:t>
      </w:r>
    </w:p>
    <w:p w14:paraId="4D1641F2" w14:textId="77777777" w:rsidR="00F12F43" w:rsidRPr="004F7D04" w:rsidRDefault="00F12F43" w:rsidP="00F12F43">
      <w:pPr>
        <w:rPr>
          <w:szCs w:val="24"/>
        </w:rPr>
      </w:pPr>
      <w:r w:rsidRPr="004F7D04">
        <w:rPr>
          <w:szCs w:val="24"/>
        </w:rPr>
        <w:t>Finanšu ministrs informē Saeimas Budžeta un finanšu (nodokļu) komisiju gadskārtējā valsts budžeta likumprojekta vai tā grozījumu izstrādes procesa laikā par valsts budžeta plānošanas gaitu, kā arī ne retāk kā reizi ceturksnī — par valsts budžeta izpildes gaitu.</w:t>
      </w:r>
    </w:p>
    <w:p w14:paraId="69ECACE4" w14:textId="77777777" w:rsidR="00F12F43" w:rsidRPr="004F7D04" w:rsidRDefault="00F12F43" w:rsidP="00F12F43">
      <w:pPr>
        <w:rPr>
          <w:szCs w:val="24"/>
        </w:rPr>
      </w:pPr>
      <w:r w:rsidRPr="004F7D04">
        <w:rPr>
          <w:szCs w:val="24"/>
        </w:rPr>
        <w:t>Sākot ar 2012.gada valsts budžeta izstrādi  ir uzlabota darbības līmeņa rezultātu un to rezultatīvo rādītāju plānošanas un atspoguļošanas kārtība ministriju un citu centrālo valsts iestāžu budžetu pieprasījumos. Minētā informācija ir ietverta gadskārtējam valsts budžeta likumam pievienotajos paskaidrojumos, tādā veidā nodrošinot parlamenta un sabiedrības informēšanu.</w:t>
      </w:r>
    </w:p>
    <w:p w14:paraId="37B187B6" w14:textId="77777777" w:rsidR="00F12F43" w:rsidRPr="004F7D04" w:rsidRDefault="00F12F43" w:rsidP="00F12F43">
      <w:pPr>
        <w:rPr>
          <w:szCs w:val="24"/>
        </w:rPr>
      </w:pPr>
      <w:r w:rsidRPr="004F7D04">
        <w:rPr>
          <w:szCs w:val="24"/>
        </w:rPr>
        <w:t xml:space="preserve">Ministrijas un citas centrālās valsts iestādes to izpildē esošajām budžeta programmām un apakšprogrammām izvirza noteiktu mērķi ar tā sasniegšanas pakāpi raksturojošiem darbības rezultātiem un to rezultatīvajiem rādītājiem, kuriem tiek plānotas tendences arī vidējā termiņā un vienlaikus atspoguļota vēsturiskā informācija trīs gadu periodam. </w:t>
      </w:r>
    </w:p>
    <w:p w14:paraId="30B025A3" w14:textId="77777777" w:rsidR="00F12F43" w:rsidRPr="004F7D04" w:rsidRDefault="00F12F43" w:rsidP="00F12F43">
      <w:pPr>
        <w:rPr>
          <w:szCs w:val="24"/>
        </w:rPr>
      </w:pPr>
      <w:r w:rsidRPr="004F7D04">
        <w:rPr>
          <w:szCs w:val="24"/>
        </w:rPr>
        <w:t>Politikas rezultātus primāri plāno attīstības plānošanas dokumentos. Par politikas plānošanas dokumentiem tiek sagatavoti pārskata dokumenti informatīvo ziņojumu veidā gan politikas plānošanas dokumenta ieviešanas vidus posmā, gan arī pēc tā darbības termiņa beigām.</w:t>
      </w:r>
    </w:p>
    <w:p w14:paraId="70A0B3DB" w14:textId="6D6D8108" w:rsidR="00F12F43" w:rsidRPr="004F7D04" w:rsidRDefault="00F12F43" w:rsidP="00F12F43">
      <w:pPr>
        <w:rPr>
          <w:szCs w:val="24"/>
        </w:rPr>
      </w:pPr>
      <w:r w:rsidRPr="004F7D04">
        <w:rPr>
          <w:szCs w:val="24"/>
        </w:rPr>
        <w:t xml:space="preserve">Lai attīstītu rezultatīvo rādītāju sistēmu un to integrētu valsts budžeta </w:t>
      </w:r>
      <w:r w:rsidR="004B1CAD">
        <w:rPr>
          <w:szCs w:val="24"/>
        </w:rPr>
        <w:t>vadības procesā, sākot ar 2012.</w:t>
      </w:r>
      <w:r w:rsidRPr="004F7D04">
        <w:rPr>
          <w:szCs w:val="24"/>
        </w:rPr>
        <w:t xml:space="preserve">gadu valsts budžeta izdevumu izpildes analīze ir papildināta ar informāciju par sasniegtajiem darbības rezultātiem un to rezultatīvajiem rādītājiem budžeta programmām un apakšprogrammām izvirzīto mērķu ietvaros, t.i., ministrijas un citas centrālās valsts iestādes pārskatā par kārtējā 2012.gada valsts budžeta izpildes analīzi ir sniegušas nepieciešamos skaidrojumus par iepriekš plānotajiem darbības rezultātiem un to rezultatīvajiem rādītājiem, to izpildi gada laikā, kā arī par rezultatīvo rādītāju vērtību izpildes novirzēm no plānotajām rezultatīvo rādītāju vērtībām, kas pārsniedz 15 procentus (gan pozitīvā, gan negatīvā izteiksmē). Ievērojot normatīvo regulējumu, budžeta resori 2013.gadā pirmo reizi, sagatavojot valsts budžeta izpildes analīzi par iepriekšējo periodu, tas ir, par 2012.gadu, iekļāva informāciju par darbības rezultātiem un faktiskajiem sasniegtajiem rezultatīvajiem rādītājiem, ko </w:t>
      </w:r>
      <w:r w:rsidR="000F57F7">
        <w:rPr>
          <w:szCs w:val="24"/>
        </w:rPr>
        <w:t>FM</w:t>
      </w:r>
      <w:r w:rsidRPr="004F7D04">
        <w:rPr>
          <w:szCs w:val="24"/>
        </w:rPr>
        <w:t xml:space="preserve"> apkopoja un izvērtēja.</w:t>
      </w:r>
    </w:p>
    <w:p w14:paraId="6020CA00" w14:textId="3EFC521E" w:rsidR="00F12F43" w:rsidRPr="004F7D04" w:rsidRDefault="00F12F43" w:rsidP="00F12F43">
      <w:pPr>
        <w:spacing w:before="120"/>
        <w:ind w:firstLine="720"/>
        <w:rPr>
          <w:szCs w:val="28"/>
        </w:rPr>
      </w:pPr>
      <w:r w:rsidRPr="004F7D04">
        <w:rPr>
          <w:szCs w:val="24"/>
        </w:rPr>
        <w:t xml:space="preserve">2012.gada 31.jūlijā MK pieņēma noteikumus Nr.523 „Noteikumi par budžetu pieprasījumu izstrādāšanas un iesniegšanas pamatprincipiem”, kas paredz </w:t>
      </w:r>
      <w:r w:rsidRPr="004F7D04">
        <w:t xml:space="preserve">ieviest vienotu valsts budžeta programmu struktūras veidošanas principus, tādējādi nodrošinot valsts budžeta programmu struktūras ciešāku sasaisti ar politikas plānošanas un rezultatīvo rādītāju sistēmu. Budžeta programmu struktūru nosaka institūcijas darbības stratēģijā definētie darbības (rīcības) virzieni vai ministrijas un citas centrālās valsts iestādes funkcijas atbilstoši tās nolikumam, ja nav apstiprināta institūcijas darbības stratēģija. </w:t>
      </w:r>
      <w:r w:rsidRPr="004F7D04">
        <w:rPr>
          <w:szCs w:val="24"/>
          <w:lang w:eastAsia="lv-LV"/>
        </w:rPr>
        <w:t xml:space="preserve">Saskaņā ar minētajiem noteikumiem ministrijām un citām centrālajām valsts iestādēm bija jāveic budžeta programmu (apakšprogrammu) pārskatīšana un līdz 2013.gada 30.aprīlim jāsaskaņo ar </w:t>
      </w:r>
      <w:r w:rsidR="005D147B">
        <w:rPr>
          <w:szCs w:val="24"/>
          <w:lang w:eastAsia="lv-LV"/>
        </w:rPr>
        <w:t>FM</w:t>
      </w:r>
      <w:r w:rsidRPr="004F7D04">
        <w:rPr>
          <w:szCs w:val="24"/>
          <w:lang w:eastAsia="lv-LV"/>
        </w:rPr>
        <w:t xml:space="preserve"> plānotā valsts pamatbudžeta pamatfunkciju īstenošanas daļas programmu (apakšprogrammu) struktūra.</w:t>
      </w:r>
      <w:r w:rsidRPr="004F7D04">
        <w:t xml:space="preserve"> </w:t>
      </w:r>
      <w:r w:rsidRPr="004F7D04">
        <w:rPr>
          <w:szCs w:val="24"/>
          <w:lang w:eastAsia="lv-LV"/>
        </w:rPr>
        <w:t xml:space="preserve">Lielākā daļa ministriju nepiedāvāja veikt būtiskas izmaiņas 2014.gada budžeta programmu (apakšprogrammu) struktūrā, lai gan MK 2012.gada 31.jūlija noteikumi Nr.523 </w:t>
      </w:r>
      <w:r w:rsidRPr="004F7D04">
        <w:rPr>
          <w:szCs w:val="24"/>
        </w:rPr>
        <w:t xml:space="preserve">„Noteikumi par budžetu pieprasījumu izstrādāšanas un iesniegšanas pamatprincipiem” </w:t>
      </w:r>
      <w:r w:rsidRPr="004F7D04">
        <w:rPr>
          <w:szCs w:val="24"/>
          <w:lang w:eastAsia="lv-LV"/>
        </w:rPr>
        <w:t xml:space="preserve">paredzēja pārskatīt programmu (apakšprogrammu) struktūru atbilstoši darbības stratēģijā definētajiem darbības (rīcības) virzieniem. Tomēr jāņem vērā, ka atbilstoši 2011.gada 4.janvāra MK instrukcijas Nr.1 „Kārtība, kādā izstrādā un aktualizē institūcijas darbības stratēģiju un novērtē tās ieviešanu” 14.punktā noteiktajam, ministrijas aktualizētās darbības stratēģijas izstrādā un iesniedz apstiprināšanai attiecīgajam </w:t>
      </w:r>
      <w:r w:rsidR="005D147B">
        <w:rPr>
          <w:szCs w:val="24"/>
          <w:lang w:eastAsia="lv-LV"/>
        </w:rPr>
        <w:t>MK</w:t>
      </w:r>
      <w:r w:rsidRPr="004F7D04">
        <w:rPr>
          <w:szCs w:val="24"/>
          <w:lang w:eastAsia="lv-LV"/>
        </w:rPr>
        <w:t xml:space="preserve"> loceklim triju mēnešu laikā pēc </w:t>
      </w:r>
      <w:r w:rsidR="000F57F7">
        <w:rPr>
          <w:szCs w:val="24"/>
          <w:lang w:eastAsia="lv-LV"/>
        </w:rPr>
        <w:t>I</w:t>
      </w:r>
      <w:r w:rsidRPr="004F7D04">
        <w:rPr>
          <w:szCs w:val="24"/>
          <w:lang w:eastAsia="lv-LV"/>
        </w:rPr>
        <w:t>etvara likuma izsludināšanas. Tāpēc prognozējams, ka pēc iestāžu stratēģiju apstiprināšanas, ministrijas, plānojot 2015.gada budžetu, varētu atkārtoti pārskatīt savu budžeta programmu/apakšprogrammu struktūru un piedāvāt izmaiņas.</w:t>
      </w:r>
    </w:p>
    <w:p w14:paraId="64F23C23" w14:textId="77777777" w:rsidR="00F12F43" w:rsidRPr="004F7D04" w:rsidRDefault="00F12F43" w:rsidP="00F12F43">
      <w:pPr>
        <w:ind w:firstLine="720"/>
        <w:rPr>
          <w:szCs w:val="24"/>
        </w:rPr>
      </w:pPr>
      <w:r w:rsidRPr="004F7D04">
        <w:rPr>
          <w:szCs w:val="24"/>
        </w:rPr>
        <w:t>VK piešķir asignējumus izdevumiem saskaņā ar gadskārtējā valsts budžeta likumā noteikto apropriāciju un nodrošina to izpildi MK noteiktajā kārtībā, savukārt ministrijas un citas centrālās valsts iestādes ir atbildīgas par gadskārtējā valsts budžeta likumā noteiktās apropriācijas izpildes kontroles sistēmas izveidi un par VK norēķinu kontos ieskaitīto valsts budžeta līdzekļu izlietojuma kontroli atbilstoši paredzētajiem mērķiem.</w:t>
      </w:r>
    </w:p>
    <w:p w14:paraId="3BF9F843" w14:textId="77777777" w:rsidR="00F12F43" w:rsidRPr="004F7D04" w:rsidRDefault="00F12F43" w:rsidP="00F12F43">
      <w:pPr>
        <w:ind w:firstLine="720"/>
        <w:rPr>
          <w:szCs w:val="24"/>
        </w:rPr>
      </w:pPr>
      <w:r w:rsidRPr="004F7D04">
        <w:rPr>
          <w:szCs w:val="24"/>
        </w:rPr>
        <w:t>Bez tam LBFV</w:t>
      </w:r>
      <w:r w:rsidRPr="004F7D04" w:rsidDel="0081295E">
        <w:rPr>
          <w:szCs w:val="24"/>
        </w:rPr>
        <w:t xml:space="preserve"> </w:t>
      </w:r>
      <w:r w:rsidRPr="004F7D04">
        <w:rPr>
          <w:szCs w:val="24"/>
        </w:rPr>
        <w:t>ir noteikts, ka valsts budžeta iestādes asignējumu saņemšanai un izdevumu veikšanai no valsts budžeta līdzekļiem atver valsts pamatbudžeta un valsts speciālā budžeta kontus tikai VK. Budžeta nefinansētas iestādes atver norēķinu kontus tikai VK. Valsts budžeta līdzekļu saņemšanai un no tiem finansēto izdevumu izdarīšanai budžeta finansētas institūcijas (izņemot valsts budžeta iestādes) atver norēķinu kontus tikai VK, ja citos normatīvajos aktos nav noteikts citādi. Pašvaldības un no valsts budžeta daļēji finansētas atvasinātas publiskas personas, kā arī kapitālsabiedrības, kurās ieguldīta valsts vai pašvaldību kapitāla daļa, var atvērt norēķinu kontus VK.</w:t>
      </w:r>
    </w:p>
    <w:p w14:paraId="7FB5EB3E" w14:textId="77777777" w:rsidR="00F12F43" w:rsidRPr="004F7D04" w:rsidRDefault="00F12F43" w:rsidP="00F12F43">
      <w:pPr>
        <w:spacing w:after="0"/>
        <w:ind w:firstLine="720"/>
        <w:rPr>
          <w:szCs w:val="24"/>
        </w:rPr>
      </w:pPr>
      <w:r w:rsidRPr="004F7D04">
        <w:rPr>
          <w:szCs w:val="24"/>
        </w:rPr>
        <w:t>Lai stiprinātu līdzekļu izlietojuma kontroles iespējas, LBFV ir ietverta norma, kas nosaka, ka finanšu ministrs var aizkavēt vai samazināt asignējumu uz laiku līdz trim mēnešiem, dodot rīkojumu par to VK, ja pastāv vismaz viens no šādiem nosacījumiem:</w:t>
      </w:r>
    </w:p>
    <w:p w14:paraId="010E9F9D" w14:textId="77777777" w:rsidR="00F12F43" w:rsidRPr="004F7D04" w:rsidRDefault="00F12F43" w:rsidP="004F30BF">
      <w:pPr>
        <w:pStyle w:val="ListParagraph"/>
        <w:numPr>
          <w:ilvl w:val="0"/>
          <w:numId w:val="1"/>
        </w:numPr>
        <w:spacing w:after="120" w:line="240" w:lineRule="auto"/>
        <w:jc w:val="both"/>
        <w:rPr>
          <w:rFonts w:ascii="Times New Roman" w:hAnsi="Times New Roman"/>
          <w:sz w:val="24"/>
          <w:szCs w:val="24"/>
        </w:rPr>
      </w:pPr>
      <w:r w:rsidRPr="004F7D04">
        <w:rPr>
          <w:rFonts w:ascii="Times New Roman" w:hAnsi="Times New Roman"/>
          <w:sz w:val="24"/>
          <w:szCs w:val="24"/>
        </w:rPr>
        <w:t xml:space="preserve">triju mēnešu periodā valsts budžeta nodokļu un </w:t>
      </w:r>
      <w:proofErr w:type="spellStart"/>
      <w:r w:rsidRPr="004F7D04">
        <w:rPr>
          <w:rFonts w:ascii="Times New Roman" w:hAnsi="Times New Roman"/>
          <w:sz w:val="24"/>
          <w:szCs w:val="24"/>
        </w:rPr>
        <w:t>nenodokļu</w:t>
      </w:r>
      <w:proofErr w:type="spellEnd"/>
      <w:r w:rsidRPr="004F7D04">
        <w:rPr>
          <w:rFonts w:ascii="Times New Roman" w:hAnsi="Times New Roman"/>
          <w:sz w:val="24"/>
          <w:szCs w:val="24"/>
        </w:rPr>
        <w:t xml:space="preserve"> faktiskie ieņēmumi attiecībā pret attiecīgajā periodā paredzētajiem ieņēmumiem samazinās vairāk nekā par 0,5 procentiem no gadskārtējā valsts budžeta likumā noteiktās IKP prognozes;</w:t>
      </w:r>
    </w:p>
    <w:p w14:paraId="290E07B4" w14:textId="77777777" w:rsidR="00F12F43" w:rsidRPr="004F7D04" w:rsidRDefault="00F12F43" w:rsidP="004F30BF">
      <w:pPr>
        <w:pStyle w:val="ListParagraph"/>
        <w:numPr>
          <w:ilvl w:val="0"/>
          <w:numId w:val="1"/>
        </w:numPr>
        <w:spacing w:after="120" w:line="240" w:lineRule="auto"/>
        <w:jc w:val="both"/>
        <w:rPr>
          <w:rFonts w:ascii="Times New Roman" w:hAnsi="Times New Roman"/>
          <w:sz w:val="24"/>
          <w:szCs w:val="24"/>
        </w:rPr>
      </w:pPr>
      <w:r w:rsidRPr="004F7D04">
        <w:rPr>
          <w:rFonts w:ascii="Times New Roman" w:hAnsi="Times New Roman"/>
          <w:sz w:val="24"/>
          <w:szCs w:val="24"/>
        </w:rPr>
        <w:t>faktiskais uzkrātais valsts budžeta finansiālais deficīts triju mēnešu periodā pārsniedz attiecīgajam periodam paredzēto valsts budžeta finansiālo deficītu vairāk nekā par 0,5 procentiem no gadskārtējā valsts budžeta likumā noteiktās IKP prognozes;</w:t>
      </w:r>
    </w:p>
    <w:p w14:paraId="1A4A4AAD" w14:textId="77777777" w:rsidR="00F12F43" w:rsidRPr="004F7D04" w:rsidRDefault="00F12F43" w:rsidP="009249AC">
      <w:pPr>
        <w:pStyle w:val="ListParagraph"/>
        <w:numPr>
          <w:ilvl w:val="0"/>
          <w:numId w:val="1"/>
        </w:numPr>
        <w:spacing w:after="120" w:line="240" w:lineRule="auto"/>
        <w:ind w:hanging="357"/>
        <w:contextualSpacing w:val="0"/>
        <w:jc w:val="both"/>
        <w:rPr>
          <w:rFonts w:ascii="Times New Roman" w:hAnsi="Times New Roman"/>
          <w:sz w:val="24"/>
          <w:szCs w:val="24"/>
        </w:rPr>
      </w:pPr>
      <w:r w:rsidRPr="004F7D04">
        <w:rPr>
          <w:rFonts w:ascii="Times New Roman" w:hAnsi="Times New Roman"/>
          <w:sz w:val="24"/>
          <w:szCs w:val="24"/>
        </w:rPr>
        <w:t xml:space="preserve">ja </w:t>
      </w:r>
      <w:r w:rsidRPr="004F30BF">
        <w:rPr>
          <w:rFonts w:ascii="Times New Roman" w:hAnsi="Times New Roman"/>
          <w:sz w:val="24"/>
          <w:szCs w:val="24"/>
        </w:rPr>
        <w:t>VK</w:t>
      </w:r>
      <w:r w:rsidRPr="004F7D04">
        <w:rPr>
          <w:rFonts w:ascii="Times New Roman" w:hAnsi="Times New Roman"/>
          <w:sz w:val="24"/>
          <w:szCs w:val="24"/>
        </w:rPr>
        <w:t xml:space="preserve"> budžeta kontos nav pietiekama līdzekļu apjoma, lai segtu nākamajam mēnesim plānotās maksājumu saistības.</w:t>
      </w:r>
    </w:p>
    <w:p w14:paraId="2F1F9C5D" w14:textId="77777777" w:rsidR="00F12F43" w:rsidRPr="004F30BF" w:rsidRDefault="00F12F43" w:rsidP="009249AC">
      <w:pPr>
        <w:pStyle w:val="ListParagraph"/>
        <w:spacing w:after="120" w:line="240" w:lineRule="auto"/>
        <w:ind w:left="0"/>
        <w:jc w:val="both"/>
        <w:rPr>
          <w:rFonts w:ascii="Times New Roman" w:hAnsi="Times New Roman"/>
          <w:sz w:val="24"/>
          <w:szCs w:val="24"/>
        </w:rPr>
      </w:pPr>
      <w:r w:rsidRPr="004F30BF">
        <w:rPr>
          <w:rFonts w:ascii="Times New Roman" w:hAnsi="Times New Roman"/>
          <w:sz w:val="24"/>
          <w:szCs w:val="24"/>
        </w:rPr>
        <w:t>Galvenās LBFV noteiktās sankcijas par neatbilstošu rīcību ar budžeta līdzekļiem:</w:t>
      </w:r>
    </w:p>
    <w:p w14:paraId="6ABE5EE2" w14:textId="77777777" w:rsidR="00F12F43" w:rsidRPr="004F7D04" w:rsidRDefault="00F12F43" w:rsidP="004F30BF">
      <w:pPr>
        <w:pStyle w:val="ListParagraph"/>
        <w:numPr>
          <w:ilvl w:val="0"/>
          <w:numId w:val="1"/>
        </w:numPr>
        <w:spacing w:after="120" w:line="240" w:lineRule="auto"/>
        <w:jc w:val="both"/>
        <w:rPr>
          <w:rFonts w:ascii="Times New Roman" w:hAnsi="Times New Roman"/>
          <w:sz w:val="24"/>
          <w:szCs w:val="24"/>
        </w:rPr>
      </w:pPr>
      <w:r w:rsidRPr="004F7D04">
        <w:rPr>
          <w:rFonts w:ascii="Times New Roman" w:hAnsi="Times New Roman"/>
          <w:sz w:val="24"/>
          <w:szCs w:val="24"/>
        </w:rPr>
        <w:t xml:space="preserve">par valsts budžetam pienākošos summu nesavlaicīgu vai nepilnīgu iemaksu </w:t>
      </w:r>
      <w:r w:rsidRPr="004F30BF">
        <w:rPr>
          <w:rFonts w:ascii="Times New Roman" w:hAnsi="Times New Roman"/>
          <w:sz w:val="24"/>
          <w:szCs w:val="24"/>
        </w:rPr>
        <w:t>VK</w:t>
      </w:r>
      <w:r w:rsidRPr="004F7D04">
        <w:rPr>
          <w:rFonts w:ascii="Times New Roman" w:hAnsi="Times New Roman"/>
          <w:sz w:val="24"/>
          <w:szCs w:val="24"/>
        </w:rPr>
        <w:t xml:space="preserve"> budžeta kontos – </w:t>
      </w:r>
      <w:r w:rsidRPr="004F30BF">
        <w:rPr>
          <w:rFonts w:ascii="Times New Roman" w:hAnsi="Times New Roman"/>
          <w:sz w:val="24"/>
          <w:szCs w:val="24"/>
        </w:rPr>
        <w:t>VK</w:t>
      </w:r>
      <w:r w:rsidRPr="004F7D04">
        <w:rPr>
          <w:rFonts w:ascii="Times New Roman" w:hAnsi="Times New Roman"/>
          <w:sz w:val="24"/>
          <w:szCs w:val="24"/>
        </w:rPr>
        <w:t xml:space="preserve"> (ja tas nav paredzēts citas valsts institūcijas kompetencē) piedzen iemaksāšanai pamatbudžeta ieņēmumos neiemaksāto summu un var piedzīt nokavējuma naudu 0,1</w:t>
      </w:r>
      <w:r w:rsidRPr="004F30BF">
        <w:rPr>
          <w:rFonts w:ascii="Times New Roman" w:hAnsi="Times New Roman"/>
          <w:sz w:val="24"/>
          <w:szCs w:val="24"/>
        </w:rPr>
        <w:t xml:space="preserve"> </w:t>
      </w:r>
      <w:r w:rsidRPr="004F7D04">
        <w:rPr>
          <w:rFonts w:ascii="Times New Roman" w:hAnsi="Times New Roman"/>
          <w:sz w:val="24"/>
          <w:szCs w:val="24"/>
        </w:rPr>
        <w:t>% apmērā no laikā nenomaksātās summas par katru nokavēto maksājuma dienu, ja normatīvajos aktos nav noteikta cita kārtība;</w:t>
      </w:r>
    </w:p>
    <w:p w14:paraId="244AE40D" w14:textId="77777777" w:rsidR="00F12F43" w:rsidRPr="004F7D04" w:rsidRDefault="00F12F43" w:rsidP="00F12F43">
      <w:pPr>
        <w:pStyle w:val="ListParagraph"/>
        <w:numPr>
          <w:ilvl w:val="0"/>
          <w:numId w:val="1"/>
        </w:numPr>
        <w:spacing w:after="120" w:line="240" w:lineRule="auto"/>
        <w:jc w:val="both"/>
        <w:rPr>
          <w:rFonts w:ascii="Times New Roman" w:hAnsi="Times New Roman"/>
          <w:sz w:val="24"/>
          <w:szCs w:val="24"/>
        </w:rPr>
      </w:pPr>
      <w:r w:rsidRPr="004F7D04">
        <w:rPr>
          <w:rFonts w:ascii="Times New Roman" w:hAnsi="Times New Roman"/>
          <w:sz w:val="24"/>
          <w:szCs w:val="24"/>
        </w:rPr>
        <w:t xml:space="preserve">ja jāsedz budžetam radušies zaudējumi – </w:t>
      </w:r>
      <w:r w:rsidRPr="004F7D04">
        <w:rPr>
          <w:rFonts w:ascii="Times New Roman" w:hAnsi="Times New Roman"/>
          <w:sz w:val="24"/>
          <w:szCs w:val="24"/>
          <w:lang w:val="lv-LV"/>
        </w:rPr>
        <w:t>VK</w:t>
      </w:r>
      <w:r w:rsidRPr="004F7D04">
        <w:rPr>
          <w:rFonts w:ascii="Times New Roman" w:hAnsi="Times New Roman"/>
          <w:sz w:val="24"/>
          <w:szCs w:val="24"/>
        </w:rPr>
        <w:t xml:space="preserve"> var ieskaitīt summas pamatbudžeta ieņēmumos, atsaukt vai apturēt asignējumus, ja nav laikā iesniegti vai ir nepilnīgi ziņojumi par budžetu un finanšu vadību, ja likumā noteiktajā kārtībā nav reģistrēti budžeta līdzekļi un darījumi ar šiem līdzekļiem, kā arī nav ziņots par tiem, ja uzskaite neatbilst noteiktajai kārtībai un tādējādi tiek slēpti budžetam pienākošies līdzekļi, kā arī, ja budžeta finansētas institūcijas vadītājs ir uzņēmies saistības, pārsniedzot </w:t>
      </w:r>
      <w:r w:rsidRPr="004F7D04">
        <w:rPr>
          <w:rFonts w:ascii="Times New Roman" w:hAnsi="Times New Roman"/>
          <w:sz w:val="24"/>
          <w:szCs w:val="24"/>
          <w:lang w:val="lv-LV"/>
        </w:rPr>
        <w:t>VK</w:t>
      </w:r>
      <w:r w:rsidRPr="004F7D04">
        <w:rPr>
          <w:rFonts w:ascii="Times New Roman" w:hAnsi="Times New Roman"/>
          <w:sz w:val="24"/>
          <w:szCs w:val="24"/>
        </w:rPr>
        <w:t xml:space="preserve"> sniegto asignējumu;</w:t>
      </w:r>
    </w:p>
    <w:p w14:paraId="681B7DB8" w14:textId="77777777" w:rsidR="00F12F43" w:rsidRPr="004F7D04" w:rsidRDefault="00F12F43" w:rsidP="00F12F43">
      <w:pPr>
        <w:pStyle w:val="ListParagraph"/>
        <w:numPr>
          <w:ilvl w:val="0"/>
          <w:numId w:val="1"/>
        </w:numPr>
        <w:spacing w:after="120" w:line="240" w:lineRule="auto"/>
        <w:jc w:val="both"/>
        <w:rPr>
          <w:rFonts w:ascii="Times New Roman" w:hAnsi="Times New Roman"/>
          <w:sz w:val="24"/>
          <w:szCs w:val="24"/>
        </w:rPr>
      </w:pPr>
      <w:r w:rsidRPr="004F7D04">
        <w:rPr>
          <w:rFonts w:ascii="Times New Roman" w:hAnsi="Times New Roman"/>
          <w:sz w:val="24"/>
          <w:szCs w:val="24"/>
        </w:rPr>
        <w:t xml:space="preserve">ja budžeta finansētas institūcijas, budžeta nefinansētas iestādes un pašvaldības, kā arī kapitālsabiedrības, kurās ir ieguldīta valsts vai pašvaldību kapitāla daļa, ir pārkāpušas </w:t>
      </w:r>
      <w:r w:rsidRPr="004F7D04">
        <w:rPr>
          <w:rFonts w:ascii="Times New Roman" w:hAnsi="Times New Roman"/>
          <w:sz w:val="24"/>
          <w:lang w:val="lv-LV"/>
        </w:rPr>
        <w:t>LBFV</w:t>
      </w:r>
      <w:r w:rsidRPr="004F7D04">
        <w:rPr>
          <w:rFonts w:ascii="Times New Roman" w:hAnsi="Times New Roman"/>
          <w:sz w:val="24"/>
          <w:szCs w:val="24"/>
        </w:rPr>
        <w:t xml:space="preserve"> paredzētos finanšu vadības noteikumus, finanšu ministrs, </w:t>
      </w:r>
      <w:r w:rsidRPr="004F7D04">
        <w:rPr>
          <w:rFonts w:ascii="Times New Roman" w:hAnsi="Times New Roman"/>
          <w:sz w:val="24"/>
          <w:szCs w:val="24"/>
          <w:lang w:val="lv-LV"/>
        </w:rPr>
        <w:t>VK</w:t>
      </w:r>
      <w:r w:rsidRPr="004F7D04">
        <w:rPr>
          <w:rFonts w:ascii="Times New Roman" w:hAnsi="Times New Roman"/>
          <w:sz w:val="24"/>
          <w:szCs w:val="24"/>
        </w:rPr>
        <w:t xml:space="preserve"> pārvaldnieks, ministriju un citu centrālo valsts iestāžu vadītāji (atbilstoši savai kompetencei) var uz laiku atņemt pilnvarojumu asignēt vai rīkot budžeta ieņēmumus vai izdevumus, noteikt kontu lietošanas ierobežojumus, atsaukt vai apturēt asignējumus, lai tiktu atlīdzināti nelikumīgi izlietotie līdzekļi, vai arī pieprasīt nelikumīgi izlietoto līdzekļu atmaksāšanu, iesniegt tiesā civilprasību vai nodot materiālus kompetentajām amatpersonām jautājuma par kriminālprocesa uzsākšanu izlemšanai, kā arī atsaukt vai apturēt maksājumus;</w:t>
      </w:r>
    </w:p>
    <w:p w14:paraId="469996C7" w14:textId="020AECAF" w:rsidR="00F12F43" w:rsidRPr="009249AC" w:rsidRDefault="00F12F43" w:rsidP="009249AC">
      <w:pPr>
        <w:pStyle w:val="ListParagraph"/>
        <w:numPr>
          <w:ilvl w:val="0"/>
          <w:numId w:val="1"/>
        </w:numPr>
        <w:spacing w:after="120" w:line="240" w:lineRule="auto"/>
        <w:ind w:hanging="357"/>
        <w:contextualSpacing w:val="0"/>
        <w:jc w:val="both"/>
        <w:rPr>
          <w:rFonts w:ascii="Times New Roman" w:hAnsi="Times New Roman"/>
          <w:sz w:val="24"/>
          <w:szCs w:val="24"/>
        </w:rPr>
      </w:pPr>
      <w:r w:rsidRPr="004F30BF">
        <w:rPr>
          <w:rFonts w:ascii="Times New Roman" w:hAnsi="Times New Roman"/>
          <w:sz w:val="24"/>
          <w:szCs w:val="24"/>
        </w:rPr>
        <w:t>VK</w:t>
      </w:r>
      <w:r w:rsidRPr="004F7D04">
        <w:rPr>
          <w:rFonts w:ascii="Times New Roman" w:hAnsi="Times New Roman"/>
          <w:sz w:val="24"/>
          <w:szCs w:val="24"/>
        </w:rPr>
        <w:t>, atbilstoši likumam „Par pašvaldību finanšu izlīdzināšanu” ir tiesības bezstrīdus kārtībā piedzīt no pašvaldības budžeta līdzekļiem naudas summas, ko attiecīgā pašvaldība nav savlaicīgi vai pilnā apmērā ieskaitījusi pašvaldību finanšu izlīdzināšanas fondā, norakstot šīs summas no attiecīgās pašvaldības budžeta.</w:t>
      </w:r>
    </w:p>
    <w:p w14:paraId="0D3A3022" w14:textId="08A2A6B5" w:rsidR="00F12F43" w:rsidRPr="004F7D04" w:rsidRDefault="00F12F43" w:rsidP="0011050B">
      <w:pPr>
        <w:pStyle w:val="ListParagraph"/>
        <w:spacing w:after="120" w:line="240" w:lineRule="auto"/>
        <w:ind w:left="0" w:firstLine="720"/>
        <w:jc w:val="both"/>
        <w:rPr>
          <w:rFonts w:ascii="Times New Roman" w:hAnsi="Times New Roman"/>
          <w:sz w:val="24"/>
          <w:lang w:val="lv-LV"/>
        </w:rPr>
      </w:pPr>
      <w:r w:rsidRPr="004F7D04">
        <w:rPr>
          <w:rFonts w:ascii="Times New Roman" w:hAnsi="Times New Roman"/>
          <w:sz w:val="24"/>
          <w:lang w:val="lv-LV"/>
        </w:rPr>
        <w:t>Lai saglabātu vispārējo ekonomisko līdzsvaru un nodrošinātu vienotu valsts finansiālo politiku, gadskārtējā valsts budžeta likumā atsevišķi tiek noteikti pašvaldību aizņēmumu un galvojumu kopējā palielinājuma apjomi. No summas, kas pašvaldībai pienākas no iedzīvotāju ienākuma nodokļa, vai no pašvaldību finanšu izlīdzināšanas fonda dotācijas VK ir tiesības ieturēt summas šādos gadījumos un šādā apmērā:</w:t>
      </w:r>
    </w:p>
    <w:p w14:paraId="0C5538AF" w14:textId="77777777" w:rsidR="00F12F43" w:rsidRPr="004F7D04" w:rsidRDefault="00F12F43" w:rsidP="00F12F43">
      <w:pPr>
        <w:pStyle w:val="ListParagraph"/>
        <w:spacing w:after="120" w:line="240" w:lineRule="auto"/>
        <w:ind w:left="0"/>
        <w:jc w:val="both"/>
        <w:rPr>
          <w:rFonts w:ascii="Times New Roman" w:hAnsi="Times New Roman"/>
          <w:sz w:val="24"/>
          <w:lang w:val="lv-LV"/>
        </w:rPr>
      </w:pPr>
    </w:p>
    <w:p w14:paraId="3C6C4B1F" w14:textId="77777777" w:rsidR="00F12F43" w:rsidRPr="004F7D04" w:rsidRDefault="00F12F43" w:rsidP="00120262">
      <w:pPr>
        <w:pStyle w:val="ListParagraph"/>
        <w:numPr>
          <w:ilvl w:val="0"/>
          <w:numId w:val="3"/>
        </w:numPr>
        <w:spacing w:after="120" w:line="240" w:lineRule="auto"/>
        <w:jc w:val="both"/>
        <w:rPr>
          <w:rFonts w:ascii="Times New Roman" w:hAnsi="Times New Roman"/>
          <w:sz w:val="24"/>
          <w:lang w:val="lv-LV"/>
        </w:rPr>
      </w:pPr>
      <w:r w:rsidRPr="004F7D04">
        <w:rPr>
          <w:rFonts w:ascii="Times New Roman" w:hAnsi="Times New Roman"/>
          <w:sz w:val="24"/>
          <w:lang w:val="lv-LV"/>
        </w:rPr>
        <w:t>ja pašvaldība nenodrošina valsts aizdevumu līgumos noteikto saistību savlaicīgu izpildi – savlaicīgi nesamaksātās summas apmērā;</w:t>
      </w:r>
    </w:p>
    <w:p w14:paraId="5FCBDE39" w14:textId="01B0DFD7" w:rsidR="00F12F43" w:rsidRPr="009249AC" w:rsidRDefault="00F12F43" w:rsidP="00120262">
      <w:pPr>
        <w:pStyle w:val="ListParagraph"/>
        <w:numPr>
          <w:ilvl w:val="0"/>
          <w:numId w:val="3"/>
        </w:numPr>
        <w:spacing w:after="120" w:line="240" w:lineRule="auto"/>
        <w:ind w:left="714" w:hanging="357"/>
        <w:contextualSpacing w:val="0"/>
        <w:jc w:val="both"/>
        <w:rPr>
          <w:rFonts w:ascii="Times New Roman" w:hAnsi="Times New Roman"/>
          <w:sz w:val="24"/>
          <w:lang w:val="lv-LV"/>
        </w:rPr>
      </w:pPr>
      <w:r w:rsidRPr="004F7D04">
        <w:rPr>
          <w:rFonts w:ascii="Times New Roman" w:hAnsi="Times New Roman"/>
          <w:sz w:val="24"/>
          <w:lang w:val="lv-LV"/>
        </w:rPr>
        <w:t>ja pašvaldība nenodrošina valsts aizdevuma izmantošanu atbilstoši aizdevumu līgumā noteiktajam mērķim – pēc finanšu ministra rīkojuma neatbilstoši līgumā noteiktajam mērķim izmantotās aizdevuma summas apmērā.</w:t>
      </w:r>
    </w:p>
    <w:p w14:paraId="2B191D48" w14:textId="77777777" w:rsidR="00F12F43" w:rsidRPr="004F7D04" w:rsidRDefault="00F12F43" w:rsidP="00F12F43">
      <w:pPr>
        <w:pStyle w:val="ListParagraph"/>
        <w:spacing w:after="120" w:line="240" w:lineRule="auto"/>
        <w:ind w:left="0" w:firstLine="567"/>
        <w:jc w:val="both"/>
        <w:rPr>
          <w:rFonts w:ascii="Times New Roman" w:hAnsi="Times New Roman"/>
          <w:sz w:val="24"/>
          <w:lang w:val="lv-LV"/>
        </w:rPr>
      </w:pPr>
      <w:r w:rsidRPr="004F7D04">
        <w:rPr>
          <w:rFonts w:ascii="Times New Roman" w:hAnsi="Times New Roman"/>
          <w:sz w:val="24"/>
          <w:lang w:val="lv-LV"/>
        </w:rPr>
        <w:t xml:space="preserve">Jaunie grozījumi LBFV paredz, ka MK reglamentē kārtību, kādā valsts budžeta iestādes piešķir valsts budžeta finansējumu privātpersonām, tai skaitā, nevalstiskajām organizācijām valsts pārvaldes uzdevumu veikšanai un uzrauga piešķirtā finansējuma izlietojumu. Tādējādi tiks ieviesti vienoti principi valsts pārvaldes deleģēto uzdevumu finansēšanai, izlietotā finansējuma kontrolei, atskaitīšanās par izlietoto valsts budžeta finansējumu kārtībai, kā arī minētā procesa publicitātes nodrošināšanai. </w:t>
      </w:r>
    </w:p>
    <w:p w14:paraId="6F0116A4" w14:textId="77777777" w:rsidR="00E939C4" w:rsidRPr="00DA405B" w:rsidRDefault="00E939C4" w:rsidP="00CC74C7">
      <w:pPr>
        <w:pStyle w:val="ListParagraph"/>
        <w:spacing w:after="120" w:line="240" w:lineRule="auto"/>
        <w:ind w:left="0"/>
        <w:jc w:val="both"/>
        <w:rPr>
          <w:lang w:val="lv-LV"/>
        </w:rPr>
      </w:pPr>
    </w:p>
    <w:p w14:paraId="17CE7516" w14:textId="2FDABA0A" w:rsidR="00D61CDB" w:rsidRPr="001B6A4A" w:rsidRDefault="00EB6C31" w:rsidP="001B6A4A">
      <w:pPr>
        <w:pStyle w:val="otrais"/>
        <w:ind w:left="0" w:firstLine="0"/>
        <w:rPr>
          <w:color w:val="000000"/>
        </w:rPr>
      </w:pPr>
      <w:bookmarkStart w:id="43" w:name="_Toc323120297"/>
      <w:bookmarkStart w:id="44" w:name="_Toc385517823"/>
      <w:bookmarkStart w:id="45" w:name="_Toc156371599"/>
      <w:bookmarkStart w:id="46" w:name="_Toc284924062"/>
      <w:bookmarkEnd w:id="41"/>
      <w:bookmarkEnd w:id="42"/>
      <w:r w:rsidRPr="001B6A4A">
        <w:rPr>
          <w:color w:val="000000"/>
        </w:rPr>
        <w:t>6</w:t>
      </w:r>
      <w:r w:rsidR="00D61CDB" w:rsidRPr="001B6A4A">
        <w:rPr>
          <w:color w:val="000000"/>
        </w:rPr>
        <w:t>.2. Ieņēmumu struktūras un sistēmas efektivitāte</w:t>
      </w:r>
      <w:bookmarkEnd w:id="43"/>
      <w:bookmarkEnd w:id="44"/>
    </w:p>
    <w:p w14:paraId="7BCE3E05" w14:textId="77777777" w:rsidR="00D4599E" w:rsidRPr="0013127D" w:rsidRDefault="00D4599E" w:rsidP="00D4599E">
      <w:r w:rsidRPr="0013127D">
        <w:t>Viens no būtiskiem valsts finanšu kvalitātes aspektiem ir stabilu un prognozējamu nodokļu ieņēmumu nodrošināšana budžetā valdības prioritāro sociālo un ekonomisko pasākumu finansēšanai.</w:t>
      </w:r>
    </w:p>
    <w:p w14:paraId="322E4259" w14:textId="22A00C04" w:rsidR="00D4599E" w:rsidRPr="00D4599E" w:rsidRDefault="00D4599E" w:rsidP="00D4599E">
      <w:pPr>
        <w:pStyle w:val="T"/>
        <w:jc w:val="right"/>
        <w:rPr>
          <w:rFonts w:ascii="Times New Roman" w:hAnsi="Times New Roman"/>
        </w:rPr>
      </w:pPr>
      <w:r w:rsidRPr="00D4599E">
        <w:rPr>
          <w:rFonts w:ascii="Times New Roman" w:hAnsi="Times New Roman"/>
        </w:rPr>
        <w:t>6.1. tabula. Nodokļu ieņēmumi vispārējās valdības budžetā (S.13), milj. </w:t>
      </w:r>
      <w:proofErr w:type="spellStart"/>
      <w:r w:rsidRPr="00D4599E">
        <w:rPr>
          <w:rFonts w:ascii="Times New Roman" w:hAnsi="Times New Roman"/>
          <w:i/>
        </w:rPr>
        <w:t>euro</w:t>
      </w:r>
      <w:proofErr w:type="spellEnd"/>
    </w:p>
    <w:tbl>
      <w:tblPr>
        <w:tblStyle w:val="TableGrid"/>
        <w:tblW w:w="9539"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00"/>
        <w:gridCol w:w="992"/>
        <w:gridCol w:w="969"/>
        <w:gridCol w:w="968"/>
        <w:gridCol w:w="969"/>
        <w:gridCol w:w="969"/>
        <w:gridCol w:w="1072"/>
      </w:tblGrid>
      <w:tr w:rsidR="00D4599E" w:rsidRPr="001C6FBD" w14:paraId="674D6352" w14:textId="77777777" w:rsidTr="001B6A4A">
        <w:trPr>
          <w:jc w:val="center"/>
        </w:trPr>
        <w:tc>
          <w:tcPr>
            <w:tcW w:w="3600" w:type="dxa"/>
          </w:tcPr>
          <w:p w14:paraId="33B425FA" w14:textId="77777777" w:rsidR="00D4599E" w:rsidRPr="001C6FBD" w:rsidRDefault="00D4599E" w:rsidP="00D4599E">
            <w:pPr>
              <w:pStyle w:val="tabteksts"/>
            </w:pPr>
          </w:p>
        </w:tc>
        <w:tc>
          <w:tcPr>
            <w:tcW w:w="992" w:type="dxa"/>
          </w:tcPr>
          <w:p w14:paraId="2121B2E7" w14:textId="77777777" w:rsidR="00D4599E" w:rsidRPr="001C6FBD" w:rsidRDefault="00D4599E" w:rsidP="00D4599E">
            <w:pPr>
              <w:pStyle w:val="tabteksts"/>
            </w:pPr>
            <w:r w:rsidRPr="001C6FBD">
              <w:t>Kods (EKS)</w:t>
            </w:r>
          </w:p>
        </w:tc>
        <w:tc>
          <w:tcPr>
            <w:tcW w:w="969" w:type="dxa"/>
          </w:tcPr>
          <w:p w14:paraId="24D8FB8C" w14:textId="77777777" w:rsidR="00D4599E" w:rsidRPr="001C6FBD" w:rsidRDefault="00D4599E" w:rsidP="00D4599E">
            <w:pPr>
              <w:pStyle w:val="tabteksts"/>
              <w:jc w:val="center"/>
              <w:rPr>
                <w:b/>
              </w:rPr>
            </w:pPr>
            <w:r w:rsidRPr="001C6FBD">
              <w:rPr>
                <w:b/>
              </w:rPr>
              <w:t>2013</w:t>
            </w:r>
          </w:p>
        </w:tc>
        <w:tc>
          <w:tcPr>
            <w:tcW w:w="968" w:type="dxa"/>
          </w:tcPr>
          <w:p w14:paraId="3336E31B" w14:textId="77777777" w:rsidR="00D4599E" w:rsidRPr="001C6FBD" w:rsidRDefault="00D4599E" w:rsidP="00D4599E">
            <w:pPr>
              <w:pStyle w:val="tabteksts"/>
              <w:jc w:val="center"/>
              <w:rPr>
                <w:b/>
              </w:rPr>
            </w:pPr>
            <w:r w:rsidRPr="001C6FBD">
              <w:rPr>
                <w:b/>
              </w:rPr>
              <w:t>2014</w:t>
            </w:r>
          </w:p>
        </w:tc>
        <w:tc>
          <w:tcPr>
            <w:tcW w:w="969" w:type="dxa"/>
          </w:tcPr>
          <w:p w14:paraId="5BB353F4" w14:textId="77777777" w:rsidR="00D4599E" w:rsidRPr="001C6FBD" w:rsidRDefault="00D4599E" w:rsidP="00D4599E">
            <w:pPr>
              <w:pStyle w:val="tabteksts"/>
              <w:jc w:val="center"/>
              <w:rPr>
                <w:b/>
              </w:rPr>
            </w:pPr>
            <w:r w:rsidRPr="001C6FBD">
              <w:rPr>
                <w:b/>
              </w:rPr>
              <w:t>2015</w:t>
            </w:r>
          </w:p>
        </w:tc>
        <w:tc>
          <w:tcPr>
            <w:tcW w:w="969" w:type="dxa"/>
          </w:tcPr>
          <w:p w14:paraId="09A8ACFB" w14:textId="77777777" w:rsidR="00D4599E" w:rsidRPr="001C6FBD" w:rsidRDefault="00D4599E" w:rsidP="00D4599E">
            <w:pPr>
              <w:pStyle w:val="tabteksts"/>
              <w:jc w:val="center"/>
              <w:rPr>
                <w:b/>
              </w:rPr>
            </w:pPr>
            <w:r w:rsidRPr="001C6FBD">
              <w:rPr>
                <w:b/>
              </w:rPr>
              <w:t>2016</w:t>
            </w:r>
          </w:p>
        </w:tc>
        <w:tc>
          <w:tcPr>
            <w:tcW w:w="1072" w:type="dxa"/>
          </w:tcPr>
          <w:p w14:paraId="2700DDE5" w14:textId="77777777" w:rsidR="00D4599E" w:rsidRPr="001C6FBD" w:rsidRDefault="00D4599E" w:rsidP="00D4599E">
            <w:pPr>
              <w:pStyle w:val="tabteksts"/>
              <w:jc w:val="center"/>
              <w:rPr>
                <w:b/>
              </w:rPr>
            </w:pPr>
            <w:r w:rsidRPr="001C6FBD">
              <w:rPr>
                <w:b/>
              </w:rPr>
              <w:t>2017</w:t>
            </w:r>
          </w:p>
        </w:tc>
      </w:tr>
      <w:tr w:rsidR="00D4599E" w:rsidRPr="001C6FBD" w14:paraId="74BA5ED1" w14:textId="77777777" w:rsidTr="001B6A4A">
        <w:trPr>
          <w:jc w:val="center"/>
        </w:trPr>
        <w:tc>
          <w:tcPr>
            <w:tcW w:w="3600" w:type="dxa"/>
          </w:tcPr>
          <w:p w14:paraId="1EE8256C" w14:textId="77777777" w:rsidR="00D4599E" w:rsidRPr="001C6FBD" w:rsidRDefault="00D4599E" w:rsidP="00D4599E">
            <w:pPr>
              <w:pStyle w:val="tabteksts"/>
              <w:rPr>
                <w:b/>
              </w:rPr>
            </w:pPr>
            <w:r w:rsidRPr="001C6FBD">
              <w:rPr>
                <w:b/>
              </w:rPr>
              <w:t>Nodokļu ieņēmumi</w:t>
            </w:r>
          </w:p>
        </w:tc>
        <w:tc>
          <w:tcPr>
            <w:tcW w:w="992" w:type="dxa"/>
          </w:tcPr>
          <w:p w14:paraId="4AF05189" w14:textId="77777777" w:rsidR="00D4599E" w:rsidRPr="001C6FBD" w:rsidRDefault="00D4599E" w:rsidP="00D4599E">
            <w:pPr>
              <w:pStyle w:val="tabteksts"/>
              <w:rPr>
                <w:b/>
              </w:rPr>
            </w:pPr>
          </w:p>
        </w:tc>
        <w:tc>
          <w:tcPr>
            <w:tcW w:w="969" w:type="dxa"/>
          </w:tcPr>
          <w:p w14:paraId="0074E28B" w14:textId="77777777" w:rsidR="00D4599E" w:rsidRPr="001C6FBD" w:rsidRDefault="00D4599E" w:rsidP="00D4599E">
            <w:pPr>
              <w:pStyle w:val="tabteksts"/>
              <w:tabs>
                <w:tab w:val="decimal" w:pos="483"/>
              </w:tabs>
              <w:rPr>
                <w:b/>
              </w:rPr>
            </w:pPr>
          </w:p>
        </w:tc>
        <w:tc>
          <w:tcPr>
            <w:tcW w:w="968" w:type="dxa"/>
          </w:tcPr>
          <w:p w14:paraId="1F23A5F2" w14:textId="77777777" w:rsidR="00D4599E" w:rsidRPr="001C6FBD" w:rsidRDefault="00D4599E" w:rsidP="00D4599E">
            <w:pPr>
              <w:pStyle w:val="tabteksts"/>
              <w:tabs>
                <w:tab w:val="decimal" w:pos="483"/>
              </w:tabs>
              <w:rPr>
                <w:b/>
              </w:rPr>
            </w:pPr>
          </w:p>
        </w:tc>
        <w:tc>
          <w:tcPr>
            <w:tcW w:w="969" w:type="dxa"/>
          </w:tcPr>
          <w:p w14:paraId="35A1F847" w14:textId="77777777" w:rsidR="00D4599E" w:rsidRPr="001C6FBD" w:rsidRDefault="00D4599E" w:rsidP="00D4599E">
            <w:pPr>
              <w:pStyle w:val="tabteksts"/>
              <w:tabs>
                <w:tab w:val="decimal" w:pos="483"/>
              </w:tabs>
              <w:rPr>
                <w:b/>
              </w:rPr>
            </w:pPr>
          </w:p>
        </w:tc>
        <w:tc>
          <w:tcPr>
            <w:tcW w:w="969" w:type="dxa"/>
          </w:tcPr>
          <w:p w14:paraId="21BE8616" w14:textId="77777777" w:rsidR="00D4599E" w:rsidRPr="001C6FBD" w:rsidRDefault="00D4599E" w:rsidP="00D4599E">
            <w:pPr>
              <w:pStyle w:val="tabteksts"/>
              <w:tabs>
                <w:tab w:val="decimal" w:pos="483"/>
              </w:tabs>
              <w:rPr>
                <w:b/>
              </w:rPr>
            </w:pPr>
          </w:p>
        </w:tc>
        <w:tc>
          <w:tcPr>
            <w:tcW w:w="1072" w:type="dxa"/>
          </w:tcPr>
          <w:p w14:paraId="252AC453" w14:textId="77777777" w:rsidR="00D4599E" w:rsidRPr="001C6FBD" w:rsidRDefault="00D4599E" w:rsidP="00D4599E">
            <w:pPr>
              <w:pStyle w:val="tabteksts"/>
              <w:tabs>
                <w:tab w:val="decimal" w:pos="483"/>
              </w:tabs>
              <w:rPr>
                <w:b/>
              </w:rPr>
            </w:pPr>
          </w:p>
        </w:tc>
      </w:tr>
      <w:tr w:rsidR="00D4599E" w:rsidRPr="001C6FBD" w14:paraId="2D661451" w14:textId="77777777" w:rsidTr="001B6A4A">
        <w:trPr>
          <w:jc w:val="center"/>
        </w:trPr>
        <w:tc>
          <w:tcPr>
            <w:tcW w:w="3600" w:type="dxa"/>
          </w:tcPr>
          <w:p w14:paraId="2CD480BF" w14:textId="77777777" w:rsidR="00D4599E" w:rsidRPr="001C6FBD" w:rsidRDefault="00D4599E" w:rsidP="00D4599E">
            <w:pPr>
              <w:pStyle w:val="tabteksts"/>
            </w:pPr>
            <w:r w:rsidRPr="001C6FBD">
              <w:t>1. Ražošanas un importa nodokļi</w:t>
            </w:r>
          </w:p>
        </w:tc>
        <w:tc>
          <w:tcPr>
            <w:tcW w:w="992" w:type="dxa"/>
          </w:tcPr>
          <w:p w14:paraId="6F5BECEF" w14:textId="77777777" w:rsidR="00D4599E" w:rsidRPr="001C6FBD" w:rsidRDefault="00D4599E" w:rsidP="00D4599E">
            <w:pPr>
              <w:pStyle w:val="tabteksts"/>
            </w:pPr>
            <w:r w:rsidRPr="001C6FBD">
              <w:t>D.2</w:t>
            </w:r>
          </w:p>
        </w:tc>
        <w:tc>
          <w:tcPr>
            <w:tcW w:w="969" w:type="dxa"/>
          </w:tcPr>
          <w:p w14:paraId="349D8CF4" w14:textId="77777777" w:rsidR="00D4599E" w:rsidRPr="001C6FBD" w:rsidRDefault="00D4599E" w:rsidP="00980148">
            <w:pPr>
              <w:pStyle w:val="tabteksts"/>
              <w:jc w:val="right"/>
            </w:pPr>
            <w:r>
              <w:t>2587,2</w:t>
            </w:r>
          </w:p>
        </w:tc>
        <w:tc>
          <w:tcPr>
            <w:tcW w:w="968" w:type="dxa"/>
          </w:tcPr>
          <w:p w14:paraId="1B35377F" w14:textId="77777777" w:rsidR="00D4599E" w:rsidRPr="001C6FBD" w:rsidRDefault="00D4599E" w:rsidP="00980148">
            <w:pPr>
              <w:pStyle w:val="tabteksts"/>
              <w:jc w:val="right"/>
            </w:pPr>
            <w:r w:rsidRPr="001C6FBD">
              <w:t>2863,0</w:t>
            </w:r>
          </w:p>
        </w:tc>
        <w:tc>
          <w:tcPr>
            <w:tcW w:w="969" w:type="dxa"/>
          </w:tcPr>
          <w:p w14:paraId="639EC838" w14:textId="77777777" w:rsidR="00D4599E" w:rsidRPr="001C6FBD" w:rsidRDefault="00D4599E" w:rsidP="00980148">
            <w:pPr>
              <w:pStyle w:val="tabteksts"/>
              <w:jc w:val="right"/>
            </w:pPr>
            <w:r w:rsidRPr="001C6FBD">
              <w:t>3033,8</w:t>
            </w:r>
          </w:p>
        </w:tc>
        <w:tc>
          <w:tcPr>
            <w:tcW w:w="969" w:type="dxa"/>
          </w:tcPr>
          <w:p w14:paraId="5D73F850" w14:textId="77777777" w:rsidR="00D4599E" w:rsidRPr="001C6FBD" w:rsidRDefault="00D4599E" w:rsidP="00980148">
            <w:pPr>
              <w:pStyle w:val="tabteksts"/>
              <w:jc w:val="right"/>
            </w:pPr>
            <w:r w:rsidRPr="001C6FBD">
              <w:t>3181,1</w:t>
            </w:r>
          </w:p>
        </w:tc>
        <w:tc>
          <w:tcPr>
            <w:tcW w:w="1072" w:type="dxa"/>
          </w:tcPr>
          <w:p w14:paraId="450A0B73" w14:textId="77777777" w:rsidR="00D4599E" w:rsidRPr="001C6FBD" w:rsidRDefault="00D4599E" w:rsidP="00980148">
            <w:pPr>
              <w:pStyle w:val="tabteksts"/>
              <w:jc w:val="right"/>
            </w:pPr>
            <w:r w:rsidRPr="001C6FBD">
              <w:t>3332,5</w:t>
            </w:r>
          </w:p>
        </w:tc>
      </w:tr>
      <w:tr w:rsidR="00D4599E" w:rsidRPr="001C6FBD" w14:paraId="081D749B" w14:textId="77777777" w:rsidTr="001B6A4A">
        <w:trPr>
          <w:jc w:val="center"/>
        </w:trPr>
        <w:tc>
          <w:tcPr>
            <w:tcW w:w="3600" w:type="dxa"/>
          </w:tcPr>
          <w:p w14:paraId="40264397" w14:textId="77777777" w:rsidR="00D4599E" w:rsidRPr="001C6FBD" w:rsidRDefault="00D4599E" w:rsidP="00D4599E">
            <w:pPr>
              <w:pStyle w:val="tabteksts"/>
            </w:pPr>
            <w:r w:rsidRPr="001C6FBD">
              <w:t xml:space="preserve">2. </w:t>
            </w:r>
            <w:r w:rsidRPr="001C6FBD">
              <w:rPr>
                <w:snapToGrid w:val="0"/>
              </w:rPr>
              <w:t>Ienākuma un mantas kārtējie nodokļi</w:t>
            </w:r>
          </w:p>
        </w:tc>
        <w:tc>
          <w:tcPr>
            <w:tcW w:w="992" w:type="dxa"/>
          </w:tcPr>
          <w:p w14:paraId="16FBBB5E" w14:textId="77777777" w:rsidR="00D4599E" w:rsidRPr="001C6FBD" w:rsidRDefault="00D4599E" w:rsidP="00D4599E">
            <w:pPr>
              <w:pStyle w:val="tabteksts"/>
            </w:pPr>
            <w:r w:rsidRPr="001C6FBD">
              <w:t>D.5</w:t>
            </w:r>
          </w:p>
        </w:tc>
        <w:tc>
          <w:tcPr>
            <w:tcW w:w="969" w:type="dxa"/>
          </w:tcPr>
          <w:p w14:paraId="524FD1E0" w14:textId="77777777" w:rsidR="00D4599E" w:rsidRPr="001C6FBD" w:rsidRDefault="00D4599E" w:rsidP="00980148">
            <w:pPr>
              <w:pStyle w:val="tabteksts"/>
              <w:jc w:val="right"/>
            </w:pPr>
            <w:r w:rsidRPr="001C6FBD">
              <w:t>1785,5</w:t>
            </w:r>
          </w:p>
        </w:tc>
        <w:tc>
          <w:tcPr>
            <w:tcW w:w="968" w:type="dxa"/>
          </w:tcPr>
          <w:p w14:paraId="5B335836" w14:textId="77777777" w:rsidR="00D4599E" w:rsidRPr="001C6FBD" w:rsidRDefault="00D4599E" w:rsidP="00980148">
            <w:pPr>
              <w:pStyle w:val="tabteksts"/>
              <w:jc w:val="right"/>
            </w:pPr>
            <w:r w:rsidRPr="001C6FBD">
              <w:t>1876,9</w:t>
            </w:r>
          </w:p>
        </w:tc>
        <w:tc>
          <w:tcPr>
            <w:tcW w:w="969" w:type="dxa"/>
          </w:tcPr>
          <w:p w14:paraId="5BCC07A7" w14:textId="77777777" w:rsidR="00D4599E" w:rsidRPr="001C6FBD" w:rsidRDefault="00D4599E" w:rsidP="00980148">
            <w:pPr>
              <w:pStyle w:val="tabteksts"/>
              <w:jc w:val="right"/>
            </w:pPr>
            <w:r w:rsidRPr="001C6FBD">
              <w:t>1921,0</w:t>
            </w:r>
          </w:p>
        </w:tc>
        <w:tc>
          <w:tcPr>
            <w:tcW w:w="969" w:type="dxa"/>
          </w:tcPr>
          <w:p w14:paraId="3D4E6B0F" w14:textId="77777777" w:rsidR="00D4599E" w:rsidRPr="001C6FBD" w:rsidRDefault="00D4599E" w:rsidP="00980148">
            <w:pPr>
              <w:pStyle w:val="tabteksts"/>
              <w:jc w:val="right"/>
            </w:pPr>
            <w:r w:rsidRPr="001C6FBD">
              <w:t>1964,7</w:t>
            </w:r>
          </w:p>
        </w:tc>
        <w:tc>
          <w:tcPr>
            <w:tcW w:w="1072" w:type="dxa"/>
          </w:tcPr>
          <w:p w14:paraId="046DECAE" w14:textId="77777777" w:rsidR="00D4599E" w:rsidRPr="001C6FBD" w:rsidRDefault="00D4599E" w:rsidP="00980148">
            <w:pPr>
              <w:pStyle w:val="tabteksts"/>
              <w:jc w:val="right"/>
            </w:pPr>
            <w:r w:rsidRPr="001C6FBD">
              <w:t>2071,2</w:t>
            </w:r>
          </w:p>
        </w:tc>
      </w:tr>
      <w:tr w:rsidR="00D4599E" w:rsidRPr="001C6FBD" w14:paraId="18DCCD66" w14:textId="77777777" w:rsidTr="001B6A4A">
        <w:trPr>
          <w:jc w:val="center"/>
        </w:trPr>
        <w:tc>
          <w:tcPr>
            <w:tcW w:w="3600" w:type="dxa"/>
          </w:tcPr>
          <w:p w14:paraId="6D0F03EC" w14:textId="77777777" w:rsidR="00D4599E" w:rsidRPr="001C6FBD" w:rsidRDefault="00D4599E" w:rsidP="00D4599E">
            <w:pPr>
              <w:pStyle w:val="tabteksts"/>
            </w:pPr>
            <w:r w:rsidRPr="001C6FBD">
              <w:t>3. Kapitāla nodokļi</w:t>
            </w:r>
          </w:p>
        </w:tc>
        <w:tc>
          <w:tcPr>
            <w:tcW w:w="992" w:type="dxa"/>
          </w:tcPr>
          <w:p w14:paraId="7416559D" w14:textId="77777777" w:rsidR="00D4599E" w:rsidRPr="001C6FBD" w:rsidRDefault="00D4599E" w:rsidP="00D4599E">
            <w:pPr>
              <w:pStyle w:val="tabteksts"/>
            </w:pPr>
            <w:r w:rsidRPr="001C6FBD">
              <w:t>D.91</w:t>
            </w:r>
          </w:p>
        </w:tc>
        <w:tc>
          <w:tcPr>
            <w:tcW w:w="969" w:type="dxa"/>
          </w:tcPr>
          <w:p w14:paraId="17DF62FF" w14:textId="77777777" w:rsidR="00D4599E" w:rsidRPr="001C6FBD" w:rsidRDefault="00D4599E" w:rsidP="00980148">
            <w:pPr>
              <w:pStyle w:val="tabteksts"/>
              <w:jc w:val="right"/>
            </w:pPr>
            <w:r w:rsidRPr="001C6FBD">
              <w:t>2,3</w:t>
            </w:r>
          </w:p>
        </w:tc>
        <w:tc>
          <w:tcPr>
            <w:tcW w:w="968" w:type="dxa"/>
          </w:tcPr>
          <w:p w14:paraId="6FE586F5" w14:textId="77777777" w:rsidR="00D4599E" w:rsidRPr="001C6FBD" w:rsidRDefault="00D4599E" w:rsidP="00980148">
            <w:pPr>
              <w:pStyle w:val="tabteksts"/>
              <w:jc w:val="right"/>
            </w:pPr>
            <w:r w:rsidRPr="001C6FBD">
              <w:t>2,7</w:t>
            </w:r>
          </w:p>
        </w:tc>
        <w:tc>
          <w:tcPr>
            <w:tcW w:w="969" w:type="dxa"/>
          </w:tcPr>
          <w:p w14:paraId="5377594B" w14:textId="77777777" w:rsidR="00D4599E" w:rsidRPr="001C6FBD" w:rsidRDefault="00D4599E" w:rsidP="00980148">
            <w:pPr>
              <w:pStyle w:val="tabteksts"/>
              <w:jc w:val="right"/>
            </w:pPr>
            <w:r w:rsidRPr="001C6FBD">
              <w:t>3,1</w:t>
            </w:r>
          </w:p>
        </w:tc>
        <w:tc>
          <w:tcPr>
            <w:tcW w:w="969" w:type="dxa"/>
          </w:tcPr>
          <w:p w14:paraId="24A9687E" w14:textId="77777777" w:rsidR="00D4599E" w:rsidRPr="001C6FBD" w:rsidRDefault="00D4599E" w:rsidP="00980148">
            <w:pPr>
              <w:pStyle w:val="tabteksts"/>
              <w:jc w:val="right"/>
            </w:pPr>
            <w:r w:rsidRPr="001C6FBD">
              <w:t>3,2</w:t>
            </w:r>
          </w:p>
        </w:tc>
        <w:tc>
          <w:tcPr>
            <w:tcW w:w="1072" w:type="dxa"/>
          </w:tcPr>
          <w:p w14:paraId="121A5FE0" w14:textId="77777777" w:rsidR="00D4599E" w:rsidRPr="001C6FBD" w:rsidRDefault="00D4599E" w:rsidP="00980148">
            <w:pPr>
              <w:pStyle w:val="tabteksts"/>
              <w:jc w:val="right"/>
            </w:pPr>
            <w:r w:rsidRPr="001C6FBD">
              <w:t>3,5</w:t>
            </w:r>
          </w:p>
        </w:tc>
      </w:tr>
      <w:tr w:rsidR="00D4599E" w:rsidRPr="001C6FBD" w14:paraId="4528D191" w14:textId="77777777" w:rsidTr="001B6A4A">
        <w:trPr>
          <w:jc w:val="center"/>
        </w:trPr>
        <w:tc>
          <w:tcPr>
            <w:tcW w:w="3600" w:type="dxa"/>
          </w:tcPr>
          <w:p w14:paraId="69C07E4B" w14:textId="77777777" w:rsidR="00D4599E" w:rsidRPr="001C6FBD" w:rsidRDefault="00D4599E" w:rsidP="00D4599E">
            <w:pPr>
              <w:pStyle w:val="tabteksts"/>
            </w:pPr>
            <w:r w:rsidRPr="001C6FBD">
              <w:t>4. Sociālās iemaksas</w:t>
            </w:r>
          </w:p>
        </w:tc>
        <w:tc>
          <w:tcPr>
            <w:tcW w:w="992" w:type="dxa"/>
          </w:tcPr>
          <w:p w14:paraId="18BA04F3" w14:textId="77777777" w:rsidR="00D4599E" w:rsidRPr="001C6FBD" w:rsidRDefault="00D4599E" w:rsidP="00D4599E">
            <w:pPr>
              <w:pStyle w:val="tabteksts"/>
            </w:pPr>
            <w:r w:rsidRPr="001C6FBD">
              <w:t>D.61</w:t>
            </w:r>
          </w:p>
        </w:tc>
        <w:tc>
          <w:tcPr>
            <w:tcW w:w="969" w:type="dxa"/>
          </w:tcPr>
          <w:p w14:paraId="335CA1DD" w14:textId="77777777" w:rsidR="00D4599E" w:rsidRPr="001C6FBD" w:rsidRDefault="00D4599E" w:rsidP="00980148">
            <w:pPr>
              <w:pStyle w:val="tabteksts"/>
              <w:jc w:val="right"/>
            </w:pPr>
            <w:r w:rsidRPr="001C6FBD">
              <w:t>1932,7</w:t>
            </w:r>
          </w:p>
        </w:tc>
        <w:tc>
          <w:tcPr>
            <w:tcW w:w="968" w:type="dxa"/>
          </w:tcPr>
          <w:p w14:paraId="03BA6EFC" w14:textId="77777777" w:rsidR="00D4599E" w:rsidRPr="001C6FBD" w:rsidRDefault="00D4599E" w:rsidP="00980148">
            <w:pPr>
              <w:pStyle w:val="tabteksts"/>
              <w:jc w:val="right"/>
            </w:pPr>
            <w:r w:rsidRPr="001C6FBD">
              <w:t>2018,5</w:t>
            </w:r>
          </w:p>
        </w:tc>
        <w:tc>
          <w:tcPr>
            <w:tcW w:w="969" w:type="dxa"/>
          </w:tcPr>
          <w:p w14:paraId="224068E7" w14:textId="77777777" w:rsidR="00D4599E" w:rsidRPr="001C6FBD" w:rsidRDefault="00D4599E" w:rsidP="00980148">
            <w:pPr>
              <w:pStyle w:val="tabteksts"/>
              <w:jc w:val="right"/>
            </w:pPr>
            <w:r w:rsidRPr="001C6FBD">
              <w:t>2035,7</w:t>
            </w:r>
          </w:p>
        </w:tc>
        <w:tc>
          <w:tcPr>
            <w:tcW w:w="969" w:type="dxa"/>
          </w:tcPr>
          <w:p w14:paraId="1C0537F8" w14:textId="77777777" w:rsidR="00D4599E" w:rsidRPr="001C6FBD" w:rsidRDefault="00D4599E" w:rsidP="00980148">
            <w:pPr>
              <w:pStyle w:val="tabteksts"/>
              <w:jc w:val="right"/>
            </w:pPr>
            <w:r w:rsidRPr="001C6FBD">
              <w:t>2081,4</w:t>
            </w:r>
          </w:p>
        </w:tc>
        <w:tc>
          <w:tcPr>
            <w:tcW w:w="1072" w:type="dxa"/>
          </w:tcPr>
          <w:p w14:paraId="0F40D49A" w14:textId="77777777" w:rsidR="00D4599E" w:rsidRPr="001C6FBD" w:rsidRDefault="00D4599E" w:rsidP="00980148">
            <w:pPr>
              <w:pStyle w:val="tabteksts"/>
              <w:jc w:val="right"/>
            </w:pPr>
            <w:r w:rsidRPr="001C6FBD">
              <w:t>2166,4</w:t>
            </w:r>
          </w:p>
        </w:tc>
      </w:tr>
      <w:tr w:rsidR="00D4599E" w:rsidRPr="00ED7A2C" w14:paraId="7FE51D81" w14:textId="77777777" w:rsidTr="001B6A4A">
        <w:trPr>
          <w:trHeight w:val="191"/>
          <w:jc w:val="center"/>
        </w:trPr>
        <w:tc>
          <w:tcPr>
            <w:tcW w:w="3600" w:type="dxa"/>
          </w:tcPr>
          <w:p w14:paraId="49FC754D" w14:textId="77777777" w:rsidR="00D4599E" w:rsidRPr="001C6FBD" w:rsidRDefault="00D4599E" w:rsidP="00D4599E">
            <w:pPr>
              <w:pStyle w:val="tabteksts"/>
              <w:rPr>
                <w:i/>
              </w:rPr>
            </w:pPr>
            <w:r w:rsidRPr="001C6FBD">
              <w:rPr>
                <w:i/>
              </w:rPr>
              <w:t xml:space="preserve">   No tā faktiskās sociālās iemaksas</w:t>
            </w:r>
          </w:p>
        </w:tc>
        <w:tc>
          <w:tcPr>
            <w:tcW w:w="992" w:type="dxa"/>
          </w:tcPr>
          <w:p w14:paraId="752CEBB4" w14:textId="77777777" w:rsidR="00D4599E" w:rsidRPr="001C6FBD" w:rsidRDefault="00D4599E" w:rsidP="00D4599E">
            <w:pPr>
              <w:pStyle w:val="tabteksts"/>
              <w:rPr>
                <w:i/>
              </w:rPr>
            </w:pPr>
            <w:r w:rsidRPr="001C6FBD">
              <w:rPr>
                <w:i/>
              </w:rPr>
              <w:t>D.611</w:t>
            </w:r>
          </w:p>
        </w:tc>
        <w:tc>
          <w:tcPr>
            <w:tcW w:w="969" w:type="dxa"/>
          </w:tcPr>
          <w:p w14:paraId="575B4556" w14:textId="77777777" w:rsidR="00D4599E" w:rsidRPr="001C6FBD" w:rsidRDefault="00D4599E" w:rsidP="00980148">
            <w:pPr>
              <w:pStyle w:val="tabteksts"/>
              <w:jc w:val="right"/>
              <w:rPr>
                <w:i/>
              </w:rPr>
            </w:pPr>
            <w:r w:rsidRPr="001C6FBD">
              <w:rPr>
                <w:i/>
              </w:rPr>
              <w:t>1894,2</w:t>
            </w:r>
          </w:p>
        </w:tc>
        <w:tc>
          <w:tcPr>
            <w:tcW w:w="968" w:type="dxa"/>
          </w:tcPr>
          <w:p w14:paraId="637FD246" w14:textId="77777777" w:rsidR="00D4599E" w:rsidRPr="001C6FBD" w:rsidRDefault="00D4599E" w:rsidP="00980148">
            <w:pPr>
              <w:pStyle w:val="tabteksts"/>
              <w:jc w:val="right"/>
              <w:rPr>
                <w:i/>
              </w:rPr>
            </w:pPr>
            <w:r w:rsidRPr="001C6FBD">
              <w:rPr>
                <w:i/>
              </w:rPr>
              <w:t>1980,0</w:t>
            </w:r>
          </w:p>
        </w:tc>
        <w:tc>
          <w:tcPr>
            <w:tcW w:w="969" w:type="dxa"/>
          </w:tcPr>
          <w:p w14:paraId="39B2C60F" w14:textId="77777777" w:rsidR="00D4599E" w:rsidRPr="001C6FBD" w:rsidRDefault="00D4599E" w:rsidP="00980148">
            <w:pPr>
              <w:pStyle w:val="tabteksts"/>
              <w:jc w:val="right"/>
            </w:pPr>
            <w:r w:rsidRPr="001C6FBD">
              <w:t>1997,3</w:t>
            </w:r>
          </w:p>
        </w:tc>
        <w:tc>
          <w:tcPr>
            <w:tcW w:w="969" w:type="dxa"/>
          </w:tcPr>
          <w:p w14:paraId="1A65063E" w14:textId="77777777" w:rsidR="00D4599E" w:rsidRPr="001C6FBD" w:rsidRDefault="00D4599E" w:rsidP="00980148">
            <w:pPr>
              <w:pStyle w:val="tabteksts"/>
              <w:jc w:val="right"/>
            </w:pPr>
            <w:r w:rsidRPr="001C6FBD">
              <w:t>2043,0</w:t>
            </w:r>
          </w:p>
        </w:tc>
        <w:tc>
          <w:tcPr>
            <w:tcW w:w="1072" w:type="dxa"/>
          </w:tcPr>
          <w:p w14:paraId="30AD355E" w14:textId="77777777" w:rsidR="00D4599E" w:rsidRPr="001C6FBD" w:rsidRDefault="00D4599E" w:rsidP="00980148">
            <w:pPr>
              <w:pStyle w:val="tabteksts"/>
              <w:jc w:val="right"/>
            </w:pPr>
            <w:r w:rsidRPr="001C6FBD">
              <w:t>2128,0</w:t>
            </w:r>
          </w:p>
        </w:tc>
      </w:tr>
    </w:tbl>
    <w:p w14:paraId="13A9CD36" w14:textId="77777777" w:rsidR="00D4599E" w:rsidRPr="00ED7A2C" w:rsidRDefault="00D4599E" w:rsidP="00D4599E">
      <w:pPr>
        <w:rPr>
          <w:highlight w:val="yellow"/>
        </w:rPr>
      </w:pPr>
    </w:p>
    <w:p w14:paraId="74324118" w14:textId="77777777" w:rsidR="00D4599E" w:rsidRPr="0013127D" w:rsidRDefault="00D4599E" w:rsidP="00D4599E">
      <w:r w:rsidRPr="0013127D">
        <w:t>Jāmin, ka kopējais nodokļu slogs Latvijā vairākus gadus saglabājas kā viens no zemākajiem ES. 201</w:t>
      </w:r>
      <w:r>
        <w:t>2. </w:t>
      </w:r>
      <w:r w:rsidRPr="0013127D">
        <w:t>gadā tas veidoja 28,1 % no IKP, kas ir zemāks nekā ES vidējais rādītājs 40,6 % no IKP.</w:t>
      </w:r>
    </w:p>
    <w:p w14:paraId="3879303E" w14:textId="70E70D4E" w:rsidR="00D4599E" w:rsidRPr="00D4599E" w:rsidRDefault="00D4599E" w:rsidP="00D4599E">
      <w:pPr>
        <w:ind w:firstLine="0"/>
        <w:jc w:val="center"/>
        <w:rPr>
          <w:highlight w:val="yellow"/>
        </w:rPr>
      </w:pPr>
      <w:r>
        <w:rPr>
          <w:noProof/>
          <w:lang w:eastAsia="lv-LV"/>
        </w:rPr>
        <w:drawing>
          <wp:inline distT="0" distB="0" distL="0" distR="0" wp14:anchorId="7C3B9209" wp14:editId="145E68B8">
            <wp:extent cx="5760085" cy="1997431"/>
            <wp:effectExtent l="0" t="0" r="1206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b/>
          <w:szCs w:val="24"/>
        </w:rPr>
        <w:t>6</w:t>
      </w:r>
      <w:r w:rsidRPr="00D4599E">
        <w:rPr>
          <w:b/>
          <w:szCs w:val="24"/>
        </w:rPr>
        <w:t>.1. att</w:t>
      </w:r>
      <w:r w:rsidR="007A647F">
        <w:rPr>
          <w:b/>
          <w:szCs w:val="24"/>
        </w:rPr>
        <w:t>ēls</w:t>
      </w:r>
      <w:r w:rsidRPr="00D4599E">
        <w:rPr>
          <w:b/>
          <w:szCs w:val="24"/>
        </w:rPr>
        <w:t xml:space="preserve">. Nodokļu ieņēmumi Latvijā un </w:t>
      </w:r>
      <w:r>
        <w:rPr>
          <w:b/>
          <w:szCs w:val="24"/>
        </w:rPr>
        <w:t>ES</w:t>
      </w:r>
      <w:r w:rsidRPr="00D4599E">
        <w:rPr>
          <w:b/>
          <w:szCs w:val="24"/>
        </w:rPr>
        <w:t xml:space="preserve"> 2012. gadā, % no IKP</w:t>
      </w:r>
      <w:r w:rsidRPr="00D4599E">
        <w:rPr>
          <w:rStyle w:val="FootnoteReference"/>
          <w:rFonts w:ascii="Times New Roman" w:hAnsi="Times New Roman"/>
          <w:b/>
          <w:sz w:val="24"/>
          <w:szCs w:val="24"/>
        </w:rPr>
        <w:footnoteReference w:id="10"/>
      </w:r>
    </w:p>
    <w:p w14:paraId="592EBB50" w14:textId="094D0F8B" w:rsidR="00D4599E" w:rsidRPr="00437B7B" w:rsidRDefault="00D4599E" w:rsidP="00437B7B">
      <w:r w:rsidRPr="00F87246">
        <w:t xml:space="preserve">Latvijā lielāko daļu no visiem nodokļu ieņēmumiem veido darba nodokļi. Pēdējos gados nodokļu politika ir vērsta uz darba nodokļu īpatsvara samazināšanu kopējos nodokļu ieņēmumos, kas samazinājās no 50,6 % 2011. gadā līdz </w:t>
      </w:r>
      <w:r>
        <w:t>50,1</w:t>
      </w:r>
      <w:r w:rsidRPr="00F87246">
        <w:t xml:space="preserve"> % 2013. gadā, līdz ar to patēriņa, kapitāla nodokļu ieņēmumu īpatsvars kopējos nodokļu ieņēmumos pakāpeniski palielinājās no 49,4 % 2011. gadā līdz </w:t>
      </w:r>
      <w:r>
        <w:t>49,9</w:t>
      </w:r>
      <w:r w:rsidR="00437B7B">
        <w:t> % 2013. gadā.</w:t>
      </w:r>
    </w:p>
    <w:p w14:paraId="70D4CB5E" w14:textId="77777777" w:rsidR="00D4599E" w:rsidRPr="00F87246" w:rsidRDefault="00D4599E" w:rsidP="00D4599E">
      <w:pPr>
        <w:spacing w:before="240"/>
        <w:ind w:firstLine="0"/>
        <w:jc w:val="center"/>
      </w:pPr>
      <w:r w:rsidRPr="00F87246">
        <w:rPr>
          <w:noProof/>
          <w:lang w:eastAsia="lv-LV"/>
        </w:rPr>
        <w:drawing>
          <wp:inline distT="0" distB="0" distL="0" distR="0" wp14:anchorId="04E421A8" wp14:editId="3EEBD018">
            <wp:extent cx="4805807" cy="2485249"/>
            <wp:effectExtent l="19050" t="19050" r="1397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l="2045" t="29176" r="8418"/>
                    <a:stretch/>
                  </pic:blipFill>
                  <pic:spPr bwMode="auto">
                    <a:xfrm>
                      <a:off x="0" y="0"/>
                      <a:ext cx="4821840" cy="249354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E8AD727" w14:textId="615BB679" w:rsidR="00D4599E" w:rsidRPr="00D4599E" w:rsidRDefault="00D4599E" w:rsidP="00D4599E">
      <w:pPr>
        <w:pStyle w:val="Zpar"/>
        <w:spacing w:after="240"/>
        <w:ind w:left="0" w:right="-1" w:firstLine="0"/>
        <w:jc w:val="center"/>
        <w:rPr>
          <w:rFonts w:ascii="Times New Roman" w:hAnsi="Times New Roman"/>
          <w:b/>
          <w:i w:val="0"/>
          <w:sz w:val="24"/>
          <w:szCs w:val="24"/>
        </w:rPr>
      </w:pPr>
      <w:r w:rsidRPr="00D4599E">
        <w:rPr>
          <w:rFonts w:ascii="Times New Roman" w:hAnsi="Times New Roman"/>
          <w:b/>
          <w:i w:val="0"/>
          <w:sz w:val="24"/>
          <w:szCs w:val="24"/>
        </w:rPr>
        <w:t>6</w:t>
      </w:r>
      <w:r>
        <w:rPr>
          <w:rFonts w:ascii="Times New Roman" w:hAnsi="Times New Roman"/>
          <w:b/>
          <w:i w:val="0"/>
          <w:sz w:val="24"/>
          <w:szCs w:val="24"/>
        </w:rPr>
        <w:t>.2. att</w:t>
      </w:r>
      <w:r w:rsidR="007A647F">
        <w:rPr>
          <w:rFonts w:ascii="Times New Roman" w:hAnsi="Times New Roman"/>
          <w:b/>
          <w:i w:val="0"/>
          <w:sz w:val="24"/>
          <w:szCs w:val="24"/>
        </w:rPr>
        <w:t>ēls</w:t>
      </w:r>
      <w:r>
        <w:rPr>
          <w:rFonts w:ascii="Times New Roman" w:hAnsi="Times New Roman"/>
          <w:b/>
          <w:i w:val="0"/>
          <w:sz w:val="24"/>
          <w:szCs w:val="24"/>
        </w:rPr>
        <w:t xml:space="preserve">. </w:t>
      </w:r>
      <w:r w:rsidRPr="00D4599E">
        <w:rPr>
          <w:rFonts w:ascii="Times New Roman" w:hAnsi="Times New Roman"/>
          <w:b/>
          <w:i w:val="0"/>
          <w:sz w:val="24"/>
          <w:szCs w:val="24"/>
        </w:rPr>
        <w:t>Nodokļu ieņēmumi atbilstoši ekonomiskajām funkcijām, % no IKP.</w:t>
      </w:r>
    </w:p>
    <w:p w14:paraId="1F6CAC57" w14:textId="77777777" w:rsidR="00D4599E" w:rsidRPr="00093EAA" w:rsidRDefault="00D4599E" w:rsidP="00D4599E">
      <w:r w:rsidRPr="00093EAA">
        <w:t>Pēc pievienošanās ES nodokļu ieņēmumu pieaugumu galvenokārt sekmēja strauja ekonomiskā izaugsme, taču 2009. gadā ekonomikas krīzes rezultātā nodokļu ieņēmumi samazinājās. Lai nodrošinātu fiskālo konsolidāciju un panāktu budžeta deficīta samazināšanos, 2008. gadā tika uzsākta budžeta fiskālā konsolidācija, kas turpinājās līdz 2012. gadam. Savukārt jau 2013. un 2014. gadā veiktās nodokļu politikas izmaiņas galvenokārt ir vērstas uz darbaspēka nodokļu sloga samazin</w:t>
      </w:r>
      <w:r>
        <w:t xml:space="preserve">āšanu un ēnu ekonomikas ierobežošanu. Tāpat vidēja termiņa </w:t>
      </w:r>
      <w:r w:rsidRPr="00470305">
        <w:t>nodokļu politikas izmaiņas ir vērstas</w:t>
      </w:r>
      <w:r>
        <w:t>,</w:t>
      </w:r>
      <w:r w:rsidRPr="00470305">
        <w:t xml:space="preserve"> </w:t>
      </w:r>
      <w:r>
        <w:t>l</w:t>
      </w:r>
      <w:r w:rsidRPr="00470305">
        <w:t>ai veicinātu ekonomisko aktivitāti, investīcijas un nodarbinātību</w:t>
      </w:r>
      <w:r>
        <w:t>.</w:t>
      </w:r>
    </w:p>
    <w:p w14:paraId="271C4FC9" w14:textId="6C59F75F" w:rsidR="00D4599E" w:rsidRDefault="00D4599E" w:rsidP="00D4599E">
      <w:r>
        <w:t>Saskaņā ar EK 2013.gada korporatīvās sociālās atbildības (CRS) ziņojumu par virzības īstenošanu un priekšlikumiem, lai samazinātu nodokļu slogu iedzīvotājiem ar zemiem ienākumiem, novirzot to uz akcīzes un dabas resursu nodokli, kā arī lai uzlabotu nodokļu maksāšanu un ierobežotu</w:t>
      </w:r>
      <w:r w:rsidRPr="00E44882">
        <w:t xml:space="preserve"> ēnu ekonomiku</w:t>
      </w:r>
      <w:r>
        <w:t xml:space="preserve"> 2014.gadā </w:t>
      </w:r>
      <w:r w:rsidRPr="00E44882">
        <w:t xml:space="preserve">tika </w:t>
      </w:r>
      <w:r>
        <w:t>ieviestas vairākas likumdošanas izmaiņas</w:t>
      </w:r>
      <w:r w:rsidRPr="00E44882">
        <w:t xml:space="preserve">. </w:t>
      </w:r>
    </w:p>
    <w:p w14:paraId="042DA51E" w14:textId="4D22C029" w:rsidR="00D4599E" w:rsidRDefault="00D4599E" w:rsidP="00D4599E">
      <w:pPr>
        <w:rPr>
          <w:szCs w:val="24"/>
        </w:rPr>
      </w:pPr>
      <w:r>
        <w:t>2013.gadā iesāktā darba spēka nodokļu reforma turpinājās arī 2014.gadā, tomēr ienesot korekcijas. Darbaspēka nodokļu ietvarā</w:t>
      </w:r>
      <w:r w:rsidRPr="00E44882">
        <w:t xml:space="preserve"> ar 2014</w:t>
      </w:r>
      <w:r>
        <w:t>.gada 1.janvāri</w:t>
      </w:r>
      <w:r>
        <w:rPr>
          <w:szCs w:val="24"/>
        </w:rPr>
        <w:t xml:space="preserve"> tika saglabāta</w:t>
      </w:r>
      <w:r w:rsidRPr="00BE5BB3">
        <w:rPr>
          <w:szCs w:val="24"/>
        </w:rPr>
        <w:t xml:space="preserve"> </w:t>
      </w:r>
      <w:r>
        <w:rPr>
          <w:szCs w:val="24"/>
        </w:rPr>
        <w:t xml:space="preserve">IIN likme 2013. gada līmenī. Tāpat ar </w:t>
      </w:r>
      <w:r w:rsidRPr="00BE5BB3">
        <w:rPr>
          <w:szCs w:val="24"/>
        </w:rPr>
        <w:t xml:space="preserve">2014. gada 1. janvāri </w:t>
      </w:r>
      <w:r>
        <w:rPr>
          <w:szCs w:val="24"/>
        </w:rPr>
        <w:t>tika paaugstināts</w:t>
      </w:r>
      <w:r w:rsidRPr="00BE5BB3">
        <w:rPr>
          <w:szCs w:val="24"/>
        </w:rPr>
        <w:t xml:space="preserve"> </w:t>
      </w:r>
      <w:r>
        <w:rPr>
          <w:szCs w:val="24"/>
        </w:rPr>
        <w:t>nodokļa atvieglojums</w:t>
      </w:r>
      <w:r w:rsidRPr="00BE5BB3">
        <w:rPr>
          <w:szCs w:val="24"/>
        </w:rPr>
        <w:t xml:space="preserve"> par </w:t>
      </w:r>
      <w:r>
        <w:rPr>
          <w:szCs w:val="24"/>
        </w:rPr>
        <w:t>apgādībā esošu personu no 113,83</w:t>
      </w:r>
      <w:r w:rsidRPr="00BE5BB3">
        <w:rPr>
          <w:szCs w:val="24"/>
        </w:rPr>
        <w:t> </w:t>
      </w:r>
      <w:proofErr w:type="spellStart"/>
      <w:r w:rsidRPr="00E94039">
        <w:rPr>
          <w:i/>
          <w:szCs w:val="24"/>
        </w:rPr>
        <w:t>euro</w:t>
      </w:r>
      <w:proofErr w:type="spellEnd"/>
      <w:r w:rsidRPr="00BE5BB3">
        <w:rPr>
          <w:szCs w:val="24"/>
        </w:rPr>
        <w:t xml:space="preserve"> (80 latiem) līdz 165,00 </w:t>
      </w:r>
      <w:proofErr w:type="spellStart"/>
      <w:r w:rsidRPr="00BE5BB3">
        <w:rPr>
          <w:i/>
          <w:szCs w:val="24"/>
        </w:rPr>
        <w:t>euro</w:t>
      </w:r>
      <w:proofErr w:type="spellEnd"/>
      <w:r w:rsidRPr="00BE5BB3">
        <w:rPr>
          <w:szCs w:val="24"/>
        </w:rPr>
        <w:t xml:space="preserve"> (115,96 latiem) un </w:t>
      </w:r>
      <w:r>
        <w:rPr>
          <w:szCs w:val="24"/>
        </w:rPr>
        <w:t xml:space="preserve">neapliekamais minimums </w:t>
      </w:r>
      <w:r w:rsidRPr="00BE5BB3">
        <w:rPr>
          <w:szCs w:val="24"/>
        </w:rPr>
        <w:t>no 64,03 </w:t>
      </w:r>
      <w:proofErr w:type="spellStart"/>
      <w:r w:rsidRPr="00BE5BB3">
        <w:rPr>
          <w:i/>
          <w:szCs w:val="24"/>
        </w:rPr>
        <w:t>euro</w:t>
      </w:r>
      <w:proofErr w:type="spellEnd"/>
      <w:r w:rsidRPr="00BE5BB3">
        <w:rPr>
          <w:szCs w:val="24"/>
        </w:rPr>
        <w:t xml:space="preserve"> (45 latiem) līdz 75 </w:t>
      </w:r>
      <w:proofErr w:type="spellStart"/>
      <w:r w:rsidRPr="00BE5BB3">
        <w:rPr>
          <w:i/>
          <w:szCs w:val="24"/>
        </w:rPr>
        <w:t>euro</w:t>
      </w:r>
      <w:proofErr w:type="spellEnd"/>
      <w:r w:rsidRPr="00BE5BB3">
        <w:rPr>
          <w:szCs w:val="24"/>
        </w:rPr>
        <w:t xml:space="preserve"> (52,71 latiem)</w:t>
      </w:r>
      <w:r>
        <w:rPr>
          <w:szCs w:val="24"/>
        </w:rPr>
        <w:t>, un</w:t>
      </w:r>
      <w:r w:rsidRPr="00BE5BB3">
        <w:rPr>
          <w:szCs w:val="24"/>
        </w:rPr>
        <w:t xml:space="preserve"> valsts sociālās obligātās ap</w:t>
      </w:r>
      <w:r>
        <w:rPr>
          <w:szCs w:val="24"/>
        </w:rPr>
        <w:t>drošināšanas iemaksas likme tika</w:t>
      </w:r>
      <w:r w:rsidRPr="00BE5BB3">
        <w:rPr>
          <w:szCs w:val="24"/>
        </w:rPr>
        <w:t xml:space="preserve"> samazināta no 35,09% līdz 34,09 </w:t>
      </w:r>
      <w:r w:rsidR="002405FE">
        <w:rPr>
          <w:szCs w:val="24"/>
        </w:rPr>
        <w:t>%.</w:t>
      </w:r>
    </w:p>
    <w:p w14:paraId="6624343B" w14:textId="1BC8D50E" w:rsidR="00D4599E" w:rsidRDefault="00D4599E" w:rsidP="00D4599E">
      <w:pPr>
        <w:ind w:firstLine="720"/>
      </w:pPr>
      <w:r>
        <w:rPr>
          <w:szCs w:val="24"/>
        </w:rPr>
        <w:t>No 2014.gada 1.janvāra ti</w:t>
      </w:r>
      <w:r w:rsidRPr="00125385">
        <w:rPr>
          <w:szCs w:val="24"/>
        </w:rPr>
        <w:t>k</w:t>
      </w:r>
      <w:r>
        <w:rPr>
          <w:szCs w:val="24"/>
        </w:rPr>
        <w:t>a</w:t>
      </w:r>
      <w:r w:rsidRPr="00125385">
        <w:rPr>
          <w:szCs w:val="24"/>
        </w:rPr>
        <w:t xml:space="preserve"> paaugstinātas likmes atsevišķiem dabas resursu nodokļa objektiem, kā </w:t>
      </w:r>
      <w:r w:rsidRPr="00125385">
        <w:t>arī ieviesti divi jauni nodokļa objekti – uguņošanas ierīces un ūdens resursu lietošana elektroenerģijas ražošanai hidroelektrostacijā, kuras hidromezgla kopējā uzstādītā jauda ir mazāka par diviem megavatiem.</w:t>
      </w:r>
    </w:p>
    <w:p w14:paraId="15F4AE74" w14:textId="02A23E6D" w:rsidR="00D4599E" w:rsidRDefault="00D4599E" w:rsidP="00D4599E">
      <w:pPr>
        <w:ind w:firstLine="709"/>
        <w:rPr>
          <w:color w:val="000000"/>
          <w:szCs w:val="24"/>
        </w:rPr>
      </w:pPr>
      <w:r>
        <w:t>Sākot a</w:t>
      </w:r>
      <w:r w:rsidRPr="00125385">
        <w:t xml:space="preserve">r 2014.gada 1.janvāri </w:t>
      </w:r>
      <w:r w:rsidRPr="005624B4">
        <w:t>paaugstināta akcīzes nodokļa likme sašķidrinātajām naftas gāzēm un pārējiem gāzveida ogļūdeņražiem</w:t>
      </w:r>
      <w:r>
        <w:t>, kā arī c</w:t>
      </w:r>
      <w:r>
        <w:rPr>
          <w:color w:val="000000"/>
          <w:szCs w:val="24"/>
        </w:rPr>
        <w:t>igaretēm.</w:t>
      </w:r>
    </w:p>
    <w:p w14:paraId="66D544A5" w14:textId="5D20B456" w:rsidR="00D4599E" w:rsidRDefault="00F63D89" w:rsidP="00D4599E">
      <w:pPr>
        <w:ind w:firstLine="720"/>
      </w:pPr>
      <w:r>
        <w:rPr>
          <w:color w:val="000000"/>
          <w:szCs w:val="24"/>
        </w:rPr>
        <w:t xml:space="preserve">No </w:t>
      </w:r>
      <w:r w:rsidR="00D4599E">
        <w:rPr>
          <w:color w:val="000000"/>
          <w:szCs w:val="24"/>
        </w:rPr>
        <w:t>2014.gada 1.janvār</w:t>
      </w:r>
      <w:r>
        <w:rPr>
          <w:color w:val="000000"/>
          <w:szCs w:val="24"/>
        </w:rPr>
        <w:t>a</w:t>
      </w:r>
      <w:r w:rsidR="00D4599E">
        <w:rPr>
          <w:color w:val="000000"/>
          <w:szCs w:val="24"/>
        </w:rPr>
        <w:t xml:space="preserve"> tika ieviesti vairāki ēnu ekonomikas apkarošanas pasākumi, kā, piemēram, </w:t>
      </w:r>
      <w:r w:rsidR="00D4599E" w:rsidRPr="00D25AC4">
        <w:rPr>
          <w:szCs w:val="24"/>
        </w:rPr>
        <w:t xml:space="preserve">saimnieciskās darbības veicēju (kuru pamatdarbība nav aizdevumu izsniegšana) izsniegto aizdevumu </w:t>
      </w:r>
      <w:r w:rsidR="00D4599E">
        <w:rPr>
          <w:szCs w:val="24"/>
        </w:rPr>
        <w:t xml:space="preserve">un </w:t>
      </w:r>
      <w:r w:rsidR="00D4599E" w:rsidRPr="00D25AC4">
        <w:rPr>
          <w:szCs w:val="24"/>
        </w:rPr>
        <w:t xml:space="preserve">valdes locekļu minimālās darba algas aplikšana </w:t>
      </w:r>
      <w:r w:rsidR="00D4599E">
        <w:rPr>
          <w:szCs w:val="24"/>
        </w:rPr>
        <w:t xml:space="preserve">ar darba nodokļiem un </w:t>
      </w:r>
      <w:r w:rsidR="00D4599E" w:rsidRPr="00D25AC4">
        <w:rPr>
          <w:szCs w:val="24"/>
        </w:rPr>
        <w:t>kapitāla nod</w:t>
      </w:r>
      <w:r w:rsidR="00D4599E">
        <w:rPr>
          <w:szCs w:val="24"/>
        </w:rPr>
        <w:t>okļa administrēšanas uzlabošana.</w:t>
      </w:r>
      <w:r w:rsidR="00D4599E" w:rsidRPr="006B5EE7">
        <w:t xml:space="preserve"> </w:t>
      </w:r>
    </w:p>
    <w:p w14:paraId="1EB76A1A" w14:textId="4AB3340A" w:rsidR="00D4599E" w:rsidRDefault="00F63D89" w:rsidP="00D4599E">
      <w:pPr>
        <w:ind w:firstLine="720"/>
      </w:pPr>
      <w:r>
        <w:t>Sākot a</w:t>
      </w:r>
      <w:r w:rsidR="00D4599E" w:rsidRPr="00125385">
        <w:t>r 2014.gada 1.janvāri tiek ieviests</w:t>
      </w:r>
      <w:r w:rsidR="00D4599E" w:rsidRPr="00941CEC">
        <w:t xml:space="preserve"> jauns nodoklis -</w:t>
      </w:r>
      <w:r w:rsidR="00D4599E" w:rsidRPr="00125385">
        <w:t xml:space="preserve"> subsidētās </w:t>
      </w:r>
      <w:r>
        <w:t>elektro</w:t>
      </w:r>
      <w:r w:rsidR="00D4599E" w:rsidRPr="00125385">
        <w:t>enerģijas nodoklis</w:t>
      </w:r>
      <w:r w:rsidR="00D4599E">
        <w:t>.</w:t>
      </w:r>
    </w:p>
    <w:p w14:paraId="7D6E1A18" w14:textId="77777777" w:rsidR="00D4599E" w:rsidRDefault="00D4599E" w:rsidP="00D4599E">
      <w:pPr>
        <w:ind w:firstLine="720"/>
      </w:pPr>
      <w:r>
        <w:t xml:space="preserve">Ar </w:t>
      </w:r>
      <w:r w:rsidRPr="00726014">
        <w:t>2014. gada 1. jūlij</w:t>
      </w:r>
      <w:r>
        <w:t xml:space="preserve">u tiek </w:t>
      </w:r>
      <w:r w:rsidRPr="00726014">
        <w:t>ieviest</w:t>
      </w:r>
      <w:r>
        <w:t>a</w:t>
      </w:r>
      <w:r w:rsidRPr="00726014">
        <w:t xml:space="preserve"> autoceļu lietošanas nodev</w:t>
      </w:r>
      <w:r>
        <w:t>a</w:t>
      </w:r>
      <w:r w:rsidRPr="00726014">
        <w:t xml:space="preserve"> par valsts galveno autoceļu lietošanu transportlīdzekļiem un to sastāviem, kuru pilna masa ir lielāka par 3 500 kilogramiem un kuri paredzēti vai tiek izmantoti kravu autopārvadājumiem</w:t>
      </w:r>
      <w:r>
        <w:t>.</w:t>
      </w:r>
    </w:p>
    <w:p w14:paraId="03EC02D5" w14:textId="4F27ADB3" w:rsidR="00D4599E" w:rsidRPr="00564F72" w:rsidRDefault="00D4599E" w:rsidP="00D4599E">
      <w:pPr>
        <w:ind w:firstLine="720"/>
      </w:pPr>
      <w:r w:rsidRPr="00564F72">
        <w:t xml:space="preserve">Lai veicinātu pētniecību un attīstību, no 2014.gada 1.jūlija ieviests jauns </w:t>
      </w:r>
      <w:r w:rsidR="00F63D89">
        <w:t>UIN</w:t>
      </w:r>
      <w:r w:rsidRPr="00564F72">
        <w:t xml:space="preserve"> atvieglojums, kas atļauj nodokļu aprēķināšanas vajadzībām izdevumus, kas saistīti ar pētniecību un attīstību, palielināt, piemērojot koeficientu 3. Tāpat līdz 2020.gadam pagarināts </w:t>
      </w:r>
      <w:r w:rsidR="00F63D89">
        <w:t>UIN</w:t>
      </w:r>
      <w:r w:rsidRPr="00564F72">
        <w:t xml:space="preserve"> atvieglojuma lielajām investīcijām, kā arī  atvieglojuma, iegādājoties jaunas ražošanas tehnoloģiskās iekārtas, piemērošanas termiņš. Lai nodrošinātu fiskāli neitrālu pieeju, vienlaicīgi no 2014.gada tika atcelti atsevišķi, mazāk efektīvi nodokļu atvieglojumi.</w:t>
      </w:r>
    </w:p>
    <w:p w14:paraId="10355F74" w14:textId="6FD320C6" w:rsidR="00D4599E" w:rsidRDefault="00D4599E" w:rsidP="00D4599E">
      <w:pPr>
        <w:ind w:firstLine="720"/>
      </w:pPr>
      <w:r>
        <w:t xml:space="preserve">Arī </w:t>
      </w:r>
      <w:r>
        <w:rPr>
          <w:bCs/>
          <w:szCs w:val="24"/>
          <w:lang w:eastAsia="lv-LV"/>
        </w:rPr>
        <w:t>vidējā termiņā</w:t>
      </w:r>
      <w:r w:rsidRPr="00564F72">
        <w:t xml:space="preserve"> </w:t>
      </w:r>
      <w:r>
        <w:t>b</w:t>
      </w:r>
      <w:r w:rsidRPr="00564F72">
        <w:t>ūtiskākie</w:t>
      </w:r>
      <w:r>
        <w:rPr>
          <w:bCs/>
          <w:szCs w:val="24"/>
          <w:lang w:eastAsia="lv-LV"/>
        </w:rPr>
        <w:t xml:space="preserve"> uzdevumi, kas ir veicami, ir turpināt d</w:t>
      </w:r>
      <w:r w:rsidRPr="00DB2850">
        <w:rPr>
          <w:bCs/>
          <w:szCs w:val="24"/>
          <w:lang w:eastAsia="lv-LV"/>
        </w:rPr>
        <w:t>arba</w:t>
      </w:r>
      <w:r>
        <w:rPr>
          <w:bCs/>
          <w:szCs w:val="24"/>
          <w:lang w:eastAsia="lv-LV"/>
        </w:rPr>
        <w:t>spēka nodokļu sloga samazināšanu</w:t>
      </w:r>
      <w:r w:rsidRPr="00DB2850">
        <w:rPr>
          <w:bCs/>
          <w:szCs w:val="24"/>
          <w:lang w:eastAsia="lv-LV"/>
        </w:rPr>
        <w:t>, vienlaikus nodrošinot nodokļu ieņēmumu stabilitāti</w:t>
      </w:r>
      <w:r>
        <w:rPr>
          <w:bCs/>
          <w:szCs w:val="24"/>
          <w:lang w:eastAsia="lv-LV"/>
        </w:rPr>
        <w:t xml:space="preserve"> - </w:t>
      </w:r>
      <w:r w:rsidRPr="00DB2850">
        <w:rPr>
          <w:bCs/>
          <w:szCs w:val="24"/>
          <w:lang w:eastAsia="lv-LV"/>
        </w:rPr>
        <w:t xml:space="preserve">no 2015.gada 1.janvāra </w:t>
      </w:r>
      <w:r w:rsidR="00F63D89">
        <w:rPr>
          <w:bCs/>
          <w:szCs w:val="24"/>
          <w:lang w:eastAsia="lv-LV"/>
        </w:rPr>
        <w:t>IIN</w:t>
      </w:r>
      <w:r w:rsidRPr="00DB2850">
        <w:rPr>
          <w:bCs/>
          <w:szCs w:val="24"/>
          <w:lang w:eastAsia="lv-LV"/>
        </w:rPr>
        <w:t xml:space="preserve"> likmi samazināt no 24% uz 23% un no 2016.gada 1.janvāra – uz 22% (atbilstoši likumā paredzētajam)</w:t>
      </w:r>
      <w:r>
        <w:rPr>
          <w:bCs/>
          <w:szCs w:val="24"/>
          <w:lang w:eastAsia="lv-LV"/>
        </w:rPr>
        <w:t>. S</w:t>
      </w:r>
      <w:r>
        <w:rPr>
          <w:iCs/>
        </w:rPr>
        <w:t>askaņā</w:t>
      </w:r>
      <w:r>
        <w:t xml:space="preserve"> ar Valdības rīcības plāna Deklarāciju plānots, ka līdz 2014.gada jūlijam </w:t>
      </w:r>
      <w:r w:rsidR="00F63D89">
        <w:t>FM</w:t>
      </w:r>
      <w:r>
        <w:t xml:space="preserve"> izstrādās un iesniegs </w:t>
      </w:r>
      <w:r w:rsidR="00F63D89">
        <w:t>MK</w:t>
      </w:r>
      <w:r>
        <w:t xml:space="preserve"> informatīvo ziņojumu "Darbaspēka nodokļu izmaiņas ienākumu nevienlīdzības mazināšanai – veikto izmaiņu novērtējums un priekšlikumi tālākai rīcībai", kurā ņemot vērā valsts budžeta fiskālās iespējas, tiks piedāvāts efektīvāks darbaspēka nodokļu samazinājuma risinājums, kas mazinātu nodokļu slogu nodokļu maksātājiem un vienlaikus mazinātu ienākumu nevienlīdzību Latvijā. </w:t>
      </w:r>
    </w:p>
    <w:p w14:paraId="6A9B8FD9" w14:textId="77777777" w:rsidR="00D4599E" w:rsidRDefault="00D4599E" w:rsidP="00D4599E">
      <w:pPr>
        <w:rPr>
          <w:lang w:eastAsia="lv-LV"/>
        </w:rPr>
      </w:pPr>
      <w:r>
        <w:rPr>
          <w:szCs w:val="24"/>
        </w:rPr>
        <w:t xml:space="preserve">Arī ir plānots, ka līdz 2014.gada jūnijam tiks sagatavots un iesniegts ziņojums, kurā būs ietverta paplašināta analīze par </w:t>
      </w:r>
      <w:proofErr w:type="spellStart"/>
      <w:r>
        <w:rPr>
          <w:szCs w:val="24"/>
        </w:rPr>
        <w:t>mikrouzņēmuma</w:t>
      </w:r>
      <w:proofErr w:type="spellEnd"/>
      <w:r>
        <w:rPr>
          <w:szCs w:val="24"/>
        </w:rPr>
        <w:t xml:space="preserve"> ienākuma nodokļa ietekmi uz tautsaimniecību, iesaistītajām nozarēm, kā arī darbinieku sociālo garantiju nodrošinājumu un iespēju normatīvajos aktos noteikt nodokļa piemērošanas (režīma) darbības termiņu. Kā arī</w:t>
      </w:r>
      <w:r>
        <w:t xml:space="preserve"> plānots izstrādāt grozījumus </w:t>
      </w:r>
      <w:proofErr w:type="spellStart"/>
      <w:r>
        <w:t>mikrouzņēmumu</w:t>
      </w:r>
      <w:proofErr w:type="spellEnd"/>
      <w:r>
        <w:t xml:space="preserve"> nodokļa likumā, paredzot grozījumus </w:t>
      </w:r>
      <w:proofErr w:type="spellStart"/>
      <w:r>
        <w:t>mikrouzņēmumu</w:t>
      </w:r>
      <w:proofErr w:type="spellEnd"/>
      <w:r>
        <w:t xml:space="preserve"> nodokļa sadales kārtībā, palielinot valsts sociālās apdrošināšanas obligāto iemaksu kontā ieskaitāmo daļu.</w:t>
      </w:r>
    </w:p>
    <w:p w14:paraId="6CEA6633" w14:textId="119D3A61" w:rsidR="00D4599E" w:rsidRDefault="00D4599E" w:rsidP="00D4599E">
      <w:pPr>
        <w:ind w:firstLine="709"/>
        <w:rPr>
          <w:bCs/>
          <w:szCs w:val="24"/>
          <w:lang w:eastAsia="lv-LV"/>
        </w:rPr>
      </w:pPr>
      <w:r>
        <w:rPr>
          <w:bCs/>
          <w:szCs w:val="24"/>
          <w:lang w:eastAsia="lv-LV"/>
        </w:rPr>
        <w:t xml:space="preserve">Vidējā termiņā tiks turpināta ēnu ekonomikas apkarošana - it īpaši </w:t>
      </w:r>
      <w:r w:rsidR="00F63D89">
        <w:rPr>
          <w:bCs/>
        </w:rPr>
        <w:t>VID</w:t>
      </w:r>
      <w:r>
        <w:rPr>
          <w:bCs/>
        </w:rPr>
        <w:t xml:space="preserve"> </w:t>
      </w:r>
      <w:r w:rsidRPr="00D90F74">
        <w:rPr>
          <w:bCs/>
        </w:rPr>
        <w:t>a</w:t>
      </w:r>
      <w:r>
        <w:rPr>
          <w:bCs/>
        </w:rPr>
        <w:t>ktīva vēršanās</w:t>
      </w:r>
      <w:r w:rsidRPr="00D90F74">
        <w:rPr>
          <w:bCs/>
        </w:rPr>
        <w:t xml:space="preserve"> pret nodokļu nemaksāšanu, pastiprinātu uzmanību pievēršot "aplokšņu" algu, nelegālās nodarbinātības apkarošanai</w:t>
      </w:r>
      <w:r>
        <w:rPr>
          <w:bCs/>
        </w:rPr>
        <w:t>,</w:t>
      </w:r>
      <w:r>
        <w:rPr>
          <w:bCs/>
          <w:szCs w:val="24"/>
          <w:lang w:eastAsia="lv-LV"/>
        </w:rPr>
        <w:t xml:space="preserve"> līdz ar to arī gūstot papildus ieņēmumus.</w:t>
      </w:r>
    </w:p>
    <w:p w14:paraId="775FA1B8" w14:textId="77777777" w:rsidR="00D4599E" w:rsidRDefault="00D4599E" w:rsidP="00D4599E">
      <w:pPr>
        <w:rPr>
          <w:iCs/>
        </w:rPr>
      </w:pPr>
    </w:p>
    <w:p w14:paraId="2ACBFEF7" w14:textId="22727B7B" w:rsidR="00D4599E" w:rsidRPr="00FB3AF2" w:rsidRDefault="00D4599E" w:rsidP="00D4599E">
      <w:pPr>
        <w:ind w:left="567" w:firstLine="0"/>
        <w:jc w:val="left"/>
        <w:outlineLvl w:val="3"/>
        <w:rPr>
          <w:b/>
          <w:szCs w:val="24"/>
        </w:rPr>
      </w:pPr>
      <w:r w:rsidRPr="00FB3AF2">
        <w:rPr>
          <w:b/>
          <w:szCs w:val="24"/>
        </w:rPr>
        <w:t>Pievienotās vērtības nodoklis</w:t>
      </w:r>
      <w:r w:rsidR="00A579BF">
        <w:rPr>
          <w:rStyle w:val="FootnoteReference"/>
          <w:b/>
          <w:szCs w:val="24"/>
        </w:rPr>
        <w:footnoteReference w:id="11"/>
      </w:r>
    </w:p>
    <w:p w14:paraId="6F010B97" w14:textId="764BB8D8" w:rsidR="00D4599E" w:rsidRPr="00FB3AF2" w:rsidRDefault="00D4599E" w:rsidP="00D4599E">
      <w:pPr>
        <w:rPr>
          <w:iCs/>
        </w:rPr>
      </w:pPr>
      <w:r w:rsidRPr="00FB3AF2">
        <w:t xml:space="preserve">Būtisku īpatsvaru kopējos nodokļu ieņēmumos veido </w:t>
      </w:r>
      <w:r w:rsidR="00F63D89">
        <w:t>PVN</w:t>
      </w:r>
      <w:r w:rsidRPr="00FB3AF2">
        <w:t xml:space="preserve"> ieņēmumi. Ekonomikas izaugsmes gados pievienotās vērtības nodokļa ieņēmumiem ir bijis augsts pieauguma temps, taču 2008. gadā uzsākoties ekonomikas lejupslīdei, ko raksturo mazumtirdzniecības apgrozījuma sarukums, kā arī saimnieciskās darbības apjomu kritums un importa apjomu kritums, </w:t>
      </w:r>
      <w:r w:rsidR="00F63D89">
        <w:t>PVN</w:t>
      </w:r>
      <w:r w:rsidRPr="00FB3AF2">
        <w:t xml:space="preserve"> ieņēmumi samazinājās. Turklāt ekonomiskās krīzes ietekme ir bijusi tik ievērojama, ka </w:t>
      </w:r>
      <w:r w:rsidR="00F63D89">
        <w:t>PVN</w:t>
      </w:r>
      <w:r w:rsidRPr="00FB3AF2">
        <w:t xml:space="preserve"> </w:t>
      </w:r>
      <w:proofErr w:type="spellStart"/>
      <w:r w:rsidRPr="00FB3AF2">
        <w:t>standartlikmes</w:t>
      </w:r>
      <w:proofErr w:type="spellEnd"/>
      <w:r w:rsidRPr="00FB3AF2">
        <w:t xml:space="preserve"> paaugstināšana</w:t>
      </w:r>
      <w:r w:rsidRPr="00F63D89">
        <w:rPr>
          <w:rStyle w:val="FootnoteReference"/>
          <w:rFonts w:ascii="Times New Roman" w:hAnsi="Times New Roman"/>
        </w:rPr>
        <w:footnoteReference w:id="12"/>
      </w:r>
      <w:r w:rsidRPr="00F63D89">
        <w:t xml:space="preserve"> </w:t>
      </w:r>
      <w:r w:rsidRPr="00FB3AF2">
        <w:t xml:space="preserve">nespēja kompensēt to ieņēmumu samazinājumu, kas radās ekonomiskās lejupslīdes rezultātā. </w:t>
      </w:r>
      <w:r w:rsidRPr="00FB3AF2">
        <w:rPr>
          <w:iCs/>
        </w:rPr>
        <w:t xml:space="preserve">Pēc ekonomiskās lejupslīdes, ekonomikai sekmīgi attīstoties, kopš 2011. gada </w:t>
      </w:r>
      <w:r w:rsidR="00F63D89">
        <w:rPr>
          <w:iCs/>
        </w:rPr>
        <w:t>PVN</w:t>
      </w:r>
      <w:r w:rsidRPr="00FB3AF2">
        <w:rPr>
          <w:iCs/>
        </w:rPr>
        <w:t xml:space="preserve"> ieņēmumi ir būtiski pieauguši.</w:t>
      </w:r>
      <w:r w:rsidRPr="00FB3AF2">
        <w:t xml:space="preserve"> </w:t>
      </w:r>
      <w:r w:rsidRPr="00FB3AF2">
        <w:rPr>
          <w:iCs/>
        </w:rPr>
        <w:t xml:space="preserve">2012. gadā </w:t>
      </w:r>
      <w:r w:rsidR="00F63D89">
        <w:rPr>
          <w:iCs/>
        </w:rPr>
        <w:t>PVN</w:t>
      </w:r>
      <w:r w:rsidRPr="00FB3AF2">
        <w:rPr>
          <w:iCs/>
        </w:rPr>
        <w:t xml:space="preserve"> ieņēmumi pieauga par 16,5 % attiecībā pret 2011. gadu, savukārt 2013. gadā pieauguma temps ir mazinājies – tie pieauguši par 4,9 %.</w:t>
      </w:r>
    </w:p>
    <w:p w14:paraId="16269319" w14:textId="51FF3399" w:rsidR="00D4599E" w:rsidRPr="00FB3AF2" w:rsidRDefault="00D4599E" w:rsidP="00D4599E">
      <w:pPr>
        <w:rPr>
          <w:szCs w:val="24"/>
        </w:rPr>
      </w:pPr>
      <w:r w:rsidRPr="00FB3AF2">
        <w:rPr>
          <w:szCs w:val="24"/>
        </w:rPr>
        <w:t xml:space="preserve">Lai tuvinātu netiešo nodokļu likmes ar kaimiņvalstīm, kas sekmētu īpaši Latvijas pakalpojumu sektora reģionālo konkurētspēju un mazinātu pasaules cenu kāpuma izraisīto inflācijas spiedienu uz mazāk turīgiem iedzīvotājiem, ar 2012.gada 1.jūliju tika samazināta PVN </w:t>
      </w:r>
      <w:proofErr w:type="spellStart"/>
      <w:r w:rsidRPr="00FB3AF2">
        <w:rPr>
          <w:szCs w:val="24"/>
        </w:rPr>
        <w:t>standartlikme</w:t>
      </w:r>
      <w:proofErr w:type="spellEnd"/>
      <w:r w:rsidRPr="00FB3AF2">
        <w:rPr>
          <w:szCs w:val="24"/>
        </w:rPr>
        <w:t xml:space="preserve"> no 22% uz 21 </w:t>
      </w:r>
      <w:r w:rsidR="009A6681">
        <w:rPr>
          <w:szCs w:val="24"/>
        </w:rPr>
        <w:t>%</w:t>
      </w:r>
      <w:r w:rsidRPr="00FB3AF2">
        <w:rPr>
          <w:szCs w:val="24"/>
        </w:rPr>
        <w:t xml:space="preserve">. </w:t>
      </w:r>
    </w:p>
    <w:p w14:paraId="60E5E7A5" w14:textId="466B5B9C" w:rsidR="00D4599E" w:rsidRPr="00FB3AF2" w:rsidRDefault="00D4599E" w:rsidP="00D4599E">
      <w:r w:rsidRPr="00FB3AF2">
        <w:t xml:space="preserve">Saskaņā ar makroekonomikas scenāriju, 2014. gadā tiek prognozēts, ka </w:t>
      </w:r>
      <w:r w:rsidR="00F63D89">
        <w:t>PVN</w:t>
      </w:r>
      <w:r w:rsidRPr="00FB3AF2">
        <w:t xml:space="preserve"> ieņēmumi pieaugs par 7,0 % salīdzinājumā ar 2013. gadu.</w:t>
      </w:r>
    </w:p>
    <w:p w14:paraId="6EF47C4E" w14:textId="47F7A86D" w:rsidR="00D4599E" w:rsidRDefault="00F63D89" w:rsidP="00D4599E">
      <w:pPr>
        <w:rPr>
          <w:szCs w:val="28"/>
        </w:rPr>
      </w:pPr>
      <w:r>
        <w:t>PVN</w:t>
      </w:r>
      <w:r w:rsidR="00D4599E" w:rsidRPr="00FB3AF2">
        <w:t xml:space="preserve"> ieņēmumu prognoze 2014. gadam ir sagatavota, ņemot vērā prognozējamās tautsaimniecības attīstības tendences, privātā patēriņa pieaugumu</w:t>
      </w:r>
      <w:r w:rsidR="00D4599E">
        <w:t xml:space="preserve">, </w:t>
      </w:r>
      <w:r>
        <w:t>PVN</w:t>
      </w:r>
      <w:r w:rsidR="00D4599E">
        <w:t xml:space="preserve"> sekmīgo</w:t>
      </w:r>
      <w:r w:rsidR="00D4599E" w:rsidRPr="00FB3AF2">
        <w:t xml:space="preserve"> izpildi 2013. gadā</w:t>
      </w:r>
      <w:r w:rsidR="00D4599E">
        <w:rPr>
          <w:szCs w:val="28"/>
        </w:rPr>
        <w:t xml:space="preserve"> un </w:t>
      </w:r>
      <w:proofErr w:type="spellStart"/>
      <w:r w:rsidR="00D4599E">
        <w:t>elektronerģijas</w:t>
      </w:r>
      <w:proofErr w:type="spellEnd"/>
      <w:r w:rsidR="00D4599E">
        <w:t xml:space="preserve"> tirgus liberalizācijas ietekmi.</w:t>
      </w:r>
    </w:p>
    <w:p w14:paraId="3451B499" w14:textId="555FC5CA" w:rsidR="00D4599E" w:rsidRDefault="00D4599E" w:rsidP="00D4599E">
      <w:pPr>
        <w:rPr>
          <w:szCs w:val="28"/>
        </w:rPr>
      </w:pPr>
      <w:r>
        <w:rPr>
          <w:szCs w:val="28"/>
        </w:rPr>
        <w:t>Būtiskākā</w:t>
      </w:r>
      <w:r w:rsidR="002A03FF">
        <w:rPr>
          <w:szCs w:val="28"/>
        </w:rPr>
        <w:t>s</w:t>
      </w:r>
      <w:r>
        <w:rPr>
          <w:szCs w:val="28"/>
        </w:rPr>
        <w:t xml:space="preserve"> </w:t>
      </w:r>
      <w:r w:rsidR="00F63D89">
        <w:rPr>
          <w:szCs w:val="28"/>
        </w:rPr>
        <w:t>PVN</w:t>
      </w:r>
      <w:r>
        <w:rPr>
          <w:szCs w:val="28"/>
        </w:rPr>
        <w:t xml:space="preserve"> izmaiņas 2014.gadā, kas ietekmē nodokļa ieņēmumus, attiecas uz </w:t>
      </w:r>
      <w:r w:rsidR="00F63D89">
        <w:t>PVN</w:t>
      </w:r>
      <w:r w:rsidRPr="003D243A">
        <w:t xml:space="preserve"> priekšnod</w:t>
      </w:r>
      <w:r>
        <w:t xml:space="preserve">okļa atskaitīšanas ierobežojumiem </w:t>
      </w:r>
      <w:r w:rsidRPr="003D243A">
        <w:t>par luksus automašīnu iegādes un uzturēšanas izdevumiem (vērtība noteikta atbilstoši uzņēmum</w:t>
      </w:r>
      <w:r>
        <w:t>u ienākuma nodokļa regulējumam) un a</w:t>
      </w:r>
      <w:r w:rsidRPr="003D243A">
        <w:t>tcelti PVN priekšnodokļa atskaitīšanas ierobežojumi (20% apmērā) vieglajām pasažieru automašīnām (arī uzturēšanas izmaksas), ko izmanto tikai un vienīgi ar PVN apliekamo darījumu nodrošināšanai</w:t>
      </w:r>
      <w:r>
        <w:t>. Kā arī ir n</w:t>
      </w:r>
      <w:r w:rsidRPr="003D243A">
        <w:t xml:space="preserve">oteikta PVN nodrošinājuma ieviešana darījumos ar naftas produktiem (likums «Par nodokļiem </w:t>
      </w:r>
      <w:r>
        <w:t xml:space="preserve">un nodevām») un </w:t>
      </w:r>
      <w:r w:rsidR="00F63D89">
        <w:t>PVN</w:t>
      </w:r>
      <w:r>
        <w:t xml:space="preserve"> ieņēmumus arī ietekmē citi pasākumi, kas nav saistīti ar </w:t>
      </w:r>
      <w:r w:rsidR="00F63D89">
        <w:t>PVN</w:t>
      </w:r>
      <w:r>
        <w:t xml:space="preserve"> likuma izmaiņām.</w:t>
      </w:r>
    </w:p>
    <w:p w14:paraId="3D8A1997" w14:textId="73BF02CA" w:rsidR="00D4599E" w:rsidRPr="00D4599E" w:rsidRDefault="00D4599E" w:rsidP="00D4599E">
      <w:pPr>
        <w:pStyle w:val="T"/>
        <w:spacing w:after="0"/>
        <w:ind w:left="0"/>
        <w:jc w:val="right"/>
        <w:rPr>
          <w:rFonts w:ascii="Times New Roman" w:hAnsi="Times New Roman"/>
          <w:szCs w:val="24"/>
        </w:rPr>
      </w:pPr>
      <w:r w:rsidRPr="00D4599E">
        <w:rPr>
          <w:rFonts w:ascii="Times New Roman" w:hAnsi="Times New Roman"/>
          <w:szCs w:val="24"/>
        </w:rPr>
        <w:t>6.</w:t>
      </w:r>
      <w:r w:rsidR="0037075E">
        <w:rPr>
          <w:rFonts w:ascii="Times New Roman" w:hAnsi="Times New Roman"/>
          <w:szCs w:val="24"/>
        </w:rPr>
        <w:t>2</w:t>
      </w:r>
      <w:r w:rsidRPr="00D4599E">
        <w:rPr>
          <w:rFonts w:ascii="Times New Roman" w:hAnsi="Times New Roman"/>
          <w:szCs w:val="24"/>
        </w:rPr>
        <w:t>. tabula. Nodokļu politikas būtiskāko izmaiņu ietekme</w:t>
      </w:r>
      <w:r w:rsidRPr="00D4599E">
        <w:rPr>
          <w:rStyle w:val="FootnoteReference"/>
          <w:rFonts w:ascii="Times New Roman" w:hAnsi="Times New Roman"/>
          <w:sz w:val="24"/>
          <w:szCs w:val="24"/>
        </w:rPr>
        <w:footnoteReference w:id="13"/>
      </w:r>
      <w:r w:rsidRPr="00D4599E">
        <w:rPr>
          <w:rFonts w:ascii="Times New Roman" w:hAnsi="Times New Roman"/>
          <w:szCs w:val="24"/>
        </w:rPr>
        <w:t xml:space="preserve"> uz </w:t>
      </w:r>
      <w:r w:rsidR="00E028A1">
        <w:rPr>
          <w:rFonts w:ascii="Times New Roman" w:hAnsi="Times New Roman"/>
          <w:szCs w:val="24"/>
        </w:rPr>
        <w:t>PVN</w:t>
      </w:r>
      <w:r w:rsidRPr="00D4599E">
        <w:rPr>
          <w:rFonts w:ascii="Times New Roman" w:hAnsi="Times New Roman"/>
          <w:szCs w:val="24"/>
        </w:rPr>
        <w:t xml:space="preserve"> ieņēmumiem, milj. </w:t>
      </w:r>
      <w:proofErr w:type="spellStart"/>
      <w:r w:rsidRPr="00D4599E">
        <w:rPr>
          <w:rFonts w:ascii="Times New Roman" w:hAnsi="Times New Roman"/>
          <w:i/>
          <w:szCs w:val="24"/>
        </w:rPr>
        <w:t>euro</w:t>
      </w:r>
      <w:proofErr w:type="spellEnd"/>
    </w:p>
    <w:tbl>
      <w:tblPr>
        <w:tblStyle w:val="TableGrid"/>
        <w:tblW w:w="8046"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20"/>
        <w:gridCol w:w="1134"/>
        <w:gridCol w:w="992"/>
      </w:tblGrid>
      <w:tr w:rsidR="00D4599E" w:rsidRPr="00ED7A2C" w14:paraId="0F94DBEC" w14:textId="77777777" w:rsidTr="003148B4">
        <w:trPr>
          <w:jc w:val="center"/>
        </w:trPr>
        <w:tc>
          <w:tcPr>
            <w:tcW w:w="5920" w:type="dxa"/>
          </w:tcPr>
          <w:p w14:paraId="76047EAF" w14:textId="77777777" w:rsidR="00D4599E" w:rsidRPr="00ED7A2C" w:rsidRDefault="00D4599E" w:rsidP="00D4599E">
            <w:pPr>
              <w:spacing w:after="0"/>
              <w:ind w:firstLine="0"/>
              <w:jc w:val="left"/>
              <w:rPr>
                <w:sz w:val="20"/>
                <w:highlight w:val="yellow"/>
              </w:rPr>
            </w:pPr>
          </w:p>
        </w:tc>
        <w:tc>
          <w:tcPr>
            <w:tcW w:w="1134" w:type="dxa"/>
          </w:tcPr>
          <w:p w14:paraId="257CEEB2" w14:textId="77777777" w:rsidR="00D4599E" w:rsidRPr="00A547BB" w:rsidRDefault="00D4599E" w:rsidP="00D4599E">
            <w:pPr>
              <w:tabs>
                <w:tab w:val="decimal" w:pos="-12114"/>
              </w:tabs>
              <w:spacing w:after="0"/>
              <w:ind w:firstLine="0"/>
              <w:jc w:val="center"/>
              <w:rPr>
                <w:b/>
                <w:sz w:val="20"/>
              </w:rPr>
            </w:pPr>
            <w:r w:rsidRPr="00A547BB">
              <w:rPr>
                <w:b/>
                <w:sz w:val="20"/>
              </w:rPr>
              <w:t>2014</w:t>
            </w:r>
          </w:p>
        </w:tc>
        <w:tc>
          <w:tcPr>
            <w:tcW w:w="992" w:type="dxa"/>
          </w:tcPr>
          <w:p w14:paraId="44DDE487" w14:textId="77777777" w:rsidR="00D4599E" w:rsidRPr="00A547BB" w:rsidRDefault="00D4599E" w:rsidP="00D4599E">
            <w:pPr>
              <w:tabs>
                <w:tab w:val="decimal" w:pos="-12114"/>
              </w:tabs>
              <w:spacing w:after="0"/>
              <w:ind w:firstLine="0"/>
              <w:jc w:val="center"/>
              <w:rPr>
                <w:b/>
                <w:sz w:val="20"/>
              </w:rPr>
            </w:pPr>
            <w:r>
              <w:rPr>
                <w:b/>
                <w:sz w:val="20"/>
              </w:rPr>
              <w:t>2015</w:t>
            </w:r>
          </w:p>
        </w:tc>
      </w:tr>
      <w:tr w:rsidR="00D4599E" w:rsidRPr="00ED7A2C" w14:paraId="0527D260" w14:textId="77777777" w:rsidTr="003148B4">
        <w:trPr>
          <w:jc w:val="center"/>
        </w:trPr>
        <w:tc>
          <w:tcPr>
            <w:tcW w:w="5920" w:type="dxa"/>
          </w:tcPr>
          <w:p w14:paraId="5CC5AE25" w14:textId="05D39918" w:rsidR="00D4599E" w:rsidRPr="00ED7A2C" w:rsidRDefault="00F63D89" w:rsidP="00D4599E">
            <w:pPr>
              <w:spacing w:after="0"/>
              <w:ind w:firstLine="0"/>
              <w:rPr>
                <w:sz w:val="20"/>
                <w:highlight w:val="yellow"/>
              </w:rPr>
            </w:pPr>
            <w:r>
              <w:rPr>
                <w:sz w:val="20"/>
              </w:rPr>
              <w:t>L</w:t>
            </w:r>
            <w:r w:rsidR="00D4599E" w:rsidRPr="00A547BB">
              <w:rPr>
                <w:sz w:val="20"/>
              </w:rPr>
              <w:t>uksus auto priekšnodokļa atskaitīšanas ierobežojums</w:t>
            </w:r>
          </w:p>
        </w:tc>
        <w:tc>
          <w:tcPr>
            <w:tcW w:w="1134" w:type="dxa"/>
            <w:vAlign w:val="center"/>
          </w:tcPr>
          <w:p w14:paraId="26B6B13C" w14:textId="77777777" w:rsidR="00D4599E" w:rsidRPr="00ED7A2C" w:rsidRDefault="00D4599E" w:rsidP="00980148">
            <w:pPr>
              <w:tabs>
                <w:tab w:val="decimal" w:pos="458"/>
              </w:tabs>
              <w:spacing w:after="0"/>
              <w:ind w:firstLine="0"/>
              <w:jc w:val="right"/>
              <w:rPr>
                <w:sz w:val="20"/>
                <w:highlight w:val="yellow"/>
              </w:rPr>
            </w:pPr>
            <w:r w:rsidRPr="00A547BB">
              <w:rPr>
                <w:sz w:val="20"/>
              </w:rPr>
              <w:t>+1,4</w:t>
            </w:r>
          </w:p>
        </w:tc>
        <w:tc>
          <w:tcPr>
            <w:tcW w:w="992" w:type="dxa"/>
            <w:vAlign w:val="center"/>
          </w:tcPr>
          <w:p w14:paraId="49BA24EF" w14:textId="77777777" w:rsidR="00D4599E" w:rsidRPr="00ED7A2C" w:rsidRDefault="00D4599E" w:rsidP="00980148">
            <w:pPr>
              <w:tabs>
                <w:tab w:val="decimal" w:pos="458"/>
              </w:tabs>
              <w:spacing w:after="0"/>
              <w:ind w:firstLine="0"/>
              <w:jc w:val="right"/>
              <w:rPr>
                <w:sz w:val="20"/>
                <w:highlight w:val="yellow"/>
              </w:rPr>
            </w:pPr>
          </w:p>
        </w:tc>
      </w:tr>
      <w:tr w:rsidR="00D4599E" w:rsidRPr="00ED7A2C" w14:paraId="3CFA9F89" w14:textId="77777777" w:rsidTr="003148B4">
        <w:trPr>
          <w:jc w:val="center"/>
        </w:trPr>
        <w:tc>
          <w:tcPr>
            <w:tcW w:w="5920" w:type="dxa"/>
          </w:tcPr>
          <w:p w14:paraId="63BE4F6A" w14:textId="21A4D189" w:rsidR="00D4599E" w:rsidRPr="00A547BB" w:rsidRDefault="00F63D89" w:rsidP="00D4599E">
            <w:pPr>
              <w:spacing w:after="0"/>
              <w:ind w:firstLine="0"/>
              <w:rPr>
                <w:sz w:val="20"/>
              </w:rPr>
            </w:pPr>
            <w:r>
              <w:rPr>
                <w:sz w:val="20"/>
              </w:rPr>
              <w:t>P</w:t>
            </w:r>
            <w:r w:rsidR="00D4599E" w:rsidRPr="00A547BB">
              <w:rPr>
                <w:sz w:val="20"/>
              </w:rPr>
              <w:t>riekšnodokļa atskaitīšana par saimnieciskai darbībai izmantojamām automašīnām</w:t>
            </w:r>
          </w:p>
        </w:tc>
        <w:tc>
          <w:tcPr>
            <w:tcW w:w="1134" w:type="dxa"/>
            <w:vAlign w:val="center"/>
          </w:tcPr>
          <w:p w14:paraId="16F98B99" w14:textId="77777777" w:rsidR="00D4599E" w:rsidRPr="00A547BB" w:rsidRDefault="00D4599E" w:rsidP="00980148">
            <w:pPr>
              <w:tabs>
                <w:tab w:val="decimal" w:pos="458"/>
              </w:tabs>
              <w:spacing w:after="0"/>
              <w:ind w:firstLine="0"/>
              <w:jc w:val="right"/>
              <w:rPr>
                <w:sz w:val="20"/>
              </w:rPr>
            </w:pPr>
            <w:r w:rsidRPr="001F5C04">
              <w:rPr>
                <w:sz w:val="20"/>
              </w:rPr>
              <w:t>-1,7</w:t>
            </w:r>
          </w:p>
        </w:tc>
        <w:tc>
          <w:tcPr>
            <w:tcW w:w="992" w:type="dxa"/>
            <w:vAlign w:val="center"/>
          </w:tcPr>
          <w:p w14:paraId="7E6D2A3F" w14:textId="77777777" w:rsidR="00D4599E" w:rsidRPr="00A547BB" w:rsidRDefault="00D4599E" w:rsidP="00980148">
            <w:pPr>
              <w:tabs>
                <w:tab w:val="decimal" w:pos="458"/>
              </w:tabs>
              <w:spacing w:after="0"/>
              <w:ind w:firstLine="0"/>
              <w:jc w:val="right"/>
              <w:rPr>
                <w:sz w:val="20"/>
              </w:rPr>
            </w:pPr>
          </w:p>
        </w:tc>
      </w:tr>
      <w:tr w:rsidR="00D4599E" w:rsidRPr="00ED7A2C" w14:paraId="22119264" w14:textId="77777777" w:rsidTr="003148B4">
        <w:trPr>
          <w:jc w:val="center"/>
        </w:trPr>
        <w:tc>
          <w:tcPr>
            <w:tcW w:w="5920" w:type="dxa"/>
          </w:tcPr>
          <w:p w14:paraId="75C70CEE" w14:textId="77777777" w:rsidR="00D4599E" w:rsidRPr="00A547BB" w:rsidRDefault="00D4599E" w:rsidP="00D4599E">
            <w:pPr>
              <w:spacing w:after="0"/>
              <w:ind w:firstLine="0"/>
              <w:rPr>
                <w:sz w:val="20"/>
              </w:rPr>
            </w:pPr>
            <w:r w:rsidRPr="001F5C04">
              <w:rPr>
                <w:sz w:val="20"/>
              </w:rPr>
              <w:t>PVN par nodrošinājumu ieviešana</w:t>
            </w:r>
          </w:p>
        </w:tc>
        <w:tc>
          <w:tcPr>
            <w:tcW w:w="1134" w:type="dxa"/>
            <w:vAlign w:val="center"/>
          </w:tcPr>
          <w:p w14:paraId="7047EF35" w14:textId="77777777" w:rsidR="00D4599E" w:rsidRPr="00A547BB" w:rsidRDefault="00D4599E" w:rsidP="00980148">
            <w:pPr>
              <w:tabs>
                <w:tab w:val="decimal" w:pos="458"/>
              </w:tabs>
              <w:spacing w:after="0"/>
              <w:ind w:firstLine="0"/>
              <w:jc w:val="right"/>
              <w:rPr>
                <w:sz w:val="20"/>
              </w:rPr>
            </w:pPr>
            <w:r w:rsidRPr="001F5C04">
              <w:rPr>
                <w:sz w:val="20"/>
              </w:rPr>
              <w:t>+6,7</w:t>
            </w:r>
          </w:p>
        </w:tc>
        <w:tc>
          <w:tcPr>
            <w:tcW w:w="992" w:type="dxa"/>
            <w:vAlign w:val="center"/>
          </w:tcPr>
          <w:p w14:paraId="12B0C210" w14:textId="77777777" w:rsidR="00D4599E" w:rsidRPr="00A547BB" w:rsidRDefault="00D4599E" w:rsidP="00980148">
            <w:pPr>
              <w:tabs>
                <w:tab w:val="decimal" w:pos="458"/>
              </w:tabs>
              <w:spacing w:after="0"/>
              <w:ind w:firstLine="0"/>
              <w:jc w:val="right"/>
              <w:rPr>
                <w:sz w:val="20"/>
              </w:rPr>
            </w:pPr>
          </w:p>
        </w:tc>
      </w:tr>
      <w:tr w:rsidR="00D4599E" w:rsidRPr="00ED7A2C" w14:paraId="31A63BAF" w14:textId="77777777" w:rsidTr="003148B4">
        <w:trPr>
          <w:jc w:val="center"/>
        </w:trPr>
        <w:tc>
          <w:tcPr>
            <w:tcW w:w="5920" w:type="dxa"/>
          </w:tcPr>
          <w:p w14:paraId="1729D11C" w14:textId="77777777" w:rsidR="00D4599E" w:rsidRPr="00A547BB" w:rsidRDefault="00D4599E" w:rsidP="00D4599E">
            <w:pPr>
              <w:spacing w:after="0"/>
              <w:ind w:firstLine="0"/>
              <w:rPr>
                <w:sz w:val="20"/>
              </w:rPr>
            </w:pPr>
            <w:r w:rsidRPr="001F5C04">
              <w:rPr>
                <w:sz w:val="20"/>
              </w:rPr>
              <w:t>PVN ietekme n</w:t>
            </w:r>
            <w:r>
              <w:rPr>
                <w:sz w:val="20"/>
              </w:rPr>
              <w:t>o akcīzes nodokļa palielinājuma</w:t>
            </w:r>
          </w:p>
        </w:tc>
        <w:tc>
          <w:tcPr>
            <w:tcW w:w="1134" w:type="dxa"/>
            <w:vAlign w:val="center"/>
          </w:tcPr>
          <w:p w14:paraId="3A47DD4A" w14:textId="77777777" w:rsidR="00D4599E" w:rsidRPr="00A547BB" w:rsidRDefault="00D4599E" w:rsidP="00980148">
            <w:pPr>
              <w:tabs>
                <w:tab w:val="decimal" w:pos="458"/>
              </w:tabs>
              <w:spacing w:after="0"/>
              <w:ind w:firstLine="0"/>
              <w:jc w:val="right"/>
              <w:rPr>
                <w:sz w:val="20"/>
              </w:rPr>
            </w:pPr>
            <w:r w:rsidRPr="001F5C04">
              <w:rPr>
                <w:sz w:val="20"/>
              </w:rPr>
              <w:t>+0,</w:t>
            </w:r>
            <w:r>
              <w:rPr>
                <w:sz w:val="20"/>
              </w:rPr>
              <w:t>8</w:t>
            </w:r>
          </w:p>
        </w:tc>
        <w:tc>
          <w:tcPr>
            <w:tcW w:w="992" w:type="dxa"/>
            <w:vAlign w:val="center"/>
          </w:tcPr>
          <w:p w14:paraId="7201299C" w14:textId="77777777" w:rsidR="00D4599E" w:rsidRPr="00A547BB" w:rsidRDefault="00D4599E" w:rsidP="00980148">
            <w:pPr>
              <w:tabs>
                <w:tab w:val="decimal" w:pos="458"/>
              </w:tabs>
              <w:spacing w:after="0"/>
              <w:ind w:firstLine="0"/>
              <w:jc w:val="right"/>
              <w:rPr>
                <w:sz w:val="20"/>
              </w:rPr>
            </w:pPr>
          </w:p>
        </w:tc>
      </w:tr>
      <w:tr w:rsidR="00D4599E" w:rsidRPr="00ED7A2C" w14:paraId="390A60AB" w14:textId="77777777" w:rsidTr="003148B4">
        <w:trPr>
          <w:jc w:val="center"/>
        </w:trPr>
        <w:tc>
          <w:tcPr>
            <w:tcW w:w="5920" w:type="dxa"/>
          </w:tcPr>
          <w:p w14:paraId="514C85B6" w14:textId="4B0747DD" w:rsidR="00D4599E" w:rsidRPr="00A547BB" w:rsidRDefault="00F63D89" w:rsidP="00D4599E">
            <w:pPr>
              <w:spacing w:after="0"/>
              <w:ind w:firstLine="0"/>
              <w:rPr>
                <w:sz w:val="20"/>
              </w:rPr>
            </w:pPr>
            <w:r>
              <w:rPr>
                <w:sz w:val="20"/>
              </w:rPr>
              <w:t>K</w:t>
            </w:r>
            <w:r w:rsidR="00D4599E" w:rsidRPr="009865EE">
              <w:rPr>
                <w:sz w:val="20"/>
              </w:rPr>
              <w:t>ases aparātu izmantošanas kārtības izmaiņas</w:t>
            </w:r>
          </w:p>
        </w:tc>
        <w:tc>
          <w:tcPr>
            <w:tcW w:w="1134" w:type="dxa"/>
            <w:vAlign w:val="center"/>
          </w:tcPr>
          <w:p w14:paraId="7FB2687C" w14:textId="77777777" w:rsidR="00D4599E" w:rsidRPr="00A547BB" w:rsidRDefault="00D4599E" w:rsidP="00980148">
            <w:pPr>
              <w:tabs>
                <w:tab w:val="decimal" w:pos="458"/>
              </w:tabs>
              <w:spacing w:after="0"/>
              <w:ind w:firstLine="0"/>
              <w:jc w:val="right"/>
              <w:rPr>
                <w:sz w:val="20"/>
              </w:rPr>
            </w:pPr>
          </w:p>
        </w:tc>
        <w:tc>
          <w:tcPr>
            <w:tcW w:w="992" w:type="dxa"/>
            <w:vAlign w:val="center"/>
          </w:tcPr>
          <w:p w14:paraId="7A5F6749" w14:textId="77777777" w:rsidR="00D4599E" w:rsidRPr="00A547BB" w:rsidRDefault="00D4599E" w:rsidP="00980148">
            <w:pPr>
              <w:tabs>
                <w:tab w:val="decimal" w:pos="458"/>
              </w:tabs>
              <w:spacing w:after="0"/>
              <w:ind w:firstLine="0"/>
              <w:jc w:val="right"/>
              <w:rPr>
                <w:sz w:val="20"/>
              </w:rPr>
            </w:pPr>
            <w:r w:rsidRPr="009865EE">
              <w:rPr>
                <w:sz w:val="20"/>
              </w:rPr>
              <w:t>+2,8</w:t>
            </w:r>
          </w:p>
        </w:tc>
      </w:tr>
      <w:tr w:rsidR="00D4599E" w:rsidRPr="00ED7A2C" w14:paraId="4114764A" w14:textId="77777777" w:rsidTr="003148B4">
        <w:trPr>
          <w:jc w:val="center"/>
        </w:trPr>
        <w:tc>
          <w:tcPr>
            <w:tcW w:w="5920" w:type="dxa"/>
          </w:tcPr>
          <w:p w14:paraId="5E2B516B" w14:textId="77777777" w:rsidR="00D4599E" w:rsidRPr="00A547BB" w:rsidRDefault="00D4599E" w:rsidP="00D4599E">
            <w:pPr>
              <w:spacing w:after="0"/>
              <w:ind w:firstLine="0"/>
              <w:rPr>
                <w:sz w:val="20"/>
              </w:rPr>
            </w:pPr>
            <w:r w:rsidRPr="009865EE">
              <w:rPr>
                <w:sz w:val="20"/>
              </w:rPr>
              <w:t>Nodokļu kontroles un administrēšanas efektivitātes paaugstināšana, lai novērstu izvairīšanos no nodokļu nomaksas, t.i., samazināt fiktīvo uzņēmumu skaitu, kas saistīti ar riska adresēm un riska personām</w:t>
            </w:r>
          </w:p>
        </w:tc>
        <w:tc>
          <w:tcPr>
            <w:tcW w:w="1134" w:type="dxa"/>
            <w:vAlign w:val="center"/>
          </w:tcPr>
          <w:p w14:paraId="3EDF52C8" w14:textId="77777777" w:rsidR="00D4599E" w:rsidRPr="00A547BB" w:rsidRDefault="00D4599E" w:rsidP="00980148">
            <w:pPr>
              <w:tabs>
                <w:tab w:val="decimal" w:pos="458"/>
              </w:tabs>
              <w:spacing w:after="0"/>
              <w:ind w:firstLine="0"/>
              <w:jc w:val="right"/>
              <w:rPr>
                <w:sz w:val="20"/>
              </w:rPr>
            </w:pPr>
            <w:r w:rsidRPr="009865EE">
              <w:rPr>
                <w:sz w:val="20"/>
              </w:rPr>
              <w:t>+13,1</w:t>
            </w:r>
          </w:p>
        </w:tc>
        <w:tc>
          <w:tcPr>
            <w:tcW w:w="992" w:type="dxa"/>
            <w:vAlign w:val="center"/>
          </w:tcPr>
          <w:p w14:paraId="1877A57D" w14:textId="77777777" w:rsidR="00D4599E" w:rsidRPr="00A547BB" w:rsidRDefault="00D4599E" w:rsidP="00980148">
            <w:pPr>
              <w:tabs>
                <w:tab w:val="decimal" w:pos="458"/>
              </w:tabs>
              <w:spacing w:after="0"/>
              <w:ind w:firstLine="0"/>
              <w:jc w:val="right"/>
              <w:rPr>
                <w:sz w:val="20"/>
              </w:rPr>
            </w:pPr>
          </w:p>
        </w:tc>
      </w:tr>
      <w:tr w:rsidR="00D4599E" w:rsidRPr="00ED7A2C" w14:paraId="68467759" w14:textId="77777777" w:rsidTr="003148B4">
        <w:trPr>
          <w:jc w:val="center"/>
        </w:trPr>
        <w:tc>
          <w:tcPr>
            <w:tcW w:w="5920" w:type="dxa"/>
          </w:tcPr>
          <w:p w14:paraId="490AD278" w14:textId="715CD3FB" w:rsidR="00D4599E" w:rsidRPr="00A547BB" w:rsidRDefault="00F63D89" w:rsidP="00D4599E">
            <w:pPr>
              <w:spacing w:after="0"/>
              <w:ind w:firstLine="0"/>
              <w:rPr>
                <w:sz w:val="20"/>
              </w:rPr>
            </w:pPr>
            <w:r>
              <w:rPr>
                <w:sz w:val="20"/>
              </w:rPr>
              <w:t>P</w:t>
            </w:r>
            <w:r w:rsidR="00D4599E" w:rsidRPr="009865EE">
              <w:rPr>
                <w:sz w:val="20"/>
              </w:rPr>
              <w:t>asākumu „Radikāla rīcība ēnu ekonomikas apkarošanai nodokļu administrēšanas un muitas lietu jomā”, „Jauno ES muitas savienības vienoto prasību ieviešana”, „Administratīvā sloga samazināšana VID klientiem, pilnveidojot VID sniegto e-pakalpojumu pieejamību un kvalitāti” īstenoša</w:t>
            </w:r>
            <w:r w:rsidR="00D4599E">
              <w:rPr>
                <w:sz w:val="20"/>
              </w:rPr>
              <w:t>na</w:t>
            </w:r>
          </w:p>
        </w:tc>
        <w:tc>
          <w:tcPr>
            <w:tcW w:w="1134" w:type="dxa"/>
            <w:vAlign w:val="center"/>
          </w:tcPr>
          <w:p w14:paraId="3F391A6A" w14:textId="77777777" w:rsidR="00D4599E" w:rsidRPr="00A547BB" w:rsidRDefault="00D4599E" w:rsidP="00980148">
            <w:pPr>
              <w:tabs>
                <w:tab w:val="decimal" w:pos="458"/>
              </w:tabs>
              <w:spacing w:after="0"/>
              <w:ind w:firstLine="0"/>
              <w:jc w:val="right"/>
              <w:rPr>
                <w:sz w:val="20"/>
              </w:rPr>
            </w:pPr>
            <w:r w:rsidRPr="009865EE">
              <w:rPr>
                <w:sz w:val="20"/>
              </w:rPr>
              <w:t>+10,5</w:t>
            </w:r>
          </w:p>
        </w:tc>
        <w:tc>
          <w:tcPr>
            <w:tcW w:w="992" w:type="dxa"/>
            <w:vAlign w:val="center"/>
          </w:tcPr>
          <w:p w14:paraId="0CB71FAA" w14:textId="77777777" w:rsidR="00D4599E" w:rsidRPr="00A547BB" w:rsidRDefault="00D4599E" w:rsidP="00980148">
            <w:pPr>
              <w:tabs>
                <w:tab w:val="decimal" w:pos="458"/>
              </w:tabs>
              <w:spacing w:after="0"/>
              <w:ind w:firstLine="0"/>
              <w:jc w:val="right"/>
              <w:rPr>
                <w:sz w:val="20"/>
              </w:rPr>
            </w:pPr>
          </w:p>
        </w:tc>
      </w:tr>
      <w:tr w:rsidR="00D4599E" w:rsidRPr="00ED7A2C" w14:paraId="542DFFBC" w14:textId="77777777" w:rsidTr="003148B4">
        <w:trPr>
          <w:jc w:val="center"/>
        </w:trPr>
        <w:tc>
          <w:tcPr>
            <w:tcW w:w="5920" w:type="dxa"/>
          </w:tcPr>
          <w:p w14:paraId="725D932E" w14:textId="77777777" w:rsidR="00D4599E" w:rsidRPr="00A547BB" w:rsidRDefault="00D4599E" w:rsidP="00D4599E">
            <w:pPr>
              <w:spacing w:after="0"/>
              <w:ind w:firstLine="0"/>
              <w:rPr>
                <w:sz w:val="20"/>
              </w:rPr>
            </w:pPr>
            <w:r w:rsidRPr="009865EE">
              <w:rPr>
                <w:sz w:val="20"/>
              </w:rPr>
              <w:t>Atgriezeniskais efekts no minimālās algas paaugstināšanas</w:t>
            </w:r>
          </w:p>
        </w:tc>
        <w:tc>
          <w:tcPr>
            <w:tcW w:w="1134" w:type="dxa"/>
            <w:vAlign w:val="center"/>
          </w:tcPr>
          <w:p w14:paraId="0AE4439A" w14:textId="77777777" w:rsidR="00D4599E" w:rsidRPr="00A547BB" w:rsidRDefault="00D4599E" w:rsidP="00980148">
            <w:pPr>
              <w:tabs>
                <w:tab w:val="decimal" w:pos="458"/>
              </w:tabs>
              <w:spacing w:after="0"/>
              <w:ind w:firstLine="0"/>
              <w:jc w:val="right"/>
              <w:rPr>
                <w:sz w:val="20"/>
              </w:rPr>
            </w:pPr>
            <w:r w:rsidRPr="009865EE">
              <w:rPr>
                <w:sz w:val="20"/>
              </w:rPr>
              <w:t>+3,</w:t>
            </w:r>
            <w:r>
              <w:rPr>
                <w:sz w:val="20"/>
              </w:rPr>
              <w:t>8</w:t>
            </w:r>
          </w:p>
        </w:tc>
        <w:tc>
          <w:tcPr>
            <w:tcW w:w="992" w:type="dxa"/>
            <w:vAlign w:val="center"/>
          </w:tcPr>
          <w:p w14:paraId="72021008" w14:textId="77777777" w:rsidR="00D4599E" w:rsidRPr="00A547BB" w:rsidRDefault="00D4599E" w:rsidP="00980148">
            <w:pPr>
              <w:tabs>
                <w:tab w:val="decimal" w:pos="458"/>
              </w:tabs>
              <w:spacing w:after="0"/>
              <w:ind w:firstLine="0"/>
              <w:jc w:val="right"/>
              <w:rPr>
                <w:sz w:val="20"/>
              </w:rPr>
            </w:pPr>
          </w:p>
        </w:tc>
      </w:tr>
      <w:tr w:rsidR="00D4599E" w:rsidRPr="00ED7A2C" w14:paraId="4AF7E15C" w14:textId="77777777" w:rsidTr="003148B4">
        <w:trPr>
          <w:jc w:val="center"/>
        </w:trPr>
        <w:tc>
          <w:tcPr>
            <w:tcW w:w="5920" w:type="dxa"/>
          </w:tcPr>
          <w:p w14:paraId="03B8C0D1" w14:textId="77777777" w:rsidR="00D4599E" w:rsidRPr="003466B4" w:rsidRDefault="00D4599E" w:rsidP="00D4599E">
            <w:pPr>
              <w:spacing w:after="0"/>
              <w:ind w:firstLine="0"/>
              <w:rPr>
                <w:b/>
                <w:sz w:val="20"/>
              </w:rPr>
            </w:pPr>
            <w:r w:rsidRPr="003466B4">
              <w:rPr>
                <w:b/>
                <w:sz w:val="20"/>
              </w:rPr>
              <w:t>Izmaiņu ietekme kopā:</w:t>
            </w:r>
          </w:p>
        </w:tc>
        <w:tc>
          <w:tcPr>
            <w:tcW w:w="1134" w:type="dxa"/>
            <w:vAlign w:val="center"/>
          </w:tcPr>
          <w:p w14:paraId="61C9CC85" w14:textId="77777777" w:rsidR="00D4599E" w:rsidRPr="003466B4" w:rsidRDefault="00D4599E" w:rsidP="00980148">
            <w:pPr>
              <w:tabs>
                <w:tab w:val="decimal" w:pos="458"/>
              </w:tabs>
              <w:spacing w:after="0"/>
              <w:ind w:firstLine="0"/>
              <w:jc w:val="right"/>
              <w:rPr>
                <w:b/>
                <w:sz w:val="20"/>
              </w:rPr>
            </w:pPr>
            <w:r w:rsidRPr="003466B4">
              <w:rPr>
                <w:b/>
                <w:sz w:val="20"/>
              </w:rPr>
              <w:t>+</w:t>
            </w:r>
            <w:r>
              <w:rPr>
                <w:b/>
                <w:sz w:val="20"/>
              </w:rPr>
              <w:t>34</w:t>
            </w:r>
            <w:r w:rsidRPr="003466B4">
              <w:rPr>
                <w:b/>
                <w:sz w:val="20"/>
              </w:rPr>
              <w:t>,</w:t>
            </w:r>
            <w:r>
              <w:rPr>
                <w:b/>
                <w:sz w:val="20"/>
              </w:rPr>
              <w:t>6</w:t>
            </w:r>
          </w:p>
        </w:tc>
        <w:tc>
          <w:tcPr>
            <w:tcW w:w="992" w:type="dxa"/>
            <w:vAlign w:val="center"/>
          </w:tcPr>
          <w:p w14:paraId="15B7E5CF" w14:textId="77777777" w:rsidR="00D4599E" w:rsidRPr="003466B4" w:rsidRDefault="00D4599E" w:rsidP="00980148">
            <w:pPr>
              <w:tabs>
                <w:tab w:val="decimal" w:pos="458"/>
              </w:tabs>
              <w:spacing w:after="0"/>
              <w:ind w:firstLine="0"/>
              <w:jc w:val="right"/>
              <w:rPr>
                <w:b/>
                <w:sz w:val="20"/>
              </w:rPr>
            </w:pPr>
            <w:r w:rsidRPr="003466B4">
              <w:rPr>
                <w:b/>
                <w:sz w:val="20"/>
              </w:rPr>
              <w:t>+</w:t>
            </w:r>
            <w:r>
              <w:rPr>
                <w:b/>
                <w:sz w:val="20"/>
              </w:rPr>
              <w:t>2,8</w:t>
            </w:r>
          </w:p>
        </w:tc>
      </w:tr>
    </w:tbl>
    <w:p w14:paraId="14171014" w14:textId="77777777" w:rsidR="001B6A4A" w:rsidRDefault="001B6A4A" w:rsidP="00D4599E">
      <w:pPr>
        <w:pStyle w:val="H4"/>
        <w:rPr>
          <w:rFonts w:ascii="Times New Roman" w:hAnsi="Times New Roman"/>
          <w:sz w:val="24"/>
          <w:szCs w:val="24"/>
        </w:rPr>
      </w:pPr>
    </w:p>
    <w:p w14:paraId="228AD4D8" w14:textId="77777777" w:rsidR="00D4599E" w:rsidRPr="00D95C35" w:rsidRDefault="00D4599E" w:rsidP="00D4599E">
      <w:pPr>
        <w:pStyle w:val="H4"/>
        <w:rPr>
          <w:rFonts w:ascii="Times New Roman" w:hAnsi="Times New Roman"/>
          <w:sz w:val="24"/>
          <w:szCs w:val="24"/>
        </w:rPr>
      </w:pPr>
      <w:r w:rsidRPr="00D95C35">
        <w:rPr>
          <w:rFonts w:ascii="Times New Roman" w:hAnsi="Times New Roman"/>
          <w:sz w:val="24"/>
          <w:szCs w:val="24"/>
        </w:rPr>
        <w:t>Uzņēmumu ienākuma nodoklis</w:t>
      </w:r>
    </w:p>
    <w:p w14:paraId="43142D79" w14:textId="2620E2F5" w:rsidR="00D4599E" w:rsidRPr="00D95C35" w:rsidRDefault="00D4599E" w:rsidP="00D4599E">
      <w:r w:rsidRPr="00D95C35">
        <w:t xml:space="preserve">Tiek paredzēts, ka </w:t>
      </w:r>
      <w:r w:rsidR="00F63D89">
        <w:t>UIN</w:t>
      </w:r>
      <w:r w:rsidRPr="00D95C35">
        <w:t xml:space="preserve"> likme – 15 %, kas ir spēkā no 2004. gada un ir viena no zemākajām </w:t>
      </w:r>
      <w:r w:rsidR="00F63D89">
        <w:t>ES</w:t>
      </w:r>
      <w:r w:rsidRPr="00D95C35">
        <w:t xml:space="preserve">, saglabāsies nemainīga. Pēc ekonomiskās lejupslīdes, ekonomikai sekmīgi attīstoties un uzlabojoties uzņēmumu finanšu rādītājiem, kopš 2011. gada </w:t>
      </w:r>
      <w:r w:rsidR="00F63D89">
        <w:t>UIN</w:t>
      </w:r>
      <w:r w:rsidRPr="00D95C35">
        <w:t xml:space="preserve"> ieņēmumi ir būtiski pieauguši.</w:t>
      </w:r>
    </w:p>
    <w:p w14:paraId="78214DF9" w14:textId="56AF8501" w:rsidR="00D4599E" w:rsidRPr="00D95C35" w:rsidRDefault="00D4599E" w:rsidP="00D4599E">
      <w:r w:rsidRPr="00D95C35">
        <w:t xml:space="preserve">2013. gadā, ekonomiskai situācijai uzlabojoties, </w:t>
      </w:r>
      <w:r w:rsidR="00F63D89">
        <w:t>UIN</w:t>
      </w:r>
      <w:r w:rsidRPr="00D95C35">
        <w:t xml:space="preserve"> ieņēmumi salīdzinājumā ar 2012. gadu pieauga par 4,5 %, kas liecina par to, ka uzņēmumi 2012. gadu ir noslēguši ar būtiski labākiem finanšu rezultātiem nekā 2011. gadā. </w:t>
      </w:r>
    </w:p>
    <w:p w14:paraId="30B9538D" w14:textId="3D2445AF" w:rsidR="00D4599E" w:rsidRPr="00D95C35" w:rsidRDefault="00D4599E" w:rsidP="00D4599E">
      <w:r w:rsidRPr="00D95C35">
        <w:t xml:space="preserve">Ekonomikai turpinot attīstīties, turpmākajos gados </w:t>
      </w:r>
      <w:r w:rsidR="00F63D89">
        <w:t>UIN</w:t>
      </w:r>
      <w:r w:rsidRPr="00D95C35">
        <w:t xml:space="preserve"> tiek prognozēti ar augšupejošu tendenci. 2014. gadā tiek prognozēts, ka </w:t>
      </w:r>
      <w:r w:rsidR="00F63D89">
        <w:t>UIN</w:t>
      </w:r>
      <w:r w:rsidRPr="00D95C35">
        <w:t xml:space="preserve"> ieņēmumi pieaugs par 7,3 % salīdzinājumā ar 2013. gadu. </w:t>
      </w:r>
    </w:p>
    <w:p w14:paraId="50C71912" w14:textId="0732D7B4" w:rsidR="00D4599E" w:rsidRDefault="00D4599E" w:rsidP="00D4599E">
      <w:r w:rsidRPr="00D95C35">
        <w:t xml:space="preserve">2014. un 2015. gada </w:t>
      </w:r>
      <w:r w:rsidR="00F63D89">
        <w:t>UIN</w:t>
      </w:r>
      <w:r>
        <w:t xml:space="preserve"> ieņēmumus ietekmēs 2014</w:t>
      </w:r>
      <w:r w:rsidRPr="00D95C35">
        <w:t>. gadā pieņemtās</w:t>
      </w:r>
      <w:r>
        <w:t xml:space="preserve"> būtiskākās un fiskāli ietilpīgākās likumdošanas izmaiņas, kas</w:t>
      </w:r>
      <w:r w:rsidRPr="00D95C35">
        <w:t xml:space="preserve"> paredz </w:t>
      </w:r>
      <w:r w:rsidRPr="00D95C35">
        <w:rPr>
          <w:szCs w:val="24"/>
        </w:rPr>
        <w:t>saimnieciskās darbības veicēju (kuru pamatdarbība nav aizdevumu izsniegšana) izsniegto aizdevumu</w:t>
      </w:r>
      <w:r w:rsidRPr="004F7E02">
        <w:rPr>
          <w:szCs w:val="24"/>
        </w:rPr>
        <w:t xml:space="preserve"> aplikšan</w:t>
      </w:r>
      <w:r>
        <w:rPr>
          <w:szCs w:val="24"/>
        </w:rPr>
        <w:t>u</w:t>
      </w:r>
      <w:r w:rsidRPr="004F7E02">
        <w:rPr>
          <w:szCs w:val="24"/>
        </w:rPr>
        <w:t xml:space="preserve"> ar darba nodokļiem</w:t>
      </w:r>
      <w:r>
        <w:rPr>
          <w:szCs w:val="24"/>
        </w:rPr>
        <w:t xml:space="preserve">, </w:t>
      </w:r>
      <w:r w:rsidRPr="004F7E02">
        <w:rPr>
          <w:szCs w:val="24"/>
        </w:rPr>
        <w:t>VID adminis</w:t>
      </w:r>
      <w:r>
        <w:rPr>
          <w:szCs w:val="24"/>
        </w:rPr>
        <w:t xml:space="preserve">trēšanas kapacitātes uzlabošanu, </w:t>
      </w:r>
      <w:r w:rsidRPr="004F7E02">
        <w:rPr>
          <w:szCs w:val="24"/>
        </w:rPr>
        <w:t>kases aparātu izmantošanas kārtības izmaiņas</w:t>
      </w:r>
      <w:r>
        <w:rPr>
          <w:szCs w:val="24"/>
        </w:rPr>
        <w:t xml:space="preserve"> un </w:t>
      </w:r>
      <w:r w:rsidRPr="004F7E02">
        <w:rPr>
          <w:szCs w:val="24"/>
        </w:rPr>
        <w:t>nodokļu kontroles un administrēšanas efektivitātes paaugstināšan</w:t>
      </w:r>
      <w:r>
        <w:rPr>
          <w:szCs w:val="24"/>
        </w:rPr>
        <w:t>u</w:t>
      </w:r>
      <w:r w:rsidRPr="004F7E02">
        <w:rPr>
          <w:szCs w:val="24"/>
        </w:rPr>
        <w:t>, lai novērstu izvairīšanos no nodokļu nomaksas</w:t>
      </w:r>
      <w:r>
        <w:rPr>
          <w:szCs w:val="24"/>
        </w:rPr>
        <w:t>, kā arī citi pasākumi.</w:t>
      </w:r>
      <w:r w:rsidRPr="00F22B28">
        <w:t xml:space="preserve"> </w:t>
      </w:r>
    </w:p>
    <w:p w14:paraId="0119A102" w14:textId="1E25BAF6" w:rsidR="00D4599E" w:rsidRDefault="00D4599E" w:rsidP="004B74A0">
      <w:pPr>
        <w:spacing w:after="0"/>
      </w:pPr>
      <w:r>
        <w:t>Visbūtiskākās un fiskāli ietilpīgākās likumdošanas izmaiņas</w:t>
      </w:r>
      <w:r w:rsidRPr="00D95C35">
        <w:t xml:space="preserve"> paredz </w:t>
      </w:r>
      <w:r w:rsidR="00F63D89">
        <w:t>UIN</w:t>
      </w:r>
      <w:r w:rsidRPr="00D95C35">
        <w:t xml:space="preserve"> atlaižu ieviešanu vai atcelšanu</w:t>
      </w:r>
      <w:r>
        <w:t>:</w:t>
      </w:r>
    </w:p>
    <w:p w14:paraId="4F42788E" w14:textId="77777777" w:rsidR="00D4599E" w:rsidRPr="00BC35B9" w:rsidRDefault="00D4599E" w:rsidP="0011050B">
      <w:pPr>
        <w:numPr>
          <w:ilvl w:val="0"/>
          <w:numId w:val="19"/>
        </w:numPr>
        <w:spacing w:after="0"/>
        <w:ind w:left="1281" w:hanging="357"/>
      </w:pPr>
      <w:r w:rsidRPr="00BC35B9">
        <w:rPr>
          <w:szCs w:val="24"/>
          <w:lang w:eastAsia="lv-LV"/>
        </w:rPr>
        <w:t xml:space="preserve">lai veicinātu investīcijas un ieguldījumus pētniecībā un attīstībā ir </w:t>
      </w:r>
      <w:r w:rsidRPr="00BC35B9">
        <w:rPr>
          <w:szCs w:val="24"/>
        </w:rPr>
        <w:t>pagarināta iespēja</w:t>
      </w:r>
      <w:r>
        <w:rPr>
          <w:szCs w:val="24"/>
        </w:rPr>
        <w:t xml:space="preserve"> (līdz 2020.gadam)</w:t>
      </w:r>
      <w:r w:rsidRPr="00BC35B9">
        <w:rPr>
          <w:szCs w:val="24"/>
        </w:rPr>
        <w:t xml:space="preserve"> piemērot nodokļa atvieglojumu jaunajām ražošanas tehnoloģiskajām iekārtām (piemērojot koeficientu 1,5);</w:t>
      </w:r>
    </w:p>
    <w:p w14:paraId="4417CD95" w14:textId="77777777" w:rsidR="00D4599E" w:rsidRPr="00BC35B9" w:rsidRDefault="00D4599E" w:rsidP="0011050B">
      <w:pPr>
        <w:numPr>
          <w:ilvl w:val="0"/>
          <w:numId w:val="19"/>
        </w:numPr>
        <w:spacing w:after="0"/>
        <w:ind w:left="1281" w:hanging="357"/>
      </w:pPr>
      <w:r w:rsidRPr="00BC35B9">
        <w:rPr>
          <w:szCs w:val="24"/>
        </w:rPr>
        <w:t>sākot ar 2014.gada 1.jūliju tiks ieviests atvieglojums, kas paredz iespēju noteiktām pētniecības un attīstības izmaksām piemērot koeficientu 3;</w:t>
      </w:r>
    </w:p>
    <w:p w14:paraId="6036A4F1" w14:textId="77777777" w:rsidR="00D4599E" w:rsidRPr="00BC35B9" w:rsidRDefault="00D4599E" w:rsidP="0011050B">
      <w:pPr>
        <w:numPr>
          <w:ilvl w:val="0"/>
          <w:numId w:val="19"/>
        </w:numPr>
        <w:spacing w:after="0"/>
        <w:ind w:left="1281" w:hanging="357"/>
      </w:pPr>
      <w:r w:rsidRPr="00BC35B9">
        <w:rPr>
          <w:szCs w:val="24"/>
        </w:rPr>
        <w:t>ir pagarināts termiņš</w:t>
      </w:r>
      <w:r>
        <w:rPr>
          <w:szCs w:val="24"/>
        </w:rPr>
        <w:t xml:space="preserve"> (līdz 2020.gadam)</w:t>
      </w:r>
      <w:r w:rsidRPr="00BC35B9">
        <w:rPr>
          <w:szCs w:val="24"/>
        </w:rPr>
        <w:t xml:space="preserve"> nodokļa atlaidēm par veiktajiem ieguldījumiem atbalstāmajos projektos, vienlaikus nosakot minimālo ieguldījuma apmēru 10 miljonu </w:t>
      </w:r>
      <w:proofErr w:type="spellStart"/>
      <w:r w:rsidRPr="00BC35B9">
        <w:rPr>
          <w:i/>
          <w:iCs/>
          <w:szCs w:val="24"/>
        </w:rPr>
        <w:t>euro</w:t>
      </w:r>
      <w:proofErr w:type="spellEnd"/>
      <w:r w:rsidRPr="00BC35B9">
        <w:rPr>
          <w:szCs w:val="24"/>
        </w:rPr>
        <w:t xml:space="preserve"> apmērā;</w:t>
      </w:r>
    </w:p>
    <w:p w14:paraId="2B62AD42" w14:textId="77777777" w:rsidR="00D4599E" w:rsidRPr="00BC35B9" w:rsidRDefault="00D4599E" w:rsidP="0011050B">
      <w:pPr>
        <w:numPr>
          <w:ilvl w:val="0"/>
          <w:numId w:val="19"/>
        </w:numPr>
        <w:spacing w:after="0"/>
        <w:ind w:left="1281" w:hanging="357"/>
      </w:pPr>
      <w:r w:rsidRPr="00BC35B9">
        <w:rPr>
          <w:szCs w:val="24"/>
        </w:rPr>
        <w:t>2014.gadā tika atcelti tādi atvieglojumi kā nodokļa atvieglojums (apliekamā ienākuma samazinājums) par nosacītu kredītprocentu summu un iespēja pārnest zaudējumus uzņēmumu grupā;</w:t>
      </w:r>
    </w:p>
    <w:p w14:paraId="039D928C" w14:textId="77777777" w:rsidR="00D4599E" w:rsidRPr="00BC35B9" w:rsidRDefault="00D4599E" w:rsidP="0011050B">
      <w:pPr>
        <w:numPr>
          <w:ilvl w:val="0"/>
          <w:numId w:val="19"/>
        </w:numPr>
        <w:spacing w:after="0"/>
        <w:ind w:left="1281" w:hanging="357"/>
      </w:pPr>
      <w:r w:rsidRPr="00BC35B9">
        <w:rPr>
          <w:szCs w:val="24"/>
        </w:rPr>
        <w:t>no 2015. gada 1.janvāra tiks atcelts esošais mazāk atbalstāmais atvieglojums pētniecības un attīstības izmaksām;</w:t>
      </w:r>
    </w:p>
    <w:p w14:paraId="4F0BC8F8" w14:textId="77777777" w:rsidR="00D4599E" w:rsidRPr="00BC35B9" w:rsidRDefault="00D4599E" w:rsidP="0011050B">
      <w:pPr>
        <w:numPr>
          <w:ilvl w:val="0"/>
          <w:numId w:val="19"/>
        </w:numPr>
        <w:spacing w:after="0"/>
        <w:ind w:left="1281" w:hanging="357"/>
      </w:pPr>
      <w:r w:rsidRPr="00BC35B9">
        <w:rPr>
          <w:szCs w:val="24"/>
        </w:rPr>
        <w:t>no 2017.gada 1.janvāra tiks atcelts nodokļa atvieglojums par saņemtajām subsīdijām lauksaimniecībai.</w:t>
      </w:r>
    </w:p>
    <w:p w14:paraId="1229B035" w14:textId="28822671" w:rsidR="00D4599E" w:rsidRPr="00D4599E" w:rsidRDefault="00D4599E" w:rsidP="004B74A0">
      <w:pPr>
        <w:pStyle w:val="T"/>
        <w:spacing w:after="0"/>
        <w:ind w:left="0"/>
        <w:jc w:val="right"/>
        <w:rPr>
          <w:rFonts w:ascii="Times New Roman" w:hAnsi="Times New Roman"/>
          <w:i/>
          <w:szCs w:val="24"/>
        </w:rPr>
      </w:pPr>
      <w:r w:rsidRPr="00D4599E">
        <w:rPr>
          <w:rFonts w:ascii="Times New Roman" w:hAnsi="Times New Roman"/>
        </w:rPr>
        <w:t>6.</w:t>
      </w:r>
      <w:r w:rsidR="0037075E">
        <w:rPr>
          <w:rFonts w:ascii="Times New Roman" w:hAnsi="Times New Roman"/>
        </w:rPr>
        <w:t>3</w:t>
      </w:r>
      <w:r w:rsidRPr="00D4599E">
        <w:rPr>
          <w:rFonts w:ascii="Times New Roman" w:hAnsi="Times New Roman"/>
        </w:rPr>
        <w:t xml:space="preserve">. tabula. Nodokļu politikas būtiskāko izmaiņu ietekme uz </w:t>
      </w:r>
      <w:r w:rsidR="00B64D6D">
        <w:rPr>
          <w:rFonts w:ascii="Times New Roman" w:hAnsi="Times New Roman"/>
        </w:rPr>
        <w:t>UIN</w:t>
      </w:r>
      <w:r w:rsidRPr="00D4599E">
        <w:rPr>
          <w:rFonts w:ascii="Times New Roman" w:hAnsi="Times New Roman"/>
        </w:rPr>
        <w:t xml:space="preserve"> ieņēmumiem, milj. </w:t>
      </w:r>
      <w:proofErr w:type="spellStart"/>
      <w:r w:rsidRPr="00D4599E">
        <w:rPr>
          <w:rFonts w:ascii="Times New Roman" w:hAnsi="Times New Roman"/>
          <w:i/>
          <w:szCs w:val="24"/>
        </w:rPr>
        <w:t>euro</w:t>
      </w:r>
      <w:proofErr w:type="spellEnd"/>
    </w:p>
    <w:tbl>
      <w:tblPr>
        <w:tblStyle w:val="TableGrid"/>
        <w:tblW w:w="918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778"/>
        <w:gridCol w:w="1134"/>
        <w:gridCol w:w="1134"/>
        <w:gridCol w:w="1134"/>
      </w:tblGrid>
      <w:tr w:rsidR="00D4599E" w:rsidRPr="00D95C35" w14:paraId="726A8AEE" w14:textId="77777777" w:rsidTr="003148B4">
        <w:tc>
          <w:tcPr>
            <w:tcW w:w="5778" w:type="dxa"/>
          </w:tcPr>
          <w:p w14:paraId="64599A1F" w14:textId="77777777" w:rsidR="00D4599E" w:rsidRPr="00D95C35" w:rsidRDefault="00D4599E" w:rsidP="00D4599E">
            <w:pPr>
              <w:spacing w:after="0"/>
              <w:ind w:firstLine="0"/>
              <w:jc w:val="left"/>
              <w:rPr>
                <w:sz w:val="20"/>
              </w:rPr>
            </w:pPr>
          </w:p>
        </w:tc>
        <w:tc>
          <w:tcPr>
            <w:tcW w:w="1134" w:type="dxa"/>
          </w:tcPr>
          <w:p w14:paraId="5C7A924B" w14:textId="77777777" w:rsidR="00D4599E" w:rsidRPr="00A93DEC" w:rsidRDefault="00D4599E" w:rsidP="00D4599E">
            <w:pPr>
              <w:tabs>
                <w:tab w:val="decimal" w:pos="-12114"/>
              </w:tabs>
              <w:spacing w:after="0"/>
              <w:ind w:firstLine="0"/>
              <w:jc w:val="center"/>
              <w:rPr>
                <w:b/>
                <w:sz w:val="20"/>
              </w:rPr>
            </w:pPr>
            <w:r w:rsidRPr="00A93DEC">
              <w:rPr>
                <w:b/>
                <w:sz w:val="20"/>
              </w:rPr>
              <w:t>2014</w:t>
            </w:r>
          </w:p>
        </w:tc>
        <w:tc>
          <w:tcPr>
            <w:tcW w:w="1134" w:type="dxa"/>
          </w:tcPr>
          <w:p w14:paraId="654B2AD3" w14:textId="77777777" w:rsidR="00D4599E" w:rsidRPr="00A93DEC" w:rsidRDefault="00D4599E" w:rsidP="00D4599E">
            <w:pPr>
              <w:tabs>
                <w:tab w:val="decimal" w:pos="-12114"/>
              </w:tabs>
              <w:spacing w:after="0"/>
              <w:ind w:firstLine="0"/>
              <w:jc w:val="center"/>
              <w:rPr>
                <w:b/>
                <w:sz w:val="20"/>
              </w:rPr>
            </w:pPr>
            <w:r w:rsidRPr="00A93DEC">
              <w:rPr>
                <w:b/>
                <w:sz w:val="20"/>
              </w:rPr>
              <w:t>2015</w:t>
            </w:r>
          </w:p>
        </w:tc>
        <w:tc>
          <w:tcPr>
            <w:tcW w:w="1134" w:type="dxa"/>
          </w:tcPr>
          <w:p w14:paraId="0FB6C9DB" w14:textId="77777777" w:rsidR="00D4599E" w:rsidRPr="00A93DEC" w:rsidRDefault="00D4599E" w:rsidP="00D4599E">
            <w:pPr>
              <w:tabs>
                <w:tab w:val="decimal" w:pos="-12114"/>
              </w:tabs>
              <w:spacing w:after="0"/>
              <w:ind w:firstLine="0"/>
              <w:jc w:val="center"/>
              <w:rPr>
                <w:b/>
                <w:sz w:val="20"/>
              </w:rPr>
            </w:pPr>
            <w:r w:rsidRPr="00A93DEC">
              <w:rPr>
                <w:b/>
                <w:sz w:val="20"/>
              </w:rPr>
              <w:t>2016</w:t>
            </w:r>
          </w:p>
        </w:tc>
      </w:tr>
      <w:tr w:rsidR="00D4599E" w:rsidRPr="00D95C35" w14:paraId="7C248882" w14:textId="77777777" w:rsidTr="003148B4">
        <w:trPr>
          <w:trHeight w:val="223"/>
        </w:trPr>
        <w:tc>
          <w:tcPr>
            <w:tcW w:w="5778" w:type="dxa"/>
          </w:tcPr>
          <w:p w14:paraId="7C60CB63" w14:textId="1C173B39" w:rsidR="00D4599E" w:rsidRPr="00D95C35" w:rsidRDefault="00B64D6D" w:rsidP="00D4599E">
            <w:pPr>
              <w:pStyle w:val="tabteksts"/>
            </w:pPr>
            <w:r>
              <w:t>UIN</w:t>
            </w:r>
            <w:r w:rsidR="00D4599E" w:rsidRPr="00D95C35">
              <w:t xml:space="preserve"> atlaižu ieviešana vai atcelšana</w:t>
            </w:r>
          </w:p>
        </w:tc>
        <w:tc>
          <w:tcPr>
            <w:tcW w:w="1134" w:type="dxa"/>
            <w:vAlign w:val="center"/>
          </w:tcPr>
          <w:p w14:paraId="286789C8" w14:textId="77777777" w:rsidR="00D4599E" w:rsidRPr="00D95C35" w:rsidRDefault="00D4599E" w:rsidP="00980148">
            <w:pPr>
              <w:tabs>
                <w:tab w:val="decimal" w:pos="458"/>
              </w:tabs>
              <w:spacing w:after="0"/>
              <w:ind w:firstLine="0"/>
              <w:jc w:val="right"/>
              <w:rPr>
                <w:sz w:val="20"/>
              </w:rPr>
            </w:pPr>
          </w:p>
        </w:tc>
        <w:tc>
          <w:tcPr>
            <w:tcW w:w="1134" w:type="dxa"/>
            <w:vAlign w:val="center"/>
          </w:tcPr>
          <w:p w14:paraId="271D7807" w14:textId="77777777" w:rsidR="00D4599E" w:rsidRPr="00D95C35" w:rsidRDefault="00D4599E" w:rsidP="00980148">
            <w:pPr>
              <w:tabs>
                <w:tab w:val="decimal" w:pos="458"/>
              </w:tabs>
              <w:spacing w:after="0"/>
              <w:ind w:firstLine="0"/>
              <w:jc w:val="right"/>
              <w:rPr>
                <w:sz w:val="20"/>
              </w:rPr>
            </w:pPr>
            <w:r w:rsidRPr="00D95C35">
              <w:rPr>
                <w:sz w:val="20"/>
              </w:rPr>
              <w:t>-10,8</w:t>
            </w:r>
          </w:p>
        </w:tc>
        <w:tc>
          <w:tcPr>
            <w:tcW w:w="1134" w:type="dxa"/>
            <w:vAlign w:val="center"/>
          </w:tcPr>
          <w:p w14:paraId="30926B20" w14:textId="77777777" w:rsidR="00D4599E" w:rsidRPr="00D95C35" w:rsidRDefault="00D4599E" w:rsidP="00980148">
            <w:pPr>
              <w:tabs>
                <w:tab w:val="decimal" w:pos="458"/>
              </w:tabs>
              <w:spacing w:after="0"/>
              <w:ind w:firstLine="0"/>
              <w:jc w:val="right"/>
              <w:rPr>
                <w:sz w:val="20"/>
              </w:rPr>
            </w:pPr>
            <w:r>
              <w:rPr>
                <w:sz w:val="20"/>
              </w:rPr>
              <w:t>-2,8</w:t>
            </w:r>
          </w:p>
        </w:tc>
      </w:tr>
      <w:tr w:rsidR="00D4599E" w:rsidRPr="00D95C35" w14:paraId="21E6181F" w14:textId="77777777" w:rsidTr="003148B4">
        <w:trPr>
          <w:trHeight w:val="539"/>
        </w:trPr>
        <w:tc>
          <w:tcPr>
            <w:tcW w:w="5778" w:type="dxa"/>
          </w:tcPr>
          <w:p w14:paraId="2095D3EC" w14:textId="77777777" w:rsidR="00D4599E" w:rsidRPr="00D95C35" w:rsidRDefault="00D4599E" w:rsidP="0011050B">
            <w:pPr>
              <w:pStyle w:val="tabteksts"/>
              <w:jc w:val="both"/>
            </w:pPr>
            <w:r>
              <w:t>S</w:t>
            </w:r>
            <w:r w:rsidRPr="00D95C35">
              <w:t>aimnieciskās darbības veicēju (kuru pamatdarbība nav aizdevumu izsniegšana) izsniegto aizdevumu aplikšana ar darba nodokļiem</w:t>
            </w:r>
          </w:p>
        </w:tc>
        <w:tc>
          <w:tcPr>
            <w:tcW w:w="1134" w:type="dxa"/>
            <w:vAlign w:val="center"/>
          </w:tcPr>
          <w:p w14:paraId="2EEFBF68" w14:textId="77777777" w:rsidR="00D4599E" w:rsidRPr="00D95C35" w:rsidRDefault="00D4599E" w:rsidP="00980148">
            <w:pPr>
              <w:tabs>
                <w:tab w:val="decimal" w:pos="458"/>
              </w:tabs>
              <w:spacing w:after="0"/>
              <w:ind w:firstLine="0"/>
              <w:jc w:val="right"/>
              <w:rPr>
                <w:sz w:val="20"/>
              </w:rPr>
            </w:pPr>
            <w:r w:rsidRPr="00D95C35">
              <w:rPr>
                <w:sz w:val="20"/>
              </w:rPr>
              <w:t>-7,4</w:t>
            </w:r>
          </w:p>
        </w:tc>
        <w:tc>
          <w:tcPr>
            <w:tcW w:w="1134" w:type="dxa"/>
            <w:vAlign w:val="center"/>
          </w:tcPr>
          <w:p w14:paraId="3E8EB4E0" w14:textId="77777777" w:rsidR="00D4599E" w:rsidRPr="00D95C35" w:rsidRDefault="00D4599E" w:rsidP="00980148">
            <w:pPr>
              <w:tabs>
                <w:tab w:val="decimal" w:pos="458"/>
              </w:tabs>
              <w:spacing w:after="0"/>
              <w:ind w:firstLine="0"/>
              <w:jc w:val="right"/>
              <w:rPr>
                <w:sz w:val="20"/>
              </w:rPr>
            </w:pPr>
          </w:p>
        </w:tc>
        <w:tc>
          <w:tcPr>
            <w:tcW w:w="1134" w:type="dxa"/>
            <w:vAlign w:val="center"/>
          </w:tcPr>
          <w:p w14:paraId="03BDC2C8" w14:textId="77777777" w:rsidR="00D4599E" w:rsidRPr="00D95C35" w:rsidRDefault="00D4599E" w:rsidP="00980148">
            <w:pPr>
              <w:tabs>
                <w:tab w:val="decimal" w:pos="458"/>
              </w:tabs>
              <w:spacing w:after="0"/>
              <w:ind w:firstLine="0"/>
              <w:jc w:val="right"/>
              <w:rPr>
                <w:sz w:val="20"/>
              </w:rPr>
            </w:pPr>
          </w:p>
        </w:tc>
      </w:tr>
      <w:tr w:rsidR="00D4599E" w:rsidRPr="00D95C35" w14:paraId="6DDA3AD8" w14:textId="77777777" w:rsidTr="003148B4">
        <w:trPr>
          <w:trHeight w:val="236"/>
        </w:trPr>
        <w:tc>
          <w:tcPr>
            <w:tcW w:w="5778" w:type="dxa"/>
          </w:tcPr>
          <w:p w14:paraId="13383036" w14:textId="77777777" w:rsidR="00D4599E" w:rsidRPr="00D95C35" w:rsidRDefault="00D4599E" w:rsidP="0011050B">
            <w:pPr>
              <w:pStyle w:val="tabteksts"/>
              <w:jc w:val="both"/>
            </w:pPr>
            <w:r>
              <w:t>P</w:t>
            </w:r>
            <w:r w:rsidRPr="00253084">
              <w:t>asākumu „Radikāla rīcība ēnu ekonomikas apkarošanai nodokļu administrēšanas un muitas lietu jomā”, „Jauno ES muitas savienības vienoto prasību ieviešana”, „Administratīvā sloga samazināšana VID klientiem, pilnveidojot VID sniegto e-pakalpojumu pieejamību un kvalitāti” īstenošana</w:t>
            </w:r>
          </w:p>
        </w:tc>
        <w:tc>
          <w:tcPr>
            <w:tcW w:w="1134" w:type="dxa"/>
            <w:vAlign w:val="center"/>
          </w:tcPr>
          <w:p w14:paraId="6D9E3E03" w14:textId="77777777" w:rsidR="00D4599E" w:rsidRPr="00D95C35" w:rsidRDefault="00D4599E" w:rsidP="00980148">
            <w:pPr>
              <w:tabs>
                <w:tab w:val="decimal" w:pos="458"/>
              </w:tabs>
              <w:spacing w:after="0"/>
              <w:ind w:firstLine="0"/>
              <w:jc w:val="right"/>
              <w:rPr>
                <w:sz w:val="20"/>
              </w:rPr>
            </w:pPr>
            <w:r w:rsidRPr="00D95C35">
              <w:rPr>
                <w:sz w:val="20"/>
              </w:rPr>
              <w:t>+0,6</w:t>
            </w:r>
          </w:p>
        </w:tc>
        <w:tc>
          <w:tcPr>
            <w:tcW w:w="1134" w:type="dxa"/>
            <w:vAlign w:val="center"/>
          </w:tcPr>
          <w:p w14:paraId="6ABDF458" w14:textId="77777777" w:rsidR="00D4599E" w:rsidRPr="00D95C35" w:rsidRDefault="00D4599E" w:rsidP="00980148">
            <w:pPr>
              <w:tabs>
                <w:tab w:val="decimal" w:pos="458"/>
              </w:tabs>
              <w:spacing w:after="0"/>
              <w:ind w:firstLine="0"/>
              <w:jc w:val="right"/>
              <w:rPr>
                <w:sz w:val="20"/>
              </w:rPr>
            </w:pPr>
          </w:p>
        </w:tc>
        <w:tc>
          <w:tcPr>
            <w:tcW w:w="1134" w:type="dxa"/>
            <w:vAlign w:val="center"/>
          </w:tcPr>
          <w:p w14:paraId="1453CC88" w14:textId="77777777" w:rsidR="00D4599E" w:rsidRPr="00D95C35" w:rsidRDefault="00D4599E" w:rsidP="00980148">
            <w:pPr>
              <w:tabs>
                <w:tab w:val="decimal" w:pos="458"/>
              </w:tabs>
              <w:spacing w:after="0"/>
              <w:ind w:firstLine="0"/>
              <w:jc w:val="right"/>
              <w:rPr>
                <w:sz w:val="20"/>
              </w:rPr>
            </w:pPr>
          </w:p>
        </w:tc>
      </w:tr>
      <w:tr w:rsidR="00D4599E" w:rsidRPr="00D95C35" w14:paraId="084A40FF" w14:textId="77777777" w:rsidTr="003148B4">
        <w:trPr>
          <w:trHeight w:val="311"/>
        </w:trPr>
        <w:tc>
          <w:tcPr>
            <w:tcW w:w="5778" w:type="dxa"/>
          </w:tcPr>
          <w:p w14:paraId="68106E92" w14:textId="77777777" w:rsidR="00D4599E" w:rsidRPr="00D95C35" w:rsidRDefault="00D4599E" w:rsidP="0011050B">
            <w:pPr>
              <w:pStyle w:val="tabteksts"/>
              <w:jc w:val="both"/>
            </w:pPr>
            <w:r>
              <w:t>K</w:t>
            </w:r>
            <w:r w:rsidRPr="00D95C35">
              <w:t>ases aparātu izmantošanas kārtības izmaiņas</w:t>
            </w:r>
          </w:p>
        </w:tc>
        <w:tc>
          <w:tcPr>
            <w:tcW w:w="1134" w:type="dxa"/>
            <w:vAlign w:val="center"/>
          </w:tcPr>
          <w:p w14:paraId="596ECBDA" w14:textId="77777777" w:rsidR="00D4599E" w:rsidRPr="00D95C35" w:rsidRDefault="00D4599E" w:rsidP="00980148">
            <w:pPr>
              <w:pStyle w:val="tabteksts"/>
              <w:jc w:val="right"/>
            </w:pPr>
          </w:p>
        </w:tc>
        <w:tc>
          <w:tcPr>
            <w:tcW w:w="1134" w:type="dxa"/>
            <w:vAlign w:val="center"/>
          </w:tcPr>
          <w:p w14:paraId="0A8F4ADB" w14:textId="77777777" w:rsidR="00D4599E" w:rsidRPr="00D95C35" w:rsidRDefault="00D4599E" w:rsidP="00980148">
            <w:pPr>
              <w:pStyle w:val="tabteksts"/>
              <w:jc w:val="right"/>
            </w:pPr>
            <w:r w:rsidRPr="00D95C35">
              <w:t>+2,8</w:t>
            </w:r>
          </w:p>
        </w:tc>
        <w:tc>
          <w:tcPr>
            <w:tcW w:w="1134" w:type="dxa"/>
            <w:vAlign w:val="center"/>
          </w:tcPr>
          <w:p w14:paraId="3637732C" w14:textId="77777777" w:rsidR="00D4599E" w:rsidRPr="00D95C35" w:rsidRDefault="00D4599E" w:rsidP="00980148">
            <w:pPr>
              <w:pStyle w:val="tabteksts"/>
              <w:jc w:val="right"/>
            </w:pPr>
          </w:p>
        </w:tc>
      </w:tr>
      <w:tr w:rsidR="00D4599E" w:rsidRPr="00D95C35" w14:paraId="11C20126" w14:textId="77777777" w:rsidTr="003148B4">
        <w:tc>
          <w:tcPr>
            <w:tcW w:w="5778" w:type="dxa"/>
          </w:tcPr>
          <w:p w14:paraId="23AC1A3B" w14:textId="77777777" w:rsidR="00D4599E" w:rsidRPr="00D95C35" w:rsidRDefault="00D4599E" w:rsidP="0011050B">
            <w:pPr>
              <w:pStyle w:val="tabteksts"/>
              <w:jc w:val="both"/>
            </w:pPr>
            <w:r>
              <w:t>N</w:t>
            </w:r>
            <w:r w:rsidRPr="00D95C35">
              <w:t xml:space="preserve">odokļu kontroles un administrēšanas efektivitātes paaugstināšana, lai novērstu izvairīšanos no nodokļu nomaksas, t.i., samazināt fiktīvo uzņēmumu skaitu, kas saistīti ar riska adresēm un riska personām </w:t>
            </w:r>
          </w:p>
        </w:tc>
        <w:tc>
          <w:tcPr>
            <w:tcW w:w="1134" w:type="dxa"/>
            <w:vAlign w:val="center"/>
          </w:tcPr>
          <w:p w14:paraId="1C7707A0" w14:textId="77777777" w:rsidR="00D4599E" w:rsidRPr="00D95C35" w:rsidRDefault="00D4599E" w:rsidP="00980148">
            <w:pPr>
              <w:tabs>
                <w:tab w:val="decimal" w:pos="458"/>
              </w:tabs>
              <w:spacing w:after="0"/>
              <w:ind w:firstLine="0"/>
              <w:jc w:val="right"/>
              <w:rPr>
                <w:sz w:val="20"/>
              </w:rPr>
            </w:pPr>
            <w:r w:rsidRPr="00D95C35">
              <w:rPr>
                <w:sz w:val="20"/>
              </w:rPr>
              <w:t>+4,3</w:t>
            </w:r>
          </w:p>
        </w:tc>
        <w:tc>
          <w:tcPr>
            <w:tcW w:w="1134" w:type="dxa"/>
            <w:vAlign w:val="center"/>
          </w:tcPr>
          <w:p w14:paraId="1D6C55D3" w14:textId="77777777" w:rsidR="00D4599E" w:rsidRPr="00D95C35" w:rsidRDefault="00D4599E" w:rsidP="00980148">
            <w:pPr>
              <w:tabs>
                <w:tab w:val="decimal" w:pos="458"/>
              </w:tabs>
              <w:spacing w:after="0"/>
              <w:ind w:firstLine="0"/>
              <w:jc w:val="right"/>
              <w:rPr>
                <w:sz w:val="20"/>
              </w:rPr>
            </w:pPr>
          </w:p>
        </w:tc>
        <w:tc>
          <w:tcPr>
            <w:tcW w:w="1134" w:type="dxa"/>
            <w:vAlign w:val="center"/>
          </w:tcPr>
          <w:p w14:paraId="60254B2E" w14:textId="77777777" w:rsidR="00D4599E" w:rsidRPr="00D95C35" w:rsidRDefault="00D4599E" w:rsidP="00980148">
            <w:pPr>
              <w:tabs>
                <w:tab w:val="decimal" w:pos="458"/>
              </w:tabs>
              <w:spacing w:after="0"/>
              <w:ind w:firstLine="0"/>
              <w:jc w:val="right"/>
              <w:rPr>
                <w:sz w:val="20"/>
              </w:rPr>
            </w:pPr>
          </w:p>
        </w:tc>
      </w:tr>
      <w:tr w:rsidR="00D4599E" w:rsidRPr="00D95C35" w14:paraId="7A29C81F" w14:textId="77777777" w:rsidTr="0011050B">
        <w:trPr>
          <w:trHeight w:val="53"/>
        </w:trPr>
        <w:tc>
          <w:tcPr>
            <w:tcW w:w="5778" w:type="dxa"/>
          </w:tcPr>
          <w:p w14:paraId="5AB2D5B0" w14:textId="77777777" w:rsidR="00D4599E" w:rsidRPr="00D95C35" w:rsidRDefault="00D4599E" w:rsidP="0011050B">
            <w:pPr>
              <w:pStyle w:val="tabteksts"/>
              <w:jc w:val="both"/>
            </w:pPr>
            <w:r>
              <w:t>V</w:t>
            </w:r>
            <w:r w:rsidRPr="00D95C35">
              <w:t xml:space="preserve">alsts sociālo obligāto apdrošināšanas iemaksas likmes samazināšana </w:t>
            </w:r>
          </w:p>
        </w:tc>
        <w:tc>
          <w:tcPr>
            <w:tcW w:w="1134" w:type="dxa"/>
            <w:vAlign w:val="center"/>
          </w:tcPr>
          <w:p w14:paraId="19BC9456" w14:textId="77777777" w:rsidR="00D4599E" w:rsidRPr="00D95C35" w:rsidRDefault="00D4599E" w:rsidP="00980148">
            <w:pPr>
              <w:tabs>
                <w:tab w:val="decimal" w:pos="458"/>
              </w:tabs>
              <w:spacing w:after="0"/>
              <w:ind w:firstLine="0"/>
              <w:jc w:val="right"/>
              <w:rPr>
                <w:sz w:val="20"/>
              </w:rPr>
            </w:pPr>
            <w:r w:rsidRPr="00D95C35">
              <w:rPr>
                <w:sz w:val="20"/>
              </w:rPr>
              <w:t>+1,7</w:t>
            </w:r>
          </w:p>
        </w:tc>
        <w:tc>
          <w:tcPr>
            <w:tcW w:w="1134" w:type="dxa"/>
            <w:vAlign w:val="center"/>
          </w:tcPr>
          <w:p w14:paraId="72936116" w14:textId="77777777" w:rsidR="00D4599E" w:rsidRPr="00D95C35" w:rsidRDefault="00D4599E" w:rsidP="00980148">
            <w:pPr>
              <w:tabs>
                <w:tab w:val="decimal" w:pos="458"/>
              </w:tabs>
              <w:spacing w:after="0"/>
              <w:ind w:firstLine="0"/>
              <w:jc w:val="right"/>
              <w:rPr>
                <w:sz w:val="20"/>
              </w:rPr>
            </w:pPr>
          </w:p>
        </w:tc>
        <w:tc>
          <w:tcPr>
            <w:tcW w:w="1134" w:type="dxa"/>
            <w:vAlign w:val="center"/>
          </w:tcPr>
          <w:p w14:paraId="1B006B87" w14:textId="77777777" w:rsidR="00D4599E" w:rsidRPr="00D95C35" w:rsidRDefault="00D4599E" w:rsidP="00980148">
            <w:pPr>
              <w:tabs>
                <w:tab w:val="decimal" w:pos="458"/>
              </w:tabs>
              <w:spacing w:after="0"/>
              <w:ind w:firstLine="0"/>
              <w:jc w:val="right"/>
              <w:rPr>
                <w:sz w:val="20"/>
              </w:rPr>
            </w:pPr>
          </w:p>
        </w:tc>
      </w:tr>
      <w:tr w:rsidR="00D4599E" w:rsidRPr="00D95C35" w14:paraId="4838B446" w14:textId="77777777" w:rsidTr="003148B4">
        <w:tc>
          <w:tcPr>
            <w:tcW w:w="5778" w:type="dxa"/>
          </w:tcPr>
          <w:p w14:paraId="2FEF424D" w14:textId="77777777" w:rsidR="00D4599E" w:rsidRPr="00D95C35" w:rsidRDefault="00D4599E" w:rsidP="0011050B">
            <w:pPr>
              <w:pStyle w:val="tabteksts"/>
              <w:jc w:val="both"/>
            </w:pPr>
            <w:r>
              <w:t>V</w:t>
            </w:r>
            <w:r w:rsidRPr="00D95C35">
              <w:t xml:space="preserve">aldes locekļu minimālās darba algas aplikšana ar darba nodokļiem </w:t>
            </w:r>
          </w:p>
        </w:tc>
        <w:tc>
          <w:tcPr>
            <w:tcW w:w="1134" w:type="dxa"/>
            <w:vAlign w:val="center"/>
          </w:tcPr>
          <w:p w14:paraId="08CF5353" w14:textId="77777777" w:rsidR="00D4599E" w:rsidRPr="00D95C35" w:rsidRDefault="00D4599E" w:rsidP="00980148">
            <w:pPr>
              <w:tabs>
                <w:tab w:val="decimal" w:pos="458"/>
              </w:tabs>
              <w:spacing w:after="0"/>
              <w:ind w:firstLine="0"/>
              <w:jc w:val="right"/>
              <w:rPr>
                <w:sz w:val="20"/>
              </w:rPr>
            </w:pPr>
            <w:r w:rsidRPr="00D95C35">
              <w:rPr>
                <w:sz w:val="20"/>
              </w:rPr>
              <w:t>-2,6</w:t>
            </w:r>
          </w:p>
        </w:tc>
        <w:tc>
          <w:tcPr>
            <w:tcW w:w="1134" w:type="dxa"/>
            <w:vAlign w:val="center"/>
          </w:tcPr>
          <w:p w14:paraId="14BC5858" w14:textId="77777777" w:rsidR="00D4599E" w:rsidRPr="00D95C35" w:rsidRDefault="00D4599E" w:rsidP="00980148">
            <w:pPr>
              <w:tabs>
                <w:tab w:val="decimal" w:pos="458"/>
              </w:tabs>
              <w:spacing w:after="0"/>
              <w:ind w:firstLine="0"/>
              <w:jc w:val="right"/>
              <w:rPr>
                <w:sz w:val="20"/>
              </w:rPr>
            </w:pPr>
          </w:p>
        </w:tc>
        <w:tc>
          <w:tcPr>
            <w:tcW w:w="1134" w:type="dxa"/>
            <w:vAlign w:val="center"/>
          </w:tcPr>
          <w:p w14:paraId="1895DC7F" w14:textId="77777777" w:rsidR="00D4599E" w:rsidRPr="00D95C35" w:rsidRDefault="00D4599E" w:rsidP="00980148">
            <w:pPr>
              <w:tabs>
                <w:tab w:val="decimal" w:pos="458"/>
              </w:tabs>
              <w:spacing w:after="0"/>
              <w:ind w:firstLine="0"/>
              <w:jc w:val="right"/>
              <w:rPr>
                <w:sz w:val="20"/>
              </w:rPr>
            </w:pPr>
          </w:p>
        </w:tc>
      </w:tr>
      <w:tr w:rsidR="00D4599E" w:rsidRPr="00D95C35" w14:paraId="6A1E988A" w14:textId="77777777" w:rsidTr="003148B4">
        <w:trPr>
          <w:trHeight w:val="447"/>
        </w:trPr>
        <w:tc>
          <w:tcPr>
            <w:tcW w:w="5778" w:type="dxa"/>
          </w:tcPr>
          <w:p w14:paraId="4268CDDA" w14:textId="77777777" w:rsidR="00D4599E" w:rsidRPr="00D95C35" w:rsidRDefault="00D4599E" w:rsidP="0011050B">
            <w:pPr>
              <w:pStyle w:val="tabteksts"/>
              <w:jc w:val="both"/>
            </w:pPr>
            <w:r w:rsidRPr="00D25AC4">
              <w:t>Atvieglots UIN režīms augstskolām, koledžām un zinātniskajām institūcijām</w:t>
            </w:r>
          </w:p>
        </w:tc>
        <w:tc>
          <w:tcPr>
            <w:tcW w:w="1134" w:type="dxa"/>
            <w:vAlign w:val="center"/>
          </w:tcPr>
          <w:p w14:paraId="49ADF7AA" w14:textId="77777777" w:rsidR="00D4599E" w:rsidRPr="00D95C35" w:rsidRDefault="00D4599E" w:rsidP="00980148">
            <w:pPr>
              <w:tabs>
                <w:tab w:val="decimal" w:pos="458"/>
              </w:tabs>
              <w:spacing w:after="0"/>
              <w:ind w:firstLine="0"/>
              <w:jc w:val="right"/>
              <w:rPr>
                <w:sz w:val="20"/>
              </w:rPr>
            </w:pPr>
          </w:p>
        </w:tc>
        <w:tc>
          <w:tcPr>
            <w:tcW w:w="1134" w:type="dxa"/>
            <w:vAlign w:val="center"/>
          </w:tcPr>
          <w:p w14:paraId="32031BEF" w14:textId="77777777" w:rsidR="00D4599E" w:rsidRPr="00D95C35" w:rsidRDefault="00D4599E" w:rsidP="00980148">
            <w:pPr>
              <w:tabs>
                <w:tab w:val="decimal" w:pos="458"/>
              </w:tabs>
              <w:spacing w:after="0"/>
              <w:ind w:firstLine="0"/>
              <w:jc w:val="right"/>
              <w:rPr>
                <w:sz w:val="20"/>
              </w:rPr>
            </w:pPr>
            <w:r>
              <w:rPr>
                <w:sz w:val="20"/>
              </w:rPr>
              <w:t>-0,7</w:t>
            </w:r>
          </w:p>
        </w:tc>
        <w:tc>
          <w:tcPr>
            <w:tcW w:w="1134" w:type="dxa"/>
            <w:vAlign w:val="center"/>
          </w:tcPr>
          <w:p w14:paraId="3C537E3C" w14:textId="77777777" w:rsidR="00D4599E" w:rsidRPr="00D95C35" w:rsidRDefault="00D4599E" w:rsidP="00980148">
            <w:pPr>
              <w:tabs>
                <w:tab w:val="decimal" w:pos="458"/>
              </w:tabs>
              <w:spacing w:after="0"/>
              <w:ind w:firstLine="0"/>
              <w:jc w:val="right"/>
              <w:rPr>
                <w:sz w:val="20"/>
              </w:rPr>
            </w:pPr>
          </w:p>
        </w:tc>
      </w:tr>
      <w:tr w:rsidR="00D4599E" w:rsidRPr="00D95C35" w14:paraId="6417D344" w14:textId="77777777" w:rsidTr="003148B4">
        <w:tc>
          <w:tcPr>
            <w:tcW w:w="5778" w:type="dxa"/>
          </w:tcPr>
          <w:p w14:paraId="32CED0AF" w14:textId="77777777" w:rsidR="00D4599E" w:rsidRPr="00D95C35" w:rsidRDefault="00D4599E" w:rsidP="00D4599E">
            <w:pPr>
              <w:spacing w:after="0"/>
              <w:ind w:firstLine="0"/>
              <w:rPr>
                <w:b/>
                <w:sz w:val="20"/>
              </w:rPr>
            </w:pPr>
            <w:r w:rsidRPr="00D95C35">
              <w:rPr>
                <w:b/>
                <w:sz w:val="20"/>
              </w:rPr>
              <w:t>Izmaiņu ietekme kopā:</w:t>
            </w:r>
          </w:p>
        </w:tc>
        <w:tc>
          <w:tcPr>
            <w:tcW w:w="1134" w:type="dxa"/>
            <w:vAlign w:val="center"/>
          </w:tcPr>
          <w:p w14:paraId="4328884A" w14:textId="77777777" w:rsidR="00D4599E" w:rsidRPr="00D95C35" w:rsidRDefault="00D4599E" w:rsidP="00980148">
            <w:pPr>
              <w:tabs>
                <w:tab w:val="decimal" w:pos="458"/>
              </w:tabs>
              <w:spacing w:after="0"/>
              <w:ind w:firstLine="0"/>
              <w:jc w:val="right"/>
              <w:rPr>
                <w:b/>
                <w:sz w:val="20"/>
              </w:rPr>
            </w:pPr>
            <w:r>
              <w:rPr>
                <w:b/>
                <w:sz w:val="20"/>
              </w:rPr>
              <w:t>-3,4</w:t>
            </w:r>
          </w:p>
        </w:tc>
        <w:tc>
          <w:tcPr>
            <w:tcW w:w="1134" w:type="dxa"/>
            <w:vAlign w:val="center"/>
          </w:tcPr>
          <w:p w14:paraId="05015A00" w14:textId="77777777" w:rsidR="00D4599E" w:rsidRPr="00D95C35" w:rsidRDefault="00D4599E" w:rsidP="00980148">
            <w:pPr>
              <w:tabs>
                <w:tab w:val="decimal" w:pos="458"/>
              </w:tabs>
              <w:spacing w:after="0"/>
              <w:ind w:firstLine="0"/>
              <w:jc w:val="right"/>
              <w:rPr>
                <w:b/>
                <w:sz w:val="20"/>
              </w:rPr>
            </w:pPr>
            <w:r>
              <w:rPr>
                <w:b/>
                <w:sz w:val="20"/>
              </w:rPr>
              <w:t>-8,7</w:t>
            </w:r>
          </w:p>
        </w:tc>
        <w:tc>
          <w:tcPr>
            <w:tcW w:w="1134" w:type="dxa"/>
            <w:vAlign w:val="center"/>
          </w:tcPr>
          <w:p w14:paraId="1FE660AF" w14:textId="77777777" w:rsidR="00D4599E" w:rsidRPr="00D95C35" w:rsidRDefault="00D4599E" w:rsidP="00980148">
            <w:pPr>
              <w:tabs>
                <w:tab w:val="decimal" w:pos="458"/>
              </w:tabs>
              <w:spacing w:after="0"/>
              <w:ind w:firstLine="0"/>
              <w:jc w:val="right"/>
              <w:rPr>
                <w:b/>
                <w:sz w:val="20"/>
              </w:rPr>
            </w:pPr>
            <w:r w:rsidRPr="00D95C35">
              <w:rPr>
                <w:b/>
                <w:sz w:val="20"/>
              </w:rPr>
              <w:t>-</w:t>
            </w:r>
            <w:r>
              <w:rPr>
                <w:b/>
                <w:sz w:val="20"/>
              </w:rPr>
              <w:t>2,8</w:t>
            </w:r>
          </w:p>
        </w:tc>
      </w:tr>
    </w:tbl>
    <w:p w14:paraId="0110D2AA" w14:textId="3C7E1071" w:rsidR="00D4599E" w:rsidRDefault="00D4599E" w:rsidP="00D4599E">
      <w:pPr>
        <w:pStyle w:val="ListParagraph"/>
        <w:spacing w:after="0" w:line="240" w:lineRule="auto"/>
        <w:ind w:left="0" w:firstLine="567"/>
        <w:jc w:val="both"/>
        <w:rPr>
          <w:rFonts w:ascii="Times New Roman" w:hAnsi="Times New Roman"/>
          <w:color w:val="000000"/>
          <w:sz w:val="24"/>
          <w:szCs w:val="24"/>
          <w:lang w:val="lv-LV" w:eastAsia="en-US"/>
        </w:rPr>
      </w:pPr>
      <w:r w:rsidRPr="00D906F3">
        <w:rPr>
          <w:rFonts w:ascii="Times New Roman" w:hAnsi="Times New Roman"/>
          <w:color w:val="000000"/>
          <w:sz w:val="24"/>
          <w:szCs w:val="24"/>
          <w:lang w:val="lv-LV" w:eastAsia="en-US"/>
        </w:rPr>
        <w:t>Papildus iepriekš minētajām likuma „Par uzņēmumu ienākuma nodokli” likumdošanas izmaiņas paredz arī ci</w:t>
      </w:r>
      <w:r>
        <w:rPr>
          <w:rFonts w:ascii="Times New Roman" w:hAnsi="Times New Roman"/>
          <w:color w:val="000000"/>
          <w:sz w:val="24"/>
          <w:szCs w:val="24"/>
          <w:lang w:val="lv-LV" w:eastAsia="en-US"/>
        </w:rPr>
        <w:t>tu</w:t>
      </w:r>
      <w:r w:rsidR="0061353D">
        <w:rPr>
          <w:rFonts w:ascii="Times New Roman" w:hAnsi="Times New Roman"/>
          <w:color w:val="000000"/>
          <w:sz w:val="24"/>
          <w:szCs w:val="24"/>
          <w:lang w:val="lv-LV" w:eastAsia="en-US"/>
        </w:rPr>
        <w:t>s</w:t>
      </w:r>
      <w:r>
        <w:rPr>
          <w:rFonts w:ascii="Times New Roman" w:hAnsi="Times New Roman"/>
          <w:color w:val="000000"/>
          <w:sz w:val="24"/>
          <w:szCs w:val="24"/>
          <w:lang w:val="lv-LV" w:eastAsia="en-US"/>
        </w:rPr>
        <w:t xml:space="preserve"> pasākumus, kuriem nav</w:t>
      </w:r>
      <w:r w:rsidRPr="00D906F3">
        <w:rPr>
          <w:rFonts w:ascii="Times New Roman" w:hAnsi="Times New Roman"/>
          <w:color w:val="000000"/>
          <w:sz w:val="24"/>
          <w:szCs w:val="24"/>
          <w:lang w:val="lv-LV" w:eastAsia="en-US"/>
        </w:rPr>
        <w:t xml:space="preserve"> ietekme uz nodokļu ieņēmumiem, piemēram</w:t>
      </w:r>
      <w:r>
        <w:rPr>
          <w:rFonts w:ascii="Times New Roman" w:hAnsi="Times New Roman"/>
          <w:color w:val="000000"/>
          <w:sz w:val="24"/>
          <w:szCs w:val="24"/>
          <w:lang w:val="lv-LV" w:eastAsia="en-US"/>
        </w:rPr>
        <w:t>,</w:t>
      </w:r>
      <w:r w:rsidR="002405FE">
        <w:rPr>
          <w:rFonts w:ascii="Times New Roman" w:hAnsi="Times New Roman"/>
          <w:color w:val="000000"/>
          <w:sz w:val="24"/>
          <w:szCs w:val="24"/>
          <w:lang w:val="lv-LV" w:eastAsia="en-US"/>
        </w:rPr>
        <w:t xml:space="preserve"> </w:t>
      </w:r>
      <w:r w:rsidRPr="00D906F3">
        <w:rPr>
          <w:rFonts w:ascii="Times New Roman" w:hAnsi="Times New Roman"/>
          <w:color w:val="000000"/>
          <w:sz w:val="24"/>
          <w:szCs w:val="24"/>
          <w:lang w:val="lv-LV" w:eastAsia="en-US"/>
        </w:rPr>
        <w:t xml:space="preserve">ar 2014.gadu noteikt mežsaimniecības pakalpojumu kooperatīvajām sabiedrībām, kas atbilst noteiktajiem kritērijiem atvieglotu </w:t>
      </w:r>
      <w:r w:rsidR="00B64D6D">
        <w:rPr>
          <w:rFonts w:ascii="Times New Roman" w:hAnsi="Times New Roman"/>
          <w:color w:val="000000"/>
          <w:sz w:val="24"/>
          <w:szCs w:val="24"/>
          <w:lang w:val="lv-LV" w:eastAsia="en-US"/>
        </w:rPr>
        <w:t>UIN</w:t>
      </w:r>
      <w:r w:rsidRPr="00D906F3">
        <w:rPr>
          <w:rFonts w:ascii="Times New Roman" w:hAnsi="Times New Roman"/>
          <w:color w:val="000000"/>
          <w:sz w:val="24"/>
          <w:szCs w:val="24"/>
          <w:lang w:val="lv-LV" w:eastAsia="en-US"/>
        </w:rPr>
        <w:t xml:space="preserve"> režīmu, kāds šobrīd piemērojams lauksaimniecības pakalpojumu kooperatīvajām sabiedrībām un, ka minēto kooperatīvo sabiedrību izdevumi, kas nav saistīti ar saimniecisko darbību, ir uzskatāmi par to biedriem sadalīto peļņas daļu, kuru jāapliek ar nodokli. </w:t>
      </w:r>
    </w:p>
    <w:p w14:paraId="7D6E7A01" w14:textId="38B70711" w:rsidR="00D4599E" w:rsidRPr="004A6811" w:rsidRDefault="00D4599E" w:rsidP="00D4599E">
      <w:pPr>
        <w:pStyle w:val="ListParagraph"/>
        <w:spacing w:after="0" w:line="240" w:lineRule="auto"/>
        <w:ind w:left="0" w:firstLine="567"/>
        <w:jc w:val="both"/>
        <w:rPr>
          <w:rFonts w:ascii="Times New Roman" w:hAnsi="Times New Roman"/>
          <w:color w:val="000000"/>
          <w:sz w:val="24"/>
          <w:szCs w:val="24"/>
          <w:lang w:val="lv-LV" w:eastAsia="en-US"/>
        </w:rPr>
      </w:pPr>
      <w:r w:rsidRPr="00D906F3">
        <w:rPr>
          <w:rFonts w:ascii="Times New Roman" w:hAnsi="Times New Roman"/>
          <w:color w:val="000000"/>
          <w:sz w:val="24"/>
          <w:szCs w:val="24"/>
          <w:lang w:val="lv-LV" w:eastAsia="en-US"/>
        </w:rPr>
        <w:t xml:space="preserve">Tostarp </w:t>
      </w:r>
      <w:r>
        <w:rPr>
          <w:rFonts w:ascii="Times New Roman" w:hAnsi="Times New Roman"/>
          <w:color w:val="000000"/>
          <w:sz w:val="24"/>
          <w:szCs w:val="24"/>
          <w:lang w:val="lv-LV" w:eastAsia="en-US"/>
        </w:rPr>
        <w:t xml:space="preserve">plānots </w:t>
      </w:r>
      <w:r w:rsidRPr="00D906F3">
        <w:rPr>
          <w:rFonts w:ascii="Times New Roman" w:hAnsi="Times New Roman"/>
          <w:color w:val="000000"/>
          <w:sz w:val="24"/>
          <w:szCs w:val="24"/>
          <w:lang w:val="lv-LV" w:eastAsia="en-US"/>
        </w:rPr>
        <w:t xml:space="preserve">arī neieturēt </w:t>
      </w:r>
      <w:r w:rsidR="00B64D6D">
        <w:rPr>
          <w:rFonts w:ascii="Times New Roman" w:hAnsi="Times New Roman"/>
          <w:color w:val="000000"/>
          <w:sz w:val="24"/>
          <w:szCs w:val="24"/>
          <w:lang w:val="lv-LV" w:eastAsia="en-US"/>
        </w:rPr>
        <w:t>UIN</w:t>
      </w:r>
      <w:r w:rsidRPr="00D906F3">
        <w:rPr>
          <w:rFonts w:ascii="Times New Roman" w:hAnsi="Times New Roman"/>
          <w:color w:val="000000"/>
          <w:sz w:val="24"/>
          <w:szCs w:val="24"/>
          <w:lang w:val="lv-LV" w:eastAsia="en-US"/>
        </w:rPr>
        <w:t xml:space="preserve"> no maksājumiem par beznodo</w:t>
      </w:r>
      <w:r w:rsidR="0061353D">
        <w:rPr>
          <w:rFonts w:ascii="Times New Roman" w:hAnsi="Times New Roman"/>
          <w:color w:val="000000"/>
          <w:sz w:val="24"/>
          <w:szCs w:val="24"/>
          <w:lang w:val="lv-LV" w:eastAsia="en-US"/>
        </w:rPr>
        <w:t>kļu vai zemu nodokļu teritorijās</w:t>
      </w:r>
      <w:r w:rsidRPr="00D906F3">
        <w:rPr>
          <w:rFonts w:ascii="Times New Roman" w:hAnsi="Times New Roman"/>
          <w:color w:val="000000"/>
          <w:sz w:val="24"/>
          <w:szCs w:val="24"/>
          <w:lang w:val="lv-LV" w:eastAsia="en-US"/>
        </w:rPr>
        <w:t xml:space="preserve"> iepirktajām precēm, ja t</w:t>
      </w:r>
      <w:r>
        <w:rPr>
          <w:rFonts w:ascii="Times New Roman" w:hAnsi="Times New Roman"/>
          <w:color w:val="000000"/>
          <w:sz w:val="24"/>
          <w:szCs w:val="24"/>
          <w:lang w:val="lv-LV" w:eastAsia="en-US"/>
        </w:rPr>
        <w:t xml:space="preserve">o vērtības atbilst tirgus cenai. </w:t>
      </w:r>
      <w:r w:rsidR="00454C7B">
        <w:rPr>
          <w:rFonts w:ascii="Times New Roman" w:hAnsi="Times New Roman"/>
          <w:color w:val="000000"/>
          <w:sz w:val="24"/>
          <w:szCs w:val="24"/>
          <w:lang w:val="lv-LV" w:eastAsia="en-US"/>
        </w:rPr>
        <w:t>Tāpat plānots neieturēt UIN arī maksājumiem</w:t>
      </w:r>
      <w:r w:rsidRPr="00D906F3">
        <w:rPr>
          <w:rFonts w:ascii="Times New Roman" w:hAnsi="Times New Roman"/>
          <w:color w:val="000000"/>
          <w:sz w:val="24"/>
          <w:szCs w:val="24"/>
          <w:lang w:val="lv-LV" w:eastAsia="en-US"/>
        </w:rPr>
        <w:t xml:space="preserve"> par </w:t>
      </w:r>
      <w:r w:rsidR="00B64D6D">
        <w:rPr>
          <w:rFonts w:ascii="Times New Roman" w:hAnsi="Times New Roman"/>
          <w:color w:val="000000"/>
          <w:sz w:val="24"/>
          <w:szCs w:val="24"/>
          <w:lang w:val="lv-LV" w:eastAsia="en-US"/>
        </w:rPr>
        <w:t>ES</w:t>
      </w:r>
      <w:r w:rsidRPr="00D906F3">
        <w:rPr>
          <w:rFonts w:ascii="Times New Roman" w:hAnsi="Times New Roman"/>
          <w:color w:val="000000"/>
          <w:sz w:val="24"/>
          <w:szCs w:val="24"/>
          <w:lang w:val="lv-LV" w:eastAsia="en-US"/>
        </w:rPr>
        <w:t xml:space="preserve"> vai Eiropas Ekonomikas zonas publiskajā apgrozībā esošo vērtspapīru iegādi, kā ar</w:t>
      </w:r>
      <w:r>
        <w:rPr>
          <w:rFonts w:ascii="Times New Roman" w:hAnsi="Times New Roman"/>
          <w:color w:val="000000"/>
          <w:sz w:val="24"/>
          <w:szCs w:val="24"/>
          <w:lang w:val="lv-LV" w:eastAsia="en-US"/>
        </w:rPr>
        <w:t>ī</w:t>
      </w:r>
      <w:r w:rsidRPr="00D906F3">
        <w:rPr>
          <w:rFonts w:ascii="Times New Roman" w:hAnsi="Times New Roman"/>
          <w:color w:val="000000"/>
          <w:sz w:val="24"/>
          <w:szCs w:val="24"/>
          <w:lang w:val="lv-LV" w:eastAsia="en-US"/>
        </w:rPr>
        <w:t xml:space="preserve"> pēc 2013.gada 31.decembra saglabāt nodokļa ieturēšanu no veiktajiem procentu maksājumiem un maksājumiem par intelektuālo īpašumu, kas veikti  personai, kura atrodas, ir izveidota vai nodibināta zemu nodokļu vai beznodokļu </w:t>
      </w:r>
      <w:r w:rsidRPr="004A6811">
        <w:rPr>
          <w:rFonts w:ascii="Times New Roman" w:hAnsi="Times New Roman"/>
          <w:color w:val="000000"/>
          <w:sz w:val="24"/>
          <w:szCs w:val="24"/>
          <w:lang w:val="lv-LV" w:eastAsia="en-US"/>
        </w:rPr>
        <w:t>valstī vai teritorijā u.c. izmaiņas.</w:t>
      </w:r>
    </w:p>
    <w:p w14:paraId="124B65B0" w14:textId="6C4E1D6E" w:rsidR="00D4599E" w:rsidRPr="00D906F3" w:rsidRDefault="00D4599E" w:rsidP="00D4599E">
      <w:pPr>
        <w:pStyle w:val="ListParagraph"/>
        <w:spacing w:after="0" w:line="240" w:lineRule="auto"/>
        <w:ind w:left="0" w:firstLine="567"/>
        <w:jc w:val="both"/>
        <w:rPr>
          <w:rFonts w:ascii="Times New Roman" w:hAnsi="Times New Roman"/>
          <w:color w:val="000000"/>
          <w:sz w:val="24"/>
          <w:szCs w:val="24"/>
          <w:lang w:val="lv-LV" w:eastAsia="en-US"/>
        </w:rPr>
      </w:pPr>
      <w:r w:rsidRPr="004A6811">
        <w:rPr>
          <w:rFonts w:ascii="Times New Roman" w:hAnsi="Times New Roman"/>
          <w:color w:val="000000"/>
          <w:sz w:val="24"/>
          <w:szCs w:val="24"/>
          <w:lang w:val="lv-LV" w:eastAsia="en-US"/>
        </w:rPr>
        <w:t xml:space="preserve">Lai nodrošinātu uzraudzību pār tiem nodokļu maksātājiem, kuriem ir risks, ka atlīdzība par darba attiecībās gūtu ienākumu tiek transformēta par autoratlīdzību, </w:t>
      </w:r>
      <w:r w:rsidR="00B64D6D">
        <w:rPr>
          <w:rFonts w:ascii="Times New Roman" w:hAnsi="Times New Roman"/>
          <w:color w:val="000000"/>
          <w:sz w:val="24"/>
          <w:szCs w:val="24"/>
          <w:lang w:val="lv-LV" w:eastAsia="en-US"/>
        </w:rPr>
        <w:t>VID</w:t>
      </w:r>
      <w:r w:rsidRPr="004A6811">
        <w:rPr>
          <w:rFonts w:ascii="Times New Roman" w:hAnsi="Times New Roman"/>
          <w:color w:val="000000"/>
          <w:sz w:val="24"/>
          <w:szCs w:val="24"/>
          <w:lang w:val="lv-LV" w:eastAsia="en-US"/>
        </w:rPr>
        <w:t xml:space="preserve"> sadarbībā ar Valsts darba inspekciju uzdots veikt pastiprinātu kontroli.</w:t>
      </w:r>
    </w:p>
    <w:p w14:paraId="7188D08D" w14:textId="77777777" w:rsidR="00D4599E" w:rsidRDefault="00D4599E" w:rsidP="00D4599E">
      <w:pPr>
        <w:pStyle w:val="H4"/>
        <w:rPr>
          <w:rFonts w:ascii="Times New Roman" w:hAnsi="Times New Roman"/>
          <w:sz w:val="24"/>
          <w:szCs w:val="24"/>
        </w:rPr>
      </w:pPr>
    </w:p>
    <w:p w14:paraId="28B5933B" w14:textId="77777777" w:rsidR="00D4599E" w:rsidRPr="000141D4" w:rsidRDefault="00D4599E" w:rsidP="00D4599E">
      <w:pPr>
        <w:pStyle w:val="H4"/>
        <w:rPr>
          <w:rFonts w:ascii="Times New Roman" w:hAnsi="Times New Roman"/>
          <w:sz w:val="24"/>
          <w:szCs w:val="24"/>
        </w:rPr>
      </w:pPr>
      <w:r w:rsidRPr="000141D4">
        <w:rPr>
          <w:rFonts w:ascii="Times New Roman" w:hAnsi="Times New Roman"/>
          <w:sz w:val="24"/>
          <w:szCs w:val="24"/>
        </w:rPr>
        <w:t>Akcīzes nodoklis</w:t>
      </w:r>
    </w:p>
    <w:p w14:paraId="58DE0863" w14:textId="0BCC0491" w:rsidR="00D4599E" w:rsidRPr="00BE0A69" w:rsidRDefault="00D4599E" w:rsidP="009A6681">
      <w:pPr>
        <w:rPr>
          <w:color w:val="000000"/>
          <w:szCs w:val="24"/>
        </w:rPr>
      </w:pPr>
      <w:r w:rsidRPr="00BE0A69">
        <w:rPr>
          <w:color w:val="000000"/>
          <w:szCs w:val="24"/>
        </w:rPr>
        <w:t>Kopš 2011.gada, uzlabojoties Latvijas ekonomiskajai situācijai, vērojamas pozitīvas tendences akc</w:t>
      </w:r>
      <w:r>
        <w:rPr>
          <w:color w:val="000000"/>
          <w:szCs w:val="24"/>
        </w:rPr>
        <w:t>īzes nodokļa izpildes rādītājos:</w:t>
      </w:r>
      <w:r w:rsidRPr="00BE0A69">
        <w:rPr>
          <w:color w:val="000000"/>
          <w:szCs w:val="24"/>
        </w:rPr>
        <w:t xml:space="preserve"> 2012.</w:t>
      </w:r>
      <w:r>
        <w:rPr>
          <w:color w:val="000000"/>
          <w:szCs w:val="24"/>
        </w:rPr>
        <w:t xml:space="preserve">gadā ieņēmumi no akcīzes nodokļa </w:t>
      </w:r>
      <w:r w:rsidRPr="00BE0A69">
        <w:rPr>
          <w:color w:val="000000"/>
          <w:szCs w:val="24"/>
        </w:rPr>
        <w:t>pieauga par 2,7%, bet 2013.gadā par 3,9 </w:t>
      </w:r>
      <w:r w:rsidR="009A6681">
        <w:rPr>
          <w:color w:val="000000"/>
          <w:szCs w:val="24"/>
        </w:rPr>
        <w:t>%</w:t>
      </w:r>
      <w:r w:rsidRPr="00BE0A69">
        <w:rPr>
          <w:color w:val="000000"/>
          <w:szCs w:val="24"/>
        </w:rPr>
        <w:t xml:space="preserve">.  </w:t>
      </w:r>
    </w:p>
    <w:p w14:paraId="58F4A284" w14:textId="77777777" w:rsidR="00D4599E" w:rsidRPr="009D6DB3" w:rsidRDefault="00D4599E" w:rsidP="00D4599E">
      <w:pPr>
        <w:rPr>
          <w:color w:val="000000"/>
          <w:szCs w:val="24"/>
        </w:rPr>
      </w:pPr>
      <w:r w:rsidRPr="009D6DB3">
        <w:rPr>
          <w:color w:val="000000"/>
          <w:szCs w:val="24"/>
        </w:rPr>
        <w:t>2014. gadā akcīzes nodokļa ieņēmumi tiek prognozēti ar 3,5% pieaugumu salīdzinājumā ar 2013. gadu.</w:t>
      </w:r>
    </w:p>
    <w:p w14:paraId="3C0B9904" w14:textId="2CD7EF0A" w:rsidR="00D4599E" w:rsidRPr="009D6DB3" w:rsidRDefault="00D4599E" w:rsidP="00D4599E">
      <w:pPr>
        <w:rPr>
          <w:color w:val="000000"/>
          <w:szCs w:val="24"/>
        </w:rPr>
      </w:pPr>
      <w:r>
        <w:rPr>
          <w:color w:val="000000"/>
          <w:szCs w:val="24"/>
        </w:rPr>
        <w:t>Saskaņā ar 2013.gada 16.aprīļa</w:t>
      </w:r>
      <w:r w:rsidRPr="009D6DB3">
        <w:rPr>
          <w:color w:val="000000"/>
          <w:szCs w:val="24"/>
        </w:rPr>
        <w:t xml:space="preserve"> grozījumi</w:t>
      </w:r>
      <w:r>
        <w:rPr>
          <w:color w:val="000000"/>
          <w:szCs w:val="24"/>
        </w:rPr>
        <w:t>em</w:t>
      </w:r>
      <w:r w:rsidRPr="009D6DB3">
        <w:rPr>
          <w:color w:val="000000"/>
          <w:szCs w:val="24"/>
        </w:rPr>
        <w:t xml:space="preserve"> </w:t>
      </w:r>
      <w:r w:rsidR="00B64D6D">
        <w:rPr>
          <w:color w:val="000000"/>
          <w:szCs w:val="24"/>
        </w:rPr>
        <w:t>MK</w:t>
      </w:r>
      <w:r w:rsidRPr="009D6DB3">
        <w:rPr>
          <w:color w:val="000000"/>
          <w:szCs w:val="24"/>
        </w:rPr>
        <w:t xml:space="preserve"> 2011.gada 3.maija noteikumos Nr.344 „Kārtība,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 2013./2014. saimnieciskaj</w:t>
      </w:r>
      <w:r>
        <w:rPr>
          <w:color w:val="000000"/>
          <w:szCs w:val="24"/>
        </w:rPr>
        <w:t>ā</w:t>
      </w:r>
      <w:r w:rsidRPr="009D6DB3">
        <w:rPr>
          <w:color w:val="000000"/>
          <w:szCs w:val="24"/>
        </w:rPr>
        <w:t xml:space="preserve"> gad</w:t>
      </w:r>
      <w:r>
        <w:rPr>
          <w:color w:val="000000"/>
          <w:szCs w:val="24"/>
        </w:rPr>
        <w:t>ā</w:t>
      </w:r>
      <w:r w:rsidRPr="009D6DB3">
        <w:rPr>
          <w:color w:val="000000"/>
          <w:szCs w:val="24"/>
        </w:rPr>
        <w:t xml:space="preserve"> </w:t>
      </w:r>
      <w:r>
        <w:rPr>
          <w:color w:val="000000"/>
          <w:szCs w:val="24"/>
        </w:rPr>
        <w:t xml:space="preserve">tika </w:t>
      </w:r>
      <w:r w:rsidRPr="009D6DB3">
        <w:rPr>
          <w:color w:val="000000"/>
          <w:szCs w:val="24"/>
        </w:rPr>
        <w:t>palielināt</w:t>
      </w:r>
      <w:r>
        <w:rPr>
          <w:color w:val="000000"/>
          <w:szCs w:val="24"/>
        </w:rPr>
        <w:t>s</w:t>
      </w:r>
      <w:r w:rsidRPr="009D6DB3">
        <w:rPr>
          <w:color w:val="000000"/>
          <w:szCs w:val="24"/>
        </w:rPr>
        <w:t xml:space="preserve"> </w:t>
      </w:r>
      <w:r>
        <w:rPr>
          <w:color w:val="000000"/>
          <w:szCs w:val="24"/>
        </w:rPr>
        <w:t>maksimālais</w:t>
      </w:r>
      <w:r w:rsidRPr="009D6DB3">
        <w:rPr>
          <w:color w:val="000000"/>
          <w:szCs w:val="24"/>
        </w:rPr>
        <w:t xml:space="preserve"> kopēj</w:t>
      </w:r>
      <w:r>
        <w:rPr>
          <w:color w:val="000000"/>
          <w:szCs w:val="24"/>
        </w:rPr>
        <w:t>ais dīzeļdegvielas daudzums</w:t>
      </w:r>
      <w:r w:rsidRPr="009D6DB3">
        <w:rPr>
          <w:color w:val="000000"/>
          <w:szCs w:val="24"/>
        </w:rPr>
        <w:t>, kas atbrīvots no akcīzes nodokļa.</w:t>
      </w:r>
    </w:p>
    <w:p w14:paraId="23F9F9FC" w14:textId="77777777" w:rsidR="00D4599E" w:rsidRDefault="00D4599E" w:rsidP="00D4599E">
      <w:pPr>
        <w:rPr>
          <w:color w:val="000000"/>
          <w:szCs w:val="24"/>
        </w:rPr>
      </w:pPr>
      <w:r>
        <w:rPr>
          <w:color w:val="000000"/>
          <w:szCs w:val="24"/>
        </w:rPr>
        <w:t>Ar 2013.gada 6.novembra grozījumiem likumā „Par akcīzes nodokli” n</w:t>
      </w:r>
      <w:r w:rsidRPr="00FD5C8A">
        <w:rPr>
          <w:color w:val="000000"/>
          <w:szCs w:val="24"/>
        </w:rPr>
        <w:t>o 2014.gada 1.janvāra paaugstināta akcīzes nodokļa likme sašķidrinātajām naftas gāzēm un pārējie</w:t>
      </w:r>
      <w:r>
        <w:rPr>
          <w:color w:val="000000"/>
          <w:szCs w:val="24"/>
        </w:rPr>
        <w:t>m</w:t>
      </w:r>
      <w:r w:rsidRPr="00FD5C8A">
        <w:rPr>
          <w:color w:val="000000"/>
          <w:szCs w:val="24"/>
        </w:rPr>
        <w:t xml:space="preserve"> gāzv</w:t>
      </w:r>
      <w:r>
        <w:rPr>
          <w:color w:val="000000"/>
          <w:szCs w:val="24"/>
        </w:rPr>
        <w:t xml:space="preserve">eida ogļūdeņražiem no </w:t>
      </w:r>
      <w:r w:rsidRPr="00FD5C8A">
        <w:rPr>
          <w:color w:val="000000"/>
          <w:szCs w:val="24"/>
        </w:rPr>
        <w:t>128,06 </w:t>
      </w:r>
      <w:proofErr w:type="spellStart"/>
      <w:r w:rsidRPr="00FD5C8A">
        <w:rPr>
          <w:i/>
          <w:color w:val="000000"/>
          <w:szCs w:val="24"/>
        </w:rPr>
        <w:t>euro</w:t>
      </w:r>
      <w:proofErr w:type="spellEnd"/>
      <w:r w:rsidRPr="00FD5C8A">
        <w:rPr>
          <w:color w:val="000000"/>
          <w:szCs w:val="24"/>
        </w:rPr>
        <w:t xml:space="preserve"> līdz 161</w:t>
      </w:r>
      <w:r>
        <w:rPr>
          <w:color w:val="000000"/>
          <w:szCs w:val="24"/>
        </w:rPr>
        <w:t>,00</w:t>
      </w:r>
      <w:r w:rsidRPr="00FD5C8A">
        <w:rPr>
          <w:color w:val="000000"/>
          <w:szCs w:val="24"/>
        </w:rPr>
        <w:t> </w:t>
      </w:r>
      <w:proofErr w:type="spellStart"/>
      <w:r w:rsidRPr="00FD5C8A">
        <w:rPr>
          <w:i/>
          <w:color w:val="000000"/>
          <w:szCs w:val="24"/>
        </w:rPr>
        <w:t>euro</w:t>
      </w:r>
      <w:proofErr w:type="spellEnd"/>
      <w:r w:rsidRPr="00FD5C8A">
        <w:rPr>
          <w:color w:val="000000"/>
          <w:szCs w:val="24"/>
        </w:rPr>
        <w:t xml:space="preserve"> </w:t>
      </w:r>
      <w:r>
        <w:rPr>
          <w:color w:val="000000"/>
          <w:szCs w:val="24"/>
        </w:rPr>
        <w:t>par 1000 </w:t>
      </w:r>
      <w:r w:rsidRPr="00FD5C8A">
        <w:rPr>
          <w:color w:val="000000"/>
          <w:szCs w:val="24"/>
        </w:rPr>
        <w:t xml:space="preserve">kg. </w:t>
      </w:r>
    </w:p>
    <w:p w14:paraId="47F7EF9E" w14:textId="77777777" w:rsidR="00D4599E" w:rsidRPr="00FD5C8A" w:rsidRDefault="00D4599E" w:rsidP="00D4599E">
      <w:pPr>
        <w:rPr>
          <w:color w:val="000000"/>
          <w:szCs w:val="24"/>
        </w:rPr>
      </w:pPr>
      <w:r>
        <w:rPr>
          <w:color w:val="000000"/>
          <w:szCs w:val="24"/>
        </w:rPr>
        <w:t xml:space="preserve">Saskaņā ar minētajiem grozījumiem 2014.gadā tiek saglabāts </w:t>
      </w:r>
      <w:r w:rsidRPr="00FD5C8A">
        <w:rPr>
          <w:color w:val="000000"/>
          <w:szCs w:val="24"/>
        </w:rPr>
        <w:t>akcīzes nodokļa atbrīvojum</w:t>
      </w:r>
      <w:r>
        <w:rPr>
          <w:color w:val="000000"/>
          <w:szCs w:val="24"/>
        </w:rPr>
        <w:t>s dabasgāzei, ko izmanto</w:t>
      </w:r>
      <w:r w:rsidRPr="00FD5C8A">
        <w:rPr>
          <w:color w:val="000000"/>
          <w:szCs w:val="24"/>
        </w:rPr>
        <w:t xml:space="preserve"> lauksaimniecībā izmantojamās zemes segto platību (siltumnīcu) un rūpniecisko mājputnu novietņu (kū</w:t>
      </w:r>
      <w:r>
        <w:rPr>
          <w:color w:val="000000"/>
          <w:szCs w:val="24"/>
        </w:rPr>
        <w:t xml:space="preserve">ts) un inkubatoru siltumapgādei, savukārt dabasgāzei, </w:t>
      </w:r>
      <w:r w:rsidRPr="00FD5C8A">
        <w:rPr>
          <w:color w:val="000000"/>
          <w:szCs w:val="24"/>
        </w:rPr>
        <w:t>ko izmanto rūpnieciskās ražošanas un lauksaimniecības izejvielu pirmapstrādes (kas atbilst apstiprinātiem attiecīgajiem regulā Nr.1893/2006 noteiktajiem NACE klasifikācijas kodiem) tehnoloģisko iekārtu darbināšanai un tehnoloģiski nepieciešamā klimata nodrošināšanai minētās rūpnieciskās ražošanas un lauksaimniecības izejvielu pirma</w:t>
      </w:r>
      <w:r>
        <w:rPr>
          <w:color w:val="000000"/>
          <w:szCs w:val="24"/>
        </w:rPr>
        <w:t>pstrādes telpās, ar 2014.gada 1.janvāri tiek piemērota samazināta akcīzes nodokļa likme 5,65 </w:t>
      </w:r>
      <w:proofErr w:type="spellStart"/>
      <w:r w:rsidRPr="00FD5C8A">
        <w:rPr>
          <w:i/>
          <w:color w:val="000000"/>
          <w:szCs w:val="24"/>
        </w:rPr>
        <w:t>euro</w:t>
      </w:r>
      <w:proofErr w:type="spellEnd"/>
      <w:r>
        <w:rPr>
          <w:color w:val="000000"/>
          <w:szCs w:val="24"/>
        </w:rPr>
        <w:t xml:space="preserve"> par </w:t>
      </w:r>
      <w:r w:rsidRPr="00FD5C8A">
        <w:rPr>
          <w:szCs w:val="24"/>
          <w:lang w:eastAsia="lv-LV"/>
        </w:rPr>
        <w:t>1000 m</w:t>
      </w:r>
      <w:r w:rsidRPr="00FD5C8A">
        <w:rPr>
          <w:szCs w:val="24"/>
          <w:vertAlign w:val="superscript"/>
          <w:lang w:eastAsia="lv-LV"/>
        </w:rPr>
        <w:t>3</w:t>
      </w:r>
      <w:r>
        <w:rPr>
          <w:i/>
          <w:szCs w:val="24"/>
          <w:lang w:eastAsia="lv-LV"/>
        </w:rPr>
        <w:t>.</w:t>
      </w:r>
    </w:p>
    <w:p w14:paraId="0DB06DA6" w14:textId="0D0534E2" w:rsidR="00D4599E" w:rsidRPr="00EC6A42" w:rsidRDefault="00D4599E" w:rsidP="00D4599E">
      <w:pPr>
        <w:rPr>
          <w:color w:val="000000"/>
          <w:szCs w:val="24"/>
        </w:rPr>
      </w:pPr>
      <w:r>
        <w:rPr>
          <w:color w:val="000000"/>
          <w:szCs w:val="24"/>
        </w:rPr>
        <w:t>Saskaņā ar 2011.gada 14.aprīlī veiktajiem grozījumiem likumā „Par akcīzes nodokli” n</w:t>
      </w:r>
      <w:r w:rsidRPr="00EC6A42">
        <w:rPr>
          <w:color w:val="000000"/>
          <w:szCs w:val="24"/>
        </w:rPr>
        <w:t>o 2014. gada 1. janvāra tika paaugstināta akcīzes nodokļa cig</w:t>
      </w:r>
      <w:r>
        <w:rPr>
          <w:color w:val="000000"/>
          <w:szCs w:val="24"/>
        </w:rPr>
        <w:t>aretēm specifiskā likme no 35,57 </w:t>
      </w:r>
      <w:proofErr w:type="spellStart"/>
      <w:r w:rsidRPr="00EC6A42">
        <w:rPr>
          <w:i/>
          <w:color w:val="000000"/>
          <w:szCs w:val="24"/>
        </w:rPr>
        <w:t>euro</w:t>
      </w:r>
      <w:proofErr w:type="spellEnd"/>
      <w:r w:rsidRPr="00EC6A42">
        <w:rPr>
          <w:color w:val="000000"/>
          <w:szCs w:val="24"/>
        </w:rPr>
        <w:t xml:space="preserve"> uz 39,84 </w:t>
      </w:r>
      <w:proofErr w:type="spellStart"/>
      <w:r w:rsidRPr="00EC6A42">
        <w:rPr>
          <w:i/>
          <w:color w:val="000000"/>
          <w:szCs w:val="24"/>
        </w:rPr>
        <w:t>euro</w:t>
      </w:r>
      <w:proofErr w:type="spellEnd"/>
      <w:r w:rsidRPr="00EC6A42">
        <w:rPr>
          <w:color w:val="000000"/>
          <w:szCs w:val="24"/>
        </w:rPr>
        <w:t xml:space="preserve"> par 1000 cigaretēm, kā arī tik</w:t>
      </w:r>
      <w:r>
        <w:rPr>
          <w:color w:val="000000"/>
          <w:szCs w:val="24"/>
        </w:rPr>
        <w:t>a</w:t>
      </w:r>
      <w:r w:rsidRPr="00EC6A42">
        <w:rPr>
          <w:color w:val="000000"/>
          <w:szCs w:val="24"/>
        </w:rPr>
        <w:t xml:space="preserve"> samazināta procentuālā likme no 34</w:t>
      </w:r>
      <w:r>
        <w:rPr>
          <w:color w:val="000000"/>
          <w:szCs w:val="24"/>
        </w:rPr>
        <w:t>,00</w:t>
      </w:r>
      <w:r w:rsidRPr="00EC6A42">
        <w:rPr>
          <w:color w:val="000000"/>
          <w:szCs w:val="24"/>
        </w:rPr>
        <w:t>% uz 33,5</w:t>
      </w:r>
      <w:r>
        <w:rPr>
          <w:color w:val="000000"/>
          <w:szCs w:val="24"/>
        </w:rPr>
        <w:t>0</w:t>
      </w:r>
      <w:r w:rsidRPr="00EC6A42">
        <w:rPr>
          <w:color w:val="000000"/>
          <w:szCs w:val="24"/>
        </w:rPr>
        <w:t>%, nodrošinot minimālo akcīzes nodokļa līmeni 79,68 </w:t>
      </w:r>
      <w:proofErr w:type="spellStart"/>
      <w:r w:rsidRPr="00EC6A42">
        <w:rPr>
          <w:i/>
          <w:color w:val="000000"/>
          <w:szCs w:val="24"/>
        </w:rPr>
        <w:t>euro</w:t>
      </w:r>
      <w:proofErr w:type="spellEnd"/>
      <w:r>
        <w:rPr>
          <w:color w:val="000000"/>
          <w:szCs w:val="24"/>
        </w:rPr>
        <w:t xml:space="preserve"> par 1000 cigaretēm 73,99 </w:t>
      </w:r>
      <w:proofErr w:type="spellStart"/>
      <w:r w:rsidRPr="00EC6A42">
        <w:rPr>
          <w:i/>
          <w:color w:val="000000"/>
          <w:szCs w:val="24"/>
        </w:rPr>
        <w:t>euro</w:t>
      </w:r>
      <w:proofErr w:type="spellEnd"/>
      <w:r w:rsidRPr="00EC6A42">
        <w:rPr>
          <w:color w:val="000000"/>
          <w:szCs w:val="24"/>
        </w:rPr>
        <w:t xml:space="preserve"> vietā. Tāpat tik</w:t>
      </w:r>
      <w:r>
        <w:rPr>
          <w:color w:val="000000"/>
          <w:szCs w:val="24"/>
        </w:rPr>
        <w:t>a</w:t>
      </w:r>
      <w:r w:rsidRPr="00EC6A42">
        <w:rPr>
          <w:color w:val="000000"/>
          <w:szCs w:val="24"/>
        </w:rPr>
        <w:t xml:space="preserve"> paau</w:t>
      </w:r>
      <w:r>
        <w:rPr>
          <w:color w:val="000000"/>
          <w:szCs w:val="24"/>
        </w:rPr>
        <w:t xml:space="preserve">gstināta likme cigāriem no </w:t>
      </w:r>
      <w:r w:rsidRPr="00EC6A42">
        <w:rPr>
          <w:color w:val="000000"/>
          <w:szCs w:val="24"/>
        </w:rPr>
        <w:t>36,99 </w:t>
      </w:r>
      <w:proofErr w:type="spellStart"/>
      <w:r w:rsidRPr="00EC6A42">
        <w:rPr>
          <w:i/>
          <w:color w:val="000000"/>
          <w:szCs w:val="24"/>
        </w:rPr>
        <w:t>euro</w:t>
      </w:r>
      <w:proofErr w:type="spellEnd"/>
      <w:r w:rsidRPr="00EC6A42">
        <w:rPr>
          <w:color w:val="000000"/>
          <w:szCs w:val="24"/>
        </w:rPr>
        <w:t xml:space="preserve"> uz </w:t>
      </w:r>
      <w:r>
        <w:rPr>
          <w:color w:val="000000"/>
          <w:szCs w:val="24"/>
        </w:rPr>
        <w:t>39,84 </w:t>
      </w:r>
      <w:proofErr w:type="spellStart"/>
      <w:r w:rsidRPr="00EC6A42">
        <w:rPr>
          <w:i/>
          <w:color w:val="000000"/>
          <w:szCs w:val="24"/>
        </w:rPr>
        <w:t>euro</w:t>
      </w:r>
      <w:proofErr w:type="spellEnd"/>
      <w:r w:rsidRPr="00EC6A42">
        <w:rPr>
          <w:color w:val="000000"/>
          <w:szCs w:val="24"/>
        </w:rPr>
        <w:t xml:space="preserve"> un </w:t>
      </w:r>
      <w:r>
        <w:rPr>
          <w:color w:val="000000"/>
          <w:szCs w:val="24"/>
        </w:rPr>
        <w:t>smēķējamai tabakai no 48,38 </w:t>
      </w:r>
      <w:proofErr w:type="spellStart"/>
      <w:r w:rsidRPr="00EC6A42">
        <w:rPr>
          <w:i/>
          <w:color w:val="000000"/>
          <w:szCs w:val="24"/>
        </w:rPr>
        <w:t>euro</w:t>
      </w:r>
      <w:proofErr w:type="spellEnd"/>
      <w:r w:rsidRPr="00EC6A42">
        <w:rPr>
          <w:color w:val="000000"/>
          <w:szCs w:val="24"/>
        </w:rPr>
        <w:t xml:space="preserve"> uz </w:t>
      </w:r>
      <w:r>
        <w:rPr>
          <w:color w:val="000000"/>
          <w:szCs w:val="24"/>
        </w:rPr>
        <w:t>55,49 </w:t>
      </w:r>
      <w:proofErr w:type="spellStart"/>
      <w:r w:rsidRPr="00EC6A42">
        <w:rPr>
          <w:i/>
          <w:color w:val="000000"/>
          <w:szCs w:val="24"/>
        </w:rPr>
        <w:t>euro</w:t>
      </w:r>
      <w:proofErr w:type="spellEnd"/>
      <w:r w:rsidRPr="00EC6A42">
        <w:rPr>
          <w:color w:val="000000"/>
          <w:szCs w:val="24"/>
        </w:rPr>
        <w:t>.</w:t>
      </w:r>
      <w:r w:rsidRPr="00844231">
        <w:rPr>
          <w:color w:val="000000"/>
          <w:szCs w:val="24"/>
        </w:rPr>
        <w:t xml:space="preserve"> </w:t>
      </w:r>
      <w:r>
        <w:rPr>
          <w:color w:val="000000"/>
          <w:szCs w:val="24"/>
        </w:rPr>
        <w:t>Akcīzes nodoklis cigaretēm tika paaugstināts ar mērķi</w:t>
      </w:r>
      <w:r w:rsidRPr="00844231">
        <w:rPr>
          <w:color w:val="000000"/>
          <w:szCs w:val="24"/>
        </w:rPr>
        <w:t xml:space="preserve">, lai </w:t>
      </w:r>
      <w:r>
        <w:rPr>
          <w:color w:val="000000"/>
          <w:szCs w:val="24"/>
        </w:rPr>
        <w:t xml:space="preserve">2018.gadā nodokļu likme </w:t>
      </w:r>
      <w:r w:rsidRPr="00844231">
        <w:rPr>
          <w:color w:val="000000"/>
          <w:szCs w:val="24"/>
        </w:rPr>
        <w:t xml:space="preserve">sasniegtu </w:t>
      </w:r>
      <w:r w:rsidR="00B64D6D">
        <w:rPr>
          <w:color w:val="000000"/>
          <w:szCs w:val="24"/>
        </w:rPr>
        <w:t>ES</w:t>
      </w:r>
      <w:r>
        <w:rPr>
          <w:color w:val="000000"/>
          <w:szCs w:val="24"/>
        </w:rPr>
        <w:t xml:space="preserve"> minimālo līmeni</w:t>
      </w:r>
      <w:r w:rsidRPr="00844231">
        <w:rPr>
          <w:color w:val="000000"/>
          <w:szCs w:val="24"/>
        </w:rPr>
        <w:t>.</w:t>
      </w:r>
    </w:p>
    <w:p w14:paraId="446B2656" w14:textId="77777777" w:rsidR="00D4599E" w:rsidRDefault="00D4599E" w:rsidP="00D4599E">
      <w:pPr>
        <w:rPr>
          <w:color w:val="000000"/>
          <w:szCs w:val="24"/>
        </w:rPr>
      </w:pPr>
      <w:r>
        <w:rPr>
          <w:color w:val="000000"/>
          <w:szCs w:val="24"/>
        </w:rPr>
        <w:t>Lai ieņēmumi no akcīzes nodokļa būtu efektīvāki, saskaņā ar 2013.gada 6.novembra likumu „</w:t>
      </w:r>
      <w:r w:rsidRPr="009D6DB3">
        <w:rPr>
          <w:color w:val="000000"/>
          <w:szCs w:val="24"/>
        </w:rPr>
        <w:t>Grozījumi likumā "Par akcīzes nodokli"</w:t>
      </w:r>
      <w:r w:rsidRPr="00EC6A42">
        <w:rPr>
          <w:color w:val="000000"/>
          <w:szCs w:val="24"/>
        </w:rPr>
        <w:t xml:space="preserve"> </w:t>
      </w:r>
      <w:r>
        <w:rPr>
          <w:color w:val="000000"/>
          <w:szCs w:val="24"/>
        </w:rPr>
        <w:t xml:space="preserve">ar </w:t>
      </w:r>
      <w:r w:rsidRPr="00EC6A42">
        <w:rPr>
          <w:color w:val="000000"/>
          <w:szCs w:val="24"/>
        </w:rPr>
        <w:t xml:space="preserve">2014.gada 1.jūliju paredzētas būtiskas izmaiņas akcīzes nodokļa cigaretēm struktūrā – specifiskā likme tiks palielināta līdz 51,80 </w:t>
      </w:r>
      <w:proofErr w:type="spellStart"/>
      <w:r w:rsidRPr="00EC6A42">
        <w:rPr>
          <w:i/>
          <w:color w:val="000000"/>
          <w:szCs w:val="24"/>
        </w:rPr>
        <w:t>euro</w:t>
      </w:r>
      <w:proofErr w:type="spellEnd"/>
      <w:r w:rsidRPr="00EC6A42">
        <w:rPr>
          <w:i/>
          <w:color w:val="000000"/>
          <w:szCs w:val="24"/>
        </w:rPr>
        <w:t xml:space="preserve">, </w:t>
      </w:r>
      <w:r w:rsidRPr="00EC6A42">
        <w:rPr>
          <w:color w:val="000000"/>
          <w:szCs w:val="24"/>
        </w:rPr>
        <w:t xml:space="preserve">savukārt procentuālā likme </w:t>
      </w:r>
      <w:r>
        <w:rPr>
          <w:color w:val="000000"/>
          <w:szCs w:val="24"/>
        </w:rPr>
        <w:t xml:space="preserve">samazināta līdz 25 procentiem. </w:t>
      </w:r>
      <w:r w:rsidRPr="00EC6A42">
        <w:rPr>
          <w:color w:val="000000"/>
          <w:szCs w:val="24"/>
        </w:rPr>
        <w:t xml:space="preserve">Minimālais akcīzes nodokļa līmenis par 1000 cigaretēm tiks paaugstināts līdz 85,60 </w:t>
      </w:r>
      <w:proofErr w:type="spellStart"/>
      <w:r w:rsidRPr="00EC6A42">
        <w:rPr>
          <w:i/>
          <w:color w:val="000000"/>
          <w:szCs w:val="24"/>
        </w:rPr>
        <w:t>euro</w:t>
      </w:r>
      <w:proofErr w:type="spellEnd"/>
      <w:r w:rsidRPr="00EC6A42">
        <w:rPr>
          <w:color w:val="000000"/>
          <w:szCs w:val="24"/>
        </w:rPr>
        <w:t>.</w:t>
      </w:r>
    </w:p>
    <w:p w14:paraId="5DAA9173" w14:textId="77777777" w:rsidR="00D4599E" w:rsidRPr="00EC6A42" w:rsidRDefault="00D4599E" w:rsidP="00D4599E">
      <w:pPr>
        <w:rPr>
          <w:color w:val="000000"/>
          <w:szCs w:val="24"/>
        </w:rPr>
      </w:pPr>
      <w:r w:rsidRPr="00EC6A42">
        <w:rPr>
          <w:color w:val="000000"/>
          <w:szCs w:val="24"/>
        </w:rPr>
        <w:t xml:space="preserve"> </w:t>
      </w:r>
      <w:r w:rsidRPr="00FD5C8A">
        <w:rPr>
          <w:color w:val="000000"/>
          <w:szCs w:val="24"/>
        </w:rPr>
        <w:t xml:space="preserve">Atbilstoši likuma „Par akcīzes nodokli” pārejas noteikumiem </w:t>
      </w:r>
      <w:r>
        <w:rPr>
          <w:color w:val="000000"/>
          <w:szCs w:val="24"/>
        </w:rPr>
        <w:t>a</w:t>
      </w:r>
      <w:r w:rsidRPr="00EC6A42">
        <w:rPr>
          <w:color w:val="000000"/>
          <w:szCs w:val="24"/>
        </w:rPr>
        <w:t>kcīzes nodokļa specifisko likmi un minimālo nodokļa līmeni par 1000 cigaretēm paredzēts paaugstināt arī turpmākajos gados:</w:t>
      </w:r>
    </w:p>
    <w:p w14:paraId="24750CA0" w14:textId="77777777" w:rsidR="002405FE" w:rsidRDefault="00D4599E" w:rsidP="0011050B">
      <w:pPr>
        <w:numPr>
          <w:ilvl w:val="0"/>
          <w:numId w:val="46"/>
        </w:numPr>
        <w:spacing w:after="0"/>
        <w:ind w:left="1281" w:hanging="357"/>
        <w:rPr>
          <w:color w:val="000000"/>
          <w:szCs w:val="24"/>
        </w:rPr>
      </w:pPr>
      <w:r w:rsidRPr="00EC6A42">
        <w:rPr>
          <w:color w:val="000000"/>
          <w:szCs w:val="24"/>
        </w:rPr>
        <w:t>ar 2015.gada 1.jūl</w:t>
      </w:r>
      <w:r>
        <w:rPr>
          <w:color w:val="000000"/>
          <w:szCs w:val="24"/>
        </w:rPr>
        <w:t>iju specifisko likmi līdz 54,20 </w:t>
      </w:r>
      <w:proofErr w:type="spellStart"/>
      <w:r w:rsidRPr="00BA0FFE">
        <w:rPr>
          <w:i/>
          <w:color w:val="000000"/>
          <w:szCs w:val="24"/>
        </w:rPr>
        <w:t>euro</w:t>
      </w:r>
      <w:proofErr w:type="spellEnd"/>
      <w:r w:rsidRPr="00EC6A42">
        <w:rPr>
          <w:color w:val="000000"/>
          <w:szCs w:val="24"/>
        </w:rPr>
        <w:t xml:space="preserve"> un minimālo līmeni līdz </w:t>
      </w:r>
      <w:r>
        <w:rPr>
          <w:color w:val="000000"/>
          <w:szCs w:val="24"/>
        </w:rPr>
        <w:t>89,80</w:t>
      </w:r>
      <w:r w:rsidRPr="00EC6A42">
        <w:rPr>
          <w:color w:val="000000"/>
          <w:szCs w:val="24"/>
        </w:rPr>
        <w:t> </w:t>
      </w:r>
      <w:proofErr w:type="spellStart"/>
      <w:r w:rsidRPr="00BA0FFE">
        <w:rPr>
          <w:i/>
          <w:color w:val="000000"/>
          <w:szCs w:val="24"/>
        </w:rPr>
        <w:t>euro</w:t>
      </w:r>
      <w:proofErr w:type="spellEnd"/>
      <w:r w:rsidRPr="00EC6A42">
        <w:rPr>
          <w:color w:val="000000"/>
          <w:szCs w:val="24"/>
        </w:rPr>
        <w:t xml:space="preserve"> par 1000 cigaretēm;</w:t>
      </w:r>
    </w:p>
    <w:p w14:paraId="6DF866E2" w14:textId="77777777" w:rsidR="002405FE" w:rsidRDefault="00D4599E" w:rsidP="0011050B">
      <w:pPr>
        <w:numPr>
          <w:ilvl w:val="0"/>
          <w:numId w:val="46"/>
        </w:numPr>
        <w:spacing w:after="0"/>
        <w:ind w:left="1281" w:hanging="357"/>
        <w:rPr>
          <w:color w:val="000000"/>
          <w:szCs w:val="24"/>
        </w:rPr>
      </w:pPr>
      <w:r w:rsidRPr="002405FE">
        <w:rPr>
          <w:color w:val="000000"/>
          <w:szCs w:val="24"/>
        </w:rPr>
        <w:t>ar 2016.gada 1.jūliju specifisko likmi līdz 56,20 </w:t>
      </w:r>
      <w:proofErr w:type="spellStart"/>
      <w:r w:rsidRPr="002405FE">
        <w:rPr>
          <w:i/>
          <w:color w:val="000000"/>
          <w:szCs w:val="24"/>
        </w:rPr>
        <w:t>euro</w:t>
      </w:r>
      <w:proofErr w:type="spellEnd"/>
      <w:r w:rsidRPr="002405FE">
        <w:rPr>
          <w:color w:val="000000"/>
          <w:szCs w:val="24"/>
        </w:rPr>
        <w:t xml:space="preserve"> un minimālo līmeni līdz  93,70 </w:t>
      </w:r>
      <w:proofErr w:type="spellStart"/>
      <w:r w:rsidRPr="002405FE">
        <w:rPr>
          <w:i/>
          <w:color w:val="000000"/>
          <w:szCs w:val="24"/>
        </w:rPr>
        <w:t>euro</w:t>
      </w:r>
      <w:proofErr w:type="spellEnd"/>
      <w:r w:rsidRPr="002405FE">
        <w:rPr>
          <w:color w:val="000000"/>
          <w:szCs w:val="24"/>
        </w:rPr>
        <w:t xml:space="preserve"> par 1000 cigaretēm;</w:t>
      </w:r>
    </w:p>
    <w:p w14:paraId="1DCFFC66" w14:textId="6D8FE09D" w:rsidR="00D4599E" w:rsidRPr="002405FE" w:rsidRDefault="00D4599E" w:rsidP="0011050B">
      <w:pPr>
        <w:numPr>
          <w:ilvl w:val="0"/>
          <w:numId w:val="46"/>
        </w:numPr>
        <w:spacing w:after="0"/>
        <w:ind w:left="1281" w:hanging="357"/>
        <w:rPr>
          <w:color w:val="000000"/>
          <w:szCs w:val="24"/>
        </w:rPr>
      </w:pPr>
      <w:r w:rsidRPr="002405FE">
        <w:rPr>
          <w:color w:val="000000"/>
          <w:szCs w:val="24"/>
        </w:rPr>
        <w:t>ar 2017.gada 1.jūliju specifisko likmi līdz 58,20 </w:t>
      </w:r>
      <w:proofErr w:type="spellStart"/>
      <w:r w:rsidRPr="002405FE">
        <w:rPr>
          <w:i/>
          <w:color w:val="000000"/>
          <w:szCs w:val="24"/>
        </w:rPr>
        <w:t>euro</w:t>
      </w:r>
      <w:proofErr w:type="spellEnd"/>
      <w:r w:rsidRPr="002405FE">
        <w:rPr>
          <w:color w:val="000000"/>
          <w:szCs w:val="24"/>
        </w:rPr>
        <w:t xml:space="preserve"> un minimālo līmeni līdz 97,00 </w:t>
      </w:r>
      <w:proofErr w:type="spellStart"/>
      <w:r w:rsidRPr="002405FE">
        <w:rPr>
          <w:i/>
          <w:color w:val="000000"/>
          <w:szCs w:val="24"/>
        </w:rPr>
        <w:t>euro</w:t>
      </w:r>
      <w:proofErr w:type="spellEnd"/>
      <w:r w:rsidRPr="002405FE">
        <w:rPr>
          <w:color w:val="000000"/>
          <w:szCs w:val="24"/>
        </w:rPr>
        <w:t xml:space="preserve"> par 1000 cigaretēm. </w:t>
      </w:r>
    </w:p>
    <w:p w14:paraId="4F128FF3" w14:textId="77777777" w:rsidR="00D4599E" w:rsidRPr="00A65C80" w:rsidRDefault="00D4599E" w:rsidP="00D4599E">
      <w:pPr>
        <w:rPr>
          <w:b/>
        </w:rPr>
      </w:pPr>
      <w:r>
        <w:rPr>
          <w:color w:val="000000"/>
          <w:szCs w:val="24"/>
        </w:rPr>
        <w:t xml:space="preserve">Saskaņā ar 2011.gada 14.aprīlī veiktajiem grozījumiem likumā „Par akcīzes nodokli” ar </w:t>
      </w:r>
      <w:r w:rsidRPr="001450E9">
        <w:rPr>
          <w:color w:val="000000"/>
          <w:szCs w:val="24"/>
        </w:rPr>
        <w:t xml:space="preserve">2016.gada 1.janvāri tiks paaugstināta akcīzes nodokļa likme </w:t>
      </w:r>
      <w:r>
        <w:rPr>
          <w:color w:val="000000"/>
          <w:szCs w:val="24"/>
        </w:rPr>
        <w:t xml:space="preserve">cigāriem un </w:t>
      </w:r>
      <w:proofErr w:type="spellStart"/>
      <w:r>
        <w:rPr>
          <w:color w:val="000000"/>
          <w:szCs w:val="24"/>
        </w:rPr>
        <w:t>cigarillām</w:t>
      </w:r>
      <w:proofErr w:type="spellEnd"/>
      <w:r>
        <w:rPr>
          <w:color w:val="000000"/>
          <w:szCs w:val="24"/>
        </w:rPr>
        <w:t xml:space="preserve"> no 39,84 </w:t>
      </w:r>
      <w:proofErr w:type="spellStart"/>
      <w:r w:rsidRPr="001450E9">
        <w:rPr>
          <w:i/>
          <w:color w:val="000000"/>
          <w:szCs w:val="24"/>
        </w:rPr>
        <w:t>euro</w:t>
      </w:r>
      <w:proofErr w:type="spellEnd"/>
      <w:r w:rsidRPr="001450E9">
        <w:rPr>
          <w:color w:val="000000"/>
          <w:szCs w:val="24"/>
        </w:rPr>
        <w:t xml:space="preserve"> līdz 42,69 </w:t>
      </w:r>
      <w:proofErr w:type="spellStart"/>
      <w:r w:rsidRPr="001450E9">
        <w:rPr>
          <w:i/>
          <w:color w:val="000000"/>
          <w:szCs w:val="24"/>
        </w:rPr>
        <w:t>euro</w:t>
      </w:r>
      <w:proofErr w:type="spellEnd"/>
      <w:r w:rsidRPr="001450E9">
        <w:rPr>
          <w:color w:val="000000"/>
          <w:szCs w:val="24"/>
        </w:rPr>
        <w:t xml:space="preserve"> par 1000</w:t>
      </w:r>
      <w:r>
        <w:rPr>
          <w:color w:val="000000"/>
          <w:szCs w:val="24"/>
        </w:rPr>
        <w:t> gab.</w:t>
      </w:r>
    </w:p>
    <w:p w14:paraId="44E11AD5" w14:textId="4E8B91D3" w:rsidR="00D4599E" w:rsidRPr="00D4599E" w:rsidRDefault="00D4599E" w:rsidP="00D4599E">
      <w:pPr>
        <w:pStyle w:val="T"/>
        <w:spacing w:after="0"/>
        <w:ind w:left="0"/>
        <w:jc w:val="right"/>
        <w:rPr>
          <w:rFonts w:ascii="Times New Roman" w:hAnsi="Times New Roman"/>
        </w:rPr>
      </w:pPr>
      <w:r w:rsidRPr="00D4599E">
        <w:rPr>
          <w:rFonts w:ascii="Times New Roman" w:hAnsi="Times New Roman"/>
        </w:rPr>
        <w:t>6.</w:t>
      </w:r>
      <w:r w:rsidR="0037075E">
        <w:rPr>
          <w:rFonts w:ascii="Times New Roman" w:hAnsi="Times New Roman"/>
        </w:rPr>
        <w:t>4</w:t>
      </w:r>
      <w:r w:rsidRPr="00D4599E">
        <w:rPr>
          <w:rFonts w:ascii="Times New Roman" w:hAnsi="Times New Roman"/>
        </w:rPr>
        <w:t>. tabula. Nodokļu politikas būtiskāko izmaiņu ietekme uz akcīzes nodokļa ieņēmumiem, milj. </w:t>
      </w:r>
      <w:proofErr w:type="spellStart"/>
      <w:r w:rsidRPr="00D4599E">
        <w:rPr>
          <w:rFonts w:ascii="Times New Roman" w:hAnsi="Times New Roman"/>
          <w:i/>
        </w:rPr>
        <w:t>euro</w:t>
      </w:r>
      <w:proofErr w:type="spellEnd"/>
      <w:r w:rsidRPr="00D4599E">
        <w:rPr>
          <w:rFonts w:ascii="Times New Roman" w:hAnsi="Times New Roman"/>
        </w:rPr>
        <w:t xml:space="preserve"> </w:t>
      </w:r>
      <w:r w:rsidRPr="00D4599E">
        <w:rPr>
          <w:rFonts w:ascii="Times New Roman" w:hAnsi="Times New Roman"/>
        </w:rPr>
        <w:tab/>
      </w:r>
    </w:p>
    <w:tbl>
      <w:tblPr>
        <w:tblStyle w:val="TableGrid"/>
        <w:tblW w:w="932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37"/>
        <w:gridCol w:w="992"/>
        <w:gridCol w:w="992"/>
        <w:gridCol w:w="851"/>
        <w:gridCol w:w="850"/>
      </w:tblGrid>
      <w:tr w:rsidR="00D4599E" w:rsidRPr="00A65C80" w14:paraId="271A56F2" w14:textId="77777777" w:rsidTr="003148B4">
        <w:tc>
          <w:tcPr>
            <w:tcW w:w="5637" w:type="dxa"/>
          </w:tcPr>
          <w:p w14:paraId="0ACF2A55" w14:textId="77777777" w:rsidR="00D4599E" w:rsidRPr="00A65C80" w:rsidRDefault="00D4599E" w:rsidP="00D4599E">
            <w:pPr>
              <w:pStyle w:val="tabteksts"/>
            </w:pPr>
          </w:p>
        </w:tc>
        <w:tc>
          <w:tcPr>
            <w:tcW w:w="992" w:type="dxa"/>
          </w:tcPr>
          <w:p w14:paraId="4897C742" w14:textId="77777777" w:rsidR="00D4599E" w:rsidRPr="00A65C80" w:rsidRDefault="00D4599E" w:rsidP="00D4599E">
            <w:pPr>
              <w:pStyle w:val="tabteksts"/>
              <w:tabs>
                <w:tab w:val="decimal" w:pos="-12114"/>
              </w:tabs>
              <w:jc w:val="center"/>
              <w:rPr>
                <w:b/>
              </w:rPr>
            </w:pPr>
            <w:r w:rsidRPr="00A65C80">
              <w:rPr>
                <w:b/>
              </w:rPr>
              <w:t>2014</w:t>
            </w:r>
          </w:p>
        </w:tc>
        <w:tc>
          <w:tcPr>
            <w:tcW w:w="992" w:type="dxa"/>
          </w:tcPr>
          <w:p w14:paraId="01C41AA7" w14:textId="77777777" w:rsidR="00D4599E" w:rsidRPr="00A65C80" w:rsidRDefault="00D4599E" w:rsidP="00D4599E">
            <w:pPr>
              <w:pStyle w:val="tabteksts"/>
              <w:tabs>
                <w:tab w:val="decimal" w:pos="-12114"/>
              </w:tabs>
              <w:jc w:val="center"/>
              <w:rPr>
                <w:b/>
              </w:rPr>
            </w:pPr>
            <w:r w:rsidRPr="00A65C80">
              <w:rPr>
                <w:b/>
              </w:rPr>
              <w:t>2015</w:t>
            </w:r>
          </w:p>
        </w:tc>
        <w:tc>
          <w:tcPr>
            <w:tcW w:w="851" w:type="dxa"/>
          </w:tcPr>
          <w:p w14:paraId="5B3F2CD1" w14:textId="77777777" w:rsidR="00D4599E" w:rsidRPr="00A65C80" w:rsidRDefault="00D4599E" w:rsidP="00D4599E">
            <w:pPr>
              <w:pStyle w:val="tabteksts"/>
              <w:tabs>
                <w:tab w:val="decimal" w:pos="-12114"/>
              </w:tabs>
              <w:jc w:val="center"/>
              <w:rPr>
                <w:b/>
              </w:rPr>
            </w:pPr>
            <w:r w:rsidRPr="00A65C80">
              <w:rPr>
                <w:b/>
              </w:rPr>
              <w:t>2016</w:t>
            </w:r>
          </w:p>
        </w:tc>
        <w:tc>
          <w:tcPr>
            <w:tcW w:w="850" w:type="dxa"/>
          </w:tcPr>
          <w:p w14:paraId="21A737F4" w14:textId="77777777" w:rsidR="00D4599E" w:rsidRPr="00A65C80" w:rsidRDefault="00D4599E" w:rsidP="00D4599E">
            <w:pPr>
              <w:pStyle w:val="tabteksts"/>
              <w:tabs>
                <w:tab w:val="decimal" w:pos="-12114"/>
              </w:tabs>
              <w:jc w:val="center"/>
              <w:rPr>
                <w:b/>
              </w:rPr>
            </w:pPr>
            <w:r>
              <w:rPr>
                <w:b/>
              </w:rPr>
              <w:t>2017</w:t>
            </w:r>
          </w:p>
        </w:tc>
      </w:tr>
      <w:tr w:rsidR="00D4599E" w:rsidRPr="00A65C80" w14:paraId="6708434A" w14:textId="77777777" w:rsidTr="003148B4">
        <w:tc>
          <w:tcPr>
            <w:tcW w:w="5637" w:type="dxa"/>
          </w:tcPr>
          <w:p w14:paraId="38864A72" w14:textId="77777777" w:rsidR="00D4599E" w:rsidRPr="00A65C80" w:rsidRDefault="00D4599E" w:rsidP="002405FE">
            <w:pPr>
              <w:pStyle w:val="tabteksts"/>
              <w:jc w:val="both"/>
            </w:pPr>
            <w:r w:rsidRPr="00A65C80">
              <w:t>Ar akcīzes nodokli neapliekamās dīzeļdegvielas apjoma palielinājums zemniekiem 2013./2014.saimnieciskajā gadā</w:t>
            </w:r>
          </w:p>
        </w:tc>
        <w:tc>
          <w:tcPr>
            <w:tcW w:w="992" w:type="dxa"/>
          </w:tcPr>
          <w:p w14:paraId="12E2CAAA" w14:textId="77777777" w:rsidR="00D4599E" w:rsidRPr="00A65C80" w:rsidRDefault="00D4599E" w:rsidP="00980148">
            <w:pPr>
              <w:pStyle w:val="tabteksts"/>
              <w:tabs>
                <w:tab w:val="decimal" w:pos="458"/>
              </w:tabs>
              <w:jc w:val="right"/>
            </w:pPr>
            <w:r w:rsidRPr="00A65C80">
              <w:t>-3,9</w:t>
            </w:r>
          </w:p>
        </w:tc>
        <w:tc>
          <w:tcPr>
            <w:tcW w:w="992" w:type="dxa"/>
          </w:tcPr>
          <w:p w14:paraId="218587AB" w14:textId="77777777" w:rsidR="00D4599E" w:rsidRPr="00A65C80" w:rsidRDefault="00D4599E" w:rsidP="00980148">
            <w:pPr>
              <w:pStyle w:val="tabteksts"/>
              <w:tabs>
                <w:tab w:val="decimal" w:pos="458"/>
              </w:tabs>
              <w:jc w:val="right"/>
            </w:pPr>
            <w:r w:rsidRPr="00A65C80">
              <w:t>-</w:t>
            </w:r>
          </w:p>
        </w:tc>
        <w:tc>
          <w:tcPr>
            <w:tcW w:w="851" w:type="dxa"/>
          </w:tcPr>
          <w:p w14:paraId="1AB26F89" w14:textId="77777777" w:rsidR="00D4599E" w:rsidRPr="00A65C80" w:rsidRDefault="00D4599E" w:rsidP="00980148">
            <w:pPr>
              <w:pStyle w:val="tabteksts"/>
              <w:tabs>
                <w:tab w:val="decimal" w:pos="458"/>
              </w:tabs>
              <w:jc w:val="right"/>
            </w:pPr>
            <w:r w:rsidRPr="00A65C80">
              <w:t>-</w:t>
            </w:r>
          </w:p>
        </w:tc>
        <w:tc>
          <w:tcPr>
            <w:tcW w:w="850" w:type="dxa"/>
          </w:tcPr>
          <w:p w14:paraId="4A6D8807" w14:textId="77777777" w:rsidR="00D4599E" w:rsidRPr="00A65C80" w:rsidRDefault="00D4599E" w:rsidP="00980148">
            <w:pPr>
              <w:pStyle w:val="tabteksts"/>
              <w:tabs>
                <w:tab w:val="decimal" w:pos="458"/>
              </w:tabs>
              <w:jc w:val="right"/>
            </w:pPr>
          </w:p>
        </w:tc>
      </w:tr>
      <w:tr w:rsidR="00D4599E" w:rsidRPr="00A65C80" w14:paraId="25F67525" w14:textId="77777777" w:rsidTr="003148B4">
        <w:tc>
          <w:tcPr>
            <w:tcW w:w="5637" w:type="dxa"/>
          </w:tcPr>
          <w:p w14:paraId="430A6A6A" w14:textId="77777777" w:rsidR="00D4599E" w:rsidRPr="00A65C80" w:rsidRDefault="00D4599E" w:rsidP="002405FE">
            <w:pPr>
              <w:pStyle w:val="tabteksts"/>
              <w:jc w:val="both"/>
            </w:pPr>
            <w:r w:rsidRPr="00A65C80">
              <w:t xml:space="preserve">Akcīzes nodokļa likmes paaugstināšana tabakas izstrādājumiem un likmes restrukturizēšana cigaretēm </w:t>
            </w:r>
          </w:p>
        </w:tc>
        <w:tc>
          <w:tcPr>
            <w:tcW w:w="992" w:type="dxa"/>
          </w:tcPr>
          <w:p w14:paraId="01A13A01" w14:textId="77777777" w:rsidR="00D4599E" w:rsidRPr="00A65C80" w:rsidRDefault="00D4599E" w:rsidP="00980148">
            <w:pPr>
              <w:pStyle w:val="tabteksts"/>
              <w:tabs>
                <w:tab w:val="decimal" w:pos="458"/>
              </w:tabs>
              <w:jc w:val="right"/>
            </w:pPr>
            <w:r>
              <w:t>+0,6</w:t>
            </w:r>
          </w:p>
        </w:tc>
        <w:tc>
          <w:tcPr>
            <w:tcW w:w="992" w:type="dxa"/>
          </w:tcPr>
          <w:p w14:paraId="213AF582" w14:textId="77777777" w:rsidR="00D4599E" w:rsidRPr="00A65C80" w:rsidRDefault="00D4599E" w:rsidP="00980148">
            <w:pPr>
              <w:pStyle w:val="tabteksts"/>
              <w:tabs>
                <w:tab w:val="decimal" w:pos="458"/>
              </w:tabs>
              <w:jc w:val="right"/>
            </w:pPr>
            <w:r w:rsidRPr="00A65C80">
              <w:t>+2,4</w:t>
            </w:r>
          </w:p>
        </w:tc>
        <w:tc>
          <w:tcPr>
            <w:tcW w:w="851" w:type="dxa"/>
          </w:tcPr>
          <w:p w14:paraId="6DE93818" w14:textId="77777777" w:rsidR="00D4599E" w:rsidRPr="00A65C80" w:rsidRDefault="00D4599E" w:rsidP="00980148">
            <w:pPr>
              <w:pStyle w:val="tabteksts"/>
              <w:tabs>
                <w:tab w:val="decimal" w:pos="458"/>
              </w:tabs>
              <w:jc w:val="right"/>
            </w:pPr>
            <w:r>
              <w:t>+3,2</w:t>
            </w:r>
          </w:p>
        </w:tc>
        <w:tc>
          <w:tcPr>
            <w:tcW w:w="850" w:type="dxa"/>
          </w:tcPr>
          <w:p w14:paraId="2719DB15" w14:textId="77777777" w:rsidR="00D4599E" w:rsidRDefault="00D4599E" w:rsidP="00980148">
            <w:pPr>
              <w:pStyle w:val="tabteksts"/>
              <w:tabs>
                <w:tab w:val="decimal" w:pos="458"/>
              </w:tabs>
              <w:jc w:val="right"/>
            </w:pPr>
            <w:r>
              <w:t>+2,5</w:t>
            </w:r>
          </w:p>
        </w:tc>
      </w:tr>
      <w:tr w:rsidR="00D4599E" w:rsidRPr="00A65C80" w14:paraId="5AE70DF6" w14:textId="77777777" w:rsidTr="003148B4">
        <w:tc>
          <w:tcPr>
            <w:tcW w:w="5637" w:type="dxa"/>
          </w:tcPr>
          <w:p w14:paraId="7AF8CEF9" w14:textId="77777777" w:rsidR="00D4599E" w:rsidRPr="00A65C80" w:rsidRDefault="00D4599E" w:rsidP="002405FE">
            <w:pPr>
              <w:pStyle w:val="tabteksts"/>
              <w:jc w:val="both"/>
            </w:pPr>
            <w:r w:rsidRPr="00A65C80">
              <w:t xml:space="preserve">Akcīzes nodokļa dabasgāzei atbrīvojuma atcelšana un minimālās likmes noteikšana </w:t>
            </w:r>
            <w:r w:rsidRPr="00A65C80">
              <w:rPr>
                <w:szCs w:val="24"/>
              </w:rPr>
              <w:t>rūpnieciskajā ražošanā</w:t>
            </w:r>
            <w:r w:rsidRPr="00A65C80">
              <w:t xml:space="preserve"> izmantotajai dabasgāzei</w:t>
            </w:r>
          </w:p>
        </w:tc>
        <w:tc>
          <w:tcPr>
            <w:tcW w:w="992" w:type="dxa"/>
          </w:tcPr>
          <w:p w14:paraId="3629320D" w14:textId="77777777" w:rsidR="00D4599E" w:rsidRPr="00A65C80" w:rsidRDefault="00D4599E" w:rsidP="00980148">
            <w:pPr>
              <w:pStyle w:val="tabteksts"/>
              <w:tabs>
                <w:tab w:val="decimal" w:pos="458"/>
              </w:tabs>
              <w:jc w:val="right"/>
            </w:pPr>
            <w:r w:rsidRPr="00A65C80">
              <w:t>-1,8</w:t>
            </w:r>
          </w:p>
        </w:tc>
        <w:tc>
          <w:tcPr>
            <w:tcW w:w="992" w:type="dxa"/>
          </w:tcPr>
          <w:p w14:paraId="6571DF7B" w14:textId="77777777" w:rsidR="00D4599E" w:rsidRPr="00A65C80" w:rsidRDefault="00D4599E" w:rsidP="00980148">
            <w:pPr>
              <w:pStyle w:val="tabteksts"/>
              <w:tabs>
                <w:tab w:val="decimal" w:pos="458"/>
              </w:tabs>
              <w:jc w:val="right"/>
            </w:pPr>
          </w:p>
        </w:tc>
        <w:tc>
          <w:tcPr>
            <w:tcW w:w="851" w:type="dxa"/>
          </w:tcPr>
          <w:p w14:paraId="5C976BD1" w14:textId="77777777" w:rsidR="00D4599E" w:rsidRPr="00A65C80" w:rsidRDefault="00D4599E" w:rsidP="00980148">
            <w:pPr>
              <w:pStyle w:val="tabteksts"/>
              <w:tabs>
                <w:tab w:val="decimal" w:pos="458"/>
              </w:tabs>
              <w:jc w:val="right"/>
            </w:pPr>
          </w:p>
        </w:tc>
        <w:tc>
          <w:tcPr>
            <w:tcW w:w="850" w:type="dxa"/>
          </w:tcPr>
          <w:p w14:paraId="38100D9D" w14:textId="77777777" w:rsidR="00D4599E" w:rsidRPr="00A65C80" w:rsidRDefault="00D4599E" w:rsidP="00980148">
            <w:pPr>
              <w:pStyle w:val="tabteksts"/>
              <w:tabs>
                <w:tab w:val="decimal" w:pos="458"/>
              </w:tabs>
              <w:jc w:val="right"/>
            </w:pPr>
          </w:p>
        </w:tc>
      </w:tr>
      <w:tr w:rsidR="00D4599E" w:rsidRPr="00A65C80" w14:paraId="578596B5" w14:textId="77777777" w:rsidTr="003148B4">
        <w:tc>
          <w:tcPr>
            <w:tcW w:w="5637" w:type="dxa"/>
          </w:tcPr>
          <w:p w14:paraId="6D0F6C9B" w14:textId="77777777" w:rsidR="00D4599E" w:rsidRPr="00A65C80" w:rsidRDefault="00D4599E" w:rsidP="002405FE">
            <w:pPr>
              <w:pStyle w:val="tabteksts"/>
              <w:jc w:val="both"/>
            </w:pPr>
            <w:r w:rsidRPr="00A65C80">
              <w:t>Akcīzes nodokļa likmes sašķidrinātajai naftas gāzei paaugstināšana</w:t>
            </w:r>
          </w:p>
        </w:tc>
        <w:tc>
          <w:tcPr>
            <w:tcW w:w="992" w:type="dxa"/>
          </w:tcPr>
          <w:p w14:paraId="03C67923" w14:textId="77777777" w:rsidR="00D4599E" w:rsidRPr="00A65C80" w:rsidRDefault="00D4599E" w:rsidP="00980148">
            <w:pPr>
              <w:pStyle w:val="tabteksts"/>
              <w:tabs>
                <w:tab w:val="decimal" w:pos="458"/>
              </w:tabs>
              <w:jc w:val="right"/>
            </w:pPr>
            <w:r w:rsidRPr="00A65C80">
              <w:t>+3,3</w:t>
            </w:r>
          </w:p>
        </w:tc>
        <w:tc>
          <w:tcPr>
            <w:tcW w:w="992" w:type="dxa"/>
          </w:tcPr>
          <w:p w14:paraId="7021ECE2" w14:textId="77777777" w:rsidR="00D4599E" w:rsidRPr="00A65C80" w:rsidRDefault="00D4599E" w:rsidP="00980148">
            <w:pPr>
              <w:pStyle w:val="tabteksts"/>
              <w:tabs>
                <w:tab w:val="decimal" w:pos="458"/>
              </w:tabs>
              <w:jc w:val="right"/>
            </w:pPr>
          </w:p>
        </w:tc>
        <w:tc>
          <w:tcPr>
            <w:tcW w:w="851" w:type="dxa"/>
          </w:tcPr>
          <w:p w14:paraId="60898AA4" w14:textId="77777777" w:rsidR="00D4599E" w:rsidRPr="00A65C80" w:rsidRDefault="00D4599E" w:rsidP="00980148">
            <w:pPr>
              <w:pStyle w:val="tabteksts"/>
              <w:tabs>
                <w:tab w:val="decimal" w:pos="458"/>
              </w:tabs>
              <w:jc w:val="right"/>
            </w:pPr>
          </w:p>
        </w:tc>
        <w:tc>
          <w:tcPr>
            <w:tcW w:w="850" w:type="dxa"/>
          </w:tcPr>
          <w:p w14:paraId="1798AF31" w14:textId="77777777" w:rsidR="00D4599E" w:rsidRDefault="00D4599E" w:rsidP="00980148">
            <w:pPr>
              <w:pStyle w:val="tabteksts"/>
              <w:tabs>
                <w:tab w:val="decimal" w:pos="458"/>
              </w:tabs>
              <w:jc w:val="right"/>
            </w:pPr>
          </w:p>
        </w:tc>
      </w:tr>
      <w:tr w:rsidR="00D4599E" w:rsidRPr="00A65C80" w14:paraId="08321D53" w14:textId="77777777" w:rsidTr="003148B4">
        <w:tc>
          <w:tcPr>
            <w:tcW w:w="5637" w:type="dxa"/>
          </w:tcPr>
          <w:p w14:paraId="3AF38887" w14:textId="77777777" w:rsidR="00D4599E" w:rsidRPr="00A65C80" w:rsidRDefault="00D4599E" w:rsidP="002405FE">
            <w:pPr>
              <w:pStyle w:val="tabteksts"/>
              <w:jc w:val="both"/>
            </w:pPr>
            <w:r>
              <w:t>P</w:t>
            </w:r>
            <w:r w:rsidRPr="00253084">
              <w:t>asākumu „Radikāla rīcība ēnu ekonomikas apkarošanai nodokļu administrēšanas un muitas lietu jomā”, „Jauno ES muitas savienības vienoto prasību ieviešana”, „Administratīvā sloga samazināšana VID klientiem, pilnveidojot VID sniegto e-pakalpojumu pieejamību un kvalitāti” īstenošana</w:t>
            </w:r>
          </w:p>
        </w:tc>
        <w:tc>
          <w:tcPr>
            <w:tcW w:w="992" w:type="dxa"/>
          </w:tcPr>
          <w:p w14:paraId="2BC976AA" w14:textId="77777777" w:rsidR="00D4599E" w:rsidRPr="00A65C80" w:rsidRDefault="00D4599E" w:rsidP="00980148">
            <w:pPr>
              <w:pStyle w:val="tabteksts"/>
              <w:tabs>
                <w:tab w:val="decimal" w:pos="458"/>
              </w:tabs>
              <w:jc w:val="right"/>
            </w:pPr>
            <w:r>
              <w:t>+2,6</w:t>
            </w:r>
          </w:p>
        </w:tc>
        <w:tc>
          <w:tcPr>
            <w:tcW w:w="992" w:type="dxa"/>
          </w:tcPr>
          <w:p w14:paraId="6ADA2681" w14:textId="77777777" w:rsidR="00D4599E" w:rsidRDefault="00D4599E" w:rsidP="00980148">
            <w:pPr>
              <w:pStyle w:val="tabteksts"/>
              <w:tabs>
                <w:tab w:val="decimal" w:pos="458"/>
              </w:tabs>
              <w:jc w:val="right"/>
            </w:pPr>
          </w:p>
        </w:tc>
        <w:tc>
          <w:tcPr>
            <w:tcW w:w="851" w:type="dxa"/>
          </w:tcPr>
          <w:p w14:paraId="4E041F65" w14:textId="77777777" w:rsidR="00D4599E" w:rsidRDefault="00D4599E" w:rsidP="00980148">
            <w:pPr>
              <w:pStyle w:val="tabteksts"/>
              <w:tabs>
                <w:tab w:val="decimal" w:pos="458"/>
              </w:tabs>
              <w:jc w:val="right"/>
            </w:pPr>
          </w:p>
        </w:tc>
        <w:tc>
          <w:tcPr>
            <w:tcW w:w="850" w:type="dxa"/>
          </w:tcPr>
          <w:p w14:paraId="0F353B56" w14:textId="77777777" w:rsidR="00D4599E" w:rsidRDefault="00D4599E" w:rsidP="00980148">
            <w:pPr>
              <w:pStyle w:val="tabteksts"/>
              <w:tabs>
                <w:tab w:val="decimal" w:pos="458"/>
              </w:tabs>
              <w:jc w:val="right"/>
            </w:pPr>
          </w:p>
        </w:tc>
      </w:tr>
      <w:tr w:rsidR="00D4599E" w:rsidRPr="000141D4" w14:paraId="288147B0" w14:textId="77777777" w:rsidTr="003148B4">
        <w:tc>
          <w:tcPr>
            <w:tcW w:w="5637" w:type="dxa"/>
          </w:tcPr>
          <w:p w14:paraId="059BACC8" w14:textId="77777777" w:rsidR="00D4599E" w:rsidRPr="00A65C80" w:rsidRDefault="00D4599E" w:rsidP="00D4599E">
            <w:pPr>
              <w:pStyle w:val="tabteksts"/>
              <w:jc w:val="both"/>
              <w:rPr>
                <w:b/>
              </w:rPr>
            </w:pPr>
            <w:r w:rsidRPr="00A65C80">
              <w:rPr>
                <w:b/>
              </w:rPr>
              <w:t>Izmaiņu ietekme kopā:</w:t>
            </w:r>
          </w:p>
        </w:tc>
        <w:tc>
          <w:tcPr>
            <w:tcW w:w="992" w:type="dxa"/>
          </w:tcPr>
          <w:p w14:paraId="40402DE7" w14:textId="77777777" w:rsidR="00D4599E" w:rsidRPr="00A65C80" w:rsidRDefault="00D4599E" w:rsidP="00980148">
            <w:pPr>
              <w:pStyle w:val="tabteksts"/>
              <w:tabs>
                <w:tab w:val="decimal" w:pos="458"/>
              </w:tabs>
              <w:jc w:val="right"/>
              <w:rPr>
                <w:b/>
              </w:rPr>
            </w:pPr>
            <w:r>
              <w:rPr>
                <w:b/>
              </w:rPr>
              <w:t>-0,8</w:t>
            </w:r>
          </w:p>
        </w:tc>
        <w:tc>
          <w:tcPr>
            <w:tcW w:w="992" w:type="dxa"/>
          </w:tcPr>
          <w:p w14:paraId="792DC810" w14:textId="77777777" w:rsidR="00D4599E" w:rsidRPr="000213E9" w:rsidRDefault="00D4599E" w:rsidP="00980148">
            <w:pPr>
              <w:pStyle w:val="tabteksts"/>
              <w:tabs>
                <w:tab w:val="decimal" w:pos="458"/>
              </w:tabs>
              <w:jc w:val="right"/>
              <w:rPr>
                <w:b/>
              </w:rPr>
            </w:pPr>
            <w:r w:rsidRPr="000213E9">
              <w:rPr>
                <w:b/>
              </w:rPr>
              <w:t>+2,4</w:t>
            </w:r>
          </w:p>
        </w:tc>
        <w:tc>
          <w:tcPr>
            <w:tcW w:w="851" w:type="dxa"/>
          </w:tcPr>
          <w:p w14:paraId="6C610326" w14:textId="77777777" w:rsidR="00D4599E" w:rsidRPr="000213E9" w:rsidRDefault="00D4599E" w:rsidP="00980148">
            <w:pPr>
              <w:pStyle w:val="tabteksts"/>
              <w:tabs>
                <w:tab w:val="decimal" w:pos="458"/>
              </w:tabs>
              <w:jc w:val="right"/>
              <w:rPr>
                <w:b/>
              </w:rPr>
            </w:pPr>
            <w:r w:rsidRPr="000213E9">
              <w:rPr>
                <w:b/>
              </w:rPr>
              <w:t>+3,2</w:t>
            </w:r>
          </w:p>
        </w:tc>
        <w:tc>
          <w:tcPr>
            <w:tcW w:w="850" w:type="dxa"/>
          </w:tcPr>
          <w:p w14:paraId="60C2B407" w14:textId="77777777" w:rsidR="00D4599E" w:rsidRPr="000213E9" w:rsidRDefault="00D4599E" w:rsidP="00980148">
            <w:pPr>
              <w:pStyle w:val="tabteksts"/>
              <w:tabs>
                <w:tab w:val="decimal" w:pos="458"/>
              </w:tabs>
              <w:jc w:val="right"/>
              <w:rPr>
                <w:b/>
              </w:rPr>
            </w:pPr>
            <w:r w:rsidRPr="000213E9">
              <w:rPr>
                <w:b/>
              </w:rPr>
              <w:t>+2,5</w:t>
            </w:r>
          </w:p>
        </w:tc>
      </w:tr>
    </w:tbl>
    <w:p w14:paraId="02A7E7EF" w14:textId="77777777" w:rsidR="00D4599E" w:rsidRDefault="00D4599E" w:rsidP="00D4599E">
      <w:pPr>
        <w:pStyle w:val="H4"/>
        <w:rPr>
          <w:rFonts w:ascii="Times New Roman" w:hAnsi="Times New Roman"/>
          <w:sz w:val="24"/>
          <w:szCs w:val="24"/>
        </w:rPr>
      </w:pPr>
    </w:p>
    <w:p w14:paraId="7E7969C0" w14:textId="77777777" w:rsidR="00D4599E" w:rsidRPr="00F73C4A" w:rsidRDefault="00D4599E" w:rsidP="00D4599E">
      <w:pPr>
        <w:pStyle w:val="H4"/>
        <w:rPr>
          <w:rFonts w:ascii="Times New Roman" w:hAnsi="Times New Roman"/>
          <w:sz w:val="24"/>
          <w:szCs w:val="24"/>
        </w:rPr>
      </w:pPr>
      <w:r w:rsidRPr="00F73C4A">
        <w:rPr>
          <w:rFonts w:ascii="Times New Roman" w:hAnsi="Times New Roman"/>
          <w:sz w:val="24"/>
          <w:szCs w:val="24"/>
        </w:rPr>
        <w:t>Nekustamā īpašuma nodoklis</w:t>
      </w:r>
    </w:p>
    <w:p w14:paraId="12DAF838" w14:textId="77777777" w:rsidR="00D4599E" w:rsidRDefault="00D4599E" w:rsidP="00D4599E">
      <w:r>
        <w:t xml:space="preserve">No 2012.gada pašvaldībām ir tiesības </w:t>
      </w:r>
      <w:r w:rsidRPr="00353480">
        <w:t xml:space="preserve">ar saistošiem noteikumiem noteikt nodokļa likmi no 0,2 līdz 3,0 procentiem no nekustamā īpašuma kadastrālās vērtības. Nodokļa likme var pārsniegt 1,5 procentu robežu tikai gadījumos, ja nekustamais īpašums netiek apsaimniekots atbilstoši normatīvajos aktos noteiktajai kārtībai. Pašvaldības arī ir tiesīgas </w:t>
      </w:r>
      <w:r>
        <w:t>turpināt piemērot nodokļa apmēra pieauguma ierobežojumu zemei vai saglabāt nodokļa apmēru zemei iepriekšējā taksācijas gada līmenī, kā arī noteikt ierobežojuma apmēru un piemērošanas nosacījumus.</w:t>
      </w:r>
      <w:r w:rsidRPr="004C7D34">
        <w:t xml:space="preserve"> </w:t>
      </w:r>
    </w:p>
    <w:p w14:paraId="7571447F" w14:textId="69D68DE4" w:rsidR="00D4599E" w:rsidRPr="00ED7A2C" w:rsidRDefault="00D4599E" w:rsidP="00D4599E">
      <w:pPr>
        <w:rPr>
          <w:highlight w:val="yellow"/>
        </w:rPr>
      </w:pPr>
      <w:r w:rsidRPr="00A17F42">
        <w:t xml:space="preserve">2014. gadā </w:t>
      </w:r>
      <w:r w:rsidR="009A6681">
        <w:t>NĪN</w:t>
      </w:r>
      <w:r w:rsidR="001B6A4A">
        <w:t xml:space="preserve"> </w:t>
      </w:r>
      <w:r w:rsidRPr="00A17F42">
        <w:t>ieņēmumi tiek prognozēti ar 1,5 % pieaugumu salīdzinājumā ar 2013. gadu.</w:t>
      </w:r>
    </w:p>
    <w:p w14:paraId="155DB945" w14:textId="2C89C62F" w:rsidR="00D4599E" w:rsidRDefault="00D4599E" w:rsidP="00D4599E">
      <w:r w:rsidRPr="00784D36">
        <w:t xml:space="preserve">Būtiskākās likumdošanas izmaiņas, kas ir spēkā no 2014. gada 1. janvāra, attiecas uz valsts aizsargājamiem kultūras pieminekļiem, kuriem vairs netiks piemērots atbrīvojums no </w:t>
      </w:r>
      <w:r w:rsidR="009A6681">
        <w:t>NĪN</w:t>
      </w:r>
      <w:r w:rsidRPr="00784D36">
        <w:t xml:space="preserve">, ja </w:t>
      </w:r>
      <w:r w:rsidRPr="00D95C35">
        <w:t xml:space="preserve">Valsts kultūras pieminekļu aizsardzības inspekcija būs konstatējusi, ka attiecīgais </w:t>
      </w:r>
      <w:r w:rsidRPr="00784D36">
        <w:t>ku</w:t>
      </w:r>
      <w:r w:rsidRPr="00D95C35">
        <w:t>ltūras piemineklis netiek uzturēts atbilstoši</w:t>
      </w:r>
      <w:r w:rsidRPr="00784D36">
        <w:t xml:space="preserve"> </w:t>
      </w:r>
      <w:r w:rsidRPr="00D95C35">
        <w:t>kultūras pieminekļu aizsardzības prasībām, un sniegusi par to atzinumu pašvaldībai, kuras teritorijā</w:t>
      </w:r>
      <w:r w:rsidRPr="00784D36">
        <w:t xml:space="preserve"> tas atrodas.</w:t>
      </w:r>
    </w:p>
    <w:p w14:paraId="47994CBB" w14:textId="670E4CE0" w:rsidR="00D4599E" w:rsidRDefault="00D4599E" w:rsidP="00D4599E">
      <w:r>
        <w:t xml:space="preserve">Ar </w:t>
      </w:r>
      <w:r w:rsidR="009A6681">
        <w:t>NĪN</w:t>
      </w:r>
      <w:r w:rsidR="001B6A4A">
        <w:t xml:space="preserve"> </w:t>
      </w:r>
      <w:r>
        <w:t>neapliks Latvijas Brīvo arodbiedrību savienībai piederošās ēkas, kas pastāvīgi tiek izmantotas pamatfunkciju īstenošanai.</w:t>
      </w:r>
    </w:p>
    <w:p w14:paraId="5F217268" w14:textId="4B6051ED" w:rsidR="00D4599E" w:rsidRDefault="009A6681" w:rsidP="00D4599E">
      <w:r>
        <w:t>NĪN</w:t>
      </w:r>
      <w:r w:rsidR="00D4599E">
        <w:t xml:space="preserve"> likmi dzīvojamajām mājām piemēros tikai to komersantu piederošām mājām, dzīvokļiem vai telpu grupām, kuru lietošana saistīta ar dzīvošanu, ja attiecīgais dzīvoklis vai māja būs izīrēta dzīvošanai un īres tiesības nostiprinātas zemesgrāmatā. Citos gadījumos šādiem objektiem tiks piemērota 1,5 procentu likme.</w:t>
      </w:r>
    </w:p>
    <w:p w14:paraId="212EDCC5" w14:textId="77777777" w:rsidR="00D4599E" w:rsidRPr="00C473FD" w:rsidRDefault="00D4599E" w:rsidP="00D4599E">
      <w:pPr>
        <w:pStyle w:val="ListParagraph"/>
        <w:spacing w:after="0" w:line="240" w:lineRule="auto"/>
        <w:ind w:left="0" w:firstLine="567"/>
        <w:contextualSpacing w:val="0"/>
        <w:jc w:val="both"/>
      </w:pPr>
      <w:r w:rsidRPr="00C473FD">
        <w:rPr>
          <w:rFonts w:ascii="Times New Roman" w:hAnsi="Times New Roman"/>
          <w:sz w:val="24"/>
          <w:lang w:val="lv-LV" w:eastAsia="en-US"/>
        </w:rPr>
        <w:t>Mainīta arī nodokļa maksātāja noteikšanas kārtība par valstij vai pašvaldībai piederošu un piekrītošu nekustamo īpašumu.</w:t>
      </w:r>
    </w:p>
    <w:p w14:paraId="1DD83501" w14:textId="77777777" w:rsidR="00D4599E" w:rsidRPr="00C03CA0" w:rsidRDefault="00D4599E" w:rsidP="00D4599E">
      <w:pPr>
        <w:pStyle w:val="H4"/>
        <w:rPr>
          <w:highlight w:val="yellow"/>
        </w:rPr>
      </w:pPr>
    </w:p>
    <w:p w14:paraId="0A762D20" w14:textId="77777777" w:rsidR="00D4599E" w:rsidRPr="00F73C4A" w:rsidRDefault="00D4599E" w:rsidP="00D4599E">
      <w:pPr>
        <w:pStyle w:val="H4"/>
        <w:rPr>
          <w:rFonts w:ascii="Times New Roman" w:hAnsi="Times New Roman"/>
          <w:sz w:val="24"/>
          <w:szCs w:val="24"/>
        </w:rPr>
      </w:pPr>
      <w:r w:rsidRPr="00F73C4A">
        <w:rPr>
          <w:rFonts w:ascii="Times New Roman" w:hAnsi="Times New Roman"/>
          <w:sz w:val="24"/>
          <w:szCs w:val="24"/>
        </w:rPr>
        <w:t>Iedzīvotāju ienākuma nodoklis</w:t>
      </w:r>
    </w:p>
    <w:p w14:paraId="72ADDC38" w14:textId="628FEFC6" w:rsidR="00D4599E" w:rsidRPr="00C847DF" w:rsidRDefault="00D4599E" w:rsidP="00D4599E">
      <w:pPr>
        <w:rPr>
          <w:iCs/>
        </w:rPr>
      </w:pPr>
      <w:r w:rsidRPr="00C847DF">
        <w:rPr>
          <w:iCs/>
        </w:rPr>
        <w:t xml:space="preserve">Sākoties ekonomikas lejupslīdei, 2009. gadā </w:t>
      </w:r>
      <w:r w:rsidR="009A6681">
        <w:rPr>
          <w:iCs/>
        </w:rPr>
        <w:t>IIN</w:t>
      </w:r>
      <w:r w:rsidRPr="00C847DF">
        <w:rPr>
          <w:iCs/>
        </w:rPr>
        <w:t xml:space="preserve"> ieņēmumi būtiski samazinājās, tomēr, ekonomikai </w:t>
      </w:r>
      <w:r>
        <w:rPr>
          <w:iCs/>
        </w:rPr>
        <w:t>atgūstoties</w:t>
      </w:r>
      <w:r w:rsidRPr="00C847DF">
        <w:rPr>
          <w:iCs/>
        </w:rPr>
        <w:t xml:space="preserve">, 2011. gadā </w:t>
      </w:r>
      <w:r w:rsidR="009A6681">
        <w:rPr>
          <w:iCs/>
        </w:rPr>
        <w:t>IIN</w:t>
      </w:r>
      <w:r w:rsidRPr="00C847DF">
        <w:rPr>
          <w:iCs/>
        </w:rPr>
        <w:t xml:space="preserve"> ieņēmumi pieauga, neskatoties uz 2011. gadā veiktajām izmaiņām likumdošanas normās, tai skaitā, likmes samazināšanu no 26% uz 25%, neapliekamā minimuma palielināšanu no </w:t>
      </w:r>
      <w:r>
        <w:rPr>
          <w:iCs/>
        </w:rPr>
        <w:t>49,8 </w:t>
      </w:r>
      <w:proofErr w:type="spellStart"/>
      <w:r w:rsidRPr="00070CAB">
        <w:rPr>
          <w:i/>
          <w:iCs/>
        </w:rPr>
        <w:t>euro</w:t>
      </w:r>
      <w:proofErr w:type="spellEnd"/>
      <w:r w:rsidRPr="00C847DF">
        <w:rPr>
          <w:iCs/>
        </w:rPr>
        <w:t xml:space="preserve"> uz </w:t>
      </w:r>
      <w:r>
        <w:rPr>
          <w:iCs/>
        </w:rPr>
        <w:t>64,03 </w:t>
      </w:r>
      <w:proofErr w:type="spellStart"/>
      <w:r w:rsidRPr="00070CAB">
        <w:rPr>
          <w:i/>
          <w:iCs/>
        </w:rPr>
        <w:t>euro</w:t>
      </w:r>
      <w:proofErr w:type="spellEnd"/>
      <w:r w:rsidRPr="00C847DF">
        <w:rPr>
          <w:iCs/>
        </w:rPr>
        <w:t xml:space="preserve"> mēnesī un atvieglojuma apmēra par apgādībā esošu personu palielināšan</w:t>
      </w:r>
      <w:r>
        <w:rPr>
          <w:iCs/>
        </w:rPr>
        <w:t>u</w:t>
      </w:r>
      <w:r w:rsidRPr="00C847DF">
        <w:rPr>
          <w:iCs/>
        </w:rPr>
        <w:t xml:space="preserve"> no </w:t>
      </w:r>
      <w:r>
        <w:rPr>
          <w:iCs/>
        </w:rPr>
        <w:t>89,64 </w:t>
      </w:r>
      <w:proofErr w:type="spellStart"/>
      <w:r w:rsidRPr="00070CAB">
        <w:rPr>
          <w:i/>
          <w:iCs/>
        </w:rPr>
        <w:t>euro</w:t>
      </w:r>
      <w:proofErr w:type="spellEnd"/>
      <w:r w:rsidRPr="00C847DF">
        <w:rPr>
          <w:iCs/>
        </w:rPr>
        <w:t xml:space="preserve"> uz </w:t>
      </w:r>
      <w:r>
        <w:rPr>
          <w:iCs/>
        </w:rPr>
        <w:t>99,6 </w:t>
      </w:r>
      <w:proofErr w:type="spellStart"/>
      <w:r w:rsidRPr="00070CAB">
        <w:rPr>
          <w:i/>
          <w:iCs/>
        </w:rPr>
        <w:t>euro</w:t>
      </w:r>
      <w:proofErr w:type="spellEnd"/>
      <w:r w:rsidRPr="00C847DF">
        <w:rPr>
          <w:iCs/>
        </w:rPr>
        <w:t xml:space="preserve"> mēnesī.</w:t>
      </w:r>
    </w:p>
    <w:p w14:paraId="12E64802" w14:textId="46EE5B77" w:rsidR="00D4599E" w:rsidRPr="00C847DF" w:rsidRDefault="00D4599E" w:rsidP="00D4599E">
      <w:r w:rsidRPr="00C847DF">
        <w:rPr>
          <w:iCs/>
        </w:rPr>
        <w:t>Vidēja termiņa makroekonomis</w:t>
      </w:r>
      <w:r>
        <w:rPr>
          <w:iCs/>
        </w:rPr>
        <w:t>kās attīstības prognozes 2014. gadā</w:t>
      </w:r>
      <w:r w:rsidRPr="00C847DF">
        <w:rPr>
          <w:iCs/>
        </w:rPr>
        <w:t xml:space="preserve"> paredz</w:t>
      </w:r>
      <w:r>
        <w:rPr>
          <w:iCs/>
        </w:rPr>
        <w:t xml:space="preserve"> stabilu</w:t>
      </w:r>
      <w:r w:rsidRPr="00C847DF">
        <w:rPr>
          <w:iCs/>
        </w:rPr>
        <w:t xml:space="preserve"> darba samaksas fonda palielināšanos, kas savukārt palielinās darba nodokļu ieņē</w:t>
      </w:r>
      <w:r>
        <w:rPr>
          <w:iCs/>
        </w:rPr>
        <w:t>mumus turpmāko gadu laikā, kā arī</w:t>
      </w:r>
      <w:r w:rsidRPr="00C847DF">
        <w:rPr>
          <w:iCs/>
        </w:rPr>
        <w:t xml:space="preserve"> </w:t>
      </w:r>
      <w:r w:rsidR="009A6681">
        <w:rPr>
          <w:iCs/>
        </w:rPr>
        <w:t>IIN</w:t>
      </w:r>
      <w:r w:rsidRPr="00C847DF">
        <w:rPr>
          <w:iCs/>
        </w:rPr>
        <w:t xml:space="preserve"> ieņēmumus ietekmēs veiktās likumdošanas izmaiņas.</w:t>
      </w:r>
    </w:p>
    <w:p w14:paraId="27652B5A" w14:textId="4137CA95" w:rsidR="00D4599E" w:rsidRPr="00C847DF" w:rsidRDefault="00D4599E" w:rsidP="00D4599E">
      <w:pPr>
        <w:rPr>
          <w:iCs/>
        </w:rPr>
      </w:pPr>
      <w:r w:rsidRPr="00C847DF">
        <w:rPr>
          <w:iCs/>
        </w:rPr>
        <w:t xml:space="preserve">2014. gadā </w:t>
      </w:r>
      <w:r w:rsidR="009A6681">
        <w:rPr>
          <w:iCs/>
        </w:rPr>
        <w:t>IIN</w:t>
      </w:r>
      <w:r w:rsidRPr="00C847DF">
        <w:rPr>
          <w:iCs/>
        </w:rPr>
        <w:t xml:space="preserve"> ieņēmumi tiek prognozēti ar 2,4 % pieaugumu attiecībā pret 2013. gadu.</w:t>
      </w:r>
    </w:p>
    <w:p w14:paraId="6F3CDF21" w14:textId="6B9844DC" w:rsidR="00D4599E" w:rsidRPr="001A513C" w:rsidRDefault="00D4599E" w:rsidP="00D4599E">
      <w:pPr>
        <w:rPr>
          <w:iCs/>
        </w:rPr>
      </w:pPr>
      <w:r w:rsidRPr="001A513C">
        <w:rPr>
          <w:iCs/>
        </w:rPr>
        <w:t>2012.gadā 24.maijā pieņemtās likumdošanas izmaiņas paredzēja un</w:t>
      </w:r>
      <w:r w:rsidR="00454C7B">
        <w:rPr>
          <w:iCs/>
        </w:rPr>
        <w:t xml:space="preserve"> tās</w:t>
      </w:r>
      <w:r w:rsidRPr="001A513C">
        <w:rPr>
          <w:iCs/>
        </w:rPr>
        <w:t xml:space="preserve"> tika iekļautas Konverģences programm</w:t>
      </w:r>
      <w:r w:rsidR="00454C7B">
        <w:rPr>
          <w:iCs/>
        </w:rPr>
        <w:t>ā</w:t>
      </w:r>
      <w:r w:rsidR="00AB6336">
        <w:rPr>
          <w:iCs/>
        </w:rPr>
        <w:t xml:space="preserve"> 2013.-2016.gadam</w:t>
      </w:r>
      <w:r w:rsidRPr="001A513C">
        <w:rPr>
          <w:iCs/>
        </w:rPr>
        <w:t>, ka</w:t>
      </w:r>
      <w:r w:rsidR="00454C7B">
        <w:rPr>
          <w:iCs/>
        </w:rPr>
        <w:t>,</w:t>
      </w:r>
      <w:r w:rsidRPr="001A513C">
        <w:rPr>
          <w:iCs/>
        </w:rPr>
        <w:t xml:space="preserve"> sākot jau ar 2014.gadu </w:t>
      </w:r>
      <w:r w:rsidR="009A6681">
        <w:rPr>
          <w:iCs/>
        </w:rPr>
        <w:t>IIN</w:t>
      </w:r>
      <w:r w:rsidRPr="001A513C">
        <w:rPr>
          <w:iCs/>
        </w:rPr>
        <w:t xml:space="preserve"> likme samazinātos par diviem procentpunktiem un 2015.gadā tā būtu 20%, tomēr, lai nodokļu sloga samazinājums dotu lielāku ieguvumu ģimenēm ar bērniem, </w:t>
      </w:r>
      <w:r w:rsidR="00454C7B">
        <w:rPr>
          <w:iCs/>
        </w:rPr>
        <w:t>2013.gadā iepriekš minētā nodokļu reforma tika mainīta.</w:t>
      </w:r>
      <w:r w:rsidRPr="001A513C">
        <w:rPr>
          <w:iCs/>
        </w:rPr>
        <w:t xml:space="preserve"> </w:t>
      </w:r>
    </w:p>
    <w:p w14:paraId="762B945F" w14:textId="77777777" w:rsidR="00454C7B" w:rsidRDefault="00454C7B" w:rsidP="00D4599E">
      <w:pPr>
        <w:rPr>
          <w:iCs/>
        </w:rPr>
      </w:pPr>
      <w:r>
        <w:rPr>
          <w:iCs/>
        </w:rPr>
        <w:t>Ar 2014.gada 1. janvāri likumdošanas izmaiņas paredz, ka IIN likme 2014.gadā sākotnēji plānoto 22% vietā paliek 2013.gada līmenī - 24%, līdz ar to radot pozitīvu fiskālo ietekmi +102,8 milj. </w:t>
      </w:r>
      <w:proofErr w:type="spellStart"/>
      <w:r w:rsidRPr="00397C06">
        <w:rPr>
          <w:i/>
          <w:iCs/>
          <w:szCs w:val="24"/>
        </w:rPr>
        <w:t>euro</w:t>
      </w:r>
      <w:proofErr w:type="spellEnd"/>
      <w:r>
        <w:rPr>
          <w:i/>
          <w:iCs/>
          <w:szCs w:val="24"/>
        </w:rPr>
        <w:t xml:space="preserve"> </w:t>
      </w:r>
      <w:r w:rsidRPr="00522D03">
        <w:rPr>
          <w:iCs/>
          <w:szCs w:val="24"/>
        </w:rPr>
        <w:t>apmērā</w:t>
      </w:r>
      <w:r w:rsidRPr="00397C06">
        <w:rPr>
          <w:iCs/>
        </w:rPr>
        <w:t>.</w:t>
      </w:r>
      <w:r>
        <w:rPr>
          <w:iCs/>
        </w:rPr>
        <w:t xml:space="preserve"> Savukārt 2015.gadā paredzēts, ka IIN likme sākotnēji paredzēto 20% vietā būs 23%, radot fiskālo ietekmi +154,1 milj. </w:t>
      </w:r>
      <w:proofErr w:type="spellStart"/>
      <w:r w:rsidRPr="00397C06">
        <w:rPr>
          <w:i/>
          <w:iCs/>
          <w:szCs w:val="24"/>
        </w:rPr>
        <w:t>euro</w:t>
      </w:r>
      <w:proofErr w:type="spellEnd"/>
      <w:r>
        <w:rPr>
          <w:i/>
          <w:iCs/>
          <w:szCs w:val="24"/>
        </w:rPr>
        <w:t xml:space="preserve"> </w:t>
      </w:r>
      <w:r w:rsidRPr="00522D03">
        <w:rPr>
          <w:iCs/>
          <w:szCs w:val="24"/>
        </w:rPr>
        <w:t>apmērā</w:t>
      </w:r>
      <w:r>
        <w:rPr>
          <w:iCs/>
        </w:rPr>
        <w:t xml:space="preserve"> un 2016.gadā IIN likme būs 22%, iepriekš plānoto 20% vietā, radot fiskālo ietekmi +115,8 milj. </w:t>
      </w:r>
      <w:proofErr w:type="spellStart"/>
      <w:r w:rsidRPr="00397C06">
        <w:rPr>
          <w:i/>
          <w:iCs/>
          <w:szCs w:val="24"/>
        </w:rPr>
        <w:t>euro</w:t>
      </w:r>
      <w:proofErr w:type="spellEnd"/>
      <w:r>
        <w:rPr>
          <w:iCs/>
        </w:rPr>
        <w:t xml:space="preserve"> apmērā.</w:t>
      </w:r>
    </w:p>
    <w:p w14:paraId="0D48E11D" w14:textId="2EC92ABB" w:rsidR="00D4599E" w:rsidRPr="00C847DF" w:rsidRDefault="00454C7B" w:rsidP="00D4599E">
      <w:pPr>
        <w:rPr>
          <w:iCs/>
        </w:rPr>
      </w:pPr>
      <w:r>
        <w:rPr>
          <w:iCs/>
        </w:rPr>
        <w:t>Turpretī</w:t>
      </w:r>
      <w:r w:rsidR="00D4599E" w:rsidRPr="001A513C">
        <w:rPr>
          <w:iCs/>
        </w:rPr>
        <w:t xml:space="preserve"> likumdošanas izmaiņu fiskālā ietekme salīdzinot ar iepriekšējo gadu 2014.gadā ir 0 </w:t>
      </w:r>
      <w:proofErr w:type="spellStart"/>
      <w:r w:rsidR="00D4599E" w:rsidRPr="001A513C">
        <w:rPr>
          <w:i/>
          <w:iCs/>
        </w:rPr>
        <w:t>euro</w:t>
      </w:r>
      <w:proofErr w:type="spellEnd"/>
      <w:r w:rsidR="00D4599E" w:rsidRPr="001A513C">
        <w:rPr>
          <w:iCs/>
        </w:rPr>
        <w:t xml:space="preserve">, jo nodokļu likme netika mainīta, 2015. gadā samazinot </w:t>
      </w:r>
      <w:r>
        <w:rPr>
          <w:iCs/>
        </w:rPr>
        <w:t>likmi</w:t>
      </w:r>
      <w:r w:rsidR="00D4599E" w:rsidRPr="001A513C">
        <w:rPr>
          <w:iCs/>
        </w:rPr>
        <w:t xml:space="preserve"> no 24% uz 23% fiskālā ietekme -48,9 </w:t>
      </w:r>
      <w:r w:rsidR="00D4599E">
        <w:rPr>
          <w:iCs/>
        </w:rPr>
        <w:t xml:space="preserve">milj. </w:t>
      </w:r>
      <w:proofErr w:type="spellStart"/>
      <w:r w:rsidR="00D4599E" w:rsidRPr="001A513C">
        <w:rPr>
          <w:i/>
          <w:iCs/>
        </w:rPr>
        <w:t>euro</w:t>
      </w:r>
      <w:proofErr w:type="spellEnd"/>
      <w:r w:rsidR="00D4599E" w:rsidRPr="001A513C">
        <w:rPr>
          <w:iCs/>
        </w:rPr>
        <w:t xml:space="preserve"> un 2016.gadā samazinot</w:t>
      </w:r>
      <w:r>
        <w:rPr>
          <w:iCs/>
        </w:rPr>
        <w:t xml:space="preserve"> likmi</w:t>
      </w:r>
      <w:r w:rsidR="00D4599E" w:rsidRPr="001A513C">
        <w:rPr>
          <w:iCs/>
        </w:rPr>
        <w:t xml:space="preserve"> no 23% uz 22% fiskālā ietekme ir -53,4 </w:t>
      </w:r>
      <w:r w:rsidR="00D4599E">
        <w:rPr>
          <w:iCs/>
        </w:rPr>
        <w:t xml:space="preserve">milj. </w:t>
      </w:r>
      <w:proofErr w:type="spellStart"/>
      <w:r w:rsidR="00D4599E" w:rsidRPr="001A513C">
        <w:rPr>
          <w:i/>
          <w:iCs/>
        </w:rPr>
        <w:t>euro</w:t>
      </w:r>
      <w:proofErr w:type="spellEnd"/>
      <w:r w:rsidR="00D4599E" w:rsidRPr="001A513C">
        <w:rPr>
          <w:iCs/>
        </w:rPr>
        <w:t>.</w:t>
      </w:r>
    </w:p>
    <w:p w14:paraId="3FF0CD35" w14:textId="77777777" w:rsidR="00D4599E" w:rsidRDefault="00D4599E" w:rsidP="00D4599E">
      <w:pPr>
        <w:rPr>
          <w:iCs/>
        </w:rPr>
      </w:pPr>
      <w:r w:rsidRPr="00C847DF">
        <w:rPr>
          <w:iCs/>
        </w:rPr>
        <w:t xml:space="preserve">2014. gada 1. janvārī stājas spēkā likumdošanas izmaiņas, kas paredz paaugstināt atvieglojuma apmēru par apgādībā esošu personu </w:t>
      </w:r>
      <w:r>
        <w:rPr>
          <w:iCs/>
        </w:rPr>
        <w:t>no 113,83 </w:t>
      </w:r>
      <w:proofErr w:type="spellStart"/>
      <w:r w:rsidRPr="00070CAB">
        <w:rPr>
          <w:i/>
          <w:iCs/>
          <w:szCs w:val="24"/>
        </w:rPr>
        <w:t>euro</w:t>
      </w:r>
      <w:proofErr w:type="spellEnd"/>
      <w:r>
        <w:rPr>
          <w:iCs/>
        </w:rPr>
        <w:t xml:space="preserve"> uz 165 </w:t>
      </w:r>
      <w:proofErr w:type="spellStart"/>
      <w:r w:rsidRPr="00070CAB">
        <w:rPr>
          <w:i/>
          <w:iCs/>
          <w:szCs w:val="24"/>
        </w:rPr>
        <w:t>euro</w:t>
      </w:r>
      <w:proofErr w:type="spellEnd"/>
      <w:r>
        <w:rPr>
          <w:iCs/>
        </w:rPr>
        <w:t xml:space="preserve"> un neapliekamo minimumu no 64,03 </w:t>
      </w:r>
      <w:proofErr w:type="spellStart"/>
      <w:r w:rsidRPr="00070CAB">
        <w:rPr>
          <w:i/>
          <w:iCs/>
          <w:szCs w:val="24"/>
        </w:rPr>
        <w:t>euro</w:t>
      </w:r>
      <w:proofErr w:type="spellEnd"/>
      <w:r>
        <w:rPr>
          <w:iCs/>
        </w:rPr>
        <w:t xml:space="preserve"> uz 75,00 </w:t>
      </w:r>
      <w:proofErr w:type="spellStart"/>
      <w:r w:rsidRPr="00070CAB">
        <w:rPr>
          <w:i/>
          <w:iCs/>
          <w:szCs w:val="24"/>
        </w:rPr>
        <w:t>euro</w:t>
      </w:r>
      <w:proofErr w:type="spellEnd"/>
      <w:r>
        <w:rPr>
          <w:iCs/>
        </w:rPr>
        <w:t>.</w:t>
      </w:r>
    </w:p>
    <w:p w14:paraId="13FD4286" w14:textId="2A7DC90C" w:rsidR="00D4599E" w:rsidRDefault="009A6681" w:rsidP="00D4599E">
      <w:pPr>
        <w:pStyle w:val="ListParagraph"/>
        <w:spacing w:after="0" w:line="240" w:lineRule="auto"/>
        <w:ind w:left="0" w:firstLine="567"/>
        <w:jc w:val="both"/>
        <w:rPr>
          <w:rFonts w:ascii="Times New Roman" w:hAnsi="Times New Roman"/>
          <w:iCs/>
          <w:sz w:val="24"/>
          <w:lang w:val="lv-LV" w:eastAsia="en-US"/>
        </w:rPr>
      </w:pPr>
      <w:r>
        <w:rPr>
          <w:rFonts w:ascii="Times New Roman" w:hAnsi="Times New Roman"/>
          <w:iCs/>
          <w:sz w:val="24"/>
          <w:lang w:val="lv-LV" w:eastAsia="en-US"/>
        </w:rPr>
        <w:t>IIN</w:t>
      </w:r>
      <w:r w:rsidR="00D4599E" w:rsidRPr="00387278">
        <w:rPr>
          <w:rFonts w:ascii="Times New Roman" w:hAnsi="Times New Roman"/>
          <w:iCs/>
          <w:sz w:val="24"/>
          <w:lang w:val="lv-LV" w:eastAsia="en-US"/>
        </w:rPr>
        <w:t xml:space="preserve"> ieņēmumus ietekmēs</w:t>
      </w:r>
      <w:r w:rsidR="00D4599E">
        <w:rPr>
          <w:rFonts w:ascii="Times New Roman" w:hAnsi="Times New Roman"/>
          <w:iCs/>
          <w:sz w:val="24"/>
          <w:lang w:val="lv-LV" w:eastAsia="en-US"/>
        </w:rPr>
        <w:t xml:space="preserve"> arī citas </w:t>
      </w:r>
      <w:r w:rsidR="00D4599E" w:rsidRPr="00387278">
        <w:rPr>
          <w:rFonts w:ascii="Times New Roman" w:hAnsi="Times New Roman"/>
          <w:iCs/>
          <w:sz w:val="24"/>
          <w:lang w:val="lv-LV" w:eastAsia="en-US"/>
        </w:rPr>
        <w:t>likumdošanas izmaiņas, kas paredz</w:t>
      </w:r>
      <w:r w:rsidR="00D4599E">
        <w:rPr>
          <w:rFonts w:ascii="Times New Roman" w:hAnsi="Times New Roman"/>
          <w:iCs/>
          <w:sz w:val="24"/>
          <w:lang w:val="lv-LV" w:eastAsia="en-US"/>
        </w:rPr>
        <w:t>:</w:t>
      </w:r>
    </w:p>
    <w:p w14:paraId="75EDC11A"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sidRPr="00387278">
        <w:rPr>
          <w:rFonts w:ascii="Times New Roman" w:hAnsi="Times New Roman"/>
          <w:iCs/>
          <w:sz w:val="24"/>
          <w:lang w:val="lv-LV" w:eastAsia="en-US"/>
        </w:rPr>
        <w:t>minimālās darba algas palielināšanu no 284,57 </w:t>
      </w:r>
      <w:proofErr w:type="spellStart"/>
      <w:r w:rsidRPr="00070CAB">
        <w:rPr>
          <w:rFonts w:ascii="Times New Roman" w:hAnsi="Times New Roman"/>
          <w:i/>
          <w:iCs/>
          <w:sz w:val="24"/>
          <w:lang w:val="lv-LV" w:eastAsia="en-US"/>
        </w:rPr>
        <w:t>euro</w:t>
      </w:r>
      <w:proofErr w:type="spellEnd"/>
      <w:r w:rsidRPr="00387278">
        <w:rPr>
          <w:rFonts w:ascii="Times New Roman" w:hAnsi="Times New Roman"/>
          <w:iCs/>
          <w:sz w:val="24"/>
          <w:lang w:val="lv-LV" w:eastAsia="en-US"/>
        </w:rPr>
        <w:t xml:space="preserve"> līdz 320 </w:t>
      </w:r>
      <w:proofErr w:type="spellStart"/>
      <w:r w:rsidRPr="00C473FD">
        <w:rPr>
          <w:rFonts w:ascii="Times New Roman" w:hAnsi="Times New Roman"/>
          <w:i/>
          <w:iCs/>
          <w:sz w:val="24"/>
          <w:lang w:val="lv-LV" w:eastAsia="en-US"/>
        </w:rPr>
        <w:t>euro</w:t>
      </w:r>
      <w:proofErr w:type="spellEnd"/>
      <w:r>
        <w:rPr>
          <w:rFonts w:ascii="Times New Roman" w:hAnsi="Times New Roman"/>
          <w:iCs/>
          <w:sz w:val="24"/>
          <w:lang w:val="lv-LV" w:eastAsia="en-US"/>
        </w:rPr>
        <w:t>;</w:t>
      </w:r>
    </w:p>
    <w:p w14:paraId="3D160C04"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sidRPr="00387278">
        <w:rPr>
          <w:rFonts w:ascii="Times New Roman" w:hAnsi="Times New Roman"/>
          <w:iCs/>
          <w:sz w:val="24"/>
          <w:lang w:val="lv-LV" w:eastAsia="en-US"/>
        </w:rPr>
        <w:t>valsts sociālās apdrošinā</w:t>
      </w:r>
      <w:r>
        <w:rPr>
          <w:rFonts w:ascii="Times New Roman" w:hAnsi="Times New Roman"/>
          <w:iCs/>
          <w:sz w:val="24"/>
          <w:lang w:val="lv-LV" w:eastAsia="en-US"/>
        </w:rPr>
        <w:t>šanas iemaksu griestu noteikšanu;</w:t>
      </w:r>
    </w:p>
    <w:p w14:paraId="11D7BBD0"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Pr>
          <w:rFonts w:ascii="Times New Roman" w:hAnsi="Times New Roman"/>
          <w:iCs/>
          <w:sz w:val="24"/>
          <w:lang w:val="lv-LV" w:eastAsia="en-US"/>
        </w:rPr>
        <w:t>pensiju indeksāciju;</w:t>
      </w:r>
    </w:p>
    <w:p w14:paraId="1C4CE38C"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Pr>
          <w:rFonts w:ascii="Times New Roman" w:hAnsi="Times New Roman"/>
          <w:iCs/>
          <w:sz w:val="24"/>
          <w:lang w:val="lv-LV" w:eastAsia="en-US"/>
        </w:rPr>
        <w:t>k</w:t>
      </w:r>
      <w:r w:rsidRPr="00387278">
        <w:rPr>
          <w:rFonts w:ascii="Times New Roman" w:hAnsi="Times New Roman"/>
          <w:iCs/>
          <w:sz w:val="24"/>
          <w:lang w:val="lv-LV" w:eastAsia="en-US"/>
        </w:rPr>
        <w:t>apitāla nod</w:t>
      </w:r>
      <w:r>
        <w:rPr>
          <w:rFonts w:ascii="Times New Roman" w:hAnsi="Times New Roman"/>
          <w:iCs/>
          <w:sz w:val="24"/>
          <w:lang w:val="lv-LV" w:eastAsia="en-US"/>
        </w:rPr>
        <w:t>okļa administrēšanas uzlabošanu;</w:t>
      </w:r>
    </w:p>
    <w:p w14:paraId="4CC22230"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sidRPr="00387278">
        <w:rPr>
          <w:rFonts w:ascii="Times New Roman" w:hAnsi="Times New Roman"/>
          <w:iCs/>
          <w:sz w:val="24"/>
          <w:lang w:val="lv-LV" w:eastAsia="en-US"/>
        </w:rPr>
        <w:t>VID adminis</w:t>
      </w:r>
      <w:r>
        <w:rPr>
          <w:rFonts w:ascii="Times New Roman" w:hAnsi="Times New Roman"/>
          <w:iCs/>
          <w:sz w:val="24"/>
          <w:lang w:val="lv-LV" w:eastAsia="en-US"/>
        </w:rPr>
        <w:t>trēšanas kapacitātes uzlabošanu;</w:t>
      </w:r>
    </w:p>
    <w:p w14:paraId="4EA66B58" w14:textId="369691CC"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sidRPr="00387278">
        <w:rPr>
          <w:rFonts w:ascii="Times New Roman" w:hAnsi="Times New Roman"/>
          <w:iCs/>
          <w:sz w:val="24"/>
          <w:lang w:val="lv-LV" w:eastAsia="en-US"/>
        </w:rPr>
        <w:t>2014., 2015</w:t>
      </w:r>
      <w:r>
        <w:rPr>
          <w:rFonts w:ascii="Times New Roman" w:hAnsi="Times New Roman"/>
          <w:iCs/>
          <w:sz w:val="24"/>
          <w:lang w:val="lv-LV" w:eastAsia="en-US"/>
        </w:rPr>
        <w:t xml:space="preserve">. un 2016.gadā no </w:t>
      </w:r>
      <w:r w:rsidR="009A6681">
        <w:rPr>
          <w:rFonts w:ascii="Times New Roman" w:hAnsi="Times New Roman"/>
          <w:iCs/>
          <w:sz w:val="24"/>
          <w:lang w:val="lv-LV" w:eastAsia="en-US"/>
        </w:rPr>
        <w:t>IIN</w:t>
      </w:r>
      <w:r>
        <w:rPr>
          <w:rFonts w:ascii="Times New Roman" w:hAnsi="Times New Roman"/>
          <w:iCs/>
          <w:sz w:val="24"/>
          <w:lang w:val="lv-LV" w:eastAsia="en-US"/>
        </w:rPr>
        <w:t xml:space="preserve"> atbrīvojot</w:t>
      </w:r>
      <w:r w:rsidRPr="00387278">
        <w:rPr>
          <w:rFonts w:ascii="Times New Roman" w:hAnsi="Times New Roman"/>
          <w:iCs/>
          <w:sz w:val="24"/>
          <w:lang w:val="lv-LV" w:eastAsia="en-US"/>
        </w:rPr>
        <w:t xml:space="preserve"> saņemtās summas, kas izmaksātas kā valsts vai ES atbalsts lauksa</w:t>
      </w:r>
      <w:r>
        <w:rPr>
          <w:rFonts w:ascii="Times New Roman" w:hAnsi="Times New Roman"/>
          <w:iCs/>
          <w:sz w:val="24"/>
          <w:lang w:val="lv-LV" w:eastAsia="en-US"/>
        </w:rPr>
        <w:t>imniecībai un lauku attīstībai;</w:t>
      </w:r>
    </w:p>
    <w:p w14:paraId="6170FBFD" w14:textId="77777777" w:rsidR="00D4599E" w:rsidRDefault="00D4599E" w:rsidP="00D4599E">
      <w:pPr>
        <w:pStyle w:val="ListParagraph"/>
        <w:numPr>
          <w:ilvl w:val="0"/>
          <w:numId w:val="20"/>
        </w:numPr>
        <w:spacing w:after="0" w:line="240" w:lineRule="auto"/>
        <w:jc w:val="both"/>
        <w:rPr>
          <w:rFonts w:ascii="Times New Roman" w:hAnsi="Times New Roman"/>
          <w:iCs/>
          <w:sz w:val="24"/>
          <w:lang w:val="lv-LV" w:eastAsia="en-US"/>
        </w:rPr>
      </w:pPr>
      <w:r>
        <w:rPr>
          <w:rFonts w:ascii="Times New Roman" w:hAnsi="Times New Roman"/>
          <w:iCs/>
          <w:sz w:val="24"/>
          <w:lang w:val="lv-LV" w:eastAsia="en-US"/>
        </w:rPr>
        <w:t>p</w:t>
      </w:r>
      <w:r w:rsidRPr="00387278">
        <w:rPr>
          <w:rFonts w:ascii="Times New Roman" w:hAnsi="Times New Roman"/>
          <w:iCs/>
          <w:sz w:val="24"/>
          <w:lang w:val="lv-LV" w:eastAsia="en-US"/>
        </w:rPr>
        <w:t>ensionāra (mēneša)</w:t>
      </w:r>
      <w:r>
        <w:rPr>
          <w:rFonts w:ascii="Times New Roman" w:hAnsi="Times New Roman"/>
          <w:iCs/>
          <w:sz w:val="24"/>
          <w:lang w:val="lv-LV" w:eastAsia="en-US"/>
        </w:rPr>
        <w:t xml:space="preserve"> neapliekamā minimuma un p</w:t>
      </w:r>
      <w:r w:rsidRPr="00387278">
        <w:rPr>
          <w:rFonts w:ascii="Times New Roman" w:hAnsi="Times New Roman"/>
          <w:iCs/>
          <w:sz w:val="24"/>
          <w:lang w:val="lv-LV" w:eastAsia="en-US"/>
        </w:rPr>
        <w:t>apildu</w:t>
      </w:r>
      <w:r>
        <w:rPr>
          <w:rFonts w:ascii="Times New Roman" w:hAnsi="Times New Roman"/>
          <w:iCs/>
          <w:sz w:val="24"/>
          <w:lang w:val="lv-LV" w:eastAsia="en-US"/>
        </w:rPr>
        <w:t>s atvieglojuma</w:t>
      </w:r>
      <w:r w:rsidRPr="00387278">
        <w:rPr>
          <w:rFonts w:ascii="Times New Roman" w:hAnsi="Times New Roman"/>
          <w:iCs/>
          <w:sz w:val="24"/>
          <w:lang w:val="lv-LV" w:eastAsia="en-US"/>
        </w:rPr>
        <w:t xml:space="preserve"> invalīdiem, politiski represētām personām un nacionālās pretošanās kus</w:t>
      </w:r>
      <w:r>
        <w:rPr>
          <w:rFonts w:ascii="Times New Roman" w:hAnsi="Times New Roman"/>
          <w:iCs/>
          <w:sz w:val="24"/>
          <w:lang w:val="lv-LV" w:eastAsia="en-US"/>
        </w:rPr>
        <w:t>tības dalībniekiem izteikšana</w:t>
      </w:r>
      <w:r w:rsidRPr="00387278">
        <w:rPr>
          <w:rFonts w:ascii="Times New Roman" w:hAnsi="Times New Roman"/>
          <w:iCs/>
          <w:sz w:val="24"/>
          <w:lang w:val="lv-LV" w:eastAsia="en-US"/>
        </w:rPr>
        <w:t xml:space="preserve"> veselos </w:t>
      </w:r>
      <w:proofErr w:type="spellStart"/>
      <w:r w:rsidRPr="00070CAB">
        <w:rPr>
          <w:rFonts w:ascii="Times New Roman" w:hAnsi="Times New Roman"/>
          <w:i/>
          <w:iCs/>
          <w:sz w:val="24"/>
          <w:lang w:val="lv-LV" w:eastAsia="en-US"/>
        </w:rPr>
        <w:t>euro</w:t>
      </w:r>
      <w:proofErr w:type="spellEnd"/>
      <w:r w:rsidRPr="00387278">
        <w:rPr>
          <w:rFonts w:ascii="Times New Roman" w:hAnsi="Times New Roman"/>
          <w:iCs/>
          <w:sz w:val="24"/>
          <w:lang w:val="lv-LV" w:eastAsia="en-US"/>
        </w:rPr>
        <w:t>, noapaļošanu veicot par labu nodokļa</w:t>
      </w:r>
      <w:r>
        <w:rPr>
          <w:rFonts w:ascii="Times New Roman" w:hAnsi="Times New Roman"/>
          <w:iCs/>
          <w:sz w:val="24"/>
          <w:lang w:val="lv-LV" w:eastAsia="en-US"/>
        </w:rPr>
        <w:t xml:space="preserve"> maksātājam</w:t>
      </w:r>
      <w:r w:rsidRPr="00387278">
        <w:rPr>
          <w:rFonts w:ascii="Times New Roman" w:hAnsi="Times New Roman"/>
          <w:iCs/>
          <w:sz w:val="24"/>
          <w:lang w:val="lv-LV" w:eastAsia="en-US"/>
        </w:rPr>
        <w:t>.</w:t>
      </w:r>
      <w:r>
        <w:rPr>
          <w:rFonts w:ascii="Times New Roman" w:hAnsi="Times New Roman"/>
          <w:iCs/>
          <w:sz w:val="24"/>
          <w:lang w:val="lv-LV" w:eastAsia="en-US"/>
        </w:rPr>
        <w:t xml:space="preserve"> </w:t>
      </w:r>
    </w:p>
    <w:p w14:paraId="467FFDC3" w14:textId="4964210A" w:rsidR="00D4599E" w:rsidRDefault="009A6681" w:rsidP="00D4599E">
      <w:pPr>
        <w:pStyle w:val="ListParagraph"/>
        <w:spacing w:after="0" w:line="240" w:lineRule="auto"/>
        <w:ind w:left="0" w:firstLine="567"/>
        <w:jc w:val="both"/>
        <w:rPr>
          <w:rFonts w:ascii="Times New Roman" w:hAnsi="Times New Roman"/>
          <w:iCs/>
          <w:sz w:val="24"/>
          <w:lang w:val="lv-LV" w:eastAsia="en-US"/>
        </w:rPr>
      </w:pPr>
      <w:r>
        <w:rPr>
          <w:rFonts w:ascii="Times New Roman" w:hAnsi="Times New Roman"/>
          <w:iCs/>
          <w:sz w:val="24"/>
          <w:lang w:val="lv-LV" w:eastAsia="en-US"/>
        </w:rPr>
        <w:t>IIN</w:t>
      </w:r>
      <w:r w:rsidR="00D4599E">
        <w:rPr>
          <w:rFonts w:ascii="Times New Roman" w:hAnsi="Times New Roman"/>
          <w:iCs/>
          <w:sz w:val="24"/>
          <w:lang w:val="lv-LV" w:eastAsia="en-US"/>
        </w:rPr>
        <w:t xml:space="preserve"> ieņēmumus arī ietekmēs ēnu ekonomikas apkarošanas pasākumi, kā</w:t>
      </w:r>
      <w:r w:rsidR="00D4599E" w:rsidRPr="00387278">
        <w:rPr>
          <w:rFonts w:ascii="Times New Roman" w:hAnsi="Times New Roman"/>
          <w:iCs/>
          <w:sz w:val="24"/>
          <w:lang w:val="lv-LV" w:eastAsia="en-US"/>
        </w:rPr>
        <w:t xml:space="preserve"> saimnieciskās darbības veicēju (kuru pamatdarbība nav aizdevumu izsniegšana) izsniegto aizde</w:t>
      </w:r>
      <w:r w:rsidR="00D4599E">
        <w:rPr>
          <w:rFonts w:ascii="Times New Roman" w:hAnsi="Times New Roman"/>
          <w:iCs/>
          <w:sz w:val="24"/>
          <w:lang w:val="lv-LV" w:eastAsia="en-US"/>
        </w:rPr>
        <w:t>vumu un v</w:t>
      </w:r>
      <w:r w:rsidR="00D4599E" w:rsidRPr="00387278">
        <w:rPr>
          <w:rFonts w:ascii="Times New Roman" w:hAnsi="Times New Roman"/>
          <w:iCs/>
          <w:sz w:val="24"/>
          <w:lang w:val="lv-LV" w:eastAsia="en-US"/>
        </w:rPr>
        <w:t>aldes locekļu minimāl</w:t>
      </w:r>
      <w:r w:rsidR="00D4599E">
        <w:rPr>
          <w:rFonts w:ascii="Times New Roman" w:hAnsi="Times New Roman"/>
          <w:iCs/>
          <w:sz w:val="24"/>
          <w:lang w:val="lv-LV" w:eastAsia="en-US"/>
        </w:rPr>
        <w:t>ās darba algas aplikšanu ar iedzīvotāju ienākuma nodokli.</w:t>
      </w:r>
      <w:r w:rsidR="00D4599E" w:rsidRPr="00387278">
        <w:rPr>
          <w:rFonts w:ascii="Times New Roman" w:hAnsi="Times New Roman"/>
          <w:iCs/>
          <w:sz w:val="24"/>
          <w:lang w:val="lv-LV" w:eastAsia="en-US"/>
        </w:rPr>
        <w:t xml:space="preserve"> </w:t>
      </w:r>
    </w:p>
    <w:p w14:paraId="37370E69" w14:textId="12F1340F" w:rsidR="00D4599E" w:rsidRPr="00387278" w:rsidRDefault="00D4599E" w:rsidP="00D4599E">
      <w:pPr>
        <w:pStyle w:val="ListParagraph"/>
        <w:spacing w:after="0" w:line="240" w:lineRule="auto"/>
        <w:ind w:left="0" w:firstLine="567"/>
        <w:jc w:val="both"/>
        <w:rPr>
          <w:rFonts w:ascii="Times New Roman" w:hAnsi="Times New Roman"/>
          <w:iCs/>
          <w:sz w:val="24"/>
          <w:lang w:val="lv-LV" w:eastAsia="en-US"/>
        </w:rPr>
      </w:pPr>
      <w:r>
        <w:rPr>
          <w:rFonts w:ascii="Times New Roman" w:hAnsi="Times New Roman"/>
          <w:iCs/>
          <w:sz w:val="24"/>
          <w:lang w:val="lv-LV" w:eastAsia="en-US"/>
        </w:rPr>
        <w:t xml:space="preserve">Būtiskākās un fiskāli ietilpīgākās likumdošanas izmaiņas ir atspoguļotas </w:t>
      </w:r>
      <w:r w:rsidR="0037075E">
        <w:rPr>
          <w:rFonts w:ascii="Times New Roman" w:hAnsi="Times New Roman"/>
          <w:iCs/>
          <w:sz w:val="24"/>
          <w:lang w:val="lv-LV" w:eastAsia="en-US"/>
        </w:rPr>
        <w:t>6.5</w:t>
      </w:r>
      <w:r>
        <w:rPr>
          <w:rFonts w:ascii="Times New Roman" w:hAnsi="Times New Roman"/>
          <w:iCs/>
          <w:sz w:val="24"/>
          <w:lang w:val="lv-LV" w:eastAsia="en-US"/>
        </w:rPr>
        <w:t>.tabulā.</w:t>
      </w:r>
    </w:p>
    <w:p w14:paraId="5630B38D" w14:textId="77777777" w:rsidR="00D4599E" w:rsidRDefault="00D4599E" w:rsidP="00D4599E">
      <w:pPr>
        <w:pStyle w:val="T"/>
        <w:jc w:val="right"/>
        <w:rPr>
          <w:rFonts w:ascii="Times New Roman" w:hAnsi="Times New Roman"/>
          <w:b w:val="0"/>
        </w:rPr>
      </w:pPr>
    </w:p>
    <w:p w14:paraId="25650729" w14:textId="533A9604" w:rsidR="00D4599E" w:rsidRPr="00D4599E" w:rsidRDefault="00D4599E" w:rsidP="00D4599E">
      <w:pPr>
        <w:pStyle w:val="T"/>
        <w:ind w:left="0"/>
        <w:jc w:val="right"/>
        <w:rPr>
          <w:rFonts w:ascii="Times New Roman" w:hAnsi="Times New Roman"/>
        </w:rPr>
      </w:pPr>
      <w:r w:rsidRPr="00D4599E">
        <w:rPr>
          <w:rFonts w:ascii="Times New Roman" w:hAnsi="Times New Roman"/>
        </w:rPr>
        <w:t>6.</w:t>
      </w:r>
      <w:r w:rsidR="0037075E">
        <w:rPr>
          <w:rFonts w:ascii="Times New Roman" w:hAnsi="Times New Roman"/>
        </w:rPr>
        <w:t>5</w:t>
      </w:r>
      <w:r w:rsidRPr="00D4599E">
        <w:rPr>
          <w:rFonts w:ascii="Times New Roman" w:hAnsi="Times New Roman"/>
        </w:rPr>
        <w:t>. tabula. Nodokļu politikas būtiskāko izmaiņu ietekme</w:t>
      </w:r>
      <w:r w:rsidR="00AB6336">
        <w:rPr>
          <w:rFonts w:ascii="Times New Roman" w:hAnsi="Times New Roman"/>
        </w:rPr>
        <w:t xml:space="preserve"> </w:t>
      </w:r>
      <w:r w:rsidRPr="00D4599E">
        <w:rPr>
          <w:rFonts w:ascii="Times New Roman" w:hAnsi="Times New Roman"/>
        </w:rPr>
        <w:t xml:space="preserve">uz </w:t>
      </w:r>
      <w:r w:rsidR="00AB6336">
        <w:rPr>
          <w:rFonts w:ascii="Times New Roman" w:hAnsi="Times New Roman"/>
        </w:rPr>
        <w:t>IIN</w:t>
      </w:r>
      <w:r w:rsidRPr="00D4599E">
        <w:rPr>
          <w:rFonts w:ascii="Times New Roman" w:hAnsi="Times New Roman"/>
        </w:rPr>
        <w:t xml:space="preserve"> ieņēmumiem, milj. </w:t>
      </w:r>
      <w:proofErr w:type="spellStart"/>
      <w:r w:rsidRPr="00D4599E">
        <w:rPr>
          <w:rFonts w:ascii="Times New Roman" w:hAnsi="Times New Roman"/>
          <w:i/>
        </w:rPr>
        <w:t>euro</w:t>
      </w:r>
      <w:proofErr w:type="spellEnd"/>
    </w:p>
    <w:tbl>
      <w:tblPr>
        <w:tblStyle w:val="TableGrid"/>
        <w:tblW w:w="8843"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150"/>
        <w:gridCol w:w="993"/>
        <w:gridCol w:w="850"/>
        <w:gridCol w:w="850"/>
      </w:tblGrid>
      <w:tr w:rsidR="00454C7B" w:rsidRPr="00387278" w14:paraId="5858A2DA" w14:textId="7AD14403" w:rsidTr="00454C7B">
        <w:trPr>
          <w:jc w:val="center"/>
        </w:trPr>
        <w:tc>
          <w:tcPr>
            <w:tcW w:w="6150" w:type="dxa"/>
          </w:tcPr>
          <w:p w14:paraId="2FD068B1" w14:textId="77777777" w:rsidR="00454C7B" w:rsidRPr="00387278" w:rsidRDefault="00454C7B" w:rsidP="00454C7B">
            <w:pPr>
              <w:pStyle w:val="tabteksts"/>
            </w:pPr>
          </w:p>
        </w:tc>
        <w:tc>
          <w:tcPr>
            <w:tcW w:w="993" w:type="dxa"/>
          </w:tcPr>
          <w:p w14:paraId="694D1C00" w14:textId="77777777" w:rsidR="00454C7B" w:rsidRPr="00387278" w:rsidRDefault="00454C7B" w:rsidP="00454C7B">
            <w:pPr>
              <w:pStyle w:val="tabteksts"/>
              <w:tabs>
                <w:tab w:val="decimal" w:pos="-12114"/>
              </w:tabs>
              <w:jc w:val="center"/>
              <w:rPr>
                <w:b/>
              </w:rPr>
            </w:pPr>
            <w:r w:rsidRPr="00387278">
              <w:rPr>
                <w:b/>
              </w:rPr>
              <w:t>2014</w:t>
            </w:r>
          </w:p>
        </w:tc>
        <w:tc>
          <w:tcPr>
            <w:tcW w:w="850" w:type="dxa"/>
          </w:tcPr>
          <w:p w14:paraId="4E3813B3" w14:textId="77777777" w:rsidR="00454C7B" w:rsidRPr="00387278" w:rsidRDefault="00454C7B" w:rsidP="00454C7B">
            <w:pPr>
              <w:pStyle w:val="tabteksts"/>
              <w:tabs>
                <w:tab w:val="decimal" w:pos="-12114"/>
              </w:tabs>
              <w:jc w:val="center"/>
              <w:rPr>
                <w:b/>
              </w:rPr>
            </w:pPr>
            <w:r w:rsidRPr="00387278">
              <w:rPr>
                <w:b/>
              </w:rPr>
              <w:t>2015</w:t>
            </w:r>
          </w:p>
        </w:tc>
        <w:tc>
          <w:tcPr>
            <w:tcW w:w="850" w:type="dxa"/>
          </w:tcPr>
          <w:p w14:paraId="454712DF" w14:textId="73650A46" w:rsidR="00454C7B" w:rsidRPr="00387278" w:rsidRDefault="00454C7B" w:rsidP="00454C7B">
            <w:pPr>
              <w:pStyle w:val="tabteksts"/>
              <w:tabs>
                <w:tab w:val="decimal" w:pos="-12114"/>
              </w:tabs>
              <w:jc w:val="center"/>
              <w:rPr>
                <w:b/>
              </w:rPr>
            </w:pPr>
            <w:r>
              <w:rPr>
                <w:b/>
              </w:rPr>
              <w:t>2016</w:t>
            </w:r>
          </w:p>
        </w:tc>
      </w:tr>
      <w:tr w:rsidR="00454C7B" w:rsidRPr="00387278" w14:paraId="6BBF9FF9" w14:textId="14A6BB6B" w:rsidTr="00454C7B">
        <w:trPr>
          <w:jc w:val="center"/>
        </w:trPr>
        <w:tc>
          <w:tcPr>
            <w:tcW w:w="6150" w:type="dxa"/>
          </w:tcPr>
          <w:p w14:paraId="772DE5FA" w14:textId="421EC2B2" w:rsidR="00454C7B" w:rsidRPr="00387278" w:rsidRDefault="00454C7B" w:rsidP="00AB6336">
            <w:pPr>
              <w:pStyle w:val="tabteksts"/>
              <w:jc w:val="both"/>
            </w:pPr>
            <w:r>
              <w:t>IIN likmes izmaiņas</w:t>
            </w:r>
            <w:r>
              <w:rPr>
                <w:rStyle w:val="FootnoteReference"/>
                <w:i/>
              </w:rPr>
              <w:footnoteReference w:id="14"/>
            </w:r>
          </w:p>
        </w:tc>
        <w:tc>
          <w:tcPr>
            <w:tcW w:w="993" w:type="dxa"/>
          </w:tcPr>
          <w:p w14:paraId="36DC8EFF" w14:textId="314D82BB" w:rsidR="00454C7B" w:rsidRPr="00387278" w:rsidRDefault="00454C7B" w:rsidP="00454C7B">
            <w:pPr>
              <w:pStyle w:val="tabteksts"/>
              <w:tabs>
                <w:tab w:val="decimal" w:pos="-12114"/>
              </w:tabs>
              <w:jc w:val="right"/>
              <w:rPr>
                <w:b/>
              </w:rPr>
            </w:pPr>
            <w:r>
              <w:t>+</w:t>
            </w:r>
            <w:r w:rsidRPr="00EE576D">
              <w:t>102,8</w:t>
            </w:r>
          </w:p>
        </w:tc>
        <w:tc>
          <w:tcPr>
            <w:tcW w:w="850" w:type="dxa"/>
          </w:tcPr>
          <w:p w14:paraId="4666AB1F" w14:textId="059D0300" w:rsidR="00454C7B" w:rsidRPr="00387278" w:rsidRDefault="00454C7B" w:rsidP="00454C7B">
            <w:pPr>
              <w:pStyle w:val="tabteksts"/>
              <w:tabs>
                <w:tab w:val="decimal" w:pos="-12114"/>
              </w:tabs>
              <w:jc w:val="right"/>
              <w:rPr>
                <w:b/>
              </w:rPr>
            </w:pPr>
            <w:r>
              <w:t>+154,1</w:t>
            </w:r>
          </w:p>
        </w:tc>
        <w:tc>
          <w:tcPr>
            <w:tcW w:w="850" w:type="dxa"/>
          </w:tcPr>
          <w:p w14:paraId="26AF35E6" w14:textId="06481F1D" w:rsidR="00454C7B" w:rsidRPr="00387278" w:rsidRDefault="00454C7B" w:rsidP="00454C7B">
            <w:pPr>
              <w:pStyle w:val="tabteksts"/>
              <w:tabs>
                <w:tab w:val="decimal" w:pos="-12114"/>
              </w:tabs>
              <w:jc w:val="right"/>
              <w:rPr>
                <w:b/>
              </w:rPr>
            </w:pPr>
            <w:r>
              <w:t>+115,8</w:t>
            </w:r>
          </w:p>
        </w:tc>
      </w:tr>
      <w:tr w:rsidR="00454C7B" w:rsidRPr="00387278" w14:paraId="4C8B9ABD" w14:textId="0B53738D" w:rsidTr="00454C7B">
        <w:trPr>
          <w:jc w:val="center"/>
        </w:trPr>
        <w:tc>
          <w:tcPr>
            <w:tcW w:w="6150" w:type="dxa"/>
          </w:tcPr>
          <w:p w14:paraId="5B6C6374" w14:textId="77777777" w:rsidR="00454C7B" w:rsidRPr="00387278" w:rsidRDefault="00454C7B" w:rsidP="00AB6336">
            <w:pPr>
              <w:pStyle w:val="tabteksts"/>
              <w:jc w:val="both"/>
            </w:pPr>
            <w:r>
              <w:t>M</w:t>
            </w:r>
            <w:r w:rsidRPr="00387278">
              <w:t>inimālās algas palielināšana</w:t>
            </w:r>
          </w:p>
        </w:tc>
        <w:tc>
          <w:tcPr>
            <w:tcW w:w="993" w:type="dxa"/>
          </w:tcPr>
          <w:p w14:paraId="6830464F" w14:textId="77777777" w:rsidR="00454C7B" w:rsidRPr="00387278" w:rsidRDefault="00454C7B" w:rsidP="00454C7B">
            <w:pPr>
              <w:pStyle w:val="tabteksts"/>
              <w:jc w:val="right"/>
            </w:pPr>
            <w:r w:rsidRPr="00387278">
              <w:t>+11,8</w:t>
            </w:r>
          </w:p>
        </w:tc>
        <w:tc>
          <w:tcPr>
            <w:tcW w:w="850" w:type="dxa"/>
          </w:tcPr>
          <w:p w14:paraId="1F06377E" w14:textId="77777777" w:rsidR="00454C7B" w:rsidRPr="00387278" w:rsidRDefault="00454C7B" w:rsidP="00454C7B">
            <w:pPr>
              <w:pStyle w:val="tabteksts"/>
              <w:jc w:val="right"/>
            </w:pPr>
          </w:p>
        </w:tc>
        <w:tc>
          <w:tcPr>
            <w:tcW w:w="850" w:type="dxa"/>
          </w:tcPr>
          <w:p w14:paraId="4596C347" w14:textId="77777777" w:rsidR="00454C7B" w:rsidRPr="00387278" w:rsidRDefault="00454C7B" w:rsidP="00454C7B">
            <w:pPr>
              <w:pStyle w:val="tabteksts"/>
              <w:jc w:val="right"/>
            </w:pPr>
          </w:p>
        </w:tc>
      </w:tr>
      <w:tr w:rsidR="00454C7B" w:rsidRPr="00387278" w14:paraId="0D449A9C" w14:textId="4BAEB8AB" w:rsidTr="00454C7B">
        <w:trPr>
          <w:jc w:val="center"/>
        </w:trPr>
        <w:tc>
          <w:tcPr>
            <w:tcW w:w="6150" w:type="dxa"/>
          </w:tcPr>
          <w:p w14:paraId="22BC26D1" w14:textId="77777777" w:rsidR="00454C7B" w:rsidRPr="00387278" w:rsidRDefault="00454C7B" w:rsidP="00AB6336">
            <w:pPr>
              <w:pStyle w:val="tabteksts"/>
              <w:jc w:val="both"/>
            </w:pPr>
            <w:r>
              <w:t>V</w:t>
            </w:r>
            <w:r w:rsidRPr="00F73C4A">
              <w:t>alsts sociālās apdrošināšanas iemaksu griestu noteikšana</w:t>
            </w:r>
          </w:p>
        </w:tc>
        <w:tc>
          <w:tcPr>
            <w:tcW w:w="993" w:type="dxa"/>
          </w:tcPr>
          <w:p w14:paraId="2729F7D2" w14:textId="77777777" w:rsidR="00454C7B" w:rsidRPr="00387278" w:rsidRDefault="00454C7B" w:rsidP="00454C7B">
            <w:pPr>
              <w:pStyle w:val="tabteksts"/>
              <w:jc w:val="right"/>
            </w:pPr>
          </w:p>
        </w:tc>
        <w:tc>
          <w:tcPr>
            <w:tcW w:w="850" w:type="dxa"/>
          </w:tcPr>
          <w:p w14:paraId="1014E93E" w14:textId="77777777" w:rsidR="00454C7B" w:rsidRPr="00387278" w:rsidRDefault="00454C7B" w:rsidP="00454C7B">
            <w:pPr>
              <w:pStyle w:val="tabteksts"/>
              <w:jc w:val="right"/>
            </w:pPr>
            <w:r w:rsidRPr="00387278">
              <w:t>+2,3</w:t>
            </w:r>
          </w:p>
        </w:tc>
        <w:tc>
          <w:tcPr>
            <w:tcW w:w="850" w:type="dxa"/>
          </w:tcPr>
          <w:p w14:paraId="5DF917DE" w14:textId="77777777" w:rsidR="00454C7B" w:rsidRPr="00387278" w:rsidRDefault="00454C7B" w:rsidP="00454C7B">
            <w:pPr>
              <w:pStyle w:val="tabteksts"/>
              <w:jc w:val="right"/>
            </w:pPr>
          </w:p>
        </w:tc>
      </w:tr>
      <w:tr w:rsidR="00454C7B" w:rsidRPr="00387278" w14:paraId="0C942860" w14:textId="633E9879" w:rsidTr="00454C7B">
        <w:trPr>
          <w:jc w:val="center"/>
        </w:trPr>
        <w:tc>
          <w:tcPr>
            <w:tcW w:w="6150" w:type="dxa"/>
          </w:tcPr>
          <w:p w14:paraId="1BEC1729" w14:textId="77777777" w:rsidR="00454C7B" w:rsidRPr="00387278" w:rsidRDefault="00454C7B" w:rsidP="00AB6336">
            <w:pPr>
              <w:pStyle w:val="tabteksts"/>
              <w:jc w:val="both"/>
            </w:pPr>
            <w:r>
              <w:t>N</w:t>
            </w:r>
            <w:r w:rsidRPr="00387278">
              <w:t>eapliekamā minimuma paaugstināšana</w:t>
            </w:r>
          </w:p>
        </w:tc>
        <w:tc>
          <w:tcPr>
            <w:tcW w:w="993" w:type="dxa"/>
          </w:tcPr>
          <w:p w14:paraId="4B41341F" w14:textId="77777777" w:rsidR="00454C7B" w:rsidRPr="00387278" w:rsidRDefault="00454C7B" w:rsidP="00454C7B">
            <w:pPr>
              <w:pStyle w:val="tabteksts"/>
              <w:jc w:val="right"/>
            </w:pPr>
            <w:r w:rsidRPr="00387278">
              <w:t>-17,7</w:t>
            </w:r>
          </w:p>
        </w:tc>
        <w:tc>
          <w:tcPr>
            <w:tcW w:w="850" w:type="dxa"/>
          </w:tcPr>
          <w:p w14:paraId="1F7953E5" w14:textId="77777777" w:rsidR="00454C7B" w:rsidRPr="00387278" w:rsidRDefault="00454C7B" w:rsidP="00454C7B">
            <w:pPr>
              <w:pStyle w:val="tabteksts"/>
              <w:jc w:val="right"/>
            </w:pPr>
          </w:p>
        </w:tc>
        <w:tc>
          <w:tcPr>
            <w:tcW w:w="850" w:type="dxa"/>
          </w:tcPr>
          <w:p w14:paraId="2B94BA11" w14:textId="77777777" w:rsidR="00454C7B" w:rsidRPr="00387278" w:rsidRDefault="00454C7B" w:rsidP="00454C7B">
            <w:pPr>
              <w:pStyle w:val="tabteksts"/>
              <w:jc w:val="right"/>
            </w:pPr>
          </w:p>
        </w:tc>
      </w:tr>
      <w:tr w:rsidR="00454C7B" w:rsidRPr="00387278" w14:paraId="3218BE12" w14:textId="1B9E2D2B" w:rsidTr="00454C7B">
        <w:trPr>
          <w:jc w:val="center"/>
        </w:trPr>
        <w:tc>
          <w:tcPr>
            <w:tcW w:w="6150" w:type="dxa"/>
          </w:tcPr>
          <w:p w14:paraId="2ADD967C" w14:textId="77777777" w:rsidR="00454C7B" w:rsidRPr="00387278" w:rsidRDefault="00454C7B" w:rsidP="00AB6336">
            <w:pPr>
              <w:pStyle w:val="tabteksts"/>
              <w:jc w:val="both"/>
            </w:pPr>
            <w:r>
              <w:t>A</w:t>
            </w:r>
            <w:r w:rsidRPr="00387278">
              <w:t>tvieglojumi par apgādībā esošu personu</w:t>
            </w:r>
          </w:p>
        </w:tc>
        <w:tc>
          <w:tcPr>
            <w:tcW w:w="993" w:type="dxa"/>
          </w:tcPr>
          <w:p w14:paraId="11E2E1F3" w14:textId="77777777" w:rsidR="00454C7B" w:rsidRPr="00387278" w:rsidRDefault="00454C7B" w:rsidP="00454C7B">
            <w:pPr>
              <w:pStyle w:val="tabteksts"/>
              <w:jc w:val="right"/>
            </w:pPr>
            <w:r w:rsidRPr="00387278">
              <w:t>-35,3</w:t>
            </w:r>
          </w:p>
        </w:tc>
        <w:tc>
          <w:tcPr>
            <w:tcW w:w="850" w:type="dxa"/>
          </w:tcPr>
          <w:p w14:paraId="4802E505" w14:textId="77777777" w:rsidR="00454C7B" w:rsidRPr="00387278" w:rsidRDefault="00454C7B" w:rsidP="00454C7B">
            <w:pPr>
              <w:pStyle w:val="tabteksts"/>
              <w:jc w:val="right"/>
            </w:pPr>
          </w:p>
        </w:tc>
        <w:tc>
          <w:tcPr>
            <w:tcW w:w="850" w:type="dxa"/>
          </w:tcPr>
          <w:p w14:paraId="0004AF9E" w14:textId="77777777" w:rsidR="00454C7B" w:rsidRPr="00387278" w:rsidRDefault="00454C7B" w:rsidP="00454C7B">
            <w:pPr>
              <w:pStyle w:val="tabteksts"/>
              <w:jc w:val="right"/>
            </w:pPr>
          </w:p>
        </w:tc>
      </w:tr>
      <w:tr w:rsidR="00454C7B" w:rsidRPr="00387278" w14:paraId="0F90E3BD" w14:textId="542C3CE3" w:rsidTr="00454C7B">
        <w:trPr>
          <w:jc w:val="center"/>
        </w:trPr>
        <w:tc>
          <w:tcPr>
            <w:tcW w:w="6150" w:type="dxa"/>
          </w:tcPr>
          <w:p w14:paraId="7A40766D" w14:textId="77777777" w:rsidR="00454C7B" w:rsidRDefault="00454C7B" w:rsidP="00AB6336">
            <w:pPr>
              <w:pStyle w:val="tabteksts"/>
              <w:jc w:val="both"/>
            </w:pPr>
            <w:r>
              <w:t>IIN ietekme no sociālās apdrošināšanas iemaksu likmes samazināšanas</w:t>
            </w:r>
          </w:p>
        </w:tc>
        <w:tc>
          <w:tcPr>
            <w:tcW w:w="993" w:type="dxa"/>
          </w:tcPr>
          <w:p w14:paraId="160C3527" w14:textId="77777777" w:rsidR="00454C7B" w:rsidRPr="00387278" w:rsidRDefault="00454C7B" w:rsidP="00454C7B">
            <w:pPr>
              <w:pStyle w:val="tabteksts"/>
              <w:jc w:val="right"/>
            </w:pPr>
            <w:r>
              <w:t>+8,1</w:t>
            </w:r>
          </w:p>
        </w:tc>
        <w:tc>
          <w:tcPr>
            <w:tcW w:w="850" w:type="dxa"/>
          </w:tcPr>
          <w:p w14:paraId="6D5FCEE4" w14:textId="77777777" w:rsidR="00454C7B" w:rsidRPr="00387278" w:rsidRDefault="00454C7B" w:rsidP="00454C7B">
            <w:pPr>
              <w:pStyle w:val="tabteksts"/>
              <w:jc w:val="right"/>
            </w:pPr>
          </w:p>
        </w:tc>
        <w:tc>
          <w:tcPr>
            <w:tcW w:w="850" w:type="dxa"/>
          </w:tcPr>
          <w:p w14:paraId="672F6DED" w14:textId="77777777" w:rsidR="00454C7B" w:rsidRPr="00387278" w:rsidRDefault="00454C7B" w:rsidP="00454C7B">
            <w:pPr>
              <w:pStyle w:val="tabteksts"/>
              <w:jc w:val="right"/>
            </w:pPr>
          </w:p>
        </w:tc>
      </w:tr>
      <w:tr w:rsidR="00454C7B" w:rsidRPr="00387278" w14:paraId="72776CF3" w14:textId="75FFE2A4" w:rsidTr="00454C7B">
        <w:trPr>
          <w:jc w:val="center"/>
        </w:trPr>
        <w:tc>
          <w:tcPr>
            <w:tcW w:w="6150" w:type="dxa"/>
          </w:tcPr>
          <w:p w14:paraId="447D7425" w14:textId="77777777" w:rsidR="00454C7B" w:rsidRPr="00F73C4A" w:rsidRDefault="00454C7B" w:rsidP="00AB6336">
            <w:pPr>
              <w:pStyle w:val="tabteksts"/>
              <w:jc w:val="both"/>
            </w:pPr>
            <w:r>
              <w:t>S</w:t>
            </w:r>
            <w:r w:rsidRPr="00F73C4A">
              <w:t xml:space="preserve">aimnieciskās darbības veicēju (kuru pamatdarbība nav aizdevumu izsniegšana) izsniegto aizdevumu aplikšana ar IIN </w:t>
            </w:r>
          </w:p>
        </w:tc>
        <w:tc>
          <w:tcPr>
            <w:tcW w:w="993" w:type="dxa"/>
          </w:tcPr>
          <w:p w14:paraId="1BDD88E9" w14:textId="77777777" w:rsidR="00454C7B" w:rsidRPr="00387278" w:rsidRDefault="00454C7B" w:rsidP="00454C7B">
            <w:pPr>
              <w:pStyle w:val="tabteksts"/>
              <w:jc w:val="right"/>
            </w:pPr>
            <w:r w:rsidRPr="00387278">
              <w:t>+7,8</w:t>
            </w:r>
          </w:p>
        </w:tc>
        <w:tc>
          <w:tcPr>
            <w:tcW w:w="850" w:type="dxa"/>
          </w:tcPr>
          <w:p w14:paraId="1CDA017A" w14:textId="77777777" w:rsidR="00454C7B" w:rsidRPr="00387278" w:rsidRDefault="00454C7B" w:rsidP="00454C7B">
            <w:pPr>
              <w:pStyle w:val="tabteksts"/>
              <w:jc w:val="right"/>
            </w:pPr>
          </w:p>
        </w:tc>
        <w:tc>
          <w:tcPr>
            <w:tcW w:w="850" w:type="dxa"/>
          </w:tcPr>
          <w:p w14:paraId="079060F8" w14:textId="77777777" w:rsidR="00454C7B" w:rsidRPr="00387278" w:rsidRDefault="00454C7B" w:rsidP="00454C7B">
            <w:pPr>
              <w:pStyle w:val="tabteksts"/>
              <w:jc w:val="right"/>
            </w:pPr>
          </w:p>
        </w:tc>
      </w:tr>
      <w:tr w:rsidR="00454C7B" w:rsidRPr="00387278" w14:paraId="1D46998C" w14:textId="35385383" w:rsidTr="00454C7B">
        <w:trPr>
          <w:trHeight w:val="268"/>
          <w:jc w:val="center"/>
        </w:trPr>
        <w:tc>
          <w:tcPr>
            <w:tcW w:w="6150" w:type="dxa"/>
          </w:tcPr>
          <w:p w14:paraId="6A9B98FE" w14:textId="77777777" w:rsidR="00454C7B" w:rsidRPr="00F73C4A" w:rsidRDefault="00454C7B" w:rsidP="00AB6336">
            <w:pPr>
              <w:pStyle w:val="tabteksts"/>
              <w:jc w:val="both"/>
            </w:pPr>
            <w:r>
              <w:t>V</w:t>
            </w:r>
            <w:r w:rsidRPr="00F73C4A">
              <w:t xml:space="preserve">aldes locekļu minimālās darba algas aplikšana ar IIN </w:t>
            </w:r>
          </w:p>
        </w:tc>
        <w:tc>
          <w:tcPr>
            <w:tcW w:w="993" w:type="dxa"/>
            <w:vAlign w:val="center"/>
          </w:tcPr>
          <w:p w14:paraId="6E4925B5" w14:textId="77777777" w:rsidR="00454C7B" w:rsidRPr="00387278" w:rsidRDefault="00454C7B" w:rsidP="00454C7B">
            <w:pPr>
              <w:pStyle w:val="tabteksts"/>
              <w:jc w:val="right"/>
            </w:pPr>
            <w:r w:rsidRPr="00387278">
              <w:t>+2,0</w:t>
            </w:r>
          </w:p>
        </w:tc>
        <w:tc>
          <w:tcPr>
            <w:tcW w:w="850" w:type="dxa"/>
            <w:vAlign w:val="center"/>
          </w:tcPr>
          <w:p w14:paraId="07387E01" w14:textId="77777777" w:rsidR="00454C7B" w:rsidRPr="00387278" w:rsidRDefault="00454C7B" w:rsidP="00454C7B">
            <w:pPr>
              <w:pStyle w:val="tabteksts"/>
              <w:jc w:val="right"/>
            </w:pPr>
          </w:p>
        </w:tc>
        <w:tc>
          <w:tcPr>
            <w:tcW w:w="850" w:type="dxa"/>
          </w:tcPr>
          <w:p w14:paraId="0D3D59B4" w14:textId="77777777" w:rsidR="00454C7B" w:rsidRPr="00387278" w:rsidRDefault="00454C7B" w:rsidP="00454C7B">
            <w:pPr>
              <w:pStyle w:val="tabteksts"/>
              <w:jc w:val="right"/>
            </w:pPr>
          </w:p>
        </w:tc>
      </w:tr>
      <w:tr w:rsidR="00454C7B" w:rsidRPr="00387278" w14:paraId="52E5A33B" w14:textId="146F9ED7" w:rsidTr="00454C7B">
        <w:trPr>
          <w:jc w:val="center"/>
        </w:trPr>
        <w:tc>
          <w:tcPr>
            <w:tcW w:w="6150" w:type="dxa"/>
          </w:tcPr>
          <w:p w14:paraId="387D57A4" w14:textId="77777777" w:rsidR="00454C7B" w:rsidRPr="00F73C4A" w:rsidRDefault="00454C7B" w:rsidP="00AB6336">
            <w:pPr>
              <w:pStyle w:val="tabteksts"/>
              <w:jc w:val="both"/>
            </w:pPr>
            <w:r w:rsidRPr="00F73C4A">
              <w:t xml:space="preserve">2014., 2015. un 2016.gadā no IIN atbrīvotas saņemtās summas, kas izmaksātas kā valsts vai ES atbalsts lauksaimniecībai un lauku attīstībai </w:t>
            </w:r>
          </w:p>
        </w:tc>
        <w:tc>
          <w:tcPr>
            <w:tcW w:w="993" w:type="dxa"/>
            <w:vAlign w:val="center"/>
          </w:tcPr>
          <w:p w14:paraId="3B9808DE" w14:textId="77777777" w:rsidR="00454C7B" w:rsidRPr="00387278" w:rsidRDefault="00454C7B" w:rsidP="00454C7B">
            <w:pPr>
              <w:pStyle w:val="tabteksts"/>
              <w:jc w:val="right"/>
            </w:pPr>
          </w:p>
        </w:tc>
        <w:tc>
          <w:tcPr>
            <w:tcW w:w="850" w:type="dxa"/>
            <w:vAlign w:val="center"/>
          </w:tcPr>
          <w:p w14:paraId="529901C4" w14:textId="77777777" w:rsidR="00454C7B" w:rsidRPr="00387278" w:rsidRDefault="00454C7B" w:rsidP="00454C7B">
            <w:pPr>
              <w:pStyle w:val="tabteksts"/>
              <w:jc w:val="right"/>
            </w:pPr>
            <w:r w:rsidRPr="00387278">
              <w:t>-2,2</w:t>
            </w:r>
          </w:p>
        </w:tc>
        <w:tc>
          <w:tcPr>
            <w:tcW w:w="850" w:type="dxa"/>
          </w:tcPr>
          <w:p w14:paraId="717B64C7" w14:textId="77777777" w:rsidR="00454C7B" w:rsidRPr="00387278" w:rsidRDefault="00454C7B" w:rsidP="00454C7B">
            <w:pPr>
              <w:pStyle w:val="tabteksts"/>
              <w:jc w:val="right"/>
            </w:pPr>
          </w:p>
        </w:tc>
      </w:tr>
      <w:tr w:rsidR="00454C7B" w:rsidRPr="00387278" w14:paraId="0A964BA0" w14:textId="7E8DA588" w:rsidTr="00454C7B">
        <w:trPr>
          <w:jc w:val="center"/>
        </w:trPr>
        <w:tc>
          <w:tcPr>
            <w:tcW w:w="6150" w:type="dxa"/>
          </w:tcPr>
          <w:p w14:paraId="4EB3DEE8" w14:textId="77777777" w:rsidR="00454C7B" w:rsidRPr="00F73C4A" w:rsidRDefault="00454C7B" w:rsidP="00AB6336">
            <w:pPr>
              <w:pStyle w:val="tabteksts"/>
              <w:jc w:val="both"/>
            </w:pPr>
            <w:r w:rsidRPr="0002536B">
              <w:t>pasākumu „Radikāla rīcība ēnu ekonomikas apkarošanai nodokļu administrēšanas un muitas lietu jomā”, „Jauno ES muitas savienības vienoto prasību ieviešana”, „Administratīvā sloga samazināšana VID klientiem, pilnveidojot VID sniegto e-pakalpojumu pieejamību un kvalitāti” īstenošana</w:t>
            </w:r>
          </w:p>
        </w:tc>
        <w:tc>
          <w:tcPr>
            <w:tcW w:w="993" w:type="dxa"/>
            <w:vAlign w:val="center"/>
          </w:tcPr>
          <w:p w14:paraId="657B4744" w14:textId="77777777" w:rsidR="00454C7B" w:rsidRPr="00387278" w:rsidRDefault="00454C7B" w:rsidP="00454C7B">
            <w:pPr>
              <w:pStyle w:val="tabteksts"/>
              <w:jc w:val="right"/>
            </w:pPr>
            <w:r w:rsidRPr="00387278">
              <w:t>+0,7</w:t>
            </w:r>
          </w:p>
        </w:tc>
        <w:tc>
          <w:tcPr>
            <w:tcW w:w="850" w:type="dxa"/>
            <w:vAlign w:val="center"/>
          </w:tcPr>
          <w:p w14:paraId="4569E580" w14:textId="77777777" w:rsidR="00454C7B" w:rsidRPr="00387278" w:rsidRDefault="00454C7B" w:rsidP="00454C7B">
            <w:pPr>
              <w:pStyle w:val="tabteksts"/>
              <w:jc w:val="right"/>
            </w:pPr>
          </w:p>
        </w:tc>
        <w:tc>
          <w:tcPr>
            <w:tcW w:w="850" w:type="dxa"/>
          </w:tcPr>
          <w:p w14:paraId="20A169B7" w14:textId="77777777" w:rsidR="00454C7B" w:rsidRPr="00387278" w:rsidRDefault="00454C7B" w:rsidP="00454C7B">
            <w:pPr>
              <w:pStyle w:val="tabteksts"/>
              <w:jc w:val="right"/>
            </w:pPr>
          </w:p>
        </w:tc>
      </w:tr>
      <w:tr w:rsidR="00454C7B" w:rsidRPr="00387278" w14:paraId="05B865C4" w14:textId="77F0E28D" w:rsidTr="00454C7B">
        <w:trPr>
          <w:jc w:val="center"/>
        </w:trPr>
        <w:tc>
          <w:tcPr>
            <w:tcW w:w="6150" w:type="dxa"/>
          </w:tcPr>
          <w:p w14:paraId="42DFF0B9" w14:textId="77777777" w:rsidR="00454C7B" w:rsidRPr="00387278" w:rsidRDefault="00454C7B" w:rsidP="00454C7B">
            <w:pPr>
              <w:pStyle w:val="tabteksts"/>
              <w:jc w:val="both"/>
              <w:rPr>
                <w:b/>
              </w:rPr>
            </w:pPr>
            <w:r w:rsidRPr="00387278">
              <w:rPr>
                <w:b/>
              </w:rPr>
              <w:t>Izmaiņu ietekme kopā:</w:t>
            </w:r>
          </w:p>
        </w:tc>
        <w:tc>
          <w:tcPr>
            <w:tcW w:w="993" w:type="dxa"/>
          </w:tcPr>
          <w:p w14:paraId="2422BA82" w14:textId="288D4010" w:rsidR="00454C7B" w:rsidRPr="00387278" w:rsidRDefault="00454C7B" w:rsidP="00454C7B">
            <w:pPr>
              <w:pStyle w:val="tabteksts"/>
              <w:jc w:val="right"/>
              <w:rPr>
                <w:b/>
              </w:rPr>
            </w:pPr>
            <w:r>
              <w:rPr>
                <w:b/>
              </w:rPr>
              <w:t>+80,2</w:t>
            </w:r>
          </w:p>
        </w:tc>
        <w:tc>
          <w:tcPr>
            <w:tcW w:w="850" w:type="dxa"/>
          </w:tcPr>
          <w:p w14:paraId="6359C3C6" w14:textId="0D79B1A9" w:rsidR="00454C7B" w:rsidRPr="00387278" w:rsidRDefault="00454C7B" w:rsidP="00454C7B">
            <w:pPr>
              <w:pStyle w:val="tabteksts"/>
              <w:jc w:val="right"/>
              <w:rPr>
                <w:b/>
              </w:rPr>
            </w:pPr>
            <w:r>
              <w:rPr>
                <w:b/>
              </w:rPr>
              <w:t>+154,2</w:t>
            </w:r>
          </w:p>
        </w:tc>
        <w:tc>
          <w:tcPr>
            <w:tcW w:w="850" w:type="dxa"/>
          </w:tcPr>
          <w:p w14:paraId="0FDB42F1" w14:textId="18B69CB4" w:rsidR="00454C7B" w:rsidRDefault="00454C7B" w:rsidP="00454C7B">
            <w:pPr>
              <w:pStyle w:val="tabteksts"/>
              <w:jc w:val="right"/>
              <w:rPr>
                <w:b/>
              </w:rPr>
            </w:pPr>
            <w:r>
              <w:rPr>
                <w:b/>
              </w:rPr>
              <w:t>+115,8</w:t>
            </w:r>
          </w:p>
        </w:tc>
      </w:tr>
    </w:tbl>
    <w:p w14:paraId="0E24B3B9" w14:textId="77777777" w:rsidR="00D4599E" w:rsidRDefault="00D4599E" w:rsidP="00D4599E">
      <w:pPr>
        <w:rPr>
          <w:iCs/>
        </w:rPr>
      </w:pPr>
    </w:p>
    <w:p w14:paraId="310F776E" w14:textId="215465FC" w:rsidR="00D4599E" w:rsidRDefault="009A6681" w:rsidP="009A6681">
      <w:pPr>
        <w:ind w:firstLine="720"/>
        <w:rPr>
          <w:iCs/>
        </w:rPr>
      </w:pPr>
      <w:r>
        <w:rPr>
          <w:iCs/>
        </w:rPr>
        <w:t>IIN</w:t>
      </w:r>
      <w:r w:rsidR="00D4599E" w:rsidRPr="00B07AED">
        <w:rPr>
          <w:iCs/>
        </w:rPr>
        <w:t xml:space="preserve"> </w:t>
      </w:r>
      <w:r w:rsidR="00D4599E">
        <w:rPr>
          <w:iCs/>
        </w:rPr>
        <w:t>vienlaikus 2014.gadā paredzētas tādas izmaiņas</w:t>
      </w:r>
      <w:r w:rsidR="00D4599E" w:rsidRPr="00B07AED">
        <w:rPr>
          <w:iCs/>
        </w:rPr>
        <w:t xml:space="preserve">, kā - ar </w:t>
      </w:r>
      <w:r>
        <w:rPr>
          <w:iCs/>
        </w:rPr>
        <w:t>IIN</w:t>
      </w:r>
      <w:r w:rsidR="00D4599E" w:rsidRPr="00B07AED">
        <w:rPr>
          <w:iCs/>
        </w:rPr>
        <w:t xml:space="preserve"> pēc vispārējās nodokļa likmes apliks arī t.s. pensijām pielīdzināto ienākumu, kas likuma izpratnē ir apdrošināšanas atlīdzība, kas apdrošinātajam tiek izmaksāta saskaņā ar mūža </w:t>
      </w:r>
      <w:r w:rsidR="00D4599E">
        <w:rPr>
          <w:iCs/>
        </w:rPr>
        <w:t xml:space="preserve">pensijas apdrošināšanas līgumu. </w:t>
      </w:r>
    </w:p>
    <w:p w14:paraId="39658BC8" w14:textId="77777777" w:rsidR="00D4599E" w:rsidRDefault="00D4599E" w:rsidP="00D4599E">
      <w:pPr>
        <w:rPr>
          <w:iCs/>
        </w:rPr>
      </w:pPr>
      <w:r>
        <w:rPr>
          <w:iCs/>
        </w:rPr>
        <w:t>Ir ieviests taisnīgāks un samērīgāks regulējums</w:t>
      </w:r>
      <w:r w:rsidRPr="00B07AED">
        <w:rPr>
          <w:iCs/>
        </w:rPr>
        <w:t xml:space="preserve"> fiziskajām personām, kas atsavina vienīgo nekustamo īpašumu, ja gadījumos, kad vecāki kopīgi realizē aizgādību un savstarpēji nevar vienoties, atvieglojumu par nepilngadīga bērna uzturēšanu piemēro tam nodokļu maksātājam – vecākam, kurš norādīts bāriņtiesas lēmuma par vecāku domstarpību izšķiršanu rezolutīvajā daļā. </w:t>
      </w:r>
    </w:p>
    <w:p w14:paraId="07B042D0" w14:textId="77777777" w:rsidR="00D4599E" w:rsidRDefault="00D4599E" w:rsidP="00D4599E">
      <w:pPr>
        <w:rPr>
          <w:iCs/>
        </w:rPr>
      </w:pPr>
      <w:r>
        <w:rPr>
          <w:iCs/>
        </w:rPr>
        <w:t>2014.gadā no</w:t>
      </w:r>
      <w:r w:rsidRPr="00B07AED">
        <w:rPr>
          <w:iCs/>
        </w:rPr>
        <w:t xml:space="preserve"> likuma izslēgtas normas attiecībā uz fiksēto ienākuma nodokļa režīmu, nosakot divus gadus ilgu pārejas periodu, kurā nevarēs reģistrēties jauni fiksētā ienākuma nodokļa maksātāji un ieviesta iespēja iedzīvotājiem, kuriem ir piešķirta valsts vecuma pensija ma</w:t>
      </w:r>
      <w:r>
        <w:rPr>
          <w:iCs/>
        </w:rPr>
        <w:t>ksāt samazināto patentmaksu –17 </w:t>
      </w:r>
      <w:proofErr w:type="spellStart"/>
      <w:r w:rsidRPr="00F7719F">
        <w:rPr>
          <w:i/>
          <w:iCs/>
        </w:rPr>
        <w:t>euro</w:t>
      </w:r>
      <w:proofErr w:type="spellEnd"/>
      <w:r w:rsidRPr="00B07AED">
        <w:rPr>
          <w:iCs/>
        </w:rPr>
        <w:t xml:space="preserve"> gadā.</w:t>
      </w:r>
    </w:p>
    <w:p w14:paraId="53D094A6" w14:textId="77777777" w:rsidR="001B6A4A" w:rsidRDefault="001B6A4A" w:rsidP="00D4599E">
      <w:pPr>
        <w:rPr>
          <w:szCs w:val="24"/>
        </w:rPr>
      </w:pPr>
    </w:p>
    <w:p w14:paraId="0FFFE029" w14:textId="77777777" w:rsidR="00D4599E" w:rsidRPr="00F73C4A" w:rsidRDefault="00D4599E" w:rsidP="00D4599E">
      <w:pPr>
        <w:pStyle w:val="H4"/>
        <w:spacing w:before="240"/>
        <w:rPr>
          <w:rFonts w:ascii="Times New Roman" w:hAnsi="Times New Roman"/>
          <w:sz w:val="24"/>
          <w:szCs w:val="24"/>
        </w:rPr>
      </w:pPr>
      <w:r w:rsidRPr="00F73C4A">
        <w:rPr>
          <w:rFonts w:ascii="Times New Roman" w:hAnsi="Times New Roman"/>
          <w:sz w:val="24"/>
          <w:szCs w:val="24"/>
        </w:rPr>
        <w:t>Sociālās apdrošināšanas iemaksas</w:t>
      </w:r>
      <w:r w:rsidRPr="00F73C4A">
        <w:rPr>
          <w:rStyle w:val="FootnoteReference"/>
          <w:rFonts w:ascii="Times New Roman" w:hAnsi="Times New Roman"/>
          <w:sz w:val="24"/>
          <w:szCs w:val="24"/>
        </w:rPr>
        <w:footnoteReference w:id="15"/>
      </w:r>
    </w:p>
    <w:p w14:paraId="66473A04" w14:textId="77777777" w:rsidR="00D4599E" w:rsidRPr="00B05ADA" w:rsidRDefault="00D4599E" w:rsidP="00D4599E">
      <w:pPr>
        <w:rPr>
          <w:iCs/>
        </w:rPr>
      </w:pPr>
      <w:r w:rsidRPr="00B05ADA">
        <w:rPr>
          <w:iCs/>
        </w:rPr>
        <w:t xml:space="preserve">Vidēja termiņa sociālās apdrošināšanas iemaksu ieņēmumu dinamiku noteiks ne tikai prognozētais darba samaksas fonda pieaugums, bet arī veiktās izmaiņas likumdošanā un izmaiņas iemaksu likmēs valsts </w:t>
      </w:r>
      <w:proofErr w:type="spellStart"/>
      <w:r w:rsidRPr="00B05ADA">
        <w:rPr>
          <w:iCs/>
        </w:rPr>
        <w:t>fondēto</w:t>
      </w:r>
      <w:proofErr w:type="spellEnd"/>
      <w:r w:rsidRPr="00B05ADA">
        <w:rPr>
          <w:iCs/>
        </w:rPr>
        <w:t xml:space="preserve"> pensiju shēmā.</w:t>
      </w:r>
      <w:r w:rsidRPr="00B05ADA">
        <w:rPr>
          <w:rStyle w:val="FootnoteReference"/>
          <w:iCs/>
        </w:rPr>
        <w:footnoteReference w:id="16"/>
      </w:r>
      <w:r w:rsidRPr="00B05ADA">
        <w:rPr>
          <w:iCs/>
        </w:rPr>
        <w:t xml:space="preserve"> </w:t>
      </w:r>
    </w:p>
    <w:p w14:paraId="5589A356" w14:textId="77777777" w:rsidR="00D4599E" w:rsidRPr="00B05ADA" w:rsidRDefault="00D4599E" w:rsidP="00D4599E">
      <w:r w:rsidRPr="00B05ADA">
        <w:t>2014. gadā sociālās apdrošināšanas iemaksas tiek prognozētas ar 3,1 % pieaugumu attiecībā pret 2013. gadu.</w:t>
      </w:r>
    </w:p>
    <w:p w14:paraId="1C4C0C10" w14:textId="77777777" w:rsidR="00D4599E" w:rsidRDefault="00D4599E" w:rsidP="00D4599E">
      <w:r>
        <w:t xml:space="preserve">Būtiskākās likumdošanas izmaiņas 2014.gadā attiecas uz valsts sociālās obligātās apdrošināšanas iemaksas likmes samazināšanu no 35,09% līdz 34,09%, kur darba devēja valsts sociālās obligātās apdrošināšanas iemaksas samazinās no 24,09% līdz 23,59%, un darba ņēmēja no 11% līdz 10,50 procentiem. </w:t>
      </w:r>
    </w:p>
    <w:p w14:paraId="2C7771EB" w14:textId="77777777" w:rsidR="00D4599E" w:rsidRDefault="00D4599E" w:rsidP="0011050B">
      <w:pPr>
        <w:spacing w:after="0"/>
      </w:pPr>
      <w:r>
        <w:t>Valsts sociālās apdrošināšanas iemaksu ieņēmumus ietekmēs arī:</w:t>
      </w:r>
    </w:p>
    <w:p w14:paraId="7D5A0F5F" w14:textId="77777777" w:rsidR="00D4599E" w:rsidRDefault="00D4599E" w:rsidP="0011050B">
      <w:pPr>
        <w:numPr>
          <w:ilvl w:val="0"/>
          <w:numId w:val="21"/>
        </w:numPr>
        <w:spacing w:after="0"/>
        <w:ind w:left="1281" w:hanging="357"/>
        <w:rPr>
          <w:iCs/>
        </w:rPr>
      </w:pPr>
      <w:r w:rsidRPr="00387278">
        <w:rPr>
          <w:iCs/>
        </w:rPr>
        <w:t>min</w:t>
      </w:r>
      <w:r>
        <w:rPr>
          <w:iCs/>
        </w:rPr>
        <w:t>imālās darba algas palielināšana</w:t>
      </w:r>
      <w:r w:rsidRPr="00387278">
        <w:rPr>
          <w:iCs/>
        </w:rPr>
        <w:t xml:space="preserve"> no 284,57 </w:t>
      </w:r>
      <w:proofErr w:type="spellStart"/>
      <w:r w:rsidRPr="00070CAB">
        <w:rPr>
          <w:i/>
          <w:iCs/>
        </w:rPr>
        <w:t>euro</w:t>
      </w:r>
      <w:proofErr w:type="spellEnd"/>
      <w:r w:rsidRPr="00387278">
        <w:rPr>
          <w:iCs/>
        </w:rPr>
        <w:t xml:space="preserve"> līdz 320 </w:t>
      </w:r>
      <w:proofErr w:type="spellStart"/>
      <w:r w:rsidRPr="00540733">
        <w:rPr>
          <w:i/>
          <w:iCs/>
        </w:rPr>
        <w:t>euro</w:t>
      </w:r>
      <w:proofErr w:type="spellEnd"/>
      <w:r>
        <w:rPr>
          <w:iCs/>
        </w:rPr>
        <w:t>;</w:t>
      </w:r>
    </w:p>
    <w:p w14:paraId="030CA8E6" w14:textId="77777777" w:rsidR="00D4599E" w:rsidRDefault="00D4599E" w:rsidP="0011050B">
      <w:pPr>
        <w:numPr>
          <w:ilvl w:val="0"/>
          <w:numId w:val="21"/>
        </w:numPr>
        <w:spacing w:after="0"/>
        <w:ind w:left="1281" w:hanging="357"/>
        <w:rPr>
          <w:iCs/>
        </w:rPr>
      </w:pPr>
      <w:r w:rsidRPr="00387278">
        <w:rPr>
          <w:iCs/>
        </w:rPr>
        <w:t>valsts sociālās apdrošinā</w:t>
      </w:r>
      <w:r>
        <w:rPr>
          <w:iCs/>
        </w:rPr>
        <w:t>šanas iemaksu griestu noteikšana;</w:t>
      </w:r>
    </w:p>
    <w:p w14:paraId="17B83CEC" w14:textId="77777777" w:rsidR="00D4599E" w:rsidRDefault="00D4599E" w:rsidP="0011050B">
      <w:pPr>
        <w:numPr>
          <w:ilvl w:val="0"/>
          <w:numId w:val="21"/>
        </w:numPr>
        <w:spacing w:after="0"/>
        <w:ind w:left="1281" w:hanging="357"/>
        <w:rPr>
          <w:iCs/>
        </w:rPr>
      </w:pPr>
      <w:r w:rsidRPr="00387278">
        <w:rPr>
          <w:iCs/>
        </w:rPr>
        <w:t>saimnieciskās darbības veicēju (kuru pamatdarbība nav aizdevumu izsniegšana) izsniegto aizde</w:t>
      </w:r>
      <w:r>
        <w:rPr>
          <w:iCs/>
        </w:rPr>
        <w:t>vumu aplikšana ar valsts sociālās apdrošināšanas iemaksām;</w:t>
      </w:r>
    </w:p>
    <w:p w14:paraId="1205FA83" w14:textId="77777777" w:rsidR="00D4599E" w:rsidRDefault="00D4599E" w:rsidP="0011050B">
      <w:pPr>
        <w:numPr>
          <w:ilvl w:val="0"/>
          <w:numId w:val="21"/>
        </w:numPr>
        <w:spacing w:after="0"/>
        <w:ind w:left="1281" w:hanging="357"/>
        <w:rPr>
          <w:iCs/>
        </w:rPr>
      </w:pPr>
      <w:r>
        <w:rPr>
          <w:iCs/>
        </w:rPr>
        <w:t>v</w:t>
      </w:r>
      <w:r w:rsidRPr="00387278">
        <w:rPr>
          <w:iCs/>
        </w:rPr>
        <w:t>aldes locekļu minimāl</w:t>
      </w:r>
      <w:r>
        <w:rPr>
          <w:iCs/>
        </w:rPr>
        <w:t>ās darba algas aplikšana ar valsts sociālās apdrošināšanas iemaksām;</w:t>
      </w:r>
    </w:p>
    <w:p w14:paraId="0A6836BB" w14:textId="54956CF1" w:rsidR="00D4599E" w:rsidRDefault="00D4599E" w:rsidP="0011050B">
      <w:pPr>
        <w:numPr>
          <w:ilvl w:val="0"/>
          <w:numId w:val="21"/>
        </w:numPr>
        <w:spacing w:after="0"/>
        <w:rPr>
          <w:iCs/>
        </w:rPr>
      </w:pPr>
      <w:r w:rsidRPr="00A144A6">
        <w:rPr>
          <w:iCs/>
        </w:rPr>
        <w:t xml:space="preserve">Valsts ieņēmumu dienesta </w:t>
      </w:r>
      <w:r w:rsidR="00AB6336">
        <w:rPr>
          <w:iCs/>
        </w:rPr>
        <w:t xml:space="preserve">sadarbībā ar </w:t>
      </w:r>
      <w:r w:rsidRPr="00A144A6">
        <w:rPr>
          <w:iCs/>
        </w:rPr>
        <w:t>Valsts darba inspekcij</w:t>
      </w:r>
      <w:r>
        <w:rPr>
          <w:iCs/>
        </w:rPr>
        <w:t>u</w:t>
      </w:r>
      <w:r w:rsidRPr="00A144A6">
        <w:rPr>
          <w:iCs/>
        </w:rPr>
        <w:t xml:space="preserve"> </w:t>
      </w:r>
      <w:r>
        <w:rPr>
          <w:iCs/>
        </w:rPr>
        <w:t xml:space="preserve">to </w:t>
      </w:r>
      <w:r w:rsidRPr="00A144A6">
        <w:rPr>
          <w:iCs/>
        </w:rPr>
        <w:t>nodokļu maksātāju pastiprināt</w:t>
      </w:r>
      <w:r>
        <w:rPr>
          <w:iCs/>
        </w:rPr>
        <w:t>ā</w:t>
      </w:r>
      <w:r w:rsidRPr="00A144A6">
        <w:rPr>
          <w:iCs/>
        </w:rPr>
        <w:t xml:space="preserve"> kontrol</w:t>
      </w:r>
      <w:r>
        <w:rPr>
          <w:iCs/>
        </w:rPr>
        <w:t>e</w:t>
      </w:r>
      <w:r w:rsidRPr="00A144A6">
        <w:rPr>
          <w:iCs/>
        </w:rPr>
        <w:t>, kuriem ir risks, ka atlīdzība par darba attiecībās gūtu ienākumu tiek transformēta par autoratlīdzību</w:t>
      </w:r>
      <w:r>
        <w:rPr>
          <w:iCs/>
        </w:rPr>
        <w:t>;</w:t>
      </w:r>
    </w:p>
    <w:p w14:paraId="5B084DD1" w14:textId="77777777" w:rsidR="00D4599E" w:rsidRDefault="00D4599E" w:rsidP="0011050B">
      <w:pPr>
        <w:numPr>
          <w:ilvl w:val="0"/>
          <w:numId w:val="21"/>
        </w:numPr>
        <w:spacing w:after="0"/>
        <w:ind w:left="1281" w:hanging="357"/>
        <w:rPr>
          <w:iCs/>
        </w:rPr>
      </w:pPr>
      <w:r w:rsidRPr="00387278">
        <w:rPr>
          <w:iCs/>
        </w:rPr>
        <w:t>VID adminis</w:t>
      </w:r>
      <w:r>
        <w:rPr>
          <w:iCs/>
        </w:rPr>
        <w:t>trēšanas kapacitātes uzlabošana.</w:t>
      </w:r>
    </w:p>
    <w:p w14:paraId="190BC150" w14:textId="77777777" w:rsidR="00D4599E" w:rsidRDefault="00D4599E" w:rsidP="00D4599E">
      <w:pPr>
        <w:rPr>
          <w:highlight w:val="yellow"/>
        </w:rPr>
      </w:pPr>
      <w:r>
        <w:t xml:space="preserve">2014.gadā plānots izstrādāt grozījumus </w:t>
      </w:r>
      <w:proofErr w:type="spellStart"/>
      <w:r>
        <w:t>Mikrouzņēmumu</w:t>
      </w:r>
      <w:proofErr w:type="spellEnd"/>
      <w:r>
        <w:t xml:space="preserve"> nodokļa likumā, kur tiks palielināta valsts sociālās apdrošināšanas obligāto iemaksu kontā ieskaitāmā daļa, līdz ar to prognozējams valsts sociālās apdrošināšanas iemaksu ieņēmumu pieaugums. 2014.gada likumdošanas izmaiņas paredz, ka </w:t>
      </w:r>
      <w:proofErr w:type="spellStart"/>
      <w:r>
        <w:t>mikrouzņēmuma</w:t>
      </w:r>
      <w:proofErr w:type="spellEnd"/>
      <w:r>
        <w:t xml:space="preserve"> ienākuma nodokļa likmes 2015. gadā pieaugs no 9% līdz 11%, 2016.gadā no 11% līdz 13% un 2017.gadā no 13% līdz 15%. Likumdošanas izmaiņas piemēros </w:t>
      </w:r>
      <w:proofErr w:type="spellStart"/>
      <w:r>
        <w:t>mikrouzņēmumiem</w:t>
      </w:r>
      <w:proofErr w:type="spellEnd"/>
      <w:r>
        <w:t>, kuru apgrozījums ir no 7 000 līdz 100 000 </w:t>
      </w:r>
      <w:proofErr w:type="spellStart"/>
      <w:r w:rsidRPr="00070CAB">
        <w:rPr>
          <w:i/>
        </w:rPr>
        <w:t>euro</w:t>
      </w:r>
      <w:proofErr w:type="spellEnd"/>
      <w:r>
        <w:t>, bet līdz 7 000 </w:t>
      </w:r>
      <w:proofErr w:type="spellStart"/>
      <w:r w:rsidRPr="00070CAB">
        <w:rPr>
          <w:i/>
        </w:rPr>
        <w:t>euro</w:t>
      </w:r>
      <w:proofErr w:type="spellEnd"/>
      <w:r>
        <w:t xml:space="preserve"> saglabāsies līdzšinējā - 9% likme. </w:t>
      </w:r>
    </w:p>
    <w:p w14:paraId="7303DEB2" w14:textId="6C4E5202" w:rsidR="00D4599E" w:rsidRPr="00D4599E" w:rsidRDefault="00D4599E" w:rsidP="00D4599E">
      <w:pPr>
        <w:pStyle w:val="T"/>
        <w:ind w:left="0"/>
        <w:jc w:val="right"/>
        <w:rPr>
          <w:rFonts w:ascii="Times New Roman" w:hAnsi="Times New Roman"/>
        </w:rPr>
      </w:pPr>
      <w:r w:rsidRPr="00D4599E">
        <w:rPr>
          <w:rFonts w:ascii="Times New Roman" w:hAnsi="Times New Roman"/>
        </w:rPr>
        <w:t>6.</w:t>
      </w:r>
      <w:r w:rsidR="009A6681">
        <w:rPr>
          <w:rFonts w:ascii="Times New Roman" w:hAnsi="Times New Roman"/>
        </w:rPr>
        <w:t>6</w:t>
      </w:r>
      <w:r w:rsidRPr="00D4599E">
        <w:rPr>
          <w:rFonts w:ascii="Times New Roman" w:hAnsi="Times New Roman"/>
        </w:rPr>
        <w:t>. tabula. Nodokļu politikas būtiskāko izmaiņu ietekme uz sociālās apdrošināšanas iemaksu ieņēmumiem, milj. </w:t>
      </w:r>
      <w:proofErr w:type="spellStart"/>
      <w:r w:rsidRPr="00D4599E">
        <w:rPr>
          <w:rFonts w:ascii="Times New Roman" w:hAnsi="Times New Roman"/>
          <w:i/>
        </w:rPr>
        <w:t>euro</w:t>
      </w:r>
      <w:proofErr w:type="spellEnd"/>
    </w:p>
    <w:tbl>
      <w:tblPr>
        <w:tblW w:w="84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84"/>
        <w:gridCol w:w="992"/>
        <w:gridCol w:w="993"/>
        <w:gridCol w:w="946"/>
      </w:tblGrid>
      <w:tr w:rsidR="00D4599E" w:rsidRPr="00A55FF6" w14:paraId="15AB296F" w14:textId="77777777" w:rsidTr="003148B4">
        <w:trPr>
          <w:jc w:val="center"/>
        </w:trPr>
        <w:tc>
          <w:tcPr>
            <w:tcW w:w="5484" w:type="dxa"/>
            <w:shd w:val="clear" w:color="auto" w:fill="auto"/>
          </w:tcPr>
          <w:p w14:paraId="76833B30" w14:textId="77777777" w:rsidR="00D4599E" w:rsidRPr="00A55FF6" w:rsidRDefault="00D4599E" w:rsidP="00D4599E">
            <w:pPr>
              <w:pStyle w:val="tabteksts"/>
            </w:pPr>
          </w:p>
        </w:tc>
        <w:tc>
          <w:tcPr>
            <w:tcW w:w="992" w:type="dxa"/>
            <w:vAlign w:val="center"/>
          </w:tcPr>
          <w:p w14:paraId="23828944" w14:textId="77777777" w:rsidR="00D4599E" w:rsidRPr="00A55FF6" w:rsidRDefault="00D4599E" w:rsidP="00D4599E">
            <w:pPr>
              <w:pStyle w:val="tabteksts"/>
              <w:tabs>
                <w:tab w:val="decimal" w:pos="-12114"/>
              </w:tabs>
              <w:jc w:val="center"/>
              <w:rPr>
                <w:b/>
              </w:rPr>
            </w:pPr>
            <w:r w:rsidRPr="00A55FF6">
              <w:rPr>
                <w:b/>
              </w:rPr>
              <w:t>2014</w:t>
            </w:r>
          </w:p>
        </w:tc>
        <w:tc>
          <w:tcPr>
            <w:tcW w:w="993" w:type="dxa"/>
            <w:vAlign w:val="center"/>
          </w:tcPr>
          <w:p w14:paraId="61D8ADAC" w14:textId="77777777" w:rsidR="00D4599E" w:rsidRPr="00A55FF6" w:rsidRDefault="00D4599E" w:rsidP="00D4599E">
            <w:pPr>
              <w:pStyle w:val="tabteksts"/>
              <w:tabs>
                <w:tab w:val="decimal" w:pos="-12114"/>
              </w:tabs>
              <w:jc w:val="center"/>
              <w:rPr>
                <w:b/>
              </w:rPr>
            </w:pPr>
            <w:r w:rsidRPr="00A55FF6">
              <w:rPr>
                <w:b/>
              </w:rPr>
              <w:t>2015</w:t>
            </w:r>
          </w:p>
        </w:tc>
        <w:tc>
          <w:tcPr>
            <w:tcW w:w="946" w:type="dxa"/>
            <w:vAlign w:val="center"/>
          </w:tcPr>
          <w:p w14:paraId="508B939F" w14:textId="77777777" w:rsidR="00D4599E" w:rsidRPr="00A55FF6" w:rsidRDefault="00D4599E" w:rsidP="00D4599E">
            <w:pPr>
              <w:pStyle w:val="tabteksts"/>
              <w:tabs>
                <w:tab w:val="decimal" w:pos="-12114"/>
              </w:tabs>
              <w:jc w:val="center"/>
              <w:rPr>
                <w:b/>
              </w:rPr>
            </w:pPr>
            <w:r w:rsidRPr="00A55FF6">
              <w:rPr>
                <w:b/>
              </w:rPr>
              <w:t>2016</w:t>
            </w:r>
          </w:p>
        </w:tc>
      </w:tr>
      <w:tr w:rsidR="00D4599E" w:rsidRPr="00A55FF6" w14:paraId="4997C791" w14:textId="77777777" w:rsidTr="003148B4">
        <w:trPr>
          <w:jc w:val="center"/>
        </w:trPr>
        <w:tc>
          <w:tcPr>
            <w:tcW w:w="5484" w:type="dxa"/>
            <w:shd w:val="clear" w:color="auto" w:fill="auto"/>
          </w:tcPr>
          <w:p w14:paraId="626145AA" w14:textId="77777777" w:rsidR="00D4599E" w:rsidRPr="00A55FF6" w:rsidRDefault="00D4599E" w:rsidP="00D4599E">
            <w:pPr>
              <w:pStyle w:val="tabteksts"/>
              <w:jc w:val="both"/>
            </w:pPr>
            <w:r>
              <w:t>V</w:t>
            </w:r>
            <w:r w:rsidRPr="00A55FF6">
              <w:t>alsts sociālās obligātās apdrošināšanas iemaksas likmes samazināšana</w:t>
            </w:r>
          </w:p>
        </w:tc>
        <w:tc>
          <w:tcPr>
            <w:tcW w:w="992" w:type="dxa"/>
            <w:vAlign w:val="center"/>
          </w:tcPr>
          <w:p w14:paraId="48BA6964" w14:textId="77777777" w:rsidR="00D4599E" w:rsidRPr="00A55FF6" w:rsidRDefault="00D4599E" w:rsidP="00980148">
            <w:pPr>
              <w:pStyle w:val="tabteksts"/>
              <w:jc w:val="right"/>
            </w:pPr>
            <w:r w:rsidRPr="00A55FF6">
              <w:t>-59,0</w:t>
            </w:r>
          </w:p>
        </w:tc>
        <w:tc>
          <w:tcPr>
            <w:tcW w:w="993" w:type="dxa"/>
            <w:vAlign w:val="center"/>
          </w:tcPr>
          <w:p w14:paraId="326A0AFA" w14:textId="77777777" w:rsidR="00D4599E" w:rsidRPr="00A55FF6" w:rsidRDefault="00D4599E" w:rsidP="00980148">
            <w:pPr>
              <w:pStyle w:val="tabteksts"/>
              <w:jc w:val="right"/>
            </w:pPr>
          </w:p>
        </w:tc>
        <w:tc>
          <w:tcPr>
            <w:tcW w:w="946" w:type="dxa"/>
            <w:vAlign w:val="center"/>
          </w:tcPr>
          <w:p w14:paraId="2933F702" w14:textId="77777777" w:rsidR="00D4599E" w:rsidRPr="00A55FF6" w:rsidRDefault="00D4599E" w:rsidP="00980148">
            <w:pPr>
              <w:pStyle w:val="tabteksts"/>
              <w:jc w:val="right"/>
            </w:pPr>
          </w:p>
        </w:tc>
      </w:tr>
      <w:tr w:rsidR="00D4599E" w:rsidRPr="00A55FF6" w14:paraId="078F93B6" w14:textId="77777777" w:rsidTr="003148B4">
        <w:trPr>
          <w:jc w:val="center"/>
        </w:trPr>
        <w:tc>
          <w:tcPr>
            <w:tcW w:w="5484" w:type="dxa"/>
            <w:shd w:val="clear" w:color="auto" w:fill="auto"/>
          </w:tcPr>
          <w:p w14:paraId="5ECFD639" w14:textId="77777777" w:rsidR="00D4599E" w:rsidRPr="00A55FF6" w:rsidRDefault="00D4599E" w:rsidP="00D4599E">
            <w:pPr>
              <w:pStyle w:val="tabteksts"/>
              <w:jc w:val="both"/>
            </w:pPr>
            <w:r>
              <w:t>M</w:t>
            </w:r>
            <w:r w:rsidRPr="00A55FF6">
              <w:t>inimālās mēneša darba algas paaugstināšana</w:t>
            </w:r>
          </w:p>
        </w:tc>
        <w:tc>
          <w:tcPr>
            <w:tcW w:w="992" w:type="dxa"/>
            <w:vAlign w:val="center"/>
          </w:tcPr>
          <w:p w14:paraId="665A2CA9" w14:textId="77777777" w:rsidR="00D4599E" w:rsidRPr="00A55FF6" w:rsidRDefault="00D4599E" w:rsidP="00980148">
            <w:pPr>
              <w:pStyle w:val="tabteksts"/>
              <w:jc w:val="right"/>
            </w:pPr>
            <w:r w:rsidRPr="00A55FF6">
              <w:t>+21,1</w:t>
            </w:r>
          </w:p>
        </w:tc>
        <w:tc>
          <w:tcPr>
            <w:tcW w:w="993" w:type="dxa"/>
            <w:vAlign w:val="center"/>
          </w:tcPr>
          <w:p w14:paraId="2C703513" w14:textId="77777777" w:rsidR="00D4599E" w:rsidRPr="00A55FF6" w:rsidRDefault="00D4599E" w:rsidP="00980148">
            <w:pPr>
              <w:pStyle w:val="tabteksts"/>
              <w:jc w:val="right"/>
            </w:pPr>
          </w:p>
        </w:tc>
        <w:tc>
          <w:tcPr>
            <w:tcW w:w="946" w:type="dxa"/>
            <w:vAlign w:val="center"/>
          </w:tcPr>
          <w:p w14:paraId="67B0E008" w14:textId="77777777" w:rsidR="00D4599E" w:rsidRPr="00A55FF6" w:rsidRDefault="00D4599E" w:rsidP="00980148">
            <w:pPr>
              <w:pStyle w:val="tabteksts"/>
              <w:jc w:val="right"/>
            </w:pPr>
          </w:p>
        </w:tc>
      </w:tr>
      <w:tr w:rsidR="00D4599E" w:rsidRPr="00A55FF6" w14:paraId="2989CD2E" w14:textId="77777777" w:rsidTr="003148B4">
        <w:trPr>
          <w:jc w:val="center"/>
        </w:trPr>
        <w:tc>
          <w:tcPr>
            <w:tcW w:w="5484" w:type="dxa"/>
            <w:shd w:val="clear" w:color="auto" w:fill="auto"/>
          </w:tcPr>
          <w:p w14:paraId="2A2269D0" w14:textId="77777777" w:rsidR="00D4599E" w:rsidRPr="00F73C4A" w:rsidRDefault="00D4599E" w:rsidP="00D4599E">
            <w:pPr>
              <w:pStyle w:val="ListParagraph"/>
              <w:spacing w:after="120" w:line="240" w:lineRule="auto"/>
              <w:ind w:left="0"/>
              <w:jc w:val="both"/>
              <w:rPr>
                <w:rFonts w:ascii="Times New Roman" w:hAnsi="Times New Roman"/>
                <w:sz w:val="20"/>
                <w:lang w:val="lv-LV" w:eastAsia="en-US"/>
              </w:rPr>
            </w:pPr>
            <w:r>
              <w:rPr>
                <w:rFonts w:ascii="Times New Roman" w:hAnsi="Times New Roman"/>
                <w:sz w:val="20"/>
                <w:lang w:val="lv-LV" w:eastAsia="en-US"/>
              </w:rPr>
              <w:t>S</w:t>
            </w:r>
            <w:r w:rsidRPr="00F73C4A">
              <w:rPr>
                <w:rFonts w:ascii="Times New Roman" w:hAnsi="Times New Roman"/>
                <w:sz w:val="20"/>
                <w:lang w:val="lv-LV" w:eastAsia="en-US"/>
              </w:rPr>
              <w:t xml:space="preserve">aimnieciskās darbības veicēju (kuru pamatdarbība nav aizdevumu izsniegšana) izsniegto aizdevumu aplikšana ar valsts sociālās apdrošināšanas iemaksām </w:t>
            </w:r>
          </w:p>
        </w:tc>
        <w:tc>
          <w:tcPr>
            <w:tcW w:w="992" w:type="dxa"/>
            <w:vAlign w:val="center"/>
          </w:tcPr>
          <w:p w14:paraId="054208FD" w14:textId="77777777" w:rsidR="00D4599E" w:rsidRPr="00A55FF6" w:rsidRDefault="00D4599E" w:rsidP="00980148">
            <w:pPr>
              <w:pStyle w:val="tabteksts"/>
              <w:jc w:val="right"/>
            </w:pPr>
            <w:r w:rsidRPr="00A55FF6">
              <w:t>+13,9</w:t>
            </w:r>
          </w:p>
        </w:tc>
        <w:tc>
          <w:tcPr>
            <w:tcW w:w="993" w:type="dxa"/>
            <w:vAlign w:val="center"/>
          </w:tcPr>
          <w:p w14:paraId="515F7CC5" w14:textId="77777777" w:rsidR="00D4599E" w:rsidRPr="00A55FF6" w:rsidRDefault="00D4599E" w:rsidP="00980148">
            <w:pPr>
              <w:pStyle w:val="tabteksts"/>
              <w:jc w:val="right"/>
            </w:pPr>
          </w:p>
        </w:tc>
        <w:tc>
          <w:tcPr>
            <w:tcW w:w="946" w:type="dxa"/>
            <w:vAlign w:val="center"/>
          </w:tcPr>
          <w:p w14:paraId="57426782" w14:textId="77777777" w:rsidR="00D4599E" w:rsidRPr="00A55FF6" w:rsidRDefault="00D4599E" w:rsidP="00980148">
            <w:pPr>
              <w:pStyle w:val="tabteksts"/>
              <w:jc w:val="right"/>
            </w:pPr>
          </w:p>
        </w:tc>
      </w:tr>
      <w:tr w:rsidR="00D4599E" w:rsidRPr="00A55FF6" w14:paraId="5564FD5E" w14:textId="77777777" w:rsidTr="003148B4">
        <w:trPr>
          <w:jc w:val="center"/>
        </w:trPr>
        <w:tc>
          <w:tcPr>
            <w:tcW w:w="5484" w:type="dxa"/>
            <w:shd w:val="clear" w:color="auto" w:fill="auto"/>
          </w:tcPr>
          <w:p w14:paraId="26912738" w14:textId="77777777" w:rsidR="00D4599E" w:rsidRPr="00F73C4A" w:rsidRDefault="00D4599E" w:rsidP="00D4599E">
            <w:pPr>
              <w:pStyle w:val="ListParagraph"/>
              <w:spacing w:after="120" w:line="240" w:lineRule="auto"/>
              <w:ind w:left="0"/>
              <w:jc w:val="both"/>
              <w:rPr>
                <w:rFonts w:ascii="Times New Roman" w:hAnsi="Times New Roman"/>
                <w:sz w:val="20"/>
                <w:lang w:val="lv-LV" w:eastAsia="en-US"/>
              </w:rPr>
            </w:pPr>
            <w:r>
              <w:rPr>
                <w:rFonts w:ascii="Times New Roman" w:hAnsi="Times New Roman"/>
                <w:sz w:val="20"/>
                <w:lang w:val="lv-LV" w:eastAsia="en-US"/>
              </w:rPr>
              <w:t>V</w:t>
            </w:r>
            <w:r w:rsidRPr="00F73C4A">
              <w:rPr>
                <w:rFonts w:ascii="Times New Roman" w:hAnsi="Times New Roman"/>
                <w:sz w:val="20"/>
                <w:lang w:val="lv-LV" w:eastAsia="en-US"/>
              </w:rPr>
              <w:t xml:space="preserve">aldes locekļu minimālās darba algas aplikšana ar valsts sociālās apdrošināšanas iemaksām </w:t>
            </w:r>
          </w:p>
        </w:tc>
        <w:tc>
          <w:tcPr>
            <w:tcW w:w="992" w:type="dxa"/>
            <w:vAlign w:val="center"/>
          </w:tcPr>
          <w:p w14:paraId="299A4A17" w14:textId="77777777" w:rsidR="00D4599E" w:rsidRPr="00A55FF6" w:rsidRDefault="00D4599E" w:rsidP="00980148">
            <w:pPr>
              <w:pStyle w:val="tabteksts"/>
              <w:jc w:val="right"/>
            </w:pPr>
            <w:r w:rsidRPr="00A55FF6">
              <w:t>+5,4</w:t>
            </w:r>
          </w:p>
        </w:tc>
        <w:tc>
          <w:tcPr>
            <w:tcW w:w="993" w:type="dxa"/>
            <w:vAlign w:val="center"/>
          </w:tcPr>
          <w:p w14:paraId="1F19176B" w14:textId="77777777" w:rsidR="00D4599E" w:rsidRPr="00A55FF6" w:rsidRDefault="00D4599E" w:rsidP="00980148">
            <w:pPr>
              <w:pStyle w:val="tabteksts"/>
              <w:jc w:val="right"/>
            </w:pPr>
          </w:p>
        </w:tc>
        <w:tc>
          <w:tcPr>
            <w:tcW w:w="946" w:type="dxa"/>
            <w:vAlign w:val="center"/>
          </w:tcPr>
          <w:p w14:paraId="20A42D27" w14:textId="77777777" w:rsidR="00D4599E" w:rsidRPr="00A55FF6" w:rsidRDefault="00D4599E" w:rsidP="00980148">
            <w:pPr>
              <w:pStyle w:val="tabteksts"/>
              <w:jc w:val="right"/>
            </w:pPr>
          </w:p>
        </w:tc>
      </w:tr>
      <w:tr w:rsidR="00D4599E" w:rsidRPr="00A55FF6" w14:paraId="24A50CE3" w14:textId="77777777" w:rsidTr="003148B4">
        <w:trPr>
          <w:jc w:val="center"/>
        </w:trPr>
        <w:tc>
          <w:tcPr>
            <w:tcW w:w="5484" w:type="dxa"/>
            <w:shd w:val="clear" w:color="auto" w:fill="auto"/>
          </w:tcPr>
          <w:p w14:paraId="1E58F4F0" w14:textId="77777777" w:rsidR="00D4599E" w:rsidRPr="00F73C4A" w:rsidRDefault="00D4599E" w:rsidP="00D4599E">
            <w:pPr>
              <w:pStyle w:val="ListParagraph"/>
              <w:spacing w:after="120" w:line="240" w:lineRule="auto"/>
              <w:ind w:left="0"/>
              <w:jc w:val="both"/>
              <w:rPr>
                <w:rFonts w:ascii="Times New Roman" w:hAnsi="Times New Roman"/>
                <w:sz w:val="20"/>
                <w:lang w:val="lv-LV" w:eastAsia="en-US"/>
              </w:rPr>
            </w:pPr>
            <w:r>
              <w:rPr>
                <w:rFonts w:ascii="Times New Roman" w:hAnsi="Times New Roman"/>
                <w:sz w:val="20"/>
                <w:lang w:val="lv-LV" w:eastAsia="en-US"/>
              </w:rPr>
              <w:t>V</w:t>
            </w:r>
            <w:r w:rsidRPr="00F73C4A">
              <w:rPr>
                <w:rFonts w:ascii="Times New Roman" w:hAnsi="Times New Roman"/>
                <w:sz w:val="20"/>
                <w:lang w:val="lv-LV" w:eastAsia="en-US"/>
              </w:rPr>
              <w:t xml:space="preserve">alsts sociālās apdrošināšanas iemaksas griestu noteikšana </w:t>
            </w:r>
          </w:p>
        </w:tc>
        <w:tc>
          <w:tcPr>
            <w:tcW w:w="992" w:type="dxa"/>
            <w:vAlign w:val="center"/>
          </w:tcPr>
          <w:p w14:paraId="55B96358" w14:textId="77777777" w:rsidR="00D4599E" w:rsidRPr="00A55FF6" w:rsidRDefault="00D4599E" w:rsidP="00980148">
            <w:pPr>
              <w:pStyle w:val="tabteksts"/>
              <w:jc w:val="right"/>
            </w:pPr>
          </w:p>
        </w:tc>
        <w:tc>
          <w:tcPr>
            <w:tcW w:w="993" w:type="dxa"/>
            <w:vAlign w:val="center"/>
          </w:tcPr>
          <w:p w14:paraId="4424FDBC" w14:textId="77777777" w:rsidR="00D4599E" w:rsidRPr="00A55FF6" w:rsidRDefault="00D4599E" w:rsidP="00980148">
            <w:pPr>
              <w:pStyle w:val="tabteksts"/>
              <w:jc w:val="right"/>
            </w:pPr>
            <w:r w:rsidRPr="00A55FF6">
              <w:t>-33,7</w:t>
            </w:r>
          </w:p>
        </w:tc>
        <w:tc>
          <w:tcPr>
            <w:tcW w:w="946" w:type="dxa"/>
            <w:vAlign w:val="center"/>
          </w:tcPr>
          <w:p w14:paraId="5A26FC2C" w14:textId="77777777" w:rsidR="00D4599E" w:rsidRPr="00A55FF6" w:rsidRDefault="00D4599E" w:rsidP="00980148">
            <w:pPr>
              <w:pStyle w:val="tabteksts"/>
              <w:jc w:val="right"/>
            </w:pPr>
          </w:p>
        </w:tc>
      </w:tr>
      <w:tr w:rsidR="00D4599E" w:rsidRPr="00A55FF6" w14:paraId="41C62131" w14:textId="77777777" w:rsidTr="003148B4">
        <w:trPr>
          <w:jc w:val="center"/>
        </w:trPr>
        <w:tc>
          <w:tcPr>
            <w:tcW w:w="5484" w:type="dxa"/>
            <w:shd w:val="clear" w:color="auto" w:fill="auto"/>
          </w:tcPr>
          <w:p w14:paraId="6AEC1F54" w14:textId="77777777" w:rsidR="00D4599E" w:rsidRPr="00A55FF6" w:rsidRDefault="00D4599E" w:rsidP="00D4599E">
            <w:pPr>
              <w:pStyle w:val="tabteksts"/>
              <w:jc w:val="both"/>
            </w:pPr>
            <w:proofErr w:type="spellStart"/>
            <w:r>
              <w:t>M</w:t>
            </w:r>
            <w:r w:rsidRPr="00F73C4A">
              <w:t>ikrouzņēmuma</w:t>
            </w:r>
            <w:proofErr w:type="spellEnd"/>
            <w:r w:rsidRPr="00F73C4A">
              <w:t xml:space="preserve"> </w:t>
            </w:r>
            <w:r>
              <w:t xml:space="preserve">nodokļa </w:t>
            </w:r>
            <w:r w:rsidRPr="00F73C4A">
              <w:t>likmes palielināšana</w:t>
            </w:r>
          </w:p>
        </w:tc>
        <w:tc>
          <w:tcPr>
            <w:tcW w:w="992" w:type="dxa"/>
            <w:vAlign w:val="center"/>
          </w:tcPr>
          <w:p w14:paraId="7F7AC290" w14:textId="77777777" w:rsidR="00D4599E" w:rsidRPr="00A55FF6" w:rsidRDefault="00D4599E" w:rsidP="00980148">
            <w:pPr>
              <w:pStyle w:val="tabteksts"/>
              <w:jc w:val="right"/>
            </w:pPr>
          </w:p>
        </w:tc>
        <w:tc>
          <w:tcPr>
            <w:tcW w:w="993" w:type="dxa"/>
            <w:vAlign w:val="center"/>
          </w:tcPr>
          <w:p w14:paraId="238701A1" w14:textId="77777777" w:rsidR="00D4599E" w:rsidRPr="00A55FF6" w:rsidRDefault="00D4599E" w:rsidP="00980148">
            <w:pPr>
              <w:pStyle w:val="tabteksts"/>
              <w:jc w:val="right"/>
            </w:pPr>
            <w:r w:rsidRPr="00A55FF6">
              <w:t>+5,9</w:t>
            </w:r>
          </w:p>
        </w:tc>
        <w:tc>
          <w:tcPr>
            <w:tcW w:w="946" w:type="dxa"/>
            <w:vAlign w:val="center"/>
          </w:tcPr>
          <w:p w14:paraId="0D5645F3" w14:textId="77777777" w:rsidR="00D4599E" w:rsidRPr="00A55FF6" w:rsidRDefault="00D4599E" w:rsidP="00980148">
            <w:pPr>
              <w:pStyle w:val="tabteksts"/>
              <w:jc w:val="right"/>
            </w:pPr>
            <w:r>
              <w:t>+5,0</w:t>
            </w:r>
          </w:p>
        </w:tc>
      </w:tr>
      <w:tr w:rsidR="00D4599E" w:rsidRPr="00ED7A2C" w14:paraId="640E8B7C" w14:textId="77777777" w:rsidTr="003148B4">
        <w:trPr>
          <w:jc w:val="center"/>
        </w:trPr>
        <w:tc>
          <w:tcPr>
            <w:tcW w:w="5484" w:type="dxa"/>
            <w:shd w:val="clear" w:color="auto" w:fill="auto"/>
          </w:tcPr>
          <w:p w14:paraId="68F42B31" w14:textId="77777777" w:rsidR="00D4599E" w:rsidRPr="00A55FF6" w:rsidRDefault="00D4599E" w:rsidP="00D4599E">
            <w:pPr>
              <w:pStyle w:val="tabteksts"/>
              <w:jc w:val="both"/>
              <w:rPr>
                <w:b/>
              </w:rPr>
            </w:pPr>
            <w:r w:rsidRPr="00A55FF6">
              <w:rPr>
                <w:b/>
              </w:rPr>
              <w:t>Izmaiņu ietekme kopā:</w:t>
            </w:r>
          </w:p>
        </w:tc>
        <w:tc>
          <w:tcPr>
            <w:tcW w:w="992" w:type="dxa"/>
            <w:vAlign w:val="center"/>
          </w:tcPr>
          <w:p w14:paraId="7A29E132" w14:textId="77777777" w:rsidR="00D4599E" w:rsidRPr="00A55FF6" w:rsidRDefault="00D4599E" w:rsidP="00980148">
            <w:pPr>
              <w:pStyle w:val="tabteksts"/>
              <w:jc w:val="right"/>
              <w:rPr>
                <w:b/>
              </w:rPr>
            </w:pPr>
            <w:r>
              <w:rPr>
                <w:b/>
              </w:rPr>
              <w:t>-18,,6</w:t>
            </w:r>
          </w:p>
        </w:tc>
        <w:tc>
          <w:tcPr>
            <w:tcW w:w="993" w:type="dxa"/>
            <w:vAlign w:val="center"/>
          </w:tcPr>
          <w:p w14:paraId="33B138AC" w14:textId="77777777" w:rsidR="00D4599E" w:rsidRPr="00A55FF6" w:rsidRDefault="00D4599E" w:rsidP="00980148">
            <w:pPr>
              <w:pStyle w:val="tabteksts"/>
              <w:jc w:val="right"/>
              <w:rPr>
                <w:b/>
              </w:rPr>
            </w:pPr>
            <w:r>
              <w:rPr>
                <w:b/>
              </w:rPr>
              <w:t>-27,8</w:t>
            </w:r>
          </w:p>
        </w:tc>
        <w:tc>
          <w:tcPr>
            <w:tcW w:w="946" w:type="dxa"/>
            <w:vAlign w:val="center"/>
          </w:tcPr>
          <w:p w14:paraId="30D7DB8D" w14:textId="77777777" w:rsidR="00D4599E" w:rsidRPr="00A55FF6" w:rsidRDefault="00D4599E" w:rsidP="00980148">
            <w:pPr>
              <w:pStyle w:val="tabteksts"/>
              <w:jc w:val="right"/>
              <w:rPr>
                <w:b/>
              </w:rPr>
            </w:pPr>
            <w:r>
              <w:rPr>
                <w:b/>
              </w:rPr>
              <w:t>+5,0</w:t>
            </w:r>
          </w:p>
        </w:tc>
      </w:tr>
    </w:tbl>
    <w:p w14:paraId="1D09F708" w14:textId="77777777" w:rsidR="00D4599E" w:rsidRDefault="00D4599E" w:rsidP="00D4599E">
      <w:r>
        <w:t>S</w:t>
      </w:r>
      <w:r w:rsidRPr="00B05ADA">
        <w:t>ociālās apdrošināšanas iemaksu apmēru valsts speciālajā budžetā ne tikai 201</w:t>
      </w:r>
      <w:r>
        <w:t xml:space="preserve">4. gadā, bet arī vidējā termiņā, būtiski ietekmē </w:t>
      </w:r>
      <w:r w:rsidRPr="00B05ADA">
        <w:t xml:space="preserve">iemaksu likme valsts </w:t>
      </w:r>
      <w:proofErr w:type="spellStart"/>
      <w:r w:rsidRPr="00B05ADA">
        <w:t>fondēto</w:t>
      </w:r>
      <w:proofErr w:type="spellEnd"/>
      <w:r w:rsidRPr="00B05ADA">
        <w:t xml:space="preserve"> pensiju shē</w:t>
      </w:r>
      <w:r>
        <w:t>mā, kas</w:t>
      </w:r>
      <w:r w:rsidRPr="00B05ADA">
        <w:t xml:space="preserve"> 2014. gadā </w:t>
      </w:r>
      <w:r>
        <w:t>ir 4 %, 2015. gadā tiks paaugstināta</w:t>
      </w:r>
      <w:r w:rsidRPr="00B05ADA">
        <w:t xml:space="preserve"> uz 5%</w:t>
      </w:r>
      <w:r>
        <w:t xml:space="preserve"> un 2016. gadā uz 6 procentiem.</w:t>
      </w:r>
    </w:p>
    <w:p w14:paraId="2B598568" w14:textId="77777777" w:rsidR="00A579BF" w:rsidRPr="00ED7A2C" w:rsidRDefault="00A579BF" w:rsidP="00D4599E">
      <w:pPr>
        <w:rPr>
          <w:highlight w:val="yellow"/>
        </w:rPr>
      </w:pPr>
    </w:p>
    <w:p w14:paraId="702C61C3" w14:textId="088976D0" w:rsidR="00D4599E" w:rsidRPr="00D4599E" w:rsidRDefault="00D4599E" w:rsidP="00D4599E">
      <w:pPr>
        <w:pStyle w:val="T"/>
        <w:jc w:val="right"/>
        <w:rPr>
          <w:rFonts w:ascii="Times New Roman" w:hAnsi="Times New Roman"/>
        </w:rPr>
      </w:pPr>
      <w:r w:rsidRPr="00D4599E">
        <w:rPr>
          <w:rFonts w:ascii="Times New Roman" w:hAnsi="Times New Roman"/>
        </w:rPr>
        <w:t>6.</w:t>
      </w:r>
      <w:r w:rsidR="009A6681">
        <w:rPr>
          <w:rFonts w:ascii="Times New Roman" w:hAnsi="Times New Roman"/>
        </w:rPr>
        <w:t>7</w:t>
      </w:r>
      <w:r w:rsidRPr="00D4599E">
        <w:rPr>
          <w:rFonts w:ascii="Times New Roman" w:hAnsi="Times New Roman"/>
        </w:rPr>
        <w:t xml:space="preserve">. tabula. Sociālās apdrošināšanas iemaksas valsts </w:t>
      </w:r>
      <w:proofErr w:type="spellStart"/>
      <w:r w:rsidRPr="00D4599E">
        <w:rPr>
          <w:rFonts w:ascii="Times New Roman" w:hAnsi="Times New Roman"/>
        </w:rPr>
        <w:t>fondēto</w:t>
      </w:r>
      <w:proofErr w:type="spellEnd"/>
      <w:r w:rsidRPr="00D4599E">
        <w:rPr>
          <w:rFonts w:ascii="Times New Roman" w:hAnsi="Times New Roman"/>
        </w:rPr>
        <w:t xml:space="preserve"> pensiju shēmā</w:t>
      </w:r>
    </w:p>
    <w:tbl>
      <w:tblPr>
        <w:tblW w:w="884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1823"/>
        <w:gridCol w:w="910"/>
        <w:gridCol w:w="3050"/>
        <w:gridCol w:w="3060"/>
      </w:tblGrid>
      <w:tr w:rsidR="00D4599E" w:rsidRPr="00AC0947" w14:paraId="530410D0" w14:textId="77777777" w:rsidTr="00D4599E">
        <w:trPr>
          <w:jc w:val="center"/>
        </w:trPr>
        <w:tc>
          <w:tcPr>
            <w:tcW w:w="1823" w:type="dxa"/>
            <w:tcBorders>
              <w:top w:val="double" w:sz="6" w:space="0" w:color="auto"/>
            </w:tcBorders>
            <w:vAlign w:val="center"/>
          </w:tcPr>
          <w:p w14:paraId="71AF71C5" w14:textId="77777777" w:rsidR="00D4599E" w:rsidRPr="00AC0947" w:rsidRDefault="00D4599E" w:rsidP="00D4599E">
            <w:pPr>
              <w:pStyle w:val="tabteksts"/>
              <w:jc w:val="center"/>
            </w:pPr>
            <w:r w:rsidRPr="00AC0947">
              <w:t>Periods</w:t>
            </w:r>
          </w:p>
        </w:tc>
        <w:tc>
          <w:tcPr>
            <w:tcW w:w="910" w:type="dxa"/>
            <w:tcBorders>
              <w:top w:val="double" w:sz="6" w:space="0" w:color="auto"/>
            </w:tcBorders>
            <w:vAlign w:val="center"/>
          </w:tcPr>
          <w:p w14:paraId="72AC7D30" w14:textId="77777777" w:rsidR="00D4599E" w:rsidRPr="00AC0947" w:rsidRDefault="00D4599E" w:rsidP="00D4599E">
            <w:pPr>
              <w:pStyle w:val="tabteksts"/>
              <w:jc w:val="center"/>
            </w:pPr>
            <w:r w:rsidRPr="00AC0947">
              <w:t>Iemaksu likme</w:t>
            </w:r>
          </w:p>
        </w:tc>
        <w:tc>
          <w:tcPr>
            <w:tcW w:w="3050" w:type="dxa"/>
            <w:tcBorders>
              <w:top w:val="double" w:sz="6" w:space="0" w:color="auto"/>
            </w:tcBorders>
            <w:vAlign w:val="center"/>
          </w:tcPr>
          <w:p w14:paraId="5E4B868F" w14:textId="77777777" w:rsidR="00D4599E" w:rsidRPr="00AC0947" w:rsidRDefault="00D4599E" w:rsidP="00D4599E">
            <w:pPr>
              <w:pStyle w:val="tabteksts"/>
              <w:jc w:val="center"/>
            </w:pPr>
            <w:r w:rsidRPr="00AC0947">
              <w:t xml:space="preserve">Prognozētās sociālās apdrošināšanas iemaksas valsts </w:t>
            </w:r>
            <w:proofErr w:type="spellStart"/>
            <w:r w:rsidRPr="00AC0947">
              <w:t>fondēto</w:t>
            </w:r>
            <w:proofErr w:type="spellEnd"/>
            <w:r w:rsidRPr="00AC0947">
              <w:t xml:space="preserve"> pensiju shēmā, milj. </w:t>
            </w:r>
            <w:proofErr w:type="spellStart"/>
            <w:r w:rsidRPr="00AC0947">
              <w:rPr>
                <w:i/>
              </w:rPr>
              <w:t>euro</w:t>
            </w:r>
            <w:proofErr w:type="spellEnd"/>
          </w:p>
        </w:tc>
        <w:tc>
          <w:tcPr>
            <w:tcW w:w="3060" w:type="dxa"/>
            <w:tcBorders>
              <w:top w:val="double" w:sz="6" w:space="0" w:color="auto"/>
            </w:tcBorders>
            <w:vAlign w:val="center"/>
          </w:tcPr>
          <w:p w14:paraId="1275F9FD" w14:textId="77777777" w:rsidR="00D4599E" w:rsidRPr="00AC0947" w:rsidRDefault="00D4599E" w:rsidP="00D4599E">
            <w:pPr>
              <w:pStyle w:val="tabteksts"/>
              <w:jc w:val="center"/>
            </w:pPr>
            <w:r w:rsidRPr="00AC0947">
              <w:t xml:space="preserve">Prognozētās sociālās apdrošināšanas iemaksas valsts </w:t>
            </w:r>
            <w:proofErr w:type="spellStart"/>
            <w:r w:rsidRPr="00AC0947">
              <w:t>fondēto</w:t>
            </w:r>
            <w:proofErr w:type="spellEnd"/>
            <w:r w:rsidRPr="00AC0947">
              <w:t xml:space="preserve"> pensiju shēmā, % no IKP</w:t>
            </w:r>
          </w:p>
        </w:tc>
      </w:tr>
      <w:tr w:rsidR="00D4599E" w:rsidRPr="00AC0947" w14:paraId="6788319F" w14:textId="77777777" w:rsidTr="00D4599E">
        <w:trPr>
          <w:jc w:val="center"/>
        </w:trPr>
        <w:tc>
          <w:tcPr>
            <w:tcW w:w="1823" w:type="dxa"/>
          </w:tcPr>
          <w:p w14:paraId="5E05D45A" w14:textId="77777777" w:rsidR="00D4599E" w:rsidRPr="00AC0947" w:rsidRDefault="00D4599E" w:rsidP="00D4599E">
            <w:pPr>
              <w:pStyle w:val="tabteksts"/>
            </w:pPr>
            <w:r w:rsidRPr="00AC0947">
              <w:t>2014. gads</w:t>
            </w:r>
          </w:p>
        </w:tc>
        <w:tc>
          <w:tcPr>
            <w:tcW w:w="910" w:type="dxa"/>
          </w:tcPr>
          <w:p w14:paraId="20B063E7" w14:textId="77777777" w:rsidR="00D4599E" w:rsidRPr="00AC0947" w:rsidRDefault="00D4599E" w:rsidP="00D4599E">
            <w:pPr>
              <w:pStyle w:val="tabteksts"/>
              <w:jc w:val="center"/>
            </w:pPr>
            <w:r w:rsidRPr="00AC0947">
              <w:t>4%</w:t>
            </w:r>
          </w:p>
        </w:tc>
        <w:tc>
          <w:tcPr>
            <w:tcW w:w="3050" w:type="dxa"/>
          </w:tcPr>
          <w:p w14:paraId="29F55B47" w14:textId="77777777" w:rsidR="00D4599E" w:rsidRPr="00AC0947" w:rsidRDefault="00D4599E" w:rsidP="00D4599E">
            <w:pPr>
              <w:pStyle w:val="tabteksts"/>
              <w:jc w:val="center"/>
            </w:pPr>
            <w:r w:rsidRPr="00AC0947">
              <w:t>244,2</w:t>
            </w:r>
          </w:p>
        </w:tc>
        <w:tc>
          <w:tcPr>
            <w:tcW w:w="3060" w:type="dxa"/>
          </w:tcPr>
          <w:p w14:paraId="44BB7BC6" w14:textId="77777777" w:rsidR="00D4599E" w:rsidRPr="00AC0947" w:rsidRDefault="00D4599E" w:rsidP="00D4599E">
            <w:pPr>
              <w:pStyle w:val="tabteksts"/>
              <w:jc w:val="center"/>
            </w:pPr>
            <w:r w:rsidRPr="00AC0947">
              <w:t>1,0%</w:t>
            </w:r>
          </w:p>
        </w:tc>
      </w:tr>
      <w:tr w:rsidR="00D4599E" w:rsidRPr="00AC0947" w14:paraId="2D9AEB5B" w14:textId="77777777" w:rsidTr="00D4599E">
        <w:trPr>
          <w:jc w:val="center"/>
        </w:trPr>
        <w:tc>
          <w:tcPr>
            <w:tcW w:w="1823" w:type="dxa"/>
          </w:tcPr>
          <w:p w14:paraId="6EE480AB" w14:textId="77777777" w:rsidR="00D4599E" w:rsidRPr="00AC0947" w:rsidRDefault="00D4599E" w:rsidP="00D4599E">
            <w:pPr>
              <w:pStyle w:val="tabteksts"/>
            </w:pPr>
            <w:r w:rsidRPr="00AC0947">
              <w:t>2015. gads</w:t>
            </w:r>
          </w:p>
        </w:tc>
        <w:tc>
          <w:tcPr>
            <w:tcW w:w="910" w:type="dxa"/>
          </w:tcPr>
          <w:p w14:paraId="4F290D24" w14:textId="77777777" w:rsidR="00D4599E" w:rsidRPr="00AC0947" w:rsidRDefault="00D4599E" w:rsidP="00D4599E">
            <w:pPr>
              <w:pStyle w:val="tabteksts"/>
              <w:jc w:val="center"/>
            </w:pPr>
            <w:r w:rsidRPr="00AC0947">
              <w:t>5%</w:t>
            </w:r>
          </w:p>
        </w:tc>
        <w:tc>
          <w:tcPr>
            <w:tcW w:w="3050" w:type="dxa"/>
          </w:tcPr>
          <w:p w14:paraId="74EA0301" w14:textId="77777777" w:rsidR="00D4599E" w:rsidRPr="00AC0947" w:rsidRDefault="00D4599E" w:rsidP="00D4599E">
            <w:pPr>
              <w:pStyle w:val="tabteksts"/>
              <w:jc w:val="center"/>
            </w:pPr>
            <w:r w:rsidRPr="00AC0947">
              <w:t>298,3</w:t>
            </w:r>
          </w:p>
        </w:tc>
        <w:tc>
          <w:tcPr>
            <w:tcW w:w="3060" w:type="dxa"/>
          </w:tcPr>
          <w:p w14:paraId="508230E7" w14:textId="77777777" w:rsidR="00D4599E" w:rsidRPr="00AC0947" w:rsidRDefault="00D4599E" w:rsidP="00D4599E">
            <w:pPr>
              <w:pStyle w:val="tabteksts"/>
              <w:jc w:val="center"/>
            </w:pPr>
            <w:r w:rsidRPr="00AC0947">
              <w:t>1,1%</w:t>
            </w:r>
          </w:p>
        </w:tc>
      </w:tr>
      <w:tr w:rsidR="00D4599E" w:rsidRPr="00AC0947" w14:paraId="32FF8731" w14:textId="77777777" w:rsidTr="00D4599E">
        <w:trPr>
          <w:jc w:val="center"/>
        </w:trPr>
        <w:tc>
          <w:tcPr>
            <w:tcW w:w="1823" w:type="dxa"/>
          </w:tcPr>
          <w:p w14:paraId="2B43C8F1" w14:textId="77777777" w:rsidR="00D4599E" w:rsidRPr="00AC0947" w:rsidRDefault="00D4599E" w:rsidP="00D4599E">
            <w:pPr>
              <w:pStyle w:val="tabteksts"/>
            </w:pPr>
            <w:r w:rsidRPr="00AC0947">
              <w:t>2016. gads</w:t>
            </w:r>
          </w:p>
        </w:tc>
        <w:tc>
          <w:tcPr>
            <w:tcW w:w="910" w:type="dxa"/>
          </w:tcPr>
          <w:p w14:paraId="628098F2" w14:textId="77777777" w:rsidR="00D4599E" w:rsidRPr="00AC0947" w:rsidRDefault="00D4599E" w:rsidP="00D4599E">
            <w:pPr>
              <w:pStyle w:val="tabteksts"/>
              <w:jc w:val="center"/>
            </w:pPr>
            <w:r w:rsidRPr="00AC0947">
              <w:t>6%</w:t>
            </w:r>
          </w:p>
        </w:tc>
        <w:tc>
          <w:tcPr>
            <w:tcW w:w="3050" w:type="dxa"/>
          </w:tcPr>
          <w:p w14:paraId="7A785C1E" w14:textId="77777777" w:rsidR="00D4599E" w:rsidRPr="00AC0947" w:rsidRDefault="00D4599E" w:rsidP="00D4599E">
            <w:pPr>
              <w:pStyle w:val="tabteksts"/>
              <w:jc w:val="center"/>
            </w:pPr>
            <w:r w:rsidRPr="00AC0947">
              <w:t>382,8</w:t>
            </w:r>
          </w:p>
        </w:tc>
        <w:tc>
          <w:tcPr>
            <w:tcW w:w="3060" w:type="dxa"/>
          </w:tcPr>
          <w:p w14:paraId="7672F3CA" w14:textId="77777777" w:rsidR="00D4599E" w:rsidRPr="00AC0947" w:rsidRDefault="00D4599E" w:rsidP="00D4599E">
            <w:pPr>
              <w:pStyle w:val="tabteksts"/>
              <w:jc w:val="center"/>
            </w:pPr>
            <w:r w:rsidRPr="00AC0947">
              <w:t>1,4%</w:t>
            </w:r>
          </w:p>
        </w:tc>
      </w:tr>
      <w:tr w:rsidR="00D4599E" w:rsidRPr="00ED7A2C" w14:paraId="0D0149FB" w14:textId="77777777" w:rsidTr="00D4599E">
        <w:trPr>
          <w:jc w:val="center"/>
        </w:trPr>
        <w:tc>
          <w:tcPr>
            <w:tcW w:w="1823" w:type="dxa"/>
          </w:tcPr>
          <w:p w14:paraId="0FF2318E" w14:textId="77777777" w:rsidR="00D4599E" w:rsidRPr="00AC0947" w:rsidRDefault="00D4599E" w:rsidP="00D4599E">
            <w:pPr>
              <w:pStyle w:val="tabteksts"/>
            </w:pPr>
            <w:r w:rsidRPr="00AC0947">
              <w:t>2017. gads</w:t>
            </w:r>
          </w:p>
        </w:tc>
        <w:tc>
          <w:tcPr>
            <w:tcW w:w="910" w:type="dxa"/>
          </w:tcPr>
          <w:p w14:paraId="5963C464" w14:textId="77777777" w:rsidR="00D4599E" w:rsidRPr="00AC0947" w:rsidRDefault="00D4599E" w:rsidP="00D4599E">
            <w:pPr>
              <w:pStyle w:val="tabteksts"/>
              <w:jc w:val="center"/>
            </w:pPr>
            <w:r w:rsidRPr="00AC0947">
              <w:t>6%</w:t>
            </w:r>
          </w:p>
        </w:tc>
        <w:tc>
          <w:tcPr>
            <w:tcW w:w="3050" w:type="dxa"/>
          </w:tcPr>
          <w:p w14:paraId="637205D2" w14:textId="77777777" w:rsidR="00D4599E" w:rsidRPr="00AC0947" w:rsidRDefault="00D4599E" w:rsidP="00D4599E">
            <w:pPr>
              <w:pStyle w:val="tabteksts"/>
              <w:jc w:val="center"/>
            </w:pPr>
            <w:r w:rsidRPr="00AC0947">
              <w:t>427,4</w:t>
            </w:r>
          </w:p>
        </w:tc>
        <w:tc>
          <w:tcPr>
            <w:tcW w:w="3060" w:type="dxa"/>
          </w:tcPr>
          <w:p w14:paraId="28562CCC" w14:textId="77777777" w:rsidR="00D4599E" w:rsidRPr="00AC0947" w:rsidRDefault="00D4599E" w:rsidP="00D4599E">
            <w:pPr>
              <w:pStyle w:val="tabteksts"/>
              <w:jc w:val="center"/>
            </w:pPr>
            <w:r w:rsidRPr="00AC0947">
              <w:t>1,4%</w:t>
            </w:r>
          </w:p>
        </w:tc>
      </w:tr>
    </w:tbl>
    <w:p w14:paraId="245FA9B2" w14:textId="77777777" w:rsidR="00A579BF" w:rsidRDefault="00A579BF" w:rsidP="00D4599E">
      <w:pPr>
        <w:pStyle w:val="H4"/>
        <w:rPr>
          <w:rFonts w:ascii="Times New Roman" w:hAnsi="Times New Roman"/>
          <w:sz w:val="24"/>
          <w:szCs w:val="24"/>
        </w:rPr>
      </w:pPr>
    </w:p>
    <w:p w14:paraId="14F51D68" w14:textId="77777777" w:rsidR="00D4599E" w:rsidRPr="00941CEC" w:rsidRDefault="00D4599E" w:rsidP="00D4599E">
      <w:pPr>
        <w:pStyle w:val="H4"/>
        <w:rPr>
          <w:rFonts w:ascii="Times New Roman" w:hAnsi="Times New Roman"/>
          <w:sz w:val="24"/>
          <w:szCs w:val="24"/>
        </w:rPr>
      </w:pPr>
      <w:r w:rsidRPr="00941CEC">
        <w:rPr>
          <w:rFonts w:ascii="Times New Roman" w:hAnsi="Times New Roman"/>
          <w:sz w:val="24"/>
          <w:szCs w:val="24"/>
        </w:rPr>
        <w:t>Dabas resursu nodoklis</w:t>
      </w:r>
    </w:p>
    <w:p w14:paraId="1A75CA3E" w14:textId="77777777" w:rsidR="00D4599E" w:rsidRDefault="00D4599E" w:rsidP="00D4599E">
      <w:pPr>
        <w:rPr>
          <w:bCs/>
          <w:sz w:val="23"/>
          <w:szCs w:val="23"/>
        </w:rPr>
      </w:pPr>
      <w:r w:rsidRPr="00B05ADA">
        <w:t>201</w:t>
      </w:r>
      <w:r>
        <w:t>4. gadā dabas resursu nodoklis tiek prognozēts ar 21,7</w:t>
      </w:r>
      <w:r w:rsidRPr="00B05ADA">
        <w:t> % pieaugumu attiecībā pret 2013. gadu.</w:t>
      </w:r>
    </w:p>
    <w:p w14:paraId="33DC6D7D" w14:textId="77777777" w:rsidR="00D4599E" w:rsidRPr="003D243A" w:rsidRDefault="00D4599E" w:rsidP="00D4599E">
      <w:pPr>
        <w:pStyle w:val="Default"/>
        <w:ind w:firstLine="567"/>
        <w:jc w:val="both"/>
        <w:rPr>
          <w:bCs/>
          <w:color w:val="auto"/>
          <w:sz w:val="23"/>
          <w:szCs w:val="23"/>
        </w:rPr>
      </w:pPr>
      <w:r>
        <w:rPr>
          <w:bCs/>
          <w:color w:val="auto"/>
          <w:sz w:val="23"/>
          <w:szCs w:val="23"/>
        </w:rPr>
        <w:t>No 2014.gada 1.janvāra tika</w:t>
      </w:r>
      <w:r w:rsidRPr="003D243A">
        <w:rPr>
          <w:bCs/>
          <w:color w:val="auto"/>
          <w:sz w:val="23"/>
          <w:szCs w:val="23"/>
        </w:rPr>
        <w:t xml:space="preserve"> ieviesti jaun</w:t>
      </w:r>
      <w:r>
        <w:rPr>
          <w:bCs/>
          <w:color w:val="auto"/>
          <w:sz w:val="23"/>
          <w:szCs w:val="23"/>
        </w:rPr>
        <w:t xml:space="preserve">i dabas resursu nodokļa objekti - </w:t>
      </w:r>
      <w:r w:rsidRPr="003D243A">
        <w:rPr>
          <w:bCs/>
          <w:color w:val="auto"/>
          <w:sz w:val="23"/>
          <w:szCs w:val="23"/>
        </w:rPr>
        <w:t>ūdeņu lietošana (caurplūde) hidrotehniskajos un zivsaimniecības objektos, arī hidroelektrostacijās, kuru hidromezgla kopējā uzstādītā jauda ir lielāka par diviem megavatiem, ūdenskrātuvēs, zivju audzētavās un dīķsaimniecībā (likme 0,00853 </w:t>
      </w:r>
      <w:proofErr w:type="spellStart"/>
      <w:r w:rsidRPr="003D243A">
        <w:rPr>
          <w:bCs/>
          <w:i/>
          <w:color w:val="auto"/>
          <w:sz w:val="23"/>
          <w:szCs w:val="23"/>
        </w:rPr>
        <w:t>euro</w:t>
      </w:r>
      <w:proofErr w:type="spellEnd"/>
      <w:r w:rsidRPr="003D243A">
        <w:rPr>
          <w:bCs/>
          <w:color w:val="auto"/>
          <w:sz w:val="23"/>
          <w:szCs w:val="23"/>
        </w:rPr>
        <w:t xml:space="preserve"> par 100 kubikmetriem hidrotehni</w:t>
      </w:r>
      <w:r>
        <w:rPr>
          <w:bCs/>
          <w:color w:val="auto"/>
          <w:sz w:val="23"/>
          <w:szCs w:val="23"/>
        </w:rPr>
        <w:t xml:space="preserve">skajai būvei caurplūdušā ūdens) un </w:t>
      </w:r>
      <w:r w:rsidRPr="003D243A">
        <w:rPr>
          <w:bCs/>
          <w:color w:val="auto"/>
          <w:sz w:val="23"/>
          <w:szCs w:val="23"/>
        </w:rPr>
        <w:t>uguņošanas ierīces (</w:t>
      </w:r>
      <w:r w:rsidRPr="003D243A">
        <w:rPr>
          <w:color w:val="auto"/>
        </w:rPr>
        <w:t xml:space="preserve">likme </w:t>
      </w:r>
      <w:r w:rsidRPr="003D243A">
        <w:rPr>
          <w:bCs/>
          <w:color w:val="auto"/>
        </w:rPr>
        <w:t>5%</w:t>
      </w:r>
      <w:r w:rsidRPr="003D243A">
        <w:rPr>
          <w:color w:val="auto"/>
        </w:rPr>
        <w:t xml:space="preserve"> no paredzētā ierīču ievešanas apjoma kopsummas, kas uzrādīta Latvijas Republikas Stratēģiskas nozīmes preču kontroles komitejas izsniegtajā ievešanas licencē).</w:t>
      </w:r>
    </w:p>
    <w:p w14:paraId="2A611A65" w14:textId="77777777" w:rsidR="00D4599E" w:rsidRPr="003D243A" w:rsidRDefault="00D4599E" w:rsidP="00D4599E">
      <w:pPr>
        <w:pStyle w:val="Default"/>
        <w:ind w:firstLine="567"/>
        <w:jc w:val="both"/>
        <w:rPr>
          <w:bCs/>
          <w:color w:val="auto"/>
          <w:sz w:val="23"/>
          <w:szCs w:val="23"/>
        </w:rPr>
      </w:pPr>
      <w:r>
        <w:rPr>
          <w:bCs/>
          <w:color w:val="auto"/>
          <w:sz w:val="23"/>
          <w:szCs w:val="23"/>
        </w:rPr>
        <w:t>No 2014.gada 1.janvāra tika arī</w:t>
      </w:r>
      <w:r w:rsidRPr="003D243A">
        <w:rPr>
          <w:bCs/>
          <w:color w:val="auto"/>
          <w:sz w:val="23"/>
          <w:szCs w:val="23"/>
        </w:rPr>
        <w:t xml:space="preserve"> paaugstinātas dabas resursu nodokļa likmes:</w:t>
      </w:r>
    </w:p>
    <w:p w14:paraId="6A3E6131" w14:textId="77777777" w:rsidR="00D4599E" w:rsidRPr="003D243A" w:rsidRDefault="00D4599E" w:rsidP="00D4599E">
      <w:pPr>
        <w:pStyle w:val="Default"/>
        <w:numPr>
          <w:ilvl w:val="0"/>
          <w:numId w:val="18"/>
        </w:numPr>
        <w:jc w:val="both"/>
        <w:rPr>
          <w:bCs/>
          <w:color w:val="auto"/>
          <w:sz w:val="23"/>
          <w:szCs w:val="23"/>
        </w:rPr>
      </w:pPr>
      <w:r w:rsidRPr="003D243A">
        <w:rPr>
          <w:bCs/>
          <w:color w:val="auto"/>
          <w:sz w:val="23"/>
          <w:szCs w:val="23"/>
        </w:rPr>
        <w:t xml:space="preserve">par dabas resursu ieguvi; </w:t>
      </w:r>
    </w:p>
    <w:p w14:paraId="76238018" w14:textId="77777777" w:rsidR="00D4599E" w:rsidRPr="003D243A" w:rsidRDefault="00D4599E" w:rsidP="00D4599E">
      <w:pPr>
        <w:pStyle w:val="Default"/>
        <w:numPr>
          <w:ilvl w:val="0"/>
          <w:numId w:val="18"/>
        </w:numPr>
        <w:jc w:val="both"/>
        <w:rPr>
          <w:bCs/>
          <w:color w:val="auto"/>
          <w:sz w:val="23"/>
          <w:szCs w:val="23"/>
        </w:rPr>
      </w:pPr>
      <w:r w:rsidRPr="003D243A">
        <w:rPr>
          <w:bCs/>
          <w:color w:val="auto"/>
          <w:sz w:val="23"/>
          <w:szCs w:val="23"/>
        </w:rPr>
        <w:t>par atkritumu apglabāšanu;</w:t>
      </w:r>
    </w:p>
    <w:p w14:paraId="4AF61D1E" w14:textId="77777777" w:rsidR="00D4599E" w:rsidRPr="003D243A" w:rsidRDefault="00D4599E" w:rsidP="00D4599E">
      <w:pPr>
        <w:pStyle w:val="Default"/>
        <w:numPr>
          <w:ilvl w:val="0"/>
          <w:numId w:val="18"/>
        </w:numPr>
        <w:jc w:val="both"/>
        <w:rPr>
          <w:bCs/>
          <w:color w:val="auto"/>
          <w:sz w:val="23"/>
          <w:szCs w:val="23"/>
        </w:rPr>
      </w:pPr>
      <w:r w:rsidRPr="003D243A">
        <w:rPr>
          <w:bCs/>
          <w:color w:val="auto"/>
          <w:sz w:val="23"/>
          <w:szCs w:val="23"/>
        </w:rPr>
        <w:t>par gaisa un ūdeņu piesārņošanu;</w:t>
      </w:r>
    </w:p>
    <w:p w14:paraId="5EC7E03D" w14:textId="77777777" w:rsidR="00D4599E" w:rsidRPr="003D243A" w:rsidRDefault="00D4599E" w:rsidP="00D4599E">
      <w:pPr>
        <w:pStyle w:val="Default"/>
        <w:numPr>
          <w:ilvl w:val="0"/>
          <w:numId w:val="18"/>
        </w:numPr>
        <w:jc w:val="both"/>
        <w:rPr>
          <w:bCs/>
          <w:color w:val="auto"/>
          <w:sz w:val="23"/>
          <w:szCs w:val="23"/>
        </w:rPr>
      </w:pPr>
      <w:r w:rsidRPr="003D243A">
        <w:rPr>
          <w:bCs/>
          <w:color w:val="auto"/>
          <w:sz w:val="23"/>
          <w:szCs w:val="23"/>
        </w:rPr>
        <w:t>par videi kaitīgām precēm;</w:t>
      </w:r>
    </w:p>
    <w:p w14:paraId="34F263EB" w14:textId="77777777" w:rsidR="00D4599E" w:rsidRPr="003D243A" w:rsidRDefault="00D4599E" w:rsidP="00D4599E">
      <w:pPr>
        <w:pStyle w:val="Default"/>
        <w:numPr>
          <w:ilvl w:val="0"/>
          <w:numId w:val="18"/>
        </w:numPr>
        <w:jc w:val="both"/>
        <w:rPr>
          <w:bCs/>
          <w:color w:val="auto"/>
          <w:sz w:val="23"/>
          <w:szCs w:val="23"/>
        </w:rPr>
      </w:pPr>
      <w:r w:rsidRPr="003D243A">
        <w:rPr>
          <w:bCs/>
          <w:color w:val="auto"/>
          <w:sz w:val="23"/>
          <w:szCs w:val="23"/>
        </w:rPr>
        <w:t>par nolietotiem transportlīdzekļiem;</w:t>
      </w:r>
    </w:p>
    <w:p w14:paraId="51F00D74" w14:textId="77777777" w:rsidR="00D4599E" w:rsidRDefault="00D4599E" w:rsidP="00D4599E">
      <w:pPr>
        <w:pStyle w:val="Default"/>
        <w:numPr>
          <w:ilvl w:val="0"/>
          <w:numId w:val="18"/>
        </w:numPr>
        <w:jc w:val="both"/>
        <w:rPr>
          <w:bCs/>
          <w:color w:val="auto"/>
          <w:sz w:val="23"/>
          <w:szCs w:val="23"/>
        </w:rPr>
      </w:pPr>
      <w:r w:rsidRPr="003D243A">
        <w:rPr>
          <w:bCs/>
          <w:color w:val="auto"/>
          <w:sz w:val="23"/>
          <w:szCs w:val="23"/>
        </w:rPr>
        <w:t>par preču un izstrādājumu iepakojumu un vienreiz lietojamiem galda traukiem un piederumiem.</w:t>
      </w:r>
    </w:p>
    <w:p w14:paraId="1EA9B4D0" w14:textId="77777777" w:rsidR="004B74A0" w:rsidRPr="003D243A" w:rsidRDefault="004B74A0" w:rsidP="004B74A0">
      <w:pPr>
        <w:pStyle w:val="Default"/>
        <w:ind w:left="1440"/>
        <w:jc w:val="both"/>
        <w:rPr>
          <w:bCs/>
          <w:color w:val="auto"/>
          <w:sz w:val="23"/>
          <w:szCs w:val="23"/>
        </w:rPr>
      </w:pPr>
    </w:p>
    <w:p w14:paraId="36E5D19F" w14:textId="394BE17A" w:rsidR="00D4599E" w:rsidRPr="00D4599E" w:rsidRDefault="00D4599E" w:rsidP="00D4599E">
      <w:pPr>
        <w:pStyle w:val="T"/>
        <w:spacing w:after="0"/>
        <w:ind w:left="0"/>
        <w:jc w:val="right"/>
        <w:rPr>
          <w:rFonts w:ascii="Times New Roman" w:hAnsi="Times New Roman"/>
        </w:rPr>
      </w:pPr>
      <w:r>
        <w:rPr>
          <w:rFonts w:ascii="Times New Roman" w:hAnsi="Times New Roman"/>
        </w:rPr>
        <w:t>6</w:t>
      </w:r>
      <w:r w:rsidRPr="00D4599E">
        <w:rPr>
          <w:rFonts w:ascii="Times New Roman" w:hAnsi="Times New Roman"/>
        </w:rPr>
        <w:t>.</w:t>
      </w:r>
      <w:r w:rsidR="009A6681">
        <w:rPr>
          <w:rFonts w:ascii="Times New Roman" w:hAnsi="Times New Roman"/>
        </w:rPr>
        <w:t>8</w:t>
      </w:r>
      <w:r w:rsidRPr="00D4599E">
        <w:rPr>
          <w:rFonts w:ascii="Times New Roman" w:hAnsi="Times New Roman"/>
        </w:rPr>
        <w:t>. tabula. Nodokļu politikas būtiskāko izmaiņu ietekme uz dabas resursu nodokļa ieņēmumiem, milj. </w:t>
      </w:r>
      <w:proofErr w:type="spellStart"/>
      <w:r w:rsidRPr="00D4599E">
        <w:rPr>
          <w:rFonts w:ascii="Times New Roman" w:hAnsi="Times New Roman"/>
          <w:i/>
          <w:szCs w:val="24"/>
        </w:rPr>
        <w:t>euro</w:t>
      </w:r>
      <w:proofErr w:type="spellEnd"/>
      <w:r w:rsidRPr="00D4599E">
        <w:rPr>
          <w:rFonts w:ascii="Times New Roman" w:hAnsi="Times New Roman"/>
        </w:rPr>
        <w:t xml:space="preserve"> </w:t>
      </w:r>
    </w:p>
    <w:tbl>
      <w:tblPr>
        <w:tblStyle w:val="TableGrid"/>
        <w:tblW w:w="7621"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771"/>
        <w:gridCol w:w="850"/>
      </w:tblGrid>
      <w:tr w:rsidR="00D4599E" w:rsidRPr="00ED7A2C" w14:paraId="16FD4EAA" w14:textId="77777777" w:rsidTr="003148B4">
        <w:trPr>
          <w:jc w:val="center"/>
        </w:trPr>
        <w:tc>
          <w:tcPr>
            <w:tcW w:w="6771" w:type="dxa"/>
          </w:tcPr>
          <w:p w14:paraId="29A782DA" w14:textId="77777777" w:rsidR="00D4599E" w:rsidRPr="00CC6591" w:rsidRDefault="00D4599E" w:rsidP="00D4599E">
            <w:pPr>
              <w:pStyle w:val="tabteksts"/>
            </w:pPr>
          </w:p>
        </w:tc>
        <w:tc>
          <w:tcPr>
            <w:tcW w:w="850" w:type="dxa"/>
          </w:tcPr>
          <w:p w14:paraId="1A53AC15" w14:textId="77777777" w:rsidR="00D4599E" w:rsidRPr="00CC6591" w:rsidRDefault="00D4599E" w:rsidP="00D4599E">
            <w:pPr>
              <w:pStyle w:val="tabteksts"/>
              <w:tabs>
                <w:tab w:val="decimal" w:pos="-12114"/>
              </w:tabs>
              <w:jc w:val="center"/>
              <w:rPr>
                <w:b/>
              </w:rPr>
            </w:pPr>
            <w:r w:rsidRPr="00CC6591">
              <w:rPr>
                <w:b/>
              </w:rPr>
              <w:t>2014</w:t>
            </w:r>
          </w:p>
        </w:tc>
      </w:tr>
      <w:tr w:rsidR="00D4599E" w:rsidRPr="00ED7A2C" w14:paraId="013B0BB2" w14:textId="77777777" w:rsidTr="003148B4">
        <w:trPr>
          <w:jc w:val="center"/>
        </w:trPr>
        <w:tc>
          <w:tcPr>
            <w:tcW w:w="6771" w:type="dxa"/>
          </w:tcPr>
          <w:p w14:paraId="0EBF899B" w14:textId="05C62C6D" w:rsidR="00D4599E" w:rsidRPr="00ED7A2C" w:rsidRDefault="00D4599E" w:rsidP="00AB6336">
            <w:pPr>
              <w:pStyle w:val="tabteksts"/>
              <w:jc w:val="both"/>
              <w:rPr>
                <w:highlight w:val="yellow"/>
              </w:rPr>
            </w:pPr>
            <w:r>
              <w:t>Mazo hidroelektrostaciju</w:t>
            </w:r>
            <w:r w:rsidRPr="00941CEC">
              <w:t xml:space="preserve"> (HES)</w:t>
            </w:r>
            <w:r>
              <w:t xml:space="preserve"> aplikšana ar</w:t>
            </w:r>
            <w:r w:rsidR="00AB6336">
              <w:t xml:space="preserve"> dabas resursu nodokli</w:t>
            </w:r>
          </w:p>
        </w:tc>
        <w:tc>
          <w:tcPr>
            <w:tcW w:w="850" w:type="dxa"/>
            <w:vAlign w:val="center"/>
          </w:tcPr>
          <w:p w14:paraId="650EBB79" w14:textId="77777777" w:rsidR="00D4599E" w:rsidRPr="00CC6591" w:rsidRDefault="00D4599E" w:rsidP="00980148">
            <w:pPr>
              <w:ind w:firstLine="0"/>
              <w:jc w:val="right"/>
              <w:rPr>
                <w:sz w:val="20"/>
              </w:rPr>
            </w:pPr>
            <w:r w:rsidRPr="00CC6591">
              <w:rPr>
                <w:sz w:val="20"/>
              </w:rPr>
              <w:t>+1,3</w:t>
            </w:r>
          </w:p>
        </w:tc>
      </w:tr>
      <w:tr w:rsidR="00D4599E" w:rsidRPr="00ED7A2C" w14:paraId="21C4C611" w14:textId="77777777" w:rsidTr="003148B4">
        <w:trPr>
          <w:jc w:val="center"/>
        </w:trPr>
        <w:tc>
          <w:tcPr>
            <w:tcW w:w="6771" w:type="dxa"/>
          </w:tcPr>
          <w:p w14:paraId="513C4D02" w14:textId="77777777" w:rsidR="00D4599E" w:rsidRPr="00ED7A2C" w:rsidRDefault="00D4599E" w:rsidP="00AB6336">
            <w:pPr>
              <w:pStyle w:val="tabteksts"/>
              <w:jc w:val="both"/>
              <w:rPr>
                <w:highlight w:val="yellow"/>
              </w:rPr>
            </w:pPr>
            <w:r>
              <w:t>Reklāmas izdevumu un materiālu, uguņošanas ierīču aplikšana ar DRN</w:t>
            </w:r>
          </w:p>
        </w:tc>
        <w:tc>
          <w:tcPr>
            <w:tcW w:w="850" w:type="dxa"/>
            <w:vAlign w:val="center"/>
          </w:tcPr>
          <w:p w14:paraId="1163190D" w14:textId="77777777" w:rsidR="00D4599E" w:rsidRPr="00CC6591" w:rsidRDefault="00D4599E" w:rsidP="00980148">
            <w:pPr>
              <w:ind w:firstLine="0"/>
              <w:jc w:val="right"/>
              <w:rPr>
                <w:sz w:val="20"/>
              </w:rPr>
            </w:pPr>
            <w:r w:rsidRPr="00CC6591">
              <w:rPr>
                <w:sz w:val="20"/>
              </w:rPr>
              <w:t>+3,1</w:t>
            </w:r>
          </w:p>
        </w:tc>
      </w:tr>
      <w:tr w:rsidR="00D4599E" w:rsidRPr="00ED7A2C" w14:paraId="3E8728FF" w14:textId="77777777" w:rsidTr="003148B4">
        <w:trPr>
          <w:trHeight w:val="210"/>
          <w:jc w:val="center"/>
        </w:trPr>
        <w:tc>
          <w:tcPr>
            <w:tcW w:w="6771" w:type="dxa"/>
          </w:tcPr>
          <w:p w14:paraId="14EF3273" w14:textId="77777777" w:rsidR="00D4599E" w:rsidRPr="00ED7A2C" w:rsidRDefault="00D4599E" w:rsidP="00AB6336">
            <w:pPr>
              <w:pStyle w:val="tabteksts"/>
              <w:jc w:val="both"/>
              <w:rPr>
                <w:highlight w:val="yellow"/>
              </w:rPr>
            </w:pPr>
            <w:r>
              <w:t>DRN likmes palielināšana</w:t>
            </w:r>
            <w:r>
              <w:rPr>
                <w:rStyle w:val="FootnoteReference"/>
              </w:rPr>
              <w:footnoteReference w:id="17"/>
            </w:r>
          </w:p>
        </w:tc>
        <w:tc>
          <w:tcPr>
            <w:tcW w:w="850" w:type="dxa"/>
            <w:vAlign w:val="center"/>
          </w:tcPr>
          <w:p w14:paraId="376F2910" w14:textId="77777777" w:rsidR="00D4599E" w:rsidRPr="00CC6591" w:rsidRDefault="00D4599E" w:rsidP="00980148">
            <w:pPr>
              <w:ind w:firstLine="0"/>
              <w:jc w:val="right"/>
              <w:rPr>
                <w:sz w:val="20"/>
              </w:rPr>
            </w:pPr>
            <w:r>
              <w:rPr>
                <w:sz w:val="20"/>
              </w:rPr>
              <w:t>+2,6</w:t>
            </w:r>
          </w:p>
        </w:tc>
      </w:tr>
      <w:tr w:rsidR="00D4599E" w:rsidRPr="00ED7A2C" w14:paraId="6C62969F" w14:textId="77777777" w:rsidTr="003148B4">
        <w:trPr>
          <w:jc w:val="center"/>
        </w:trPr>
        <w:tc>
          <w:tcPr>
            <w:tcW w:w="6771" w:type="dxa"/>
          </w:tcPr>
          <w:p w14:paraId="623CA4D6" w14:textId="77777777" w:rsidR="00D4599E" w:rsidRPr="00CC6591" w:rsidRDefault="00D4599E" w:rsidP="00AB6336">
            <w:pPr>
              <w:pStyle w:val="tabteksts"/>
              <w:jc w:val="both"/>
            </w:pPr>
            <w:r w:rsidRPr="00CC6591">
              <w:t xml:space="preserve">Izmaiņas iepriekš plānotajos grozījumos - reklāmas izdevumi un materiāli netiek aplikti, visām uguņošanas ierīcēm piemēro likmi 5% apmērā no paredzētā šo ierīču ievešanas apjoma kopsummas, </w:t>
            </w:r>
            <w:proofErr w:type="spellStart"/>
            <w:r w:rsidRPr="00CC6591">
              <w:t>ģipšakmenim</w:t>
            </w:r>
            <w:proofErr w:type="spellEnd"/>
            <w:r w:rsidRPr="00CC6591">
              <w:t xml:space="preserve"> likmi paaugstina pakāpeniski, mazajiem HES likme ir 0,00853 </w:t>
            </w:r>
            <w:proofErr w:type="spellStart"/>
            <w:r w:rsidRPr="00CC6591">
              <w:rPr>
                <w:i/>
                <w:iCs/>
              </w:rPr>
              <w:t>euro</w:t>
            </w:r>
            <w:proofErr w:type="spellEnd"/>
            <w:r w:rsidRPr="00CC6591">
              <w:t xml:space="preserve"> par 100 kubikmetriem hidrotehniskajai būvei caurplūdušā ūdens</w:t>
            </w:r>
          </w:p>
        </w:tc>
        <w:tc>
          <w:tcPr>
            <w:tcW w:w="850" w:type="dxa"/>
            <w:vAlign w:val="center"/>
          </w:tcPr>
          <w:p w14:paraId="4B8C9CA7" w14:textId="77777777" w:rsidR="00D4599E" w:rsidRPr="00CC6591" w:rsidRDefault="00D4599E" w:rsidP="00980148">
            <w:pPr>
              <w:ind w:firstLine="0"/>
              <w:jc w:val="right"/>
              <w:rPr>
                <w:sz w:val="20"/>
              </w:rPr>
            </w:pPr>
            <w:r w:rsidRPr="00CC6591">
              <w:rPr>
                <w:sz w:val="20"/>
              </w:rPr>
              <w:t>-3,8</w:t>
            </w:r>
          </w:p>
        </w:tc>
      </w:tr>
      <w:tr w:rsidR="00D4599E" w:rsidRPr="00016A8F" w14:paraId="1646B563" w14:textId="77777777" w:rsidTr="003148B4">
        <w:trPr>
          <w:jc w:val="center"/>
        </w:trPr>
        <w:tc>
          <w:tcPr>
            <w:tcW w:w="6771" w:type="dxa"/>
          </w:tcPr>
          <w:p w14:paraId="1D393771" w14:textId="77777777" w:rsidR="00D4599E" w:rsidRPr="00CC6591" w:rsidRDefault="00D4599E" w:rsidP="00D4599E">
            <w:pPr>
              <w:pStyle w:val="tabteksts"/>
              <w:jc w:val="both"/>
              <w:rPr>
                <w:b/>
              </w:rPr>
            </w:pPr>
            <w:r w:rsidRPr="00CC6591">
              <w:rPr>
                <w:b/>
              </w:rPr>
              <w:t>Izmaiņu ietekme kopā:</w:t>
            </w:r>
          </w:p>
        </w:tc>
        <w:tc>
          <w:tcPr>
            <w:tcW w:w="850" w:type="dxa"/>
            <w:vAlign w:val="center"/>
          </w:tcPr>
          <w:p w14:paraId="3710B042" w14:textId="77777777" w:rsidR="00D4599E" w:rsidRPr="00CC6591" w:rsidRDefault="00D4599E" w:rsidP="00980148">
            <w:pPr>
              <w:pStyle w:val="tabteksts"/>
              <w:tabs>
                <w:tab w:val="decimal" w:pos="458"/>
              </w:tabs>
              <w:jc w:val="right"/>
              <w:rPr>
                <w:b/>
              </w:rPr>
            </w:pPr>
            <w:r>
              <w:rPr>
                <w:b/>
              </w:rPr>
              <w:t>+3,2</w:t>
            </w:r>
          </w:p>
        </w:tc>
      </w:tr>
    </w:tbl>
    <w:p w14:paraId="475D19EE" w14:textId="77777777" w:rsidR="00D4599E" w:rsidRDefault="00D4599E" w:rsidP="004B74A0">
      <w:pPr>
        <w:pStyle w:val="H4"/>
        <w:ind w:left="0"/>
        <w:rPr>
          <w:rFonts w:ascii="Times New Roman" w:hAnsi="Times New Roman"/>
          <w:sz w:val="24"/>
          <w:szCs w:val="24"/>
        </w:rPr>
      </w:pPr>
    </w:p>
    <w:p w14:paraId="59B88D29" w14:textId="77777777" w:rsidR="00D4599E" w:rsidRPr="00941CEC" w:rsidRDefault="00D4599E" w:rsidP="001B6A4A">
      <w:pPr>
        <w:pStyle w:val="H4"/>
        <w:ind w:firstLine="142"/>
        <w:rPr>
          <w:rFonts w:ascii="Times New Roman" w:hAnsi="Times New Roman"/>
          <w:sz w:val="24"/>
          <w:szCs w:val="24"/>
        </w:rPr>
      </w:pPr>
      <w:r>
        <w:rPr>
          <w:rFonts w:ascii="Times New Roman" w:hAnsi="Times New Roman"/>
          <w:sz w:val="24"/>
          <w:szCs w:val="24"/>
        </w:rPr>
        <w:t>Subsidētās elektroenerģijas</w:t>
      </w:r>
      <w:r w:rsidRPr="00941CEC">
        <w:rPr>
          <w:rFonts w:ascii="Times New Roman" w:hAnsi="Times New Roman"/>
          <w:sz w:val="24"/>
          <w:szCs w:val="24"/>
        </w:rPr>
        <w:t xml:space="preserve"> nodoklis</w:t>
      </w:r>
    </w:p>
    <w:p w14:paraId="180C4599" w14:textId="77777777" w:rsidR="00D4599E" w:rsidRPr="006856F4" w:rsidRDefault="00D4599E" w:rsidP="00D4599E">
      <w:pPr>
        <w:ind w:firstLine="720"/>
        <w:rPr>
          <w:szCs w:val="24"/>
        </w:rPr>
      </w:pPr>
      <w:r w:rsidRPr="006856F4">
        <w:rPr>
          <w:szCs w:val="24"/>
        </w:rPr>
        <w:t>Saskaņā ar likumu „Subsidētās elektroenerģijas nodokļa likums” ar 2014. gada 1. janvāri ieviests subsidētās elektroenerģijas nodoklis.</w:t>
      </w:r>
    </w:p>
    <w:p w14:paraId="29D6C10C" w14:textId="77777777" w:rsidR="00D4599E" w:rsidRPr="006856F4" w:rsidRDefault="00D4599E" w:rsidP="00D4599E">
      <w:pPr>
        <w:ind w:firstLine="720"/>
        <w:rPr>
          <w:color w:val="000000" w:themeColor="text1"/>
          <w:szCs w:val="28"/>
        </w:rPr>
      </w:pPr>
      <w:r w:rsidRPr="006856F4">
        <w:rPr>
          <w:szCs w:val="24"/>
        </w:rPr>
        <w:t>Subsidētās elektroenerģijas nodokļa</w:t>
      </w:r>
      <w:r w:rsidRPr="006856F4">
        <w:rPr>
          <w:color w:val="000000" w:themeColor="text1"/>
          <w:szCs w:val="28"/>
        </w:rPr>
        <w:t xml:space="preserve"> mērķis ir ierobežot elektroenerģijas kopējās cenas pieaugumu, lai tādejādi nodrošinātu tautsaimniecības konkurētspēju un nepalielinātu mājsaimniecību enerģētisko nabadzību, kā arī nodrošinātu valsts budžetu ar papildu ieņēmumiem, kas ļautu finansiāli nodrošināt elektroenerģijas lietotāju atbalsta pasākumu īstenošanu. Netieši subsidētās enerģijas nodokļa mērķis ir veicināt konkurētspējīgu elektroenerģijas ražošanu no atjaunojamiem energoresursiem un efektīvā koģenerācijā, motivējot ražot enerģiju visefektīvākajā veidā un nodrošinot, ka turpmāk tirgū ienāk tikai konkurētspējīgas tehnoloģijas.</w:t>
      </w:r>
    </w:p>
    <w:p w14:paraId="2EB8A142" w14:textId="77777777" w:rsidR="00D4599E" w:rsidRPr="006856F4" w:rsidRDefault="00D4599E" w:rsidP="00D4599E">
      <w:pPr>
        <w:ind w:firstLine="720"/>
        <w:rPr>
          <w:szCs w:val="24"/>
        </w:rPr>
      </w:pPr>
      <w:r w:rsidRPr="006856F4">
        <w:rPr>
          <w:szCs w:val="24"/>
        </w:rPr>
        <w:t>Ar subsidētās enerģijas nodokli apliekami ienākumi, kas saņemti no</w:t>
      </w:r>
      <w:r w:rsidRPr="006856F4">
        <w:t xml:space="preserve"> </w:t>
      </w:r>
      <w:r w:rsidRPr="006856F4">
        <w:rPr>
          <w:szCs w:val="24"/>
        </w:rPr>
        <w:t xml:space="preserve">obligātā iepirkuma ietvaros pārdotās elektroenerģijas, no saņemtās garantētās maksas par koģenerācijas stacijā vai elektrostacijā uzstādīto elektrisko jaudu, kā arī no pārdotās elektroenerģijas, kas tiek pārdota publiskajam tirgotājam (licencētam elektroenerģijas pārvades vai sadales uzņēmumam) saskaņā ar Enerģētikas likuma 40. panta redakcijām, kas bija spēkā no 1998. gada 6. oktobra līdz 2005. gada 7. jūnijam, un attiecīgo Ministru kabineta noteikto kārtību. </w:t>
      </w:r>
    </w:p>
    <w:p w14:paraId="7C0F27C8" w14:textId="77777777" w:rsidR="00D4599E" w:rsidRPr="006856F4" w:rsidRDefault="00D4599E" w:rsidP="00D4599E">
      <w:pPr>
        <w:ind w:firstLine="720"/>
        <w:rPr>
          <w:szCs w:val="24"/>
        </w:rPr>
      </w:pPr>
      <w:r w:rsidRPr="006856F4">
        <w:rPr>
          <w:szCs w:val="24"/>
        </w:rPr>
        <w:t>Subsidētās enerģijas nodoklim tiek noteiktas trīs diferencētas likmes – 15% dabasgāzes stacijām, 10% atjaunojamo energoresursu stacijām un 5% stacijām, kas nodrošina ar siltumenerģiju centralizētās sistēmas un kuru subsidētās enerģijas nodokļa likmei ir tieša ietekme uz siltumenerģijas gala tarifu lietotājam.</w:t>
      </w:r>
    </w:p>
    <w:p w14:paraId="0947F7BF" w14:textId="7175E3B9" w:rsidR="00D4599E" w:rsidRPr="00D4599E" w:rsidRDefault="00D4599E" w:rsidP="00D4599E">
      <w:pPr>
        <w:pStyle w:val="T"/>
        <w:spacing w:after="0"/>
        <w:ind w:left="0"/>
        <w:jc w:val="right"/>
        <w:rPr>
          <w:rFonts w:ascii="Times New Roman" w:hAnsi="Times New Roman"/>
        </w:rPr>
      </w:pPr>
      <w:r w:rsidRPr="00D4599E">
        <w:rPr>
          <w:rFonts w:ascii="Times New Roman" w:hAnsi="Times New Roman"/>
        </w:rPr>
        <w:t>6.</w:t>
      </w:r>
      <w:r w:rsidR="009A6681">
        <w:rPr>
          <w:rFonts w:ascii="Times New Roman" w:hAnsi="Times New Roman"/>
        </w:rPr>
        <w:t>9</w:t>
      </w:r>
      <w:r w:rsidRPr="00D4599E">
        <w:rPr>
          <w:rFonts w:ascii="Times New Roman" w:hAnsi="Times New Roman"/>
        </w:rPr>
        <w:t>. tabula. Nodokļu politikas būtiskāko izmaiņu ietekme uz subsidētās elektroenerģijas nodokļa ieņēmumiem, milj. </w:t>
      </w:r>
      <w:proofErr w:type="spellStart"/>
      <w:r w:rsidRPr="00D4599E">
        <w:rPr>
          <w:rFonts w:ascii="Times New Roman" w:hAnsi="Times New Roman"/>
          <w:i/>
          <w:szCs w:val="24"/>
        </w:rPr>
        <w:t>euro</w:t>
      </w:r>
      <w:proofErr w:type="spellEnd"/>
      <w:r w:rsidRPr="00D4599E">
        <w:rPr>
          <w:rFonts w:ascii="Times New Roman" w:hAnsi="Times New Roman"/>
        </w:rPr>
        <w:t xml:space="preserve"> </w:t>
      </w:r>
    </w:p>
    <w:tbl>
      <w:tblPr>
        <w:tblStyle w:val="TableGrid"/>
        <w:tblW w:w="6313"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39"/>
        <w:gridCol w:w="974"/>
      </w:tblGrid>
      <w:tr w:rsidR="00D4599E" w:rsidRPr="00CC6591" w14:paraId="0A84EC27" w14:textId="77777777" w:rsidTr="003148B4">
        <w:trPr>
          <w:jc w:val="center"/>
        </w:trPr>
        <w:tc>
          <w:tcPr>
            <w:tcW w:w="5339" w:type="dxa"/>
          </w:tcPr>
          <w:p w14:paraId="28F81642" w14:textId="77777777" w:rsidR="00D4599E" w:rsidRPr="005624B4" w:rsidRDefault="00D4599E" w:rsidP="00D4599E">
            <w:pPr>
              <w:pStyle w:val="tabteksts"/>
            </w:pPr>
          </w:p>
        </w:tc>
        <w:tc>
          <w:tcPr>
            <w:tcW w:w="974" w:type="dxa"/>
          </w:tcPr>
          <w:p w14:paraId="507A9A79" w14:textId="77777777" w:rsidR="00D4599E" w:rsidRPr="005624B4" w:rsidRDefault="00D4599E" w:rsidP="00D4599E">
            <w:pPr>
              <w:pStyle w:val="tabteksts"/>
              <w:tabs>
                <w:tab w:val="decimal" w:pos="-12114"/>
              </w:tabs>
              <w:jc w:val="center"/>
              <w:rPr>
                <w:b/>
              </w:rPr>
            </w:pPr>
            <w:r w:rsidRPr="005624B4">
              <w:rPr>
                <w:b/>
              </w:rPr>
              <w:t>2014</w:t>
            </w:r>
          </w:p>
        </w:tc>
      </w:tr>
      <w:tr w:rsidR="00D4599E" w:rsidRPr="00ED7A2C" w14:paraId="2B225C20" w14:textId="77777777" w:rsidTr="003148B4">
        <w:trPr>
          <w:jc w:val="center"/>
        </w:trPr>
        <w:tc>
          <w:tcPr>
            <w:tcW w:w="5339" w:type="dxa"/>
          </w:tcPr>
          <w:p w14:paraId="28643FA1" w14:textId="77777777" w:rsidR="00D4599E" w:rsidRPr="005624B4" w:rsidRDefault="00D4599E" w:rsidP="00D4599E">
            <w:pPr>
              <w:pStyle w:val="tabteksts"/>
            </w:pPr>
            <w:r w:rsidRPr="005624B4">
              <w:t>Subsidētā elektroenerģijas nodokļa ieviešana</w:t>
            </w:r>
          </w:p>
        </w:tc>
        <w:tc>
          <w:tcPr>
            <w:tcW w:w="974" w:type="dxa"/>
            <w:vAlign w:val="center"/>
          </w:tcPr>
          <w:p w14:paraId="28E9C474" w14:textId="77777777" w:rsidR="00D4599E" w:rsidRPr="005624B4" w:rsidRDefault="00D4599E" w:rsidP="00980148">
            <w:pPr>
              <w:spacing w:after="0"/>
              <w:ind w:firstLine="0"/>
              <w:jc w:val="right"/>
              <w:rPr>
                <w:bCs/>
                <w:color w:val="000000" w:themeColor="text1"/>
                <w:sz w:val="20"/>
                <w:lang w:eastAsia="lv-LV"/>
              </w:rPr>
            </w:pPr>
            <w:r w:rsidRPr="005624B4">
              <w:rPr>
                <w:bCs/>
                <w:color w:val="000000" w:themeColor="text1"/>
                <w:sz w:val="20"/>
              </w:rPr>
              <w:t>+32,8</w:t>
            </w:r>
          </w:p>
        </w:tc>
      </w:tr>
      <w:tr w:rsidR="00D4599E" w:rsidRPr="00CC6591" w14:paraId="3B377DC5" w14:textId="77777777" w:rsidTr="003148B4">
        <w:trPr>
          <w:jc w:val="center"/>
        </w:trPr>
        <w:tc>
          <w:tcPr>
            <w:tcW w:w="5339" w:type="dxa"/>
          </w:tcPr>
          <w:p w14:paraId="60350420" w14:textId="77777777" w:rsidR="00D4599E" w:rsidRPr="005624B4" w:rsidRDefault="00D4599E" w:rsidP="00D4599E">
            <w:pPr>
              <w:pStyle w:val="tabteksts"/>
              <w:jc w:val="both"/>
              <w:rPr>
                <w:b/>
              </w:rPr>
            </w:pPr>
            <w:r w:rsidRPr="005624B4">
              <w:rPr>
                <w:b/>
              </w:rPr>
              <w:t>Izmaiņu ietekme kopā:</w:t>
            </w:r>
          </w:p>
        </w:tc>
        <w:tc>
          <w:tcPr>
            <w:tcW w:w="974" w:type="dxa"/>
            <w:vAlign w:val="center"/>
          </w:tcPr>
          <w:p w14:paraId="6CEC2AEB" w14:textId="77777777" w:rsidR="00D4599E" w:rsidRPr="005624B4" w:rsidRDefault="00D4599E" w:rsidP="00980148">
            <w:pPr>
              <w:spacing w:after="0"/>
              <w:ind w:firstLine="0"/>
              <w:jc w:val="right"/>
              <w:rPr>
                <w:b/>
                <w:bCs/>
                <w:color w:val="000000" w:themeColor="text1"/>
                <w:sz w:val="20"/>
                <w:lang w:eastAsia="lv-LV"/>
              </w:rPr>
            </w:pPr>
            <w:r w:rsidRPr="005624B4">
              <w:rPr>
                <w:b/>
                <w:bCs/>
                <w:color w:val="000000" w:themeColor="text1"/>
                <w:sz w:val="20"/>
              </w:rPr>
              <w:t>+32,8</w:t>
            </w:r>
          </w:p>
        </w:tc>
      </w:tr>
    </w:tbl>
    <w:p w14:paraId="5AE0C6E8" w14:textId="77777777" w:rsidR="00D4599E" w:rsidRDefault="00D4599E" w:rsidP="00D4599E">
      <w:pPr>
        <w:ind w:firstLine="0"/>
        <w:rPr>
          <w:color w:val="000000"/>
          <w:szCs w:val="24"/>
          <w:lang w:eastAsia="lv-LV"/>
        </w:rPr>
      </w:pPr>
    </w:p>
    <w:p w14:paraId="0FBE3A70" w14:textId="6194156A" w:rsidR="00163B37" w:rsidRPr="00163B37" w:rsidRDefault="00EB6C31" w:rsidP="00EF38FE">
      <w:pPr>
        <w:pStyle w:val="PIRMAIS"/>
        <w:ind w:left="0" w:firstLine="0"/>
        <w:rPr>
          <w:highlight w:val="yellow"/>
        </w:rPr>
      </w:pPr>
      <w:bookmarkStart w:id="47" w:name="_Toc385517824"/>
      <w:r>
        <w:t>7</w:t>
      </w:r>
      <w:r w:rsidR="000F6956" w:rsidRPr="009C61B1">
        <w:t>.</w:t>
      </w:r>
      <w:r w:rsidR="000F6956" w:rsidRPr="009C61B1">
        <w:tab/>
      </w:r>
      <w:bookmarkStart w:id="48" w:name="_Toc251917344"/>
      <w:bookmarkEnd w:id="45"/>
      <w:bookmarkEnd w:id="46"/>
      <w:r w:rsidR="007043C5" w:rsidRPr="00026883">
        <w:t>Publisko finanšu ilgtspēja</w:t>
      </w:r>
      <w:bookmarkEnd w:id="47"/>
      <w:bookmarkEnd w:id="48"/>
    </w:p>
    <w:p w14:paraId="0FD48E17" w14:textId="5950F64A" w:rsidR="007043C5" w:rsidRPr="001B6A4A" w:rsidRDefault="00EB6C31" w:rsidP="001B6A4A">
      <w:pPr>
        <w:pStyle w:val="otrais"/>
        <w:ind w:left="0" w:firstLine="0"/>
        <w:rPr>
          <w:color w:val="000000"/>
        </w:rPr>
      </w:pPr>
      <w:bookmarkStart w:id="49" w:name="_Toc385517825"/>
      <w:r w:rsidRPr="001B6A4A">
        <w:rPr>
          <w:color w:val="000000"/>
        </w:rPr>
        <w:t>7</w:t>
      </w:r>
      <w:r w:rsidR="007043C5" w:rsidRPr="001B6A4A">
        <w:rPr>
          <w:color w:val="000000"/>
        </w:rPr>
        <w:t>.1. Publisko finanšu ilgtermiņa attīstības scenārijs</w:t>
      </w:r>
      <w:bookmarkEnd w:id="49"/>
    </w:p>
    <w:p w14:paraId="21EA09BB" w14:textId="77777777" w:rsidR="00B00D59" w:rsidRDefault="00B00D59" w:rsidP="00B00D59">
      <w:pPr>
        <w:rPr>
          <w:szCs w:val="24"/>
        </w:rPr>
      </w:pPr>
      <w:r w:rsidRPr="00373852">
        <w:rPr>
          <w:szCs w:val="24"/>
        </w:rPr>
        <w:t>Ilgtspējīgas publiskās finanses ieņem būtisku lomu tautsa</w:t>
      </w:r>
      <w:r>
        <w:rPr>
          <w:szCs w:val="24"/>
        </w:rPr>
        <w:t xml:space="preserve">imniecības izaugsmē ilgtermiņā. </w:t>
      </w:r>
      <w:r w:rsidRPr="00373852">
        <w:rPr>
          <w:szCs w:val="24"/>
        </w:rPr>
        <w:t>Tās nozīmē stabilu un paredzamu fiskālo politiku, kā arī valdības maksātspēju. Tas, savukārt, ļauj valstij piesaistīt finanšu resursus, tai skaitā investīcijas.</w:t>
      </w:r>
      <w:r>
        <w:rPr>
          <w:szCs w:val="24"/>
        </w:rPr>
        <w:t xml:space="preserve"> D</w:t>
      </w:r>
      <w:r w:rsidRPr="00026883">
        <w:rPr>
          <w:szCs w:val="24"/>
        </w:rPr>
        <w:t xml:space="preserve">emogrāfiskās izmaiņas, sevišķi vecāka gadagājuma iedzīvotāju skaita pieaugums, var </w:t>
      </w:r>
      <w:r>
        <w:rPr>
          <w:szCs w:val="24"/>
        </w:rPr>
        <w:t xml:space="preserve">veicināt publiskā sektora </w:t>
      </w:r>
      <w:r w:rsidRPr="00026883">
        <w:rPr>
          <w:szCs w:val="24"/>
        </w:rPr>
        <w:t>izdevumu pieaugumu</w:t>
      </w:r>
      <w:r>
        <w:rPr>
          <w:szCs w:val="24"/>
        </w:rPr>
        <w:t xml:space="preserve"> ilgtermiņā. </w:t>
      </w:r>
      <w:r w:rsidRPr="00026883">
        <w:rPr>
          <w:szCs w:val="24"/>
        </w:rPr>
        <w:t xml:space="preserve">Arī sākotnējā budžeta pozīcija ietekmē publisko finanšu ilgtspēju. 2012.gadā </w:t>
      </w:r>
      <w:r>
        <w:rPr>
          <w:szCs w:val="24"/>
        </w:rPr>
        <w:t xml:space="preserve">tika </w:t>
      </w:r>
      <w:r w:rsidRPr="00026883">
        <w:rPr>
          <w:szCs w:val="24"/>
        </w:rPr>
        <w:t>veikta</w:t>
      </w:r>
      <w:r>
        <w:rPr>
          <w:szCs w:val="24"/>
        </w:rPr>
        <w:t>s</w:t>
      </w:r>
      <w:r w:rsidRPr="00026883">
        <w:rPr>
          <w:szCs w:val="24"/>
        </w:rPr>
        <w:t xml:space="preserve"> ievērojama</w:t>
      </w:r>
      <w:r>
        <w:rPr>
          <w:szCs w:val="24"/>
        </w:rPr>
        <w:t xml:space="preserve">s izmaiņas Latvijas </w:t>
      </w:r>
      <w:r w:rsidRPr="00026883">
        <w:rPr>
          <w:szCs w:val="24"/>
        </w:rPr>
        <w:t>pensiju sistēm</w:t>
      </w:r>
      <w:r>
        <w:rPr>
          <w:szCs w:val="24"/>
        </w:rPr>
        <w:t>ā</w:t>
      </w:r>
      <w:r w:rsidRPr="00026883">
        <w:rPr>
          <w:szCs w:val="24"/>
        </w:rPr>
        <w:t xml:space="preserve">, </w:t>
      </w:r>
      <w:r>
        <w:rPr>
          <w:szCs w:val="24"/>
        </w:rPr>
        <w:t>tajā skaitā pensionēšanās vecuma pakāpeniska paaugstināšana</w:t>
      </w:r>
      <w:r w:rsidRPr="00026883">
        <w:rPr>
          <w:szCs w:val="24"/>
        </w:rPr>
        <w:t>, tādējādi daļēji ierobežojot sabiedrības novecošanās negatīvo ietekmi uz Latvijas p</w:t>
      </w:r>
      <w:r>
        <w:rPr>
          <w:szCs w:val="24"/>
        </w:rPr>
        <w:t>ubliskajām finansēm ilgtermiņā.</w:t>
      </w:r>
    </w:p>
    <w:p w14:paraId="2A84017C" w14:textId="3DD936DC" w:rsidR="00B00D59" w:rsidRDefault="00B00D59" w:rsidP="00B00D59">
      <w:pPr>
        <w:rPr>
          <w:bCs/>
          <w:szCs w:val="24"/>
        </w:rPr>
      </w:pPr>
      <w:r w:rsidRPr="00B456DD">
        <w:rPr>
          <w:szCs w:val="24"/>
        </w:rPr>
        <w:t xml:space="preserve">Saskaņā ar </w:t>
      </w:r>
      <w:r w:rsidR="004B1CAD">
        <w:rPr>
          <w:szCs w:val="24"/>
        </w:rPr>
        <w:t>EK</w:t>
      </w:r>
      <w:r w:rsidRPr="00B456DD">
        <w:rPr>
          <w:szCs w:val="24"/>
        </w:rPr>
        <w:t xml:space="preserve"> </w:t>
      </w:r>
      <w:r w:rsidRPr="00210E5F">
        <w:rPr>
          <w:szCs w:val="24"/>
        </w:rPr>
        <w:t xml:space="preserve">2012.gada Fiskālās ilgtspējas ziņojumu </w:t>
      </w:r>
      <w:r>
        <w:rPr>
          <w:szCs w:val="24"/>
        </w:rPr>
        <w:t>(</w:t>
      </w:r>
      <w:proofErr w:type="spellStart"/>
      <w:r w:rsidRPr="00F3137A">
        <w:rPr>
          <w:i/>
          <w:noProof/>
          <w:szCs w:val="24"/>
        </w:rPr>
        <w:t>Fiscal</w:t>
      </w:r>
      <w:proofErr w:type="spellEnd"/>
      <w:r w:rsidRPr="00F3137A">
        <w:rPr>
          <w:i/>
          <w:noProof/>
          <w:szCs w:val="24"/>
        </w:rPr>
        <w:t xml:space="preserve"> Sustainability Report</w:t>
      </w:r>
      <w:r>
        <w:rPr>
          <w:szCs w:val="24"/>
        </w:rPr>
        <w:t xml:space="preserve">) </w:t>
      </w:r>
      <w:r w:rsidRPr="00210E5F">
        <w:rPr>
          <w:szCs w:val="24"/>
        </w:rPr>
        <w:t>Latvija</w:t>
      </w:r>
      <w:r w:rsidRPr="00B456DD">
        <w:rPr>
          <w:szCs w:val="24"/>
        </w:rPr>
        <w:t xml:space="preserve"> ir </w:t>
      </w:r>
      <w:r>
        <w:rPr>
          <w:szCs w:val="24"/>
        </w:rPr>
        <w:t xml:space="preserve">novērtēta kā valsts </w:t>
      </w:r>
      <w:r w:rsidRPr="00B456DD">
        <w:rPr>
          <w:szCs w:val="24"/>
        </w:rPr>
        <w:t xml:space="preserve">ar </w:t>
      </w:r>
      <w:r>
        <w:rPr>
          <w:szCs w:val="24"/>
        </w:rPr>
        <w:t xml:space="preserve">zemu </w:t>
      </w:r>
      <w:r w:rsidRPr="00B456DD">
        <w:rPr>
          <w:szCs w:val="24"/>
        </w:rPr>
        <w:t>risku attiecī</w:t>
      </w:r>
      <w:r>
        <w:rPr>
          <w:szCs w:val="24"/>
        </w:rPr>
        <w:t xml:space="preserve">bā uz publisko finanšu ilgtspēju. </w:t>
      </w:r>
      <w:r w:rsidRPr="00B456DD">
        <w:rPr>
          <w:szCs w:val="24"/>
        </w:rPr>
        <w:t xml:space="preserve">Jāatzīmē, ka </w:t>
      </w:r>
      <w:r>
        <w:rPr>
          <w:szCs w:val="24"/>
        </w:rPr>
        <w:t xml:space="preserve">iepriekšējā, </w:t>
      </w:r>
      <w:r>
        <w:rPr>
          <w:bCs/>
          <w:szCs w:val="24"/>
        </w:rPr>
        <w:t>2009.</w:t>
      </w:r>
      <w:r w:rsidRPr="00B456DD">
        <w:rPr>
          <w:bCs/>
          <w:szCs w:val="24"/>
        </w:rPr>
        <w:t>gada</w:t>
      </w:r>
      <w:r>
        <w:rPr>
          <w:bCs/>
          <w:szCs w:val="24"/>
        </w:rPr>
        <w:t>,</w:t>
      </w:r>
      <w:r w:rsidRPr="00B456DD">
        <w:rPr>
          <w:bCs/>
          <w:szCs w:val="24"/>
        </w:rPr>
        <w:t xml:space="preserve"> Ilgtspējas ziņojumā Latvija bija ierindota pie valstīm ar augstu risku attiecībā uz publisko finanšu ilgtspēju, galvenokārt sākotnējās budžeta pozīcijas dēļ, kura ir</w:t>
      </w:r>
      <w:r>
        <w:rPr>
          <w:bCs/>
          <w:szCs w:val="24"/>
        </w:rPr>
        <w:t xml:space="preserve"> ievērojami uzlabota pēdējo gadu laikā.</w:t>
      </w:r>
    </w:p>
    <w:p w14:paraId="2539AE84" w14:textId="7DD2AF13" w:rsidR="00B00D59" w:rsidRPr="00026883" w:rsidRDefault="004B1CAD" w:rsidP="00B00D59">
      <w:pPr>
        <w:rPr>
          <w:noProof/>
          <w:szCs w:val="24"/>
        </w:rPr>
      </w:pPr>
      <w:r>
        <w:rPr>
          <w:szCs w:val="24"/>
        </w:rPr>
        <w:t>EK</w:t>
      </w:r>
      <w:r w:rsidR="00B00D59" w:rsidRPr="00026883">
        <w:rPr>
          <w:szCs w:val="24"/>
        </w:rPr>
        <w:t xml:space="preserve"> sadarbībā ar dalībvalstīm </w:t>
      </w:r>
      <w:r w:rsidR="00B00D59">
        <w:rPr>
          <w:szCs w:val="24"/>
        </w:rPr>
        <w:t xml:space="preserve">AWG </w:t>
      </w:r>
      <w:r w:rsidR="00B00D59" w:rsidRPr="00026883">
        <w:rPr>
          <w:szCs w:val="24"/>
        </w:rPr>
        <w:t xml:space="preserve">vienu reizi trijos gados izstrādā ar sabiedrības novecošanos saistīto </w:t>
      </w:r>
      <w:r w:rsidR="00B00D59" w:rsidRPr="007D751C">
        <w:rPr>
          <w:szCs w:val="24"/>
        </w:rPr>
        <w:t>publiskā sektora izdevumu</w:t>
      </w:r>
      <w:r w:rsidR="00B00D59" w:rsidRPr="00026883">
        <w:rPr>
          <w:szCs w:val="24"/>
        </w:rPr>
        <w:t xml:space="preserve"> ilgtermiņa prognozes, kā arī novērtē publisko finanšu ilgtspēju katrai dalībvalstij. Ilgtermiņa prognožu pamatā ir demogrāfiskās prognozes, ko sniedz </w:t>
      </w:r>
      <w:r w:rsidR="00B00D59" w:rsidRPr="00026883">
        <w:rPr>
          <w:i/>
          <w:noProof/>
          <w:szCs w:val="24"/>
        </w:rPr>
        <w:t>Eurostat</w:t>
      </w:r>
      <w:r w:rsidR="00B00D59" w:rsidRPr="00026883">
        <w:rPr>
          <w:noProof/>
          <w:szCs w:val="24"/>
        </w:rPr>
        <w:t xml:space="preserve">, un pieņēmumi par ekonomisko izaugsmi un tās noteicošajiem faktoriem ilgtermiņā. </w:t>
      </w:r>
      <w:r w:rsidR="00B00D59">
        <w:rPr>
          <w:noProof/>
          <w:szCs w:val="24"/>
        </w:rPr>
        <w:t xml:space="preserve">Ilgtermiņa </w:t>
      </w:r>
      <w:r w:rsidR="00B00D59" w:rsidRPr="00026883">
        <w:rPr>
          <w:noProof/>
          <w:szCs w:val="24"/>
        </w:rPr>
        <w:t>ar sabiedrības novecošanos saistīto izdevumu</w:t>
      </w:r>
      <w:r w:rsidR="00B00D59">
        <w:rPr>
          <w:noProof/>
          <w:szCs w:val="24"/>
        </w:rPr>
        <w:t xml:space="preserve"> prognozes par visām dalībvalsīm tiek iekļautas </w:t>
      </w:r>
      <w:r w:rsidR="008D6457">
        <w:rPr>
          <w:noProof/>
          <w:szCs w:val="24"/>
        </w:rPr>
        <w:t>EK</w:t>
      </w:r>
      <w:r w:rsidR="00B00D59">
        <w:rPr>
          <w:noProof/>
          <w:szCs w:val="24"/>
        </w:rPr>
        <w:t xml:space="preserve"> Novecošanās ziņojumā (</w:t>
      </w:r>
      <w:r w:rsidR="00B00D59" w:rsidRPr="00546555">
        <w:rPr>
          <w:i/>
          <w:noProof/>
          <w:szCs w:val="24"/>
        </w:rPr>
        <w:t>Ageing Report</w:t>
      </w:r>
      <w:r w:rsidR="00B00D59">
        <w:rPr>
          <w:noProof/>
          <w:szCs w:val="24"/>
        </w:rPr>
        <w:t>). Šajā Stabilitātes programmā tiek iekļauti dati vēl no 2</w:t>
      </w:r>
      <w:r w:rsidR="00B00D59" w:rsidRPr="00026883">
        <w:rPr>
          <w:noProof/>
          <w:szCs w:val="24"/>
        </w:rPr>
        <w:t xml:space="preserve">012.gada </w:t>
      </w:r>
      <w:r w:rsidR="00B00D59">
        <w:rPr>
          <w:noProof/>
          <w:szCs w:val="24"/>
        </w:rPr>
        <w:t xml:space="preserve">ziņojuma, jo nākamo ziņojumu </w:t>
      </w:r>
      <w:r w:rsidR="00B00D59" w:rsidRPr="00026883">
        <w:rPr>
          <w:noProof/>
          <w:szCs w:val="24"/>
        </w:rPr>
        <w:t>plānots publicēt 2015.</w:t>
      </w:r>
      <w:r w:rsidR="00B00D59">
        <w:rPr>
          <w:noProof/>
          <w:szCs w:val="24"/>
        </w:rPr>
        <w:t>gada pavasarī, noslēdzoties jaunajam prognozēšanas ciklam.</w:t>
      </w:r>
    </w:p>
    <w:p w14:paraId="30E8C7D5" w14:textId="4A4C13F6" w:rsidR="00B00D59" w:rsidRPr="007D750E" w:rsidRDefault="00B00D59" w:rsidP="00B00D59">
      <w:pPr>
        <w:rPr>
          <w:szCs w:val="24"/>
        </w:rPr>
      </w:pPr>
      <w:r w:rsidRPr="007D750E">
        <w:rPr>
          <w:szCs w:val="24"/>
        </w:rPr>
        <w:t xml:space="preserve">2014.gada </w:t>
      </w:r>
      <w:r>
        <w:rPr>
          <w:szCs w:val="24"/>
        </w:rPr>
        <w:t xml:space="preserve">marta beigās </w:t>
      </w:r>
      <w:r w:rsidRPr="007D750E">
        <w:rPr>
          <w:i/>
          <w:noProof/>
          <w:szCs w:val="24"/>
        </w:rPr>
        <w:t>Eurostat</w:t>
      </w:r>
      <w:r w:rsidRPr="007D750E">
        <w:rPr>
          <w:szCs w:val="24"/>
        </w:rPr>
        <w:t xml:space="preserve"> publicēja </w:t>
      </w:r>
      <w:r w:rsidRPr="00572363">
        <w:rPr>
          <w:b/>
          <w:szCs w:val="24"/>
        </w:rPr>
        <w:t>demogrāfiskās prognozes</w:t>
      </w:r>
      <w:r>
        <w:rPr>
          <w:szCs w:val="24"/>
        </w:rPr>
        <w:t xml:space="preserve"> </w:t>
      </w:r>
      <w:r>
        <w:rPr>
          <w:i/>
          <w:szCs w:val="24"/>
        </w:rPr>
        <w:t xml:space="preserve">EUROPOP2013 </w:t>
      </w:r>
      <w:r w:rsidRPr="00373852">
        <w:rPr>
          <w:szCs w:val="24"/>
        </w:rPr>
        <w:t>un</w:t>
      </w:r>
      <w:r w:rsidRPr="007D750E">
        <w:rPr>
          <w:szCs w:val="24"/>
        </w:rPr>
        <w:t xml:space="preserve">, salīdzinot ar </w:t>
      </w:r>
      <w:r w:rsidRPr="007D750E">
        <w:rPr>
          <w:i/>
          <w:szCs w:val="24"/>
        </w:rPr>
        <w:t>EUROPOP2010</w:t>
      </w:r>
      <w:r w:rsidRPr="007D750E">
        <w:rPr>
          <w:szCs w:val="24"/>
        </w:rPr>
        <w:t>,</w:t>
      </w:r>
      <w:r>
        <w:rPr>
          <w:szCs w:val="24"/>
        </w:rPr>
        <w:t xml:space="preserve"> </w:t>
      </w:r>
      <w:r w:rsidRPr="007D750E">
        <w:rPr>
          <w:szCs w:val="24"/>
        </w:rPr>
        <w:t>tiek prognozēts</w:t>
      </w:r>
      <w:r>
        <w:rPr>
          <w:szCs w:val="24"/>
        </w:rPr>
        <w:t xml:space="preserve"> lielāks </w:t>
      </w:r>
      <w:r w:rsidRPr="007D750E">
        <w:rPr>
          <w:szCs w:val="24"/>
        </w:rPr>
        <w:t>kopējā iedzīvotāju skaita samazinājums</w:t>
      </w:r>
      <w:r>
        <w:rPr>
          <w:szCs w:val="24"/>
        </w:rPr>
        <w:t>. Atbilstoši faktiskajiem datiem 2013.gada 1.janvārī Latvijas iedzīvotāju kopējais skaits bija 2</w:t>
      </w:r>
      <w:r w:rsidRPr="00E15AC7">
        <w:rPr>
          <w:szCs w:val="24"/>
        </w:rPr>
        <w:t>023,8 tūkst</w:t>
      </w:r>
      <w:r>
        <w:t xml:space="preserve">oši un tiek prognozēts, ka 2060.gadā tas būs par 30,9% jeb 625,3 tūkstošiem mazāks. </w:t>
      </w:r>
      <w:r w:rsidRPr="00CE04FD">
        <w:rPr>
          <w:szCs w:val="24"/>
        </w:rPr>
        <w:t>Tiek prognozēts, ka darbspējas vecuma (15-64) iedzīvotāju skaits, salīdzinot ar 2013.gadu, 2060.gadā būs par 42,6% jeb 576,2 tūkstošiem mazāks</w:t>
      </w:r>
      <w:r>
        <w:rPr>
          <w:szCs w:val="24"/>
        </w:rPr>
        <w:t xml:space="preserve">. </w:t>
      </w:r>
      <w:r w:rsidRPr="00CE04FD">
        <w:rPr>
          <w:szCs w:val="24"/>
        </w:rPr>
        <w:t xml:space="preserve">Savukārt, iedzīvotāju skaits vecumā virs 65 gadiem 2060.gadā salīdzinājumā ar 2013.gadu palielināsies par </w:t>
      </w:r>
      <w:r>
        <w:rPr>
          <w:szCs w:val="24"/>
        </w:rPr>
        <w:t>4,0</w:t>
      </w:r>
      <w:r w:rsidRPr="00CE04FD">
        <w:rPr>
          <w:szCs w:val="24"/>
        </w:rPr>
        <w:t xml:space="preserve">% jeb </w:t>
      </w:r>
      <w:r>
        <w:rPr>
          <w:szCs w:val="24"/>
        </w:rPr>
        <w:t xml:space="preserve">15,3 </w:t>
      </w:r>
      <w:r w:rsidRPr="00CE04FD">
        <w:rPr>
          <w:szCs w:val="24"/>
        </w:rPr>
        <w:t>tūkstošiem</w:t>
      </w:r>
      <w:r>
        <w:rPr>
          <w:szCs w:val="24"/>
        </w:rPr>
        <w:t>. J</w:t>
      </w:r>
      <w:r w:rsidRPr="00CE04FD">
        <w:rPr>
          <w:szCs w:val="24"/>
        </w:rPr>
        <w:t>aunajās demogrāfiskajās prognozēs ir iekļauti 2011.gada tautas skaitīšanas dati</w:t>
      </w:r>
      <w:r w:rsidR="00A829A3">
        <w:rPr>
          <w:szCs w:val="24"/>
        </w:rPr>
        <w:t>,</w:t>
      </w:r>
      <w:r w:rsidRPr="00CE04FD">
        <w:rPr>
          <w:szCs w:val="24"/>
        </w:rPr>
        <w:t xml:space="preserve"> un tās tiks ņemtas vērā</w:t>
      </w:r>
      <w:r>
        <w:rPr>
          <w:szCs w:val="24"/>
        </w:rPr>
        <w:t>,</w:t>
      </w:r>
      <w:r w:rsidRPr="00CE04FD">
        <w:rPr>
          <w:szCs w:val="24"/>
        </w:rPr>
        <w:t xml:space="preserve"> izstrādājot nākamo Novecošanās ziņojumu.</w:t>
      </w:r>
    </w:p>
    <w:p w14:paraId="6D4713F6" w14:textId="77777777" w:rsidR="00B00D59" w:rsidRPr="00026883" w:rsidRDefault="00B00D59" w:rsidP="00B00D59">
      <w:pPr>
        <w:rPr>
          <w:szCs w:val="24"/>
        </w:rPr>
      </w:pPr>
      <w:r w:rsidRPr="00FB71C7">
        <w:rPr>
          <w:szCs w:val="24"/>
        </w:rPr>
        <w:t xml:space="preserve">Būtiska nozīme ilgtspējas nodrošināšanā ir </w:t>
      </w:r>
      <w:r w:rsidRPr="00FB71C7">
        <w:rPr>
          <w:b/>
          <w:szCs w:val="24"/>
        </w:rPr>
        <w:t>ekonomikas izaugsmei</w:t>
      </w:r>
      <w:r w:rsidRPr="00FB71C7">
        <w:rPr>
          <w:szCs w:val="24"/>
        </w:rPr>
        <w:t>. Tiek prognozēts, ka demogrāfisko izmaiņu ietekmē būs vērojamas izmaiņas nodarbinātības attīstībā. Paredzams, ka ilgtermiņā pieaugs gan līdzdalības līmenis</w:t>
      </w:r>
      <w:r>
        <w:rPr>
          <w:szCs w:val="24"/>
        </w:rPr>
        <w:t xml:space="preserve"> darba tirgū</w:t>
      </w:r>
      <w:r w:rsidRPr="00FB71C7">
        <w:rPr>
          <w:szCs w:val="24"/>
        </w:rPr>
        <w:t xml:space="preserve">, gan samazināsies bezdarbs. Tas daļēji ļaus kompensēt darbspējas vecuma iedzīvotāju skaita samazināšanās ietekmi uz nodarbinātību. Tiek prognozēts, ka produktivitāte ilgtermiņā būs noteicošais ekonomiskās izaugsmes faktors un tas būs konverģences pamats ilgtermiņā. </w:t>
      </w:r>
    </w:p>
    <w:p w14:paraId="5AD5BF8C" w14:textId="216EA685" w:rsidR="00B00D59" w:rsidRDefault="00B00D59" w:rsidP="00B00D59">
      <w:pPr>
        <w:rPr>
          <w:szCs w:val="24"/>
        </w:rPr>
      </w:pPr>
      <w:r w:rsidRPr="00993F8B">
        <w:rPr>
          <w:szCs w:val="24"/>
        </w:rPr>
        <w:t>Saskaņā ar AWG darba grupas prognozēm</w:t>
      </w:r>
      <w:r>
        <w:rPr>
          <w:szCs w:val="24"/>
        </w:rPr>
        <w:t xml:space="preserve"> ar sabiedrības novecošanos saistīto publiskā sektora izdevumu īpatsvars </w:t>
      </w:r>
      <w:r w:rsidR="00AB6336">
        <w:rPr>
          <w:szCs w:val="24"/>
        </w:rPr>
        <w:t>IKP</w:t>
      </w:r>
      <w:r w:rsidRPr="00FA7973">
        <w:rPr>
          <w:szCs w:val="24"/>
        </w:rPr>
        <w:t xml:space="preserve"> </w:t>
      </w:r>
      <w:r w:rsidRPr="000E068F">
        <w:rPr>
          <w:szCs w:val="24"/>
        </w:rPr>
        <w:t>(tai skaitā pensij</w:t>
      </w:r>
      <w:r>
        <w:rPr>
          <w:szCs w:val="24"/>
        </w:rPr>
        <w:t>u</w:t>
      </w:r>
      <w:r w:rsidRPr="000E068F">
        <w:rPr>
          <w:szCs w:val="24"/>
        </w:rPr>
        <w:t>, veselības aprūpe</w:t>
      </w:r>
      <w:r>
        <w:rPr>
          <w:szCs w:val="24"/>
        </w:rPr>
        <w:t>s, ilgstošas</w:t>
      </w:r>
      <w:r w:rsidRPr="000E068F">
        <w:rPr>
          <w:szCs w:val="24"/>
        </w:rPr>
        <w:t xml:space="preserve"> aprūpe</w:t>
      </w:r>
      <w:r>
        <w:rPr>
          <w:szCs w:val="24"/>
        </w:rPr>
        <w:t>s</w:t>
      </w:r>
      <w:r w:rsidRPr="000E068F">
        <w:rPr>
          <w:szCs w:val="24"/>
        </w:rPr>
        <w:t xml:space="preserve"> un izglītība</w:t>
      </w:r>
      <w:r>
        <w:rPr>
          <w:szCs w:val="24"/>
        </w:rPr>
        <w:t>s</w:t>
      </w:r>
      <w:r w:rsidRPr="000E068F">
        <w:rPr>
          <w:szCs w:val="24"/>
        </w:rPr>
        <w:t>)</w:t>
      </w:r>
      <w:r w:rsidRPr="00FA7973">
        <w:rPr>
          <w:szCs w:val="24"/>
        </w:rPr>
        <w:t xml:space="preserve"> </w:t>
      </w:r>
      <w:r>
        <w:rPr>
          <w:szCs w:val="24"/>
        </w:rPr>
        <w:t xml:space="preserve">2060.gadā </w:t>
      </w:r>
      <w:r w:rsidRPr="00B73EE2">
        <w:rPr>
          <w:szCs w:val="24"/>
        </w:rPr>
        <w:t>salīdzinājumā ar 20</w:t>
      </w:r>
      <w:r>
        <w:rPr>
          <w:szCs w:val="24"/>
        </w:rPr>
        <w:t>10</w:t>
      </w:r>
      <w:r w:rsidRPr="00B73EE2">
        <w:rPr>
          <w:szCs w:val="24"/>
        </w:rPr>
        <w:t>.</w:t>
      </w:r>
      <w:r>
        <w:rPr>
          <w:szCs w:val="24"/>
        </w:rPr>
        <w:t>gadu</w:t>
      </w:r>
      <w:r w:rsidRPr="00B73EE2">
        <w:rPr>
          <w:szCs w:val="24"/>
        </w:rPr>
        <w:t xml:space="preserve"> </w:t>
      </w:r>
      <w:r>
        <w:rPr>
          <w:szCs w:val="24"/>
        </w:rPr>
        <w:t>samazināsies par 3,4 procentu punktiem, sasniedzot 15,1% no IKP</w:t>
      </w:r>
      <w:r w:rsidRPr="00B73EE2">
        <w:rPr>
          <w:szCs w:val="24"/>
        </w:rPr>
        <w:t xml:space="preserve">. </w:t>
      </w:r>
      <w:r>
        <w:rPr>
          <w:szCs w:val="24"/>
        </w:rPr>
        <w:t xml:space="preserve">Samazinājumu pamatā noteiks prognozētais pensiju </w:t>
      </w:r>
      <w:r w:rsidRPr="00B73EE2">
        <w:rPr>
          <w:szCs w:val="24"/>
        </w:rPr>
        <w:t xml:space="preserve">izdevumu </w:t>
      </w:r>
      <w:r>
        <w:rPr>
          <w:szCs w:val="24"/>
        </w:rPr>
        <w:t>īpatsvara iekšzemes kopproduktā kritums.</w:t>
      </w:r>
    </w:p>
    <w:p w14:paraId="55224F60" w14:textId="77777777" w:rsidR="00B00D59" w:rsidRDefault="00B00D59" w:rsidP="00B00D59">
      <w:pPr>
        <w:spacing w:after="0"/>
        <w:contextualSpacing/>
        <w:rPr>
          <w:szCs w:val="24"/>
        </w:rPr>
      </w:pPr>
      <w:r>
        <w:rPr>
          <w:szCs w:val="24"/>
        </w:rPr>
        <w:t>Saskaņā ar prognozēm 2060.gadā, salīdzinot ar 2010.</w:t>
      </w:r>
      <w:r w:rsidRPr="007A5EBB">
        <w:rPr>
          <w:szCs w:val="24"/>
        </w:rPr>
        <w:t>gadu</w:t>
      </w:r>
      <w:r>
        <w:rPr>
          <w:szCs w:val="24"/>
        </w:rPr>
        <w:t xml:space="preserve">, </w:t>
      </w:r>
      <w:r w:rsidRPr="00993F8B">
        <w:rPr>
          <w:b/>
          <w:szCs w:val="24"/>
        </w:rPr>
        <w:t xml:space="preserve">pensiju </w:t>
      </w:r>
      <w:r>
        <w:rPr>
          <w:b/>
          <w:szCs w:val="24"/>
        </w:rPr>
        <w:t xml:space="preserve">izdevumu </w:t>
      </w:r>
      <w:r w:rsidRPr="00993F8B">
        <w:rPr>
          <w:szCs w:val="24"/>
        </w:rPr>
        <w:t>īpatsvars iekšzemes kopproduktā</w:t>
      </w:r>
      <w:r>
        <w:rPr>
          <w:b/>
          <w:szCs w:val="24"/>
        </w:rPr>
        <w:t xml:space="preserve"> </w:t>
      </w:r>
      <w:r w:rsidRPr="007A5EBB">
        <w:rPr>
          <w:szCs w:val="24"/>
        </w:rPr>
        <w:t>samazināsies par 3,</w:t>
      </w:r>
      <w:r>
        <w:rPr>
          <w:szCs w:val="24"/>
        </w:rPr>
        <w:t>7 procentu punktiem, sasniedzot 6,0</w:t>
      </w:r>
      <w:r w:rsidRPr="007A5EBB">
        <w:rPr>
          <w:szCs w:val="24"/>
        </w:rPr>
        <w:t>% no IKP</w:t>
      </w:r>
      <w:r w:rsidRPr="00330282">
        <w:rPr>
          <w:szCs w:val="24"/>
        </w:rPr>
        <w:t>.</w:t>
      </w:r>
      <w:r>
        <w:rPr>
          <w:szCs w:val="24"/>
        </w:rPr>
        <w:t xml:space="preserve"> </w:t>
      </w:r>
      <w:r w:rsidRPr="00330282">
        <w:rPr>
          <w:szCs w:val="24"/>
        </w:rPr>
        <w:t>Pensiju izdevumi nominālajā iztei</w:t>
      </w:r>
      <w:r w:rsidRPr="007A5EBB">
        <w:rPr>
          <w:szCs w:val="24"/>
        </w:rPr>
        <w:t xml:space="preserve">ksmē turpinās pieaugt. Tomēr prognozētais </w:t>
      </w:r>
      <w:r>
        <w:rPr>
          <w:szCs w:val="24"/>
        </w:rPr>
        <w:t xml:space="preserve">publiskā sektora </w:t>
      </w:r>
      <w:r w:rsidRPr="007A5EBB">
        <w:rPr>
          <w:szCs w:val="24"/>
        </w:rPr>
        <w:t>pensiju izdevumu pieauguma temps nominālajā izteiksmē būs mērens, kas izskaidrojams ar veiktajām izmaiņām Latvijas pensiju sistēmā</w:t>
      </w:r>
      <w:r>
        <w:rPr>
          <w:szCs w:val="24"/>
        </w:rPr>
        <w:t>,</w:t>
      </w:r>
      <w:r w:rsidRPr="007A5EBB">
        <w:rPr>
          <w:szCs w:val="24"/>
        </w:rPr>
        <w:t xml:space="preserve"> kā arī ilgtermiņā prognozēto pensiju izdevumu pieaugumu no valsts </w:t>
      </w:r>
      <w:r w:rsidRPr="007A5EBB">
        <w:rPr>
          <w:noProof/>
          <w:szCs w:val="24"/>
        </w:rPr>
        <w:t>fondēto</w:t>
      </w:r>
      <w:r w:rsidRPr="007A5EBB">
        <w:rPr>
          <w:szCs w:val="24"/>
        </w:rPr>
        <w:t xml:space="preserve"> pensiju shēmas.</w:t>
      </w:r>
    </w:p>
    <w:p w14:paraId="204BF6D6" w14:textId="77777777" w:rsidR="00B00D59" w:rsidRDefault="00B00D59" w:rsidP="00B00D59">
      <w:pPr>
        <w:spacing w:after="0"/>
        <w:contextualSpacing/>
      </w:pPr>
      <w:r>
        <w:t>2012.gadā tika veikti grozījumi</w:t>
      </w:r>
      <w:r w:rsidRPr="002646E2">
        <w:t xml:space="preserve"> likumā „Par valsts pensijām”, kas paredz:</w:t>
      </w:r>
    </w:p>
    <w:p w14:paraId="1D4924DE" w14:textId="16936AE9" w:rsidR="00B00D59" w:rsidRPr="00B00D59" w:rsidRDefault="00B00D59" w:rsidP="00120262">
      <w:pPr>
        <w:pStyle w:val="ListParagraph"/>
        <w:numPr>
          <w:ilvl w:val="0"/>
          <w:numId w:val="4"/>
        </w:numPr>
        <w:spacing w:line="240" w:lineRule="auto"/>
        <w:ind w:hanging="357"/>
        <w:jc w:val="both"/>
        <w:rPr>
          <w:rFonts w:ascii="Times New Roman" w:hAnsi="Times New Roman"/>
          <w:sz w:val="24"/>
          <w:szCs w:val="24"/>
        </w:rPr>
      </w:pPr>
      <w:r w:rsidRPr="00B00D59">
        <w:rPr>
          <w:rFonts w:ascii="Times New Roman" w:hAnsi="Times New Roman"/>
          <w:sz w:val="24"/>
          <w:szCs w:val="24"/>
        </w:rPr>
        <w:t>Pensionēšanās vecuma pakāpenisku paaugstināšanu līdz 65 gadiem</w:t>
      </w:r>
      <w:r w:rsidR="00A829A3">
        <w:rPr>
          <w:rFonts w:ascii="Times New Roman" w:hAnsi="Times New Roman"/>
          <w:sz w:val="24"/>
          <w:szCs w:val="24"/>
          <w:lang w:val="lv-LV"/>
        </w:rPr>
        <w:t xml:space="preserve"> – </w:t>
      </w:r>
      <w:r w:rsidRPr="00B00D59">
        <w:rPr>
          <w:rFonts w:ascii="Times New Roman" w:hAnsi="Times New Roman"/>
          <w:sz w:val="24"/>
          <w:szCs w:val="24"/>
        </w:rPr>
        <w:t xml:space="preserve">ar 2014.gada 1.janvāri palielinājums katru gadu par 3 mēnešiem, sasniedzot pensionēšanās vecumu 65 gadi no 2025.gada 1.janvāra. </w:t>
      </w:r>
    </w:p>
    <w:p w14:paraId="1A182A2C" w14:textId="77777777" w:rsidR="00B00D59" w:rsidRPr="00B00D59" w:rsidRDefault="00B00D59" w:rsidP="00120262">
      <w:pPr>
        <w:pStyle w:val="ListParagraph"/>
        <w:numPr>
          <w:ilvl w:val="0"/>
          <w:numId w:val="4"/>
        </w:numPr>
        <w:spacing w:line="240" w:lineRule="auto"/>
        <w:ind w:hanging="357"/>
        <w:jc w:val="both"/>
        <w:rPr>
          <w:rFonts w:ascii="Times New Roman" w:hAnsi="Times New Roman"/>
          <w:sz w:val="24"/>
          <w:szCs w:val="24"/>
        </w:rPr>
      </w:pPr>
      <w:r w:rsidRPr="00B00D59">
        <w:rPr>
          <w:rFonts w:ascii="Times New Roman" w:hAnsi="Times New Roman"/>
          <w:sz w:val="24"/>
          <w:szCs w:val="24"/>
        </w:rPr>
        <w:t>Vienlaicīgi ar pensionēšanās vecuma paaugstināšanu, priekšlaicīgās pensionēšanās vecuma paaugstināšanu sākot ar 2014.gada 1.janvāri.</w:t>
      </w:r>
    </w:p>
    <w:p w14:paraId="2C16A570" w14:textId="77777777" w:rsidR="00B00D59" w:rsidRPr="00B00D59" w:rsidRDefault="00B00D59" w:rsidP="00120262">
      <w:pPr>
        <w:pStyle w:val="ListParagraph"/>
        <w:numPr>
          <w:ilvl w:val="0"/>
          <w:numId w:val="4"/>
        </w:numPr>
        <w:spacing w:line="240" w:lineRule="auto"/>
        <w:ind w:hanging="357"/>
        <w:jc w:val="both"/>
        <w:rPr>
          <w:rFonts w:ascii="Times New Roman" w:hAnsi="Times New Roman"/>
          <w:sz w:val="24"/>
          <w:szCs w:val="24"/>
        </w:rPr>
      </w:pPr>
      <w:r w:rsidRPr="00B00D59">
        <w:rPr>
          <w:rFonts w:ascii="Times New Roman" w:hAnsi="Times New Roman"/>
          <w:sz w:val="24"/>
          <w:szCs w:val="24"/>
        </w:rPr>
        <w:t>Minimālā apdrošināšanas stāža palielināšanu tiesībām uz valsts vecuma pensiju līdz 15 gadiem, sākot ar 2014.gada 1.janvāri, un līdz 20 gadiem, sākot ar 2025.gada 1.janvāri.</w:t>
      </w:r>
    </w:p>
    <w:p w14:paraId="7BD59027" w14:textId="77777777" w:rsidR="00B00D59" w:rsidRPr="007C3637" w:rsidRDefault="00B00D59" w:rsidP="00B00D59">
      <w:pPr>
        <w:rPr>
          <w:szCs w:val="24"/>
        </w:rPr>
      </w:pPr>
      <w:r>
        <w:rPr>
          <w:szCs w:val="24"/>
        </w:rPr>
        <w:t xml:space="preserve">Tāpat </w:t>
      </w:r>
      <w:r w:rsidRPr="00223F94">
        <w:rPr>
          <w:szCs w:val="24"/>
        </w:rPr>
        <w:t>2012.gad</w:t>
      </w:r>
      <w:r>
        <w:rPr>
          <w:szCs w:val="24"/>
        </w:rPr>
        <w:t xml:space="preserve">ā tika veikti </w:t>
      </w:r>
      <w:r w:rsidRPr="00223F94">
        <w:rPr>
          <w:szCs w:val="24"/>
        </w:rPr>
        <w:t xml:space="preserve">grozījumi Valsts </w:t>
      </w:r>
      <w:r w:rsidRPr="00223F94">
        <w:rPr>
          <w:noProof/>
          <w:szCs w:val="24"/>
        </w:rPr>
        <w:t>fondēto</w:t>
      </w:r>
      <w:r w:rsidRPr="00223F94">
        <w:rPr>
          <w:szCs w:val="24"/>
        </w:rPr>
        <w:t xml:space="preserve"> pensiju likumā, kas paredz pakāpenisk</w:t>
      </w:r>
      <w:r>
        <w:rPr>
          <w:szCs w:val="24"/>
        </w:rPr>
        <w:t xml:space="preserve">āku </w:t>
      </w:r>
      <w:r w:rsidRPr="00223F94">
        <w:rPr>
          <w:szCs w:val="24"/>
        </w:rPr>
        <w:t>iemaksu likmes</w:t>
      </w:r>
      <w:r w:rsidRPr="007C3637">
        <w:rPr>
          <w:szCs w:val="24"/>
        </w:rPr>
        <w:t xml:space="preserve"> paa</w:t>
      </w:r>
      <w:r>
        <w:rPr>
          <w:szCs w:val="24"/>
        </w:rPr>
        <w:t>ugstināšanu pensiju sistēmas 2.</w:t>
      </w:r>
      <w:r w:rsidRPr="007C3637">
        <w:rPr>
          <w:szCs w:val="24"/>
        </w:rPr>
        <w:t>līmenī, t.i.</w:t>
      </w:r>
      <w:r>
        <w:rPr>
          <w:szCs w:val="24"/>
        </w:rPr>
        <w:t xml:space="preserve"> 2013.-2014.</w:t>
      </w:r>
      <w:r w:rsidRPr="007C3637">
        <w:rPr>
          <w:szCs w:val="24"/>
        </w:rPr>
        <w:t xml:space="preserve">gadā </w:t>
      </w:r>
      <w:r>
        <w:rPr>
          <w:szCs w:val="24"/>
        </w:rPr>
        <w:t>4%, 2015.gadā 5% un 2016.</w:t>
      </w:r>
      <w:r w:rsidRPr="007C3637">
        <w:rPr>
          <w:szCs w:val="24"/>
        </w:rPr>
        <w:t>gadā 6%.</w:t>
      </w:r>
    </w:p>
    <w:p w14:paraId="4B081989" w14:textId="77777777" w:rsidR="00B00D59" w:rsidRDefault="00B00D59" w:rsidP="00B00D59">
      <w:pPr>
        <w:rPr>
          <w:szCs w:val="24"/>
        </w:rPr>
      </w:pPr>
      <w:r>
        <w:rPr>
          <w:szCs w:val="24"/>
        </w:rPr>
        <w:t xml:space="preserve">2013.gada sākumā Labklājības ministrija izstrādāja jaunas ilgtermiņa pensiju izdevumu prognozes, ņemot vērā 2012.gadā apstiprinātās izmaiņas. Saskaņā ar šīm prognozēm pensiju izdevumu īpatsvars iekšzemes kopproduktā, salīdzinot ar </w:t>
      </w:r>
      <w:r w:rsidRPr="00BF3425">
        <w:rPr>
          <w:szCs w:val="24"/>
        </w:rPr>
        <w:t xml:space="preserve">prognozēm, kas </w:t>
      </w:r>
      <w:r>
        <w:rPr>
          <w:szCs w:val="24"/>
        </w:rPr>
        <w:t xml:space="preserve">tika </w:t>
      </w:r>
      <w:r w:rsidRPr="00BF3425">
        <w:rPr>
          <w:szCs w:val="24"/>
        </w:rPr>
        <w:t>publicētas 2012.gada Novecošanās ziņojumā</w:t>
      </w:r>
      <w:r>
        <w:rPr>
          <w:szCs w:val="24"/>
        </w:rPr>
        <w:t>, laika periodā no 2010. līdz 2050.gadam b</w:t>
      </w:r>
      <w:r w:rsidRPr="00BF3425">
        <w:rPr>
          <w:szCs w:val="24"/>
        </w:rPr>
        <w:t xml:space="preserve">ūs </w:t>
      </w:r>
      <w:r>
        <w:rPr>
          <w:szCs w:val="24"/>
        </w:rPr>
        <w:t xml:space="preserve">par 0,2 procentu punktiem zemāks. To pamatā noteiks </w:t>
      </w:r>
      <w:r w:rsidRPr="00BF3425">
        <w:rPr>
          <w:szCs w:val="24"/>
        </w:rPr>
        <w:t>līdzdalības darba tirgū pieaugums</w:t>
      </w:r>
      <w:r>
        <w:rPr>
          <w:szCs w:val="24"/>
        </w:rPr>
        <w:t xml:space="preserve"> un vecuma pensijas saņēmēju skaita samazinājums</w:t>
      </w:r>
      <w:r w:rsidRPr="00BF3425">
        <w:rPr>
          <w:szCs w:val="24"/>
        </w:rPr>
        <w:t>, k</w:t>
      </w:r>
      <w:r>
        <w:rPr>
          <w:szCs w:val="24"/>
        </w:rPr>
        <w:t>as izskaidrojams ar pensionēšanā</w:t>
      </w:r>
      <w:r w:rsidRPr="00BF3425">
        <w:rPr>
          <w:szCs w:val="24"/>
        </w:rPr>
        <w:t>s vecuma pakāpenisku kāpumu</w:t>
      </w:r>
      <w:r>
        <w:rPr>
          <w:szCs w:val="24"/>
        </w:rPr>
        <w:t xml:space="preserve">. </w:t>
      </w:r>
    </w:p>
    <w:p w14:paraId="10C86FDE" w14:textId="77777777" w:rsidR="00B00D59" w:rsidRDefault="00B00D59" w:rsidP="00B00D59">
      <w:pPr>
        <w:spacing w:after="0"/>
        <w:contextualSpacing/>
        <w:rPr>
          <w:szCs w:val="24"/>
        </w:rPr>
      </w:pPr>
      <w:r>
        <w:rPr>
          <w:szCs w:val="24"/>
        </w:rPr>
        <w:t>2014.gada 3.aprīlī Saeima pieņēma likumu „</w:t>
      </w:r>
      <w:r w:rsidRPr="005C5895">
        <w:rPr>
          <w:szCs w:val="24"/>
        </w:rPr>
        <w:t>Grozījumi likumā „Par valsts pensijām””</w:t>
      </w:r>
      <w:r>
        <w:rPr>
          <w:szCs w:val="24"/>
        </w:rPr>
        <w:t>, saskaņā ar kuru ir stājušās spēkā izmaiņas pensiju indeksācijas kārtībā, kas paredz:</w:t>
      </w:r>
    </w:p>
    <w:p w14:paraId="74785BFB" w14:textId="19A4A18C" w:rsidR="00B00D59" w:rsidRPr="00B00D59" w:rsidRDefault="00B00D59" w:rsidP="00120262">
      <w:pPr>
        <w:pStyle w:val="ListParagraph"/>
        <w:numPr>
          <w:ilvl w:val="0"/>
          <w:numId w:val="4"/>
        </w:numPr>
        <w:spacing w:line="240" w:lineRule="auto"/>
        <w:ind w:hanging="357"/>
        <w:jc w:val="both"/>
        <w:rPr>
          <w:rFonts w:ascii="Times New Roman" w:hAnsi="Times New Roman"/>
          <w:sz w:val="24"/>
          <w:szCs w:val="24"/>
        </w:rPr>
      </w:pPr>
      <w:r w:rsidRPr="00B00D59">
        <w:rPr>
          <w:rFonts w:ascii="Times New Roman" w:hAnsi="Times New Roman"/>
          <w:sz w:val="24"/>
          <w:szCs w:val="24"/>
        </w:rPr>
        <w:t xml:space="preserve">2014.gada 1.oktobrī indeksēt valsts pensijas vai tās daļas apmēru, kas nepārsniedz 285 </w:t>
      </w:r>
      <w:proofErr w:type="spellStart"/>
      <w:r w:rsidR="00AB6336">
        <w:rPr>
          <w:rFonts w:ascii="Times New Roman" w:hAnsi="Times New Roman"/>
          <w:i/>
          <w:sz w:val="24"/>
          <w:szCs w:val="24"/>
          <w:lang w:val="lv-LV"/>
        </w:rPr>
        <w:t>euro</w:t>
      </w:r>
      <w:proofErr w:type="spellEnd"/>
      <w:r w:rsidRPr="00B00D59">
        <w:rPr>
          <w:rFonts w:ascii="Times New Roman" w:hAnsi="Times New Roman"/>
          <w:sz w:val="24"/>
          <w:szCs w:val="24"/>
        </w:rPr>
        <w:t>, ņemot vērā faktisko patēriņa cenu indeksu un 25% no apdrošināšanas iemaksu algas reālā pieauguma procentiem.</w:t>
      </w:r>
    </w:p>
    <w:p w14:paraId="486D9F33" w14:textId="45EF89E2" w:rsidR="00B00D59" w:rsidRPr="00B00D59" w:rsidRDefault="00B00D59" w:rsidP="00120262">
      <w:pPr>
        <w:pStyle w:val="ListParagraph"/>
        <w:numPr>
          <w:ilvl w:val="0"/>
          <w:numId w:val="4"/>
        </w:numPr>
        <w:spacing w:line="240" w:lineRule="auto"/>
        <w:ind w:hanging="357"/>
        <w:jc w:val="both"/>
        <w:rPr>
          <w:rFonts w:ascii="Times New Roman" w:hAnsi="Times New Roman"/>
          <w:sz w:val="24"/>
          <w:szCs w:val="24"/>
        </w:rPr>
      </w:pPr>
      <w:r w:rsidRPr="00B00D59">
        <w:rPr>
          <w:rFonts w:ascii="Times New Roman" w:hAnsi="Times New Roman"/>
          <w:sz w:val="24"/>
          <w:szCs w:val="24"/>
        </w:rPr>
        <w:t xml:space="preserve">turpmāk indeksēt reizi gadā 1.oktobrī valsts pensijas vai tās daļas apmēru, kas nepārsniedz 50% no iepriekšējā kalendārā gada vidējās apdrošināšanas iemaksu algas valstī (noapaļotu līdz veseliem </w:t>
      </w:r>
      <w:proofErr w:type="spellStart"/>
      <w:r w:rsidR="00AB6336">
        <w:rPr>
          <w:rFonts w:ascii="Times New Roman" w:hAnsi="Times New Roman"/>
          <w:i/>
          <w:sz w:val="24"/>
          <w:szCs w:val="24"/>
          <w:lang w:val="lv-LV"/>
        </w:rPr>
        <w:t>euro</w:t>
      </w:r>
      <w:proofErr w:type="spellEnd"/>
      <w:r w:rsidRPr="00B00D59">
        <w:rPr>
          <w:rFonts w:ascii="Times New Roman" w:hAnsi="Times New Roman"/>
          <w:sz w:val="24"/>
          <w:szCs w:val="24"/>
        </w:rPr>
        <w:t>), ņemot vērā faktisko patēriņa cenu indeksu un 25% no apdrošināšanas iemaksu algas reālā pieauguma procentiem.</w:t>
      </w:r>
    </w:p>
    <w:p w14:paraId="30813A79" w14:textId="77777777" w:rsidR="00B00D59" w:rsidRPr="0031018D" w:rsidRDefault="00B00D59" w:rsidP="00B00D59">
      <w:pPr>
        <w:autoSpaceDE w:val="0"/>
        <w:autoSpaceDN w:val="0"/>
        <w:adjustRightInd w:val="0"/>
        <w:rPr>
          <w:szCs w:val="24"/>
        </w:rPr>
      </w:pPr>
      <w:r>
        <w:rPr>
          <w:szCs w:val="24"/>
        </w:rPr>
        <w:t>Apstiprinātās izmaiņas tiks ņemtas vērā nākamajā Novecošanās ziņojumā.</w:t>
      </w:r>
    </w:p>
    <w:p w14:paraId="68AD10B7" w14:textId="77777777" w:rsidR="00B00D59" w:rsidRDefault="00B00D59" w:rsidP="00B00D59">
      <w:pPr>
        <w:rPr>
          <w:szCs w:val="24"/>
        </w:rPr>
      </w:pPr>
      <w:r>
        <w:rPr>
          <w:szCs w:val="24"/>
        </w:rPr>
        <w:t xml:space="preserve">Zemāks īpatsvars iekšzemes kopproduktā 2060.gadā būs arī </w:t>
      </w:r>
      <w:r w:rsidRPr="00EB1FD6">
        <w:rPr>
          <w:b/>
          <w:szCs w:val="24"/>
        </w:rPr>
        <w:t>izdevumiem izglītībai</w:t>
      </w:r>
      <w:r w:rsidRPr="007A5EBB">
        <w:rPr>
          <w:szCs w:val="24"/>
        </w:rPr>
        <w:t xml:space="preserve"> (par 0,</w:t>
      </w:r>
      <w:r>
        <w:rPr>
          <w:szCs w:val="24"/>
        </w:rPr>
        <w:t>7 procentu punktiem</w:t>
      </w:r>
      <w:r w:rsidRPr="007A5EBB">
        <w:rPr>
          <w:szCs w:val="24"/>
        </w:rPr>
        <w:t>), ko pamatā noteiks ilgtermiņa demogrāfiskās tendences.</w:t>
      </w:r>
      <w:r>
        <w:rPr>
          <w:szCs w:val="24"/>
        </w:rPr>
        <w:t xml:space="preserve"> Savukārt </w:t>
      </w:r>
      <w:r w:rsidRPr="00521EF4">
        <w:rPr>
          <w:b/>
          <w:szCs w:val="24"/>
        </w:rPr>
        <w:t xml:space="preserve">veselības aprūpes </w:t>
      </w:r>
      <w:r w:rsidRPr="000E068F">
        <w:rPr>
          <w:b/>
          <w:szCs w:val="24"/>
        </w:rPr>
        <w:t>izdevum</w:t>
      </w:r>
      <w:r>
        <w:rPr>
          <w:b/>
          <w:szCs w:val="24"/>
        </w:rPr>
        <w:t xml:space="preserve">u </w:t>
      </w:r>
      <w:r w:rsidRPr="00921884">
        <w:rPr>
          <w:szCs w:val="24"/>
        </w:rPr>
        <w:t>īpatsvars iekšzemes kopproduktā</w:t>
      </w:r>
      <w:r>
        <w:rPr>
          <w:b/>
          <w:szCs w:val="24"/>
        </w:rPr>
        <w:t xml:space="preserve"> </w:t>
      </w:r>
      <w:r w:rsidRPr="004C7BA8">
        <w:rPr>
          <w:szCs w:val="24"/>
        </w:rPr>
        <w:t>ilgtermiņā</w:t>
      </w:r>
      <w:r>
        <w:rPr>
          <w:b/>
          <w:szCs w:val="24"/>
        </w:rPr>
        <w:t xml:space="preserve"> </w:t>
      </w:r>
      <w:r>
        <w:rPr>
          <w:szCs w:val="24"/>
        </w:rPr>
        <w:t xml:space="preserve">pieaugs par 0,7 procentu punktiem, salīdzinot ar 2010.gadu, sasniedzot 4,4% no IKP. Arī </w:t>
      </w:r>
      <w:r w:rsidRPr="00521EF4">
        <w:rPr>
          <w:b/>
          <w:szCs w:val="24"/>
        </w:rPr>
        <w:t>ilgstošās aprūpes</w:t>
      </w:r>
      <w:r>
        <w:rPr>
          <w:szCs w:val="24"/>
        </w:rPr>
        <w:t xml:space="preserve"> </w:t>
      </w:r>
      <w:r w:rsidRPr="004C7BA8">
        <w:rPr>
          <w:b/>
          <w:szCs w:val="24"/>
        </w:rPr>
        <w:t>izd</w:t>
      </w:r>
      <w:r>
        <w:rPr>
          <w:b/>
          <w:szCs w:val="24"/>
        </w:rPr>
        <w:t xml:space="preserve">evumu </w:t>
      </w:r>
      <w:r>
        <w:rPr>
          <w:szCs w:val="24"/>
        </w:rPr>
        <w:t xml:space="preserve">īpatsvars iekšzemes kopproduktā pieaugs par 0,3 procentu punktiem, sasniedzot 1,0% no IKP. Tas ir skaidrojams ar to, ka veselības un ilgstošās aprūpes pakalpojumi pamatā ir attiecināmi </w:t>
      </w:r>
      <w:r w:rsidRPr="00BE69A8">
        <w:rPr>
          <w:szCs w:val="24"/>
        </w:rPr>
        <w:t>uz vec</w:t>
      </w:r>
      <w:r>
        <w:rPr>
          <w:szCs w:val="24"/>
        </w:rPr>
        <w:t>āka gadagājuma</w:t>
      </w:r>
      <w:r w:rsidRPr="00BE69A8">
        <w:rPr>
          <w:szCs w:val="24"/>
        </w:rPr>
        <w:t xml:space="preserve"> cilvēkiem</w:t>
      </w:r>
      <w:r>
        <w:rPr>
          <w:szCs w:val="24"/>
        </w:rPr>
        <w:t xml:space="preserve">, kuru īpatsvars ilgtermiņā palielināsies. Gan veselības, </w:t>
      </w:r>
      <w:r w:rsidRPr="002F75C0">
        <w:rPr>
          <w:szCs w:val="24"/>
        </w:rPr>
        <w:t xml:space="preserve">gan </w:t>
      </w:r>
      <w:r w:rsidRPr="00BF0383">
        <w:rPr>
          <w:szCs w:val="24"/>
        </w:rPr>
        <w:t>ilgstošās</w:t>
      </w:r>
      <w:r>
        <w:rPr>
          <w:szCs w:val="24"/>
        </w:rPr>
        <w:t xml:space="preserve"> aprūpes izdevumus līdz ar demogrāfiskajām izmaiņām var ietekmēt tehnoloģiskais progress un tautsaimniecības attīstība. Jāmin, ka ilgstošās aprūpes izdevumu īpatsvars kopējos ar sabiedrības novecošanos saistītajos izdevumos ir neliels (4% 2010.gadā).</w:t>
      </w:r>
    </w:p>
    <w:p w14:paraId="58CA7B03" w14:textId="27DE8DB9" w:rsidR="00B00D59" w:rsidRPr="00B00D59" w:rsidRDefault="00B00D59" w:rsidP="00B00D59">
      <w:pPr>
        <w:rPr>
          <w:szCs w:val="24"/>
        </w:rPr>
      </w:pPr>
      <w:r>
        <w:rPr>
          <w:szCs w:val="24"/>
        </w:rPr>
        <w:t>Jāatzīmē, ka ilgtermiņa prognozēs par bāzes gadu tika izmantots 2010.gads, kas, ņemot vērā 2008.-2009.gada ekonomikas un finanšu krīzes sekas, arī ietekmēja ilgtermiņa prognožu iznākumu. Salīdzinot ar 2009.gadā izstrādātajām ilgtermiņa prognozēm, tendences izdevumos ir līdzīgas.</w:t>
      </w:r>
    </w:p>
    <w:p w14:paraId="241E29CF" w14:textId="71EBD264" w:rsidR="005A06FA" w:rsidRPr="001B6A4A" w:rsidRDefault="00EB6C31" w:rsidP="001B6A4A">
      <w:pPr>
        <w:pStyle w:val="otrais"/>
        <w:ind w:left="0" w:firstLine="0"/>
        <w:rPr>
          <w:color w:val="000000"/>
        </w:rPr>
      </w:pPr>
      <w:bookmarkStart w:id="50" w:name="_Toc313631322"/>
      <w:bookmarkStart w:id="51" w:name="_Toc322679621"/>
      <w:bookmarkStart w:id="52" w:name="_Toc385517826"/>
      <w:bookmarkStart w:id="53" w:name="_Toc284924065"/>
      <w:r w:rsidRPr="001B6A4A">
        <w:rPr>
          <w:color w:val="000000"/>
        </w:rPr>
        <w:t>7</w:t>
      </w:r>
      <w:r w:rsidR="00E85A8F" w:rsidRPr="001B6A4A">
        <w:rPr>
          <w:color w:val="000000"/>
        </w:rPr>
        <w:t xml:space="preserve">.2. </w:t>
      </w:r>
      <w:r w:rsidR="005A06FA" w:rsidRPr="001B6A4A">
        <w:rPr>
          <w:color w:val="000000"/>
        </w:rPr>
        <w:t>Valsts sniegtie galvojumi</w:t>
      </w:r>
      <w:bookmarkEnd w:id="50"/>
      <w:bookmarkEnd w:id="51"/>
      <w:bookmarkEnd w:id="52"/>
    </w:p>
    <w:p w14:paraId="094608B2" w14:textId="11897FDE" w:rsidR="00225EFF" w:rsidRPr="00361B71" w:rsidRDefault="00225EFF" w:rsidP="00225EFF">
      <w:pPr>
        <w:pStyle w:val="BodyText"/>
        <w:tabs>
          <w:tab w:val="left" w:pos="4500"/>
          <w:tab w:val="right" w:pos="8280"/>
        </w:tabs>
        <w:ind w:firstLine="426"/>
      </w:pPr>
      <w:r w:rsidRPr="00361B71">
        <w:t xml:space="preserve">2013.gadā valsts vārdā </w:t>
      </w:r>
      <w:r>
        <w:t xml:space="preserve">saskaņā ar likumu „Par valsts budžetu 2013.gadam” </w:t>
      </w:r>
      <w:r w:rsidRPr="00361B71">
        <w:t xml:space="preserve">bija plānots izsniegt galvojumus tikai studējošo kreditēšanas (8 977 500 latu </w:t>
      </w:r>
      <w:r>
        <w:t xml:space="preserve">(12 773 832 </w:t>
      </w:r>
      <w:proofErr w:type="spellStart"/>
      <w:r w:rsidRPr="009A6681">
        <w:rPr>
          <w:i/>
        </w:rPr>
        <w:t>euro</w:t>
      </w:r>
      <w:proofErr w:type="spellEnd"/>
      <w:r>
        <w:t xml:space="preserve">) </w:t>
      </w:r>
      <w:r w:rsidRPr="00361B71">
        <w:t xml:space="preserve">apmērā) un studiju kreditēšanas (19 750 500 latu </w:t>
      </w:r>
      <w:r>
        <w:t xml:space="preserve">(28 102 430 </w:t>
      </w:r>
      <w:proofErr w:type="spellStart"/>
      <w:r w:rsidRPr="009A6681">
        <w:rPr>
          <w:i/>
        </w:rPr>
        <w:t>euro</w:t>
      </w:r>
      <w:proofErr w:type="spellEnd"/>
      <w:r>
        <w:t xml:space="preserve">) </w:t>
      </w:r>
      <w:r w:rsidRPr="00361B71">
        <w:t>apmērā) programmu īstenošan</w:t>
      </w:r>
      <w:r>
        <w:t>ai</w:t>
      </w:r>
      <w:r w:rsidRPr="00361B71">
        <w:t xml:space="preserve">. </w:t>
      </w:r>
      <w:r>
        <w:t xml:space="preserve">Līdz ar to </w:t>
      </w:r>
      <w:r w:rsidRPr="00361B71">
        <w:t>2013.gadā valsts vārdā izsniegti galvojumi par studiju un studējošo saistībām par kopējo summu 8,8 milj. latu</w:t>
      </w:r>
      <w:r>
        <w:t xml:space="preserve"> (12,5 milj. </w:t>
      </w:r>
      <w:proofErr w:type="spellStart"/>
      <w:r w:rsidRPr="009A6681">
        <w:rPr>
          <w:i/>
        </w:rPr>
        <w:t>euro</w:t>
      </w:r>
      <w:proofErr w:type="spellEnd"/>
      <w:r>
        <w:t>)</w:t>
      </w:r>
      <w:r w:rsidRPr="00361B71">
        <w:t>.</w:t>
      </w:r>
    </w:p>
    <w:p w14:paraId="5EC85BB2" w14:textId="687D2909" w:rsidR="00225EFF" w:rsidRPr="007E7343" w:rsidRDefault="00225EFF" w:rsidP="00225EFF">
      <w:pPr>
        <w:ind w:firstLine="426"/>
      </w:pPr>
      <w:r>
        <w:t>Valsts galvoto aizdevumu atlikums 2013.gada beigās bija 466</w:t>
      </w:r>
      <w:r w:rsidRPr="00BC40C7">
        <w:t xml:space="preserve"> milj</w:t>
      </w:r>
      <w:r>
        <w:t xml:space="preserve">. latu (663,1 milj. </w:t>
      </w:r>
      <w:proofErr w:type="spellStart"/>
      <w:r w:rsidRPr="009A6681">
        <w:rPr>
          <w:i/>
        </w:rPr>
        <w:t>euro</w:t>
      </w:r>
      <w:proofErr w:type="spellEnd"/>
      <w:r>
        <w:t>), kas salīdzinājumā ar valsts galvoto aizdevumu atlikumu 2012.gada beigās ir samazinājies par 66</w:t>
      </w:r>
      <w:r w:rsidRPr="00BC40C7">
        <w:t xml:space="preserve"> milj</w:t>
      </w:r>
      <w:r>
        <w:t xml:space="preserve">. latu (93,9 </w:t>
      </w:r>
      <w:proofErr w:type="spellStart"/>
      <w:r>
        <w:t>milj.</w:t>
      </w:r>
      <w:r w:rsidRPr="009A6681">
        <w:rPr>
          <w:i/>
        </w:rPr>
        <w:t>euro</w:t>
      </w:r>
      <w:proofErr w:type="spellEnd"/>
      <w:r>
        <w:t xml:space="preserve">) (sk. </w:t>
      </w:r>
      <w:r w:rsidR="003B5C07">
        <w:t>7</w:t>
      </w:r>
      <w:r w:rsidR="00706595" w:rsidRPr="008D6457">
        <w:t>.</w:t>
      </w:r>
      <w:r w:rsidRPr="008D6457">
        <w:t>1.attēlu).</w:t>
      </w:r>
    </w:p>
    <w:p w14:paraId="47729CFF" w14:textId="77777777" w:rsidR="00225EFF" w:rsidRDefault="00225EFF" w:rsidP="00225EFF">
      <w:pPr>
        <w:ind w:firstLine="426"/>
        <w:jc w:val="center"/>
        <w:rPr>
          <w:b/>
          <w:bCs/>
        </w:rPr>
      </w:pPr>
      <w:r>
        <w:rPr>
          <w:b/>
          <w:bCs/>
          <w:noProof/>
          <w:lang w:eastAsia="lv-LV"/>
        </w:rPr>
        <w:drawing>
          <wp:inline distT="0" distB="0" distL="0" distR="0" wp14:anchorId="3A32D45D" wp14:editId="01D9FF07">
            <wp:extent cx="2863850" cy="2233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64248" cy="2233804"/>
                    </a:xfrm>
                    <a:prstGeom prst="rect">
                      <a:avLst/>
                    </a:prstGeom>
                    <a:noFill/>
                  </pic:spPr>
                </pic:pic>
              </a:graphicData>
            </a:graphic>
          </wp:inline>
        </w:drawing>
      </w:r>
    </w:p>
    <w:p w14:paraId="12FDBA9B" w14:textId="00A3C68D" w:rsidR="00225EFF" w:rsidRPr="00AF30BE" w:rsidRDefault="005A28E3" w:rsidP="00225EFF">
      <w:pPr>
        <w:ind w:firstLine="426"/>
        <w:rPr>
          <w:b/>
          <w:bCs/>
          <w:color w:val="FF0000"/>
        </w:rPr>
      </w:pPr>
      <w:r>
        <w:rPr>
          <w:b/>
          <w:bCs/>
        </w:rPr>
        <w:t>7</w:t>
      </w:r>
      <w:r w:rsidR="00706595" w:rsidRPr="008D6457">
        <w:rPr>
          <w:b/>
          <w:bCs/>
        </w:rPr>
        <w:t>.1.att</w:t>
      </w:r>
      <w:r w:rsidR="007A647F">
        <w:rPr>
          <w:b/>
          <w:bCs/>
        </w:rPr>
        <w:t>ēls</w:t>
      </w:r>
      <w:r w:rsidR="00225EFF" w:rsidRPr="00771585">
        <w:rPr>
          <w:b/>
          <w:bCs/>
        </w:rPr>
        <w:t xml:space="preserve">. Valsts galvoto aizdevumu atlikums </w:t>
      </w:r>
      <w:r w:rsidR="00225EFF">
        <w:rPr>
          <w:b/>
          <w:bCs/>
        </w:rPr>
        <w:t xml:space="preserve">uz attiecīgā gada beigām </w:t>
      </w:r>
      <w:r w:rsidR="00225EFF" w:rsidRPr="00771585">
        <w:rPr>
          <w:b/>
          <w:bCs/>
        </w:rPr>
        <w:t>(</w:t>
      </w:r>
      <w:r w:rsidR="00225EFF">
        <w:rPr>
          <w:b/>
          <w:bCs/>
        </w:rPr>
        <w:t>milj</w:t>
      </w:r>
      <w:r w:rsidR="00225EFF" w:rsidRPr="00771585">
        <w:rPr>
          <w:b/>
          <w:bCs/>
        </w:rPr>
        <w:t xml:space="preserve">. </w:t>
      </w:r>
      <w:proofErr w:type="spellStart"/>
      <w:r w:rsidR="00225EFF" w:rsidRPr="00AB6336">
        <w:rPr>
          <w:b/>
          <w:bCs/>
          <w:i/>
        </w:rPr>
        <w:t>euro</w:t>
      </w:r>
      <w:proofErr w:type="spellEnd"/>
      <w:r w:rsidR="00225EFF" w:rsidRPr="00771585">
        <w:rPr>
          <w:b/>
          <w:bCs/>
        </w:rPr>
        <w:t>)</w:t>
      </w:r>
    </w:p>
    <w:p w14:paraId="2AEC893A" w14:textId="77777777" w:rsidR="00225EFF" w:rsidRDefault="00225EFF" w:rsidP="00225EFF">
      <w:pPr>
        <w:pStyle w:val="BodyText"/>
        <w:ind w:firstLine="426"/>
        <w:rPr>
          <w:color w:val="000000"/>
        </w:rPr>
      </w:pPr>
    </w:p>
    <w:p w14:paraId="4F594365" w14:textId="30791BA0" w:rsidR="00225EFF" w:rsidRPr="00F005A7" w:rsidRDefault="00225EFF" w:rsidP="00225EFF">
      <w:pPr>
        <w:pStyle w:val="BodyText"/>
        <w:ind w:firstLine="426"/>
        <w:rPr>
          <w:color w:val="000000"/>
        </w:rPr>
      </w:pPr>
      <w:r w:rsidRPr="004552DB">
        <w:rPr>
          <w:color w:val="000000"/>
        </w:rPr>
        <w:t xml:space="preserve">2013.gadā </w:t>
      </w:r>
      <w:r w:rsidR="008D6457">
        <w:rPr>
          <w:color w:val="000000"/>
          <w:lang w:val="lv-LV"/>
        </w:rPr>
        <w:t>FM</w:t>
      </w:r>
      <w:r>
        <w:rPr>
          <w:color w:val="000000"/>
        </w:rPr>
        <w:t xml:space="preserve"> atbilstoši noslēgtajiem galvojuma līgumiem </w:t>
      </w:r>
      <w:r w:rsidRPr="004552DB">
        <w:rPr>
          <w:color w:val="000000"/>
        </w:rPr>
        <w:t>AS</w:t>
      </w:r>
      <w:r>
        <w:rPr>
          <w:color w:val="000000"/>
        </w:rPr>
        <w:t> „Liepājas m</w:t>
      </w:r>
      <w:r w:rsidRPr="004552DB">
        <w:rPr>
          <w:color w:val="000000"/>
        </w:rPr>
        <w:t xml:space="preserve">etalurgs” vietā izpildīja saistības pret </w:t>
      </w:r>
      <w:proofErr w:type="spellStart"/>
      <w:r w:rsidRPr="004552DB">
        <w:rPr>
          <w:i/>
          <w:color w:val="000000"/>
        </w:rPr>
        <w:t>UniCredit</w:t>
      </w:r>
      <w:proofErr w:type="spellEnd"/>
      <w:r w:rsidRPr="004552DB">
        <w:rPr>
          <w:i/>
          <w:color w:val="000000"/>
        </w:rPr>
        <w:t xml:space="preserve"> </w:t>
      </w:r>
      <w:proofErr w:type="spellStart"/>
      <w:r w:rsidRPr="004552DB">
        <w:rPr>
          <w:i/>
          <w:color w:val="000000"/>
        </w:rPr>
        <w:t>S.p.A</w:t>
      </w:r>
      <w:proofErr w:type="spellEnd"/>
      <w:r w:rsidRPr="004552DB">
        <w:rPr>
          <w:i/>
          <w:color w:val="000000"/>
        </w:rPr>
        <w:t>.</w:t>
      </w:r>
      <w:r w:rsidRPr="004552DB">
        <w:rPr>
          <w:color w:val="000000"/>
        </w:rPr>
        <w:t xml:space="preserve"> 73,6</w:t>
      </w:r>
      <w:r>
        <w:rPr>
          <w:color w:val="000000"/>
        </w:rPr>
        <w:t xml:space="preserve"> milj.</w:t>
      </w:r>
      <w:r w:rsidRPr="004552DB">
        <w:rPr>
          <w:color w:val="000000"/>
        </w:rPr>
        <w:t xml:space="preserve"> </w:t>
      </w:r>
      <w:proofErr w:type="spellStart"/>
      <w:r w:rsidRPr="00A81A1C">
        <w:rPr>
          <w:i/>
          <w:color w:val="000000"/>
        </w:rPr>
        <w:t>euro</w:t>
      </w:r>
      <w:proofErr w:type="spellEnd"/>
      <w:r w:rsidRPr="004552DB">
        <w:rPr>
          <w:color w:val="000000"/>
        </w:rPr>
        <w:t xml:space="preserve"> apmērā, jo aizņēmējs šīs saistības ne</w:t>
      </w:r>
      <w:r>
        <w:rPr>
          <w:color w:val="000000"/>
        </w:rPr>
        <w:t>spēja</w:t>
      </w:r>
      <w:r w:rsidRPr="004552DB">
        <w:rPr>
          <w:color w:val="000000"/>
        </w:rPr>
        <w:t xml:space="preserve"> pildīt</w:t>
      </w:r>
      <w:r>
        <w:rPr>
          <w:color w:val="000000"/>
        </w:rPr>
        <w:t>.</w:t>
      </w:r>
      <w:r w:rsidRPr="002C5D64">
        <w:rPr>
          <w:color w:val="000000"/>
        </w:rPr>
        <w:t xml:space="preserve"> </w:t>
      </w:r>
      <w:r w:rsidRPr="00E05C8C">
        <w:rPr>
          <w:color w:val="000000"/>
        </w:rPr>
        <w:t xml:space="preserve">Galvojuma saistības valsts uzņēmās </w:t>
      </w:r>
      <w:r>
        <w:rPr>
          <w:color w:val="000000"/>
        </w:rPr>
        <w:t xml:space="preserve">jau </w:t>
      </w:r>
      <w:r w:rsidRPr="00E05C8C">
        <w:rPr>
          <w:color w:val="000000"/>
        </w:rPr>
        <w:t>2009.gadā atbilstoši</w:t>
      </w:r>
      <w:r>
        <w:rPr>
          <w:color w:val="000000"/>
        </w:rPr>
        <w:t xml:space="preserve"> </w:t>
      </w:r>
      <w:r w:rsidRPr="00E05C8C">
        <w:rPr>
          <w:color w:val="000000"/>
        </w:rPr>
        <w:t>likumam</w:t>
      </w:r>
      <w:r>
        <w:rPr>
          <w:color w:val="000000"/>
        </w:rPr>
        <w:t xml:space="preserve"> „Par valsts budžetu 2009</w:t>
      </w:r>
      <w:r w:rsidRPr="009B1102">
        <w:rPr>
          <w:color w:val="000000"/>
        </w:rPr>
        <w:t>.gadam</w:t>
      </w:r>
      <w:r>
        <w:rPr>
          <w:color w:val="000000"/>
        </w:rPr>
        <w:t>”</w:t>
      </w:r>
      <w:r w:rsidRPr="00E05C8C">
        <w:rPr>
          <w:color w:val="000000"/>
        </w:rPr>
        <w:t xml:space="preserve">, kas paredzēja valsts galvojuma izsniegšanu par AS „Liepājas metalurgs” aizņēmumu </w:t>
      </w:r>
      <w:proofErr w:type="spellStart"/>
      <w:r w:rsidRPr="00E05C8C">
        <w:rPr>
          <w:color w:val="000000"/>
        </w:rPr>
        <w:t>tēraudkausēšanas</w:t>
      </w:r>
      <w:proofErr w:type="spellEnd"/>
      <w:r w:rsidRPr="00E05C8C">
        <w:rPr>
          <w:color w:val="000000"/>
        </w:rPr>
        <w:t xml:space="preserve"> rūpnīcas modernizācijas projekta realizācijai.</w:t>
      </w:r>
    </w:p>
    <w:p w14:paraId="2E7B64EA" w14:textId="558EB4D5" w:rsidR="00225EFF" w:rsidRPr="00F005A7" w:rsidRDefault="00225EFF" w:rsidP="00225EFF">
      <w:pPr>
        <w:pStyle w:val="BodyText"/>
        <w:tabs>
          <w:tab w:val="left" w:pos="4500"/>
          <w:tab w:val="right" w:pos="8280"/>
        </w:tabs>
        <w:ind w:firstLine="426"/>
      </w:pPr>
      <w:r w:rsidRPr="00A81A1C">
        <w:t xml:space="preserve">Pamatojoties uz </w:t>
      </w:r>
      <w:r w:rsidR="00AB6336">
        <w:rPr>
          <w:lang w:val="lv-LV"/>
        </w:rPr>
        <w:t>MK</w:t>
      </w:r>
      <w:r w:rsidRPr="00A81A1C">
        <w:t xml:space="preserve"> 2013.gada 10.septembra </w:t>
      </w:r>
      <w:proofErr w:type="spellStart"/>
      <w:r w:rsidRPr="00A81A1C">
        <w:t>protokollēmumu</w:t>
      </w:r>
      <w:proofErr w:type="spellEnd"/>
      <w:r w:rsidRPr="00A81A1C">
        <w:t xml:space="preserve"> (Nr.48 65.§) "Par potenciāli atbalstāmo valsts galvojuma pretendentu un to projektu sarakstu iekļaušanai likumpro</w:t>
      </w:r>
      <w:r>
        <w:t>jektā "Par valsts budžetu 2014.gadam"", 2014.</w:t>
      </w:r>
      <w:r w:rsidRPr="00A81A1C">
        <w:t xml:space="preserve">gada budžetā paredzēti valsts galvojumi 40,9 milj. </w:t>
      </w:r>
      <w:proofErr w:type="spellStart"/>
      <w:r w:rsidRPr="009A6681">
        <w:rPr>
          <w:i/>
          <w:iCs/>
        </w:rPr>
        <w:t>euro</w:t>
      </w:r>
      <w:proofErr w:type="spellEnd"/>
      <w:r w:rsidRPr="00A81A1C">
        <w:rPr>
          <w:i/>
          <w:iCs/>
        </w:rPr>
        <w:t xml:space="preserve"> </w:t>
      </w:r>
      <w:r w:rsidRPr="00A81A1C">
        <w:t xml:space="preserve">apmērā, tai skaitā studējošo kreditēšanai 12,8 milj. </w:t>
      </w:r>
      <w:proofErr w:type="spellStart"/>
      <w:r w:rsidRPr="009A6681">
        <w:rPr>
          <w:i/>
          <w:iCs/>
        </w:rPr>
        <w:t>euro</w:t>
      </w:r>
      <w:proofErr w:type="spellEnd"/>
      <w:r w:rsidRPr="00A81A1C">
        <w:rPr>
          <w:i/>
          <w:iCs/>
        </w:rPr>
        <w:t xml:space="preserve"> </w:t>
      </w:r>
      <w:r w:rsidRPr="00A81A1C">
        <w:t xml:space="preserve">apmērā, studiju kreditēšanai 28,1 milj. </w:t>
      </w:r>
      <w:proofErr w:type="spellStart"/>
      <w:r w:rsidRPr="009A6681">
        <w:rPr>
          <w:i/>
          <w:iCs/>
        </w:rPr>
        <w:t>euro</w:t>
      </w:r>
      <w:proofErr w:type="spellEnd"/>
      <w:r w:rsidRPr="00A81A1C">
        <w:rPr>
          <w:i/>
          <w:iCs/>
        </w:rPr>
        <w:t xml:space="preserve"> </w:t>
      </w:r>
      <w:r w:rsidRPr="00A81A1C">
        <w:t>apmērā.</w:t>
      </w:r>
    </w:p>
    <w:p w14:paraId="4EDB3C13" w14:textId="77777777" w:rsidR="00225EFF" w:rsidRDefault="00225EFF" w:rsidP="009A6681">
      <w:pPr>
        <w:ind w:firstLine="425"/>
      </w:pPr>
      <w:r w:rsidRPr="001813FF">
        <w:rPr>
          <w:rFonts w:eastAsiaTheme="minorEastAsia"/>
          <w:color w:val="000000"/>
          <w:lang w:eastAsia="zh-CN"/>
        </w:rPr>
        <w:t xml:space="preserve">Likumprojekta „Par valsts budžetu 2014.gadam” sagatavošanas procesā, izvērtējot informāciju par aizņēmēju finansiālo stāvokli, līdzšinējo </w:t>
      </w:r>
      <w:proofErr w:type="spellStart"/>
      <w:r w:rsidRPr="001813FF">
        <w:rPr>
          <w:rFonts w:eastAsiaTheme="minorEastAsia"/>
          <w:color w:val="000000"/>
          <w:lang w:eastAsia="zh-CN"/>
        </w:rPr>
        <w:t>kredītvēsturi</w:t>
      </w:r>
      <w:proofErr w:type="spellEnd"/>
      <w:r w:rsidRPr="001813FF">
        <w:rPr>
          <w:rFonts w:eastAsiaTheme="minorEastAsia"/>
          <w:color w:val="000000"/>
          <w:lang w:eastAsia="zh-CN"/>
        </w:rPr>
        <w:t xml:space="preserve">, nodrošinājuma likviditāti un apjomu, kā arī citu pieejamo informāciju, kā relatīvi riskantāki tika novērtēti galvojumi 17 aizņēmējiem, lielāko daļu no kuriem veido slimnīcu atbalstam izsniegtie galvotie aizdevumi un finanšu sektora atbalstam izsniegtie galvotie aizdevumi. Minētajiem aizņēmējiem galvoto aizņēmumu neatmaksātais atlikums 2013.gada 31.decembrī veidoja </w:t>
      </w:r>
      <w:r>
        <w:rPr>
          <w:rFonts w:eastAsiaTheme="minorEastAsia"/>
          <w:color w:val="000000"/>
          <w:lang w:eastAsia="zh-CN"/>
        </w:rPr>
        <w:t xml:space="preserve">   </w:t>
      </w:r>
      <w:r w:rsidRPr="001813FF">
        <w:rPr>
          <w:rFonts w:eastAsiaTheme="minorEastAsia"/>
          <w:color w:val="000000"/>
          <w:lang w:eastAsia="zh-CN"/>
        </w:rPr>
        <w:t xml:space="preserve">49% no kopējā galvoto aizdevumu neatmaksātā atlikuma. Ņemot vērā minēto </w:t>
      </w:r>
      <w:proofErr w:type="spellStart"/>
      <w:r w:rsidRPr="001813FF">
        <w:rPr>
          <w:rFonts w:eastAsiaTheme="minorEastAsia"/>
          <w:color w:val="000000"/>
          <w:lang w:eastAsia="zh-CN"/>
        </w:rPr>
        <w:t>izvērtējumu</w:t>
      </w:r>
      <w:proofErr w:type="spellEnd"/>
      <w:r w:rsidRPr="001813FF">
        <w:rPr>
          <w:rFonts w:eastAsiaTheme="minorEastAsia"/>
          <w:color w:val="000000"/>
          <w:lang w:eastAsia="zh-CN"/>
        </w:rPr>
        <w:t xml:space="preserve">, pastāv varbūtība, ka relatīvi riskanto valsts galvoto aizdevumu saistības vai to daļa varētu netikt izpildītas noteiktajā termiņā. Attiecīgi likumā „Par valsts budžetu 2014.gadam” valdības rīcības pieļaujamās robežas, lai segtu izdevumus, kas var rasties, pildot uz valsts budžetu attiecināmās valsts galvotā parāda saistības 2014.gadā, ir noteiktas 132,1 milj. </w:t>
      </w:r>
      <w:proofErr w:type="spellStart"/>
      <w:r w:rsidRPr="009A6681">
        <w:rPr>
          <w:rFonts w:eastAsiaTheme="minorEastAsia"/>
          <w:i/>
          <w:color w:val="000000"/>
          <w:lang w:eastAsia="zh-CN"/>
        </w:rPr>
        <w:t>euro</w:t>
      </w:r>
      <w:proofErr w:type="spellEnd"/>
      <w:r w:rsidRPr="001813FF">
        <w:rPr>
          <w:rFonts w:eastAsiaTheme="minorEastAsia"/>
          <w:color w:val="000000"/>
          <w:lang w:eastAsia="zh-CN"/>
        </w:rPr>
        <w:t xml:space="preserve"> apmērā (~0,5 % no IKP).</w:t>
      </w:r>
    </w:p>
    <w:p w14:paraId="4B9C814A" w14:textId="31259EB2" w:rsidR="00225EFF" w:rsidRDefault="00225EFF" w:rsidP="009A6681">
      <w:pPr>
        <w:pStyle w:val="BodyText"/>
        <w:tabs>
          <w:tab w:val="left" w:pos="4500"/>
          <w:tab w:val="right" w:pos="8280"/>
        </w:tabs>
        <w:ind w:firstLine="425"/>
      </w:pPr>
      <w:r w:rsidRPr="00E05C8C">
        <w:t xml:space="preserve">Analizējot citu valstu pieredzi, potenciālo valsts galvojumu saņēmējus un galvojumu mērķus, kā arī veicot riska likmes un valsts galvojumu nodrošinājuma </w:t>
      </w:r>
      <w:proofErr w:type="spellStart"/>
      <w:r w:rsidRPr="00E05C8C">
        <w:t>izvērtējumu</w:t>
      </w:r>
      <w:proofErr w:type="spellEnd"/>
      <w:r w:rsidRPr="00E05C8C">
        <w:t xml:space="preserve">, </w:t>
      </w:r>
      <w:r w:rsidRPr="00361B71">
        <w:t>valsts galvojumu politikas pilnveidošan</w:t>
      </w:r>
      <w:r>
        <w:t>as procesā ir</w:t>
      </w:r>
      <w:r w:rsidRPr="00E05C8C">
        <w:t xml:space="preserve"> noteik</w:t>
      </w:r>
      <w:r>
        <w:t>t</w:t>
      </w:r>
      <w:r w:rsidRPr="00E05C8C">
        <w:t xml:space="preserve">i </w:t>
      </w:r>
      <w:r w:rsidRPr="00361B71">
        <w:t>valsts galvojumu sniegšanas pamatprincip</w:t>
      </w:r>
      <w:r>
        <w:t>i</w:t>
      </w:r>
      <w:r w:rsidRPr="00E05C8C">
        <w:rPr>
          <w:lang w:eastAsia="lv-LV"/>
        </w:rPr>
        <w:t xml:space="preserve">, kurus izmanto, lai nodrošinātu efektīvu valsts galvojuma kā atbalsta instrumenta izmantošanu, vienlaikus samazinot šī atbalsta instrumenta ietekmi uz valsts parādu un budžeta </w:t>
      </w:r>
      <w:r w:rsidRPr="00E05C8C">
        <w:t>deficītu.</w:t>
      </w:r>
      <w:r>
        <w:t xml:space="preserve"> Attiecīgi 2013.gadā </w:t>
      </w:r>
      <w:r w:rsidR="008D6457">
        <w:rPr>
          <w:lang w:val="lv-LV"/>
        </w:rPr>
        <w:t>LBFV</w:t>
      </w:r>
      <w:r w:rsidRPr="00361B71">
        <w:t xml:space="preserve"> veikti grozījumi, precizējot potenciālo valsts galvojuma saņēmēju loku un mērķus, ierobežo</w:t>
      </w:r>
      <w:r>
        <w:t>jo</w:t>
      </w:r>
      <w:r w:rsidRPr="00361B71">
        <w:t>t valsts galvojumu sniegšan</w:t>
      </w:r>
      <w:r>
        <w:t>u</w:t>
      </w:r>
      <w:r w:rsidRPr="00361B71">
        <w:t xml:space="preserve"> privātajām kapitālsabiedrībām</w:t>
      </w:r>
      <w:r>
        <w:t xml:space="preserve">, kā arī nosakot, ka </w:t>
      </w:r>
      <w:r w:rsidRPr="00361B71">
        <w:t>turpmāk valsts galvojum</w:t>
      </w:r>
      <w:r>
        <w:t>i</w:t>
      </w:r>
      <w:r w:rsidRPr="00361B71">
        <w:t xml:space="preserve"> </w:t>
      </w:r>
      <w:r>
        <w:t xml:space="preserve">tiek sniegti </w:t>
      </w:r>
      <w:r w:rsidRPr="00361B71">
        <w:t xml:space="preserve">projektiem, </w:t>
      </w:r>
      <w:r w:rsidRPr="00C701A6">
        <w:t>kuri nepalielina valsts parādu un valsts budžeta deficītu</w:t>
      </w:r>
      <w:r>
        <w:t xml:space="preserve">. </w:t>
      </w:r>
      <w:r w:rsidRPr="00361B71">
        <w:t xml:space="preserve"> </w:t>
      </w:r>
    </w:p>
    <w:p w14:paraId="4E18CC4C" w14:textId="77777777" w:rsidR="00225EFF" w:rsidRDefault="00225EFF" w:rsidP="00225EFF">
      <w:pPr>
        <w:pStyle w:val="naisf"/>
        <w:spacing w:before="0" w:after="0"/>
        <w:ind w:firstLine="426"/>
        <w:jc w:val="both"/>
      </w:pPr>
      <w:r>
        <w:t xml:space="preserve">Turpinot </w:t>
      </w:r>
      <w:r w:rsidRPr="00897C8D">
        <w:t>valsts ga</w:t>
      </w:r>
      <w:r>
        <w:t xml:space="preserve">lvojumu politikas pilnveidošanu, minētos noteikumus plānots aizstāt ar jaunu regulējumu, paredzot stingrākas normas un iekļaujot paaugstināta aizdevuma atmaksas riska noteikšanas kritērijus, pastiprinot valsts galvoto saistību uzraudzību, palielinot nozares ministrijas atbildību par projekta biznesa plāna īstenošanas gaitu, lai nodrošinātu tā atbilstību attiecīgās nozares ministrijas politikas plānošanas dokumentos noteikto mērķu sasniegšanai. Tāpat jaunajā regulējumā plānots noteikt rīcību, kad pasliktinās darījuma partnera finanšu rādītāji un komercķīlas priekšmeta vērtība, lai maksimāli tiktu nodrošināta valsts interešu aizsardzība. </w:t>
      </w:r>
    </w:p>
    <w:p w14:paraId="28626656" w14:textId="77777777" w:rsidR="00225EFF" w:rsidRDefault="00225EFF" w:rsidP="00225EFF">
      <w:pPr>
        <w:pStyle w:val="BodyText"/>
        <w:tabs>
          <w:tab w:val="left" w:pos="4500"/>
          <w:tab w:val="right" w:pos="8280"/>
        </w:tabs>
        <w:ind w:firstLine="426"/>
      </w:pPr>
      <w:r>
        <w:t xml:space="preserve"> </w:t>
      </w:r>
      <w:r w:rsidRPr="00361B71">
        <w:t xml:space="preserve"> </w:t>
      </w:r>
    </w:p>
    <w:p w14:paraId="61FCCC34" w14:textId="77777777" w:rsidR="00225EFF" w:rsidRPr="00794F8A" w:rsidRDefault="00225EFF" w:rsidP="00225EFF">
      <w:pPr>
        <w:ind w:firstLine="426"/>
      </w:pPr>
    </w:p>
    <w:p w14:paraId="47600A65" w14:textId="77777777" w:rsidR="00225EFF" w:rsidRPr="00225EFF" w:rsidRDefault="00225EFF" w:rsidP="00225EFF">
      <w:pPr>
        <w:rPr>
          <w:lang w:val="x-none"/>
        </w:rPr>
      </w:pPr>
    </w:p>
    <w:p w14:paraId="17B0E2B0" w14:textId="686726DC" w:rsidR="00316611" w:rsidRPr="00904AF3" w:rsidRDefault="00EB6C31" w:rsidP="00904AF3">
      <w:pPr>
        <w:pStyle w:val="PIRMAIS"/>
      </w:pPr>
      <w:bookmarkStart w:id="54" w:name="_Toc284924067"/>
      <w:bookmarkStart w:id="55" w:name="_Toc385517827"/>
      <w:bookmarkEnd w:id="53"/>
      <w:r>
        <w:t>8</w:t>
      </w:r>
      <w:r w:rsidR="00247A00">
        <w:t>.</w:t>
      </w:r>
      <w:r w:rsidR="00316611" w:rsidRPr="00904AF3">
        <w:t xml:space="preserve"> Valsts </w:t>
      </w:r>
      <w:bookmarkEnd w:id="54"/>
      <w:r w:rsidR="00A652BA">
        <w:t>finanšu institucionālās iezīmes</w:t>
      </w:r>
      <w:bookmarkEnd w:id="55"/>
    </w:p>
    <w:p w14:paraId="77F54131" w14:textId="4574C442" w:rsidR="007E0A0D" w:rsidRPr="001B6A4A" w:rsidRDefault="00247A00" w:rsidP="001B6A4A">
      <w:pPr>
        <w:pStyle w:val="otrais"/>
        <w:ind w:left="0" w:firstLine="0"/>
        <w:rPr>
          <w:color w:val="000000"/>
        </w:rPr>
      </w:pPr>
      <w:bookmarkStart w:id="56" w:name="_Toc385517828"/>
      <w:r w:rsidRPr="001B6A4A">
        <w:rPr>
          <w:color w:val="000000"/>
        </w:rPr>
        <w:t>8</w:t>
      </w:r>
      <w:r w:rsidR="00A652BA" w:rsidRPr="001B6A4A">
        <w:rPr>
          <w:color w:val="000000"/>
        </w:rPr>
        <w:t>.1. Valsts budžeta noteikumu ieviešana</w:t>
      </w:r>
      <w:bookmarkEnd w:id="56"/>
    </w:p>
    <w:p w14:paraId="705E91FB" w14:textId="1AE30B22" w:rsidR="005D3DB3" w:rsidRPr="007E0A0D" w:rsidRDefault="005D3DB3" w:rsidP="005D3DB3">
      <w:pPr>
        <w:rPr>
          <w:color w:val="000000"/>
          <w:szCs w:val="24"/>
        </w:rPr>
      </w:pPr>
      <w:r>
        <w:rPr>
          <w:color w:val="000000"/>
          <w:szCs w:val="24"/>
        </w:rPr>
        <w:t>2013.gada 31.janvārī Saeima 3.</w:t>
      </w:r>
      <w:r w:rsidRPr="007E0A0D">
        <w:rPr>
          <w:color w:val="000000"/>
          <w:szCs w:val="24"/>
        </w:rPr>
        <w:t xml:space="preserve">lasījumā pieņēma </w:t>
      </w:r>
      <w:r>
        <w:rPr>
          <w:color w:val="000000"/>
          <w:szCs w:val="24"/>
        </w:rPr>
        <w:t>FDL</w:t>
      </w:r>
      <w:r w:rsidRPr="007E0A0D">
        <w:rPr>
          <w:color w:val="000000"/>
          <w:szCs w:val="24"/>
        </w:rPr>
        <w:t>, kas stājās spēkā 2013.gada 6.martā</w:t>
      </w:r>
      <w:r>
        <w:rPr>
          <w:color w:val="000000"/>
          <w:szCs w:val="24"/>
        </w:rPr>
        <w:t>, t</w:t>
      </w:r>
      <w:r w:rsidRPr="007E0A0D">
        <w:rPr>
          <w:color w:val="000000"/>
          <w:szCs w:val="24"/>
        </w:rPr>
        <w:t>ādējādi nodrošin</w:t>
      </w:r>
      <w:r>
        <w:rPr>
          <w:color w:val="000000"/>
          <w:szCs w:val="24"/>
        </w:rPr>
        <w:t>ot</w:t>
      </w:r>
      <w:r w:rsidRPr="007E0A0D">
        <w:rPr>
          <w:color w:val="000000"/>
          <w:szCs w:val="24"/>
        </w:rPr>
        <w:t xml:space="preserve">, ka sākot ar 2014. – 2016. gada plānošanas periodu, </w:t>
      </w:r>
      <w:r w:rsidRPr="00C516D5">
        <w:t xml:space="preserve">Ietvara likums </w:t>
      </w:r>
      <w:r w:rsidRPr="007E0A0D">
        <w:rPr>
          <w:color w:val="000000"/>
          <w:szCs w:val="24"/>
        </w:rPr>
        <w:t>un gadskārtējais valsts budžeta likums 2014.gadam ti</w:t>
      </w:r>
      <w:r>
        <w:rPr>
          <w:color w:val="000000"/>
          <w:szCs w:val="24"/>
        </w:rPr>
        <w:t>e</w:t>
      </w:r>
      <w:r w:rsidRPr="007E0A0D">
        <w:rPr>
          <w:color w:val="000000"/>
          <w:szCs w:val="24"/>
        </w:rPr>
        <w:t>k izstrādāts atbilstoši FDL nosacījumiem, t.sk.</w:t>
      </w:r>
      <w:r>
        <w:rPr>
          <w:color w:val="000000"/>
          <w:szCs w:val="24"/>
        </w:rPr>
        <w:t xml:space="preserve"> ņemot vērā</w:t>
      </w:r>
      <w:r w:rsidRPr="007E0A0D">
        <w:rPr>
          <w:color w:val="000000"/>
          <w:szCs w:val="24"/>
        </w:rPr>
        <w:t xml:space="preserve"> pārejas periodā paredzētos izņēmuma gadījumus.</w:t>
      </w:r>
    </w:p>
    <w:p w14:paraId="77133494" w14:textId="788A1B76" w:rsidR="005D3DB3" w:rsidRDefault="005D3DB3" w:rsidP="005D3DB3">
      <w:pPr>
        <w:spacing w:before="120"/>
        <w:rPr>
          <w:szCs w:val="24"/>
        </w:rPr>
      </w:pPr>
      <w:r>
        <w:rPr>
          <w:color w:val="000000"/>
          <w:szCs w:val="24"/>
          <w:lang w:eastAsia="lv-LV"/>
        </w:rPr>
        <w:t xml:space="preserve">Papildus stingru fiskālo nosacījumu ieviešanai vidēja termiņa budžeta plānošanā, </w:t>
      </w:r>
      <w:r w:rsidRPr="002B3045">
        <w:rPr>
          <w:color w:val="000000"/>
          <w:szCs w:val="24"/>
          <w:lang w:eastAsia="lv-LV"/>
        </w:rPr>
        <w:t>FDL paredz</w:t>
      </w:r>
      <w:r>
        <w:rPr>
          <w:color w:val="000000"/>
          <w:szCs w:val="24"/>
          <w:lang w:eastAsia="lv-LV"/>
        </w:rPr>
        <w:t xml:space="preserve"> ieviest</w:t>
      </w:r>
      <w:r w:rsidRPr="002B3045">
        <w:rPr>
          <w:color w:val="000000"/>
          <w:szCs w:val="24"/>
          <w:lang w:eastAsia="lv-LV"/>
        </w:rPr>
        <w:t xml:space="preserve"> arī uzraudzības mehānismu, ar kura palīdzību </w:t>
      </w:r>
      <w:r>
        <w:rPr>
          <w:color w:val="000000"/>
          <w:szCs w:val="24"/>
          <w:lang w:eastAsia="lv-LV"/>
        </w:rPr>
        <w:t>tiek</w:t>
      </w:r>
      <w:r w:rsidRPr="002B3045">
        <w:rPr>
          <w:color w:val="000000"/>
          <w:szCs w:val="24"/>
          <w:lang w:eastAsia="lv-LV"/>
        </w:rPr>
        <w:t xml:space="preserve"> kontrolēts, vai likumā noteiktie</w:t>
      </w:r>
      <w:r>
        <w:rPr>
          <w:color w:val="000000"/>
          <w:szCs w:val="24"/>
          <w:lang w:eastAsia="lv-LV"/>
        </w:rPr>
        <w:t xml:space="preserve"> fiskālie</w:t>
      </w:r>
      <w:r w:rsidRPr="002B3045">
        <w:rPr>
          <w:color w:val="000000"/>
          <w:szCs w:val="24"/>
          <w:lang w:eastAsia="lv-LV"/>
        </w:rPr>
        <w:t xml:space="preserve"> nosacījumi tiek ievēroti </w:t>
      </w:r>
      <w:r w:rsidR="00AB6336">
        <w:rPr>
          <w:szCs w:val="24"/>
        </w:rPr>
        <w:t>Ietvara</w:t>
      </w:r>
      <w:r>
        <w:rPr>
          <w:szCs w:val="24"/>
        </w:rPr>
        <w:t xml:space="preserve"> likuma</w:t>
      </w:r>
      <w:r w:rsidRPr="002B3045">
        <w:rPr>
          <w:szCs w:val="24"/>
        </w:rPr>
        <w:t xml:space="preserve"> un gadskārtējā valsts budžeta likum</w:t>
      </w:r>
      <w:r>
        <w:rPr>
          <w:szCs w:val="24"/>
        </w:rPr>
        <w:t>a plānošanā un izpildē</w:t>
      </w:r>
      <w:r w:rsidRPr="002B3045">
        <w:rPr>
          <w:szCs w:val="24"/>
        </w:rPr>
        <w:t xml:space="preserve">. Uzraudzības nodrošināšanai </w:t>
      </w:r>
      <w:r w:rsidR="00AB6336">
        <w:rPr>
          <w:szCs w:val="24"/>
        </w:rPr>
        <w:t>sākot ar 2014.gadu</w:t>
      </w:r>
      <w:r>
        <w:rPr>
          <w:szCs w:val="24"/>
        </w:rPr>
        <w:t xml:space="preserve"> darbu ir uzsākusi </w:t>
      </w:r>
      <w:r>
        <w:rPr>
          <w:color w:val="000000"/>
          <w:szCs w:val="24"/>
          <w:lang w:eastAsia="lv-LV"/>
        </w:rPr>
        <w:t xml:space="preserve">Padome, kas ir </w:t>
      </w:r>
      <w:r w:rsidRPr="00762843">
        <w:rPr>
          <w:color w:val="000000"/>
          <w:szCs w:val="24"/>
        </w:rPr>
        <w:t>neatkarīga koleģiāla institūcija</w:t>
      </w:r>
      <w:r>
        <w:rPr>
          <w:color w:val="000000"/>
          <w:szCs w:val="24"/>
        </w:rPr>
        <w:t xml:space="preserve">. </w:t>
      </w:r>
      <w:r>
        <w:rPr>
          <w:szCs w:val="24"/>
        </w:rPr>
        <w:t>Saeima 2013.gada 19.decembrī uz sešiem gadiem apstiprināja Padomes sastāvu - sešus locekļus, kas ir</w:t>
      </w:r>
      <w:r w:rsidRPr="00762843">
        <w:rPr>
          <w:szCs w:val="24"/>
        </w:rPr>
        <w:t xml:space="preserve"> fiskālās politikas lietpratēji no Latvijas </w:t>
      </w:r>
      <w:r>
        <w:rPr>
          <w:szCs w:val="24"/>
        </w:rPr>
        <w:t>un</w:t>
      </w:r>
      <w:r w:rsidRPr="00762843">
        <w:rPr>
          <w:szCs w:val="24"/>
        </w:rPr>
        <w:t xml:space="preserve"> citām ES dalībvalstīm</w:t>
      </w:r>
      <w:r>
        <w:rPr>
          <w:szCs w:val="24"/>
        </w:rPr>
        <w:t>.</w:t>
      </w:r>
    </w:p>
    <w:p w14:paraId="26B7AD80" w14:textId="3F45F00D" w:rsidR="005D3DB3" w:rsidRDefault="005D3DB3" w:rsidP="005D3DB3">
      <w:pPr>
        <w:rPr>
          <w:szCs w:val="24"/>
        </w:rPr>
      </w:pPr>
      <w:r>
        <w:rPr>
          <w:szCs w:val="24"/>
        </w:rPr>
        <w:t>Padome uz pirmo sēdi sanāca</w:t>
      </w:r>
      <w:r w:rsidRPr="00E85821">
        <w:rPr>
          <w:szCs w:val="24"/>
        </w:rPr>
        <w:t xml:space="preserve"> 2014.gada 25.februārī, kuras laikā </w:t>
      </w:r>
      <w:r>
        <w:rPr>
          <w:szCs w:val="24"/>
        </w:rPr>
        <w:t>tika apstiprināts Padomes iekšējais regulējums, ievēlēts P</w:t>
      </w:r>
      <w:r w:rsidRPr="00E85821">
        <w:rPr>
          <w:szCs w:val="24"/>
        </w:rPr>
        <w:t>adomes priekšsēdētāj</w:t>
      </w:r>
      <w:r>
        <w:rPr>
          <w:szCs w:val="24"/>
        </w:rPr>
        <w:t>s un</w:t>
      </w:r>
      <w:r w:rsidRPr="00E85821">
        <w:rPr>
          <w:szCs w:val="24"/>
        </w:rPr>
        <w:t xml:space="preserve"> priekšsēdētāja vietniek</w:t>
      </w:r>
      <w:r>
        <w:rPr>
          <w:szCs w:val="24"/>
        </w:rPr>
        <w:t>s</w:t>
      </w:r>
      <w:r w:rsidR="00AB6336">
        <w:rPr>
          <w:szCs w:val="24"/>
        </w:rPr>
        <w:t>, kā arī izdiskutēts turpmākais</w:t>
      </w:r>
      <w:r>
        <w:rPr>
          <w:szCs w:val="24"/>
        </w:rPr>
        <w:t xml:space="preserve"> Padomes darbības modelis.</w:t>
      </w:r>
    </w:p>
    <w:p w14:paraId="3878B567" w14:textId="4C9C23BB" w:rsidR="00455D6C" w:rsidRDefault="005D3DB3" w:rsidP="0011050B">
      <w:pPr>
        <w:spacing w:after="0"/>
        <w:rPr>
          <w:szCs w:val="24"/>
        </w:rPr>
      </w:pPr>
      <w:r>
        <w:rPr>
          <w:color w:val="000000"/>
          <w:szCs w:val="24"/>
        </w:rPr>
        <w:t xml:space="preserve">Padome, atbilstoši </w:t>
      </w:r>
      <w:r>
        <w:rPr>
          <w:szCs w:val="24"/>
        </w:rPr>
        <w:t>FDL</w:t>
      </w:r>
      <w:r w:rsidRPr="00B80778">
        <w:rPr>
          <w:szCs w:val="24"/>
        </w:rPr>
        <w:t xml:space="preserve"> </w:t>
      </w:r>
      <w:r>
        <w:rPr>
          <w:szCs w:val="24"/>
        </w:rPr>
        <w:t>regulējumam, arī sagatavoja pirmo</w:t>
      </w:r>
      <w:r w:rsidRPr="00B80778">
        <w:rPr>
          <w:szCs w:val="24"/>
        </w:rPr>
        <w:t xml:space="preserve"> neatbilstības ziņojumu</w:t>
      </w:r>
      <w:r>
        <w:rPr>
          <w:szCs w:val="24"/>
        </w:rPr>
        <w:t xml:space="preserve"> un iesniedza to Saeimā, MK, kā arī publiskoja FM mājaslapā internetā. Neatbilstības ziņojums tika sagatavots par 2014.gada 11.martā Saeimā iesniegto likumprojektu „Grozījumi likumā „Par valsts pensijām””, jo šādu grozījumu pieņemšana izraisītu Ietvara likumā 2015.gadā noteiktā budžeta bilances mērķa pārsniegumu kā arī koriģētā maksimāli pieļaujamo valsts budžeta izdevumu līmeņa pārsniegumu, kas nav saistīts ar FDL regulējumā noteiktajiem specifiskajiem gadījumiem, kuri paredz Ietvara likumā noteik</w:t>
      </w:r>
      <w:r w:rsidR="0011050B">
        <w:rPr>
          <w:szCs w:val="24"/>
        </w:rPr>
        <w:t>to izdevumu griestu koriģēšanu.</w:t>
      </w:r>
    </w:p>
    <w:p w14:paraId="64E4EFD6" w14:textId="4A43A317" w:rsidR="00A6537C" w:rsidRPr="001B6A4A" w:rsidRDefault="00247A00" w:rsidP="001B6A4A">
      <w:pPr>
        <w:pStyle w:val="otrais"/>
        <w:ind w:left="0" w:firstLine="0"/>
        <w:rPr>
          <w:color w:val="000000"/>
        </w:rPr>
      </w:pPr>
      <w:bookmarkStart w:id="57" w:name="_Toc385517829"/>
      <w:bookmarkStart w:id="58" w:name="_Toc284924068"/>
      <w:bookmarkStart w:id="59" w:name="_Toc155751092"/>
      <w:r w:rsidRPr="001B6A4A">
        <w:rPr>
          <w:color w:val="000000"/>
        </w:rPr>
        <w:t>8</w:t>
      </w:r>
      <w:r w:rsidR="00A6537C" w:rsidRPr="001B6A4A">
        <w:rPr>
          <w:color w:val="000000"/>
        </w:rPr>
        <w:t>.2. Vidējā termiņa budžeta plānošana</w:t>
      </w:r>
      <w:bookmarkEnd w:id="57"/>
    </w:p>
    <w:p w14:paraId="43DF41BE" w14:textId="77777777" w:rsidR="007F58BB" w:rsidRPr="004F30BF" w:rsidRDefault="007F58BB" w:rsidP="004F30BF">
      <w:pPr>
        <w:rPr>
          <w:szCs w:val="24"/>
        </w:rPr>
      </w:pPr>
      <w:r w:rsidRPr="004F30BF">
        <w:rPr>
          <w:szCs w:val="24"/>
        </w:rPr>
        <w:t>Atbilstoši LBFV vidēja termiņa valsts budžeta plānošana — process, kurā tiek noteikti pieejamie resursi vidējam termiņam un nodrošināta šo resursu izlietošana atbilstoši valdības noteiktajām prioritātēm. Vidējs termiņš — triju gadu periods, ko veido saimnieciskais gads, kuram plāno valsts budžetu, un tam sekojošie divi saimnieciskie gadi.</w:t>
      </w:r>
    </w:p>
    <w:p w14:paraId="66E9DF60" w14:textId="6D2FC751" w:rsidR="007F58BB" w:rsidRPr="004F30BF" w:rsidRDefault="007F58BB" w:rsidP="004F30BF">
      <w:pPr>
        <w:rPr>
          <w:szCs w:val="24"/>
        </w:rPr>
      </w:pPr>
      <w:r w:rsidRPr="004F30BF">
        <w:rPr>
          <w:szCs w:val="24"/>
        </w:rPr>
        <w:t xml:space="preserve">Sākot ar 2007.gadu tika gatavots Ietvars nākamajiem trim saimnieciskajiem gadiem, kurā tiek norādīta vidēja termiņa valsts makroekonomiskās situācijas analīze, valdības fiskālās politikas mērķi vidējam termiņam, valsts budžeta ieņēmumu prognozes un maksimāli pieļaujamo valsts budžeta kopējo izdevumu apjoms katrai ministrijai un citām centrālajām valsts iestādēm vidējam termiņam. Ietvaram nebija juridiski saistošs raksturs, tas tikai indikatīvi norādīja maksimāli pieļaujamo valsts budžeta kopējo izdevumu apjomu vidējam termiņam. Lai nostiprinātu vidējā termiņa budžeta plānošanas sistēmu, tika veikti attiecīgi grozījumi LBFV un, sākot ar 2012.gada 1.janvāri, Ietvaru, ko kopš 2007.gada apstiprināja MK, sāk izstrādāt likuma formā kā Ietvara likumu un to apstiprina Saeima. Ietvara likumā iekļautajiem sasniedzamajiem finanšu rādītājiem ir juridiski saistošs spēks un uz tiem ir jābalstās gadskārtējā valsts budžeta likuma izstrādāšanā, kā arī turpmāko Ietvara likumu izstrādāšanā. Ietvara likumu izstrādā katru gadu, nākamo triju gadu periodam, pie tam katra nākamā Ietvara likuma perioda pirmajam un otrajam gadam tiek izmantoti iepriekšējā Ietvara likumā noteiktie rādītāji, savukārt trešajā gadā plānotie rādītāji ir jauni. </w:t>
      </w:r>
    </w:p>
    <w:p w14:paraId="352B5F69" w14:textId="2AACE92E" w:rsidR="007F58BB" w:rsidRPr="004F30BF" w:rsidRDefault="007F58BB" w:rsidP="004F30BF">
      <w:pPr>
        <w:rPr>
          <w:szCs w:val="24"/>
        </w:rPr>
      </w:pPr>
      <w:r w:rsidRPr="004F30BF">
        <w:rPr>
          <w:szCs w:val="24"/>
        </w:rPr>
        <w:t xml:space="preserve">Ietvara likums, kas tiek sasaistīts ar attīstības plānošanas dokumentiem, nodrošina pieejamo resursu sasaisti ar valdības politikas prioritātēm vidējā termiņā un tas pakļaujas FDL noteiktajiem fiskālajiem nosacījumiem, nodrošinot pārredzamu un atbildīgu fiskālo politiku. Ietvara likuma darbības perioda pirmais gads tiek detalizēti izvērsts gadskārtējā valsts budžeta likumā. Saskaņā ar LBFV Ietvara likumā katram likuma perioda gadam tiek norādīti vidēja termiņa budžeta mērķi un </w:t>
      </w:r>
      <w:r w:rsidR="00004D93">
        <w:rPr>
          <w:szCs w:val="24"/>
        </w:rPr>
        <w:t>NAP</w:t>
      </w:r>
      <w:r w:rsidRPr="004F30BF">
        <w:rPr>
          <w:szCs w:val="24"/>
        </w:rPr>
        <w:t xml:space="preserve"> noteiktie prioritārie attīstības virzieni, valdības fiskālās politikas mērķu formulējums, maksimāli pieļaujamais valsts budžeta izdevumu kopapjoms (arī izdevumu kopapjoms katram budžeta resoram), </w:t>
      </w:r>
      <w:r w:rsidR="00004D93">
        <w:rPr>
          <w:szCs w:val="24"/>
        </w:rPr>
        <w:t>IKP</w:t>
      </w:r>
      <w:r w:rsidRPr="004F30BF">
        <w:rPr>
          <w:szCs w:val="24"/>
        </w:rPr>
        <w:t xml:space="preserve"> prognozes, valsts budžeta ieņēmumu prognozes, valsts budžeta finansiālās bilances apjoms (maksimālais deficīta līmenis un vai minimālais pārpalikuma līmenis), savukārt saskaņā ar FDL ir norādāmi vēl citi rādītāji. Piemēram, sākot ar 2016.gadu paredzēts Ietvara likuma saturu papildināt ar fiskālā nodrošinājuma rezervi, kuras mērķis ir nodrošināt Ietvara likumā attiecīgajam gadam noteikto vispārējās valdības budžeta bilances plānoto līmeni nelielu makroekonomisko svārstību gadījumā un fiskālo risku deklarācijā iekļauto kvantificējamo fiskālo risku izraisīto izdevumu segšanas gadījumā. </w:t>
      </w:r>
    </w:p>
    <w:p w14:paraId="5BF80A72" w14:textId="61185791" w:rsidR="007F58BB" w:rsidRPr="004F30BF" w:rsidRDefault="007F58BB" w:rsidP="004F30BF">
      <w:pPr>
        <w:rPr>
          <w:szCs w:val="24"/>
        </w:rPr>
      </w:pPr>
      <w:r w:rsidRPr="004F30BF">
        <w:rPr>
          <w:szCs w:val="24"/>
        </w:rPr>
        <w:t xml:space="preserve">Turklāt attiecībā uz </w:t>
      </w:r>
      <w:r w:rsidR="003708F5">
        <w:rPr>
          <w:szCs w:val="24"/>
        </w:rPr>
        <w:t>VTM</w:t>
      </w:r>
      <w:r w:rsidR="00AB6336">
        <w:rPr>
          <w:szCs w:val="24"/>
        </w:rPr>
        <w:t xml:space="preserve"> un iniciatīvām</w:t>
      </w:r>
      <w:r w:rsidRPr="004F30BF">
        <w:rPr>
          <w:szCs w:val="24"/>
        </w:rPr>
        <w:t xml:space="preserve"> LBFV ir noteikts, ka ministrijas un citas centrālās valsts iestādes sagatavo priekšlikumus JPI, ja attiecīgajos nākamajos saimnieciskajos gados atbilstoši aktuālākajām makroekonomiskās attīstības prognozēm būs pieejami līdzekļi jauno politikas iniciatīvu finansēšanai. Priekšlikumus JPI gatavo, pamatojoties uz </w:t>
      </w:r>
      <w:r w:rsidR="00004D93">
        <w:rPr>
          <w:szCs w:val="24"/>
        </w:rPr>
        <w:t>NAP</w:t>
      </w:r>
      <w:r w:rsidRPr="004F30BF">
        <w:rPr>
          <w:szCs w:val="24"/>
        </w:rPr>
        <w:t xml:space="preserve">, Valsts aizsardzības koncepcijā un citos attīstības plānošanas dokumentos noteiktajām prioritātēm un mērķiem, tostarp ņemot vērā nepieciešamību veikt budžeta iestāžu kapacitātes (administratīvās spējas) stiprināšanas pasākumus. Priekšlikumus JPI iesniedz </w:t>
      </w:r>
      <w:r w:rsidR="00AB6336">
        <w:rPr>
          <w:szCs w:val="24"/>
        </w:rPr>
        <w:t>I</w:t>
      </w:r>
      <w:r w:rsidRPr="004F30BF">
        <w:rPr>
          <w:szCs w:val="24"/>
        </w:rPr>
        <w:t xml:space="preserve">etvara likuma projekta un gadskārtējā valsts budžeta likuma projekta izstrādes un iesniegšanas grafikā noteiktajā termiņā. </w:t>
      </w:r>
    </w:p>
    <w:p w14:paraId="55B5A64F" w14:textId="77777777" w:rsidR="007F58BB" w:rsidRPr="004F30BF" w:rsidRDefault="007F58BB" w:rsidP="004F30BF">
      <w:pPr>
        <w:rPr>
          <w:szCs w:val="24"/>
        </w:rPr>
      </w:pPr>
      <w:r w:rsidRPr="004F30BF">
        <w:rPr>
          <w:szCs w:val="24"/>
        </w:rPr>
        <w:t xml:space="preserve">Tādējādi valsts finanšu plānošana tiek nodrošināta atbilstoši noteiktajiem attīstības virzieniem un prioritātēm vidējā termiņā. Lai pamatotu vidēja termiņa budžeta pieprasījumu, iestādes katru gadu plāno un iekļauj budžeta un budžeta grozījumu pieprasījumos valsts budžeta programmu rezultātus, kurus plāno atbilstoši normatīvajiem aktiem par budžeta pieprasījumu izstrādāšanas un iesniegšanas pamatprincipiem. </w:t>
      </w:r>
    </w:p>
    <w:p w14:paraId="34B9F7F2" w14:textId="77777777" w:rsidR="007F58BB" w:rsidRPr="004F30BF" w:rsidRDefault="007F58BB" w:rsidP="004F30BF">
      <w:pPr>
        <w:rPr>
          <w:szCs w:val="24"/>
        </w:rPr>
      </w:pPr>
      <w:r w:rsidRPr="004F30BF">
        <w:rPr>
          <w:szCs w:val="24"/>
        </w:rPr>
        <w:t xml:space="preserve">Atbilstoši normatīvajos aktos noteiktajam, Ietvara likuma paskaidrojumi vidēja termiņa periodam ietver makroekonomiskās situācijas analīzi un attīstības scenāriju, valdības fiskālās politikas mērķu sasniegšanai īstenojamo pasākumu izklāstu, nodokļu un </w:t>
      </w:r>
      <w:proofErr w:type="spellStart"/>
      <w:r w:rsidRPr="004F30BF">
        <w:rPr>
          <w:szCs w:val="24"/>
        </w:rPr>
        <w:t>nenodokļu</w:t>
      </w:r>
      <w:proofErr w:type="spellEnd"/>
      <w:r w:rsidRPr="004F30BF">
        <w:rPr>
          <w:szCs w:val="24"/>
        </w:rPr>
        <w:t xml:space="preserve"> ieņēmumu prognožu aprakstu, valdības parāda vidēja termiņa attīstības tendences.</w:t>
      </w:r>
    </w:p>
    <w:p w14:paraId="5D69D12F" w14:textId="77777777" w:rsidR="007F58BB" w:rsidRPr="004F30BF" w:rsidRDefault="007F58BB" w:rsidP="004F30BF">
      <w:pPr>
        <w:rPr>
          <w:szCs w:val="24"/>
        </w:rPr>
      </w:pPr>
      <w:r w:rsidRPr="004F30BF">
        <w:rPr>
          <w:szCs w:val="24"/>
        </w:rPr>
        <w:t>Paskaidrojumus vidēja termiņa Ietvara likumam sāka pievienot, gatavojot likumprojektu „Par vidēja termiņa budžeta ietvaru 2014., 2015., un 2016.gadam” un pievienos arī turpmākajos gados.</w:t>
      </w:r>
    </w:p>
    <w:p w14:paraId="3F8AE2D9" w14:textId="1223A725" w:rsidR="007F58BB" w:rsidRPr="004F30BF" w:rsidRDefault="007F58BB" w:rsidP="004F30BF">
      <w:pPr>
        <w:rPr>
          <w:szCs w:val="24"/>
        </w:rPr>
      </w:pPr>
      <w:r w:rsidRPr="004F30BF">
        <w:rPr>
          <w:szCs w:val="24"/>
        </w:rPr>
        <w:t>Pirmais Ietvara likums tika izstrādāts 2013. – 2015.gadu periodam, un Saeimā to apstiprināja 2012.gada nogalē. LBFV noteiktais paredz, ka MK Ietvara likuma projektu trim turpmākajiem gadiem iesniedz Saeimai līdz kārtējā gada 15.maijam, bet tā kā ar 2013.gada 31.janvāri ir stājies spēkā jaunais FDL</w:t>
      </w:r>
      <w:r w:rsidR="003C3CBF">
        <w:rPr>
          <w:szCs w:val="24"/>
        </w:rPr>
        <w:t>,</w:t>
      </w:r>
      <w:r w:rsidRPr="004F30BF">
        <w:rPr>
          <w:szCs w:val="24"/>
        </w:rPr>
        <w:t xml:space="preserve"> un ir jānodrošina tajā noteikto normu pilnvērtīga un pakāpeniska ieviešana, jaunajos LBFV grozījumos ir paredzēti pārejas noteikumi attiecībā uz 2013.gadu (FDL pieņemšanas gads), 2014.gadu (Saeimas vēlēšanu gads) un 2015.gadu (Saeimas pēc vēlēšanu gads), nosakot, ka attiecīgos Ietvara likum</w:t>
      </w:r>
      <w:r w:rsidR="00004D93">
        <w:rPr>
          <w:szCs w:val="24"/>
        </w:rPr>
        <w:t xml:space="preserve">a </w:t>
      </w:r>
      <w:r w:rsidRPr="004F30BF">
        <w:rPr>
          <w:szCs w:val="24"/>
        </w:rPr>
        <w:t>projektus iesniedz Saeimā vienlaicīgi ar gadskārtējā valsts budžeta likumprojektiem. Tādējādi Ietvara likum</w:t>
      </w:r>
      <w:r w:rsidR="00004D93">
        <w:rPr>
          <w:szCs w:val="24"/>
        </w:rPr>
        <w:t xml:space="preserve">a </w:t>
      </w:r>
      <w:r w:rsidRPr="004F30BF">
        <w:rPr>
          <w:szCs w:val="24"/>
        </w:rPr>
        <w:t>projektu 2014.-2016.gadu periodam un likumprojektu „Par valsts budžetu 2014.gadam” MK atbalstīja 2013.gada 1.oktobrī un Saeimā to apstiprināja attiecīgā gada 7.novembrī,  savukārt 2014.gadā (Saeimas vēlēšanu gadā) saskaņā ar LBFV 21.panta trešo daļu – Ietvara likum</w:t>
      </w:r>
      <w:r w:rsidR="00530F34">
        <w:rPr>
          <w:szCs w:val="24"/>
        </w:rPr>
        <w:t xml:space="preserve">a </w:t>
      </w:r>
      <w:r w:rsidRPr="004F30BF">
        <w:rPr>
          <w:szCs w:val="24"/>
        </w:rPr>
        <w:t>projekts 2015.-2017.gadu periodam un likumprojekts „Par valsts budžetu 2015.gadam” tiks iesniegti Saeimā ne  vēlāk kā četrus mēnešus pēc tam, kad jaunievēlētā Saeima</w:t>
      </w:r>
      <w:r w:rsidR="00A829A3">
        <w:rPr>
          <w:szCs w:val="24"/>
        </w:rPr>
        <w:t xml:space="preserve"> būs</w:t>
      </w:r>
      <w:r w:rsidRPr="004F30BF">
        <w:rPr>
          <w:szCs w:val="24"/>
        </w:rPr>
        <w:t xml:space="preserve"> izteikusi </w:t>
      </w:r>
      <w:r w:rsidR="00530F34">
        <w:rPr>
          <w:szCs w:val="24"/>
        </w:rPr>
        <w:t>MK</w:t>
      </w:r>
      <w:r w:rsidRPr="004F30BF">
        <w:rPr>
          <w:szCs w:val="24"/>
        </w:rPr>
        <w:t xml:space="preserve"> savu uzticību. </w:t>
      </w:r>
    </w:p>
    <w:p w14:paraId="42856A68" w14:textId="1F7B2EE2" w:rsidR="005D3DB3" w:rsidRPr="004F30BF" w:rsidRDefault="007F58BB" w:rsidP="004F30BF">
      <w:pPr>
        <w:rPr>
          <w:szCs w:val="24"/>
        </w:rPr>
      </w:pPr>
      <w:r w:rsidRPr="004F30BF">
        <w:rPr>
          <w:szCs w:val="24"/>
        </w:rPr>
        <w:t>Vidēja termiņa budžeta plānošana un finanšu vadība tiek īstenota, ievērojot FDL noteiktos fiskālās politikas principus.</w:t>
      </w:r>
    </w:p>
    <w:p w14:paraId="5A075BDD" w14:textId="38BC6FB0" w:rsidR="00FA5B2A" w:rsidRPr="001B6A4A" w:rsidRDefault="00247A00" w:rsidP="001B6A4A">
      <w:pPr>
        <w:pStyle w:val="otrais"/>
        <w:ind w:left="0" w:firstLine="0"/>
        <w:rPr>
          <w:color w:val="000000"/>
        </w:rPr>
      </w:pPr>
      <w:bookmarkStart w:id="60" w:name="_Toc385517830"/>
      <w:r w:rsidRPr="001B6A4A">
        <w:rPr>
          <w:color w:val="000000"/>
        </w:rPr>
        <w:t>8</w:t>
      </w:r>
      <w:r w:rsidR="00FA5B2A" w:rsidRPr="001B6A4A">
        <w:rPr>
          <w:color w:val="000000"/>
        </w:rPr>
        <w:t>.3.Budžeta procedūras, t.sk. valsts finanšu statistikas pārvalde</w:t>
      </w:r>
      <w:bookmarkEnd w:id="60"/>
      <w:r w:rsidR="00FA5B2A" w:rsidRPr="001B6A4A">
        <w:rPr>
          <w:color w:val="000000"/>
        </w:rPr>
        <w:t xml:space="preserve"> </w:t>
      </w:r>
    </w:p>
    <w:p w14:paraId="675C03D3" w14:textId="4464EFDF" w:rsidR="00FA5B2A" w:rsidRPr="004438CE" w:rsidRDefault="00247A00" w:rsidP="00FA5B2A">
      <w:pPr>
        <w:pStyle w:val="tresais"/>
        <w:rPr>
          <w:szCs w:val="28"/>
        </w:rPr>
      </w:pPr>
      <w:bookmarkStart w:id="61" w:name="_Toc385517831"/>
      <w:r>
        <w:rPr>
          <w:szCs w:val="28"/>
        </w:rPr>
        <w:t>8</w:t>
      </w:r>
      <w:r w:rsidR="00FA5B2A" w:rsidRPr="004438CE">
        <w:rPr>
          <w:szCs w:val="28"/>
        </w:rPr>
        <w:t>.</w:t>
      </w:r>
      <w:r w:rsidR="00FA5B2A">
        <w:rPr>
          <w:szCs w:val="28"/>
        </w:rPr>
        <w:t>3</w:t>
      </w:r>
      <w:r w:rsidR="00FA5B2A" w:rsidRPr="004438CE">
        <w:rPr>
          <w:szCs w:val="28"/>
        </w:rPr>
        <w:t>.1. Budžeta procedūras</w:t>
      </w:r>
      <w:bookmarkEnd w:id="61"/>
    </w:p>
    <w:p w14:paraId="602300BB" w14:textId="77777777" w:rsidR="00F12F43" w:rsidRPr="004F7D04" w:rsidRDefault="00F12F43" w:rsidP="004F30BF">
      <w:pPr>
        <w:rPr>
          <w:b/>
          <w:strike/>
        </w:rPr>
      </w:pPr>
      <w:r w:rsidRPr="004F7D04">
        <w:rPr>
          <w:szCs w:val="24"/>
        </w:rPr>
        <w:t>Latvijas Republikas Satversme nosaka, ka Saeima ik gadu pirms saimnieciskā gada sākšanās lemj par valsts ienākumu un izdevumu budžetu, kura projektu tai iesniedz MK.</w:t>
      </w:r>
      <w:r w:rsidRPr="004F7D04">
        <w:t xml:space="preserve"> </w:t>
      </w:r>
      <w:r w:rsidRPr="004F7D04">
        <w:rPr>
          <w:b/>
        </w:rPr>
        <w:t>Gadskārtējo valsts budžeta likumu apstiprina Saeima.</w:t>
      </w:r>
    </w:p>
    <w:p w14:paraId="39DFEA30" w14:textId="77777777" w:rsidR="00F12F43" w:rsidRPr="004F30BF" w:rsidRDefault="00F12F43" w:rsidP="004F30BF">
      <w:pPr>
        <w:rPr>
          <w:szCs w:val="24"/>
        </w:rPr>
      </w:pPr>
      <w:r w:rsidRPr="004F30BF">
        <w:rPr>
          <w:szCs w:val="24"/>
        </w:rPr>
        <w:t>Valsts budžeta līdzekļu izdevumu plānošanā sākotnēji tiek aprēķināti un saskaņoti bāzes izdevumi. Bāzes izdevumu aprēķinu un to sasaistes principus ar Ietvara likumu nosaka  MK 11.12.2012. noteikumi Nr.867 „Kārtība, kādā nosakāms maksimāli pieļaujamais valsts budžeta izdevumu kopapjoms un maksimāli pieļaujamais valsts budžeta izdevumu kopējais apjoms katrai ministrijai un citām centrālajām valsts iestādēm vidējam termiņam”. Tādējādi tiek noteikts nepieciešamais izdevumu apjoms, lai nodrošinātu valsts funkciju izpildi nemainīgā līmenī.</w:t>
      </w:r>
    </w:p>
    <w:p w14:paraId="5E280EA0" w14:textId="1216154E" w:rsidR="00F12F43" w:rsidRPr="004F30BF" w:rsidRDefault="00F12F43" w:rsidP="004F30BF">
      <w:pPr>
        <w:rPr>
          <w:szCs w:val="24"/>
        </w:rPr>
      </w:pPr>
      <w:r w:rsidRPr="004F30BF">
        <w:rPr>
          <w:szCs w:val="24"/>
        </w:rPr>
        <w:t xml:space="preserve">Aprēķinot maksimāli pieļaujamo valsts budžeta izdevumu kopapjomu, kas sastāv no valsts pamatbudžeta un valsts speciālā budžeta bāzes izdevumiem un valsts pamatbudžeta un valsts speciālā budžeta attīstības izdevumiem, ja </w:t>
      </w:r>
      <w:r w:rsidR="00530F34">
        <w:rPr>
          <w:szCs w:val="24"/>
        </w:rPr>
        <w:t>MK</w:t>
      </w:r>
      <w:r w:rsidRPr="004F30BF">
        <w:rPr>
          <w:szCs w:val="24"/>
        </w:rPr>
        <w:t xml:space="preserve"> ir pieņemts lēmums par </w:t>
      </w:r>
      <w:r w:rsidR="00530F34">
        <w:rPr>
          <w:szCs w:val="24"/>
        </w:rPr>
        <w:t>JPI</w:t>
      </w:r>
      <w:r w:rsidRPr="004F30BF">
        <w:rPr>
          <w:szCs w:val="24"/>
        </w:rPr>
        <w:t xml:space="preserve">, </w:t>
      </w:r>
      <w:r w:rsidR="00530F34">
        <w:rPr>
          <w:szCs w:val="24"/>
        </w:rPr>
        <w:t>FM</w:t>
      </w:r>
      <w:r w:rsidRPr="004F30BF">
        <w:rPr>
          <w:szCs w:val="24"/>
        </w:rPr>
        <w:t xml:space="preserve"> pamatojas uz </w:t>
      </w:r>
      <w:r w:rsidR="00530F34">
        <w:rPr>
          <w:szCs w:val="24"/>
        </w:rPr>
        <w:t>I</w:t>
      </w:r>
      <w:r w:rsidRPr="004F30BF">
        <w:rPr>
          <w:szCs w:val="24"/>
        </w:rPr>
        <w:t>etvara likumu, prognozēm par makroekonomisko attīstību, kā arī ievēro valstī noteiktos fiskālos nosacījumus.</w:t>
      </w:r>
    </w:p>
    <w:p w14:paraId="41C5EC23" w14:textId="77777777" w:rsidR="00F12F43" w:rsidRPr="004F7D04" w:rsidRDefault="00F12F43" w:rsidP="004F30BF">
      <w:pPr>
        <w:rPr>
          <w:szCs w:val="24"/>
        </w:rPr>
      </w:pPr>
      <w:r w:rsidRPr="004F7D04">
        <w:rPr>
          <w:szCs w:val="24"/>
        </w:rPr>
        <w:t>Pamatojoties uz MK apstiprināto maksimāli pieļaujamo izdevumu apjomu katram budžeta resoram, ministrijas un citas centrālās valsts iestādes izstrādā un iesniedz FM budžeta pieprasījumus saskaņā ar MK 2012.gada 31.jūlija noteikumiem Nr.523 „Noteikumi par budžeta pieprasījumu izstrādāšanas un iesniegšanas pamatprincipiem”. Noteikumi nosaka vienotus budžeta programmu veidošanas principus, valsts pamatbudžeta un valsts speciālā budžeta pieprasījumu sagatavošanas pamatprincipus, kā arī budžeta pieprasījuma sastāvu.</w:t>
      </w:r>
    </w:p>
    <w:p w14:paraId="6100D6A6" w14:textId="77777777" w:rsidR="00F12F43" w:rsidRPr="004F7D04" w:rsidRDefault="00F12F43" w:rsidP="004F30BF">
      <w:pPr>
        <w:rPr>
          <w:szCs w:val="24"/>
        </w:rPr>
      </w:pPr>
      <w:r w:rsidRPr="004F7D04">
        <w:rPr>
          <w:szCs w:val="24"/>
        </w:rPr>
        <w:t>Lai nodrošinātu sabiedrībai uzskatāmu priekšstatu par to, kādi resursi ir iesaistīti valsts pamatfunkciju īstenošanā, un kādi – ES un citu ārvalstu politiku instrumentu pasākumu ieviešanā, budžets tiek sagatavots šādās sadaļās:</w:t>
      </w:r>
    </w:p>
    <w:p w14:paraId="0AFE3431" w14:textId="77777777" w:rsidR="004F30BF" w:rsidRDefault="00F12F43" w:rsidP="00120262">
      <w:pPr>
        <w:numPr>
          <w:ilvl w:val="0"/>
          <w:numId w:val="9"/>
        </w:numPr>
        <w:rPr>
          <w:szCs w:val="24"/>
        </w:rPr>
      </w:pPr>
      <w:r w:rsidRPr="004F7D04">
        <w:rPr>
          <w:szCs w:val="24"/>
        </w:rPr>
        <w:t>Valsts pamatfunkciju īstenošana (izņemot ES politiku instrumentu un pārējās ārvalstu finanšu palīdzības līdzfinansētos un finansētos projektus un pasākumus);</w:t>
      </w:r>
    </w:p>
    <w:p w14:paraId="080DDB4F" w14:textId="5524EC94" w:rsidR="00F12F43" w:rsidRPr="004F30BF" w:rsidRDefault="00F12F43" w:rsidP="00120262">
      <w:pPr>
        <w:numPr>
          <w:ilvl w:val="0"/>
          <w:numId w:val="9"/>
        </w:numPr>
        <w:rPr>
          <w:szCs w:val="24"/>
        </w:rPr>
      </w:pPr>
      <w:r w:rsidRPr="004F30BF">
        <w:rPr>
          <w:szCs w:val="24"/>
        </w:rPr>
        <w:t>ES politiku instrumentu un pārējās ārvalstu finanšu palīdzības līdzfinansēto un finansēto projektu un pasākumu īstenošana.</w:t>
      </w:r>
    </w:p>
    <w:p w14:paraId="16A31821" w14:textId="743C021D" w:rsidR="00F12F43" w:rsidRPr="004F7D04" w:rsidRDefault="00F12F43" w:rsidP="004F30BF">
      <w:pPr>
        <w:rPr>
          <w:szCs w:val="24"/>
        </w:rPr>
      </w:pPr>
      <w:r w:rsidRPr="004F7D04">
        <w:rPr>
          <w:szCs w:val="24"/>
        </w:rPr>
        <w:t xml:space="preserve">Valsts budžeta pieprasījumus ministrijas un citas centrālās valsts iestādes izstrādā un iesniedz FM saskaņā ar </w:t>
      </w:r>
      <w:r w:rsidR="00530F34">
        <w:rPr>
          <w:szCs w:val="24"/>
        </w:rPr>
        <w:t>I</w:t>
      </w:r>
      <w:r w:rsidRPr="004F7D04">
        <w:rPr>
          <w:szCs w:val="24"/>
        </w:rPr>
        <w:t>etvara likuma projekta un gadskārtējā valsts budžeta likuma projekta izstrādes un iesniegšanas grafiku, kuru atbilstoši LBFV finanšu ministrs iesniedz MK.</w:t>
      </w:r>
    </w:p>
    <w:p w14:paraId="09E166D5" w14:textId="77777777" w:rsidR="00F12F43" w:rsidRPr="004F7D04" w:rsidRDefault="00F12F43" w:rsidP="0011050B">
      <w:pPr>
        <w:spacing w:after="0"/>
        <w:rPr>
          <w:szCs w:val="24"/>
        </w:rPr>
      </w:pPr>
      <w:r w:rsidRPr="004F7D04">
        <w:rPr>
          <w:szCs w:val="24"/>
        </w:rPr>
        <w:t xml:space="preserve">Gadskārtējā valsts budžeta likumprojekta sagatavošanas procesā tiek kompleksi vērtēti un pēc tam atspoguļoti valsts budžeta likumā šādi rādītāji: </w:t>
      </w:r>
    </w:p>
    <w:p w14:paraId="2732BFBD"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valsts budžeta ieņēmumi sadalījumā pa ieņēmumu veidiem (sadalījumā pa atbildīgajām ministrijām); </w:t>
      </w:r>
    </w:p>
    <w:p w14:paraId="60F27EA3"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lang w:val="lv-LV"/>
        </w:rPr>
        <w:t>valsts</w:t>
      </w:r>
      <w:r w:rsidRPr="004F7D04">
        <w:rPr>
          <w:rFonts w:ascii="Times New Roman" w:hAnsi="Times New Roman"/>
          <w:sz w:val="24"/>
          <w:szCs w:val="24"/>
        </w:rPr>
        <w:t xml:space="preserve"> budžeta izdevumi sadalījumā pa programmām (apakšprogrammām) un izdevumu veidiem atbilstoši ekonomiskajai būtībai; </w:t>
      </w:r>
    </w:p>
    <w:p w14:paraId="51F13045"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valsts budžeta finansiālā bilance; </w:t>
      </w:r>
    </w:p>
    <w:p w14:paraId="2CD5A6FA"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maksimālais valsts parāda maksimāli pieļaujamais apjoms saimnieciskā gada beigās; </w:t>
      </w:r>
    </w:p>
    <w:p w14:paraId="1B738B7B"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valsts vārdā izsniedzamo galvojumu apmērs;</w:t>
      </w:r>
    </w:p>
    <w:p w14:paraId="3ABAAC2D"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valsts budžeta aizdevumu kopējais palielinājums; </w:t>
      </w:r>
    </w:p>
    <w:p w14:paraId="266C008F"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valsts budžeta mērķdotāciju apmērs pašvaldībām, kā arī valsts budžeta dotācijas apmērs pašvaldību finanšu izlīdzināšanas fondam; </w:t>
      </w:r>
    </w:p>
    <w:p w14:paraId="185E28FF"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rPr>
      </w:pPr>
      <w:r w:rsidRPr="004F7D04">
        <w:rPr>
          <w:rFonts w:ascii="Times New Roman" w:hAnsi="Times New Roman"/>
          <w:sz w:val="24"/>
          <w:szCs w:val="24"/>
        </w:rPr>
        <w:t xml:space="preserve">pašvaldību aizņēmumu kopējais palielinājums un pašvaldību sniegto galvojumu kopējais palielinājums; </w:t>
      </w:r>
    </w:p>
    <w:p w14:paraId="6F577734" w14:textId="77777777" w:rsidR="00F12F43" w:rsidRPr="004F7D04" w:rsidRDefault="00F12F43" w:rsidP="0011050B">
      <w:pPr>
        <w:pStyle w:val="ListParagraph"/>
        <w:numPr>
          <w:ilvl w:val="0"/>
          <w:numId w:val="4"/>
        </w:numPr>
        <w:spacing w:after="0" w:line="240" w:lineRule="auto"/>
        <w:ind w:hanging="357"/>
        <w:jc w:val="both"/>
        <w:rPr>
          <w:rFonts w:ascii="Times New Roman" w:hAnsi="Times New Roman"/>
          <w:sz w:val="24"/>
          <w:szCs w:val="24"/>
          <w:u w:val="single"/>
        </w:rPr>
      </w:pPr>
      <w:r w:rsidRPr="004F7D04">
        <w:rPr>
          <w:rFonts w:ascii="Times New Roman" w:hAnsi="Times New Roman"/>
          <w:sz w:val="24"/>
          <w:szCs w:val="24"/>
        </w:rPr>
        <w:t xml:space="preserve">citi nosacījumi, piemēram, valsts </w:t>
      </w:r>
      <w:proofErr w:type="spellStart"/>
      <w:r w:rsidRPr="004F7D04">
        <w:rPr>
          <w:rFonts w:ascii="Times New Roman" w:hAnsi="Times New Roman"/>
          <w:sz w:val="24"/>
          <w:szCs w:val="24"/>
        </w:rPr>
        <w:t>fondēto</w:t>
      </w:r>
      <w:proofErr w:type="spellEnd"/>
      <w:r w:rsidRPr="004F7D04">
        <w:rPr>
          <w:rFonts w:ascii="Times New Roman" w:hAnsi="Times New Roman"/>
          <w:sz w:val="24"/>
          <w:szCs w:val="24"/>
        </w:rPr>
        <w:t xml:space="preserve"> pensiju shēmas iemaksu likme un iemaksu summa.</w:t>
      </w:r>
      <w:r w:rsidRPr="004F7D04">
        <w:rPr>
          <w:rFonts w:ascii="Times New Roman" w:hAnsi="Times New Roman"/>
          <w:sz w:val="24"/>
          <w:szCs w:val="24"/>
          <w:u w:val="single"/>
        </w:rPr>
        <w:t xml:space="preserve"> </w:t>
      </w:r>
    </w:p>
    <w:p w14:paraId="09850B6B" w14:textId="3D29F5E4" w:rsidR="00F12F43" w:rsidRPr="004F7D04" w:rsidRDefault="00F12F43" w:rsidP="004F30BF">
      <w:pPr>
        <w:rPr>
          <w:szCs w:val="24"/>
        </w:rPr>
      </w:pPr>
      <w:r w:rsidRPr="004F7D04">
        <w:rPr>
          <w:szCs w:val="24"/>
        </w:rPr>
        <w:t xml:space="preserve">Gadskārtējā valsts budžeta likumprojekta paskaidrojumos tiek ietverts makroekonomiskās attīstības scenārija apraksts, fiskālais apskats, ieņēmumu prognožu analīze, valsts budžeta izdevumu plānošanas būtiskākie elementi, budžeta programmu paskaidrojumi, valsts budžeta izdevumi funkcionālajā, administratīvajā un ekonomisko kategoriju sadalījumā, kā arī informācija par plānotajiem investīciju projektiem, informācija par valsts finansiālajām saistībām (kopsavilkums), kā arī informācija par budžeta likumprojektu paketes ietvaros veiktajiem grozījumiem normatīvajos aktos. Katrai valsts budžeta likumprojektā ietvertajai pamatbudžeta vai speciālā budžeta programmai (apakšprogrammai) budžeta paskaidrojumi tiek sagatavoti atsevišķā sadaļā, kas satur informāciju par  programmas (apakšprogrammas) mērķiem, galvenajām aktivitātēm un institūcijām, kas nodrošinās programmas (apakšprogrammas) izpildi, darbības rezultātiem un to rezultatīvajiem rādītājiem, papildus piešķirto finansējumu </w:t>
      </w:r>
      <w:r w:rsidR="00530F34">
        <w:rPr>
          <w:szCs w:val="24"/>
        </w:rPr>
        <w:t>JPI</w:t>
      </w:r>
      <w:r w:rsidRPr="004F7D04">
        <w:rPr>
          <w:szCs w:val="24"/>
        </w:rPr>
        <w:t xml:space="preserve"> realizācijai, finansiāliem rādītājiem un kopējo izdevumu izmaiņām. Tāpat paskaidrojumos ir pieejama arī informācija par vidējo amata vietu skaitu un atlīdzību budžeta resorā.</w:t>
      </w:r>
    </w:p>
    <w:p w14:paraId="5013AF5C" w14:textId="4D04AF0F" w:rsidR="00F12F43" w:rsidRPr="004F7D04" w:rsidRDefault="00F12F43" w:rsidP="004F30BF">
      <w:pPr>
        <w:rPr>
          <w:szCs w:val="24"/>
        </w:rPr>
      </w:pPr>
      <w:r w:rsidRPr="004F7D04">
        <w:rPr>
          <w:szCs w:val="24"/>
        </w:rPr>
        <w:tab/>
        <w:t>Valsts budžeta likumprojekta izstrādes gaitā notiek LPS un FM sarunas, kuru rezultātā tiek sagatavots Protokola projekts. Protokola projektā tiek iekļauti jautājumi par finanšu resursiem pašvaldību pamatbudžetam un speciālajam budžetam, pašvaldību finanšu izlīdzināšanu, aizņēmumiem, galvojumiem un ilgtermiņa saistībām, ES Struktūrfondu apguvi un normatīvo aktu prasību izpildei nepieciešamo finansējumu. Protokola projekts tiek iesniegts izskatīšanai paplašinātajā MK komitejas sēdē. MK un LPS domstarpību un vienošanās protokols ir obligāti jāpievieno nākamā gada budžeta projektam, valdībai iesniedzot to Saeimā. LBFV paredz veikt sarunas ar LPS arī Ietvara likum</w:t>
      </w:r>
      <w:r w:rsidR="00530F34">
        <w:rPr>
          <w:szCs w:val="24"/>
        </w:rPr>
        <w:t xml:space="preserve">a </w:t>
      </w:r>
      <w:r w:rsidRPr="004F7D04">
        <w:rPr>
          <w:szCs w:val="24"/>
        </w:rPr>
        <w:t>projekta izstrādes gaitā, un sarunu rezultātu protokola veidā pievienot likumprojektam.</w:t>
      </w:r>
    </w:p>
    <w:p w14:paraId="1E3B2BB3" w14:textId="77777777" w:rsidR="00F12F43" w:rsidRPr="004F7D04" w:rsidRDefault="00F12F43" w:rsidP="004F30BF">
      <w:pPr>
        <w:rPr>
          <w:szCs w:val="24"/>
        </w:rPr>
      </w:pPr>
      <w:r w:rsidRPr="004F7D04">
        <w:rPr>
          <w:szCs w:val="24"/>
        </w:rPr>
        <w:t>Atbilstoši likumam „Par pašvaldību budžetiem”, pašvaldības izstrādā savus budžetus ne vēlāk kā divu mēnešu laikā pēc gadskārtējā valsts budžeta likuma izsludināšanas.</w:t>
      </w:r>
    </w:p>
    <w:p w14:paraId="5F082C3F" w14:textId="0DCB0047" w:rsidR="00F12F43" w:rsidRPr="004F7D04" w:rsidRDefault="00F12F43" w:rsidP="004F30BF">
      <w:pPr>
        <w:rPr>
          <w:szCs w:val="24"/>
        </w:rPr>
      </w:pPr>
      <w:r w:rsidRPr="004F7D04">
        <w:rPr>
          <w:szCs w:val="24"/>
        </w:rPr>
        <w:t xml:space="preserve">Ir pastiprināta neatkarīgo iestāžu (tiesas, Valsts kontrole, </w:t>
      </w:r>
      <w:proofErr w:type="spellStart"/>
      <w:r w:rsidRPr="004F7D04">
        <w:rPr>
          <w:szCs w:val="24"/>
        </w:rPr>
        <w:t>Tiesībsargs</w:t>
      </w:r>
      <w:proofErr w:type="spellEnd"/>
      <w:r w:rsidRPr="004F7D04">
        <w:rPr>
          <w:szCs w:val="24"/>
        </w:rPr>
        <w:t xml:space="preserve"> un citas) loma budžeta procesā. Sākot ar 2012.gadu, LBFV nosaka, ka MK, sagatavojot </w:t>
      </w:r>
      <w:r w:rsidR="00A829A3">
        <w:rPr>
          <w:szCs w:val="24"/>
        </w:rPr>
        <w:t>I</w:t>
      </w:r>
      <w:r w:rsidRPr="004F7D04">
        <w:rPr>
          <w:szCs w:val="24"/>
        </w:rPr>
        <w:t>etvara likuma projektu un gadskārtējā valsts budžeta likuma projektu, ir jāuzklausa neatkarīgo iestāžu viedoklis par attiecīgo iestāžu finansējuma sadaļām, jāpamato MK viedoklis finansējuma samazinājuma gadījumā, kā arī minēto sarunu rezultāti protokola veidā ir jādara zināmi likumdevējam, pievienojot tos attiecīgajiem likumprojektiem.</w:t>
      </w:r>
    </w:p>
    <w:p w14:paraId="57964BE5" w14:textId="77777777" w:rsidR="00F12F43" w:rsidRPr="004F7D04" w:rsidRDefault="00F12F43" w:rsidP="004F30BF">
      <w:pPr>
        <w:rPr>
          <w:szCs w:val="24"/>
        </w:rPr>
      </w:pPr>
      <w:r w:rsidRPr="004F7D04">
        <w:rPr>
          <w:szCs w:val="24"/>
        </w:rPr>
        <w:t>Ja, sākoties saimnieciskajam gadam, nav stājies spēkā gadskārtējais valsts budžeta likums, finanšu ministrs apstiprina valsts darbībai nepieciešamos valsts budžeta izdevumus, aizdevumus un aizņēmumu limitus ar noteikumu, ka izdevumi mēnesī nepārsniedz divpadsmito daļu no iepriekšējā gada apropriācijas.</w:t>
      </w:r>
    </w:p>
    <w:p w14:paraId="7B589862" w14:textId="09D403F7" w:rsidR="00FA5B2A" w:rsidRDefault="00F12F43" w:rsidP="00455D6C">
      <w:pPr>
        <w:rPr>
          <w:szCs w:val="24"/>
        </w:rPr>
      </w:pPr>
      <w:r w:rsidRPr="004F7D04">
        <w:rPr>
          <w:szCs w:val="24"/>
        </w:rPr>
        <w:t>MK ir tiesības noteikt valsts un pašvaldību budžeta plānošanas un izpildes papildu nosacījumus, lai nodrošinātu makroekonomisko procesu izraisīto paaugstināto fiskālo, ekonomisko un sociālo risku ietekmes mazināšanas un novēršanas pasākumus un nodrošinātu starptautiskajās saistībās noteikto fiskālo kritēriju izpildi.</w:t>
      </w:r>
    </w:p>
    <w:p w14:paraId="10DAD1A1" w14:textId="62EEEA8B" w:rsidR="00FA5B2A" w:rsidRDefault="00247A00" w:rsidP="0011050B">
      <w:pPr>
        <w:spacing w:before="240"/>
        <w:ind w:firstLine="0"/>
        <w:jc w:val="left"/>
        <w:rPr>
          <w:b/>
          <w:sz w:val="28"/>
          <w:szCs w:val="28"/>
        </w:rPr>
      </w:pPr>
      <w:r>
        <w:rPr>
          <w:b/>
          <w:sz w:val="28"/>
          <w:szCs w:val="28"/>
        </w:rPr>
        <w:t>8</w:t>
      </w:r>
      <w:r w:rsidR="00FA5B2A" w:rsidRPr="0022274D">
        <w:rPr>
          <w:b/>
          <w:sz w:val="28"/>
          <w:szCs w:val="28"/>
        </w:rPr>
        <w:t>.3.2. Valsts finanšu statistikas pārvaldība</w:t>
      </w:r>
    </w:p>
    <w:p w14:paraId="18289D77" w14:textId="47FF29BC" w:rsidR="00E546E2" w:rsidRPr="00E546E2" w:rsidRDefault="00E546E2" w:rsidP="004F30BF">
      <w:pPr>
        <w:rPr>
          <w:szCs w:val="24"/>
        </w:rPr>
      </w:pPr>
      <w:r w:rsidRPr="00E546E2">
        <w:rPr>
          <w:szCs w:val="24"/>
        </w:rPr>
        <w:t>CSP apkopo valsts finanšu statistiku, kas aprēķināta atbilstoši EKS’ 95 prasībām.</w:t>
      </w:r>
    </w:p>
    <w:p w14:paraId="13A34548" w14:textId="443FAF19" w:rsidR="00E546E2" w:rsidRPr="00E546E2" w:rsidRDefault="00E546E2" w:rsidP="004F30BF">
      <w:pPr>
        <w:rPr>
          <w:szCs w:val="24"/>
        </w:rPr>
      </w:pPr>
      <w:r>
        <w:rPr>
          <w:szCs w:val="24"/>
        </w:rPr>
        <w:t xml:space="preserve">Vispārējās valdības sektora </w:t>
      </w:r>
      <w:r w:rsidRPr="00E546E2">
        <w:rPr>
          <w:szCs w:val="24"/>
        </w:rPr>
        <w:t xml:space="preserve">(S.13) ietvars Latvijā </w:t>
      </w:r>
      <w:r>
        <w:rPr>
          <w:szCs w:val="24"/>
        </w:rPr>
        <w:t xml:space="preserve">atbilstoši EKS’95 metodoloģijai sastāv no trim </w:t>
      </w:r>
      <w:proofErr w:type="spellStart"/>
      <w:r>
        <w:rPr>
          <w:szCs w:val="24"/>
        </w:rPr>
        <w:t>apakšsektoriem</w:t>
      </w:r>
      <w:proofErr w:type="spellEnd"/>
      <w:r>
        <w:rPr>
          <w:szCs w:val="24"/>
        </w:rPr>
        <w:t xml:space="preserve">: </w:t>
      </w:r>
      <w:r w:rsidRPr="00E546E2">
        <w:rPr>
          <w:szCs w:val="24"/>
        </w:rPr>
        <w:t xml:space="preserve">centrālās valdības </w:t>
      </w:r>
      <w:proofErr w:type="spellStart"/>
      <w:r w:rsidRPr="00E546E2">
        <w:rPr>
          <w:szCs w:val="24"/>
        </w:rPr>
        <w:t>apakšsektora</w:t>
      </w:r>
      <w:proofErr w:type="spellEnd"/>
      <w:r w:rsidRPr="00E546E2">
        <w:rPr>
          <w:szCs w:val="24"/>
        </w:rPr>
        <w:t xml:space="preserve"> (S.1311), pašv</w:t>
      </w:r>
      <w:r>
        <w:rPr>
          <w:szCs w:val="24"/>
        </w:rPr>
        <w:t xml:space="preserve">aldību </w:t>
      </w:r>
      <w:proofErr w:type="spellStart"/>
      <w:r>
        <w:rPr>
          <w:szCs w:val="24"/>
        </w:rPr>
        <w:t>apakšsektora</w:t>
      </w:r>
      <w:proofErr w:type="spellEnd"/>
      <w:r>
        <w:rPr>
          <w:szCs w:val="24"/>
        </w:rPr>
        <w:t xml:space="preserve"> (S.1313) un </w:t>
      </w:r>
      <w:r w:rsidRPr="00E546E2">
        <w:rPr>
          <w:szCs w:val="24"/>
        </w:rPr>
        <w:t xml:space="preserve">sociālās apdrošināšanas </w:t>
      </w:r>
      <w:proofErr w:type="spellStart"/>
      <w:r w:rsidRPr="00E546E2">
        <w:rPr>
          <w:szCs w:val="24"/>
        </w:rPr>
        <w:t>apakšsektora</w:t>
      </w:r>
      <w:proofErr w:type="spellEnd"/>
      <w:r w:rsidRPr="00E546E2">
        <w:rPr>
          <w:szCs w:val="24"/>
        </w:rPr>
        <w:t xml:space="preserve"> (S.1314).</w:t>
      </w:r>
    </w:p>
    <w:p w14:paraId="79A5A8C7" w14:textId="77777777" w:rsidR="00E546E2" w:rsidRPr="00E546E2" w:rsidRDefault="00E546E2" w:rsidP="004F30BF">
      <w:pPr>
        <w:rPr>
          <w:szCs w:val="24"/>
        </w:rPr>
      </w:pPr>
      <w:r w:rsidRPr="00E546E2">
        <w:rPr>
          <w:szCs w:val="24"/>
        </w:rPr>
        <w:t xml:space="preserve">Vispārējās valdības sektorā uz 2013.gada 31.decembri bija 1144 neatkarīgas budžeta iestādes, no tām centrālās valdības </w:t>
      </w:r>
      <w:proofErr w:type="spellStart"/>
      <w:r w:rsidRPr="00E546E2">
        <w:rPr>
          <w:szCs w:val="24"/>
        </w:rPr>
        <w:t>apakšsektorā</w:t>
      </w:r>
      <w:proofErr w:type="spellEnd"/>
      <w:r w:rsidRPr="00E546E2">
        <w:rPr>
          <w:szCs w:val="24"/>
        </w:rPr>
        <w:t xml:space="preserve"> - 257 iestādes, pašvaldību </w:t>
      </w:r>
      <w:proofErr w:type="spellStart"/>
      <w:r w:rsidRPr="00E546E2">
        <w:rPr>
          <w:szCs w:val="24"/>
        </w:rPr>
        <w:t>apakšsektorā</w:t>
      </w:r>
      <w:proofErr w:type="spellEnd"/>
      <w:r w:rsidRPr="00E546E2">
        <w:rPr>
          <w:szCs w:val="24"/>
        </w:rPr>
        <w:t xml:space="preserve"> – 887 iestādes un sociālās apdrošināšanas fonda </w:t>
      </w:r>
      <w:proofErr w:type="spellStart"/>
      <w:r w:rsidRPr="00E546E2">
        <w:rPr>
          <w:szCs w:val="24"/>
        </w:rPr>
        <w:t>apakšsektorā</w:t>
      </w:r>
      <w:proofErr w:type="spellEnd"/>
      <w:r w:rsidRPr="00E546E2">
        <w:rPr>
          <w:szCs w:val="24"/>
        </w:rPr>
        <w:t xml:space="preserve"> – viena iestāde, bez tam - 129 valsts un pašvaldību kontrolēti un finansēti komersanti, no tiem valsts kontrolēti – 45 komersanti, pašvaldību kontrolēti – 84 komersanti. </w:t>
      </w:r>
    </w:p>
    <w:p w14:paraId="6348E163" w14:textId="233136C7" w:rsidR="00E546E2" w:rsidRPr="00E546E2" w:rsidRDefault="00E546E2" w:rsidP="004F30BF">
      <w:pPr>
        <w:rPr>
          <w:szCs w:val="24"/>
        </w:rPr>
      </w:pPr>
      <w:r w:rsidRPr="00E546E2">
        <w:rPr>
          <w:szCs w:val="24"/>
        </w:rPr>
        <w:t xml:space="preserve">Uz vispārējās valdības sektoru attiecināmo komersantu sarakstu sastāda CSP, pārbaudot komersanta atbilstību </w:t>
      </w:r>
      <w:r w:rsidR="00A829A3">
        <w:rPr>
          <w:szCs w:val="24"/>
        </w:rPr>
        <w:t xml:space="preserve">pēc </w:t>
      </w:r>
      <w:r w:rsidRPr="00E546E2">
        <w:rPr>
          <w:szCs w:val="24"/>
        </w:rPr>
        <w:t>sekojošiem kritērijiem:</w:t>
      </w:r>
    </w:p>
    <w:p w14:paraId="7DFB7FFB" w14:textId="77777777" w:rsidR="00E546E2" w:rsidRPr="00E546E2" w:rsidRDefault="00E546E2" w:rsidP="00120262">
      <w:pPr>
        <w:numPr>
          <w:ilvl w:val="0"/>
          <w:numId w:val="8"/>
        </w:numPr>
        <w:spacing w:after="0"/>
        <w:ind w:left="1434" w:hanging="357"/>
        <w:rPr>
          <w:szCs w:val="24"/>
        </w:rPr>
      </w:pPr>
      <w:r w:rsidRPr="00E546E2">
        <w:rPr>
          <w:szCs w:val="24"/>
        </w:rPr>
        <w:t>vai tam ir institucionālas vienības pazīmes;</w:t>
      </w:r>
    </w:p>
    <w:p w14:paraId="3469CB67" w14:textId="77777777" w:rsidR="00E546E2" w:rsidRPr="00E546E2" w:rsidRDefault="00E546E2" w:rsidP="00120262">
      <w:pPr>
        <w:numPr>
          <w:ilvl w:val="0"/>
          <w:numId w:val="8"/>
        </w:numPr>
        <w:spacing w:after="0"/>
        <w:ind w:left="1434" w:hanging="357"/>
        <w:rPr>
          <w:szCs w:val="24"/>
        </w:rPr>
      </w:pPr>
      <w:r w:rsidRPr="00E546E2">
        <w:rPr>
          <w:szCs w:val="24"/>
        </w:rPr>
        <w:t>vai tas ir piederīgs publiskajam sektoram (valsts un pašvaldību līdzdalība komersanta pamatkapitālā pārsniedz 50 %);</w:t>
      </w:r>
    </w:p>
    <w:p w14:paraId="59ACF4C6" w14:textId="77777777" w:rsidR="00E546E2" w:rsidRPr="00E546E2" w:rsidRDefault="00E546E2" w:rsidP="00120262">
      <w:pPr>
        <w:numPr>
          <w:ilvl w:val="0"/>
          <w:numId w:val="8"/>
        </w:numPr>
        <w:spacing w:after="0"/>
        <w:ind w:left="1434" w:hanging="357"/>
        <w:rPr>
          <w:szCs w:val="24"/>
        </w:rPr>
      </w:pPr>
      <w:r w:rsidRPr="00E546E2">
        <w:rPr>
          <w:szCs w:val="24"/>
        </w:rPr>
        <w:t xml:space="preserve">vai tas ir uzskatāms par </w:t>
      </w:r>
      <w:proofErr w:type="spellStart"/>
      <w:r w:rsidRPr="00E546E2">
        <w:rPr>
          <w:szCs w:val="24"/>
        </w:rPr>
        <w:t>ārpustirgus</w:t>
      </w:r>
      <w:proofErr w:type="spellEnd"/>
      <w:r w:rsidRPr="00E546E2">
        <w:rPr>
          <w:szCs w:val="24"/>
        </w:rPr>
        <w:t xml:space="preserve"> publiskā sektora institucionālo vienību.</w:t>
      </w:r>
    </w:p>
    <w:p w14:paraId="5B373F46" w14:textId="77777777" w:rsidR="00E546E2" w:rsidRPr="00E546E2" w:rsidRDefault="00E546E2" w:rsidP="004F30BF">
      <w:pPr>
        <w:rPr>
          <w:szCs w:val="24"/>
        </w:rPr>
      </w:pPr>
      <w:r w:rsidRPr="00E546E2">
        <w:rPr>
          <w:szCs w:val="24"/>
        </w:rPr>
        <w:t>Ja vienības galvenā funkcija ir līdzdalība nacionālā ienākuma un bagātības pārdalē un tai ir piešķirts Vispārējās ekonomiskās darbības klasifikācijas NACE 2.red. kods, kas sākas ar “84” (klasifikācijas nodaļa “Valsts pārvalde un aizsardzība; obligātā sociālā apdrošināšana”), vienība tiek attiecināta uz vispārējās valdības sektoru. Piederību vispārējās valdības sektoram nosaka, analizējot vienības gada pārskatā sniegtos datus par finansiālo darbību. Analīzē tiek lietoti pēdējo piecu gadu pārskatu dati. Ja stabili (pēdējos trijos gados) izpildās nosacījums, ka vienības neto apgrozījums mīnus saņemtie valsts vai pašvaldības budžeta asignējumi ir mazāk kā 50% no vienības darbības izmaksām, vienība tiek attiecināta uz vispārējās valdības sektoru. Bez tam, ja vienības galvenais ienākuma avots ir citu valdības vienību maksa par pakalpojumiem, tā tiek attiecināta uz vispārējās valdības sektoru.</w:t>
      </w:r>
    </w:p>
    <w:p w14:paraId="7183371E" w14:textId="22F0F720" w:rsidR="00E546E2" w:rsidRPr="00E546E2" w:rsidRDefault="00E546E2" w:rsidP="004F30BF">
      <w:pPr>
        <w:rPr>
          <w:szCs w:val="24"/>
        </w:rPr>
      </w:pPr>
      <w:r w:rsidRPr="00E546E2">
        <w:rPr>
          <w:szCs w:val="24"/>
        </w:rPr>
        <w:t xml:space="preserve">CSP katru ceturksni gatavo detalizētu informāciju par vispārējās valdības sektora ieņēmumiem, izdevumiem, kā arī finanšu kontiem un valsts parādu, kuru sniedz </w:t>
      </w:r>
      <w:r w:rsidR="00A829A3">
        <w:rPr>
          <w:szCs w:val="24"/>
        </w:rPr>
        <w:t>ES</w:t>
      </w:r>
      <w:r w:rsidRPr="00E546E2">
        <w:rPr>
          <w:szCs w:val="24"/>
        </w:rPr>
        <w:t xml:space="preserve"> Statistikas birojam </w:t>
      </w:r>
      <w:proofErr w:type="spellStart"/>
      <w:r w:rsidRPr="004F30BF">
        <w:rPr>
          <w:i/>
          <w:szCs w:val="24"/>
        </w:rPr>
        <w:t>Eurosta</w:t>
      </w:r>
      <w:r w:rsidR="00A829A3">
        <w:rPr>
          <w:i/>
          <w:szCs w:val="24"/>
        </w:rPr>
        <w:t>t</w:t>
      </w:r>
      <w:proofErr w:type="spellEnd"/>
      <w:r w:rsidRPr="00E546E2">
        <w:rPr>
          <w:szCs w:val="24"/>
        </w:rPr>
        <w:t xml:space="preserve"> trīs mēnešus pēc pārskata perioda beigām. </w:t>
      </w:r>
    </w:p>
    <w:p w14:paraId="51E6802B" w14:textId="3E204BBA" w:rsidR="00E546E2" w:rsidRPr="00E546E2" w:rsidRDefault="00E546E2" w:rsidP="004F30BF">
      <w:pPr>
        <w:rPr>
          <w:szCs w:val="24"/>
        </w:rPr>
      </w:pPr>
      <w:r w:rsidRPr="00BD3D1B">
        <w:rPr>
          <w:szCs w:val="24"/>
        </w:rPr>
        <w:t>Bez tam noteiktajos termiņos (</w:t>
      </w:r>
      <w:r>
        <w:rPr>
          <w:szCs w:val="24"/>
        </w:rPr>
        <w:t>divas</w:t>
      </w:r>
      <w:r w:rsidRPr="00BD3D1B">
        <w:rPr>
          <w:szCs w:val="24"/>
        </w:rPr>
        <w:t xml:space="preserve"> reizes gadā – līdz 1. aprīlim (operatīvie dati) un līdz 1. oktobrim – (gala dati) tiek gatavota valsts budžeta deficīta un parāda notifikācija, kura tiek regulāri sūtīta ES institūcijām pēc visām ES dalībvalstīm noteiktas vienotas formas.</w:t>
      </w:r>
      <w:r w:rsidRPr="00E546E2">
        <w:rPr>
          <w:szCs w:val="24"/>
        </w:rPr>
        <w:t xml:space="preserve"> Par notifikācijas sagatavošanu atbildīgā iestāde ir CSP, kura vada regulāras starpinstitūciju darba grupas sanāksmes. Notifikācijas sagatavošanā ir iesaistīti speciālisti no </w:t>
      </w:r>
      <w:r w:rsidR="00530F34">
        <w:rPr>
          <w:szCs w:val="24"/>
        </w:rPr>
        <w:t>FM</w:t>
      </w:r>
      <w:r w:rsidRPr="00E546E2">
        <w:rPr>
          <w:szCs w:val="24"/>
        </w:rPr>
        <w:t xml:space="preserve">, </w:t>
      </w:r>
      <w:r w:rsidR="00530F34">
        <w:rPr>
          <w:szCs w:val="24"/>
        </w:rPr>
        <w:t>VK</w:t>
      </w:r>
      <w:r w:rsidRPr="00E546E2">
        <w:rPr>
          <w:szCs w:val="24"/>
        </w:rPr>
        <w:t xml:space="preserve"> un Ekonomikas ministrijas, kā arī no </w:t>
      </w:r>
      <w:r w:rsidR="00530F34">
        <w:rPr>
          <w:szCs w:val="24"/>
        </w:rPr>
        <w:t>LB</w:t>
      </w:r>
      <w:r w:rsidRPr="00E546E2">
        <w:rPr>
          <w:szCs w:val="24"/>
        </w:rPr>
        <w:t xml:space="preserve">. Vajadzības gadījumā papildus tiek piesaistīti speciālisti no citām institūcijām (Aizsardzības ministrijas, Labklājības ministrijas, Rīgas Domes </w:t>
      </w:r>
      <w:proofErr w:type="spellStart"/>
      <w:r w:rsidRPr="00E546E2">
        <w:rPr>
          <w:szCs w:val="24"/>
        </w:rPr>
        <w:t>u.c</w:t>
      </w:r>
      <w:proofErr w:type="spellEnd"/>
      <w:r w:rsidRPr="00E546E2">
        <w:rPr>
          <w:szCs w:val="24"/>
        </w:rPr>
        <w:t xml:space="preserve">). </w:t>
      </w:r>
    </w:p>
    <w:p w14:paraId="12CFDEA5" w14:textId="4E8D8787" w:rsidR="00E546E2" w:rsidRPr="00E546E2" w:rsidRDefault="00E546E2" w:rsidP="004F30BF">
      <w:pPr>
        <w:rPr>
          <w:szCs w:val="24"/>
        </w:rPr>
      </w:pPr>
      <w:r w:rsidRPr="00E546E2">
        <w:rPr>
          <w:szCs w:val="24"/>
        </w:rPr>
        <w:t xml:space="preserve">Ar valsts budžeta deficīta un parāda notifikāciju ES dalībvalstis informē </w:t>
      </w:r>
      <w:r w:rsidR="00530F34">
        <w:rPr>
          <w:szCs w:val="24"/>
        </w:rPr>
        <w:t>EK</w:t>
      </w:r>
      <w:r w:rsidRPr="00E546E2">
        <w:rPr>
          <w:szCs w:val="24"/>
        </w:rPr>
        <w:t xml:space="preserve"> par savas valsts rīcībā esošiem budžeta līdzekļiem un to izlietojumu. </w:t>
      </w:r>
    </w:p>
    <w:p w14:paraId="3A09A26E" w14:textId="6AAB910F" w:rsidR="00E546E2" w:rsidRDefault="00E546E2" w:rsidP="004F30BF">
      <w:pPr>
        <w:rPr>
          <w:szCs w:val="24"/>
        </w:rPr>
      </w:pPr>
      <w:r w:rsidRPr="00E546E2">
        <w:rPr>
          <w:szCs w:val="24"/>
        </w:rPr>
        <w:t xml:space="preserve">Visai iepriekš minētajai informācijai galvenie datu avoti ir </w:t>
      </w:r>
      <w:r w:rsidR="00530F34">
        <w:rPr>
          <w:szCs w:val="24"/>
        </w:rPr>
        <w:t>FM</w:t>
      </w:r>
      <w:r w:rsidRPr="00E546E2">
        <w:rPr>
          <w:szCs w:val="24"/>
        </w:rPr>
        <w:t xml:space="preserve"> „Gada pārskats par valsts budžeta izpildi un par pašvaldību budžetiem n-1 gadā” (operatīvajiem datiem –</w:t>
      </w:r>
      <w:r w:rsidR="00530F34">
        <w:rPr>
          <w:szCs w:val="24"/>
        </w:rPr>
        <w:t>VK</w:t>
      </w:r>
      <w:r w:rsidRPr="00E546E2">
        <w:rPr>
          <w:szCs w:val="24"/>
        </w:rPr>
        <w:t xml:space="preserve"> „Oficiālais mēneša pārskats par budžeta izpildi n-1 gada janvārī – decembrī”), Valsts un pašvaldību budžeta iestāžu grāmatvedības bilanču kopsavilkumi uz n-1 gada beigām (operatīvajiem datiem – Kopsavilkums par finanšu aktīviem un pasīviem n-1 gadā), kā arī informācija no CSP statistikas pārskata veidlapas 1- FAP „Finanšu aktīvi un pasīvi n-1 gadā” (operatīvajiem datiem – 2-FAP „Finanšu aktīvi un pasīvi n-1 gadā”).</w:t>
      </w:r>
    </w:p>
    <w:p w14:paraId="6568DDA4" w14:textId="21D4279E" w:rsidR="00316611" w:rsidRPr="001B6A4A" w:rsidRDefault="00247A00" w:rsidP="001B6A4A">
      <w:pPr>
        <w:pStyle w:val="otrais"/>
        <w:ind w:left="0" w:firstLine="0"/>
        <w:rPr>
          <w:color w:val="000000"/>
        </w:rPr>
      </w:pPr>
      <w:bookmarkStart w:id="62" w:name="_Toc284924066"/>
      <w:bookmarkStart w:id="63" w:name="_Toc385517832"/>
      <w:bookmarkEnd w:id="58"/>
      <w:bookmarkEnd w:id="59"/>
      <w:r w:rsidRPr="001B6A4A">
        <w:rPr>
          <w:color w:val="000000"/>
        </w:rPr>
        <w:t>8</w:t>
      </w:r>
      <w:r w:rsidR="00FA5B2A" w:rsidRPr="001B6A4A">
        <w:rPr>
          <w:color w:val="000000"/>
        </w:rPr>
        <w:t>.4</w:t>
      </w:r>
      <w:r w:rsidR="00316611" w:rsidRPr="001B6A4A">
        <w:rPr>
          <w:color w:val="000000"/>
        </w:rPr>
        <w:t>. Citas institucionālās attīstības attiecībā uz valsts finansēm</w:t>
      </w:r>
      <w:bookmarkEnd w:id="62"/>
      <w:bookmarkEnd w:id="63"/>
    </w:p>
    <w:p w14:paraId="5B77E722" w14:textId="77777777" w:rsidR="005D3DB3" w:rsidRDefault="005D3DB3" w:rsidP="005D3DB3">
      <w:pPr>
        <w:pStyle w:val="BodyTextIndent2"/>
        <w:ind w:firstLine="567"/>
        <w:rPr>
          <w:color w:val="000000"/>
          <w:szCs w:val="24"/>
        </w:rPr>
      </w:pPr>
      <w:r>
        <w:rPr>
          <w:color w:val="000000"/>
          <w:szCs w:val="24"/>
          <w:lang w:val="lv-LV"/>
        </w:rPr>
        <w:t>FDL paredz fiskālo risku vispārējās vadības sistēmas izveidi, kuras mērķis ir nodrošināt</w:t>
      </w:r>
      <w:r>
        <w:rPr>
          <w:color w:val="000000"/>
          <w:szCs w:val="24"/>
        </w:rPr>
        <w:t xml:space="preserve"> fiskālo rādītāju stabilitāti vidējā termiņā neatkarīgi no ārējo faktoru izraisītām izmaiņām, kā arī mazināt ārējo faktoru izraisīto izmaiņu ietekmi uz fiskālajiem rādītājiem katrā </w:t>
      </w:r>
      <w:r w:rsidRPr="007558CE">
        <w:rPr>
          <w:color w:val="000000"/>
          <w:szCs w:val="24"/>
          <w:lang w:val="lv-LV"/>
        </w:rPr>
        <w:t>I</w:t>
      </w:r>
      <w:r w:rsidRPr="001D4870">
        <w:rPr>
          <w:color w:val="000000"/>
          <w:szCs w:val="24"/>
          <w:lang w:val="lv-LV"/>
        </w:rPr>
        <w:t xml:space="preserve">etvara </w:t>
      </w:r>
      <w:r>
        <w:rPr>
          <w:color w:val="000000"/>
          <w:szCs w:val="24"/>
        </w:rPr>
        <w:t>likuma perioda gadā</w:t>
      </w:r>
      <w:r>
        <w:rPr>
          <w:color w:val="000000"/>
          <w:szCs w:val="24"/>
          <w:lang w:val="lv-LV"/>
        </w:rPr>
        <w:t>. Fiskālo risku vispārējā vadība ietver fiskālo risku identificēšanu, to iestāšanās varbūtības un fiskālās ietekmes novērtēšanu, un attiecīgi pasākumu izstrādi fiskālo risku mazināšanai vai novēršanai.</w:t>
      </w:r>
    </w:p>
    <w:p w14:paraId="21EAF88B" w14:textId="3ACDF546" w:rsidR="005D3DB3" w:rsidRPr="00632CF0" w:rsidRDefault="005D3DB3" w:rsidP="005D3DB3">
      <w:pPr>
        <w:pStyle w:val="BodyTextIndent2"/>
        <w:ind w:firstLine="567"/>
        <w:rPr>
          <w:color w:val="000000"/>
          <w:szCs w:val="24"/>
          <w:lang w:val="lv-LV"/>
        </w:rPr>
      </w:pPr>
      <w:r>
        <w:rPr>
          <w:color w:val="000000"/>
          <w:szCs w:val="24"/>
          <w:lang w:val="lv-LV"/>
        </w:rPr>
        <w:t>FDL paredz, ka Ietvara likuma projektam 2015., 2016. un 2017.gadam</w:t>
      </w:r>
      <w:r w:rsidRPr="00EC2DF4">
        <w:rPr>
          <w:color w:val="000000"/>
          <w:szCs w:val="24"/>
        </w:rPr>
        <w:t xml:space="preserve"> tik</w:t>
      </w:r>
      <w:r>
        <w:rPr>
          <w:color w:val="000000"/>
          <w:szCs w:val="24"/>
        </w:rPr>
        <w:t>s</w:t>
      </w:r>
      <w:r w:rsidRPr="00EC2DF4">
        <w:rPr>
          <w:color w:val="000000"/>
          <w:szCs w:val="24"/>
        </w:rPr>
        <w:t xml:space="preserve"> pievienota fiskālo risku deklarācija</w:t>
      </w:r>
      <w:r>
        <w:rPr>
          <w:color w:val="000000"/>
          <w:szCs w:val="24"/>
        </w:rPr>
        <w:t>, kur</w:t>
      </w:r>
      <w:r>
        <w:rPr>
          <w:color w:val="000000"/>
          <w:szCs w:val="24"/>
          <w:lang w:val="lv-LV"/>
        </w:rPr>
        <w:t xml:space="preserve">ā </w:t>
      </w:r>
      <w:r w:rsidRPr="00EC2DF4">
        <w:rPr>
          <w:color w:val="000000"/>
          <w:szCs w:val="24"/>
        </w:rPr>
        <w:t>t</w:t>
      </w:r>
      <w:r>
        <w:rPr>
          <w:color w:val="000000"/>
          <w:szCs w:val="24"/>
        </w:rPr>
        <w:t>i</w:t>
      </w:r>
      <w:r w:rsidRPr="00EC2DF4">
        <w:rPr>
          <w:color w:val="000000"/>
          <w:szCs w:val="24"/>
        </w:rPr>
        <w:t>k</w:t>
      </w:r>
      <w:r>
        <w:rPr>
          <w:color w:val="000000"/>
          <w:szCs w:val="24"/>
        </w:rPr>
        <w:t>s</w:t>
      </w:r>
      <w:r w:rsidRPr="00EC2DF4">
        <w:rPr>
          <w:color w:val="000000"/>
          <w:szCs w:val="24"/>
        </w:rPr>
        <w:t xml:space="preserve"> identificēti fiskālie riski, tos iedalot kvantificējamos un nekvantificējamos riskos. Kvantifi</w:t>
      </w:r>
      <w:r>
        <w:rPr>
          <w:color w:val="000000"/>
          <w:szCs w:val="24"/>
        </w:rPr>
        <w:t>cējamiem fiskālajiem riskiem tiks</w:t>
      </w:r>
      <w:r w:rsidRPr="00EC2DF4">
        <w:rPr>
          <w:color w:val="000000"/>
          <w:szCs w:val="24"/>
        </w:rPr>
        <w:t xml:space="preserve"> noteikta iestāšanas varbūtība un fiskālā ietekme. Atbilstoši tam </w:t>
      </w:r>
      <w:r>
        <w:rPr>
          <w:color w:val="000000"/>
          <w:szCs w:val="24"/>
        </w:rPr>
        <w:t>tiks</w:t>
      </w:r>
      <w:r w:rsidRPr="00EC2DF4">
        <w:rPr>
          <w:color w:val="000000"/>
          <w:szCs w:val="24"/>
        </w:rPr>
        <w:t xml:space="preserve"> aprēķināta fiskālā nodrošinājuma rezerve, kas nevar būt </w:t>
      </w:r>
      <w:r>
        <w:rPr>
          <w:color w:val="000000"/>
          <w:szCs w:val="24"/>
        </w:rPr>
        <w:t>mazāka</w:t>
      </w:r>
      <w:r w:rsidRPr="00EC2DF4">
        <w:rPr>
          <w:color w:val="000000"/>
          <w:szCs w:val="24"/>
        </w:rPr>
        <w:t xml:space="preserve"> par 0,1</w:t>
      </w:r>
      <w:r>
        <w:rPr>
          <w:color w:val="000000"/>
          <w:szCs w:val="24"/>
        </w:rPr>
        <w:t xml:space="preserve"> </w:t>
      </w:r>
      <w:r w:rsidRPr="00EC2DF4">
        <w:rPr>
          <w:color w:val="000000"/>
          <w:szCs w:val="24"/>
        </w:rPr>
        <w:t>% no IKP</w:t>
      </w:r>
      <w:r>
        <w:rPr>
          <w:color w:val="000000"/>
          <w:szCs w:val="24"/>
          <w:lang w:val="lv-LV"/>
        </w:rPr>
        <w:t xml:space="preserve">. Sagatavojot gadskārtējo valsts budžetu, par fiskālā nodrošinājuma rezerves apmēru tiks samazināti maksimāli pieļaujamie gadskārtējā valsts budžeta izdevumi, tādējādi mazinot varbūtību, ka iestājoties fiskālajiem riskiem, tiks pārkāpti FDL fiskālie nosacījumi. </w:t>
      </w:r>
      <w:r>
        <w:rPr>
          <w:color w:val="000000"/>
          <w:szCs w:val="24"/>
        </w:rPr>
        <w:t>Nepieciešamības gadījumā</w:t>
      </w:r>
      <w:r w:rsidRPr="00735871">
        <w:rPr>
          <w:color w:val="000000"/>
          <w:szCs w:val="24"/>
        </w:rPr>
        <w:t>, lai kompensētu fiskālo risku deklarācijā iekļauto nekvantificējamo fiskālo risku un neiekļauto fiskālo risku izraisītos izdevumus</w:t>
      </w:r>
      <w:r>
        <w:rPr>
          <w:color w:val="000000"/>
          <w:szCs w:val="24"/>
        </w:rPr>
        <w:t xml:space="preserve"> un</w:t>
      </w:r>
      <w:r w:rsidRPr="00735871">
        <w:rPr>
          <w:color w:val="000000"/>
          <w:szCs w:val="24"/>
        </w:rPr>
        <w:t xml:space="preserve"> ja to visu kopapjoms pārsniedz 0,1 </w:t>
      </w:r>
      <w:r w:rsidR="00AB6336">
        <w:rPr>
          <w:color w:val="000000"/>
          <w:szCs w:val="24"/>
          <w:lang w:val="lv-LV"/>
        </w:rPr>
        <w:t>%</w:t>
      </w:r>
      <w:r>
        <w:rPr>
          <w:color w:val="000000"/>
          <w:szCs w:val="24"/>
        </w:rPr>
        <w:t xml:space="preserve"> no </w:t>
      </w:r>
      <w:r>
        <w:rPr>
          <w:color w:val="000000"/>
          <w:szCs w:val="24"/>
          <w:lang w:val="lv-LV"/>
        </w:rPr>
        <w:t>IKP</w:t>
      </w:r>
      <w:r>
        <w:rPr>
          <w:color w:val="000000"/>
          <w:szCs w:val="24"/>
        </w:rPr>
        <w:t>, MK</w:t>
      </w:r>
      <w:r w:rsidRPr="00735871">
        <w:rPr>
          <w:color w:val="000000"/>
          <w:szCs w:val="24"/>
        </w:rPr>
        <w:t xml:space="preserve"> izstrādā priekšlikumus izdevumu samazināšanai citās izdevumu pozīcijās vai ieņēmumu palielināšanai</w:t>
      </w:r>
      <w:r>
        <w:rPr>
          <w:color w:val="000000"/>
          <w:szCs w:val="24"/>
        </w:rPr>
        <w:t xml:space="preserve">. </w:t>
      </w:r>
    </w:p>
    <w:p w14:paraId="4E4DA345" w14:textId="77777777" w:rsidR="005D3DB3" w:rsidRDefault="005D3DB3" w:rsidP="005D3DB3">
      <w:pPr>
        <w:pStyle w:val="BodyTextIndent2"/>
        <w:ind w:firstLine="567"/>
        <w:rPr>
          <w:color w:val="000000"/>
          <w:szCs w:val="24"/>
          <w:lang w:val="lv-LV"/>
        </w:rPr>
      </w:pPr>
      <w:r>
        <w:rPr>
          <w:color w:val="000000"/>
          <w:szCs w:val="24"/>
          <w:lang w:val="lv-LV"/>
        </w:rPr>
        <w:t>2014.gada aprīļa beigās tiek plānots apstiprināt MK noteikumus „</w:t>
      </w:r>
      <w:r w:rsidRPr="001D4870">
        <w:rPr>
          <w:color w:val="000000"/>
          <w:szCs w:val="24"/>
          <w:lang w:val="lv-LV"/>
        </w:rPr>
        <w:t>Noteikumi par fiskālo risku vispārējo vadību un par fiskālās nodrošinājuma rezerves apjoma noteikšanas metodoloģiju</w:t>
      </w:r>
      <w:r>
        <w:rPr>
          <w:color w:val="000000"/>
          <w:szCs w:val="24"/>
          <w:lang w:val="lv-LV"/>
        </w:rPr>
        <w:t>”, kas paredz fiskālo risku vadības iedalīšanu trīs līmeņos:</w:t>
      </w:r>
    </w:p>
    <w:p w14:paraId="137D5F71" w14:textId="401F9488" w:rsidR="005D3DB3" w:rsidRPr="001D4870" w:rsidRDefault="005D3DB3" w:rsidP="00EB6C31">
      <w:pPr>
        <w:pStyle w:val="BodyTextIndent2"/>
        <w:numPr>
          <w:ilvl w:val="0"/>
          <w:numId w:val="12"/>
        </w:numPr>
        <w:spacing w:before="0" w:after="0"/>
        <w:ind w:left="1423" w:hanging="357"/>
        <w:rPr>
          <w:szCs w:val="24"/>
          <w:lang w:val="lv-LV"/>
        </w:rPr>
      </w:pPr>
      <w:r>
        <w:rPr>
          <w:color w:val="000000"/>
          <w:szCs w:val="24"/>
          <w:lang w:val="lv-LV"/>
        </w:rPr>
        <w:t xml:space="preserve">fiskālo risku vispārējā vadību, par ko ir atbildīga </w:t>
      </w:r>
      <w:r w:rsidR="00EB6C31">
        <w:rPr>
          <w:color w:val="000000"/>
          <w:szCs w:val="24"/>
          <w:lang w:val="lv-LV"/>
        </w:rPr>
        <w:t>FM</w:t>
      </w:r>
      <w:r>
        <w:rPr>
          <w:color w:val="000000"/>
          <w:szCs w:val="24"/>
          <w:lang w:val="lv-LV"/>
        </w:rPr>
        <w:t>;</w:t>
      </w:r>
    </w:p>
    <w:p w14:paraId="4BC32F91" w14:textId="77777777" w:rsidR="005D3DB3" w:rsidRPr="001D4870" w:rsidRDefault="005D3DB3" w:rsidP="00EB6C31">
      <w:pPr>
        <w:pStyle w:val="BodyTextIndent2"/>
        <w:numPr>
          <w:ilvl w:val="0"/>
          <w:numId w:val="12"/>
        </w:numPr>
        <w:spacing w:before="0" w:after="0"/>
        <w:ind w:left="1423" w:hanging="357"/>
        <w:rPr>
          <w:szCs w:val="24"/>
          <w:lang w:val="lv-LV"/>
        </w:rPr>
      </w:pPr>
      <w:r>
        <w:rPr>
          <w:color w:val="000000"/>
          <w:szCs w:val="24"/>
          <w:lang w:val="lv-LV"/>
        </w:rPr>
        <w:t>specifisko fiskālo risku vadība, par kuru atbildīgas ir centrālās valsts iestādes;</w:t>
      </w:r>
    </w:p>
    <w:p w14:paraId="1A04AC63" w14:textId="1691E94B" w:rsidR="005D3DB3" w:rsidRPr="008C3A47" w:rsidRDefault="005D3DB3" w:rsidP="00EB6C31">
      <w:pPr>
        <w:pStyle w:val="BodyTextIndent2"/>
        <w:numPr>
          <w:ilvl w:val="0"/>
          <w:numId w:val="12"/>
        </w:numPr>
        <w:spacing w:before="0" w:after="0"/>
        <w:ind w:left="1423" w:hanging="357"/>
        <w:rPr>
          <w:szCs w:val="24"/>
          <w:lang w:val="lv-LV"/>
        </w:rPr>
      </w:pPr>
      <w:r>
        <w:rPr>
          <w:color w:val="000000"/>
          <w:szCs w:val="24"/>
          <w:lang w:val="lv-LV"/>
        </w:rPr>
        <w:t xml:space="preserve">atsevišķo fiskālo risku vadība, par kuru ir atbildīgi </w:t>
      </w:r>
      <w:r w:rsidRPr="008E513B">
        <w:t>valsts</w:t>
      </w:r>
      <w:r>
        <w:t xml:space="preserve"> budžeta</w:t>
      </w:r>
      <w:r w:rsidRPr="008E513B">
        <w:t xml:space="preserve"> un </w:t>
      </w:r>
      <w:r w:rsidR="00EB6C31">
        <w:rPr>
          <w:lang w:val="lv-LV"/>
        </w:rPr>
        <w:t>ES</w:t>
      </w:r>
      <w:r w:rsidRPr="008E513B">
        <w:t xml:space="preserve"> politikas instrumentu un cit</w:t>
      </w:r>
      <w:r>
        <w:rPr>
          <w:lang w:val="lv-LV"/>
        </w:rPr>
        <w:t>u</w:t>
      </w:r>
      <w:r w:rsidRPr="008E513B">
        <w:t xml:space="preserve"> ārvalstu finanšu palīdzības līdzekļu finansēto projektu un pasākumu īstenotāji, publiskās un privātās partnerības</w:t>
      </w:r>
      <w:r>
        <w:t xml:space="preserve"> </w:t>
      </w:r>
      <w:r w:rsidRPr="008E513B">
        <w:t>projektu īstenotāji un vispārējās valdības sektorā ietilpstošās valsts komercsabiedrības</w:t>
      </w:r>
      <w:r>
        <w:rPr>
          <w:lang w:val="lv-LV"/>
        </w:rPr>
        <w:t>.</w:t>
      </w:r>
    </w:p>
    <w:p w14:paraId="2C809243" w14:textId="50D77683" w:rsidR="005D3DB3" w:rsidRDefault="005D3DB3" w:rsidP="005D3DB3">
      <w:pPr>
        <w:pStyle w:val="BodyTextIndent2"/>
        <w:rPr>
          <w:color w:val="000000"/>
          <w:szCs w:val="24"/>
          <w:lang w:val="lv-LV"/>
        </w:rPr>
      </w:pPr>
      <w:r>
        <w:rPr>
          <w:szCs w:val="24"/>
          <w:lang w:val="lv-LV"/>
        </w:rPr>
        <w:t>Tāpat MK noteikumi, saskaņā FDL, paredz f</w:t>
      </w:r>
      <w:proofErr w:type="spellStart"/>
      <w:r>
        <w:rPr>
          <w:szCs w:val="24"/>
        </w:rPr>
        <w:t>iskālo</w:t>
      </w:r>
      <w:proofErr w:type="spellEnd"/>
      <w:r>
        <w:rPr>
          <w:szCs w:val="24"/>
        </w:rPr>
        <w:t xml:space="preserve"> risku</w:t>
      </w:r>
      <w:r w:rsidRPr="008C3A47">
        <w:rPr>
          <w:szCs w:val="24"/>
        </w:rPr>
        <w:t xml:space="preserve"> </w:t>
      </w:r>
      <w:r>
        <w:rPr>
          <w:szCs w:val="24"/>
        </w:rPr>
        <w:t>apkop</w:t>
      </w:r>
      <w:r>
        <w:rPr>
          <w:szCs w:val="24"/>
          <w:lang w:val="lv-LV"/>
        </w:rPr>
        <w:t>ošanu</w:t>
      </w:r>
      <w:r w:rsidRPr="008C3A47">
        <w:rPr>
          <w:szCs w:val="24"/>
        </w:rPr>
        <w:t xml:space="preserve"> fiskālo risku reģistrā, kas ir viens no fiskālo risku vispārējās vadības galvenajiem instrumentiem, kurā ikgadēji tiek atjaunota informācija</w:t>
      </w:r>
      <w:r w:rsidRPr="008C3A47">
        <w:rPr>
          <w:szCs w:val="24"/>
          <w:lang w:val="lv-LV"/>
        </w:rPr>
        <w:t xml:space="preserve">. Centrālās valsts iestādes katru gadu iesniedz </w:t>
      </w:r>
      <w:r w:rsidR="00F82AFD">
        <w:rPr>
          <w:szCs w:val="24"/>
          <w:lang w:val="lv-LV"/>
        </w:rPr>
        <w:t>FM</w:t>
      </w:r>
      <w:r w:rsidRPr="008C3A47">
        <w:rPr>
          <w:szCs w:val="24"/>
          <w:lang w:val="lv-LV"/>
        </w:rPr>
        <w:t xml:space="preserve"> fiskālo risku vadības ziņojumus gan par specifiskajiem, gan atsevišķajiem fiskālajiem riskiem</w:t>
      </w:r>
      <w:r w:rsidRPr="00CB7B03">
        <w:rPr>
          <w:szCs w:val="24"/>
          <w:lang w:val="lv-LV"/>
        </w:rPr>
        <w:t xml:space="preserve">, lai varētu sagatavot fiskālo risku deklarāciju, kas </w:t>
      </w:r>
      <w:r w:rsidRPr="008C3A47">
        <w:rPr>
          <w:szCs w:val="24"/>
          <w:lang w:val="lv-LV"/>
        </w:rPr>
        <w:t>ir pievienojama Ietvara likumam.</w:t>
      </w:r>
    </w:p>
    <w:p w14:paraId="7F3E12E0" w14:textId="65485864" w:rsidR="00DB6F9B" w:rsidRDefault="00121CC8" w:rsidP="002D62B9">
      <w:pPr>
        <w:pStyle w:val="PIRMAIS"/>
      </w:pPr>
      <w:bookmarkStart w:id="64" w:name="_Toc284924070"/>
      <w:bookmarkStart w:id="65" w:name="_Toc385517833"/>
      <w:r w:rsidRPr="009C61B1">
        <w:t>Pielikum</w:t>
      </w:r>
      <w:bookmarkEnd w:id="64"/>
      <w:r w:rsidR="00D3627A">
        <w:t>i</w:t>
      </w:r>
      <w:bookmarkEnd w:id="65"/>
    </w:p>
    <w:p w14:paraId="089F44AA" w14:textId="77777777" w:rsidR="00926426" w:rsidRPr="002C538F" w:rsidRDefault="00926426" w:rsidP="001D3936">
      <w:pPr>
        <w:pStyle w:val="T"/>
        <w:spacing w:before="480"/>
        <w:ind w:left="0"/>
        <w:rPr>
          <w:rFonts w:ascii="Times New Roman" w:hAnsi="Times New Roman"/>
          <w:color w:val="000000"/>
        </w:rPr>
      </w:pPr>
      <w:r w:rsidRPr="002C538F">
        <w:rPr>
          <w:rFonts w:ascii="Times New Roman" w:hAnsi="Times New Roman"/>
          <w:color w:val="000000"/>
        </w:rPr>
        <w:t>1a. tabula. Izaugsme un ar to saistītie faktori</w:t>
      </w:r>
    </w:p>
    <w:tbl>
      <w:tblPr>
        <w:tblW w:w="92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56"/>
        <w:gridCol w:w="1037"/>
        <w:gridCol w:w="1037"/>
        <w:gridCol w:w="741"/>
        <w:gridCol w:w="741"/>
        <w:gridCol w:w="741"/>
        <w:gridCol w:w="741"/>
        <w:gridCol w:w="971"/>
      </w:tblGrid>
      <w:tr w:rsidR="00926426" w:rsidRPr="004F5055" w14:paraId="4333C12E" w14:textId="77777777" w:rsidTr="00926426">
        <w:trPr>
          <w:tblHeader/>
          <w:jc w:val="center"/>
        </w:trPr>
        <w:tc>
          <w:tcPr>
            <w:tcW w:w="3256" w:type="dxa"/>
          </w:tcPr>
          <w:p w14:paraId="6119D07C" w14:textId="77777777" w:rsidR="00926426" w:rsidRPr="004F5055" w:rsidRDefault="00926426" w:rsidP="007A647F">
            <w:pPr>
              <w:spacing w:after="0"/>
              <w:ind w:hanging="31"/>
              <w:rPr>
                <w:color w:val="000000"/>
                <w:sz w:val="20"/>
              </w:rPr>
            </w:pPr>
          </w:p>
        </w:tc>
        <w:tc>
          <w:tcPr>
            <w:tcW w:w="1037" w:type="dxa"/>
          </w:tcPr>
          <w:p w14:paraId="36601960" w14:textId="77777777" w:rsidR="00926426" w:rsidRPr="004F5055" w:rsidRDefault="00926426" w:rsidP="007A647F">
            <w:pPr>
              <w:spacing w:after="0"/>
              <w:ind w:hanging="31"/>
              <w:rPr>
                <w:color w:val="000000"/>
                <w:sz w:val="20"/>
              </w:rPr>
            </w:pPr>
            <w:r w:rsidRPr="004F5055">
              <w:rPr>
                <w:color w:val="000000"/>
                <w:sz w:val="20"/>
              </w:rPr>
              <w:t>EKS</w:t>
            </w:r>
          </w:p>
          <w:p w14:paraId="1FBA3E76" w14:textId="77777777" w:rsidR="00926426" w:rsidRPr="004F5055" w:rsidRDefault="00926426" w:rsidP="007A647F">
            <w:pPr>
              <w:spacing w:after="0"/>
              <w:ind w:hanging="31"/>
              <w:rPr>
                <w:color w:val="000000"/>
                <w:sz w:val="20"/>
              </w:rPr>
            </w:pPr>
            <w:r w:rsidRPr="004F5055">
              <w:rPr>
                <w:color w:val="000000"/>
                <w:sz w:val="20"/>
              </w:rPr>
              <w:t>Kods</w:t>
            </w:r>
          </w:p>
        </w:tc>
        <w:tc>
          <w:tcPr>
            <w:tcW w:w="1037" w:type="dxa"/>
            <w:vAlign w:val="center"/>
          </w:tcPr>
          <w:p w14:paraId="46FAEC64" w14:textId="77777777" w:rsidR="00926426" w:rsidRPr="004D0B40" w:rsidRDefault="00926426" w:rsidP="007A647F">
            <w:pPr>
              <w:spacing w:after="0"/>
              <w:ind w:hanging="31"/>
              <w:rPr>
                <w:color w:val="000000"/>
                <w:sz w:val="20"/>
              </w:rPr>
            </w:pPr>
            <w:r w:rsidRPr="004D0B40">
              <w:rPr>
                <w:color w:val="000000"/>
                <w:sz w:val="20"/>
              </w:rPr>
              <w:t>2013</w:t>
            </w:r>
          </w:p>
        </w:tc>
        <w:tc>
          <w:tcPr>
            <w:tcW w:w="741" w:type="dxa"/>
            <w:vAlign w:val="center"/>
          </w:tcPr>
          <w:p w14:paraId="234B82A9" w14:textId="77777777" w:rsidR="00926426" w:rsidRPr="004D0B40" w:rsidRDefault="00926426" w:rsidP="007A647F">
            <w:pPr>
              <w:spacing w:after="0"/>
              <w:ind w:hanging="31"/>
              <w:rPr>
                <w:color w:val="000000"/>
                <w:sz w:val="20"/>
              </w:rPr>
            </w:pPr>
            <w:r w:rsidRPr="004D0B40">
              <w:rPr>
                <w:color w:val="000000"/>
                <w:sz w:val="20"/>
              </w:rPr>
              <w:t>2013</w:t>
            </w:r>
          </w:p>
        </w:tc>
        <w:tc>
          <w:tcPr>
            <w:tcW w:w="741" w:type="dxa"/>
            <w:vAlign w:val="center"/>
          </w:tcPr>
          <w:p w14:paraId="22E04811" w14:textId="77777777" w:rsidR="00926426" w:rsidRPr="004D0B40" w:rsidRDefault="00926426" w:rsidP="007A647F">
            <w:pPr>
              <w:spacing w:after="0"/>
              <w:ind w:hanging="31"/>
              <w:rPr>
                <w:color w:val="000000"/>
                <w:sz w:val="20"/>
              </w:rPr>
            </w:pPr>
            <w:r w:rsidRPr="004D0B40">
              <w:rPr>
                <w:color w:val="000000"/>
                <w:sz w:val="20"/>
              </w:rPr>
              <w:t>2014</w:t>
            </w:r>
          </w:p>
        </w:tc>
        <w:tc>
          <w:tcPr>
            <w:tcW w:w="741" w:type="dxa"/>
            <w:vAlign w:val="center"/>
          </w:tcPr>
          <w:p w14:paraId="11397045" w14:textId="77777777" w:rsidR="00926426" w:rsidRPr="004D0B40" w:rsidRDefault="00926426" w:rsidP="007A647F">
            <w:pPr>
              <w:spacing w:after="0"/>
              <w:ind w:hanging="31"/>
              <w:rPr>
                <w:color w:val="000000"/>
                <w:sz w:val="20"/>
              </w:rPr>
            </w:pPr>
            <w:r w:rsidRPr="004D0B40">
              <w:rPr>
                <w:color w:val="000000"/>
                <w:sz w:val="20"/>
              </w:rPr>
              <w:t>2015</w:t>
            </w:r>
          </w:p>
        </w:tc>
        <w:tc>
          <w:tcPr>
            <w:tcW w:w="741" w:type="dxa"/>
            <w:vAlign w:val="center"/>
          </w:tcPr>
          <w:p w14:paraId="6394D477" w14:textId="77777777" w:rsidR="00926426" w:rsidRPr="004D0B40" w:rsidRDefault="00926426" w:rsidP="007A647F">
            <w:pPr>
              <w:spacing w:after="0"/>
              <w:ind w:hanging="31"/>
              <w:rPr>
                <w:color w:val="000000"/>
                <w:sz w:val="20"/>
              </w:rPr>
            </w:pPr>
            <w:r w:rsidRPr="004D0B40">
              <w:rPr>
                <w:color w:val="000000"/>
                <w:sz w:val="20"/>
              </w:rPr>
              <w:t>2016</w:t>
            </w:r>
          </w:p>
        </w:tc>
        <w:tc>
          <w:tcPr>
            <w:tcW w:w="971" w:type="dxa"/>
            <w:vAlign w:val="center"/>
          </w:tcPr>
          <w:p w14:paraId="5FA7CB6B" w14:textId="77777777" w:rsidR="00926426" w:rsidRPr="004D0B40" w:rsidRDefault="00926426" w:rsidP="007A647F">
            <w:pPr>
              <w:spacing w:after="0"/>
              <w:ind w:hanging="31"/>
              <w:rPr>
                <w:color w:val="000000"/>
                <w:sz w:val="20"/>
              </w:rPr>
            </w:pPr>
            <w:r w:rsidRPr="004D0B40">
              <w:rPr>
                <w:color w:val="000000"/>
                <w:sz w:val="20"/>
              </w:rPr>
              <w:t>2017</w:t>
            </w:r>
          </w:p>
        </w:tc>
      </w:tr>
      <w:tr w:rsidR="00926426" w:rsidRPr="004F5055" w14:paraId="66641733" w14:textId="77777777" w:rsidTr="00926426">
        <w:trPr>
          <w:jc w:val="center"/>
        </w:trPr>
        <w:tc>
          <w:tcPr>
            <w:tcW w:w="3256" w:type="dxa"/>
          </w:tcPr>
          <w:p w14:paraId="3386DE79" w14:textId="77777777" w:rsidR="00926426" w:rsidRPr="004F5055" w:rsidRDefault="00926426" w:rsidP="007A647F">
            <w:pPr>
              <w:spacing w:after="0"/>
              <w:ind w:hanging="31"/>
              <w:rPr>
                <w:color w:val="000000"/>
                <w:sz w:val="20"/>
              </w:rPr>
            </w:pPr>
          </w:p>
        </w:tc>
        <w:tc>
          <w:tcPr>
            <w:tcW w:w="1037" w:type="dxa"/>
          </w:tcPr>
          <w:p w14:paraId="58119CDA" w14:textId="77777777" w:rsidR="00926426" w:rsidRPr="004F5055" w:rsidRDefault="00926426" w:rsidP="007A647F">
            <w:pPr>
              <w:spacing w:after="0"/>
              <w:ind w:hanging="31"/>
              <w:rPr>
                <w:color w:val="000000"/>
                <w:sz w:val="20"/>
              </w:rPr>
            </w:pPr>
          </w:p>
        </w:tc>
        <w:tc>
          <w:tcPr>
            <w:tcW w:w="1037" w:type="dxa"/>
          </w:tcPr>
          <w:p w14:paraId="36BB2951" w14:textId="77777777" w:rsidR="00926426" w:rsidRPr="004F5055" w:rsidRDefault="00926426" w:rsidP="007A647F">
            <w:pPr>
              <w:spacing w:after="0"/>
              <w:ind w:hanging="31"/>
              <w:rPr>
                <w:color w:val="000000"/>
                <w:sz w:val="20"/>
              </w:rPr>
            </w:pPr>
            <w:r w:rsidRPr="004F5055">
              <w:rPr>
                <w:color w:val="000000"/>
                <w:sz w:val="20"/>
              </w:rPr>
              <w:t xml:space="preserve">milj. </w:t>
            </w:r>
            <w:r>
              <w:rPr>
                <w:noProof/>
                <w:color w:val="000000"/>
                <w:sz w:val="20"/>
              </w:rPr>
              <w:t>eiro</w:t>
            </w:r>
          </w:p>
        </w:tc>
        <w:tc>
          <w:tcPr>
            <w:tcW w:w="3935" w:type="dxa"/>
            <w:gridSpan w:val="5"/>
          </w:tcPr>
          <w:p w14:paraId="452CE543" w14:textId="77777777" w:rsidR="00926426" w:rsidRPr="004F5055" w:rsidRDefault="00926426" w:rsidP="007A647F">
            <w:pPr>
              <w:spacing w:after="0"/>
              <w:ind w:hanging="31"/>
              <w:rPr>
                <w:color w:val="000000"/>
                <w:sz w:val="20"/>
              </w:rPr>
            </w:pPr>
            <w:r w:rsidRPr="004F5055">
              <w:rPr>
                <w:color w:val="000000"/>
                <w:sz w:val="20"/>
              </w:rPr>
              <w:t>Pieaugums %</w:t>
            </w:r>
          </w:p>
        </w:tc>
      </w:tr>
      <w:tr w:rsidR="00926426" w:rsidRPr="004F5055" w14:paraId="3A3FA740" w14:textId="77777777" w:rsidTr="004B74A0">
        <w:trPr>
          <w:jc w:val="center"/>
        </w:trPr>
        <w:tc>
          <w:tcPr>
            <w:tcW w:w="3256" w:type="dxa"/>
          </w:tcPr>
          <w:p w14:paraId="28DAF3E5" w14:textId="77777777" w:rsidR="00926426" w:rsidRPr="004F5055" w:rsidRDefault="00926426" w:rsidP="007A647F">
            <w:pPr>
              <w:spacing w:after="0"/>
              <w:ind w:hanging="31"/>
              <w:rPr>
                <w:color w:val="000000"/>
                <w:sz w:val="20"/>
              </w:rPr>
            </w:pPr>
            <w:r w:rsidRPr="004F5055">
              <w:rPr>
                <w:color w:val="000000"/>
                <w:sz w:val="20"/>
              </w:rPr>
              <w:t xml:space="preserve">1. IKP </w:t>
            </w:r>
            <w:r>
              <w:rPr>
                <w:snapToGrid w:val="0"/>
                <w:color w:val="000000"/>
                <w:sz w:val="20"/>
              </w:rPr>
              <w:t>2010</w:t>
            </w:r>
            <w:r w:rsidRPr="004F5055">
              <w:rPr>
                <w:color w:val="000000"/>
                <w:sz w:val="20"/>
              </w:rPr>
              <w:t>. gada cenās</w:t>
            </w:r>
          </w:p>
        </w:tc>
        <w:tc>
          <w:tcPr>
            <w:tcW w:w="1037" w:type="dxa"/>
          </w:tcPr>
          <w:p w14:paraId="72CB4F09" w14:textId="77777777" w:rsidR="00926426" w:rsidRPr="004F5055" w:rsidRDefault="00926426" w:rsidP="007A647F">
            <w:pPr>
              <w:spacing w:after="0"/>
              <w:ind w:hanging="31"/>
              <w:rPr>
                <w:color w:val="000000"/>
                <w:sz w:val="20"/>
              </w:rPr>
            </w:pPr>
            <w:r w:rsidRPr="004F5055">
              <w:rPr>
                <w:color w:val="000000"/>
                <w:sz w:val="20"/>
              </w:rPr>
              <w:t>B1*g</w:t>
            </w:r>
          </w:p>
        </w:tc>
        <w:tc>
          <w:tcPr>
            <w:tcW w:w="1037" w:type="dxa"/>
          </w:tcPr>
          <w:p w14:paraId="7CA40AF8" w14:textId="77777777" w:rsidR="00926426" w:rsidRPr="004F5055" w:rsidRDefault="00926426" w:rsidP="004B74A0">
            <w:pPr>
              <w:spacing w:after="0"/>
              <w:ind w:hanging="31"/>
              <w:jc w:val="right"/>
              <w:rPr>
                <w:color w:val="000000"/>
                <w:sz w:val="20"/>
              </w:rPr>
            </w:pPr>
            <w:r w:rsidRPr="004F5055">
              <w:rPr>
                <w:color w:val="000000"/>
                <w:sz w:val="20"/>
              </w:rPr>
              <w:t>20983,1</w:t>
            </w:r>
          </w:p>
        </w:tc>
        <w:tc>
          <w:tcPr>
            <w:tcW w:w="741" w:type="dxa"/>
          </w:tcPr>
          <w:p w14:paraId="3C45D24A" w14:textId="77777777" w:rsidR="00926426" w:rsidRPr="004F5055" w:rsidRDefault="00926426" w:rsidP="004B74A0">
            <w:pPr>
              <w:spacing w:after="0"/>
              <w:ind w:hanging="31"/>
              <w:jc w:val="right"/>
              <w:rPr>
                <w:color w:val="000000"/>
                <w:sz w:val="20"/>
              </w:rPr>
            </w:pPr>
            <w:r w:rsidRPr="004F5055">
              <w:rPr>
                <w:color w:val="000000"/>
                <w:sz w:val="20"/>
              </w:rPr>
              <w:t>4,1</w:t>
            </w:r>
          </w:p>
        </w:tc>
        <w:tc>
          <w:tcPr>
            <w:tcW w:w="741" w:type="dxa"/>
          </w:tcPr>
          <w:p w14:paraId="5DA14702" w14:textId="77777777" w:rsidR="00926426" w:rsidRPr="004F5055" w:rsidRDefault="00926426" w:rsidP="004B74A0">
            <w:pPr>
              <w:spacing w:after="0"/>
              <w:ind w:hanging="31"/>
              <w:jc w:val="right"/>
              <w:rPr>
                <w:color w:val="000000"/>
                <w:sz w:val="20"/>
              </w:rPr>
            </w:pPr>
            <w:r w:rsidRPr="004F5055">
              <w:rPr>
                <w:color w:val="000000"/>
                <w:sz w:val="20"/>
              </w:rPr>
              <w:t>4,0</w:t>
            </w:r>
          </w:p>
        </w:tc>
        <w:tc>
          <w:tcPr>
            <w:tcW w:w="741" w:type="dxa"/>
          </w:tcPr>
          <w:p w14:paraId="0F2E07AC" w14:textId="77777777" w:rsidR="00926426" w:rsidRPr="004F5055" w:rsidRDefault="00926426" w:rsidP="004B74A0">
            <w:pPr>
              <w:spacing w:after="0"/>
              <w:ind w:hanging="31"/>
              <w:jc w:val="right"/>
              <w:rPr>
                <w:color w:val="000000"/>
                <w:sz w:val="20"/>
              </w:rPr>
            </w:pPr>
            <w:r w:rsidRPr="004F5055">
              <w:rPr>
                <w:color w:val="000000"/>
                <w:sz w:val="20"/>
              </w:rPr>
              <w:t>4,0</w:t>
            </w:r>
          </w:p>
        </w:tc>
        <w:tc>
          <w:tcPr>
            <w:tcW w:w="741" w:type="dxa"/>
          </w:tcPr>
          <w:p w14:paraId="73E91332" w14:textId="77777777" w:rsidR="00926426" w:rsidRPr="004F5055" w:rsidRDefault="00926426" w:rsidP="004B74A0">
            <w:pPr>
              <w:spacing w:after="0"/>
              <w:ind w:hanging="31"/>
              <w:jc w:val="right"/>
              <w:rPr>
                <w:color w:val="000000"/>
                <w:sz w:val="20"/>
              </w:rPr>
            </w:pPr>
            <w:r w:rsidRPr="004F5055">
              <w:rPr>
                <w:color w:val="000000"/>
                <w:sz w:val="20"/>
              </w:rPr>
              <w:t>4,0</w:t>
            </w:r>
          </w:p>
        </w:tc>
        <w:tc>
          <w:tcPr>
            <w:tcW w:w="971" w:type="dxa"/>
          </w:tcPr>
          <w:p w14:paraId="4F924A77" w14:textId="77777777" w:rsidR="00926426" w:rsidRPr="004F5055" w:rsidRDefault="00926426" w:rsidP="004B74A0">
            <w:pPr>
              <w:spacing w:after="0"/>
              <w:ind w:hanging="31"/>
              <w:jc w:val="right"/>
              <w:rPr>
                <w:color w:val="000000"/>
                <w:sz w:val="20"/>
              </w:rPr>
            </w:pPr>
            <w:r w:rsidRPr="004F5055">
              <w:rPr>
                <w:color w:val="000000"/>
                <w:sz w:val="20"/>
              </w:rPr>
              <w:t>4,0</w:t>
            </w:r>
          </w:p>
        </w:tc>
      </w:tr>
      <w:tr w:rsidR="00926426" w:rsidRPr="004F5055" w14:paraId="6B7BAAFB" w14:textId="77777777" w:rsidTr="004B74A0">
        <w:trPr>
          <w:jc w:val="center"/>
        </w:trPr>
        <w:tc>
          <w:tcPr>
            <w:tcW w:w="3256" w:type="dxa"/>
          </w:tcPr>
          <w:p w14:paraId="37000AEE" w14:textId="77777777" w:rsidR="00926426" w:rsidRPr="004F5055" w:rsidRDefault="00926426" w:rsidP="007A647F">
            <w:pPr>
              <w:spacing w:after="0"/>
              <w:ind w:hanging="31"/>
              <w:rPr>
                <w:color w:val="000000"/>
                <w:sz w:val="20"/>
              </w:rPr>
            </w:pPr>
            <w:r w:rsidRPr="004F5055">
              <w:rPr>
                <w:color w:val="000000"/>
                <w:sz w:val="20"/>
              </w:rPr>
              <w:t>2. IKP faktiskajās cenās</w:t>
            </w:r>
          </w:p>
        </w:tc>
        <w:tc>
          <w:tcPr>
            <w:tcW w:w="1037" w:type="dxa"/>
          </w:tcPr>
          <w:p w14:paraId="17B02DA5" w14:textId="77777777" w:rsidR="00926426" w:rsidRPr="004F5055" w:rsidRDefault="00926426" w:rsidP="007A647F">
            <w:pPr>
              <w:spacing w:after="0"/>
              <w:ind w:hanging="31"/>
              <w:rPr>
                <w:color w:val="000000"/>
                <w:sz w:val="20"/>
              </w:rPr>
            </w:pPr>
            <w:r w:rsidRPr="004F5055">
              <w:rPr>
                <w:color w:val="000000"/>
                <w:sz w:val="20"/>
              </w:rPr>
              <w:t>B1*g</w:t>
            </w:r>
          </w:p>
        </w:tc>
        <w:tc>
          <w:tcPr>
            <w:tcW w:w="1037" w:type="dxa"/>
          </w:tcPr>
          <w:p w14:paraId="5CD3DCF8" w14:textId="77777777" w:rsidR="00926426" w:rsidRPr="004F5055" w:rsidRDefault="00926426" w:rsidP="004B74A0">
            <w:pPr>
              <w:spacing w:after="0"/>
              <w:ind w:hanging="31"/>
              <w:jc w:val="right"/>
              <w:rPr>
                <w:color w:val="000000"/>
                <w:sz w:val="20"/>
              </w:rPr>
            </w:pPr>
            <w:r w:rsidRPr="004F5055">
              <w:rPr>
                <w:color w:val="000000"/>
                <w:sz w:val="20"/>
              </w:rPr>
              <w:t>23315,5</w:t>
            </w:r>
          </w:p>
          <w:p w14:paraId="46D1019E" w14:textId="77777777" w:rsidR="00926426" w:rsidRPr="004F5055" w:rsidRDefault="00926426" w:rsidP="004B74A0">
            <w:pPr>
              <w:spacing w:after="0"/>
              <w:ind w:hanging="31"/>
              <w:jc w:val="right"/>
              <w:rPr>
                <w:color w:val="000000"/>
                <w:sz w:val="20"/>
              </w:rPr>
            </w:pPr>
          </w:p>
        </w:tc>
        <w:tc>
          <w:tcPr>
            <w:tcW w:w="741" w:type="dxa"/>
          </w:tcPr>
          <w:p w14:paraId="5B37D6F9" w14:textId="77777777" w:rsidR="00926426" w:rsidRPr="004F5055" w:rsidRDefault="00926426" w:rsidP="004B74A0">
            <w:pPr>
              <w:spacing w:after="0"/>
              <w:ind w:hanging="31"/>
              <w:jc w:val="right"/>
              <w:rPr>
                <w:color w:val="000000"/>
                <w:sz w:val="20"/>
              </w:rPr>
            </w:pPr>
            <w:r w:rsidRPr="004F5055">
              <w:rPr>
                <w:color w:val="000000"/>
                <w:sz w:val="20"/>
              </w:rPr>
              <w:t>5,6</w:t>
            </w:r>
          </w:p>
        </w:tc>
        <w:tc>
          <w:tcPr>
            <w:tcW w:w="741" w:type="dxa"/>
          </w:tcPr>
          <w:p w14:paraId="083F00BA" w14:textId="77777777" w:rsidR="00926426" w:rsidRPr="004F5055" w:rsidRDefault="00926426" w:rsidP="004B74A0">
            <w:pPr>
              <w:spacing w:after="0"/>
              <w:ind w:hanging="31"/>
              <w:jc w:val="right"/>
              <w:rPr>
                <w:color w:val="000000"/>
                <w:sz w:val="20"/>
              </w:rPr>
            </w:pPr>
            <w:r w:rsidRPr="004F5055">
              <w:rPr>
                <w:color w:val="000000"/>
                <w:sz w:val="20"/>
              </w:rPr>
              <w:t>5,7</w:t>
            </w:r>
          </w:p>
        </w:tc>
        <w:tc>
          <w:tcPr>
            <w:tcW w:w="741" w:type="dxa"/>
          </w:tcPr>
          <w:p w14:paraId="740B931E" w14:textId="77777777" w:rsidR="00926426" w:rsidRPr="004F5055" w:rsidRDefault="00926426" w:rsidP="004B74A0">
            <w:pPr>
              <w:spacing w:after="0"/>
              <w:ind w:hanging="31"/>
              <w:jc w:val="right"/>
              <w:rPr>
                <w:color w:val="000000"/>
                <w:sz w:val="20"/>
              </w:rPr>
            </w:pPr>
            <w:r w:rsidRPr="004F5055">
              <w:rPr>
                <w:color w:val="000000"/>
                <w:sz w:val="20"/>
              </w:rPr>
              <w:t>6,9</w:t>
            </w:r>
          </w:p>
        </w:tc>
        <w:tc>
          <w:tcPr>
            <w:tcW w:w="741" w:type="dxa"/>
          </w:tcPr>
          <w:p w14:paraId="7B17E4E6" w14:textId="77777777" w:rsidR="00926426" w:rsidRPr="004F5055" w:rsidRDefault="00926426" w:rsidP="004B74A0">
            <w:pPr>
              <w:spacing w:after="0"/>
              <w:ind w:hanging="31"/>
              <w:jc w:val="right"/>
              <w:rPr>
                <w:color w:val="000000"/>
                <w:sz w:val="20"/>
              </w:rPr>
            </w:pPr>
            <w:r w:rsidRPr="004F5055">
              <w:rPr>
                <w:color w:val="000000"/>
                <w:sz w:val="20"/>
              </w:rPr>
              <w:t>6,6</w:t>
            </w:r>
          </w:p>
        </w:tc>
        <w:tc>
          <w:tcPr>
            <w:tcW w:w="971" w:type="dxa"/>
          </w:tcPr>
          <w:p w14:paraId="5EB54742" w14:textId="77777777" w:rsidR="00926426" w:rsidRPr="004F5055" w:rsidRDefault="00926426" w:rsidP="004B74A0">
            <w:pPr>
              <w:spacing w:after="0"/>
              <w:ind w:hanging="31"/>
              <w:jc w:val="right"/>
              <w:rPr>
                <w:color w:val="000000"/>
                <w:sz w:val="20"/>
              </w:rPr>
            </w:pPr>
            <w:r w:rsidRPr="004F5055">
              <w:rPr>
                <w:color w:val="000000"/>
                <w:sz w:val="20"/>
              </w:rPr>
              <w:t>6,6</w:t>
            </w:r>
          </w:p>
        </w:tc>
      </w:tr>
      <w:tr w:rsidR="00926426" w:rsidRPr="004F5055" w14:paraId="0430E445" w14:textId="77777777" w:rsidTr="00336495">
        <w:trPr>
          <w:jc w:val="center"/>
        </w:trPr>
        <w:tc>
          <w:tcPr>
            <w:tcW w:w="9265" w:type="dxa"/>
            <w:gridSpan w:val="8"/>
          </w:tcPr>
          <w:p w14:paraId="025B50A1" w14:textId="77777777" w:rsidR="00926426" w:rsidRPr="004D0B40" w:rsidRDefault="00926426" w:rsidP="00336495">
            <w:pPr>
              <w:spacing w:after="0"/>
              <w:ind w:hanging="31"/>
              <w:jc w:val="center"/>
              <w:rPr>
                <w:b/>
                <w:color w:val="000000"/>
                <w:sz w:val="20"/>
              </w:rPr>
            </w:pPr>
            <w:r w:rsidRPr="004F5055">
              <w:rPr>
                <w:b/>
                <w:color w:val="000000"/>
                <w:sz w:val="20"/>
              </w:rPr>
              <w:t>IKP pēc izlietojuma 20</w:t>
            </w:r>
            <w:r>
              <w:rPr>
                <w:b/>
                <w:color w:val="000000"/>
                <w:sz w:val="20"/>
              </w:rPr>
              <w:t>10</w:t>
            </w:r>
            <w:r w:rsidRPr="004F5055">
              <w:rPr>
                <w:b/>
                <w:color w:val="000000"/>
                <w:sz w:val="20"/>
              </w:rPr>
              <w:t>. gada cenās</w:t>
            </w:r>
          </w:p>
        </w:tc>
      </w:tr>
      <w:tr w:rsidR="00926426" w:rsidRPr="004F5055" w14:paraId="30E71FE7" w14:textId="77777777" w:rsidTr="004B74A0">
        <w:trPr>
          <w:jc w:val="center"/>
        </w:trPr>
        <w:tc>
          <w:tcPr>
            <w:tcW w:w="3256" w:type="dxa"/>
          </w:tcPr>
          <w:p w14:paraId="62B1CBE3" w14:textId="77777777" w:rsidR="00926426" w:rsidRPr="004F5055" w:rsidRDefault="00926426" w:rsidP="007A647F">
            <w:pPr>
              <w:spacing w:after="0"/>
              <w:ind w:hanging="31"/>
              <w:rPr>
                <w:color w:val="000000"/>
                <w:sz w:val="20"/>
              </w:rPr>
            </w:pPr>
            <w:r w:rsidRPr="004F5055">
              <w:rPr>
                <w:color w:val="000000"/>
                <w:sz w:val="20"/>
              </w:rPr>
              <w:t>3. Privātais patēriņš</w:t>
            </w:r>
          </w:p>
        </w:tc>
        <w:tc>
          <w:tcPr>
            <w:tcW w:w="1037" w:type="dxa"/>
          </w:tcPr>
          <w:p w14:paraId="59E7A35D" w14:textId="77777777" w:rsidR="00926426" w:rsidRPr="004F5055" w:rsidRDefault="00926426" w:rsidP="007A647F">
            <w:pPr>
              <w:spacing w:after="0"/>
              <w:ind w:hanging="31"/>
              <w:rPr>
                <w:color w:val="000000"/>
                <w:sz w:val="20"/>
              </w:rPr>
            </w:pPr>
            <w:r w:rsidRPr="004F5055">
              <w:rPr>
                <w:color w:val="000000"/>
                <w:sz w:val="20"/>
              </w:rPr>
              <w:t>P3</w:t>
            </w:r>
          </w:p>
        </w:tc>
        <w:tc>
          <w:tcPr>
            <w:tcW w:w="1037" w:type="dxa"/>
          </w:tcPr>
          <w:p w14:paraId="26730486" w14:textId="77777777" w:rsidR="00926426" w:rsidRPr="004D0B40" w:rsidRDefault="00926426" w:rsidP="004B74A0">
            <w:pPr>
              <w:spacing w:after="0"/>
              <w:ind w:hanging="31"/>
              <w:jc w:val="right"/>
              <w:rPr>
                <w:color w:val="000000"/>
                <w:sz w:val="20"/>
              </w:rPr>
            </w:pPr>
            <w:r w:rsidRPr="004D0B40">
              <w:rPr>
                <w:color w:val="000000"/>
                <w:sz w:val="20"/>
              </w:rPr>
              <w:t>13415,9</w:t>
            </w:r>
          </w:p>
        </w:tc>
        <w:tc>
          <w:tcPr>
            <w:tcW w:w="741" w:type="dxa"/>
          </w:tcPr>
          <w:p w14:paraId="25814513" w14:textId="77777777" w:rsidR="00926426" w:rsidRPr="004F5055" w:rsidRDefault="00926426" w:rsidP="004B74A0">
            <w:pPr>
              <w:spacing w:after="0"/>
              <w:ind w:hanging="31"/>
              <w:jc w:val="right"/>
              <w:rPr>
                <w:color w:val="000000"/>
                <w:sz w:val="20"/>
              </w:rPr>
            </w:pPr>
            <w:r w:rsidRPr="004F5055">
              <w:rPr>
                <w:color w:val="000000"/>
                <w:sz w:val="20"/>
              </w:rPr>
              <w:t>5,4</w:t>
            </w:r>
          </w:p>
        </w:tc>
        <w:tc>
          <w:tcPr>
            <w:tcW w:w="741" w:type="dxa"/>
          </w:tcPr>
          <w:p w14:paraId="6B43ACD0" w14:textId="77777777" w:rsidR="00926426" w:rsidRPr="004F5055" w:rsidRDefault="00926426" w:rsidP="004B74A0">
            <w:pPr>
              <w:spacing w:after="0"/>
              <w:ind w:hanging="31"/>
              <w:jc w:val="right"/>
              <w:rPr>
                <w:color w:val="000000"/>
                <w:sz w:val="20"/>
              </w:rPr>
            </w:pPr>
            <w:r w:rsidRPr="004F5055">
              <w:rPr>
                <w:color w:val="000000"/>
                <w:sz w:val="20"/>
              </w:rPr>
              <w:t>5,1</w:t>
            </w:r>
          </w:p>
        </w:tc>
        <w:tc>
          <w:tcPr>
            <w:tcW w:w="741" w:type="dxa"/>
          </w:tcPr>
          <w:p w14:paraId="1E498945" w14:textId="77777777" w:rsidR="00926426" w:rsidRPr="004F5055" w:rsidRDefault="00926426" w:rsidP="004B74A0">
            <w:pPr>
              <w:spacing w:after="0"/>
              <w:ind w:hanging="31"/>
              <w:jc w:val="right"/>
              <w:rPr>
                <w:color w:val="000000"/>
                <w:sz w:val="20"/>
              </w:rPr>
            </w:pPr>
            <w:r w:rsidRPr="004F5055">
              <w:rPr>
                <w:color w:val="000000"/>
                <w:sz w:val="20"/>
              </w:rPr>
              <w:t>4,6</w:t>
            </w:r>
          </w:p>
        </w:tc>
        <w:tc>
          <w:tcPr>
            <w:tcW w:w="741" w:type="dxa"/>
          </w:tcPr>
          <w:p w14:paraId="0623F084" w14:textId="77777777" w:rsidR="00926426" w:rsidRPr="004F5055" w:rsidRDefault="00926426" w:rsidP="004B74A0">
            <w:pPr>
              <w:spacing w:after="0"/>
              <w:ind w:hanging="31"/>
              <w:jc w:val="right"/>
              <w:rPr>
                <w:color w:val="000000"/>
                <w:sz w:val="20"/>
              </w:rPr>
            </w:pPr>
            <w:r w:rsidRPr="004F5055">
              <w:rPr>
                <w:color w:val="000000"/>
                <w:sz w:val="20"/>
              </w:rPr>
              <w:t>4,0</w:t>
            </w:r>
          </w:p>
        </w:tc>
        <w:tc>
          <w:tcPr>
            <w:tcW w:w="971" w:type="dxa"/>
          </w:tcPr>
          <w:p w14:paraId="2BCEA044" w14:textId="77777777" w:rsidR="00926426" w:rsidRPr="004F5055" w:rsidRDefault="00926426" w:rsidP="004B74A0">
            <w:pPr>
              <w:spacing w:after="0"/>
              <w:ind w:hanging="31"/>
              <w:jc w:val="right"/>
              <w:rPr>
                <w:color w:val="000000"/>
                <w:sz w:val="20"/>
              </w:rPr>
            </w:pPr>
            <w:r w:rsidRPr="004F5055">
              <w:rPr>
                <w:color w:val="000000"/>
                <w:sz w:val="20"/>
              </w:rPr>
              <w:t>3,9</w:t>
            </w:r>
          </w:p>
        </w:tc>
      </w:tr>
      <w:tr w:rsidR="00926426" w:rsidRPr="004F5055" w14:paraId="60305417" w14:textId="77777777" w:rsidTr="004B74A0">
        <w:trPr>
          <w:jc w:val="center"/>
        </w:trPr>
        <w:tc>
          <w:tcPr>
            <w:tcW w:w="3256" w:type="dxa"/>
          </w:tcPr>
          <w:p w14:paraId="2DBFBA89" w14:textId="77777777" w:rsidR="00926426" w:rsidRPr="004F5055" w:rsidRDefault="00926426" w:rsidP="007A647F">
            <w:pPr>
              <w:spacing w:after="0"/>
              <w:ind w:hanging="31"/>
              <w:rPr>
                <w:color w:val="000000"/>
                <w:sz w:val="20"/>
              </w:rPr>
            </w:pPr>
            <w:r w:rsidRPr="004F5055">
              <w:rPr>
                <w:color w:val="000000"/>
                <w:sz w:val="20"/>
              </w:rPr>
              <w:t>4. Sabiedriskais patēriņš</w:t>
            </w:r>
          </w:p>
        </w:tc>
        <w:tc>
          <w:tcPr>
            <w:tcW w:w="1037" w:type="dxa"/>
          </w:tcPr>
          <w:p w14:paraId="2F63D68A" w14:textId="77777777" w:rsidR="00926426" w:rsidRPr="004F5055" w:rsidRDefault="00926426" w:rsidP="007A647F">
            <w:pPr>
              <w:spacing w:after="0"/>
              <w:ind w:hanging="31"/>
              <w:rPr>
                <w:color w:val="000000"/>
                <w:sz w:val="20"/>
              </w:rPr>
            </w:pPr>
            <w:r w:rsidRPr="004F5055">
              <w:rPr>
                <w:color w:val="000000"/>
                <w:sz w:val="20"/>
              </w:rPr>
              <w:t>P3</w:t>
            </w:r>
          </w:p>
        </w:tc>
        <w:tc>
          <w:tcPr>
            <w:tcW w:w="1037" w:type="dxa"/>
          </w:tcPr>
          <w:p w14:paraId="242A2B86" w14:textId="77777777" w:rsidR="00926426" w:rsidRPr="004D0B40" w:rsidRDefault="00926426" w:rsidP="004B74A0">
            <w:pPr>
              <w:spacing w:after="0"/>
              <w:ind w:hanging="31"/>
              <w:jc w:val="right"/>
              <w:rPr>
                <w:color w:val="000000"/>
                <w:sz w:val="20"/>
              </w:rPr>
            </w:pPr>
            <w:r w:rsidRPr="004D0B40">
              <w:rPr>
                <w:color w:val="000000"/>
                <w:sz w:val="20"/>
              </w:rPr>
              <w:t>3494,1</w:t>
            </w:r>
          </w:p>
        </w:tc>
        <w:tc>
          <w:tcPr>
            <w:tcW w:w="741" w:type="dxa"/>
          </w:tcPr>
          <w:p w14:paraId="00D480C9" w14:textId="77777777" w:rsidR="00926426" w:rsidRPr="004F5055" w:rsidRDefault="00926426" w:rsidP="004B74A0">
            <w:pPr>
              <w:spacing w:after="0"/>
              <w:ind w:hanging="31"/>
              <w:jc w:val="right"/>
              <w:rPr>
                <w:color w:val="000000"/>
                <w:sz w:val="20"/>
              </w:rPr>
            </w:pPr>
            <w:r w:rsidRPr="004F5055">
              <w:rPr>
                <w:color w:val="000000"/>
                <w:sz w:val="20"/>
              </w:rPr>
              <w:t>3,6</w:t>
            </w:r>
          </w:p>
        </w:tc>
        <w:tc>
          <w:tcPr>
            <w:tcW w:w="741" w:type="dxa"/>
          </w:tcPr>
          <w:p w14:paraId="735D4EF9" w14:textId="77777777" w:rsidR="00926426" w:rsidRPr="004F5055" w:rsidRDefault="00926426" w:rsidP="004B74A0">
            <w:pPr>
              <w:spacing w:after="0"/>
              <w:ind w:hanging="31"/>
              <w:jc w:val="right"/>
              <w:rPr>
                <w:color w:val="000000"/>
                <w:sz w:val="20"/>
              </w:rPr>
            </w:pPr>
            <w:r w:rsidRPr="004F5055">
              <w:rPr>
                <w:color w:val="000000"/>
                <w:sz w:val="20"/>
              </w:rPr>
              <w:t>2,5</w:t>
            </w:r>
          </w:p>
        </w:tc>
        <w:tc>
          <w:tcPr>
            <w:tcW w:w="741" w:type="dxa"/>
          </w:tcPr>
          <w:p w14:paraId="5DAB89E3" w14:textId="77777777" w:rsidR="00926426" w:rsidRPr="004F5055" w:rsidRDefault="00926426" w:rsidP="004B74A0">
            <w:pPr>
              <w:spacing w:after="0"/>
              <w:ind w:hanging="31"/>
              <w:jc w:val="right"/>
              <w:rPr>
                <w:color w:val="000000"/>
                <w:sz w:val="20"/>
              </w:rPr>
            </w:pPr>
            <w:r w:rsidRPr="004F5055">
              <w:rPr>
                <w:color w:val="000000"/>
                <w:sz w:val="20"/>
              </w:rPr>
              <w:t>2,5</w:t>
            </w:r>
          </w:p>
        </w:tc>
        <w:tc>
          <w:tcPr>
            <w:tcW w:w="741" w:type="dxa"/>
          </w:tcPr>
          <w:p w14:paraId="18D5B058" w14:textId="77777777" w:rsidR="00926426" w:rsidRPr="004F5055" w:rsidRDefault="00926426" w:rsidP="004B74A0">
            <w:pPr>
              <w:spacing w:after="0"/>
              <w:ind w:hanging="31"/>
              <w:jc w:val="right"/>
              <w:rPr>
                <w:color w:val="000000"/>
                <w:sz w:val="20"/>
              </w:rPr>
            </w:pPr>
            <w:r w:rsidRPr="004F5055">
              <w:rPr>
                <w:color w:val="000000"/>
                <w:sz w:val="20"/>
              </w:rPr>
              <w:t>2,5</w:t>
            </w:r>
          </w:p>
        </w:tc>
        <w:tc>
          <w:tcPr>
            <w:tcW w:w="971" w:type="dxa"/>
          </w:tcPr>
          <w:p w14:paraId="58DAE281" w14:textId="77777777" w:rsidR="00926426" w:rsidRPr="004F5055" w:rsidRDefault="00926426" w:rsidP="004B74A0">
            <w:pPr>
              <w:spacing w:after="0"/>
              <w:ind w:hanging="31"/>
              <w:jc w:val="right"/>
              <w:rPr>
                <w:color w:val="000000"/>
                <w:sz w:val="20"/>
              </w:rPr>
            </w:pPr>
            <w:r w:rsidRPr="004F5055">
              <w:rPr>
                <w:color w:val="000000"/>
                <w:sz w:val="20"/>
              </w:rPr>
              <w:t>2,5</w:t>
            </w:r>
          </w:p>
        </w:tc>
      </w:tr>
      <w:tr w:rsidR="00926426" w:rsidRPr="004F5055" w14:paraId="446086B8" w14:textId="77777777" w:rsidTr="004B74A0">
        <w:trPr>
          <w:jc w:val="center"/>
        </w:trPr>
        <w:tc>
          <w:tcPr>
            <w:tcW w:w="3256" w:type="dxa"/>
          </w:tcPr>
          <w:p w14:paraId="3916DF68" w14:textId="77777777" w:rsidR="00926426" w:rsidRPr="004F5055" w:rsidRDefault="00926426" w:rsidP="007A647F">
            <w:pPr>
              <w:spacing w:after="0"/>
              <w:ind w:hanging="31"/>
              <w:rPr>
                <w:color w:val="000000"/>
                <w:sz w:val="20"/>
              </w:rPr>
            </w:pPr>
            <w:r w:rsidRPr="004F5055">
              <w:rPr>
                <w:color w:val="000000"/>
                <w:sz w:val="20"/>
              </w:rPr>
              <w:t>5. Kopējā pamatkapitālā veidošana</w:t>
            </w:r>
          </w:p>
        </w:tc>
        <w:tc>
          <w:tcPr>
            <w:tcW w:w="1037" w:type="dxa"/>
          </w:tcPr>
          <w:p w14:paraId="3D856595" w14:textId="77777777" w:rsidR="00926426" w:rsidRPr="004F5055" w:rsidRDefault="00926426" w:rsidP="007A647F">
            <w:pPr>
              <w:spacing w:after="0"/>
              <w:ind w:hanging="31"/>
              <w:rPr>
                <w:color w:val="000000"/>
                <w:sz w:val="20"/>
              </w:rPr>
            </w:pPr>
            <w:r w:rsidRPr="004F5055">
              <w:rPr>
                <w:color w:val="000000"/>
                <w:sz w:val="20"/>
              </w:rPr>
              <w:t>P51</w:t>
            </w:r>
          </w:p>
        </w:tc>
        <w:tc>
          <w:tcPr>
            <w:tcW w:w="1037" w:type="dxa"/>
          </w:tcPr>
          <w:p w14:paraId="4196E5F0" w14:textId="77777777" w:rsidR="00926426" w:rsidRPr="004D0B40" w:rsidRDefault="00926426" w:rsidP="004B74A0">
            <w:pPr>
              <w:spacing w:after="0"/>
              <w:ind w:hanging="31"/>
              <w:jc w:val="right"/>
              <w:rPr>
                <w:color w:val="000000"/>
                <w:sz w:val="20"/>
              </w:rPr>
            </w:pPr>
            <w:r w:rsidRPr="004D0B40">
              <w:rPr>
                <w:color w:val="000000"/>
                <w:sz w:val="20"/>
              </w:rPr>
              <w:t>4412,4</w:t>
            </w:r>
          </w:p>
        </w:tc>
        <w:tc>
          <w:tcPr>
            <w:tcW w:w="741" w:type="dxa"/>
          </w:tcPr>
          <w:p w14:paraId="54FFF5BD" w14:textId="77777777" w:rsidR="00926426" w:rsidRPr="004D0B40" w:rsidRDefault="00926426" w:rsidP="004B74A0">
            <w:pPr>
              <w:spacing w:after="0"/>
              <w:ind w:hanging="31"/>
              <w:jc w:val="right"/>
              <w:rPr>
                <w:color w:val="000000"/>
                <w:sz w:val="20"/>
              </w:rPr>
            </w:pPr>
            <w:r w:rsidRPr="004D0B40">
              <w:rPr>
                <w:color w:val="000000"/>
                <w:sz w:val="20"/>
              </w:rPr>
              <w:t>-4,3</w:t>
            </w:r>
          </w:p>
        </w:tc>
        <w:tc>
          <w:tcPr>
            <w:tcW w:w="741" w:type="dxa"/>
          </w:tcPr>
          <w:p w14:paraId="7A832D6C" w14:textId="77777777" w:rsidR="00926426" w:rsidRPr="004D0B40" w:rsidRDefault="00926426" w:rsidP="004B74A0">
            <w:pPr>
              <w:spacing w:after="0"/>
              <w:ind w:hanging="31"/>
              <w:jc w:val="right"/>
              <w:rPr>
                <w:color w:val="000000"/>
                <w:sz w:val="20"/>
              </w:rPr>
            </w:pPr>
            <w:r w:rsidRPr="004F5055">
              <w:rPr>
                <w:color w:val="000000"/>
                <w:sz w:val="20"/>
              </w:rPr>
              <w:t>3,8</w:t>
            </w:r>
          </w:p>
        </w:tc>
        <w:tc>
          <w:tcPr>
            <w:tcW w:w="741" w:type="dxa"/>
          </w:tcPr>
          <w:p w14:paraId="1572794E" w14:textId="77777777" w:rsidR="00926426" w:rsidRPr="004D0B40" w:rsidRDefault="00926426" w:rsidP="004B74A0">
            <w:pPr>
              <w:spacing w:after="0"/>
              <w:ind w:hanging="31"/>
              <w:jc w:val="right"/>
              <w:rPr>
                <w:color w:val="000000"/>
                <w:sz w:val="20"/>
              </w:rPr>
            </w:pPr>
            <w:r w:rsidRPr="004F5055">
              <w:rPr>
                <w:color w:val="000000"/>
                <w:sz w:val="20"/>
              </w:rPr>
              <w:t>5</w:t>
            </w:r>
            <w:r w:rsidRPr="004D0B40">
              <w:rPr>
                <w:color w:val="000000"/>
                <w:sz w:val="20"/>
              </w:rPr>
              <w:t>,0</w:t>
            </w:r>
          </w:p>
        </w:tc>
        <w:tc>
          <w:tcPr>
            <w:tcW w:w="741" w:type="dxa"/>
          </w:tcPr>
          <w:p w14:paraId="63A45C8E" w14:textId="77777777" w:rsidR="00926426" w:rsidRPr="004D0B40" w:rsidRDefault="00926426" w:rsidP="004B74A0">
            <w:pPr>
              <w:spacing w:after="0"/>
              <w:ind w:hanging="31"/>
              <w:jc w:val="right"/>
              <w:rPr>
                <w:color w:val="000000"/>
                <w:sz w:val="20"/>
              </w:rPr>
            </w:pPr>
            <w:r w:rsidRPr="004D0B40">
              <w:rPr>
                <w:color w:val="000000"/>
                <w:sz w:val="20"/>
              </w:rPr>
              <w:t>5,7</w:t>
            </w:r>
          </w:p>
        </w:tc>
        <w:tc>
          <w:tcPr>
            <w:tcW w:w="971" w:type="dxa"/>
          </w:tcPr>
          <w:p w14:paraId="337FAEC5" w14:textId="77777777" w:rsidR="00926426" w:rsidRPr="004D0B40" w:rsidRDefault="00926426" w:rsidP="004B74A0">
            <w:pPr>
              <w:spacing w:after="0"/>
              <w:ind w:hanging="31"/>
              <w:jc w:val="right"/>
              <w:rPr>
                <w:color w:val="000000"/>
                <w:sz w:val="20"/>
              </w:rPr>
            </w:pPr>
            <w:r w:rsidRPr="004D0B40">
              <w:rPr>
                <w:color w:val="000000"/>
                <w:sz w:val="20"/>
              </w:rPr>
              <w:t>5,8</w:t>
            </w:r>
          </w:p>
        </w:tc>
      </w:tr>
      <w:tr w:rsidR="00926426" w:rsidRPr="004F5055" w14:paraId="172C7B48" w14:textId="77777777" w:rsidTr="004B74A0">
        <w:trPr>
          <w:jc w:val="center"/>
        </w:trPr>
        <w:tc>
          <w:tcPr>
            <w:tcW w:w="3256" w:type="dxa"/>
          </w:tcPr>
          <w:p w14:paraId="461D21CD" w14:textId="77777777" w:rsidR="00926426" w:rsidRPr="004F5055" w:rsidRDefault="00926426" w:rsidP="007A647F">
            <w:pPr>
              <w:spacing w:after="0"/>
              <w:ind w:hanging="31"/>
              <w:rPr>
                <w:color w:val="000000"/>
                <w:sz w:val="20"/>
              </w:rPr>
            </w:pPr>
            <w:r w:rsidRPr="004F5055">
              <w:rPr>
                <w:color w:val="000000"/>
                <w:sz w:val="20"/>
              </w:rPr>
              <w:t>6. Krājumu pārmaiņas un vērtslietu iegāde</w:t>
            </w:r>
          </w:p>
        </w:tc>
        <w:tc>
          <w:tcPr>
            <w:tcW w:w="1037" w:type="dxa"/>
          </w:tcPr>
          <w:p w14:paraId="66A690F5" w14:textId="77777777" w:rsidR="00926426" w:rsidRPr="004F5055" w:rsidRDefault="00926426" w:rsidP="007A647F">
            <w:pPr>
              <w:spacing w:after="0"/>
              <w:ind w:hanging="31"/>
              <w:rPr>
                <w:color w:val="000000"/>
                <w:sz w:val="20"/>
              </w:rPr>
            </w:pPr>
            <w:r w:rsidRPr="004F5055">
              <w:rPr>
                <w:color w:val="000000"/>
                <w:sz w:val="20"/>
              </w:rPr>
              <w:t>P52+P53</w:t>
            </w:r>
          </w:p>
        </w:tc>
        <w:tc>
          <w:tcPr>
            <w:tcW w:w="1037" w:type="dxa"/>
          </w:tcPr>
          <w:p w14:paraId="1F13FEE4" w14:textId="77777777" w:rsidR="00926426" w:rsidRPr="004D0B40" w:rsidRDefault="00926426" w:rsidP="004B74A0">
            <w:pPr>
              <w:spacing w:after="0"/>
              <w:ind w:hanging="31"/>
              <w:jc w:val="right"/>
              <w:rPr>
                <w:color w:val="000000"/>
                <w:sz w:val="20"/>
              </w:rPr>
            </w:pPr>
            <w:r w:rsidRPr="004D0B40">
              <w:rPr>
                <w:color w:val="000000"/>
                <w:sz w:val="20"/>
              </w:rPr>
              <w:t>113,6</w:t>
            </w:r>
          </w:p>
        </w:tc>
        <w:tc>
          <w:tcPr>
            <w:tcW w:w="741" w:type="dxa"/>
          </w:tcPr>
          <w:p w14:paraId="5D263C48" w14:textId="77777777" w:rsidR="00926426" w:rsidRPr="004D0B40" w:rsidRDefault="00926426" w:rsidP="004B74A0">
            <w:pPr>
              <w:spacing w:after="0"/>
              <w:ind w:hanging="31"/>
              <w:jc w:val="right"/>
              <w:rPr>
                <w:color w:val="000000"/>
                <w:sz w:val="20"/>
              </w:rPr>
            </w:pPr>
            <w:r w:rsidRPr="004D0B40">
              <w:rPr>
                <w:color w:val="000000"/>
                <w:sz w:val="20"/>
              </w:rPr>
              <w:t>-26,2</w:t>
            </w:r>
          </w:p>
        </w:tc>
        <w:tc>
          <w:tcPr>
            <w:tcW w:w="741" w:type="dxa"/>
          </w:tcPr>
          <w:p w14:paraId="1EE36CA0" w14:textId="77777777" w:rsidR="00926426" w:rsidRPr="004D0B40" w:rsidRDefault="00926426" w:rsidP="004B74A0">
            <w:pPr>
              <w:spacing w:after="0"/>
              <w:ind w:hanging="31"/>
              <w:jc w:val="right"/>
              <w:rPr>
                <w:color w:val="000000"/>
                <w:sz w:val="20"/>
              </w:rPr>
            </w:pPr>
            <w:r w:rsidRPr="004D0B40">
              <w:rPr>
                <w:color w:val="000000"/>
                <w:sz w:val="20"/>
              </w:rPr>
              <w:t>0,0</w:t>
            </w:r>
          </w:p>
        </w:tc>
        <w:tc>
          <w:tcPr>
            <w:tcW w:w="741" w:type="dxa"/>
          </w:tcPr>
          <w:p w14:paraId="15CB0122" w14:textId="77777777" w:rsidR="00926426" w:rsidRPr="004D0B40" w:rsidRDefault="00926426" w:rsidP="004B74A0">
            <w:pPr>
              <w:spacing w:after="0"/>
              <w:ind w:hanging="31"/>
              <w:jc w:val="right"/>
              <w:rPr>
                <w:color w:val="000000"/>
                <w:sz w:val="20"/>
              </w:rPr>
            </w:pPr>
            <w:r w:rsidRPr="004D0B40">
              <w:rPr>
                <w:color w:val="000000"/>
                <w:sz w:val="20"/>
              </w:rPr>
              <w:t>0,0</w:t>
            </w:r>
          </w:p>
        </w:tc>
        <w:tc>
          <w:tcPr>
            <w:tcW w:w="741" w:type="dxa"/>
          </w:tcPr>
          <w:p w14:paraId="27F72203" w14:textId="77777777" w:rsidR="00926426" w:rsidRPr="004D0B40" w:rsidRDefault="00926426" w:rsidP="004B74A0">
            <w:pPr>
              <w:spacing w:after="0"/>
              <w:ind w:hanging="31"/>
              <w:jc w:val="right"/>
              <w:rPr>
                <w:color w:val="000000"/>
                <w:sz w:val="20"/>
              </w:rPr>
            </w:pPr>
            <w:r w:rsidRPr="004D0B40">
              <w:rPr>
                <w:color w:val="000000"/>
                <w:sz w:val="20"/>
              </w:rPr>
              <w:t>0,0</w:t>
            </w:r>
          </w:p>
        </w:tc>
        <w:tc>
          <w:tcPr>
            <w:tcW w:w="971" w:type="dxa"/>
          </w:tcPr>
          <w:p w14:paraId="4EE08A75" w14:textId="77777777" w:rsidR="00926426" w:rsidRPr="004D0B40" w:rsidRDefault="00926426" w:rsidP="004B74A0">
            <w:pPr>
              <w:spacing w:after="0"/>
              <w:ind w:hanging="31"/>
              <w:jc w:val="right"/>
              <w:rPr>
                <w:color w:val="000000"/>
                <w:sz w:val="20"/>
              </w:rPr>
            </w:pPr>
            <w:r w:rsidRPr="004D0B40">
              <w:rPr>
                <w:color w:val="000000"/>
                <w:sz w:val="20"/>
              </w:rPr>
              <w:t>0,0</w:t>
            </w:r>
          </w:p>
        </w:tc>
      </w:tr>
      <w:tr w:rsidR="00926426" w:rsidRPr="004F5055" w14:paraId="04538E20" w14:textId="77777777" w:rsidTr="004B74A0">
        <w:trPr>
          <w:jc w:val="center"/>
        </w:trPr>
        <w:tc>
          <w:tcPr>
            <w:tcW w:w="3256" w:type="dxa"/>
          </w:tcPr>
          <w:p w14:paraId="2082254B" w14:textId="77777777" w:rsidR="00926426" w:rsidRPr="004F5055" w:rsidRDefault="00926426" w:rsidP="007A647F">
            <w:pPr>
              <w:spacing w:after="0"/>
              <w:ind w:hanging="31"/>
              <w:rPr>
                <w:color w:val="000000"/>
                <w:sz w:val="20"/>
              </w:rPr>
            </w:pPr>
            <w:r w:rsidRPr="004F5055">
              <w:rPr>
                <w:color w:val="000000"/>
                <w:sz w:val="20"/>
              </w:rPr>
              <w:t>7. Eksports</w:t>
            </w:r>
          </w:p>
        </w:tc>
        <w:tc>
          <w:tcPr>
            <w:tcW w:w="1037" w:type="dxa"/>
          </w:tcPr>
          <w:p w14:paraId="3BDD6133" w14:textId="77777777" w:rsidR="00926426" w:rsidRPr="004F5055" w:rsidRDefault="00926426" w:rsidP="007A647F">
            <w:pPr>
              <w:spacing w:after="0"/>
              <w:ind w:hanging="31"/>
              <w:rPr>
                <w:color w:val="000000"/>
                <w:sz w:val="20"/>
              </w:rPr>
            </w:pPr>
            <w:r w:rsidRPr="004F5055">
              <w:rPr>
                <w:color w:val="000000"/>
                <w:sz w:val="20"/>
              </w:rPr>
              <w:t>P6</w:t>
            </w:r>
          </w:p>
        </w:tc>
        <w:tc>
          <w:tcPr>
            <w:tcW w:w="1037" w:type="dxa"/>
          </w:tcPr>
          <w:p w14:paraId="36E6A8C9" w14:textId="77777777" w:rsidR="00926426" w:rsidRPr="004D0B40" w:rsidRDefault="00926426" w:rsidP="004B74A0">
            <w:pPr>
              <w:spacing w:after="0"/>
              <w:ind w:hanging="31"/>
              <w:jc w:val="right"/>
              <w:rPr>
                <w:color w:val="000000"/>
                <w:sz w:val="20"/>
              </w:rPr>
            </w:pPr>
            <w:r w:rsidRPr="004D0B40">
              <w:rPr>
                <w:color w:val="000000"/>
                <w:sz w:val="20"/>
              </w:rPr>
              <w:t>12096,5</w:t>
            </w:r>
          </w:p>
        </w:tc>
        <w:tc>
          <w:tcPr>
            <w:tcW w:w="741" w:type="dxa"/>
          </w:tcPr>
          <w:p w14:paraId="49E5F6E5" w14:textId="77777777" w:rsidR="00926426" w:rsidRPr="004F5055" w:rsidRDefault="00926426" w:rsidP="004B74A0">
            <w:pPr>
              <w:spacing w:after="0"/>
              <w:ind w:hanging="31"/>
              <w:jc w:val="right"/>
              <w:rPr>
                <w:color w:val="000000"/>
                <w:sz w:val="20"/>
              </w:rPr>
            </w:pPr>
            <w:r w:rsidRPr="004F5055">
              <w:rPr>
                <w:color w:val="000000"/>
                <w:sz w:val="20"/>
              </w:rPr>
              <w:t>1,0</w:t>
            </w:r>
          </w:p>
        </w:tc>
        <w:tc>
          <w:tcPr>
            <w:tcW w:w="741" w:type="dxa"/>
          </w:tcPr>
          <w:p w14:paraId="163D7ACC" w14:textId="77777777" w:rsidR="00926426" w:rsidRPr="004F5055" w:rsidRDefault="00926426" w:rsidP="004B74A0">
            <w:pPr>
              <w:spacing w:after="0"/>
              <w:ind w:hanging="31"/>
              <w:jc w:val="right"/>
              <w:rPr>
                <w:color w:val="000000"/>
                <w:sz w:val="20"/>
              </w:rPr>
            </w:pPr>
            <w:r w:rsidRPr="004F5055">
              <w:rPr>
                <w:color w:val="000000"/>
                <w:sz w:val="20"/>
              </w:rPr>
              <w:t>4,0</w:t>
            </w:r>
          </w:p>
        </w:tc>
        <w:tc>
          <w:tcPr>
            <w:tcW w:w="741" w:type="dxa"/>
          </w:tcPr>
          <w:p w14:paraId="4F9CA226" w14:textId="77777777" w:rsidR="00926426" w:rsidRPr="004F5055" w:rsidRDefault="00926426" w:rsidP="004B74A0">
            <w:pPr>
              <w:spacing w:after="0"/>
              <w:ind w:hanging="31"/>
              <w:jc w:val="right"/>
              <w:rPr>
                <w:color w:val="000000"/>
                <w:sz w:val="20"/>
              </w:rPr>
            </w:pPr>
            <w:r w:rsidRPr="004F5055">
              <w:rPr>
                <w:color w:val="000000"/>
                <w:sz w:val="20"/>
              </w:rPr>
              <w:t>4,6</w:t>
            </w:r>
          </w:p>
        </w:tc>
        <w:tc>
          <w:tcPr>
            <w:tcW w:w="741" w:type="dxa"/>
          </w:tcPr>
          <w:p w14:paraId="470574EE" w14:textId="77777777" w:rsidR="00926426" w:rsidRPr="004F5055" w:rsidRDefault="00926426" w:rsidP="004B74A0">
            <w:pPr>
              <w:spacing w:after="0"/>
              <w:ind w:hanging="31"/>
              <w:jc w:val="right"/>
              <w:rPr>
                <w:color w:val="000000"/>
                <w:sz w:val="20"/>
              </w:rPr>
            </w:pPr>
            <w:r w:rsidRPr="004F5055">
              <w:rPr>
                <w:color w:val="000000"/>
                <w:sz w:val="20"/>
              </w:rPr>
              <w:t>5,0</w:t>
            </w:r>
          </w:p>
        </w:tc>
        <w:tc>
          <w:tcPr>
            <w:tcW w:w="971" w:type="dxa"/>
          </w:tcPr>
          <w:p w14:paraId="3763A23B" w14:textId="77777777" w:rsidR="00926426" w:rsidRPr="004F5055" w:rsidRDefault="00926426" w:rsidP="004B74A0">
            <w:pPr>
              <w:spacing w:after="0"/>
              <w:ind w:hanging="31"/>
              <w:jc w:val="right"/>
              <w:rPr>
                <w:color w:val="000000"/>
                <w:sz w:val="20"/>
              </w:rPr>
            </w:pPr>
            <w:r w:rsidRPr="004F5055">
              <w:rPr>
                <w:color w:val="000000"/>
                <w:sz w:val="20"/>
              </w:rPr>
              <w:t>5,3</w:t>
            </w:r>
          </w:p>
        </w:tc>
      </w:tr>
      <w:tr w:rsidR="00926426" w:rsidRPr="004F5055" w14:paraId="3EBD3FFF" w14:textId="77777777" w:rsidTr="004B74A0">
        <w:trPr>
          <w:jc w:val="center"/>
        </w:trPr>
        <w:tc>
          <w:tcPr>
            <w:tcW w:w="3256" w:type="dxa"/>
          </w:tcPr>
          <w:p w14:paraId="14800931" w14:textId="77777777" w:rsidR="00926426" w:rsidRPr="004F5055" w:rsidRDefault="00926426" w:rsidP="007A647F">
            <w:pPr>
              <w:spacing w:after="0"/>
              <w:ind w:hanging="31"/>
              <w:rPr>
                <w:color w:val="000000"/>
                <w:sz w:val="20"/>
              </w:rPr>
            </w:pPr>
            <w:r w:rsidRPr="004F5055">
              <w:rPr>
                <w:color w:val="000000"/>
                <w:sz w:val="20"/>
              </w:rPr>
              <w:t>8. Imports</w:t>
            </w:r>
          </w:p>
        </w:tc>
        <w:tc>
          <w:tcPr>
            <w:tcW w:w="1037" w:type="dxa"/>
          </w:tcPr>
          <w:p w14:paraId="0EED4CAF" w14:textId="77777777" w:rsidR="00926426" w:rsidRPr="004F5055" w:rsidRDefault="00926426" w:rsidP="007A647F">
            <w:pPr>
              <w:spacing w:after="0"/>
              <w:ind w:hanging="31"/>
              <w:rPr>
                <w:color w:val="000000"/>
                <w:sz w:val="20"/>
              </w:rPr>
            </w:pPr>
            <w:r w:rsidRPr="004F5055">
              <w:rPr>
                <w:color w:val="000000"/>
                <w:sz w:val="20"/>
              </w:rPr>
              <w:t>P7</w:t>
            </w:r>
          </w:p>
        </w:tc>
        <w:tc>
          <w:tcPr>
            <w:tcW w:w="1037" w:type="dxa"/>
          </w:tcPr>
          <w:p w14:paraId="40A38BAC" w14:textId="77777777" w:rsidR="00926426" w:rsidRPr="004D0B40" w:rsidRDefault="00926426" w:rsidP="004B74A0">
            <w:pPr>
              <w:spacing w:after="0"/>
              <w:ind w:hanging="31"/>
              <w:jc w:val="right"/>
              <w:rPr>
                <w:color w:val="000000"/>
                <w:sz w:val="20"/>
              </w:rPr>
            </w:pPr>
            <w:r w:rsidRPr="004D0B40">
              <w:rPr>
                <w:color w:val="000000"/>
                <w:sz w:val="20"/>
              </w:rPr>
              <w:t>12553,5</w:t>
            </w:r>
          </w:p>
        </w:tc>
        <w:tc>
          <w:tcPr>
            <w:tcW w:w="741" w:type="dxa"/>
          </w:tcPr>
          <w:p w14:paraId="5D3224DE" w14:textId="77777777" w:rsidR="00926426" w:rsidRPr="004F5055" w:rsidRDefault="00926426" w:rsidP="004B74A0">
            <w:pPr>
              <w:spacing w:after="0"/>
              <w:ind w:hanging="31"/>
              <w:jc w:val="right"/>
              <w:rPr>
                <w:color w:val="000000"/>
                <w:sz w:val="20"/>
              </w:rPr>
            </w:pPr>
            <w:r w:rsidRPr="004F5055">
              <w:rPr>
                <w:color w:val="000000"/>
                <w:sz w:val="20"/>
              </w:rPr>
              <w:t>-1,7</w:t>
            </w:r>
          </w:p>
        </w:tc>
        <w:tc>
          <w:tcPr>
            <w:tcW w:w="741" w:type="dxa"/>
          </w:tcPr>
          <w:p w14:paraId="67BD3B41" w14:textId="77777777" w:rsidR="00926426" w:rsidRPr="004F5055" w:rsidRDefault="00926426" w:rsidP="004B74A0">
            <w:pPr>
              <w:spacing w:after="0"/>
              <w:ind w:hanging="31"/>
              <w:jc w:val="right"/>
              <w:rPr>
                <w:color w:val="000000"/>
                <w:sz w:val="20"/>
              </w:rPr>
            </w:pPr>
            <w:r w:rsidRPr="004F5055">
              <w:rPr>
                <w:color w:val="000000"/>
                <w:sz w:val="20"/>
              </w:rPr>
              <w:t>4,5</w:t>
            </w:r>
          </w:p>
        </w:tc>
        <w:tc>
          <w:tcPr>
            <w:tcW w:w="741" w:type="dxa"/>
          </w:tcPr>
          <w:p w14:paraId="619707F3" w14:textId="77777777" w:rsidR="00926426" w:rsidRPr="004F5055" w:rsidRDefault="00926426" w:rsidP="004B74A0">
            <w:pPr>
              <w:spacing w:after="0"/>
              <w:ind w:hanging="31"/>
              <w:jc w:val="right"/>
              <w:rPr>
                <w:color w:val="000000"/>
                <w:sz w:val="20"/>
              </w:rPr>
            </w:pPr>
            <w:r w:rsidRPr="004F5055">
              <w:rPr>
                <w:color w:val="000000"/>
                <w:sz w:val="20"/>
              </w:rPr>
              <w:t>5,1</w:t>
            </w:r>
          </w:p>
        </w:tc>
        <w:tc>
          <w:tcPr>
            <w:tcW w:w="741" w:type="dxa"/>
          </w:tcPr>
          <w:p w14:paraId="7A18DF39" w14:textId="77777777" w:rsidR="00926426" w:rsidRPr="004F5055" w:rsidRDefault="00926426" w:rsidP="004B74A0">
            <w:pPr>
              <w:spacing w:after="0"/>
              <w:ind w:hanging="31"/>
              <w:jc w:val="right"/>
              <w:rPr>
                <w:color w:val="000000"/>
                <w:sz w:val="20"/>
              </w:rPr>
            </w:pPr>
            <w:r w:rsidRPr="004F5055">
              <w:rPr>
                <w:color w:val="000000"/>
                <w:sz w:val="20"/>
              </w:rPr>
              <w:t>5,2</w:t>
            </w:r>
          </w:p>
        </w:tc>
        <w:tc>
          <w:tcPr>
            <w:tcW w:w="971" w:type="dxa"/>
          </w:tcPr>
          <w:p w14:paraId="273887C4" w14:textId="77777777" w:rsidR="00926426" w:rsidRPr="004F5055" w:rsidRDefault="00926426" w:rsidP="004B74A0">
            <w:pPr>
              <w:spacing w:after="0"/>
              <w:ind w:hanging="31"/>
              <w:jc w:val="right"/>
              <w:rPr>
                <w:color w:val="000000"/>
                <w:sz w:val="20"/>
              </w:rPr>
            </w:pPr>
            <w:r w:rsidRPr="004F5055">
              <w:rPr>
                <w:color w:val="000000"/>
                <w:sz w:val="20"/>
              </w:rPr>
              <w:t>5,4</w:t>
            </w:r>
          </w:p>
        </w:tc>
      </w:tr>
      <w:tr w:rsidR="00926426" w:rsidRPr="004F5055" w14:paraId="0C05C26B" w14:textId="77777777" w:rsidTr="00336495">
        <w:trPr>
          <w:jc w:val="center"/>
        </w:trPr>
        <w:tc>
          <w:tcPr>
            <w:tcW w:w="9265" w:type="dxa"/>
            <w:gridSpan w:val="8"/>
          </w:tcPr>
          <w:p w14:paraId="7D4CF2A6" w14:textId="77777777" w:rsidR="00926426" w:rsidRPr="004D0B40" w:rsidRDefault="00926426" w:rsidP="00336495">
            <w:pPr>
              <w:spacing w:after="0"/>
              <w:ind w:hanging="31"/>
              <w:jc w:val="center"/>
              <w:rPr>
                <w:b/>
                <w:color w:val="000000"/>
                <w:sz w:val="20"/>
              </w:rPr>
            </w:pPr>
            <w:r w:rsidRPr="004F5055">
              <w:rPr>
                <w:b/>
                <w:color w:val="000000"/>
                <w:sz w:val="20"/>
              </w:rPr>
              <w:t>Ieguldījums IKP izaugsmē</w:t>
            </w:r>
          </w:p>
        </w:tc>
      </w:tr>
      <w:tr w:rsidR="00926426" w:rsidRPr="004F5055" w14:paraId="7BE8089A" w14:textId="77777777" w:rsidTr="004B74A0">
        <w:trPr>
          <w:jc w:val="center"/>
        </w:trPr>
        <w:tc>
          <w:tcPr>
            <w:tcW w:w="3256" w:type="dxa"/>
          </w:tcPr>
          <w:p w14:paraId="54003CF1" w14:textId="77777777" w:rsidR="00926426" w:rsidRPr="004F5055" w:rsidRDefault="00926426" w:rsidP="007A647F">
            <w:pPr>
              <w:spacing w:after="0"/>
              <w:ind w:hanging="31"/>
              <w:rPr>
                <w:color w:val="000000"/>
                <w:sz w:val="20"/>
              </w:rPr>
            </w:pPr>
            <w:r w:rsidRPr="004F5055">
              <w:rPr>
                <w:color w:val="000000"/>
                <w:sz w:val="20"/>
              </w:rPr>
              <w:t>9. Kopējais iekšzemes pieprasījums</w:t>
            </w:r>
          </w:p>
        </w:tc>
        <w:tc>
          <w:tcPr>
            <w:tcW w:w="1037" w:type="dxa"/>
          </w:tcPr>
          <w:p w14:paraId="282EBAA0" w14:textId="77777777" w:rsidR="00926426" w:rsidRPr="004F5055" w:rsidRDefault="00926426" w:rsidP="007A647F">
            <w:pPr>
              <w:spacing w:after="0"/>
              <w:ind w:hanging="31"/>
              <w:rPr>
                <w:color w:val="000000"/>
                <w:sz w:val="20"/>
              </w:rPr>
            </w:pPr>
          </w:p>
        </w:tc>
        <w:tc>
          <w:tcPr>
            <w:tcW w:w="1037" w:type="dxa"/>
          </w:tcPr>
          <w:p w14:paraId="23BA5422" w14:textId="77777777" w:rsidR="00926426" w:rsidRPr="004F5055" w:rsidRDefault="00926426" w:rsidP="004B74A0">
            <w:pPr>
              <w:spacing w:after="0"/>
              <w:ind w:hanging="31"/>
              <w:jc w:val="right"/>
              <w:rPr>
                <w:color w:val="000000"/>
                <w:sz w:val="20"/>
              </w:rPr>
            </w:pPr>
          </w:p>
        </w:tc>
        <w:tc>
          <w:tcPr>
            <w:tcW w:w="741" w:type="dxa"/>
          </w:tcPr>
          <w:p w14:paraId="3E3A652F" w14:textId="77777777" w:rsidR="00926426" w:rsidRPr="004F5055" w:rsidRDefault="00926426" w:rsidP="004B74A0">
            <w:pPr>
              <w:spacing w:after="0"/>
              <w:ind w:hanging="31"/>
              <w:jc w:val="right"/>
              <w:rPr>
                <w:color w:val="000000"/>
                <w:sz w:val="20"/>
              </w:rPr>
            </w:pPr>
            <w:r w:rsidRPr="004F5055">
              <w:rPr>
                <w:color w:val="000000"/>
                <w:sz w:val="20"/>
              </w:rPr>
              <w:t>2,4</w:t>
            </w:r>
          </w:p>
        </w:tc>
        <w:tc>
          <w:tcPr>
            <w:tcW w:w="741" w:type="dxa"/>
          </w:tcPr>
          <w:p w14:paraId="614884D4" w14:textId="77777777" w:rsidR="00926426" w:rsidRPr="004F5055" w:rsidRDefault="00926426" w:rsidP="004B74A0">
            <w:pPr>
              <w:spacing w:after="0"/>
              <w:ind w:hanging="31"/>
              <w:jc w:val="right"/>
              <w:rPr>
                <w:color w:val="000000"/>
                <w:sz w:val="20"/>
              </w:rPr>
            </w:pPr>
            <w:r w:rsidRPr="004F5055">
              <w:rPr>
                <w:color w:val="000000"/>
                <w:sz w:val="20"/>
              </w:rPr>
              <w:t>4,4</w:t>
            </w:r>
          </w:p>
        </w:tc>
        <w:tc>
          <w:tcPr>
            <w:tcW w:w="741" w:type="dxa"/>
          </w:tcPr>
          <w:p w14:paraId="361CA12B" w14:textId="77777777" w:rsidR="00926426" w:rsidRPr="004F5055" w:rsidRDefault="00926426" w:rsidP="004B74A0">
            <w:pPr>
              <w:spacing w:after="0"/>
              <w:ind w:hanging="31"/>
              <w:jc w:val="right"/>
              <w:rPr>
                <w:color w:val="000000"/>
                <w:sz w:val="20"/>
              </w:rPr>
            </w:pPr>
            <w:r w:rsidRPr="004F5055">
              <w:rPr>
                <w:color w:val="000000"/>
                <w:sz w:val="20"/>
              </w:rPr>
              <w:t>4,4</w:t>
            </w:r>
          </w:p>
        </w:tc>
        <w:tc>
          <w:tcPr>
            <w:tcW w:w="741" w:type="dxa"/>
          </w:tcPr>
          <w:p w14:paraId="035FB489" w14:textId="77777777" w:rsidR="00926426" w:rsidRPr="004F5055" w:rsidRDefault="00926426" w:rsidP="004B74A0">
            <w:pPr>
              <w:spacing w:after="0"/>
              <w:ind w:hanging="31"/>
              <w:jc w:val="right"/>
              <w:rPr>
                <w:color w:val="000000"/>
                <w:sz w:val="20"/>
              </w:rPr>
            </w:pPr>
            <w:r w:rsidRPr="004F5055">
              <w:rPr>
                <w:color w:val="000000"/>
                <w:sz w:val="20"/>
              </w:rPr>
              <w:t>4,2</w:t>
            </w:r>
          </w:p>
        </w:tc>
        <w:tc>
          <w:tcPr>
            <w:tcW w:w="971" w:type="dxa"/>
          </w:tcPr>
          <w:p w14:paraId="099D8AF1" w14:textId="77777777" w:rsidR="00926426" w:rsidRPr="004F5055" w:rsidRDefault="00926426" w:rsidP="004B74A0">
            <w:pPr>
              <w:spacing w:after="0"/>
              <w:ind w:hanging="31"/>
              <w:jc w:val="right"/>
              <w:rPr>
                <w:color w:val="000000"/>
                <w:sz w:val="20"/>
              </w:rPr>
            </w:pPr>
            <w:r w:rsidRPr="004F5055">
              <w:rPr>
                <w:color w:val="000000"/>
                <w:sz w:val="20"/>
              </w:rPr>
              <w:t>4,1</w:t>
            </w:r>
          </w:p>
        </w:tc>
      </w:tr>
      <w:tr w:rsidR="00926426" w:rsidRPr="004F5055" w14:paraId="199E89DC" w14:textId="77777777" w:rsidTr="004B74A0">
        <w:trPr>
          <w:jc w:val="center"/>
        </w:trPr>
        <w:tc>
          <w:tcPr>
            <w:tcW w:w="3256" w:type="dxa"/>
          </w:tcPr>
          <w:p w14:paraId="0F9EFFF9" w14:textId="77777777" w:rsidR="00926426" w:rsidRPr="004F5055" w:rsidRDefault="00926426" w:rsidP="007A647F">
            <w:pPr>
              <w:spacing w:after="0"/>
              <w:ind w:hanging="31"/>
              <w:rPr>
                <w:color w:val="000000"/>
                <w:sz w:val="20"/>
              </w:rPr>
            </w:pPr>
            <w:r w:rsidRPr="004F5055">
              <w:rPr>
                <w:color w:val="000000"/>
                <w:sz w:val="20"/>
              </w:rPr>
              <w:t xml:space="preserve">10. Krājumu pārmaiņas un vērtslietu iegāde </w:t>
            </w:r>
          </w:p>
        </w:tc>
        <w:tc>
          <w:tcPr>
            <w:tcW w:w="1037" w:type="dxa"/>
          </w:tcPr>
          <w:p w14:paraId="61CEA907" w14:textId="77777777" w:rsidR="00926426" w:rsidRPr="004F5055" w:rsidRDefault="00926426" w:rsidP="007A647F">
            <w:pPr>
              <w:spacing w:after="0"/>
              <w:ind w:hanging="31"/>
              <w:rPr>
                <w:color w:val="000000"/>
                <w:sz w:val="20"/>
              </w:rPr>
            </w:pPr>
            <w:r w:rsidRPr="004F5055">
              <w:rPr>
                <w:color w:val="000000"/>
                <w:sz w:val="20"/>
              </w:rPr>
              <w:t>P52+P53</w:t>
            </w:r>
          </w:p>
        </w:tc>
        <w:tc>
          <w:tcPr>
            <w:tcW w:w="1037" w:type="dxa"/>
          </w:tcPr>
          <w:p w14:paraId="50376CE0" w14:textId="77777777" w:rsidR="00926426" w:rsidRPr="004F5055" w:rsidRDefault="00926426" w:rsidP="004B74A0">
            <w:pPr>
              <w:spacing w:after="0"/>
              <w:ind w:hanging="31"/>
              <w:jc w:val="right"/>
              <w:rPr>
                <w:color w:val="000000"/>
                <w:sz w:val="20"/>
              </w:rPr>
            </w:pPr>
          </w:p>
        </w:tc>
        <w:tc>
          <w:tcPr>
            <w:tcW w:w="741" w:type="dxa"/>
          </w:tcPr>
          <w:p w14:paraId="7958A676" w14:textId="77777777" w:rsidR="00926426" w:rsidRPr="004F5055" w:rsidRDefault="00926426" w:rsidP="004B74A0">
            <w:pPr>
              <w:spacing w:after="0"/>
              <w:ind w:hanging="31"/>
              <w:jc w:val="right"/>
              <w:rPr>
                <w:color w:val="000000"/>
                <w:sz w:val="20"/>
              </w:rPr>
            </w:pPr>
            <w:r w:rsidRPr="004F5055">
              <w:rPr>
                <w:color w:val="000000"/>
                <w:sz w:val="20"/>
              </w:rPr>
              <w:t>0,0</w:t>
            </w:r>
          </w:p>
        </w:tc>
        <w:tc>
          <w:tcPr>
            <w:tcW w:w="741" w:type="dxa"/>
          </w:tcPr>
          <w:p w14:paraId="58F6FBF2" w14:textId="77777777" w:rsidR="00926426" w:rsidRPr="004F5055" w:rsidRDefault="00926426" w:rsidP="004B74A0">
            <w:pPr>
              <w:spacing w:after="0"/>
              <w:ind w:hanging="31"/>
              <w:jc w:val="right"/>
              <w:rPr>
                <w:color w:val="000000"/>
                <w:sz w:val="20"/>
              </w:rPr>
            </w:pPr>
            <w:r w:rsidRPr="004F5055">
              <w:rPr>
                <w:color w:val="000000"/>
                <w:sz w:val="20"/>
              </w:rPr>
              <w:t>0,0</w:t>
            </w:r>
          </w:p>
        </w:tc>
        <w:tc>
          <w:tcPr>
            <w:tcW w:w="741" w:type="dxa"/>
          </w:tcPr>
          <w:p w14:paraId="162C4F27" w14:textId="77777777" w:rsidR="00926426" w:rsidRPr="004F5055" w:rsidRDefault="00926426" w:rsidP="004B74A0">
            <w:pPr>
              <w:spacing w:after="0"/>
              <w:ind w:hanging="31"/>
              <w:jc w:val="right"/>
              <w:rPr>
                <w:color w:val="000000"/>
                <w:sz w:val="20"/>
              </w:rPr>
            </w:pPr>
            <w:r w:rsidRPr="004F5055">
              <w:rPr>
                <w:color w:val="000000"/>
                <w:sz w:val="20"/>
              </w:rPr>
              <w:t>0,0</w:t>
            </w:r>
          </w:p>
        </w:tc>
        <w:tc>
          <w:tcPr>
            <w:tcW w:w="741" w:type="dxa"/>
          </w:tcPr>
          <w:p w14:paraId="3CE555A6" w14:textId="77777777" w:rsidR="00926426" w:rsidRPr="004F5055" w:rsidRDefault="00926426" w:rsidP="004B74A0">
            <w:pPr>
              <w:spacing w:after="0"/>
              <w:ind w:hanging="31"/>
              <w:jc w:val="right"/>
              <w:rPr>
                <w:color w:val="000000"/>
                <w:sz w:val="20"/>
              </w:rPr>
            </w:pPr>
            <w:r w:rsidRPr="004F5055">
              <w:rPr>
                <w:color w:val="000000"/>
                <w:sz w:val="20"/>
              </w:rPr>
              <w:t>0,0</w:t>
            </w:r>
          </w:p>
        </w:tc>
        <w:tc>
          <w:tcPr>
            <w:tcW w:w="971" w:type="dxa"/>
          </w:tcPr>
          <w:p w14:paraId="451389E9" w14:textId="77777777" w:rsidR="00926426" w:rsidRPr="004F5055" w:rsidRDefault="00926426" w:rsidP="004B74A0">
            <w:pPr>
              <w:spacing w:after="0"/>
              <w:ind w:hanging="31"/>
              <w:jc w:val="right"/>
              <w:rPr>
                <w:color w:val="000000"/>
                <w:sz w:val="20"/>
              </w:rPr>
            </w:pPr>
            <w:r>
              <w:rPr>
                <w:color w:val="000000"/>
                <w:sz w:val="20"/>
              </w:rPr>
              <w:t>0,0</w:t>
            </w:r>
          </w:p>
        </w:tc>
      </w:tr>
      <w:tr w:rsidR="00926426" w:rsidRPr="00132822" w14:paraId="5B62916A" w14:textId="77777777" w:rsidTr="004B74A0">
        <w:trPr>
          <w:jc w:val="center"/>
        </w:trPr>
        <w:tc>
          <w:tcPr>
            <w:tcW w:w="3256" w:type="dxa"/>
          </w:tcPr>
          <w:p w14:paraId="721B8B12" w14:textId="77777777" w:rsidR="00926426" w:rsidRPr="004F5055" w:rsidRDefault="00926426" w:rsidP="007A647F">
            <w:pPr>
              <w:spacing w:after="0"/>
              <w:ind w:hanging="31"/>
              <w:rPr>
                <w:color w:val="000000"/>
                <w:sz w:val="20"/>
              </w:rPr>
            </w:pPr>
            <w:r w:rsidRPr="004F5055">
              <w:rPr>
                <w:color w:val="000000"/>
                <w:sz w:val="20"/>
              </w:rPr>
              <w:t>11. Preču un pakalpojumu ārējā sektora bilance</w:t>
            </w:r>
          </w:p>
        </w:tc>
        <w:tc>
          <w:tcPr>
            <w:tcW w:w="1037" w:type="dxa"/>
          </w:tcPr>
          <w:p w14:paraId="25B31CB0" w14:textId="77777777" w:rsidR="00926426" w:rsidRPr="004F5055" w:rsidRDefault="00926426" w:rsidP="007A647F">
            <w:pPr>
              <w:spacing w:after="0"/>
              <w:ind w:hanging="31"/>
              <w:rPr>
                <w:color w:val="000000"/>
                <w:sz w:val="20"/>
              </w:rPr>
            </w:pPr>
            <w:r w:rsidRPr="004F5055">
              <w:rPr>
                <w:color w:val="000000"/>
                <w:sz w:val="20"/>
              </w:rPr>
              <w:t>B11</w:t>
            </w:r>
          </w:p>
        </w:tc>
        <w:tc>
          <w:tcPr>
            <w:tcW w:w="1037" w:type="dxa"/>
          </w:tcPr>
          <w:p w14:paraId="63605C2F" w14:textId="77777777" w:rsidR="00926426" w:rsidRPr="004F5055" w:rsidRDefault="00926426" w:rsidP="004B74A0">
            <w:pPr>
              <w:spacing w:after="0"/>
              <w:ind w:hanging="31"/>
              <w:jc w:val="right"/>
              <w:rPr>
                <w:color w:val="000000"/>
                <w:sz w:val="20"/>
              </w:rPr>
            </w:pPr>
          </w:p>
        </w:tc>
        <w:tc>
          <w:tcPr>
            <w:tcW w:w="741" w:type="dxa"/>
          </w:tcPr>
          <w:p w14:paraId="02BD6586" w14:textId="77777777" w:rsidR="00926426" w:rsidRPr="004D0B40" w:rsidRDefault="00926426" w:rsidP="004B74A0">
            <w:pPr>
              <w:spacing w:after="0"/>
              <w:ind w:hanging="31"/>
              <w:jc w:val="right"/>
              <w:rPr>
                <w:color w:val="000000"/>
                <w:sz w:val="20"/>
              </w:rPr>
            </w:pPr>
            <w:r w:rsidRPr="004D0B40">
              <w:rPr>
                <w:color w:val="000000"/>
                <w:sz w:val="20"/>
              </w:rPr>
              <w:t>1,7</w:t>
            </w:r>
          </w:p>
        </w:tc>
        <w:tc>
          <w:tcPr>
            <w:tcW w:w="741" w:type="dxa"/>
          </w:tcPr>
          <w:p w14:paraId="36EC6F1E" w14:textId="77777777" w:rsidR="00926426" w:rsidRPr="004D0B40" w:rsidRDefault="00926426" w:rsidP="004B74A0">
            <w:pPr>
              <w:spacing w:after="0"/>
              <w:ind w:hanging="31"/>
              <w:jc w:val="right"/>
              <w:rPr>
                <w:color w:val="000000"/>
                <w:sz w:val="20"/>
              </w:rPr>
            </w:pPr>
            <w:r w:rsidRPr="004D0B40">
              <w:rPr>
                <w:color w:val="000000"/>
                <w:sz w:val="20"/>
              </w:rPr>
              <w:t>-0,</w:t>
            </w:r>
            <w:r w:rsidRPr="004F5055">
              <w:rPr>
                <w:color w:val="000000"/>
                <w:sz w:val="20"/>
              </w:rPr>
              <w:t>4</w:t>
            </w:r>
          </w:p>
        </w:tc>
        <w:tc>
          <w:tcPr>
            <w:tcW w:w="741" w:type="dxa"/>
          </w:tcPr>
          <w:p w14:paraId="276F9689" w14:textId="77777777" w:rsidR="00926426" w:rsidRPr="004D0B40" w:rsidRDefault="00926426" w:rsidP="004B74A0">
            <w:pPr>
              <w:spacing w:after="0"/>
              <w:ind w:hanging="31"/>
              <w:jc w:val="right"/>
              <w:rPr>
                <w:color w:val="000000"/>
                <w:sz w:val="20"/>
              </w:rPr>
            </w:pPr>
            <w:r w:rsidRPr="004D0B40">
              <w:rPr>
                <w:color w:val="000000"/>
                <w:sz w:val="20"/>
              </w:rPr>
              <w:t>-0,</w:t>
            </w:r>
            <w:r w:rsidRPr="004F5055">
              <w:rPr>
                <w:color w:val="000000"/>
                <w:sz w:val="20"/>
              </w:rPr>
              <w:t>4</w:t>
            </w:r>
          </w:p>
        </w:tc>
        <w:tc>
          <w:tcPr>
            <w:tcW w:w="741" w:type="dxa"/>
          </w:tcPr>
          <w:p w14:paraId="7EEEDEEE" w14:textId="77777777" w:rsidR="00926426" w:rsidRPr="004D0B40" w:rsidRDefault="00926426" w:rsidP="004B74A0">
            <w:pPr>
              <w:spacing w:after="0"/>
              <w:ind w:hanging="31"/>
              <w:jc w:val="right"/>
              <w:rPr>
                <w:color w:val="000000"/>
                <w:sz w:val="20"/>
              </w:rPr>
            </w:pPr>
            <w:r w:rsidRPr="004D0B40">
              <w:rPr>
                <w:color w:val="000000"/>
                <w:sz w:val="20"/>
              </w:rPr>
              <w:t>-0,2</w:t>
            </w:r>
          </w:p>
        </w:tc>
        <w:tc>
          <w:tcPr>
            <w:tcW w:w="971" w:type="dxa"/>
          </w:tcPr>
          <w:p w14:paraId="2CEB5682" w14:textId="77777777" w:rsidR="00926426" w:rsidRPr="004D0B40" w:rsidRDefault="00926426" w:rsidP="004B74A0">
            <w:pPr>
              <w:spacing w:after="0"/>
              <w:ind w:hanging="31"/>
              <w:jc w:val="right"/>
              <w:rPr>
                <w:color w:val="000000"/>
                <w:sz w:val="20"/>
              </w:rPr>
            </w:pPr>
            <w:r w:rsidRPr="004D0B40">
              <w:rPr>
                <w:color w:val="000000"/>
                <w:sz w:val="20"/>
              </w:rPr>
              <w:t>-0,2</w:t>
            </w:r>
          </w:p>
        </w:tc>
      </w:tr>
    </w:tbl>
    <w:p w14:paraId="716F78A0" w14:textId="77777777" w:rsidR="00926426" w:rsidRPr="001D3936" w:rsidRDefault="00926426" w:rsidP="00926426">
      <w:pPr>
        <w:pStyle w:val="T"/>
        <w:rPr>
          <w:rFonts w:ascii="Times New Roman" w:hAnsi="Times New Roman"/>
          <w:color w:val="000000"/>
          <w:sz w:val="20"/>
        </w:rPr>
      </w:pPr>
    </w:p>
    <w:p w14:paraId="5C737E8B" w14:textId="77777777" w:rsidR="00926426" w:rsidRDefault="00926426" w:rsidP="00926426">
      <w:pPr>
        <w:pStyle w:val="T"/>
        <w:ind w:left="0"/>
        <w:rPr>
          <w:rFonts w:ascii="Times New Roman" w:hAnsi="Times New Roman"/>
          <w:color w:val="000000"/>
        </w:rPr>
      </w:pPr>
      <w:r>
        <w:rPr>
          <w:rFonts w:ascii="Times New Roman" w:hAnsi="Times New Roman"/>
          <w:color w:val="000000"/>
        </w:rPr>
        <w:t>1b. tabula. Patēriņa cenu izmaiņas</w:t>
      </w:r>
    </w:p>
    <w:tbl>
      <w:tblPr>
        <w:tblW w:w="94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54"/>
        <w:gridCol w:w="953"/>
        <w:gridCol w:w="973"/>
        <w:gridCol w:w="797"/>
        <w:gridCol w:w="797"/>
        <w:gridCol w:w="797"/>
        <w:gridCol w:w="783"/>
        <w:gridCol w:w="766"/>
      </w:tblGrid>
      <w:tr w:rsidR="00926426" w14:paraId="7C6FE6F4" w14:textId="77777777" w:rsidTr="00926426">
        <w:trPr>
          <w:tblHeader/>
          <w:jc w:val="center"/>
        </w:trPr>
        <w:tc>
          <w:tcPr>
            <w:tcW w:w="3551" w:type="dxa"/>
            <w:tcBorders>
              <w:top w:val="double" w:sz="4" w:space="0" w:color="auto"/>
              <w:left w:val="double" w:sz="4" w:space="0" w:color="auto"/>
              <w:bottom w:val="single" w:sz="4" w:space="0" w:color="auto"/>
              <w:right w:val="single" w:sz="4" w:space="0" w:color="auto"/>
            </w:tcBorders>
          </w:tcPr>
          <w:p w14:paraId="2F04AEF9" w14:textId="77777777" w:rsidR="00926426" w:rsidRDefault="00926426" w:rsidP="00926426">
            <w:pPr>
              <w:spacing w:after="0" w:line="257" w:lineRule="auto"/>
              <w:rPr>
                <w:color w:val="000000"/>
                <w:sz w:val="20"/>
              </w:rPr>
            </w:pPr>
          </w:p>
        </w:tc>
        <w:tc>
          <w:tcPr>
            <w:tcW w:w="952" w:type="dxa"/>
            <w:tcBorders>
              <w:top w:val="double" w:sz="4" w:space="0" w:color="auto"/>
              <w:left w:val="single" w:sz="4" w:space="0" w:color="auto"/>
              <w:bottom w:val="single" w:sz="4" w:space="0" w:color="auto"/>
              <w:right w:val="single" w:sz="4" w:space="0" w:color="auto"/>
            </w:tcBorders>
            <w:hideMark/>
          </w:tcPr>
          <w:p w14:paraId="61B95B93" w14:textId="77777777" w:rsidR="00926426" w:rsidRDefault="00926426" w:rsidP="00926426">
            <w:pPr>
              <w:spacing w:after="0" w:line="257" w:lineRule="auto"/>
              <w:ind w:firstLine="0"/>
              <w:rPr>
                <w:color w:val="000000"/>
                <w:sz w:val="20"/>
              </w:rPr>
            </w:pPr>
            <w:r>
              <w:rPr>
                <w:color w:val="000000"/>
                <w:sz w:val="20"/>
              </w:rPr>
              <w:t>ESA</w:t>
            </w:r>
          </w:p>
          <w:p w14:paraId="1EFAFD6E" w14:textId="77777777" w:rsidR="00926426" w:rsidRDefault="00926426" w:rsidP="00926426">
            <w:pPr>
              <w:spacing w:after="0" w:line="257" w:lineRule="auto"/>
              <w:ind w:firstLine="0"/>
              <w:rPr>
                <w:color w:val="000000"/>
                <w:sz w:val="20"/>
              </w:rPr>
            </w:pPr>
            <w:r>
              <w:rPr>
                <w:color w:val="000000"/>
                <w:sz w:val="20"/>
              </w:rPr>
              <w:t>Kods</w:t>
            </w:r>
          </w:p>
        </w:tc>
        <w:tc>
          <w:tcPr>
            <w:tcW w:w="972" w:type="dxa"/>
            <w:tcBorders>
              <w:top w:val="double" w:sz="4" w:space="0" w:color="auto"/>
              <w:left w:val="single" w:sz="4" w:space="0" w:color="auto"/>
              <w:bottom w:val="single" w:sz="4" w:space="0" w:color="auto"/>
              <w:right w:val="single" w:sz="4" w:space="0" w:color="auto"/>
            </w:tcBorders>
            <w:vAlign w:val="center"/>
            <w:hideMark/>
          </w:tcPr>
          <w:p w14:paraId="1DD93570" w14:textId="77777777" w:rsidR="00926426" w:rsidRDefault="00926426" w:rsidP="00926426">
            <w:pPr>
              <w:spacing w:after="0" w:line="257" w:lineRule="auto"/>
              <w:ind w:firstLine="0"/>
              <w:rPr>
                <w:b/>
                <w:color w:val="000000"/>
                <w:sz w:val="20"/>
              </w:rPr>
            </w:pPr>
            <w:r>
              <w:rPr>
                <w:b/>
                <w:color w:val="000000"/>
                <w:sz w:val="20"/>
              </w:rPr>
              <w:t>2013</w:t>
            </w:r>
          </w:p>
        </w:tc>
        <w:tc>
          <w:tcPr>
            <w:tcW w:w="797" w:type="dxa"/>
            <w:tcBorders>
              <w:top w:val="double" w:sz="4" w:space="0" w:color="auto"/>
              <w:left w:val="single" w:sz="4" w:space="0" w:color="auto"/>
              <w:bottom w:val="single" w:sz="4" w:space="0" w:color="auto"/>
              <w:right w:val="single" w:sz="4" w:space="0" w:color="auto"/>
            </w:tcBorders>
            <w:vAlign w:val="center"/>
            <w:hideMark/>
          </w:tcPr>
          <w:p w14:paraId="30E3C050" w14:textId="77777777" w:rsidR="00926426" w:rsidRDefault="00926426" w:rsidP="00926426">
            <w:pPr>
              <w:spacing w:after="0" w:line="257" w:lineRule="auto"/>
              <w:ind w:firstLine="0"/>
              <w:rPr>
                <w:b/>
                <w:color w:val="000000"/>
                <w:sz w:val="20"/>
              </w:rPr>
            </w:pPr>
            <w:r>
              <w:rPr>
                <w:b/>
                <w:color w:val="000000"/>
                <w:sz w:val="20"/>
              </w:rPr>
              <w:t>2013</w:t>
            </w:r>
          </w:p>
        </w:tc>
        <w:tc>
          <w:tcPr>
            <w:tcW w:w="797" w:type="dxa"/>
            <w:tcBorders>
              <w:top w:val="double" w:sz="4" w:space="0" w:color="auto"/>
              <w:left w:val="single" w:sz="4" w:space="0" w:color="auto"/>
              <w:bottom w:val="single" w:sz="4" w:space="0" w:color="auto"/>
              <w:right w:val="single" w:sz="4" w:space="0" w:color="auto"/>
            </w:tcBorders>
            <w:vAlign w:val="center"/>
            <w:hideMark/>
          </w:tcPr>
          <w:p w14:paraId="2C558080" w14:textId="77777777" w:rsidR="00926426" w:rsidRDefault="00926426" w:rsidP="00926426">
            <w:pPr>
              <w:spacing w:after="0" w:line="257" w:lineRule="auto"/>
              <w:ind w:firstLine="0"/>
              <w:rPr>
                <w:b/>
                <w:color w:val="000000"/>
                <w:sz w:val="20"/>
              </w:rPr>
            </w:pPr>
            <w:r>
              <w:rPr>
                <w:b/>
                <w:color w:val="000000"/>
                <w:sz w:val="20"/>
              </w:rPr>
              <w:t>2014</w:t>
            </w:r>
          </w:p>
        </w:tc>
        <w:tc>
          <w:tcPr>
            <w:tcW w:w="797" w:type="dxa"/>
            <w:tcBorders>
              <w:top w:val="double" w:sz="4" w:space="0" w:color="auto"/>
              <w:left w:val="single" w:sz="4" w:space="0" w:color="auto"/>
              <w:bottom w:val="single" w:sz="4" w:space="0" w:color="auto"/>
              <w:right w:val="single" w:sz="4" w:space="0" w:color="auto"/>
            </w:tcBorders>
            <w:vAlign w:val="center"/>
            <w:hideMark/>
          </w:tcPr>
          <w:p w14:paraId="672F7442" w14:textId="77777777" w:rsidR="00926426" w:rsidRDefault="00926426" w:rsidP="00926426">
            <w:pPr>
              <w:spacing w:after="0" w:line="257" w:lineRule="auto"/>
              <w:ind w:firstLine="0"/>
              <w:rPr>
                <w:b/>
                <w:color w:val="000000"/>
                <w:sz w:val="20"/>
              </w:rPr>
            </w:pPr>
            <w:r>
              <w:rPr>
                <w:b/>
                <w:color w:val="000000"/>
                <w:sz w:val="20"/>
              </w:rPr>
              <w:t>2015</w:t>
            </w:r>
          </w:p>
        </w:tc>
        <w:tc>
          <w:tcPr>
            <w:tcW w:w="783" w:type="dxa"/>
            <w:tcBorders>
              <w:top w:val="double" w:sz="4" w:space="0" w:color="auto"/>
              <w:left w:val="single" w:sz="4" w:space="0" w:color="auto"/>
              <w:bottom w:val="single" w:sz="4" w:space="0" w:color="auto"/>
              <w:right w:val="single" w:sz="4" w:space="0" w:color="auto"/>
            </w:tcBorders>
            <w:vAlign w:val="center"/>
            <w:hideMark/>
          </w:tcPr>
          <w:p w14:paraId="228BE5F0" w14:textId="77777777" w:rsidR="00926426" w:rsidRDefault="00926426" w:rsidP="00926426">
            <w:pPr>
              <w:spacing w:after="0" w:line="257" w:lineRule="auto"/>
              <w:ind w:firstLine="0"/>
              <w:rPr>
                <w:b/>
                <w:color w:val="000000"/>
                <w:sz w:val="20"/>
              </w:rPr>
            </w:pPr>
            <w:r>
              <w:rPr>
                <w:b/>
                <w:color w:val="000000"/>
                <w:sz w:val="20"/>
              </w:rPr>
              <w:t>2016</w:t>
            </w:r>
          </w:p>
        </w:tc>
        <w:tc>
          <w:tcPr>
            <w:tcW w:w="766" w:type="dxa"/>
            <w:tcBorders>
              <w:top w:val="double" w:sz="4" w:space="0" w:color="auto"/>
              <w:left w:val="single" w:sz="4" w:space="0" w:color="auto"/>
              <w:bottom w:val="single" w:sz="4" w:space="0" w:color="auto"/>
              <w:right w:val="double" w:sz="4" w:space="0" w:color="auto"/>
            </w:tcBorders>
            <w:vAlign w:val="center"/>
            <w:hideMark/>
          </w:tcPr>
          <w:p w14:paraId="6C00F97B" w14:textId="77777777" w:rsidR="00926426" w:rsidRDefault="00926426" w:rsidP="00926426">
            <w:pPr>
              <w:spacing w:after="0" w:line="257" w:lineRule="auto"/>
              <w:ind w:firstLine="0"/>
              <w:rPr>
                <w:b/>
                <w:color w:val="000000"/>
                <w:sz w:val="20"/>
              </w:rPr>
            </w:pPr>
            <w:r>
              <w:rPr>
                <w:b/>
                <w:color w:val="000000"/>
                <w:sz w:val="20"/>
              </w:rPr>
              <w:t>2017</w:t>
            </w:r>
          </w:p>
        </w:tc>
      </w:tr>
      <w:tr w:rsidR="00926426" w14:paraId="4D8A136A" w14:textId="77777777" w:rsidTr="00926426">
        <w:trPr>
          <w:jc w:val="center"/>
        </w:trPr>
        <w:tc>
          <w:tcPr>
            <w:tcW w:w="3551" w:type="dxa"/>
            <w:tcBorders>
              <w:top w:val="single" w:sz="4" w:space="0" w:color="auto"/>
              <w:left w:val="double" w:sz="4" w:space="0" w:color="auto"/>
              <w:bottom w:val="single" w:sz="4" w:space="0" w:color="auto"/>
              <w:right w:val="single" w:sz="4" w:space="0" w:color="auto"/>
            </w:tcBorders>
          </w:tcPr>
          <w:p w14:paraId="6BFC27D5" w14:textId="77777777" w:rsidR="00926426" w:rsidRDefault="00926426" w:rsidP="00926426">
            <w:pPr>
              <w:spacing w:after="0" w:line="256" w:lineRule="auto"/>
              <w:rPr>
                <w:snapToGrid w:val="0"/>
                <w:color w:val="000000"/>
                <w:sz w:val="20"/>
              </w:rPr>
            </w:pPr>
          </w:p>
        </w:tc>
        <w:tc>
          <w:tcPr>
            <w:tcW w:w="952" w:type="dxa"/>
            <w:tcBorders>
              <w:top w:val="single" w:sz="4" w:space="0" w:color="auto"/>
              <w:left w:val="single" w:sz="4" w:space="0" w:color="auto"/>
              <w:bottom w:val="single" w:sz="4" w:space="0" w:color="auto"/>
              <w:right w:val="single" w:sz="4" w:space="0" w:color="auto"/>
            </w:tcBorders>
          </w:tcPr>
          <w:p w14:paraId="439106B2" w14:textId="77777777" w:rsidR="00926426" w:rsidRDefault="00926426" w:rsidP="00926426">
            <w:pPr>
              <w:spacing w:after="0" w:line="256" w:lineRule="auto"/>
              <w:rPr>
                <w:color w:val="000000"/>
                <w:sz w:val="20"/>
              </w:rPr>
            </w:pPr>
          </w:p>
        </w:tc>
        <w:tc>
          <w:tcPr>
            <w:tcW w:w="972" w:type="dxa"/>
            <w:tcBorders>
              <w:top w:val="single" w:sz="4" w:space="0" w:color="auto"/>
              <w:left w:val="single" w:sz="4" w:space="0" w:color="auto"/>
              <w:bottom w:val="single" w:sz="4" w:space="0" w:color="auto"/>
              <w:right w:val="single" w:sz="4" w:space="0" w:color="auto"/>
            </w:tcBorders>
            <w:hideMark/>
          </w:tcPr>
          <w:p w14:paraId="2DBABF4B" w14:textId="77777777" w:rsidR="00926426" w:rsidRDefault="00926426" w:rsidP="00926426">
            <w:pPr>
              <w:tabs>
                <w:tab w:val="decimal" w:pos="296"/>
              </w:tabs>
              <w:spacing w:after="0" w:line="256" w:lineRule="auto"/>
              <w:ind w:firstLine="0"/>
              <w:rPr>
                <w:color w:val="000000"/>
                <w:sz w:val="20"/>
              </w:rPr>
            </w:pPr>
            <w:r>
              <w:rPr>
                <w:color w:val="000000"/>
                <w:sz w:val="20"/>
              </w:rPr>
              <w:t>līmenis</w:t>
            </w:r>
          </w:p>
        </w:tc>
        <w:tc>
          <w:tcPr>
            <w:tcW w:w="3940" w:type="dxa"/>
            <w:gridSpan w:val="5"/>
            <w:tcBorders>
              <w:top w:val="single" w:sz="4" w:space="0" w:color="auto"/>
              <w:left w:val="single" w:sz="4" w:space="0" w:color="auto"/>
              <w:bottom w:val="single" w:sz="4" w:space="0" w:color="auto"/>
              <w:right w:val="double" w:sz="4" w:space="0" w:color="auto"/>
            </w:tcBorders>
            <w:hideMark/>
          </w:tcPr>
          <w:p w14:paraId="704977E9" w14:textId="77777777" w:rsidR="00926426" w:rsidRDefault="00926426" w:rsidP="00926426">
            <w:pPr>
              <w:tabs>
                <w:tab w:val="decimal" w:pos="296"/>
              </w:tabs>
              <w:spacing w:after="0" w:line="256" w:lineRule="auto"/>
              <w:jc w:val="center"/>
              <w:rPr>
                <w:color w:val="000000"/>
                <w:sz w:val="20"/>
              </w:rPr>
            </w:pPr>
            <w:r>
              <w:rPr>
                <w:color w:val="000000"/>
                <w:sz w:val="20"/>
              </w:rPr>
              <w:t>Pieaugums %</w:t>
            </w:r>
          </w:p>
        </w:tc>
      </w:tr>
      <w:tr w:rsidR="00926426" w14:paraId="0845107C"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4517A765" w14:textId="77777777" w:rsidR="00926426" w:rsidRDefault="00926426" w:rsidP="00926426">
            <w:pPr>
              <w:spacing w:after="0" w:line="256" w:lineRule="auto"/>
              <w:ind w:firstLine="0"/>
              <w:rPr>
                <w:noProof/>
                <w:snapToGrid w:val="0"/>
                <w:color w:val="000000"/>
                <w:sz w:val="20"/>
              </w:rPr>
            </w:pPr>
            <w:r>
              <w:rPr>
                <w:noProof/>
                <w:snapToGrid w:val="0"/>
                <w:color w:val="000000"/>
                <w:sz w:val="20"/>
              </w:rPr>
              <w:t>1. IKP deflators</w:t>
            </w:r>
          </w:p>
        </w:tc>
        <w:tc>
          <w:tcPr>
            <w:tcW w:w="952" w:type="dxa"/>
            <w:tcBorders>
              <w:top w:val="single" w:sz="4" w:space="0" w:color="auto"/>
              <w:left w:val="single" w:sz="4" w:space="0" w:color="auto"/>
              <w:bottom w:val="single" w:sz="4" w:space="0" w:color="auto"/>
              <w:right w:val="single" w:sz="4" w:space="0" w:color="auto"/>
            </w:tcBorders>
          </w:tcPr>
          <w:p w14:paraId="377D9805" w14:textId="77777777" w:rsidR="00926426" w:rsidRDefault="00926426" w:rsidP="00926426">
            <w:pPr>
              <w:spacing w:after="0" w:line="256" w:lineRule="auto"/>
              <w:rPr>
                <w:snapToGrid w:val="0"/>
                <w:color w:val="000000"/>
                <w:sz w:val="20"/>
              </w:rPr>
            </w:pPr>
          </w:p>
        </w:tc>
        <w:tc>
          <w:tcPr>
            <w:tcW w:w="972" w:type="dxa"/>
            <w:tcBorders>
              <w:top w:val="single" w:sz="4" w:space="0" w:color="auto"/>
              <w:left w:val="single" w:sz="4" w:space="0" w:color="auto"/>
              <w:bottom w:val="single" w:sz="4" w:space="0" w:color="auto"/>
              <w:right w:val="single" w:sz="4" w:space="0" w:color="auto"/>
            </w:tcBorders>
          </w:tcPr>
          <w:p w14:paraId="683DD8D9"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single" w:sz="4" w:space="0" w:color="auto"/>
              <w:right w:val="single" w:sz="4" w:space="0" w:color="auto"/>
            </w:tcBorders>
            <w:hideMark/>
          </w:tcPr>
          <w:p w14:paraId="27B4DF4A" w14:textId="77777777" w:rsidR="00926426" w:rsidRDefault="00926426" w:rsidP="004B74A0">
            <w:pPr>
              <w:spacing w:after="0" w:line="256" w:lineRule="auto"/>
              <w:ind w:firstLine="0"/>
              <w:jc w:val="right"/>
              <w:rPr>
                <w:color w:val="000000"/>
                <w:sz w:val="20"/>
              </w:rPr>
            </w:pPr>
            <w:r>
              <w:rPr>
                <w:color w:val="000000"/>
                <w:sz w:val="20"/>
              </w:rPr>
              <w:t>1,4</w:t>
            </w:r>
          </w:p>
        </w:tc>
        <w:tc>
          <w:tcPr>
            <w:tcW w:w="797" w:type="dxa"/>
            <w:tcBorders>
              <w:top w:val="single" w:sz="4" w:space="0" w:color="auto"/>
              <w:left w:val="single" w:sz="4" w:space="0" w:color="auto"/>
              <w:bottom w:val="single" w:sz="4" w:space="0" w:color="auto"/>
              <w:right w:val="single" w:sz="4" w:space="0" w:color="auto"/>
            </w:tcBorders>
            <w:hideMark/>
          </w:tcPr>
          <w:p w14:paraId="60E6E748" w14:textId="77777777" w:rsidR="00926426" w:rsidRDefault="00926426" w:rsidP="004B74A0">
            <w:pPr>
              <w:spacing w:after="0" w:line="256" w:lineRule="auto"/>
              <w:ind w:firstLine="0"/>
              <w:jc w:val="right"/>
              <w:rPr>
                <w:color w:val="000000"/>
                <w:sz w:val="20"/>
              </w:rPr>
            </w:pPr>
            <w:r>
              <w:rPr>
                <w:color w:val="000000"/>
                <w:sz w:val="20"/>
              </w:rPr>
              <w:t>1,6</w:t>
            </w:r>
          </w:p>
        </w:tc>
        <w:tc>
          <w:tcPr>
            <w:tcW w:w="797" w:type="dxa"/>
            <w:tcBorders>
              <w:top w:val="single" w:sz="4" w:space="0" w:color="auto"/>
              <w:left w:val="single" w:sz="4" w:space="0" w:color="auto"/>
              <w:bottom w:val="single" w:sz="4" w:space="0" w:color="auto"/>
              <w:right w:val="single" w:sz="4" w:space="0" w:color="auto"/>
            </w:tcBorders>
            <w:hideMark/>
          </w:tcPr>
          <w:p w14:paraId="1543A75A" w14:textId="77777777" w:rsidR="00926426" w:rsidRDefault="00926426" w:rsidP="004B74A0">
            <w:pPr>
              <w:spacing w:after="0" w:line="256" w:lineRule="auto"/>
              <w:ind w:firstLine="0"/>
              <w:jc w:val="right"/>
              <w:rPr>
                <w:color w:val="000000"/>
                <w:sz w:val="20"/>
              </w:rPr>
            </w:pPr>
            <w:r>
              <w:rPr>
                <w:color w:val="000000"/>
                <w:sz w:val="20"/>
              </w:rPr>
              <w:t>2,8</w:t>
            </w:r>
          </w:p>
        </w:tc>
        <w:tc>
          <w:tcPr>
            <w:tcW w:w="783" w:type="dxa"/>
            <w:tcBorders>
              <w:top w:val="single" w:sz="4" w:space="0" w:color="auto"/>
              <w:left w:val="single" w:sz="4" w:space="0" w:color="auto"/>
              <w:bottom w:val="single" w:sz="4" w:space="0" w:color="auto"/>
              <w:right w:val="single" w:sz="4" w:space="0" w:color="auto"/>
            </w:tcBorders>
            <w:hideMark/>
          </w:tcPr>
          <w:p w14:paraId="5F77D447" w14:textId="77777777" w:rsidR="00926426" w:rsidRDefault="00926426" w:rsidP="004B74A0">
            <w:pPr>
              <w:spacing w:after="0" w:line="256" w:lineRule="auto"/>
              <w:ind w:firstLine="0"/>
              <w:jc w:val="right"/>
              <w:rPr>
                <w:color w:val="000000"/>
                <w:sz w:val="20"/>
              </w:rPr>
            </w:pPr>
            <w:r>
              <w:rPr>
                <w:color w:val="000000"/>
                <w:sz w:val="20"/>
              </w:rPr>
              <w:t>2,5</w:t>
            </w:r>
          </w:p>
        </w:tc>
        <w:tc>
          <w:tcPr>
            <w:tcW w:w="766" w:type="dxa"/>
            <w:tcBorders>
              <w:top w:val="single" w:sz="4" w:space="0" w:color="auto"/>
              <w:left w:val="single" w:sz="4" w:space="0" w:color="auto"/>
              <w:bottom w:val="single" w:sz="4" w:space="0" w:color="auto"/>
              <w:right w:val="double" w:sz="4" w:space="0" w:color="auto"/>
            </w:tcBorders>
            <w:hideMark/>
          </w:tcPr>
          <w:p w14:paraId="1317848F" w14:textId="77777777" w:rsidR="00926426" w:rsidRDefault="00926426" w:rsidP="004B74A0">
            <w:pPr>
              <w:spacing w:after="0" w:line="256" w:lineRule="auto"/>
              <w:ind w:firstLine="0"/>
              <w:jc w:val="right"/>
              <w:rPr>
                <w:color w:val="000000"/>
                <w:sz w:val="20"/>
              </w:rPr>
            </w:pPr>
            <w:r>
              <w:rPr>
                <w:color w:val="000000"/>
                <w:sz w:val="20"/>
              </w:rPr>
              <w:t>2,5</w:t>
            </w:r>
          </w:p>
        </w:tc>
      </w:tr>
      <w:tr w:rsidR="00926426" w14:paraId="4056CB86"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5C9610CE" w14:textId="77777777" w:rsidR="00926426" w:rsidRDefault="00926426" w:rsidP="00926426">
            <w:pPr>
              <w:spacing w:after="0" w:line="256" w:lineRule="auto"/>
              <w:ind w:firstLine="0"/>
              <w:rPr>
                <w:noProof/>
                <w:snapToGrid w:val="0"/>
                <w:color w:val="000000"/>
                <w:sz w:val="20"/>
              </w:rPr>
            </w:pPr>
            <w:r>
              <w:rPr>
                <w:noProof/>
                <w:snapToGrid w:val="0"/>
                <w:color w:val="000000"/>
                <w:sz w:val="20"/>
              </w:rPr>
              <w:t>2. Privātā patēriņa deflators</w:t>
            </w:r>
          </w:p>
        </w:tc>
        <w:tc>
          <w:tcPr>
            <w:tcW w:w="952" w:type="dxa"/>
            <w:tcBorders>
              <w:top w:val="single" w:sz="4" w:space="0" w:color="auto"/>
              <w:left w:val="single" w:sz="4" w:space="0" w:color="auto"/>
              <w:bottom w:val="single" w:sz="4" w:space="0" w:color="auto"/>
              <w:right w:val="single" w:sz="4" w:space="0" w:color="auto"/>
            </w:tcBorders>
          </w:tcPr>
          <w:p w14:paraId="040F8BAD" w14:textId="77777777" w:rsidR="00926426" w:rsidRDefault="00926426" w:rsidP="00926426">
            <w:pPr>
              <w:spacing w:after="0" w:line="256" w:lineRule="auto"/>
              <w:rPr>
                <w:snapToGrid w:val="0"/>
                <w:color w:val="000000"/>
                <w:sz w:val="20"/>
              </w:rPr>
            </w:pPr>
          </w:p>
        </w:tc>
        <w:tc>
          <w:tcPr>
            <w:tcW w:w="972" w:type="dxa"/>
            <w:tcBorders>
              <w:top w:val="single" w:sz="4" w:space="0" w:color="auto"/>
              <w:left w:val="single" w:sz="4" w:space="0" w:color="auto"/>
              <w:bottom w:val="single" w:sz="4" w:space="0" w:color="auto"/>
              <w:right w:val="single" w:sz="4" w:space="0" w:color="auto"/>
            </w:tcBorders>
          </w:tcPr>
          <w:p w14:paraId="636E2158"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single" w:sz="4" w:space="0" w:color="auto"/>
              <w:right w:val="single" w:sz="4" w:space="0" w:color="auto"/>
            </w:tcBorders>
            <w:hideMark/>
          </w:tcPr>
          <w:p w14:paraId="13022156" w14:textId="77777777" w:rsidR="00926426" w:rsidRDefault="00926426" w:rsidP="004B74A0">
            <w:pPr>
              <w:spacing w:after="0" w:line="256" w:lineRule="auto"/>
              <w:ind w:firstLine="0"/>
              <w:jc w:val="right"/>
              <w:rPr>
                <w:color w:val="000000"/>
                <w:sz w:val="20"/>
              </w:rPr>
            </w:pPr>
            <w:r>
              <w:rPr>
                <w:color w:val="000000"/>
                <w:sz w:val="20"/>
              </w:rPr>
              <w:t>0,5</w:t>
            </w:r>
          </w:p>
        </w:tc>
        <w:tc>
          <w:tcPr>
            <w:tcW w:w="797" w:type="dxa"/>
            <w:tcBorders>
              <w:top w:val="single" w:sz="4" w:space="0" w:color="auto"/>
              <w:left w:val="single" w:sz="4" w:space="0" w:color="auto"/>
              <w:bottom w:val="single" w:sz="4" w:space="0" w:color="auto"/>
              <w:right w:val="single" w:sz="4" w:space="0" w:color="auto"/>
            </w:tcBorders>
            <w:hideMark/>
          </w:tcPr>
          <w:p w14:paraId="53C59717" w14:textId="77777777" w:rsidR="00926426" w:rsidRDefault="00926426" w:rsidP="004B74A0">
            <w:pPr>
              <w:spacing w:after="0" w:line="256" w:lineRule="auto"/>
              <w:ind w:firstLine="0"/>
              <w:jc w:val="right"/>
              <w:rPr>
                <w:color w:val="000000"/>
                <w:sz w:val="20"/>
              </w:rPr>
            </w:pPr>
            <w:r>
              <w:rPr>
                <w:color w:val="000000"/>
                <w:sz w:val="20"/>
              </w:rPr>
              <w:t>1,1</w:t>
            </w:r>
          </w:p>
        </w:tc>
        <w:tc>
          <w:tcPr>
            <w:tcW w:w="797" w:type="dxa"/>
            <w:tcBorders>
              <w:top w:val="single" w:sz="4" w:space="0" w:color="auto"/>
              <w:left w:val="single" w:sz="4" w:space="0" w:color="auto"/>
              <w:bottom w:val="single" w:sz="4" w:space="0" w:color="auto"/>
              <w:right w:val="single" w:sz="4" w:space="0" w:color="auto"/>
            </w:tcBorders>
            <w:hideMark/>
          </w:tcPr>
          <w:p w14:paraId="5E4225B2" w14:textId="77777777" w:rsidR="00926426" w:rsidRDefault="00926426" w:rsidP="004B74A0">
            <w:pPr>
              <w:spacing w:after="0" w:line="256" w:lineRule="auto"/>
              <w:ind w:firstLine="0"/>
              <w:jc w:val="right"/>
              <w:rPr>
                <w:color w:val="000000"/>
                <w:sz w:val="20"/>
              </w:rPr>
            </w:pPr>
            <w:r>
              <w:rPr>
                <w:color w:val="000000"/>
                <w:sz w:val="20"/>
              </w:rPr>
              <w:t>3,0</w:t>
            </w:r>
          </w:p>
        </w:tc>
        <w:tc>
          <w:tcPr>
            <w:tcW w:w="783" w:type="dxa"/>
            <w:tcBorders>
              <w:top w:val="single" w:sz="4" w:space="0" w:color="auto"/>
              <w:left w:val="single" w:sz="4" w:space="0" w:color="auto"/>
              <w:bottom w:val="single" w:sz="4" w:space="0" w:color="auto"/>
              <w:right w:val="single" w:sz="4" w:space="0" w:color="auto"/>
            </w:tcBorders>
            <w:hideMark/>
          </w:tcPr>
          <w:p w14:paraId="2AACFD6D" w14:textId="77777777" w:rsidR="00926426" w:rsidRDefault="00926426" w:rsidP="004B74A0">
            <w:pPr>
              <w:spacing w:after="0" w:line="256" w:lineRule="auto"/>
              <w:ind w:firstLine="0"/>
              <w:jc w:val="right"/>
              <w:rPr>
                <w:color w:val="000000"/>
                <w:sz w:val="20"/>
              </w:rPr>
            </w:pPr>
            <w:r>
              <w:rPr>
                <w:color w:val="000000"/>
                <w:sz w:val="20"/>
              </w:rPr>
              <w:t>2,5</w:t>
            </w:r>
          </w:p>
        </w:tc>
        <w:tc>
          <w:tcPr>
            <w:tcW w:w="766" w:type="dxa"/>
            <w:tcBorders>
              <w:top w:val="single" w:sz="4" w:space="0" w:color="auto"/>
              <w:left w:val="single" w:sz="4" w:space="0" w:color="auto"/>
              <w:bottom w:val="single" w:sz="4" w:space="0" w:color="auto"/>
              <w:right w:val="double" w:sz="4" w:space="0" w:color="auto"/>
            </w:tcBorders>
            <w:hideMark/>
          </w:tcPr>
          <w:p w14:paraId="4982F751" w14:textId="77777777" w:rsidR="00926426" w:rsidRDefault="00926426" w:rsidP="004B74A0">
            <w:pPr>
              <w:spacing w:after="0" w:line="256" w:lineRule="auto"/>
              <w:ind w:firstLine="0"/>
              <w:jc w:val="right"/>
              <w:rPr>
                <w:color w:val="000000"/>
                <w:sz w:val="20"/>
              </w:rPr>
            </w:pPr>
            <w:r>
              <w:rPr>
                <w:color w:val="000000"/>
                <w:sz w:val="20"/>
              </w:rPr>
              <w:t>2,5</w:t>
            </w:r>
          </w:p>
        </w:tc>
      </w:tr>
      <w:tr w:rsidR="00926426" w14:paraId="5772F40F"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5CCA9923" w14:textId="77777777" w:rsidR="00926426" w:rsidRDefault="00926426" w:rsidP="00926426">
            <w:pPr>
              <w:spacing w:after="0" w:line="256" w:lineRule="auto"/>
              <w:ind w:firstLine="0"/>
              <w:rPr>
                <w:noProof/>
                <w:snapToGrid w:val="0"/>
                <w:color w:val="FF0000"/>
                <w:sz w:val="20"/>
              </w:rPr>
            </w:pPr>
            <w:r>
              <w:rPr>
                <w:noProof/>
                <w:snapToGrid w:val="0"/>
                <w:sz w:val="20"/>
              </w:rPr>
              <w:t xml:space="preserve">3. </w:t>
            </w:r>
            <w:r>
              <w:rPr>
                <w:noProof/>
                <w:sz w:val="20"/>
              </w:rPr>
              <w:t>SPCI izmaiņas (gads pret gadu)</w:t>
            </w:r>
          </w:p>
        </w:tc>
        <w:tc>
          <w:tcPr>
            <w:tcW w:w="952" w:type="dxa"/>
            <w:tcBorders>
              <w:top w:val="single" w:sz="4" w:space="0" w:color="auto"/>
              <w:left w:val="single" w:sz="4" w:space="0" w:color="auto"/>
              <w:bottom w:val="single" w:sz="4" w:space="0" w:color="auto"/>
              <w:right w:val="single" w:sz="4" w:space="0" w:color="auto"/>
            </w:tcBorders>
          </w:tcPr>
          <w:p w14:paraId="6361BC2A" w14:textId="77777777" w:rsidR="00926426" w:rsidRDefault="00926426" w:rsidP="00926426">
            <w:pPr>
              <w:spacing w:after="0" w:line="256" w:lineRule="auto"/>
              <w:rPr>
                <w:snapToGrid w:val="0"/>
                <w:color w:val="FF0000"/>
                <w:sz w:val="20"/>
              </w:rPr>
            </w:pPr>
          </w:p>
        </w:tc>
        <w:tc>
          <w:tcPr>
            <w:tcW w:w="972" w:type="dxa"/>
            <w:tcBorders>
              <w:top w:val="single" w:sz="4" w:space="0" w:color="auto"/>
              <w:left w:val="single" w:sz="4" w:space="0" w:color="auto"/>
              <w:bottom w:val="single" w:sz="4" w:space="0" w:color="auto"/>
              <w:right w:val="single" w:sz="4" w:space="0" w:color="auto"/>
            </w:tcBorders>
          </w:tcPr>
          <w:p w14:paraId="377C790A" w14:textId="77777777" w:rsidR="00926426" w:rsidRDefault="00926426" w:rsidP="004B74A0">
            <w:pPr>
              <w:spacing w:after="0" w:line="256" w:lineRule="auto"/>
              <w:jc w:val="right"/>
              <w:rPr>
                <w:color w:val="FF0000"/>
                <w:sz w:val="20"/>
              </w:rPr>
            </w:pPr>
          </w:p>
        </w:tc>
        <w:tc>
          <w:tcPr>
            <w:tcW w:w="797" w:type="dxa"/>
            <w:tcBorders>
              <w:top w:val="single" w:sz="4" w:space="0" w:color="auto"/>
              <w:left w:val="single" w:sz="4" w:space="0" w:color="auto"/>
              <w:bottom w:val="single" w:sz="4" w:space="0" w:color="auto"/>
              <w:right w:val="single" w:sz="4" w:space="0" w:color="auto"/>
            </w:tcBorders>
            <w:hideMark/>
          </w:tcPr>
          <w:p w14:paraId="3D3C500C" w14:textId="77777777" w:rsidR="00926426" w:rsidRDefault="00926426" w:rsidP="004B74A0">
            <w:pPr>
              <w:spacing w:after="0" w:line="256" w:lineRule="auto"/>
              <w:ind w:firstLine="0"/>
              <w:jc w:val="right"/>
              <w:rPr>
                <w:sz w:val="20"/>
              </w:rPr>
            </w:pPr>
            <w:r>
              <w:rPr>
                <w:sz w:val="20"/>
              </w:rPr>
              <w:t>0,0</w:t>
            </w:r>
          </w:p>
        </w:tc>
        <w:tc>
          <w:tcPr>
            <w:tcW w:w="797" w:type="dxa"/>
            <w:tcBorders>
              <w:top w:val="single" w:sz="4" w:space="0" w:color="auto"/>
              <w:left w:val="single" w:sz="4" w:space="0" w:color="auto"/>
              <w:bottom w:val="single" w:sz="4" w:space="0" w:color="auto"/>
              <w:right w:val="single" w:sz="4" w:space="0" w:color="auto"/>
            </w:tcBorders>
            <w:hideMark/>
          </w:tcPr>
          <w:p w14:paraId="4DD7A6EA" w14:textId="77777777" w:rsidR="00926426" w:rsidRDefault="00926426" w:rsidP="004B74A0">
            <w:pPr>
              <w:spacing w:after="0" w:line="256" w:lineRule="auto"/>
              <w:ind w:firstLine="0"/>
              <w:jc w:val="right"/>
              <w:rPr>
                <w:sz w:val="20"/>
              </w:rPr>
            </w:pPr>
            <w:r>
              <w:rPr>
                <w:sz w:val="20"/>
              </w:rPr>
              <w:t>1,1</w:t>
            </w:r>
          </w:p>
        </w:tc>
        <w:tc>
          <w:tcPr>
            <w:tcW w:w="797" w:type="dxa"/>
            <w:tcBorders>
              <w:top w:val="single" w:sz="4" w:space="0" w:color="auto"/>
              <w:left w:val="single" w:sz="4" w:space="0" w:color="auto"/>
              <w:bottom w:val="single" w:sz="4" w:space="0" w:color="auto"/>
              <w:right w:val="single" w:sz="4" w:space="0" w:color="auto"/>
            </w:tcBorders>
            <w:hideMark/>
          </w:tcPr>
          <w:p w14:paraId="652B2E94" w14:textId="77777777" w:rsidR="00926426" w:rsidRDefault="00926426" w:rsidP="004B74A0">
            <w:pPr>
              <w:spacing w:after="0" w:line="256" w:lineRule="auto"/>
              <w:ind w:firstLine="0"/>
              <w:jc w:val="right"/>
              <w:rPr>
                <w:sz w:val="20"/>
              </w:rPr>
            </w:pPr>
            <w:r>
              <w:rPr>
                <w:sz w:val="20"/>
              </w:rPr>
              <w:t>3,0</w:t>
            </w:r>
          </w:p>
        </w:tc>
        <w:tc>
          <w:tcPr>
            <w:tcW w:w="783" w:type="dxa"/>
            <w:tcBorders>
              <w:top w:val="single" w:sz="4" w:space="0" w:color="auto"/>
              <w:left w:val="single" w:sz="4" w:space="0" w:color="auto"/>
              <w:bottom w:val="single" w:sz="4" w:space="0" w:color="auto"/>
              <w:right w:val="single" w:sz="4" w:space="0" w:color="auto"/>
            </w:tcBorders>
            <w:hideMark/>
          </w:tcPr>
          <w:p w14:paraId="44A6E039" w14:textId="77777777" w:rsidR="00926426" w:rsidRDefault="00926426" w:rsidP="004B74A0">
            <w:pPr>
              <w:spacing w:after="0" w:line="256" w:lineRule="auto"/>
              <w:ind w:firstLine="0"/>
              <w:jc w:val="right"/>
              <w:rPr>
                <w:sz w:val="20"/>
              </w:rPr>
            </w:pPr>
            <w:r>
              <w:rPr>
                <w:sz w:val="20"/>
              </w:rPr>
              <w:t>2,5</w:t>
            </w:r>
          </w:p>
        </w:tc>
        <w:tc>
          <w:tcPr>
            <w:tcW w:w="766" w:type="dxa"/>
            <w:tcBorders>
              <w:top w:val="single" w:sz="4" w:space="0" w:color="auto"/>
              <w:left w:val="single" w:sz="4" w:space="0" w:color="auto"/>
              <w:bottom w:val="single" w:sz="4" w:space="0" w:color="auto"/>
              <w:right w:val="double" w:sz="4" w:space="0" w:color="auto"/>
            </w:tcBorders>
            <w:hideMark/>
          </w:tcPr>
          <w:p w14:paraId="50F4B93B" w14:textId="77777777" w:rsidR="00926426" w:rsidRDefault="00926426" w:rsidP="004B74A0">
            <w:pPr>
              <w:spacing w:after="0" w:line="256" w:lineRule="auto"/>
              <w:ind w:firstLine="0"/>
              <w:jc w:val="right"/>
              <w:rPr>
                <w:sz w:val="20"/>
              </w:rPr>
            </w:pPr>
            <w:r>
              <w:rPr>
                <w:sz w:val="20"/>
              </w:rPr>
              <w:t>2,5</w:t>
            </w:r>
          </w:p>
        </w:tc>
      </w:tr>
      <w:tr w:rsidR="00926426" w14:paraId="7C19A672"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7009C54E" w14:textId="77777777" w:rsidR="00926426" w:rsidRDefault="00926426" w:rsidP="00926426">
            <w:pPr>
              <w:spacing w:after="0" w:line="256" w:lineRule="auto"/>
              <w:ind w:firstLine="0"/>
              <w:rPr>
                <w:noProof/>
                <w:snapToGrid w:val="0"/>
                <w:color w:val="000000"/>
                <w:sz w:val="20"/>
              </w:rPr>
            </w:pPr>
            <w:r>
              <w:rPr>
                <w:noProof/>
                <w:snapToGrid w:val="0"/>
                <w:color w:val="000000"/>
                <w:sz w:val="20"/>
              </w:rPr>
              <w:t>4. Sabiedriskā patēriņa deflators</w:t>
            </w:r>
          </w:p>
        </w:tc>
        <w:tc>
          <w:tcPr>
            <w:tcW w:w="952" w:type="dxa"/>
            <w:tcBorders>
              <w:top w:val="single" w:sz="4" w:space="0" w:color="auto"/>
              <w:left w:val="single" w:sz="4" w:space="0" w:color="auto"/>
              <w:bottom w:val="single" w:sz="4" w:space="0" w:color="auto"/>
              <w:right w:val="single" w:sz="4" w:space="0" w:color="auto"/>
            </w:tcBorders>
          </w:tcPr>
          <w:p w14:paraId="41E323B8" w14:textId="77777777" w:rsidR="00926426" w:rsidRDefault="00926426" w:rsidP="00926426">
            <w:pPr>
              <w:spacing w:after="0" w:line="256" w:lineRule="auto"/>
              <w:rPr>
                <w:snapToGrid w:val="0"/>
                <w:color w:val="000000"/>
                <w:sz w:val="20"/>
              </w:rPr>
            </w:pPr>
          </w:p>
        </w:tc>
        <w:tc>
          <w:tcPr>
            <w:tcW w:w="972" w:type="dxa"/>
            <w:tcBorders>
              <w:top w:val="single" w:sz="4" w:space="0" w:color="auto"/>
              <w:left w:val="single" w:sz="4" w:space="0" w:color="auto"/>
              <w:bottom w:val="single" w:sz="4" w:space="0" w:color="auto"/>
              <w:right w:val="single" w:sz="4" w:space="0" w:color="auto"/>
            </w:tcBorders>
          </w:tcPr>
          <w:p w14:paraId="41DE105A"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single" w:sz="4" w:space="0" w:color="auto"/>
              <w:right w:val="single" w:sz="4" w:space="0" w:color="auto"/>
            </w:tcBorders>
            <w:hideMark/>
          </w:tcPr>
          <w:p w14:paraId="7F26239C" w14:textId="77777777" w:rsidR="00926426" w:rsidRDefault="00926426" w:rsidP="004B74A0">
            <w:pPr>
              <w:spacing w:after="0" w:line="256" w:lineRule="auto"/>
              <w:ind w:firstLine="0"/>
              <w:jc w:val="right"/>
              <w:rPr>
                <w:color w:val="000000"/>
                <w:sz w:val="20"/>
              </w:rPr>
            </w:pPr>
            <w:r>
              <w:rPr>
                <w:color w:val="000000"/>
                <w:sz w:val="20"/>
              </w:rPr>
              <w:t>1,3</w:t>
            </w:r>
          </w:p>
        </w:tc>
        <w:tc>
          <w:tcPr>
            <w:tcW w:w="797" w:type="dxa"/>
            <w:tcBorders>
              <w:top w:val="single" w:sz="4" w:space="0" w:color="auto"/>
              <w:left w:val="single" w:sz="4" w:space="0" w:color="auto"/>
              <w:bottom w:val="single" w:sz="4" w:space="0" w:color="auto"/>
              <w:right w:val="single" w:sz="4" w:space="0" w:color="auto"/>
            </w:tcBorders>
            <w:hideMark/>
          </w:tcPr>
          <w:p w14:paraId="75310C7B" w14:textId="77777777" w:rsidR="00926426" w:rsidRDefault="00926426" w:rsidP="004B74A0">
            <w:pPr>
              <w:spacing w:after="0" w:line="256" w:lineRule="auto"/>
              <w:ind w:firstLine="0"/>
              <w:jc w:val="right"/>
              <w:rPr>
                <w:color w:val="000000"/>
                <w:sz w:val="20"/>
              </w:rPr>
            </w:pPr>
            <w:r>
              <w:rPr>
                <w:color w:val="000000"/>
                <w:sz w:val="20"/>
              </w:rPr>
              <w:t>2,0</w:t>
            </w:r>
          </w:p>
        </w:tc>
        <w:tc>
          <w:tcPr>
            <w:tcW w:w="797" w:type="dxa"/>
            <w:tcBorders>
              <w:top w:val="single" w:sz="4" w:space="0" w:color="auto"/>
              <w:left w:val="single" w:sz="4" w:space="0" w:color="auto"/>
              <w:bottom w:val="single" w:sz="4" w:space="0" w:color="auto"/>
              <w:right w:val="single" w:sz="4" w:space="0" w:color="auto"/>
            </w:tcBorders>
            <w:hideMark/>
          </w:tcPr>
          <w:p w14:paraId="75B8D1C7" w14:textId="77777777" w:rsidR="00926426" w:rsidRDefault="00926426" w:rsidP="004B74A0">
            <w:pPr>
              <w:spacing w:after="0" w:line="256" w:lineRule="auto"/>
              <w:ind w:firstLine="0"/>
              <w:jc w:val="right"/>
              <w:rPr>
                <w:color w:val="000000"/>
                <w:sz w:val="20"/>
              </w:rPr>
            </w:pPr>
            <w:r>
              <w:rPr>
                <w:color w:val="000000"/>
                <w:sz w:val="20"/>
              </w:rPr>
              <w:t>2,0</w:t>
            </w:r>
          </w:p>
        </w:tc>
        <w:tc>
          <w:tcPr>
            <w:tcW w:w="783" w:type="dxa"/>
            <w:tcBorders>
              <w:top w:val="single" w:sz="4" w:space="0" w:color="auto"/>
              <w:left w:val="single" w:sz="4" w:space="0" w:color="auto"/>
              <w:bottom w:val="single" w:sz="4" w:space="0" w:color="auto"/>
              <w:right w:val="single" w:sz="4" w:space="0" w:color="auto"/>
            </w:tcBorders>
            <w:hideMark/>
          </w:tcPr>
          <w:p w14:paraId="4E54AC50" w14:textId="77777777" w:rsidR="00926426" w:rsidRDefault="00926426" w:rsidP="004B74A0">
            <w:pPr>
              <w:spacing w:after="0" w:line="256" w:lineRule="auto"/>
              <w:ind w:firstLine="0"/>
              <w:jc w:val="right"/>
              <w:rPr>
                <w:color w:val="000000"/>
                <w:sz w:val="20"/>
              </w:rPr>
            </w:pPr>
            <w:r>
              <w:rPr>
                <w:color w:val="000000"/>
                <w:sz w:val="20"/>
              </w:rPr>
              <w:t>2,0</w:t>
            </w:r>
          </w:p>
        </w:tc>
        <w:tc>
          <w:tcPr>
            <w:tcW w:w="766" w:type="dxa"/>
            <w:tcBorders>
              <w:top w:val="single" w:sz="4" w:space="0" w:color="auto"/>
              <w:left w:val="single" w:sz="4" w:space="0" w:color="auto"/>
              <w:bottom w:val="single" w:sz="4" w:space="0" w:color="auto"/>
              <w:right w:val="double" w:sz="4" w:space="0" w:color="auto"/>
            </w:tcBorders>
            <w:hideMark/>
          </w:tcPr>
          <w:p w14:paraId="21635DFE" w14:textId="77777777" w:rsidR="00926426" w:rsidRDefault="00926426" w:rsidP="004B74A0">
            <w:pPr>
              <w:spacing w:after="0" w:line="256" w:lineRule="auto"/>
              <w:ind w:firstLine="0"/>
              <w:jc w:val="right"/>
              <w:rPr>
                <w:color w:val="000000"/>
                <w:sz w:val="20"/>
              </w:rPr>
            </w:pPr>
            <w:r>
              <w:rPr>
                <w:color w:val="000000"/>
                <w:sz w:val="20"/>
              </w:rPr>
              <w:t>2,0</w:t>
            </w:r>
          </w:p>
        </w:tc>
      </w:tr>
      <w:tr w:rsidR="00926426" w14:paraId="0822BBEB"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7F13670F" w14:textId="77777777" w:rsidR="00926426" w:rsidRDefault="00926426" w:rsidP="00926426">
            <w:pPr>
              <w:spacing w:after="0" w:line="256" w:lineRule="auto"/>
              <w:ind w:firstLine="0"/>
              <w:rPr>
                <w:noProof/>
                <w:snapToGrid w:val="0"/>
                <w:color w:val="000000"/>
                <w:sz w:val="20"/>
              </w:rPr>
            </w:pPr>
            <w:r>
              <w:rPr>
                <w:noProof/>
                <w:snapToGrid w:val="0"/>
                <w:color w:val="000000"/>
                <w:sz w:val="20"/>
              </w:rPr>
              <w:t>5. Investīciju deflators</w:t>
            </w:r>
          </w:p>
        </w:tc>
        <w:tc>
          <w:tcPr>
            <w:tcW w:w="952" w:type="dxa"/>
            <w:tcBorders>
              <w:top w:val="single" w:sz="4" w:space="0" w:color="auto"/>
              <w:left w:val="single" w:sz="4" w:space="0" w:color="auto"/>
              <w:bottom w:val="single" w:sz="4" w:space="0" w:color="auto"/>
              <w:right w:val="single" w:sz="4" w:space="0" w:color="auto"/>
            </w:tcBorders>
          </w:tcPr>
          <w:p w14:paraId="2665B033" w14:textId="77777777" w:rsidR="00926426" w:rsidRDefault="00926426" w:rsidP="00926426">
            <w:pPr>
              <w:spacing w:after="0" w:line="256" w:lineRule="auto"/>
              <w:rPr>
                <w:color w:val="000000"/>
                <w:sz w:val="20"/>
              </w:rPr>
            </w:pPr>
          </w:p>
        </w:tc>
        <w:tc>
          <w:tcPr>
            <w:tcW w:w="972" w:type="dxa"/>
            <w:tcBorders>
              <w:top w:val="single" w:sz="4" w:space="0" w:color="auto"/>
              <w:left w:val="single" w:sz="4" w:space="0" w:color="auto"/>
              <w:bottom w:val="single" w:sz="4" w:space="0" w:color="auto"/>
              <w:right w:val="single" w:sz="4" w:space="0" w:color="auto"/>
            </w:tcBorders>
          </w:tcPr>
          <w:p w14:paraId="262550D9"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single" w:sz="4" w:space="0" w:color="auto"/>
              <w:right w:val="single" w:sz="4" w:space="0" w:color="auto"/>
            </w:tcBorders>
            <w:hideMark/>
          </w:tcPr>
          <w:p w14:paraId="009B50C7" w14:textId="77777777" w:rsidR="00926426" w:rsidRDefault="00926426" w:rsidP="004B74A0">
            <w:pPr>
              <w:spacing w:after="0" w:line="256" w:lineRule="auto"/>
              <w:ind w:firstLine="0"/>
              <w:jc w:val="right"/>
              <w:rPr>
                <w:color w:val="000000"/>
                <w:sz w:val="20"/>
              </w:rPr>
            </w:pPr>
            <w:r>
              <w:rPr>
                <w:color w:val="000000"/>
                <w:sz w:val="20"/>
              </w:rPr>
              <w:t>2,1</w:t>
            </w:r>
          </w:p>
        </w:tc>
        <w:tc>
          <w:tcPr>
            <w:tcW w:w="797" w:type="dxa"/>
            <w:tcBorders>
              <w:top w:val="single" w:sz="4" w:space="0" w:color="auto"/>
              <w:left w:val="single" w:sz="4" w:space="0" w:color="auto"/>
              <w:bottom w:val="single" w:sz="4" w:space="0" w:color="auto"/>
              <w:right w:val="single" w:sz="4" w:space="0" w:color="auto"/>
            </w:tcBorders>
            <w:hideMark/>
          </w:tcPr>
          <w:p w14:paraId="6176A1C1" w14:textId="77777777" w:rsidR="00926426" w:rsidRDefault="00926426" w:rsidP="004B74A0">
            <w:pPr>
              <w:spacing w:after="0" w:line="256" w:lineRule="auto"/>
              <w:ind w:firstLine="0"/>
              <w:jc w:val="right"/>
              <w:rPr>
                <w:color w:val="000000"/>
                <w:sz w:val="20"/>
              </w:rPr>
            </w:pPr>
            <w:r>
              <w:rPr>
                <w:color w:val="000000"/>
                <w:sz w:val="20"/>
              </w:rPr>
              <w:t>2,9</w:t>
            </w:r>
          </w:p>
        </w:tc>
        <w:tc>
          <w:tcPr>
            <w:tcW w:w="797" w:type="dxa"/>
            <w:tcBorders>
              <w:top w:val="single" w:sz="4" w:space="0" w:color="auto"/>
              <w:left w:val="single" w:sz="4" w:space="0" w:color="auto"/>
              <w:bottom w:val="single" w:sz="4" w:space="0" w:color="auto"/>
              <w:right w:val="single" w:sz="4" w:space="0" w:color="auto"/>
            </w:tcBorders>
            <w:hideMark/>
          </w:tcPr>
          <w:p w14:paraId="1F28638D" w14:textId="77777777" w:rsidR="00926426" w:rsidRDefault="00926426" w:rsidP="004B74A0">
            <w:pPr>
              <w:spacing w:after="0" w:line="256" w:lineRule="auto"/>
              <w:ind w:firstLine="0"/>
              <w:jc w:val="right"/>
              <w:rPr>
                <w:color w:val="000000"/>
                <w:sz w:val="20"/>
              </w:rPr>
            </w:pPr>
            <w:r>
              <w:rPr>
                <w:color w:val="000000"/>
                <w:sz w:val="20"/>
              </w:rPr>
              <w:t>2,8</w:t>
            </w:r>
          </w:p>
        </w:tc>
        <w:tc>
          <w:tcPr>
            <w:tcW w:w="783" w:type="dxa"/>
            <w:tcBorders>
              <w:top w:val="single" w:sz="4" w:space="0" w:color="auto"/>
              <w:left w:val="single" w:sz="4" w:space="0" w:color="auto"/>
              <w:bottom w:val="single" w:sz="4" w:space="0" w:color="auto"/>
              <w:right w:val="single" w:sz="4" w:space="0" w:color="auto"/>
            </w:tcBorders>
            <w:hideMark/>
          </w:tcPr>
          <w:p w14:paraId="6B7FCF84" w14:textId="77777777" w:rsidR="00926426" w:rsidRDefault="00926426" w:rsidP="004B74A0">
            <w:pPr>
              <w:spacing w:after="0" w:line="256" w:lineRule="auto"/>
              <w:ind w:firstLine="0"/>
              <w:jc w:val="right"/>
              <w:rPr>
                <w:color w:val="000000"/>
                <w:sz w:val="20"/>
              </w:rPr>
            </w:pPr>
            <w:r>
              <w:rPr>
                <w:color w:val="000000"/>
                <w:sz w:val="20"/>
              </w:rPr>
              <w:t>2,9</w:t>
            </w:r>
          </w:p>
        </w:tc>
        <w:tc>
          <w:tcPr>
            <w:tcW w:w="766" w:type="dxa"/>
            <w:tcBorders>
              <w:top w:val="single" w:sz="4" w:space="0" w:color="auto"/>
              <w:left w:val="single" w:sz="4" w:space="0" w:color="auto"/>
              <w:bottom w:val="single" w:sz="4" w:space="0" w:color="auto"/>
              <w:right w:val="double" w:sz="4" w:space="0" w:color="auto"/>
            </w:tcBorders>
            <w:hideMark/>
          </w:tcPr>
          <w:p w14:paraId="2148FD1B" w14:textId="77777777" w:rsidR="00926426" w:rsidRDefault="00926426" w:rsidP="004B74A0">
            <w:pPr>
              <w:spacing w:after="0" w:line="256" w:lineRule="auto"/>
              <w:ind w:firstLine="0"/>
              <w:jc w:val="right"/>
              <w:rPr>
                <w:color w:val="000000"/>
                <w:sz w:val="20"/>
              </w:rPr>
            </w:pPr>
            <w:r>
              <w:rPr>
                <w:color w:val="000000"/>
                <w:sz w:val="20"/>
              </w:rPr>
              <w:t>2,9</w:t>
            </w:r>
          </w:p>
        </w:tc>
      </w:tr>
      <w:tr w:rsidR="00926426" w14:paraId="20CC1CE1" w14:textId="77777777" w:rsidTr="004B74A0">
        <w:trPr>
          <w:jc w:val="center"/>
        </w:trPr>
        <w:tc>
          <w:tcPr>
            <w:tcW w:w="3551" w:type="dxa"/>
            <w:tcBorders>
              <w:top w:val="single" w:sz="4" w:space="0" w:color="auto"/>
              <w:left w:val="double" w:sz="4" w:space="0" w:color="auto"/>
              <w:bottom w:val="single" w:sz="4" w:space="0" w:color="auto"/>
              <w:right w:val="single" w:sz="4" w:space="0" w:color="auto"/>
            </w:tcBorders>
            <w:hideMark/>
          </w:tcPr>
          <w:p w14:paraId="378FE84F" w14:textId="77777777" w:rsidR="00926426" w:rsidRDefault="00926426" w:rsidP="00926426">
            <w:pPr>
              <w:spacing w:after="0" w:line="256" w:lineRule="auto"/>
              <w:ind w:firstLine="0"/>
              <w:rPr>
                <w:noProof/>
                <w:snapToGrid w:val="0"/>
                <w:color w:val="000000"/>
                <w:sz w:val="20"/>
              </w:rPr>
            </w:pPr>
            <w:r>
              <w:rPr>
                <w:noProof/>
                <w:snapToGrid w:val="0"/>
                <w:color w:val="000000"/>
                <w:sz w:val="20"/>
              </w:rPr>
              <w:t>6. Eksporta (preču un pakalpojumu) deflators</w:t>
            </w:r>
          </w:p>
        </w:tc>
        <w:tc>
          <w:tcPr>
            <w:tcW w:w="952" w:type="dxa"/>
            <w:tcBorders>
              <w:top w:val="single" w:sz="4" w:space="0" w:color="auto"/>
              <w:left w:val="single" w:sz="4" w:space="0" w:color="auto"/>
              <w:bottom w:val="single" w:sz="4" w:space="0" w:color="auto"/>
              <w:right w:val="single" w:sz="4" w:space="0" w:color="auto"/>
            </w:tcBorders>
          </w:tcPr>
          <w:p w14:paraId="26CFF28C" w14:textId="77777777" w:rsidR="00926426" w:rsidRDefault="00926426" w:rsidP="00926426">
            <w:pPr>
              <w:spacing w:after="0" w:line="256" w:lineRule="auto"/>
              <w:rPr>
                <w:color w:val="000000"/>
                <w:sz w:val="20"/>
              </w:rPr>
            </w:pPr>
          </w:p>
        </w:tc>
        <w:tc>
          <w:tcPr>
            <w:tcW w:w="972" w:type="dxa"/>
            <w:tcBorders>
              <w:top w:val="single" w:sz="4" w:space="0" w:color="auto"/>
              <w:left w:val="single" w:sz="4" w:space="0" w:color="auto"/>
              <w:bottom w:val="single" w:sz="4" w:space="0" w:color="auto"/>
              <w:right w:val="single" w:sz="4" w:space="0" w:color="auto"/>
            </w:tcBorders>
          </w:tcPr>
          <w:p w14:paraId="1298A227"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single" w:sz="4" w:space="0" w:color="auto"/>
              <w:right w:val="single" w:sz="4" w:space="0" w:color="auto"/>
            </w:tcBorders>
            <w:hideMark/>
          </w:tcPr>
          <w:p w14:paraId="04917BFA" w14:textId="77777777" w:rsidR="00926426" w:rsidRDefault="00926426" w:rsidP="004B74A0">
            <w:pPr>
              <w:spacing w:after="0" w:line="256" w:lineRule="auto"/>
              <w:ind w:firstLine="0"/>
              <w:jc w:val="right"/>
              <w:rPr>
                <w:color w:val="000000"/>
                <w:sz w:val="20"/>
              </w:rPr>
            </w:pPr>
            <w:r>
              <w:rPr>
                <w:color w:val="000000"/>
                <w:sz w:val="20"/>
              </w:rPr>
              <w:t>1,3</w:t>
            </w:r>
          </w:p>
        </w:tc>
        <w:tc>
          <w:tcPr>
            <w:tcW w:w="797" w:type="dxa"/>
            <w:tcBorders>
              <w:top w:val="single" w:sz="4" w:space="0" w:color="auto"/>
              <w:left w:val="single" w:sz="4" w:space="0" w:color="auto"/>
              <w:bottom w:val="single" w:sz="4" w:space="0" w:color="auto"/>
              <w:right w:val="single" w:sz="4" w:space="0" w:color="auto"/>
            </w:tcBorders>
            <w:hideMark/>
          </w:tcPr>
          <w:p w14:paraId="5C4DD613" w14:textId="77777777" w:rsidR="00926426" w:rsidRDefault="00926426" w:rsidP="004B74A0">
            <w:pPr>
              <w:spacing w:after="0" w:line="256" w:lineRule="auto"/>
              <w:ind w:firstLine="0"/>
              <w:jc w:val="right"/>
              <w:rPr>
                <w:color w:val="000000"/>
                <w:sz w:val="20"/>
              </w:rPr>
            </w:pPr>
            <w:r>
              <w:rPr>
                <w:color w:val="000000"/>
                <w:sz w:val="20"/>
              </w:rPr>
              <w:t>2,0</w:t>
            </w:r>
          </w:p>
        </w:tc>
        <w:tc>
          <w:tcPr>
            <w:tcW w:w="797" w:type="dxa"/>
            <w:tcBorders>
              <w:top w:val="single" w:sz="4" w:space="0" w:color="auto"/>
              <w:left w:val="single" w:sz="4" w:space="0" w:color="auto"/>
              <w:bottom w:val="single" w:sz="4" w:space="0" w:color="auto"/>
              <w:right w:val="single" w:sz="4" w:space="0" w:color="auto"/>
            </w:tcBorders>
            <w:hideMark/>
          </w:tcPr>
          <w:p w14:paraId="311A6FD8" w14:textId="77777777" w:rsidR="00926426" w:rsidRDefault="00926426" w:rsidP="004B74A0">
            <w:pPr>
              <w:spacing w:after="0" w:line="256" w:lineRule="auto"/>
              <w:ind w:firstLine="0"/>
              <w:jc w:val="right"/>
              <w:rPr>
                <w:color w:val="000000"/>
                <w:sz w:val="20"/>
              </w:rPr>
            </w:pPr>
            <w:r>
              <w:rPr>
                <w:color w:val="000000"/>
                <w:sz w:val="20"/>
              </w:rPr>
              <w:t>2,0</w:t>
            </w:r>
          </w:p>
        </w:tc>
        <w:tc>
          <w:tcPr>
            <w:tcW w:w="783" w:type="dxa"/>
            <w:tcBorders>
              <w:top w:val="single" w:sz="4" w:space="0" w:color="auto"/>
              <w:left w:val="single" w:sz="4" w:space="0" w:color="auto"/>
              <w:bottom w:val="single" w:sz="4" w:space="0" w:color="auto"/>
              <w:right w:val="single" w:sz="4" w:space="0" w:color="auto"/>
            </w:tcBorders>
            <w:hideMark/>
          </w:tcPr>
          <w:p w14:paraId="5E417C3F" w14:textId="77777777" w:rsidR="00926426" w:rsidRDefault="00926426" w:rsidP="004B74A0">
            <w:pPr>
              <w:spacing w:after="0" w:line="256" w:lineRule="auto"/>
              <w:ind w:firstLine="0"/>
              <w:jc w:val="right"/>
              <w:rPr>
                <w:color w:val="000000"/>
                <w:sz w:val="20"/>
              </w:rPr>
            </w:pPr>
            <w:r>
              <w:rPr>
                <w:color w:val="000000"/>
                <w:sz w:val="20"/>
              </w:rPr>
              <w:t>2,0</w:t>
            </w:r>
          </w:p>
        </w:tc>
        <w:tc>
          <w:tcPr>
            <w:tcW w:w="766" w:type="dxa"/>
            <w:tcBorders>
              <w:top w:val="single" w:sz="4" w:space="0" w:color="auto"/>
              <w:left w:val="single" w:sz="4" w:space="0" w:color="auto"/>
              <w:bottom w:val="single" w:sz="4" w:space="0" w:color="auto"/>
              <w:right w:val="double" w:sz="4" w:space="0" w:color="auto"/>
            </w:tcBorders>
            <w:hideMark/>
          </w:tcPr>
          <w:p w14:paraId="1148615E" w14:textId="77777777" w:rsidR="00926426" w:rsidRDefault="00926426" w:rsidP="004B74A0">
            <w:pPr>
              <w:spacing w:after="0" w:line="256" w:lineRule="auto"/>
              <w:ind w:firstLine="0"/>
              <w:jc w:val="right"/>
              <w:rPr>
                <w:color w:val="000000"/>
                <w:sz w:val="20"/>
              </w:rPr>
            </w:pPr>
            <w:r>
              <w:rPr>
                <w:color w:val="000000"/>
                <w:sz w:val="20"/>
              </w:rPr>
              <w:t>2,0</w:t>
            </w:r>
          </w:p>
        </w:tc>
      </w:tr>
      <w:tr w:rsidR="00926426" w14:paraId="508CC9FF" w14:textId="77777777" w:rsidTr="004B74A0">
        <w:trPr>
          <w:jc w:val="center"/>
        </w:trPr>
        <w:tc>
          <w:tcPr>
            <w:tcW w:w="3551" w:type="dxa"/>
            <w:tcBorders>
              <w:top w:val="single" w:sz="4" w:space="0" w:color="auto"/>
              <w:left w:val="double" w:sz="4" w:space="0" w:color="auto"/>
              <w:bottom w:val="double" w:sz="4" w:space="0" w:color="auto"/>
              <w:right w:val="single" w:sz="4" w:space="0" w:color="auto"/>
            </w:tcBorders>
            <w:hideMark/>
          </w:tcPr>
          <w:p w14:paraId="517CB363" w14:textId="77777777" w:rsidR="00926426" w:rsidRDefault="00926426" w:rsidP="00926426">
            <w:pPr>
              <w:spacing w:after="0" w:line="256" w:lineRule="auto"/>
              <w:ind w:firstLine="0"/>
              <w:rPr>
                <w:noProof/>
                <w:snapToGrid w:val="0"/>
                <w:color w:val="000000"/>
                <w:sz w:val="20"/>
              </w:rPr>
            </w:pPr>
            <w:r>
              <w:rPr>
                <w:noProof/>
                <w:snapToGrid w:val="0"/>
                <w:color w:val="000000"/>
                <w:sz w:val="20"/>
              </w:rPr>
              <w:t>7. Importa (preču un pakalpojumu) deflators</w:t>
            </w:r>
          </w:p>
        </w:tc>
        <w:tc>
          <w:tcPr>
            <w:tcW w:w="952" w:type="dxa"/>
            <w:tcBorders>
              <w:top w:val="single" w:sz="4" w:space="0" w:color="auto"/>
              <w:left w:val="single" w:sz="4" w:space="0" w:color="auto"/>
              <w:bottom w:val="double" w:sz="4" w:space="0" w:color="auto"/>
              <w:right w:val="single" w:sz="4" w:space="0" w:color="auto"/>
            </w:tcBorders>
          </w:tcPr>
          <w:p w14:paraId="37FABA07" w14:textId="77777777" w:rsidR="00926426" w:rsidRDefault="00926426" w:rsidP="00926426">
            <w:pPr>
              <w:spacing w:after="0" w:line="256" w:lineRule="auto"/>
              <w:rPr>
                <w:color w:val="000000"/>
                <w:sz w:val="20"/>
              </w:rPr>
            </w:pPr>
          </w:p>
        </w:tc>
        <w:tc>
          <w:tcPr>
            <w:tcW w:w="972" w:type="dxa"/>
            <w:tcBorders>
              <w:top w:val="single" w:sz="4" w:space="0" w:color="auto"/>
              <w:left w:val="single" w:sz="4" w:space="0" w:color="auto"/>
              <w:bottom w:val="double" w:sz="4" w:space="0" w:color="auto"/>
              <w:right w:val="single" w:sz="4" w:space="0" w:color="auto"/>
            </w:tcBorders>
          </w:tcPr>
          <w:p w14:paraId="28BF68F3" w14:textId="77777777" w:rsidR="00926426" w:rsidRDefault="00926426" w:rsidP="004B74A0">
            <w:pPr>
              <w:spacing w:after="0" w:line="256" w:lineRule="auto"/>
              <w:jc w:val="right"/>
              <w:rPr>
                <w:color w:val="000000"/>
                <w:sz w:val="20"/>
              </w:rPr>
            </w:pPr>
          </w:p>
        </w:tc>
        <w:tc>
          <w:tcPr>
            <w:tcW w:w="797" w:type="dxa"/>
            <w:tcBorders>
              <w:top w:val="single" w:sz="4" w:space="0" w:color="auto"/>
              <w:left w:val="single" w:sz="4" w:space="0" w:color="auto"/>
              <w:bottom w:val="double" w:sz="4" w:space="0" w:color="auto"/>
              <w:right w:val="single" w:sz="4" w:space="0" w:color="auto"/>
            </w:tcBorders>
            <w:hideMark/>
          </w:tcPr>
          <w:p w14:paraId="5229F3EA" w14:textId="77777777" w:rsidR="00926426" w:rsidRDefault="00926426" w:rsidP="004B74A0">
            <w:pPr>
              <w:spacing w:after="0" w:line="256" w:lineRule="auto"/>
              <w:ind w:firstLine="0"/>
              <w:jc w:val="right"/>
              <w:rPr>
                <w:color w:val="000000"/>
                <w:sz w:val="20"/>
              </w:rPr>
            </w:pPr>
            <w:r>
              <w:rPr>
                <w:color w:val="000000"/>
                <w:sz w:val="20"/>
              </w:rPr>
              <w:t>0,8</w:t>
            </w:r>
          </w:p>
        </w:tc>
        <w:tc>
          <w:tcPr>
            <w:tcW w:w="797" w:type="dxa"/>
            <w:tcBorders>
              <w:top w:val="single" w:sz="4" w:space="0" w:color="auto"/>
              <w:left w:val="single" w:sz="4" w:space="0" w:color="auto"/>
              <w:bottom w:val="double" w:sz="4" w:space="0" w:color="auto"/>
              <w:right w:val="single" w:sz="4" w:space="0" w:color="auto"/>
            </w:tcBorders>
            <w:hideMark/>
          </w:tcPr>
          <w:p w14:paraId="2E7F3658" w14:textId="77777777" w:rsidR="00926426" w:rsidRDefault="00926426" w:rsidP="004B74A0">
            <w:pPr>
              <w:spacing w:after="0" w:line="256" w:lineRule="auto"/>
              <w:ind w:firstLine="0"/>
              <w:jc w:val="right"/>
              <w:rPr>
                <w:color w:val="000000"/>
                <w:sz w:val="20"/>
              </w:rPr>
            </w:pPr>
            <w:r>
              <w:rPr>
                <w:color w:val="000000"/>
                <w:sz w:val="20"/>
              </w:rPr>
              <w:t>2,0</w:t>
            </w:r>
          </w:p>
        </w:tc>
        <w:tc>
          <w:tcPr>
            <w:tcW w:w="797" w:type="dxa"/>
            <w:tcBorders>
              <w:top w:val="single" w:sz="4" w:space="0" w:color="auto"/>
              <w:left w:val="single" w:sz="4" w:space="0" w:color="auto"/>
              <w:bottom w:val="double" w:sz="4" w:space="0" w:color="auto"/>
              <w:right w:val="single" w:sz="4" w:space="0" w:color="auto"/>
            </w:tcBorders>
            <w:hideMark/>
          </w:tcPr>
          <w:p w14:paraId="61549BBE" w14:textId="77777777" w:rsidR="00926426" w:rsidRDefault="00926426" w:rsidP="004B74A0">
            <w:pPr>
              <w:spacing w:after="0" w:line="256" w:lineRule="auto"/>
              <w:ind w:firstLine="0"/>
              <w:jc w:val="right"/>
              <w:rPr>
                <w:color w:val="000000"/>
                <w:sz w:val="20"/>
              </w:rPr>
            </w:pPr>
            <w:r>
              <w:rPr>
                <w:color w:val="000000"/>
                <w:sz w:val="20"/>
              </w:rPr>
              <w:t>2,0</w:t>
            </w:r>
          </w:p>
        </w:tc>
        <w:tc>
          <w:tcPr>
            <w:tcW w:w="783" w:type="dxa"/>
            <w:tcBorders>
              <w:top w:val="single" w:sz="4" w:space="0" w:color="auto"/>
              <w:left w:val="single" w:sz="4" w:space="0" w:color="auto"/>
              <w:bottom w:val="double" w:sz="4" w:space="0" w:color="auto"/>
              <w:right w:val="single" w:sz="4" w:space="0" w:color="auto"/>
            </w:tcBorders>
            <w:hideMark/>
          </w:tcPr>
          <w:p w14:paraId="05E7B6B2" w14:textId="77777777" w:rsidR="00926426" w:rsidRDefault="00926426" w:rsidP="004B74A0">
            <w:pPr>
              <w:spacing w:after="0" w:line="256" w:lineRule="auto"/>
              <w:ind w:firstLine="0"/>
              <w:jc w:val="right"/>
              <w:rPr>
                <w:color w:val="000000"/>
                <w:sz w:val="20"/>
              </w:rPr>
            </w:pPr>
            <w:r>
              <w:rPr>
                <w:color w:val="000000"/>
                <w:sz w:val="20"/>
              </w:rPr>
              <w:t>2,0</w:t>
            </w:r>
          </w:p>
        </w:tc>
        <w:tc>
          <w:tcPr>
            <w:tcW w:w="766" w:type="dxa"/>
            <w:tcBorders>
              <w:top w:val="single" w:sz="4" w:space="0" w:color="auto"/>
              <w:left w:val="single" w:sz="4" w:space="0" w:color="auto"/>
              <w:bottom w:val="double" w:sz="4" w:space="0" w:color="auto"/>
              <w:right w:val="double" w:sz="4" w:space="0" w:color="auto"/>
            </w:tcBorders>
            <w:hideMark/>
          </w:tcPr>
          <w:p w14:paraId="25588902" w14:textId="77777777" w:rsidR="00926426" w:rsidRDefault="00926426" w:rsidP="004B74A0">
            <w:pPr>
              <w:spacing w:after="0" w:line="256" w:lineRule="auto"/>
              <w:ind w:firstLine="0"/>
              <w:jc w:val="right"/>
              <w:rPr>
                <w:color w:val="000000"/>
                <w:sz w:val="20"/>
              </w:rPr>
            </w:pPr>
            <w:r>
              <w:rPr>
                <w:color w:val="000000"/>
                <w:sz w:val="20"/>
              </w:rPr>
              <w:t>2,0</w:t>
            </w:r>
          </w:p>
        </w:tc>
      </w:tr>
    </w:tbl>
    <w:p w14:paraId="76AFAB73" w14:textId="77777777" w:rsidR="009A6681" w:rsidRDefault="009A6681" w:rsidP="00926426">
      <w:pPr>
        <w:rPr>
          <w:b/>
          <w:color w:val="000000"/>
        </w:rPr>
      </w:pPr>
    </w:p>
    <w:p w14:paraId="272B0C2D" w14:textId="77777777" w:rsidR="00926426" w:rsidRPr="001946E0" w:rsidRDefault="00926426" w:rsidP="001D3936">
      <w:pPr>
        <w:ind w:firstLine="0"/>
        <w:rPr>
          <w:b/>
          <w:color w:val="000000"/>
        </w:rPr>
      </w:pPr>
      <w:r>
        <w:rPr>
          <w:b/>
          <w:color w:val="000000"/>
        </w:rPr>
        <w:t>1c. ta</w:t>
      </w:r>
      <w:r w:rsidRPr="001946E0">
        <w:rPr>
          <w:b/>
          <w:color w:val="000000"/>
        </w:rPr>
        <w:t>bula. Darba tirgus attīstība</w:t>
      </w:r>
    </w:p>
    <w:tbl>
      <w:tblPr>
        <w:tblW w:w="94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51"/>
        <w:gridCol w:w="859"/>
        <w:gridCol w:w="1345"/>
        <w:gridCol w:w="639"/>
        <w:gridCol w:w="858"/>
        <w:gridCol w:w="859"/>
        <w:gridCol w:w="714"/>
        <w:gridCol w:w="676"/>
      </w:tblGrid>
      <w:tr w:rsidR="00926426" w:rsidRPr="002D72BF" w14:paraId="4E04F538" w14:textId="77777777" w:rsidTr="00926426">
        <w:trPr>
          <w:tblHeader/>
          <w:jc w:val="center"/>
        </w:trPr>
        <w:tc>
          <w:tcPr>
            <w:tcW w:w="3451" w:type="dxa"/>
          </w:tcPr>
          <w:p w14:paraId="397EDDA2" w14:textId="77777777" w:rsidR="00926426" w:rsidRPr="002D72BF" w:rsidRDefault="00926426" w:rsidP="00926426">
            <w:pPr>
              <w:spacing w:after="0"/>
              <w:rPr>
                <w:color w:val="000000"/>
                <w:sz w:val="20"/>
              </w:rPr>
            </w:pPr>
          </w:p>
        </w:tc>
        <w:tc>
          <w:tcPr>
            <w:tcW w:w="859" w:type="dxa"/>
          </w:tcPr>
          <w:p w14:paraId="53096E09" w14:textId="77777777" w:rsidR="00926426" w:rsidRPr="002D72BF" w:rsidRDefault="00926426" w:rsidP="00926426">
            <w:pPr>
              <w:spacing w:after="0"/>
              <w:ind w:firstLine="0"/>
              <w:rPr>
                <w:color w:val="000000"/>
                <w:sz w:val="20"/>
              </w:rPr>
            </w:pPr>
            <w:r w:rsidRPr="002D72BF">
              <w:rPr>
                <w:color w:val="000000"/>
                <w:sz w:val="20"/>
              </w:rPr>
              <w:t>EKS</w:t>
            </w:r>
          </w:p>
          <w:p w14:paraId="2BCF3579" w14:textId="77777777" w:rsidR="00926426" w:rsidRPr="002D72BF" w:rsidRDefault="00926426" w:rsidP="00A56F8E">
            <w:pPr>
              <w:spacing w:after="0"/>
              <w:ind w:firstLine="0"/>
              <w:rPr>
                <w:color w:val="000000"/>
                <w:sz w:val="20"/>
              </w:rPr>
            </w:pPr>
            <w:r w:rsidRPr="002D72BF">
              <w:rPr>
                <w:color w:val="000000"/>
                <w:sz w:val="20"/>
              </w:rPr>
              <w:t>Kods</w:t>
            </w:r>
          </w:p>
        </w:tc>
        <w:tc>
          <w:tcPr>
            <w:tcW w:w="1345" w:type="dxa"/>
            <w:vAlign w:val="center"/>
          </w:tcPr>
          <w:p w14:paraId="47433381" w14:textId="77777777" w:rsidR="00926426" w:rsidRPr="002D72BF" w:rsidRDefault="00926426" w:rsidP="00926426">
            <w:pPr>
              <w:spacing w:after="0"/>
              <w:jc w:val="center"/>
              <w:rPr>
                <w:b/>
                <w:color w:val="000000"/>
                <w:sz w:val="20"/>
              </w:rPr>
            </w:pPr>
            <w:r>
              <w:rPr>
                <w:b/>
                <w:color w:val="000000"/>
                <w:sz w:val="20"/>
              </w:rPr>
              <w:t>2013</w:t>
            </w:r>
          </w:p>
        </w:tc>
        <w:tc>
          <w:tcPr>
            <w:tcW w:w="639" w:type="dxa"/>
            <w:vAlign w:val="center"/>
          </w:tcPr>
          <w:p w14:paraId="781BBFD1" w14:textId="77777777" w:rsidR="00926426" w:rsidRPr="002D72BF" w:rsidRDefault="00926426" w:rsidP="00926426">
            <w:pPr>
              <w:spacing w:after="0"/>
              <w:ind w:firstLine="0"/>
              <w:rPr>
                <w:b/>
                <w:color w:val="000000"/>
                <w:sz w:val="20"/>
              </w:rPr>
            </w:pPr>
            <w:r w:rsidRPr="002D72BF">
              <w:rPr>
                <w:b/>
                <w:color w:val="000000"/>
                <w:sz w:val="20"/>
              </w:rPr>
              <w:t>2013</w:t>
            </w:r>
          </w:p>
        </w:tc>
        <w:tc>
          <w:tcPr>
            <w:tcW w:w="858" w:type="dxa"/>
            <w:vAlign w:val="center"/>
          </w:tcPr>
          <w:p w14:paraId="5B9A9A9A" w14:textId="77777777" w:rsidR="00926426" w:rsidRPr="002D72BF" w:rsidRDefault="00926426" w:rsidP="00926426">
            <w:pPr>
              <w:spacing w:after="0"/>
              <w:ind w:firstLine="0"/>
              <w:rPr>
                <w:b/>
                <w:color w:val="000000"/>
                <w:sz w:val="20"/>
              </w:rPr>
            </w:pPr>
            <w:r w:rsidRPr="002D72BF">
              <w:rPr>
                <w:b/>
                <w:color w:val="000000"/>
                <w:sz w:val="20"/>
              </w:rPr>
              <w:t>2014</w:t>
            </w:r>
          </w:p>
        </w:tc>
        <w:tc>
          <w:tcPr>
            <w:tcW w:w="859" w:type="dxa"/>
            <w:vAlign w:val="center"/>
          </w:tcPr>
          <w:p w14:paraId="5529F284" w14:textId="77777777" w:rsidR="00926426" w:rsidRPr="002D72BF" w:rsidRDefault="00926426" w:rsidP="00926426">
            <w:pPr>
              <w:spacing w:after="0"/>
              <w:ind w:firstLine="0"/>
              <w:rPr>
                <w:b/>
                <w:color w:val="000000"/>
                <w:sz w:val="20"/>
              </w:rPr>
            </w:pPr>
            <w:r w:rsidRPr="002D72BF">
              <w:rPr>
                <w:b/>
                <w:color w:val="000000"/>
                <w:sz w:val="20"/>
              </w:rPr>
              <w:t>2015</w:t>
            </w:r>
          </w:p>
        </w:tc>
        <w:tc>
          <w:tcPr>
            <w:tcW w:w="714" w:type="dxa"/>
            <w:vAlign w:val="center"/>
          </w:tcPr>
          <w:p w14:paraId="4549935C" w14:textId="77777777" w:rsidR="00926426" w:rsidRPr="002D72BF" w:rsidRDefault="00926426" w:rsidP="00926426">
            <w:pPr>
              <w:spacing w:after="0"/>
              <w:ind w:firstLine="0"/>
              <w:rPr>
                <w:b/>
                <w:color w:val="000000"/>
                <w:sz w:val="20"/>
              </w:rPr>
            </w:pPr>
            <w:r w:rsidRPr="002D72BF">
              <w:rPr>
                <w:b/>
                <w:color w:val="000000"/>
                <w:sz w:val="20"/>
              </w:rPr>
              <w:t>2016</w:t>
            </w:r>
          </w:p>
        </w:tc>
        <w:tc>
          <w:tcPr>
            <w:tcW w:w="676" w:type="dxa"/>
            <w:vAlign w:val="center"/>
          </w:tcPr>
          <w:p w14:paraId="32A70F5B" w14:textId="77777777" w:rsidR="00926426" w:rsidRPr="002D72BF" w:rsidRDefault="00926426" w:rsidP="00926426">
            <w:pPr>
              <w:spacing w:after="0"/>
              <w:ind w:firstLine="0"/>
              <w:rPr>
                <w:b/>
                <w:color w:val="000000"/>
                <w:sz w:val="20"/>
              </w:rPr>
            </w:pPr>
            <w:r>
              <w:rPr>
                <w:b/>
                <w:color w:val="000000"/>
                <w:sz w:val="20"/>
              </w:rPr>
              <w:t>2017</w:t>
            </w:r>
          </w:p>
        </w:tc>
      </w:tr>
      <w:tr w:rsidR="00926426" w:rsidRPr="002D72BF" w14:paraId="40CB834B" w14:textId="77777777" w:rsidTr="00926426">
        <w:trPr>
          <w:trHeight w:val="77"/>
          <w:jc w:val="center"/>
        </w:trPr>
        <w:tc>
          <w:tcPr>
            <w:tcW w:w="3451" w:type="dxa"/>
          </w:tcPr>
          <w:p w14:paraId="2F40330C" w14:textId="77777777" w:rsidR="00926426" w:rsidRPr="002D72BF" w:rsidRDefault="00926426" w:rsidP="00926426">
            <w:pPr>
              <w:spacing w:after="0"/>
              <w:rPr>
                <w:snapToGrid w:val="0"/>
                <w:color w:val="000000"/>
                <w:sz w:val="20"/>
              </w:rPr>
            </w:pPr>
          </w:p>
        </w:tc>
        <w:tc>
          <w:tcPr>
            <w:tcW w:w="859" w:type="dxa"/>
          </w:tcPr>
          <w:p w14:paraId="4CF314B2" w14:textId="77777777" w:rsidR="00926426" w:rsidRPr="002D72BF" w:rsidRDefault="00926426" w:rsidP="00926426">
            <w:pPr>
              <w:keepNext/>
              <w:keepLines/>
              <w:spacing w:after="0"/>
              <w:ind w:firstLine="0"/>
              <w:outlineLvl w:val="0"/>
              <w:rPr>
                <w:color w:val="000000"/>
                <w:sz w:val="20"/>
              </w:rPr>
            </w:pPr>
          </w:p>
        </w:tc>
        <w:tc>
          <w:tcPr>
            <w:tcW w:w="1345" w:type="dxa"/>
          </w:tcPr>
          <w:p w14:paraId="246DD97E" w14:textId="77777777" w:rsidR="00926426" w:rsidRPr="002D72BF" w:rsidRDefault="00926426" w:rsidP="00926426">
            <w:pPr>
              <w:tabs>
                <w:tab w:val="decimal" w:pos="296"/>
              </w:tabs>
              <w:spacing w:after="0"/>
              <w:ind w:firstLine="0"/>
              <w:rPr>
                <w:color w:val="000000"/>
                <w:sz w:val="20"/>
              </w:rPr>
            </w:pPr>
            <w:r w:rsidRPr="002D72BF">
              <w:rPr>
                <w:color w:val="000000"/>
                <w:sz w:val="20"/>
              </w:rPr>
              <w:t>Līmenis</w:t>
            </w:r>
          </w:p>
        </w:tc>
        <w:tc>
          <w:tcPr>
            <w:tcW w:w="3746" w:type="dxa"/>
            <w:gridSpan w:val="5"/>
          </w:tcPr>
          <w:p w14:paraId="253D6EAC" w14:textId="77777777" w:rsidR="00926426" w:rsidRPr="002D72BF" w:rsidRDefault="00926426" w:rsidP="00926426">
            <w:pPr>
              <w:tabs>
                <w:tab w:val="decimal" w:pos="296"/>
              </w:tabs>
              <w:spacing w:after="0"/>
              <w:jc w:val="center"/>
              <w:rPr>
                <w:color w:val="000000"/>
                <w:sz w:val="20"/>
              </w:rPr>
            </w:pPr>
            <w:r w:rsidRPr="002D72BF">
              <w:rPr>
                <w:color w:val="000000"/>
                <w:sz w:val="20"/>
              </w:rPr>
              <w:t>Pieaugums %</w:t>
            </w:r>
          </w:p>
        </w:tc>
      </w:tr>
      <w:tr w:rsidR="00926426" w:rsidRPr="002D72BF" w14:paraId="4D842286" w14:textId="77777777" w:rsidTr="004B74A0">
        <w:trPr>
          <w:jc w:val="center"/>
        </w:trPr>
        <w:tc>
          <w:tcPr>
            <w:tcW w:w="3451" w:type="dxa"/>
            <w:vAlign w:val="center"/>
          </w:tcPr>
          <w:p w14:paraId="5A78A0AC" w14:textId="77777777" w:rsidR="00926426" w:rsidRPr="002D72BF" w:rsidRDefault="00926426" w:rsidP="00926426">
            <w:pPr>
              <w:spacing w:after="0"/>
              <w:ind w:firstLine="0"/>
              <w:rPr>
                <w:snapToGrid w:val="0"/>
                <w:color w:val="000000"/>
                <w:sz w:val="20"/>
              </w:rPr>
            </w:pPr>
            <w:r w:rsidRPr="002D72BF">
              <w:rPr>
                <w:snapToGrid w:val="0"/>
                <w:color w:val="000000"/>
                <w:sz w:val="20"/>
              </w:rPr>
              <w:t>1. Nodarbinātība, cilvēki, tūkst</w:t>
            </w:r>
          </w:p>
        </w:tc>
        <w:tc>
          <w:tcPr>
            <w:tcW w:w="859" w:type="dxa"/>
          </w:tcPr>
          <w:p w14:paraId="60B8CAD0" w14:textId="77777777" w:rsidR="00926426" w:rsidRPr="002D72BF" w:rsidRDefault="00926426" w:rsidP="00926426">
            <w:pPr>
              <w:spacing w:after="0"/>
              <w:jc w:val="left"/>
              <w:rPr>
                <w:snapToGrid w:val="0"/>
                <w:color w:val="000000"/>
                <w:sz w:val="20"/>
              </w:rPr>
            </w:pPr>
          </w:p>
        </w:tc>
        <w:tc>
          <w:tcPr>
            <w:tcW w:w="1345" w:type="dxa"/>
          </w:tcPr>
          <w:p w14:paraId="2C496FB8" w14:textId="77777777" w:rsidR="00926426" w:rsidRPr="002D72BF" w:rsidRDefault="00926426" w:rsidP="004B74A0">
            <w:pPr>
              <w:tabs>
                <w:tab w:val="decimal" w:pos="511"/>
              </w:tabs>
              <w:spacing w:after="0"/>
              <w:jc w:val="right"/>
              <w:rPr>
                <w:snapToGrid w:val="0"/>
                <w:sz w:val="20"/>
              </w:rPr>
            </w:pPr>
            <w:r>
              <w:rPr>
                <w:snapToGrid w:val="0"/>
                <w:sz w:val="20"/>
              </w:rPr>
              <w:t>893,</w:t>
            </w:r>
            <w:r w:rsidRPr="00F95134">
              <w:rPr>
                <w:snapToGrid w:val="0"/>
                <w:sz w:val="20"/>
              </w:rPr>
              <w:t>9</w:t>
            </w:r>
          </w:p>
        </w:tc>
        <w:tc>
          <w:tcPr>
            <w:tcW w:w="639" w:type="dxa"/>
          </w:tcPr>
          <w:p w14:paraId="184FBDBD" w14:textId="77777777" w:rsidR="00926426" w:rsidRPr="002D72BF" w:rsidRDefault="00926426" w:rsidP="004B74A0">
            <w:pPr>
              <w:spacing w:after="0"/>
              <w:ind w:firstLine="0"/>
              <w:jc w:val="right"/>
              <w:rPr>
                <w:snapToGrid w:val="0"/>
                <w:sz w:val="20"/>
              </w:rPr>
            </w:pPr>
            <w:r>
              <w:rPr>
                <w:snapToGrid w:val="0"/>
                <w:sz w:val="20"/>
              </w:rPr>
              <w:t>2,1</w:t>
            </w:r>
          </w:p>
        </w:tc>
        <w:tc>
          <w:tcPr>
            <w:tcW w:w="858" w:type="dxa"/>
          </w:tcPr>
          <w:p w14:paraId="462EB19C" w14:textId="77777777" w:rsidR="00926426" w:rsidRPr="002D72BF" w:rsidRDefault="00926426" w:rsidP="004B74A0">
            <w:pPr>
              <w:spacing w:after="0"/>
              <w:ind w:firstLine="0"/>
              <w:jc w:val="right"/>
              <w:rPr>
                <w:snapToGrid w:val="0"/>
                <w:sz w:val="20"/>
              </w:rPr>
            </w:pPr>
            <w:r>
              <w:rPr>
                <w:snapToGrid w:val="0"/>
                <w:sz w:val="20"/>
              </w:rPr>
              <w:t>1,2</w:t>
            </w:r>
          </w:p>
        </w:tc>
        <w:tc>
          <w:tcPr>
            <w:tcW w:w="859" w:type="dxa"/>
          </w:tcPr>
          <w:p w14:paraId="08607F1F" w14:textId="77777777" w:rsidR="00926426" w:rsidRPr="002D72BF" w:rsidRDefault="00926426" w:rsidP="004B74A0">
            <w:pPr>
              <w:spacing w:after="0"/>
              <w:ind w:firstLine="0"/>
              <w:jc w:val="right"/>
              <w:rPr>
                <w:snapToGrid w:val="0"/>
                <w:sz w:val="20"/>
              </w:rPr>
            </w:pPr>
            <w:r>
              <w:rPr>
                <w:snapToGrid w:val="0"/>
                <w:sz w:val="20"/>
              </w:rPr>
              <w:t>0,8</w:t>
            </w:r>
          </w:p>
        </w:tc>
        <w:tc>
          <w:tcPr>
            <w:tcW w:w="714" w:type="dxa"/>
          </w:tcPr>
          <w:p w14:paraId="78F98CBE" w14:textId="77777777" w:rsidR="00926426" w:rsidRPr="002D72BF" w:rsidRDefault="00926426" w:rsidP="004B74A0">
            <w:pPr>
              <w:spacing w:after="0"/>
              <w:ind w:firstLine="0"/>
              <w:jc w:val="right"/>
              <w:rPr>
                <w:snapToGrid w:val="0"/>
                <w:sz w:val="20"/>
              </w:rPr>
            </w:pPr>
            <w:r>
              <w:rPr>
                <w:snapToGrid w:val="0"/>
                <w:sz w:val="20"/>
              </w:rPr>
              <w:t>0,5</w:t>
            </w:r>
          </w:p>
        </w:tc>
        <w:tc>
          <w:tcPr>
            <w:tcW w:w="676" w:type="dxa"/>
          </w:tcPr>
          <w:p w14:paraId="189955FA" w14:textId="77777777" w:rsidR="00926426" w:rsidRPr="002D72BF" w:rsidRDefault="00926426" w:rsidP="004B74A0">
            <w:pPr>
              <w:spacing w:after="0"/>
              <w:ind w:firstLine="0"/>
              <w:jc w:val="right"/>
              <w:rPr>
                <w:snapToGrid w:val="0"/>
                <w:sz w:val="20"/>
              </w:rPr>
            </w:pPr>
            <w:r>
              <w:rPr>
                <w:snapToGrid w:val="0"/>
                <w:sz w:val="20"/>
              </w:rPr>
              <w:t>0</w:t>
            </w:r>
            <w:r w:rsidRPr="002D72BF">
              <w:rPr>
                <w:snapToGrid w:val="0"/>
                <w:sz w:val="20"/>
              </w:rPr>
              <w:t>,3</w:t>
            </w:r>
          </w:p>
        </w:tc>
      </w:tr>
      <w:tr w:rsidR="00926426" w:rsidRPr="002D72BF" w14:paraId="3BBA9FAA" w14:textId="77777777" w:rsidTr="004B74A0">
        <w:trPr>
          <w:jc w:val="center"/>
        </w:trPr>
        <w:tc>
          <w:tcPr>
            <w:tcW w:w="3451" w:type="dxa"/>
            <w:vAlign w:val="center"/>
          </w:tcPr>
          <w:p w14:paraId="612D4C30" w14:textId="77777777" w:rsidR="00926426" w:rsidRPr="002D72BF" w:rsidRDefault="00926426" w:rsidP="00926426">
            <w:pPr>
              <w:spacing w:after="0"/>
              <w:ind w:firstLine="0"/>
              <w:rPr>
                <w:snapToGrid w:val="0"/>
                <w:color w:val="000000"/>
                <w:sz w:val="20"/>
              </w:rPr>
            </w:pPr>
            <w:r w:rsidRPr="00D417A6">
              <w:rPr>
                <w:snapToGrid w:val="0"/>
                <w:color w:val="000000"/>
                <w:sz w:val="20"/>
              </w:rPr>
              <w:t>2. Nodarbinātība, darba stundas</w:t>
            </w:r>
          </w:p>
        </w:tc>
        <w:tc>
          <w:tcPr>
            <w:tcW w:w="859" w:type="dxa"/>
          </w:tcPr>
          <w:p w14:paraId="21D0C1A7" w14:textId="77777777" w:rsidR="00926426" w:rsidRPr="002D72BF" w:rsidRDefault="00926426" w:rsidP="00926426">
            <w:pPr>
              <w:spacing w:after="0"/>
              <w:jc w:val="left"/>
              <w:rPr>
                <w:snapToGrid w:val="0"/>
                <w:color w:val="000000"/>
                <w:sz w:val="20"/>
              </w:rPr>
            </w:pPr>
          </w:p>
        </w:tc>
        <w:tc>
          <w:tcPr>
            <w:tcW w:w="1345" w:type="dxa"/>
          </w:tcPr>
          <w:p w14:paraId="60A1F2F1" w14:textId="77777777" w:rsidR="00926426" w:rsidRPr="00D417A6" w:rsidRDefault="00926426" w:rsidP="004B74A0">
            <w:pPr>
              <w:tabs>
                <w:tab w:val="decimal" w:pos="511"/>
              </w:tabs>
              <w:spacing w:after="0"/>
              <w:ind w:firstLine="0"/>
              <w:jc w:val="right"/>
              <w:rPr>
                <w:snapToGrid w:val="0"/>
                <w:sz w:val="20"/>
              </w:rPr>
            </w:pPr>
            <w:r>
              <w:rPr>
                <w:snapToGrid w:val="0"/>
                <w:sz w:val="20"/>
              </w:rPr>
              <w:t>1289793</w:t>
            </w:r>
            <w:r w:rsidRPr="00D417A6">
              <w:rPr>
                <w:snapToGrid w:val="0"/>
                <w:sz w:val="20"/>
              </w:rPr>
              <w:t>194</w:t>
            </w:r>
          </w:p>
        </w:tc>
        <w:tc>
          <w:tcPr>
            <w:tcW w:w="639" w:type="dxa"/>
          </w:tcPr>
          <w:p w14:paraId="3FF1E822" w14:textId="77777777" w:rsidR="00926426" w:rsidRPr="002D72BF" w:rsidRDefault="00926426" w:rsidP="004B74A0">
            <w:pPr>
              <w:spacing w:after="0"/>
              <w:ind w:firstLine="0"/>
              <w:jc w:val="right"/>
              <w:rPr>
                <w:sz w:val="20"/>
              </w:rPr>
            </w:pPr>
            <w:r>
              <w:rPr>
                <w:sz w:val="20"/>
              </w:rPr>
              <w:t>2,4</w:t>
            </w:r>
          </w:p>
        </w:tc>
        <w:tc>
          <w:tcPr>
            <w:tcW w:w="858" w:type="dxa"/>
          </w:tcPr>
          <w:p w14:paraId="3E633F5C" w14:textId="77777777" w:rsidR="00926426" w:rsidRPr="002D72BF" w:rsidRDefault="00926426" w:rsidP="004B74A0">
            <w:pPr>
              <w:spacing w:after="0"/>
              <w:ind w:firstLine="0"/>
              <w:jc w:val="right"/>
              <w:rPr>
                <w:snapToGrid w:val="0"/>
                <w:sz w:val="20"/>
              </w:rPr>
            </w:pPr>
            <w:r>
              <w:rPr>
                <w:snapToGrid w:val="0"/>
                <w:sz w:val="20"/>
              </w:rPr>
              <w:t>1,3</w:t>
            </w:r>
          </w:p>
        </w:tc>
        <w:tc>
          <w:tcPr>
            <w:tcW w:w="859" w:type="dxa"/>
          </w:tcPr>
          <w:p w14:paraId="0082928E" w14:textId="77777777" w:rsidR="00926426" w:rsidRPr="002D72BF" w:rsidRDefault="00926426" w:rsidP="004B74A0">
            <w:pPr>
              <w:spacing w:after="0"/>
              <w:ind w:firstLine="0"/>
              <w:jc w:val="right"/>
              <w:rPr>
                <w:snapToGrid w:val="0"/>
                <w:sz w:val="20"/>
              </w:rPr>
            </w:pPr>
            <w:r>
              <w:rPr>
                <w:snapToGrid w:val="0"/>
                <w:sz w:val="20"/>
              </w:rPr>
              <w:t>0,8</w:t>
            </w:r>
          </w:p>
        </w:tc>
        <w:tc>
          <w:tcPr>
            <w:tcW w:w="714" w:type="dxa"/>
          </w:tcPr>
          <w:p w14:paraId="2C3CF4CE" w14:textId="77777777" w:rsidR="00926426" w:rsidRPr="002D72BF" w:rsidRDefault="00926426" w:rsidP="004B74A0">
            <w:pPr>
              <w:spacing w:after="0"/>
              <w:ind w:firstLine="0"/>
              <w:jc w:val="right"/>
              <w:rPr>
                <w:snapToGrid w:val="0"/>
                <w:sz w:val="20"/>
              </w:rPr>
            </w:pPr>
            <w:r>
              <w:rPr>
                <w:snapToGrid w:val="0"/>
                <w:sz w:val="20"/>
              </w:rPr>
              <w:t>0,5</w:t>
            </w:r>
          </w:p>
        </w:tc>
        <w:tc>
          <w:tcPr>
            <w:tcW w:w="676" w:type="dxa"/>
          </w:tcPr>
          <w:p w14:paraId="3988448D" w14:textId="77777777" w:rsidR="00926426" w:rsidRPr="002D72BF" w:rsidRDefault="00926426" w:rsidP="004B74A0">
            <w:pPr>
              <w:spacing w:after="0"/>
              <w:ind w:firstLine="0"/>
              <w:jc w:val="right"/>
              <w:rPr>
                <w:snapToGrid w:val="0"/>
                <w:sz w:val="20"/>
              </w:rPr>
            </w:pPr>
            <w:r>
              <w:rPr>
                <w:snapToGrid w:val="0"/>
                <w:sz w:val="20"/>
              </w:rPr>
              <w:t>0,3</w:t>
            </w:r>
          </w:p>
        </w:tc>
      </w:tr>
      <w:tr w:rsidR="00926426" w:rsidRPr="002D72BF" w14:paraId="0A4C787D" w14:textId="77777777" w:rsidTr="00327E5B">
        <w:trPr>
          <w:jc w:val="center"/>
        </w:trPr>
        <w:tc>
          <w:tcPr>
            <w:tcW w:w="3451" w:type="dxa"/>
            <w:vAlign w:val="center"/>
          </w:tcPr>
          <w:p w14:paraId="018C1507" w14:textId="77777777" w:rsidR="00926426" w:rsidRPr="002D72BF" w:rsidRDefault="00926426" w:rsidP="00926426">
            <w:pPr>
              <w:spacing w:after="0"/>
              <w:ind w:firstLine="0"/>
              <w:rPr>
                <w:snapToGrid w:val="0"/>
                <w:color w:val="000000"/>
                <w:sz w:val="20"/>
              </w:rPr>
            </w:pPr>
            <w:r w:rsidRPr="002D72BF">
              <w:rPr>
                <w:snapToGrid w:val="0"/>
                <w:color w:val="000000"/>
                <w:sz w:val="20"/>
              </w:rPr>
              <w:t>3. Bezdarba līmenis (%)</w:t>
            </w:r>
          </w:p>
        </w:tc>
        <w:tc>
          <w:tcPr>
            <w:tcW w:w="859" w:type="dxa"/>
          </w:tcPr>
          <w:p w14:paraId="760F5FF7" w14:textId="77777777" w:rsidR="00926426" w:rsidRPr="002D72BF" w:rsidRDefault="00926426" w:rsidP="00926426">
            <w:pPr>
              <w:spacing w:after="0"/>
              <w:jc w:val="left"/>
              <w:rPr>
                <w:snapToGrid w:val="0"/>
                <w:color w:val="000000"/>
                <w:sz w:val="20"/>
              </w:rPr>
            </w:pPr>
          </w:p>
        </w:tc>
        <w:tc>
          <w:tcPr>
            <w:tcW w:w="1345" w:type="dxa"/>
          </w:tcPr>
          <w:p w14:paraId="46E1904D" w14:textId="77777777" w:rsidR="00926426" w:rsidRPr="002D72BF" w:rsidRDefault="00926426" w:rsidP="004B74A0">
            <w:pPr>
              <w:tabs>
                <w:tab w:val="decimal" w:pos="511"/>
              </w:tabs>
              <w:spacing w:after="0"/>
              <w:jc w:val="right"/>
              <w:rPr>
                <w:snapToGrid w:val="0"/>
                <w:color w:val="000000"/>
                <w:sz w:val="20"/>
              </w:rPr>
            </w:pPr>
          </w:p>
        </w:tc>
        <w:tc>
          <w:tcPr>
            <w:tcW w:w="639" w:type="dxa"/>
          </w:tcPr>
          <w:p w14:paraId="5669ABDE" w14:textId="22E2C119" w:rsidR="00926426" w:rsidRPr="002D72BF" w:rsidRDefault="00926426" w:rsidP="00327E5B">
            <w:pPr>
              <w:spacing w:after="0"/>
              <w:ind w:firstLine="0"/>
              <w:jc w:val="right"/>
              <w:rPr>
                <w:snapToGrid w:val="0"/>
                <w:sz w:val="20"/>
              </w:rPr>
            </w:pPr>
            <w:r>
              <w:rPr>
                <w:snapToGrid w:val="0"/>
                <w:sz w:val="20"/>
              </w:rPr>
              <w:t>1</w:t>
            </w:r>
            <w:r w:rsidRPr="002D72BF">
              <w:rPr>
                <w:snapToGrid w:val="0"/>
                <w:sz w:val="20"/>
              </w:rPr>
              <w:t>,9</w:t>
            </w:r>
          </w:p>
        </w:tc>
        <w:tc>
          <w:tcPr>
            <w:tcW w:w="858" w:type="dxa"/>
          </w:tcPr>
          <w:p w14:paraId="2EF351F2" w14:textId="77777777" w:rsidR="00926426" w:rsidRPr="002D72BF" w:rsidRDefault="00926426" w:rsidP="004B74A0">
            <w:pPr>
              <w:spacing w:after="0"/>
              <w:ind w:firstLine="0"/>
              <w:jc w:val="right"/>
              <w:rPr>
                <w:snapToGrid w:val="0"/>
                <w:sz w:val="20"/>
              </w:rPr>
            </w:pPr>
            <w:r>
              <w:rPr>
                <w:snapToGrid w:val="0"/>
                <w:sz w:val="20"/>
              </w:rPr>
              <w:t>10,5</w:t>
            </w:r>
          </w:p>
        </w:tc>
        <w:tc>
          <w:tcPr>
            <w:tcW w:w="859" w:type="dxa"/>
          </w:tcPr>
          <w:p w14:paraId="479B72C7" w14:textId="77777777" w:rsidR="00926426" w:rsidRPr="002D72BF" w:rsidRDefault="00926426" w:rsidP="004B74A0">
            <w:pPr>
              <w:spacing w:after="0"/>
              <w:ind w:firstLine="0"/>
              <w:jc w:val="right"/>
              <w:rPr>
                <w:snapToGrid w:val="0"/>
                <w:sz w:val="20"/>
              </w:rPr>
            </w:pPr>
            <w:r>
              <w:rPr>
                <w:snapToGrid w:val="0"/>
                <w:sz w:val="20"/>
              </w:rPr>
              <w:t>9,7</w:t>
            </w:r>
          </w:p>
        </w:tc>
        <w:tc>
          <w:tcPr>
            <w:tcW w:w="714" w:type="dxa"/>
          </w:tcPr>
          <w:p w14:paraId="318F092C" w14:textId="77777777" w:rsidR="00926426" w:rsidRPr="002D72BF" w:rsidRDefault="00926426" w:rsidP="004B74A0">
            <w:pPr>
              <w:spacing w:after="0"/>
              <w:ind w:firstLine="0"/>
              <w:jc w:val="right"/>
              <w:rPr>
                <w:snapToGrid w:val="0"/>
                <w:sz w:val="20"/>
              </w:rPr>
            </w:pPr>
            <w:r>
              <w:rPr>
                <w:snapToGrid w:val="0"/>
                <w:sz w:val="20"/>
              </w:rPr>
              <w:t>9,0</w:t>
            </w:r>
          </w:p>
        </w:tc>
        <w:tc>
          <w:tcPr>
            <w:tcW w:w="676" w:type="dxa"/>
          </w:tcPr>
          <w:p w14:paraId="575F9E65" w14:textId="77777777" w:rsidR="00926426" w:rsidRPr="002D72BF" w:rsidRDefault="00926426" w:rsidP="004B74A0">
            <w:pPr>
              <w:spacing w:after="0"/>
              <w:ind w:firstLine="0"/>
              <w:jc w:val="right"/>
              <w:rPr>
                <w:snapToGrid w:val="0"/>
                <w:sz w:val="20"/>
              </w:rPr>
            </w:pPr>
            <w:r w:rsidRPr="002D72BF">
              <w:rPr>
                <w:snapToGrid w:val="0"/>
                <w:sz w:val="20"/>
              </w:rPr>
              <w:t>8,7</w:t>
            </w:r>
          </w:p>
        </w:tc>
      </w:tr>
      <w:tr w:rsidR="00926426" w:rsidRPr="002D72BF" w14:paraId="04543862" w14:textId="77777777" w:rsidTr="004B74A0">
        <w:trPr>
          <w:jc w:val="center"/>
        </w:trPr>
        <w:tc>
          <w:tcPr>
            <w:tcW w:w="3451" w:type="dxa"/>
            <w:vAlign w:val="center"/>
          </w:tcPr>
          <w:p w14:paraId="32B70730" w14:textId="77777777" w:rsidR="00926426" w:rsidRPr="002D72BF" w:rsidRDefault="00926426" w:rsidP="00926426">
            <w:pPr>
              <w:spacing w:after="0"/>
              <w:ind w:firstLine="0"/>
              <w:rPr>
                <w:snapToGrid w:val="0"/>
                <w:color w:val="000000"/>
                <w:sz w:val="20"/>
              </w:rPr>
            </w:pPr>
            <w:r w:rsidRPr="002D72BF">
              <w:rPr>
                <w:snapToGrid w:val="0"/>
                <w:color w:val="000000"/>
                <w:sz w:val="20"/>
              </w:rPr>
              <w:t>4. Darba ražīgums, uz nodarbināto</w:t>
            </w:r>
          </w:p>
        </w:tc>
        <w:tc>
          <w:tcPr>
            <w:tcW w:w="859" w:type="dxa"/>
          </w:tcPr>
          <w:p w14:paraId="329B839F" w14:textId="77777777" w:rsidR="00926426" w:rsidRPr="002D72BF" w:rsidRDefault="00926426" w:rsidP="00926426">
            <w:pPr>
              <w:spacing w:after="0"/>
              <w:jc w:val="left"/>
              <w:rPr>
                <w:snapToGrid w:val="0"/>
                <w:color w:val="000000"/>
                <w:sz w:val="20"/>
              </w:rPr>
            </w:pPr>
          </w:p>
        </w:tc>
        <w:tc>
          <w:tcPr>
            <w:tcW w:w="1345" w:type="dxa"/>
          </w:tcPr>
          <w:p w14:paraId="131533AC" w14:textId="77777777" w:rsidR="00926426" w:rsidRPr="002D72BF" w:rsidRDefault="00926426" w:rsidP="004B74A0">
            <w:pPr>
              <w:tabs>
                <w:tab w:val="decimal" w:pos="511"/>
              </w:tabs>
              <w:spacing w:after="0"/>
              <w:jc w:val="right"/>
              <w:rPr>
                <w:snapToGrid w:val="0"/>
                <w:color w:val="000000"/>
                <w:sz w:val="20"/>
              </w:rPr>
            </w:pPr>
          </w:p>
        </w:tc>
        <w:tc>
          <w:tcPr>
            <w:tcW w:w="639" w:type="dxa"/>
          </w:tcPr>
          <w:p w14:paraId="2F6BF6D9" w14:textId="77777777" w:rsidR="00926426" w:rsidRPr="002D72BF" w:rsidRDefault="00926426" w:rsidP="004B74A0">
            <w:pPr>
              <w:spacing w:after="0"/>
              <w:ind w:firstLine="0"/>
              <w:jc w:val="right"/>
              <w:rPr>
                <w:sz w:val="20"/>
              </w:rPr>
            </w:pPr>
            <w:r>
              <w:rPr>
                <w:sz w:val="20"/>
              </w:rPr>
              <w:t>2,0</w:t>
            </w:r>
          </w:p>
        </w:tc>
        <w:tc>
          <w:tcPr>
            <w:tcW w:w="858" w:type="dxa"/>
          </w:tcPr>
          <w:p w14:paraId="5BE9A07F" w14:textId="77777777" w:rsidR="00926426" w:rsidRPr="002D72BF" w:rsidRDefault="00926426" w:rsidP="004B74A0">
            <w:pPr>
              <w:spacing w:after="0"/>
              <w:ind w:firstLine="0"/>
              <w:jc w:val="right"/>
              <w:rPr>
                <w:sz w:val="20"/>
              </w:rPr>
            </w:pPr>
            <w:r>
              <w:rPr>
                <w:sz w:val="20"/>
              </w:rPr>
              <w:t>3,1</w:t>
            </w:r>
          </w:p>
        </w:tc>
        <w:tc>
          <w:tcPr>
            <w:tcW w:w="859" w:type="dxa"/>
          </w:tcPr>
          <w:p w14:paraId="2CBF14C9" w14:textId="77777777" w:rsidR="00926426" w:rsidRPr="002D72BF" w:rsidRDefault="00926426" w:rsidP="004B74A0">
            <w:pPr>
              <w:spacing w:after="0"/>
              <w:ind w:firstLine="0"/>
              <w:jc w:val="right"/>
              <w:rPr>
                <w:sz w:val="20"/>
              </w:rPr>
            </w:pPr>
            <w:r>
              <w:rPr>
                <w:sz w:val="20"/>
              </w:rPr>
              <w:t>3,5</w:t>
            </w:r>
          </w:p>
        </w:tc>
        <w:tc>
          <w:tcPr>
            <w:tcW w:w="714" w:type="dxa"/>
          </w:tcPr>
          <w:p w14:paraId="398D2508" w14:textId="77777777" w:rsidR="00926426" w:rsidRPr="002D72BF" w:rsidRDefault="00926426" w:rsidP="004B74A0">
            <w:pPr>
              <w:spacing w:after="0"/>
              <w:ind w:firstLine="0"/>
              <w:jc w:val="right"/>
              <w:rPr>
                <w:sz w:val="20"/>
              </w:rPr>
            </w:pPr>
            <w:r>
              <w:rPr>
                <w:sz w:val="20"/>
              </w:rPr>
              <w:t>3,4</w:t>
            </w:r>
          </w:p>
        </w:tc>
        <w:tc>
          <w:tcPr>
            <w:tcW w:w="676" w:type="dxa"/>
          </w:tcPr>
          <w:p w14:paraId="76D27EB7" w14:textId="77777777" w:rsidR="00926426" w:rsidRPr="002D72BF" w:rsidRDefault="00926426" w:rsidP="004B74A0">
            <w:pPr>
              <w:spacing w:after="0"/>
              <w:ind w:firstLine="0"/>
              <w:jc w:val="right"/>
              <w:rPr>
                <w:sz w:val="20"/>
              </w:rPr>
            </w:pPr>
            <w:r>
              <w:rPr>
                <w:sz w:val="20"/>
              </w:rPr>
              <w:t>3</w:t>
            </w:r>
            <w:r w:rsidRPr="002D72BF">
              <w:rPr>
                <w:sz w:val="20"/>
              </w:rPr>
              <w:t>,6</w:t>
            </w:r>
          </w:p>
        </w:tc>
      </w:tr>
      <w:tr w:rsidR="00926426" w:rsidRPr="002D72BF" w14:paraId="2EB5960E" w14:textId="77777777" w:rsidTr="004B74A0">
        <w:trPr>
          <w:jc w:val="center"/>
        </w:trPr>
        <w:tc>
          <w:tcPr>
            <w:tcW w:w="3451" w:type="dxa"/>
            <w:vAlign w:val="center"/>
          </w:tcPr>
          <w:p w14:paraId="2E03AB7E" w14:textId="77777777" w:rsidR="00926426" w:rsidRPr="002D72BF" w:rsidRDefault="00926426" w:rsidP="00926426">
            <w:pPr>
              <w:spacing w:after="0"/>
              <w:ind w:firstLine="0"/>
              <w:rPr>
                <w:snapToGrid w:val="0"/>
                <w:color w:val="000000"/>
                <w:sz w:val="20"/>
              </w:rPr>
            </w:pPr>
            <w:r w:rsidRPr="002C47D2">
              <w:rPr>
                <w:snapToGrid w:val="0"/>
                <w:color w:val="000000"/>
                <w:sz w:val="20"/>
              </w:rPr>
              <w:t>5. Darba ražīgums, uz darba stundu</w:t>
            </w:r>
          </w:p>
        </w:tc>
        <w:tc>
          <w:tcPr>
            <w:tcW w:w="859" w:type="dxa"/>
            <w:vAlign w:val="center"/>
          </w:tcPr>
          <w:p w14:paraId="5DD6DAD6" w14:textId="77777777" w:rsidR="00926426" w:rsidRPr="002D72BF" w:rsidRDefault="00926426" w:rsidP="00926426">
            <w:pPr>
              <w:spacing w:after="0"/>
              <w:rPr>
                <w:snapToGrid w:val="0"/>
                <w:color w:val="000000"/>
                <w:sz w:val="20"/>
              </w:rPr>
            </w:pPr>
          </w:p>
        </w:tc>
        <w:tc>
          <w:tcPr>
            <w:tcW w:w="1345" w:type="dxa"/>
          </w:tcPr>
          <w:p w14:paraId="16962A52" w14:textId="77777777" w:rsidR="00926426" w:rsidRPr="002D72BF" w:rsidRDefault="00926426" w:rsidP="004B74A0">
            <w:pPr>
              <w:tabs>
                <w:tab w:val="decimal" w:pos="511"/>
              </w:tabs>
              <w:spacing w:after="0"/>
              <w:jc w:val="right"/>
              <w:rPr>
                <w:snapToGrid w:val="0"/>
                <w:color w:val="000000"/>
                <w:sz w:val="20"/>
              </w:rPr>
            </w:pPr>
          </w:p>
        </w:tc>
        <w:tc>
          <w:tcPr>
            <w:tcW w:w="639" w:type="dxa"/>
          </w:tcPr>
          <w:p w14:paraId="19E258D1" w14:textId="77777777" w:rsidR="00926426" w:rsidRPr="002C47D2" w:rsidRDefault="00926426" w:rsidP="004B74A0">
            <w:pPr>
              <w:spacing w:after="0"/>
              <w:ind w:firstLine="0"/>
              <w:jc w:val="right"/>
              <w:rPr>
                <w:sz w:val="20"/>
              </w:rPr>
            </w:pPr>
            <w:r w:rsidRPr="002C47D2">
              <w:rPr>
                <w:sz w:val="20"/>
              </w:rPr>
              <w:t>1,6</w:t>
            </w:r>
          </w:p>
        </w:tc>
        <w:tc>
          <w:tcPr>
            <w:tcW w:w="858" w:type="dxa"/>
          </w:tcPr>
          <w:p w14:paraId="1B761947" w14:textId="77777777" w:rsidR="00926426" w:rsidRPr="002C47D2" w:rsidRDefault="00926426" w:rsidP="004B74A0">
            <w:pPr>
              <w:spacing w:after="0"/>
              <w:ind w:firstLine="0"/>
              <w:jc w:val="right"/>
              <w:rPr>
                <w:sz w:val="20"/>
              </w:rPr>
            </w:pPr>
            <w:r w:rsidRPr="002C47D2">
              <w:rPr>
                <w:sz w:val="20"/>
              </w:rPr>
              <w:t>3,1</w:t>
            </w:r>
          </w:p>
        </w:tc>
        <w:tc>
          <w:tcPr>
            <w:tcW w:w="859" w:type="dxa"/>
          </w:tcPr>
          <w:p w14:paraId="1CB479FC" w14:textId="77777777" w:rsidR="00926426" w:rsidRPr="002D72BF" w:rsidRDefault="00926426" w:rsidP="004B74A0">
            <w:pPr>
              <w:spacing w:after="0"/>
              <w:ind w:firstLine="0"/>
              <w:jc w:val="right"/>
              <w:rPr>
                <w:sz w:val="20"/>
              </w:rPr>
            </w:pPr>
            <w:r>
              <w:rPr>
                <w:sz w:val="20"/>
              </w:rPr>
              <w:t>3,5</w:t>
            </w:r>
          </w:p>
        </w:tc>
        <w:tc>
          <w:tcPr>
            <w:tcW w:w="714" w:type="dxa"/>
          </w:tcPr>
          <w:p w14:paraId="52B86D12" w14:textId="77777777" w:rsidR="00926426" w:rsidRPr="002D72BF" w:rsidRDefault="00926426" w:rsidP="004B74A0">
            <w:pPr>
              <w:spacing w:after="0"/>
              <w:ind w:firstLine="0"/>
              <w:jc w:val="right"/>
              <w:rPr>
                <w:sz w:val="20"/>
              </w:rPr>
            </w:pPr>
            <w:r>
              <w:rPr>
                <w:sz w:val="20"/>
              </w:rPr>
              <w:t>3,4</w:t>
            </w:r>
          </w:p>
        </w:tc>
        <w:tc>
          <w:tcPr>
            <w:tcW w:w="676" w:type="dxa"/>
          </w:tcPr>
          <w:p w14:paraId="083D320B" w14:textId="77777777" w:rsidR="00926426" w:rsidRPr="002D72BF" w:rsidRDefault="00926426" w:rsidP="004B74A0">
            <w:pPr>
              <w:spacing w:after="0"/>
              <w:ind w:firstLine="0"/>
              <w:jc w:val="right"/>
              <w:rPr>
                <w:sz w:val="20"/>
              </w:rPr>
            </w:pPr>
            <w:r>
              <w:rPr>
                <w:sz w:val="20"/>
              </w:rPr>
              <w:t>3,6</w:t>
            </w:r>
          </w:p>
        </w:tc>
      </w:tr>
      <w:tr w:rsidR="00926426" w:rsidRPr="002D72BF" w14:paraId="31B074A9" w14:textId="77777777" w:rsidTr="004B74A0">
        <w:trPr>
          <w:jc w:val="center"/>
        </w:trPr>
        <w:tc>
          <w:tcPr>
            <w:tcW w:w="3451" w:type="dxa"/>
            <w:vAlign w:val="center"/>
          </w:tcPr>
          <w:p w14:paraId="074A6A8F" w14:textId="464EB61F" w:rsidR="00926426" w:rsidRPr="002D72BF" w:rsidRDefault="00926426" w:rsidP="002D5EB9">
            <w:pPr>
              <w:spacing w:after="0"/>
              <w:ind w:firstLine="0"/>
              <w:rPr>
                <w:snapToGrid w:val="0"/>
                <w:color w:val="000000"/>
                <w:sz w:val="20"/>
              </w:rPr>
            </w:pPr>
            <w:r w:rsidRPr="002D72BF">
              <w:rPr>
                <w:snapToGrid w:val="0"/>
                <w:color w:val="000000"/>
                <w:sz w:val="20"/>
              </w:rPr>
              <w:t>6. Atlīd</w:t>
            </w:r>
            <w:r>
              <w:rPr>
                <w:snapToGrid w:val="0"/>
                <w:color w:val="000000"/>
                <w:sz w:val="20"/>
              </w:rPr>
              <w:t xml:space="preserve">zība nodarbinātajiem, milj. </w:t>
            </w:r>
            <w:proofErr w:type="spellStart"/>
            <w:r w:rsidR="002D5EB9">
              <w:rPr>
                <w:i/>
                <w:snapToGrid w:val="0"/>
                <w:color w:val="000000"/>
                <w:sz w:val="20"/>
              </w:rPr>
              <w:t>euro</w:t>
            </w:r>
            <w:proofErr w:type="spellEnd"/>
            <w:r w:rsidRPr="002D72BF">
              <w:rPr>
                <w:snapToGrid w:val="0"/>
                <w:color w:val="000000"/>
                <w:sz w:val="20"/>
              </w:rPr>
              <w:t>, faktiskās cenās</w:t>
            </w:r>
          </w:p>
        </w:tc>
        <w:tc>
          <w:tcPr>
            <w:tcW w:w="859" w:type="dxa"/>
            <w:vAlign w:val="center"/>
          </w:tcPr>
          <w:p w14:paraId="4CE6B0C3" w14:textId="77777777" w:rsidR="00926426" w:rsidRPr="002D72BF" w:rsidRDefault="00926426" w:rsidP="00926426">
            <w:pPr>
              <w:spacing w:after="0"/>
              <w:ind w:firstLine="0"/>
              <w:rPr>
                <w:color w:val="000000"/>
                <w:sz w:val="20"/>
              </w:rPr>
            </w:pPr>
            <w:r w:rsidRPr="002D72BF">
              <w:rPr>
                <w:color w:val="000000"/>
                <w:sz w:val="20"/>
              </w:rPr>
              <w:t>D.1</w:t>
            </w:r>
          </w:p>
        </w:tc>
        <w:tc>
          <w:tcPr>
            <w:tcW w:w="1345" w:type="dxa"/>
          </w:tcPr>
          <w:p w14:paraId="49180740" w14:textId="77777777" w:rsidR="00926426" w:rsidRPr="002D72BF" w:rsidRDefault="00926426" w:rsidP="004B74A0">
            <w:pPr>
              <w:tabs>
                <w:tab w:val="decimal" w:pos="511"/>
              </w:tabs>
              <w:spacing w:after="0"/>
              <w:jc w:val="right"/>
              <w:rPr>
                <w:color w:val="FF0000"/>
                <w:sz w:val="20"/>
              </w:rPr>
            </w:pPr>
            <w:r>
              <w:rPr>
                <w:sz w:val="20"/>
              </w:rPr>
              <w:t>9622,7</w:t>
            </w:r>
          </w:p>
        </w:tc>
        <w:tc>
          <w:tcPr>
            <w:tcW w:w="639" w:type="dxa"/>
          </w:tcPr>
          <w:p w14:paraId="39DAF6FF" w14:textId="77777777" w:rsidR="00926426" w:rsidRPr="002D72BF" w:rsidRDefault="00926426" w:rsidP="004B74A0">
            <w:pPr>
              <w:spacing w:after="0"/>
              <w:ind w:firstLine="0"/>
              <w:jc w:val="right"/>
              <w:rPr>
                <w:snapToGrid w:val="0"/>
                <w:color w:val="FF0000"/>
                <w:sz w:val="20"/>
              </w:rPr>
            </w:pPr>
            <w:r>
              <w:rPr>
                <w:snapToGrid w:val="0"/>
                <w:sz w:val="20"/>
              </w:rPr>
              <w:t>7,5</w:t>
            </w:r>
          </w:p>
        </w:tc>
        <w:tc>
          <w:tcPr>
            <w:tcW w:w="858" w:type="dxa"/>
          </w:tcPr>
          <w:p w14:paraId="204258D3" w14:textId="77777777" w:rsidR="00926426" w:rsidRPr="002D72BF" w:rsidRDefault="00926426" w:rsidP="004B74A0">
            <w:pPr>
              <w:tabs>
                <w:tab w:val="decimal" w:pos="511"/>
              </w:tabs>
              <w:spacing w:after="0"/>
              <w:ind w:firstLine="0"/>
              <w:jc w:val="right"/>
              <w:rPr>
                <w:sz w:val="20"/>
              </w:rPr>
            </w:pPr>
            <w:r>
              <w:rPr>
                <w:sz w:val="20"/>
              </w:rPr>
              <w:t>4,1</w:t>
            </w:r>
          </w:p>
        </w:tc>
        <w:tc>
          <w:tcPr>
            <w:tcW w:w="859" w:type="dxa"/>
          </w:tcPr>
          <w:p w14:paraId="2C56555E" w14:textId="77777777" w:rsidR="00926426" w:rsidRPr="002D72BF" w:rsidRDefault="00926426" w:rsidP="004B74A0">
            <w:pPr>
              <w:tabs>
                <w:tab w:val="decimal" w:pos="511"/>
              </w:tabs>
              <w:spacing w:after="0"/>
              <w:ind w:firstLine="0"/>
              <w:jc w:val="right"/>
              <w:rPr>
                <w:sz w:val="20"/>
              </w:rPr>
            </w:pPr>
            <w:r>
              <w:rPr>
                <w:sz w:val="20"/>
              </w:rPr>
              <w:t>6,4</w:t>
            </w:r>
          </w:p>
        </w:tc>
        <w:tc>
          <w:tcPr>
            <w:tcW w:w="714" w:type="dxa"/>
          </w:tcPr>
          <w:p w14:paraId="0715D244" w14:textId="77777777" w:rsidR="00926426" w:rsidRPr="002D72BF" w:rsidRDefault="00926426" w:rsidP="004B74A0">
            <w:pPr>
              <w:tabs>
                <w:tab w:val="decimal" w:pos="511"/>
              </w:tabs>
              <w:spacing w:after="0"/>
              <w:ind w:firstLine="0"/>
              <w:jc w:val="right"/>
              <w:rPr>
                <w:sz w:val="20"/>
              </w:rPr>
            </w:pPr>
            <w:r>
              <w:rPr>
                <w:sz w:val="20"/>
              </w:rPr>
              <w:t>6,0</w:t>
            </w:r>
          </w:p>
        </w:tc>
        <w:tc>
          <w:tcPr>
            <w:tcW w:w="676" w:type="dxa"/>
          </w:tcPr>
          <w:p w14:paraId="6B302962" w14:textId="77777777" w:rsidR="00926426" w:rsidRPr="002D72BF" w:rsidRDefault="00926426" w:rsidP="004B74A0">
            <w:pPr>
              <w:tabs>
                <w:tab w:val="decimal" w:pos="392"/>
              </w:tabs>
              <w:spacing w:after="0"/>
              <w:ind w:firstLine="0"/>
              <w:jc w:val="right"/>
              <w:rPr>
                <w:sz w:val="20"/>
              </w:rPr>
            </w:pPr>
            <w:r>
              <w:rPr>
                <w:sz w:val="20"/>
              </w:rPr>
              <w:t>5,8</w:t>
            </w:r>
          </w:p>
        </w:tc>
      </w:tr>
      <w:tr w:rsidR="00926426" w:rsidRPr="002D72BF" w14:paraId="08D5B3D1" w14:textId="77777777" w:rsidTr="004B74A0">
        <w:trPr>
          <w:jc w:val="center"/>
        </w:trPr>
        <w:tc>
          <w:tcPr>
            <w:tcW w:w="3451" w:type="dxa"/>
            <w:vAlign w:val="center"/>
          </w:tcPr>
          <w:p w14:paraId="59784C23" w14:textId="22E9A633" w:rsidR="00926426" w:rsidRPr="002D72BF" w:rsidRDefault="00926426" w:rsidP="002D5EB9">
            <w:pPr>
              <w:spacing w:after="0"/>
              <w:ind w:firstLine="0"/>
              <w:rPr>
                <w:snapToGrid w:val="0"/>
                <w:color w:val="000000"/>
                <w:sz w:val="20"/>
              </w:rPr>
            </w:pPr>
            <w:r w:rsidRPr="002D72BF">
              <w:rPr>
                <w:snapToGrid w:val="0"/>
                <w:color w:val="000000"/>
                <w:sz w:val="20"/>
              </w:rPr>
              <w:t xml:space="preserve">7. Atlīdzība nodarbinātajam, </w:t>
            </w:r>
            <w:proofErr w:type="spellStart"/>
            <w:r w:rsidR="002D5EB9">
              <w:rPr>
                <w:i/>
                <w:snapToGrid w:val="0"/>
                <w:color w:val="000000"/>
                <w:sz w:val="20"/>
              </w:rPr>
              <w:t>euro</w:t>
            </w:r>
            <w:proofErr w:type="spellEnd"/>
          </w:p>
        </w:tc>
        <w:tc>
          <w:tcPr>
            <w:tcW w:w="859" w:type="dxa"/>
            <w:vAlign w:val="center"/>
          </w:tcPr>
          <w:p w14:paraId="770DC543" w14:textId="77777777" w:rsidR="00926426" w:rsidRPr="002D72BF" w:rsidRDefault="00926426" w:rsidP="00926426">
            <w:pPr>
              <w:spacing w:after="0"/>
              <w:rPr>
                <w:snapToGrid w:val="0"/>
                <w:color w:val="000000"/>
                <w:sz w:val="20"/>
              </w:rPr>
            </w:pPr>
          </w:p>
        </w:tc>
        <w:tc>
          <w:tcPr>
            <w:tcW w:w="1345" w:type="dxa"/>
          </w:tcPr>
          <w:p w14:paraId="6655806B" w14:textId="77777777" w:rsidR="00926426" w:rsidRPr="002D72BF" w:rsidRDefault="00926426" w:rsidP="004B74A0">
            <w:pPr>
              <w:tabs>
                <w:tab w:val="decimal" w:pos="511"/>
              </w:tabs>
              <w:spacing w:after="0"/>
              <w:jc w:val="right"/>
              <w:rPr>
                <w:sz w:val="20"/>
              </w:rPr>
            </w:pPr>
            <w:r>
              <w:rPr>
                <w:sz w:val="20"/>
              </w:rPr>
              <w:t>716,</w:t>
            </w:r>
            <w:r w:rsidRPr="008428D4">
              <w:rPr>
                <w:sz w:val="20"/>
              </w:rPr>
              <w:t>2</w:t>
            </w:r>
          </w:p>
        </w:tc>
        <w:tc>
          <w:tcPr>
            <w:tcW w:w="639" w:type="dxa"/>
          </w:tcPr>
          <w:p w14:paraId="792C640E" w14:textId="77777777" w:rsidR="00926426" w:rsidRPr="002D72BF" w:rsidRDefault="00926426" w:rsidP="004B74A0">
            <w:pPr>
              <w:spacing w:after="0"/>
              <w:ind w:firstLine="0"/>
              <w:jc w:val="right"/>
              <w:rPr>
                <w:sz w:val="20"/>
              </w:rPr>
            </w:pPr>
            <w:r>
              <w:rPr>
                <w:sz w:val="20"/>
              </w:rPr>
              <w:t>4,6</w:t>
            </w:r>
          </w:p>
        </w:tc>
        <w:tc>
          <w:tcPr>
            <w:tcW w:w="858" w:type="dxa"/>
          </w:tcPr>
          <w:p w14:paraId="37076F76" w14:textId="77777777" w:rsidR="00926426" w:rsidRPr="002D72BF" w:rsidRDefault="00926426" w:rsidP="004B74A0">
            <w:pPr>
              <w:spacing w:after="0"/>
              <w:ind w:firstLine="0"/>
              <w:jc w:val="right"/>
              <w:rPr>
                <w:sz w:val="20"/>
              </w:rPr>
            </w:pPr>
            <w:r>
              <w:rPr>
                <w:sz w:val="20"/>
              </w:rPr>
              <w:t>5,6</w:t>
            </w:r>
          </w:p>
        </w:tc>
        <w:tc>
          <w:tcPr>
            <w:tcW w:w="859" w:type="dxa"/>
          </w:tcPr>
          <w:p w14:paraId="334BDDCE" w14:textId="77777777" w:rsidR="00926426" w:rsidRPr="002D72BF" w:rsidRDefault="00926426" w:rsidP="004B74A0">
            <w:pPr>
              <w:spacing w:after="0"/>
              <w:ind w:firstLine="0"/>
              <w:jc w:val="right"/>
              <w:rPr>
                <w:sz w:val="20"/>
              </w:rPr>
            </w:pPr>
            <w:r>
              <w:rPr>
                <w:sz w:val="20"/>
              </w:rPr>
              <w:t>5,3</w:t>
            </w:r>
          </w:p>
        </w:tc>
        <w:tc>
          <w:tcPr>
            <w:tcW w:w="714" w:type="dxa"/>
          </w:tcPr>
          <w:p w14:paraId="0088FCCF" w14:textId="77777777" w:rsidR="00926426" w:rsidRPr="002D72BF" w:rsidRDefault="00926426" w:rsidP="004B74A0">
            <w:pPr>
              <w:spacing w:after="0"/>
              <w:ind w:firstLine="0"/>
              <w:jc w:val="right"/>
              <w:rPr>
                <w:sz w:val="20"/>
              </w:rPr>
            </w:pPr>
            <w:r>
              <w:rPr>
                <w:sz w:val="20"/>
              </w:rPr>
              <w:t>5,5</w:t>
            </w:r>
          </w:p>
        </w:tc>
        <w:tc>
          <w:tcPr>
            <w:tcW w:w="676" w:type="dxa"/>
          </w:tcPr>
          <w:p w14:paraId="225743EE" w14:textId="77777777" w:rsidR="00926426" w:rsidRPr="002D72BF" w:rsidRDefault="00926426" w:rsidP="004B74A0">
            <w:pPr>
              <w:spacing w:after="0"/>
              <w:ind w:firstLine="0"/>
              <w:jc w:val="right"/>
              <w:rPr>
                <w:sz w:val="20"/>
              </w:rPr>
            </w:pPr>
            <w:r>
              <w:rPr>
                <w:sz w:val="20"/>
              </w:rPr>
              <w:t>5,5</w:t>
            </w:r>
          </w:p>
        </w:tc>
      </w:tr>
    </w:tbl>
    <w:p w14:paraId="09601A4E" w14:textId="77777777" w:rsidR="00926426" w:rsidRPr="001946E0" w:rsidRDefault="00926426" w:rsidP="00926426">
      <w:pPr>
        <w:rPr>
          <w:b/>
          <w:color w:val="000000"/>
        </w:rPr>
      </w:pPr>
    </w:p>
    <w:p w14:paraId="47450F76" w14:textId="77777777" w:rsidR="00926426" w:rsidRPr="00814C3E" w:rsidRDefault="00926426" w:rsidP="00926426">
      <w:pPr>
        <w:pStyle w:val="T"/>
        <w:ind w:left="0"/>
        <w:rPr>
          <w:rFonts w:ascii="Times New Roman" w:hAnsi="Times New Roman"/>
          <w:color w:val="000000"/>
        </w:rPr>
      </w:pPr>
      <w:r w:rsidRPr="00814C3E">
        <w:rPr>
          <w:rFonts w:ascii="Times New Roman" w:hAnsi="Times New Roman"/>
          <w:color w:val="000000"/>
        </w:rPr>
        <w:t>1d. tabula. Sektoru bilances</w:t>
      </w:r>
    </w:p>
    <w:tbl>
      <w:tblPr>
        <w:tblW w:w="92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8"/>
        <w:gridCol w:w="951"/>
        <w:gridCol w:w="797"/>
        <w:gridCol w:w="797"/>
        <w:gridCol w:w="797"/>
        <w:gridCol w:w="797"/>
        <w:gridCol w:w="710"/>
      </w:tblGrid>
      <w:tr w:rsidR="00926426" w:rsidRPr="00814C3E" w14:paraId="3AE0D23B" w14:textId="77777777" w:rsidTr="00926426">
        <w:trPr>
          <w:tblHeader/>
          <w:jc w:val="center"/>
        </w:trPr>
        <w:tc>
          <w:tcPr>
            <w:tcW w:w="4408" w:type="dxa"/>
            <w:tcMar>
              <w:top w:w="0" w:type="dxa"/>
              <w:left w:w="108" w:type="dxa"/>
              <w:bottom w:w="0" w:type="dxa"/>
              <w:right w:w="108" w:type="dxa"/>
            </w:tcMar>
            <w:hideMark/>
          </w:tcPr>
          <w:p w14:paraId="3F6F0F43" w14:textId="77777777" w:rsidR="00926426" w:rsidRPr="00814C3E" w:rsidRDefault="00926426" w:rsidP="00926426">
            <w:pPr>
              <w:spacing w:after="0"/>
              <w:rPr>
                <w:color w:val="000000"/>
                <w:sz w:val="20"/>
              </w:rPr>
            </w:pPr>
            <w:r w:rsidRPr="00814C3E">
              <w:rPr>
                <w:color w:val="000000"/>
                <w:sz w:val="20"/>
              </w:rPr>
              <w:t>% no IKP</w:t>
            </w:r>
          </w:p>
        </w:tc>
        <w:tc>
          <w:tcPr>
            <w:tcW w:w="951" w:type="dxa"/>
            <w:tcMar>
              <w:top w:w="0" w:type="dxa"/>
              <w:left w:w="108" w:type="dxa"/>
              <w:bottom w:w="0" w:type="dxa"/>
              <w:right w:w="108" w:type="dxa"/>
            </w:tcMar>
            <w:hideMark/>
          </w:tcPr>
          <w:p w14:paraId="22A95EAC" w14:textId="77777777" w:rsidR="00926426" w:rsidRPr="00814C3E" w:rsidRDefault="00926426" w:rsidP="00926426">
            <w:pPr>
              <w:spacing w:after="0"/>
              <w:ind w:firstLine="0"/>
              <w:rPr>
                <w:rFonts w:eastAsia="Calibri"/>
                <w:color w:val="000000"/>
                <w:sz w:val="20"/>
              </w:rPr>
            </w:pPr>
            <w:r w:rsidRPr="00814C3E">
              <w:rPr>
                <w:color w:val="000000"/>
                <w:sz w:val="20"/>
              </w:rPr>
              <w:t>EKS</w:t>
            </w:r>
          </w:p>
          <w:p w14:paraId="56A1C473" w14:textId="77777777" w:rsidR="00926426" w:rsidRPr="00814C3E" w:rsidRDefault="00926426" w:rsidP="00926426">
            <w:pPr>
              <w:spacing w:after="0"/>
              <w:ind w:firstLine="0"/>
              <w:rPr>
                <w:color w:val="000000"/>
                <w:sz w:val="20"/>
              </w:rPr>
            </w:pPr>
            <w:r w:rsidRPr="00814C3E">
              <w:rPr>
                <w:color w:val="000000"/>
                <w:sz w:val="20"/>
              </w:rPr>
              <w:t>Kods</w:t>
            </w:r>
          </w:p>
        </w:tc>
        <w:tc>
          <w:tcPr>
            <w:tcW w:w="797" w:type="dxa"/>
            <w:tcMar>
              <w:top w:w="0" w:type="dxa"/>
              <w:left w:w="108" w:type="dxa"/>
              <w:bottom w:w="0" w:type="dxa"/>
              <w:right w:w="108" w:type="dxa"/>
            </w:tcMar>
            <w:vAlign w:val="center"/>
            <w:hideMark/>
          </w:tcPr>
          <w:p w14:paraId="16FA530F" w14:textId="77777777" w:rsidR="00926426" w:rsidRPr="00814C3E" w:rsidRDefault="00926426" w:rsidP="00926426">
            <w:pPr>
              <w:spacing w:after="0"/>
              <w:ind w:firstLine="0"/>
              <w:rPr>
                <w:b/>
                <w:color w:val="000000"/>
                <w:sz w:val="20"/>
              </w:rPr>
            </w:pPr>
            <w:r w:rsidRPr="00814C3E">
              <w:rPr>
                <w:b/>
                <w:color w:val="000000"/>
                <w:sz w:val="20"/>
              </w:rPr>
              <w:t>2013</w:t>
            </w:r>
          </w:p>
        </w:tc>
        <w:tc>
          <w:tcPr>
            <w:tcW w:w="797" w:type="dxa"/>
            <w:tcMar>
              <w:top w:w="0" w:type="dxa"/>
              <w:left w:w="108" w:type="dxa"/>
              <w:bottom w:w="0" w:type="dxa"/>
              <w:right w:w="108" w:type="dxa"/>
            </w:tcMar>
            <w:vAlign w:val="center"/>
            <w:hideMark/>
          </w:tcPr>
          <w:p w14:paraId="1C5133C7" w14:textId="77777777" w:rsidR="00926426" w:rsidRPr="00814C3E" w:rsidRDefault="00926426" w:rsidP="00926426">
            <w:pPr>
              <w:spacing w:after="0"/>
              <w:ind w:firstLine="0"/>
              <w:rPr>
                <w:b/>
                <w:color w:val="000000"/>
                <w:sz w:val="20"/>
              </w:rPr>
            </w:pPr>
            <w:r w:rsidRPr="00814C3E">
              <w:rPr>
                <w:b/>
                <w:color w:val="000000"/>
                <w:sz w:val="20"/>
              </w:rPr>
              <w:t>2014</w:t>
            </w:r>
          </w:p>
        </w:tc>
        <w:tc>
          <w:tcPr>
            <w:tcW w:w="797" w:type="dxa"/>
            <w:tcMar>
              <w:top w:w="0" w:type="dxa"/>
              <w:left w:w="108" w:type="dxa"/>
              <w:bottom w:w="0" w:type="dxa"/>
              <w:right w:w="108" w:type="dxa"/>
            </w:tcMar>
            <w:vAlign w:val="center"/>
            <w:hideMark/>
          </w:tcPr>
          <w:p w14:paraId="723C1E26" w14:textId="77777777" w:rsidR="00926426" w:rsidRPr="00814C3E" w:rsidRDefault="00926426" w:rsidP="00926426">
            <w:pPr>
              <w:spacing w:after="0"/>
              <w:ind w:firstLine="0"/>
              <w:rPr>
                <w:b/>
                <w:color w:val="000000"/>
                <w:sz w:val="20"/>
              </w:rPr>
            </w:pPr>
            <w:r w:rsidRPr="00814C3E">
              <w:rPr>
                <w:b/>
                <w:color w:val="000000"/>
                <w:sz w:val="20"/>
              </w:rPr>
              <w:t>2015</w:t>
            </w:r>
          </w:p>
        </w:tc>
        <w:tc>
          <w:tcPr>
            <w:tcW w:w="797" w:type="dxa"/>
            <w:tcMar>
              <w:top w:w="0" w:type="dxa"/>
              <w:left w:w="108" w:type="dxa"/>
              <w:bottom w:w="0" w:type="dxa"/>
              <w:right w:w="108" w:type="dxa"/>
            </w:tcMar>
            <w:vAlign w:val="center"/>
            <w:hideMark/>
          </w:tcPr>
          <w:p w14:paraId="075D953D" w14:textId="77777777" w:rsidR="00926426" w:rsidRPr="00814C3E" w:rsidRDefault="00926426" w:rsidP="00926426">
            <w:pPr>
              <w:spacing w:after="0"/>
              <w:ind w:firstLine="0"/>
              <w:rPr>
                <w:b/>
                <w:color w:val="000000"/>
                <w:sz w:val="20"/>
              </w:rPr>
            </w:pPr>
            <w:r w:rsidRPr="00814C3E">
              <w:rPr>
                <w:b/>
                <w:color w:val="000000"/>
                <w:sz w:val="20"/>
              </w:rPr>
              <w:t>2016</w:t>
            </w:r>
          </w:p>
        </w:tc>
        <w:tc>
          <w:tcPr>
            <w:tcW w:w="710" w:type="dxa"/>
            <w:tcMar>
              <w:top w:w="0" w:type="dxa"/>
              <w:left w:w="108" w:type="dxa"/>
              <w:bottom w:w="0" w:type="dxa"/>
              <w:right w:w="108" w:type="dxa"/>
            </w:tcMar>
            <w:vAlign w:val="center"/>
            <w:hideMark/>
          </w:tcPr>
          <w:p w14:paraId="2C32FB56" w14:textId="77777777" w:rsidR="00926426" w:rsidRPr="00814C3E" w:rsidRDefault="00926426" w:rsidP="00926426">
            <w:pPr>
              <w:spacing w:after="0"/>
              <w:ind w:firstLine="0"/>
              <w:rPr>
                <w:b/>
                <w:color w:val="000000"/>
                <w:sz w:val="20"/>
              </w:rPr>
            </w:pPr>
            <w:r w:rsidRPr="00814C3E">
              <w:rPr>
                <w:b/>
                <w:color w:val="000000"/>
                <w:sz w:val="20"/>
              </w:rPr>
              <w:t>2017</w:t>
            </w:r>
          </w:p>
        </w:tc>
      </w:tr>
      <w:tr w:rsidR="00926426" w:rsidRPr="00814C3E" w14:paraId="05CC4562" w14:textId="77777777" w:rsidTr="004B74A0">
        <w:trPr>
          <w:jc w:val="center"/>
        </w:trPr>
        <w:tc>
          <w:tcPr>
            <w:tcW w:w="4408" w:type="dxa"/>
            <w:tcMar>
              <w:top w:w="0" w:type="dxa"/>
              <w:left w:w="108" w:type="dxa"/>
              <w:bottom w:w="0" w:type="dxa"/>
              <w:right w:w="108" w:type="dxa"/>
            </w:tcMar>
            <w:hideMark/>
          </w:tcPr>
          <w:p w14:paraId="5DEDFFEB" w14:textId="77777777" w:rsidR="00926426" w:rsidRPr="00814C3E" w:rsidRDefault="00926426" w:rsidP="00926426">
            <w:pPr>
              <w:spacing w:after="0"/>
              <w:ind w:firstLine="0"/>
              <w:rPr>
                <w:snapToGrid w:val="0"/>
                <w:color w:val="000000"/>
                <w:sz w:val="20"/>
              </w:rPr>
            </w:pPr>
            <w:r w:rsidRPr="00814C3E">
              <w:rPr>
                <w:snapToGrid w:val="0"/>
                <w:color w:val="000000"/>
                <w:sz w:val="20"/>
              </w:rPr>
              <w:t>1. Tekošais un kapitāla konts</w:t>
            </w:r>
          </w:p>
        </w:tc>
        <w:tc>
          <w:tcPr>
            <w:tcW w:w="951" w:type="dxa"/>
            <w:tcMar>
              <w:top w:w="0" w:type="dxa"/>
              <w:left w:w="108" w:type="dxa"/>
              <w:bottom w:w="0" w:type="dxa"/>
              <w:right w:w="108" w:type="dxa"/>
            </w:tcMar>
            <w:hideMark/>
          </w:tcPr>
          <w:p w14:paraId="0E7FB616" w14:textId="77777777" w:rsidR="00926426" w:rsidRPr="00814C3E" w:rsidRDefault="00926426" w:rsidP="00926426">
            <w:pPr>
              <w:spacing w:after="0"/>
              <w:ind w:firstLine="0"/>
              <w:rPr>
                <w:snapToGrid w:val="0"/>
                <w:color w:val="000000"/>
                <w:sz w:val="20"/>
              </w:rPr>
            </w:pPr>
            <w:r w:rsidRPr="00814C3E">
              <w:rPr>
                <w:snapToGrid w:val="0"/>
                <w:color w:val="000000"/>
                <w:sz w:val="20"/>
              </w:rPr>
              <w:t>B.9</w:t>
            </w:r>
          </w:p>
        </w:tc>
        <w:tc>
          <w:tcPr>
            <w:tcW w:w="797" w:type="dxa"/>
            <w:tcMar>
              <w:top w:w="0" w:type="dxa"/>
              <w:left w:w="108" w:type="dxa"/>
              <w:bottom w:w="0" w:type="dxa"/>
              <w:right w:w="108" w:type="dxa"/>
            </w:tcMar>
          </w:tcPr>
          <w:p w14:paraId="54792A0E" w14:textId="77777777" w:rsidR="00926426" w:rsidRPr="00814C3E" w:rsidRDefault="00926426" w:rsidP="004B74A0">
            <w:pPr>
              <w:spacing w:after="0"/>
              <w:ind w:firstLine="0"/>
              <w:jc w:val="right"/>
              <w:rPr>
                <w:snapToGrid w:val="0"/>
                <w:sz w:val="20"/>
              </w:rPr>
            </w:pPr>
            <w:r w:rsidRPr="00814C3E">
              <w:rPr>
                <w:snapToGrid w:val="0"/>
                <w:sz w:val="20"/>
              </w:rPr>
              <w:t>1,6%</w:t>
            </w:r>
          </w:p>
        </w:tc>
        <w:tc>
          <w:tcPr>
            <w:tcW w:w="797" w:type="dxa"/>
            <w:tcMar>
              <w:top w:w="0" w:type="dxa"/>
              <w:left w:w="108" w:type="dxa"/>
              <w:bottom w:w="0" w:type="dxa"/>
              <w:right w:w="108" w:type="dxa"/>
            </w:tcMar>
          </w:tcPr>
          <w:p w14:paraId="474F408A" w14:textId="77777777" w:rsidR="00926426" w:rsidRPr="00814C3E" w:rsidRDefault="00926426" w:rsidP="004B74A0">
            <w:pPr>
              <w:spacing w:after="0"/>
              <w:ind w:firstLine="0"/>
              <w:jc w:val="right"/>
              <w:rPr>
                <w:snapToGrid w:val="0"/>
                <w:sz w:val="20"/>
              </w:rPr>
            </w:pPr>
            <w:r w:rsidRPr="00814C3E">
              <w:rPr>
                <w:snapToGrid w:val="0"/>
                <w:sz w:val="20"/>
              </w:rPr>
              <w:t>1,2%</w:t>
            </w:r>
          </w:p>
        </w:tc>
        <w:tc>
          <w:tcPr>
            <w:tcW w:w="797" w:type="dxa"/>
            <w:tcMar>
              <w:top w:w="0" w:type="dxa"/>
              <w:left w:w="108" w:type="dxa"/>
              <w:bottom w:w="0" w:type="dxa"/>
              <w:right w:w="108" w:type="dxa"/>
            </w:tcMar>
          </w:tcPr>
          <w:p w14:paraId="466BC5B9" w14:textId="77777777" w:rsidR="00926426" w:rsidRPr="00814C3E" w:rsidRDefault="00926426" w:rsidP="004B74A0">
            <w:pPr>
              <w:spacing w:after="0"/>
              <w:ind w:firstLine="0"/>
              <w:jc w:val="right"/>
              <w:rPr>
                <w:snapToGrid w:val="0"/>
                <w:sz w:val="20"/>
              </w:rPr>
            </w:pPr>
            <w:r w:rsidRPr="00814C3E">
              <w:rPr>
                <w:snapToGrid w:val="0"/>
                <w:sz w:val="20"/>
              </w:rPr>
              <w:t>1,1%</w:t>
            </w:r>
          </w:p>
        </w:tc>
        <w:tc>
          <w:tcPr>
            <w:tcW w:w="797" w:type="dxa"/>
            <w:tcMar>
              <w:top w:w="0" w:type="dxa"/>
              <w:left w:w="108" w:type="dxa"/>
              <w:bottom w:w="0" w:type="dxa"/>
              <w:right w:w="108" w:type="dxa"/>
            </w:tcMar>
          </w:tcPr>
          <w:p w14:paraId="2F8D3103" w14:textId="77777777" w:rsidR="00926426" w:rsidRPr="00814C3E" w:rsidRDefault="00926426" w:rsidP="004B74A0">
            <w:pPr>
              <w:spacing w:after="0"/>
              <w:ind w:firstLine="0"/>
              <w:jc w:val="right"/>
              <w:rPr>
                <w:snapToGrid w:val="0"/>
                <w:sz w:val="20"/>
              </w:rPr>
            </w:pPr>
            <w:r w:rsidRPr="00814C3E">
              <w:rPr>
                <w:snapToGrid w:val="0"/>
                <w:sz w:val="20"/>
              </w:rPr>
              <w:t>0,8%</w:t>
            </w:r>
          </w:p>
        </w:tc>
        <w:tc>
          <w:tcPr>
            <w:tcW w:w="710" w:type="dxa"/>
            <w:tcMar>
              <w:top w:w="0" w:type="dxa"/>
              <w:left w:w="108" w:type="dxa"/>
              <w:bottom w:w="0" w:type="dxa"/>
              <w:right w:w="108" w:type="dxa"/>
            </w:tcMar>
          </w:tcPr>
          <w:p w14:paraId="569DFBA8" w14:textId="77777777" w:rsidR="00926426" w:rsidRPr="00814C3E" w:rsidRDefault="00926426" w:rsidP="004B74A0">
            <w:pPr>
              <w:spacing w:after="0"/>
              <w:ind w:firstLine="0"/>
              <w:jc w:val="right"/>
              <w:rPr>
                <w:snapToGrid w:val="0"/>
                <w:sz w:val="20"/>
              </w:rPr>
            </w:pPr>
            <w:r w:rsidRPr="00814C3E">
              <w:rPr>
                <w:snapToGrid w:val="0"/>
                <w:sz w:val="20"/>
              </w:rPr>
              <w:t>0,3%</w:t>
            </w:r>
          </w:p>
        </w:tc>
      </w:tr>
      <w:tr w:rsidR="00926426" w:rsidRPr="00814C3E" w14:paraId="032AF91E" w14:textId="77777777" w:rsidTr="004B74A0">
        <w:trPr>
          <w:trHeight w:val="550"/>
          <w:jc w:val="center"/>
        </w:trPr>
        <w:tc>
          <w:tcPr>
            <w:tcW w:w="4408" w:type="dxa"/>
            <w:tcMar>
              <w:top w:w="0" w:type="dxa"/>
              <w:left w:w="108" w:type="dxa"/>
              <w:bottom w:w="0" w:type="dxa"/>
              <w:right w:w="108" w:type="dxa"/>
            </w:tcMar>
            <w:hideMark/>
          </w:tcPr>
          <w:p w14:paraId="088E82EB" w14:textId="77777777" w:rsidR="00926426" w:rsidRPr="00814C3E" w:rsidRDefault="00926426" w:rsidP="00926426">
            <w:pPr>
              <w:spacing w:after="0"/>
              <w:rPr>
                <w:rFonts w:eastAsia="Calibri"/>
                <w:snapToGrid w:val="0"/>
                <w:color w:val="000000"/>
                <w:sz w:val="20"/>
              </w:rPr>
            </w:pPr>
            <w:r w:rsidRPr="00814C3E">
              <w:rPr>
                <w:snapToGrid w:val="0"/>
                <w:color w:val="000000"/>
                <w:sz w:val="20"/>
              </w:rPr>
              <w:t>t.sk.:</w:t>
            </w:r>
          </w:p>
          <w:p w14:paraId="5E411B54" w14:textId="77777777" w:rsidR="00926426" w:rsidRPr="00814C3E" w:rsidRDefault="00926426" w:rsidP="00926426">
            <w:pPr>
              <w:spacing w:after="0"/>
              <w:rPr>
                <w:snapToGrid w:val="0"/>
                <w:color w:val="000000"/>
                <w:sz w:val="20"/>
              </w:rPr>
            </w:pPr>
            <w:r w:rsidRPr="00814C3E">
              <w:rPr>
                <w:snapToGrid w:val="0"/>
                <w:color w:val="000000"/>
                <w:sz w:val="20"/>
              </w:rPr>
              <w:t>- Preču un pakalpojumu bilance</w:t>
            </w:r>
          </w:p>
        </w:tc>
        <w:tc>
          <w:tcPr>
            <w:tcW w:w="951" w:type="dxa"/>
            <w:tcMar>
              <w:top w:w="0" w:type="dxa"/>
              <w:left w:w="108" w:type="dxa"/>
              <w:bottom w:w="0" w:type="dxa"/>
              <w:right w:w="108" w:type="dxa"/>
            </w:tcMar>
          </w:tcPr>
          <w:p w14:paraId="02C25AEF" w14:textId="77777777" w:rsidR="00926426" w:rsidRPr="00814C3E" w:rsidRDefault="00926426" w:rsidP="00926426">
            <w:pPr>
              <w:spacing w:after="0"/>
              <w:rPr>
                <w:snapToGrid w:val="0"/>
                <w:color w:val="000000"/>
                <w:sz w:val="20"/>
              </w:rPr>
            </w:pPr>
          </w:p>
        </w:tc>
        <w:tc>
          <w:tcPr>
            <w:tcW w:w="797" w:type="dxa"/>
            <w:tcMar>
              <w:top w:w="0" w:type="dxa"/>
              <w:left w:w="108" w:type="dxa"/>
              <w:bottom w:w="0" w:type="dxa"/>
              <w:right w:w="108" w:type="dxa"/>
            </w:tcMar>
          </w:tcPr>
          <w:p w14:paraId="75272823" w14:textId="77777777" w:rsidR="00926426" w:rsidRPr="00814C3E" w:rsidRDefault="00926426" w:rsidP="004B74A0">
            <w:pPr>
              <w:spacing w:after="0"/>
              <w:ind w:firstLine="0"/>
              <w:jc w:val="right"/>
              <w:rPr>
                <w:snapToGrid w:val="0"/>
                <w:sz w:val="20"/>
              </w:rPr>
            </w:pPr>
            <w:r w:rsidRPr="00814C3E">
              <w:rPr>
                <w:snapToGrid w:val="0"/>
                <w:sz w:val="20"/>
              </w:rPr>
              <w:t>-1,9%</w:t>
            </w:r>
          </w:p>
        </w:tc>
        <w:tc>
          <w:tcPr>
            <w:tcW w:w="797" w:type="dxa"/>
            <w:tcMar>
              <w:top w:w="0" w:type="dxa"/>
              <w:left w:w="108" w:type="dxa"/>
              <w:bottom w:w="0" w:type="dxa"/>
              <w:right w:w="108" w:type="dxa"/>
            </w:tcMar>
          </w:tcPr>
          <w:p w14:paraId="7A3BB216" w14:textId="77777777" w:rsidR="00926426" w:rsidRPr="00814C3E" w:rsidRDefault="00926426" w:rsidP="004B74A0">
            <w:pPr>
              <w:spacing w:after="0"/>
              <w:ind w:firstLine="0"/>
              <w:jc w:val="right"/>
              <w:rPr>
                <w:snapToGrid w:val="0"/>
                <w:sz w:val="20"/>
              </w:rPr>
            </w:pPr>
            <w:r w:rsidRPr="00814C3E">
              <w:rPr>
                <w:snapToGrid w:val="0"/>
                <w:sz w:val="20"/>
              </w:rPr>
              <w:t>-2,2%</w:t>
            </w:r>
          </w:p>
        </w:tc>
        <w:tc>
          <w:tcPr>
            <w:tcW w:w="797" w:type="dxa"/>
            <w:tcMar>
              <w:top w:w="0" w:type="dxa"/>
              <w:left w:w="108" w:type="dxa"/>
              <w:bottom w:w="0" w:type="dxa"/>
              <w:right w:w="108" w:type="dxa"/>
            </w:tcMar>
          </w:tcPr>
          <w:p w14:paraId="5F2BF1FF" w14:textId="77777777" w:rsidR="00926426" w:rsidRPr="00814C3E" w:rsidRDefault="00926426" w:rsidP="004B74A0">
            <w:pPr>
              <w:spacing w:after="0"/>
              <w:ind w:firstLine="0"/>
              <w:jc w:val="right"/>
              <w:rPr>
                <w:snapToGrid w:val="0"/>
                <w:sz w:val="20"/>
              </w:rPr>
            </w:pPr>
            <w:r w:rsidRPr="00814C3E">
              <w:rPr>
                <w:snapToGrid w:val="0"/>
                <w:sz w:val="20"/>
              </w:rPr>
              <w:t>-2,5%</w:t>
            </w:r>
          </w:p>
        </w:tc>
        <w:tc>
          <w:tcPr>
            <w:tcW w:w="797" w:type="dxa"/>
            <w:tcMar>
              <w:top w:w="0" w:type="dxa"/>
              <w:left w:w="108" w:type="dxa"/>
              <w:bottom w:w="0" w:type="dxa"/>
              <w:right w:w="108" w:type="dxa"/>
            </w:tcMar>
          </w:tcPr>
          <w:p w14:paraId="33EFB527" w14:textId="77777777" w:rsidR="00926426" w:rsidRPr="00814C3E" w:rsidRDefault="00926426" w:rsidP="004B74A0">
            <w:pPr>
              <w:spacing w:after="0"/>
              <w:ind w:firstLine="0"/>
              <w:jc w:val="right"/>
              <w:rPr>
                <w:snapToGrid w:val="0"/>
                <w:sz w:val="20"/>
              </w:rPr>
            </w:pPr>
            <w:r w:rsidRPr="00814C3E">
              <w:rPr>
                <w:snapToGrid w:val="0"/>
                <w:sz w:val="20"/>
              </w:rPr>
              <w:t>-2,6%</w:t>
            </w:r>
          </w:p>
        </w:tc>
        <w:tc>
          <w:tcPr>
            <w:tcW w:w="710" w:type="dxa"/>
            <w:tcMar>
              <w:top w:w="0" w:type="dxa"/>
              <w:left w:w="108" w:type="dxa"/>
              <w:bottom w:w="0" w:type="dxa"/>
              <w:right w:w="108" w:type="dxa"/>
            </w:tcMar>
          </w:tcPr>
          <w:p w14:paraId="0E057A21" w14:textId="77777777" w:rsidR="00926426" w:rsidRPr="00814C3E" w:rsidRDefault="00926426" w:rsidP="004B74A0">
            <w:pPr>
              <w:spacing w:after="0"/>
              <w:ind w:firstLine="0"/>
              <w:jc w:val="right"/>
              <w:rPr>
                <w:snapToGrid w:val="0"/>
                <w:sz w:val="20"/>
              </w:rPr>
            </w:pPr>
            <w:r w:rsidRPr="00814C3E">
              <w:rPr>
                <w:snapToGrid w:val="0"/>
                <w:sz w:val="20"/>
              </w:rPr>
              <w:t>-2,6%</w:t>
            </w:r>
          </w:p>
        </w:tc>
      </w:tr>
      <w:tr w:rsidR="00926426" w:rsidRPr="00814C3E" w14:paraId="0F7AA177" w14:textId="77777777" w:rsidTr="004B74A0">
        <w:trPr>
          <w:jc w:val="center"/>
        </w:trPr>
        <w:tc>
          <w:tcPr>
            <w:tcW w:w="4408" w:type="dxa"/>
            <w:tcMar>
              <w:top w:w="0" w:type="dxa"/>
              <w:left w:w="108" w:type="dxa"/>
              <w:bottom w:w="0" w:type="dxa"/>
              <w:right w:w="108" w:type="dxa"/>
            </w:tcMar>
            <w:hideMark/>
          </w:tcPr>
          <w:p w14:paraId="22A39F0F" w14:textId="77777777" w:rsidR="00926426" w:rsidRPr="00814C3E" w:rsidRDefault="00926426" w:rsidP="00926426">
            <w:pPr>
              <w:spacing w:after="0"/>
              <w:rPr>
                <w:snapToGrid w:val="0"/>
                <w:color w:val="000000"/>
                <w:sz w:val="20"/>
              </w:rPr>
            </w:pPr>
            <w:r w:rsidRPr="00814C3E">
              <w:rPr>
                <w:snapToGrid w:val="0"/>
                <w:color w:val="000000"/>
                <w:sz w:val="20"/>
              </w:rPr>
              <w:t>- Ienākumu un pārvedumu bilance</w:t>
            </w:r>
          </w:p>
        </w:tc>
        <w:tc>
          <w:tcPr>
            <w:tcW w:w="951" w:type="dxa"/>
            <w:tcMar>
              <w:top w:w="0" w:type="dxa"/>
              <w:left w:w="108" w:type="dxa"/>
              <w:bottom w:w="0" w:type="dxa"/>
              <w:right w:w="108" w:type="dxa"/>
            </w:tcMar>
          </w:tcPr>
          <w:p w14:paraId="7A19CDE7" w14:textId="77777777" w:rsidR="00926426" w:rsidRPr="00814C3E" w:rsidRDefault="00926426" w:rsidP="00926426">
            <w:pPr>
              <w:spacing w:after="0"/>
              <w:rPr>
                <w:snapToGrid w:val="0"/>
                <w:color w:val="000000"/>
                <w:sz w:val="20"/>
              </w:rPr>
            </w:pPr>
          </w:p>
        </w:tc>
        <w:tc>
          <w:tcPr>
            <w:tcW w:w="797" w:type="dxa"/>
            <w:tcMar>
              <w:top w:w="0" w:type="dxa"/>
              <w:left w:w="108" w:type="dxa"/>
              <w:bottom w:w="0" w:type="dxa"/>
              <w:right w:w="108" w:type="dxa"/>
            </w:tcMar>
          </w:tcPr>
          <w:p w14:paraId="4AFD0463" w14:textId="77777777" w:rsidR="00926426" w:rsidRPr="00814C3E" w:rsidRDefault="00926426" w:rsidP="004B74A0">
            <w:pPr>
              <w:spacing w:after="0"/>
              <w:ind w:firstLine="0"/>
              <w:jc w:val="right"/>
              <w:rPr>
                <w:snapToGrid w:val="0"/>
                <w:sz w:val="20"/>
              </w:rPr>
            </w:pPr>
            <w:r w:rsidRPr="00814C3E">
              <w:rPr>
                <w:snapToGrid w:val="0"/>
                <w:sz w:val="20"/>
              </w:rPr>
              <w:t>1,0%</w:t>
            </w:r>
          </w:p>
        </w:tc>
        <w:tc>
          <w:tcPr>
            <w:tcW w:w="797" w:type="dxa"/>
            <w:tcMar>
              <w:top w:w="0" w:type="dxa"/>
              <w:left w:w="108" w:type="dxa"/>
              <w:bottom w:w="0" w:type="dxa"/>
              <w:right w:w="108" w:type="dxa"/>
            </w:tcMar>
          </w:tcPr>
          <w:p w14:paraId="679E3256" w14:textId="77777777" w:rsidR="00926426" w:rsidRPr="00814C3E" w:rsidRDefault="00926426" w:rsidP="004B74A0">
            <w:pPr>
              <w:spacing w:after="0"/>
              <w:ind w:firstLine="0"/>
              <w:jc w:val="right"/>
              <w:rPr>
                <w:snapToGrid w:val="0"/>
                <w:sz w:val="20"/>
              </w:rPr>
            </w:pPr>
            <w:r w:rsidRPr="00814C3E">
              <w:rPr>
                <w:snapToGrid w:val="0"/>
                <w:sz w:val="20"/>
              </w:rPr>
              <w:t>1,0%</w:t>
            </w:r>
          </w:p>
        </w:tc>
        <w:tc>
          <w:tcPr>
            <w:tcW w:w="797" w:type="dxa"/>
            <w:tcMar>
              <w:top w:w="0" w:type="dxa"/>
              <w:left w:w="108" w:type="dxa"/>
              <w:bottom w:w="0" w:type="dxa"/>
              <w:right w:w="108" w:type="dxa"/>
            </w:tcMar>
          </w:tcPr>
          <w:p w14:paraId="3AFE0E6B" w14:textId="77777777" w:rsidR="00926426" w:rsidRPr="00814C3E" w:rsidRDefault="00926426" w:rsidP="004B74A0">
            <w:pPr>
              <w:spacing w:after="0"/>
              <w:ind w:firstLine="0"/>
              <w:jc w:val="right"/>
              <w:rPr>
                <w:snapToGrid w:val="0"/>
                <w:sz w:val="20"/>
              </w:rPr>
            </w:pPr>
            <w:r w:rsidRPr="00814C3E">
              <w:rPr>
                <w:snapToGrid w:val="0"/>
                <w:sz w:val="20"/>
              </w:rPr>
              <w:t>0,9%</w:t>
            </w:r>
          </w:p>
        </w:tc>
        <w:tc>
          <w:tcPr>
            <w:tcW w:w="797" w:type="dxa"/>
            <w:tcMar>
              <w:top w:w="0" w:type="dxa"/>
              <w:left w:w="108" w:type="dxa"/>
              <w:bottom w:w="0" w:type="dxa"/>
              <w:right w:w="108" w:type="dxa"/>
            </w:tcMar>
          </w:tcPr>
          <w:p w14:paraId="3F7BFE68" w14:textId="77777777" w:rsidR="00926426" w:rsidRPr="00814C3E" w:rsidRDefault="00926426" w:rsidP="004B74A0">
            <w:pPr>
              <w:spacing w:after="0"/>
              <w:ind w:firstLine="0"/>
              <w:jc w:val="right"/>
              <w:rPr>
                <w:snapToGrid w:val="0"/>
                <w:sz w:val="20"/>
              </w:rPr>
            </w:pPr>
            <w:r w:rsidRPr="00814C3E">
              <w:rPr>
                <w:snapToGrid w:val="0"/>
                <w:sz w:val="20"/>
              </w:rPr>
              <w:t>0,8%</w:t>
            </w:r>
          </w:p>
        </w:tc>
        <w:tc>
          <w:tcPr>
            <w:tcW w:w="710" w:type="dxa"/>
            <w:tcMar>
              <w:top w:w="0" w:type="dxa"/>
              <w:left w:w="108" w:type="dxa"/>
              <w:bottom w:w="0" w:type="dxa"/>
              <w:right w:w="108" w:type="dxa"/>
            </w:tcMar>
          </w:tcPr>
          <w:p w14:paraId="12DBA5F7" w14:textId="77777777" w:rsidR="00926426" w:rsidRPr="00814C3E" w:rsidRDefault="00926426" w:rsidP="004B74A0">
            <w:pPr>
              <w:spacing w:after="0"/>
              <w:ind w:firstLine="0"/>
              <w:jc w:val="right"/>
              <w:rPr>
                <w:snapToGrid w:val="0"/>
                <w:sz w:val="20"/>
              </w:rPr>
            </w:pPr>
            <w:r w:rsidRPr="00814C3E">
              <w:rPr>
                <w:snapToGrid w:val="0"/>
                <w:sz w:val="20"/>
              </w:rPr>
              <w:t>0,6%</w:t>
            </w:r>
          </w:p>
        </w:tc>
      </w:tr>
      <w:tr w:rsidR="00926426" w:rsidRPr="00814C3E" w14:paraId="4BDE5F43" w14:textId="77777777" w:rsidTr="004B74A0">
        <w:trPr>
          <w:jc w:val="center"/>
        </w:trPr>
        <w:tc>
          <w:tcPr>
            <w:tcW w:w="4408" w:type="dxa"/>
            <w:tcMar>
              <w:top w:w="0" w:type="dxa"/>
              <w:left w:w="108" w:type="dxa"/>
              <w:bottom w:w="0" w:type="dxa"/>
              <w:right w:w="108" w:type="dxa"/>
            </w:tcMar>
            <w:hideMark/>
          </w:tcPr>
          <w:p w14:paraId="6E911690" w14:textId="77777777" w:rsidR="00926426" w:rsidRPr="00814C3E" w:rsidRDefault="00926426" w:rsidP="00926426">
            <w:pPr>
              <w:spacing w:after="0"/>
              <w:rPr>
                <w:snapToGrid w:val="0"/>
                <w:color w:val="000000"/>
                <w:sz w:val="20"/>
              </w:rPr>
            </w:pPr>
            <w:r w:rsidRPr="00814C3E">
              <w:rPr>
                <w:snapToGrid w:val="0"/>
                <w:color w:val="000000"/>
                <w:sz w:val="20"/>
              </w:rPr>
              <w:t>- Kapitāla konts</w:t>
            </w:r>
          </w:p>
        </w:tc>
        <w:tc>
          <w:tcPr>
            <w:tcW w:w="951" w:type="dxa"/>
            <w:tcMar>
              <w:top w:w="0" w:type="dxa"/>
              <w:left w:w="108" w:type="dxa"/>
              <w:bottom w:w="0" w:type="dxa"/>
              <w:right w:w="108" w:type="dxa"/>
            </w:tcMar>
          </w:tcPr>
          <w:p w14:paraId="4F1B8554" w14:textId="77777777" w:rsidR="00926426" w:rsidRPr="00814C3E" w:rsidRDefault="00926426" w:rsidP="00926426">
            <w:pPr>
              <w:spacing w:after="0"/>
              <w:rPr>
                <w:snapToGrid w:val="0"/>
                <w:color w:val="000000"/>
                <w:sz w:val="20"/>
              </w:rPr>
            </w:pPr>
          </w:p>
        </w:tc>
        <w:tc>
          <w:tcPr>
            <w:tcW w:w="797" w:type="dxa"/>
            <w:tcMar>
              <w:top w:w="0" w:type="dxa"/>
              <w:left w:w="108" w:type="dxa"/>
              <w:bottom w:w="0" w:type="dxa"/>
              <w:right w:w="108" w:type="dxa"/>
            </w:tcMar>
          </w:tcPr>
          <w:p w14:paraId="6DD6BA75" w14:textId="77777777" w:rsidR="00926426" w:rsidRPr="00814C3E" w:rsidRDefault="00926426" w:rsidP="004B74A0">
            <w:pPr>
              <w:spacing w:after="0"/>
              <w:ind w:firstLine="0"/>
              <w:jc w:val="right"/>
              <w:rPr>
                <w:snapToGrid w:val="0"/>
                <w:sz w:val="20"/>
              </w:rPr>
            </w:pPr>
            <w:r w:rsidRPr="00814C3E">
              <w:rPr>
                <w:snapToGrid w:val="0"/>
                <w:sz w:val="20"/>
              </w:rPr>
              <w:t>2,5%</w:t>
            </w:r>
          </w:p>
        </w:tc>
        <w:tc>
          <w:tcPr>
            <w:tcW w:w="797" w:type="dxa"/>
            <w:tcMar>
              <w:top w:w="0" w:type="dxa"/>
              <w:left w:w="108" w:type="dxa"/>
              <w:bottom w:w="0" w:type="dxa"/>
              <w:right w:w="108" w:type="dxa"/>
            </w:tcMar>
          </w:tcPr>
          <w:p w14:paraId="61BC1DA0" w14:textId="77777777" w:rsidR="00926426" w:rsidRPr="00814C3E" w:rsidRDefault="00926426" w:rsidP="004B74A0">
            <w:pPr>
              <w:spacing w:after="0"/>
              <w:ind w:firstLine="0"/>
              <w:jc w:val="right"/>
              <w:rPr>
                <w:snapToGrid w:val="0"/>
                <w:sz w:val="20"/>
              </w:rPr>
            </w:pPr>
            <w:r w:rsidRPr="00814C3E">
              <w:rPr>
                <w:snapToGrid w:val="0"/>
                <w:sz w:val="20"/>
              </w:rPr>
              <w:t>2,0%</w:t>
            </w:r>
          </w:p>
        </w:tc>
        <w:tc>
          <w:tcPr>
            <w:tcW w:w="797" w:type="dxa"/>
            <w:tcMar>
              <w:top w:w="0" w:type="dxa"/>
              <w:left w:w="108" w:type="dxa"/>
              <w:bottom w:w="0" w:type="dxa"/>
              <w:right w:w="108" w:type="dxa"/>
            </w:tcMar>
          </w:tcPr>
          <w:p w14:paraId="08C97E89" w14:textId="77777777" w:rsidR="00926426" w:rsidRPr="00814C3E" w:rsidRDefault="00926426" w:rsidP="004B74A0">
            <w:pPr>
              <w:spacing w:after="0"/>
              <w:ind w:firstLine="0"/>
              <w:jc w:val="right"/>
              <w:rPr>
                <w:snapToGrid w:val="0"/>
                <w:sz w:val="20"/>
              </w:rPr>
            </w:pPr>
            <w:r w:rsidRPr="00814C3E">
              <w:rPr>
                <w:snapToGrid w:val="0"/>
                <w:sz w:val="20"/>
              </w:rPr>
              <w:t>2,0%</w:t>
            </w:r>
          </w:p>
        </w:tc>
        <w:tc>
          <w:tcPr>
            <w:tcW w:w="797" w:type="dxa"/>
            <w:tcMar>
              <w:top w:w="0" w:type="dxa"/>
              <w:left w:w="108" w:type="dxa"/>
              <w:bottom w:w="0" w:type="dxa"/>
              <w:right w:w="108" w:type="dxa"/>
            </w:tcMar>
          </w:tcPr>
          <w:p w14:paraId="35080777" w14:textId="77777777" w:rsidR="00926426" w:rsidRPr="00814C3E" w:rsidRDefault="00926426" w:rsidP="004B74A0">
            <w:pPr>
              <w:spacing w:after="0"/>
              <w:ind w:firstLine="0"/>
              <w:jc w:val="right"/>
              <w:rPr>
                <w:snapToGrid w:val="0"/>
                <w:sz w:val="20"/>
              </w:rPr>
            </w:pPr>
            <w:r w:rsidRPr="00814C3E">
              <w:rPr>
                <w:snapToGrid w:val="0"/>
                <w:sz w:val="20"/>
              </w:rPr>
              <w:t>2,0%</w:t>
            </w:r>
          </w:p>
        </w:tc>
        <w:tc>
          <w:tcPr>
            <w:tcW w:w="710" w:type="dxa"/>
            <w:tcMar>
              <w:top w:w="0" w:type="dxa"/>
              <w:left w:w="108" w:type="dxa"/>
              <w:bottom w:w="0" w:type="dxa"/>
              <w:right w:w="108" w:type="dxa"/>
            </w:tcMar>
          </w:tcPr>
          <w:p w14:paraId="101334D4" w14:textId="77777777" w:rsidR="00926426" w:rsidRPr="00814C3E" w:rsidRDefault="00926426" w:rsidP="004B74A0">
            <w:pPr>
              <w:spacing w:after="0"/>
              <w:ind w:firstLine="0"/>
              <w:jc w:val="right"/>
              <w:rPr>
                <w:snapToGrid w:val="0"/>
                <w:sz w:val="20"/>
              </w:rPr>
            </w:pPr>
            <w:r w:rsidRPr="00814C3E">
              <w:rPr>
                <w:snapToGrid w:val="0"/>
                <w:sz w:val="20"/>
              </w:rPr>
              <w:t>1,8%</w:t>
            </w:r>
          </w:p>
        </w:tc>
      </w:tr>
      <w:tr w:rsidR="00926426" w:rsidRPr="00814C3E" w14:paraId="38C94DB5" w14:textId="77777777" w:rsidTr="004B74A0">
        <w:trPr>
          <w:jc w:val="center"/>
        </w:trPr>
        <w:tc>
          <w:tcPr>
            <w:tcW w:w="4408" w:type="dxa"/>
            <w:tcMar>
              <w:top w:w="0" w:type="dxa"/>
              <w:left w:w="108" w:type="dxa"/>
              <w:bottom w:w="0" w:type="dxa"/>
              <w:right w:w="108" w:type="dxa"/>
            </w:tcMar>
            <w:hideMark/>
          </w:tcPr>
          <w:p w14:paraId="2CF97AA9" w14:textId="77777777" w:rsidR="00926426" w:rsidRPr="00814C3E" w:rsidRDefault="00926426" w:rsidP="00926426">
            <w:pPr>
              <w:spacing w:after="0"/>
              <w:ind w:firstLine="0"/>
              <w:rPr>
                <w:snapToGrid w:val="0"/>
                <w:color w:val="000000"/>
                <w:sz w:val="20"/>
              </w:rPr>
            </w:pPr>
            <w:r w:rsidRPr="00814C3E">
              <w:rPr>
                <w:snapToGrid w:val="0"/>
                <w:color w:val="000000"/>
                <w:sz w:val="20"/>
              </w:rPr>
              <w:t>2. Neto aizdevumi/ aizņemšanās privātajā sektorā</w:t>
            </w:r>
          </w:p>
        </w:tc>
        <w:tc>
          <w:tcPr>
            <w:tcW w:w="951" w:type="dxa"/>
            <w:tcMar>
              <w:top w:w="0" w:type="dxa"/>
              <w:left w:w="108" w:type="dxa"/>
              <w:bottom w:w="0" w:type="dxa"/>
              <w:right w:w="108" w:type="dxa"/>
            </w:tcMar>
            <w:hideMark/>
          </w:tcPr>
          <w:p w14:paraId="79E37FC1" w14:textId="77777777" w:rsidR="00926426" w:rsidRPr="00814C3E" w:rsidRDefault="00926426" w:rsidP="00926426">
            <w:pPr>
              <w:spacing w:after="0"/>
              <w:ind w:firstLine="0"/>
              <w:rPr>
                <w:snapToGrid w:val="0"/>
                <w:color w:val="000000"/>
                <w:sz w:val="20"/>
              </w:rPr>
            </w:pPr>
            <w:r w:rsidRPr="00814C3E">
              <w:rPr>
                <w:snapToGrid w:val="0"/>
                <w:color w:val="000000"/>
                <w:sz w:val="20"/>
              </w:rPr>
              <w:t>B.9</w:t>
            </w:r>
          </w:p>
        </w:tc>
        <w:tc>
          <w:tcPr>
            <w:tcW w:w="797" w:type="dxa"/>
            <w:tcMar>
              <w:top w:w="0" w:type="dxa"/>
              <w:left w:w="108" w:type="dxa"/>
              <w:bottom w:w="0" w:type="dxa"/>
              <w:right w:w="108" w:type="dxa"/>
            </w:tcMar>
          </w:tcPr>
          <w:p w14:paraId="27A91191" w14:textId="77777777" w:rsidR="00926426" w:rsidRPr="00814C3E" w:rsidRDefault="00926426" w:rsidP="004B74A0">
            <w:pPr>
              <w:spacing w:after="0"/>
              <w:ind w:firstLine="0"/>
              <w:jc w:val="right"/>
              <w:rPr>
                <w:snapToGrid w:val="0"/>
                <w:sz w:val="20"/>
              </w:rPr>
            </w:pPr>
            <w:r w:rsidRPr="00814C3E">
              <w:rPr>
                <w:snapToGrid w:val="0"/>
                <w:sz w:val="20"/>
              </w:rPr>
              <w:t>2,6%</w:t>
            </w:r>
          </w:p>
        </w:tc>
        <w:tc>
          <w:tcPr>
            <w:tcW w:w="797" w:type="dxa"/>
            <w:tcMar>
              <w:top w:w="0" w:type="dxa"/>
              <w:left w:w="108" w:type="dxa"/>
              <w:bottom w:w="0" w:type="dxa"/>
              <w:right w:w="108" w:type="dxa"/>
            </w:tcMar>
          </w:tcPr>
          <w:p w14:paraId="1C13A44C" w14:textId="77777777" w:rsidR="00926426" w:rsidRPr="00814C3E" w:rsidRDefault="00926426" w:rsidP="004B74A0">
            <w:pPr>
              <w:spacing w:after="0"/>
              <w:ind w:firstLine="0"/>
              <w:jc w:val="right"/>
              <w:rPr>
                <w:snapToGrid w:val="0"/>
                <w:sz w:val="20"/>
              </w:rPr>
            </w:pPr>
            <w:r w:rsidRPr="00814C3E">
              <w:rPr>
                <w:snapToGrid w:val="0"/>
                <w:sz w:val="20"/>
              </w:rPr>
              <w:t>2,2%</w:t>
            </w:r>
          </w:p>
        </w:tc>
        <w:tc>
          <w:tcPr>
            <w:tcW w:w="797" w:type="dxa"/>
            <w:tcMar>
              <w:top w:w="0" w:type="dxa"/>
              <w:left w:w="108" w:type="dxa"/>
              <w:bottom w:w="0" w:type="dxa"/>
              <w:right w:w="108" w:type="dxa"/>
            </w:tcMar>
          </w:tcPr>
          <w:p w14:paraId="3892A910" w14:textId="77777777" w:rsidR="00926426" w:rsidRPr="00814C3E" w:rsidRDefault="00926426" w:rsidP="004B74A0">
            <w:pPr>
              <w:spacing w:after="0"/>
              <w:ind w:firstLine="0"/>
              <w:jc w:val="right"/>
              <w:rPr>
                <w:snapToGrid w:val="0"/>
                <w:sz w:val="20"/>
              </w:rPr>
            </w:pPr>
            <w:r w:rsidRPr="00814C3E">
              <w:rPr>
                <w:snapToGrid w:val="0"/>
                <w:sz w:val="20"/>
              </w:rPr>
              <w:t>1,9%</w:t>
            </w:r>
          </w:p>
        </w:tc>
        <w:tc>
          <w:tcPr>
            <w:tcW w:w="797" w:type="dxa"/>
            <w:tcMar>
              <w:top w:w="0" w:type="dxa"/>
              <w:left w:w="108" w:type="dxa"/>
              <w:bottom w:w="0" w:type="dxa"/>
              <w:right w:w="108" w:type="dxa"/>
            </w:tcMar>
          </w:tcPr>
          <w:p w14:paraId="6D6CA027" w14:textId="77777777" w:rsidR="00926426" w:rsidRPr="00814C3E" w:rsidRDefault="00926426" w:rsidP="004B74A0">
            <w:pPr>
              <w:spacing w:after="0"/>
              <w:ind w:firstLine="0"/>
              <w:jc w:val="right"/>
              <w:rPr>
                <w:snapToGrid w:val="0"/>
                <w:sz w:val="20"/>
              </w:rPr>
            </w:pPr>
            <w:r>
              <w:rPr>
                <w:snapToGrid w:val="0"/>
                <w:sz w:val="20"/>
              </w:rPr>
              <w:t>1</w:t>
            </w:r>
            <w:r w:rsidRPr="00814C3E">
              <w:rPr>
                <w:snapToGrid w:val="0"/>
                <w:sz w:val="20"/>
              </w:rPr>
              <w:t>,</w:t>
            </w:r>
            <w:r>
              <w:rPr>
                <w:snapToGrid w:val="0"/>
                <w:sz w:val="20"/>
              </w:rPr>
              <w:t>5</w:t>
            </w:r>
            <w:r w:rsidRPr="00814C3E">
              <w:rPr>
                <w:snapToGrid w:val="0"/>
                <w:sz w:val="20"/>
              </w:rPr>
              <w:t>%</w:t>
            </w:r>
          </w:p>
        </w:tc>
        <w:tc>
          <w:tcPr>
            <w:tcW w:w="710" w:type="dxa"/>
            <w:tcMar>
              <w:top w:w="0" w:type="dxa"/>
              <w:left w:w="108" w:type="dxa"/>
              <w:bottom w:w="0" w:type="dxa"/>
              <w:right w:w="108" w:type="dxa"/>
            </w:tcMar>
          </w:tcPr>
          <w:p w14:paraId="7B48F419" w14:textId="77777777" w:rsidR="00926426" w:rsidRPr="00814C3E" w:rsidRDefault="00926426" w:rsidP="004B74A0">
            <w:pPr>
              <w:spacing w:after="0"/>
              <w:ind w:firstLine="0"/>
              <w:jc w:val="right"/>
              <w:rPr>
                <w:snapToGrid w:val="0"/>
                <w:sz w:val="20"/>
              </w:rPr>
            </w:pPr>
            <w:r>
              <w:rPr>
                <w:snapToGrid w:val="0"/>
                <w:sz w:val="20"/>
              </w:rPr>
              <w:t>1,0</w:t>
            </w:r>
            <w:r w:rsidRPr="00814C3E">
              <w:rPr>
                <w:snapToGrid w:val="0"/>
                <w:sz w:val="20"/>
              </w:rPr>
              <w:t>%</w:t>
            </w:r>
          </w:p>
        </w:tc>
      </w:tr>
      <w:tr w:rsidR="00926426" w:rsidRPr="00814C3E" w14:paraId="3CAF3E3F" w14:textId="77777777" w:rsidTr="004B74A0">
        <w:trPr>
          <w:jc w:val="center"/>
        </w:trPr>
        <w:tc>
          <w:tcPr>
            <w:tcW w:w="4408" w:type="dxa"/>
            <w:tcMar>
              <w:top w:w="0" w:type="dxa"/>
              <w:left w:w="108" w:type="dxa"/>
              <w:bottom w:w="0" w:type="dxa"/>
              <w:right w:w="108" w:type="dxa"/>
            </w:tcMar>
            <w:hideMark/>
          </w:tcPr>
          <w:p w14:paraId="1DB6DE84" w14:textId="77777777" w:rsidR="00926426" w:rsidRPr="00814C3E" w:rsidRDefault="00926426" w:rsidP="00926426">
            <w:pPr>
              <w:spacing w:after="0"/>
              <w:ind w:firstLine="0"/>
              <w:rPr>
                <w:snapToGrid w:val="0"/>
                <w:color w:val="000000"/>
                <w:sz w:val="20"/>
              </w:rPr>
            </w:pPr>
            <w:r w:rsidRPr="00814C3E">
              <w:rPr>
                <w:snapToGrid w:val="0"/>
                <w:color w:val="000000"/>
                <w:sz w:val="20"/>
              </w:rPr>
              <w:t>3. Neto aizdevumi/ aizņemšanās vispārējās valdības sektorā</w:t>
            </w:r>
          </w:p>
        </w:tc>
        <w:tc>
          <w:tcPr>
            <w:tcW w:w="951" w:type="dxa"/>
            <w:tcMar>
              <w:top w:w="0" w:type="dxa"/>
              <w:left w:w="108" w:type="dxa"/>
              <w:bottom w:w="0" w:type="dxa"/>
              <w:right w:w="108" w:type="dxa"/>
            </w:tcMar>
            <w:hideMark/>
          </w:tcPr>
          <w:p w14:paraId="0B83258E" w14:textId="77777777" w:rsidR="00926426" w:rsidRPr="00814C3E" w:rsidRDefault="00926426" w:rsidP="00926426">
            <w:pPr>
              <w:spacing w:after="0"/>
              <w:ind w:firstLine="0"/>
              <w:rPr>
                <w:snapToGrid w:val="0"/>
                <w:color w:val="000000"/>
                <w:sz w:val="20"/>
              </w:rPr>
            </w:pPr>
            <w:r w:rsidRPr="00814C3E">
              <w:rPr>
                <w:snapToGrid w:val="0"/>
                <w:color w:val="000000"/>
                <w:sz w:val="20"/>
              </w:rPr>
              <w:t>EDP B.9</w:t>
            </w:r>
          </w:p>
        </w:tc>
        <w:tc>
          <w:tcPr>
            <w:tcW w:w="797" w:type="dxa"/>
            <w:tcMar>
              <w:top w:w="0" w:type="dxa"/>
              <w:left w:w="108" w:type="dxa"/>
              <w:bottom w:w="0" w:type="dxa"/>
              <w:right w:w="108" w:type="dxa"/>
            </w:tcMar>
          </w:tcPr>
          <w:p w14:paraId="41446385" w14:textId="40F9CCE7" w:rsidR="00926426" w:rsidRPr="00814C3E" w:rsidRDefault="00926426" w:rsidP="004B74A0">
            <w:pPr>
              <w:spacing w:after="0"/>
              <w:ind w:firstLine="0"/>
              <w:jc w:val="right"/>
              <w:rPr>
                <w:snapToGrid w:val="0"/>
                <w:sz w:val="20"/>
              </w:rPr>
            </w:pPr>
            <w:r w:rsidRPr="00814C3E">
              <w:rPr>
                <w:snapToGrid w:val="0"/>
                <w:sz w:val="20"/>
              </w:rPr>
              <w:t>-1,0%</w:t>
            </w:r>
          </w:p>
        </w:tc>
        <w:tc>
          <w:tcPr>
            <w:tcW w:w="797" w:type="dxa"/>
            <w:tcMar>
              <w:top w:w="0" w:type="dxa"/>
              <w:left w:w="108" w:type="dxa"/>
              <w:bottom w:w="0" w:type="dxa"/>
              <w:right w:w="108" w:type="dxa"/>
            </w:tcMar>
          </w:tcPr>
          <w:p w14:paraId="77AAC239" w14:textId="4A3694E1" w:rsidR="00926426" w:rsidRPr="00814C3E" w:rsidRDefault="00926426" w:rsidP="004B74A0">
            <w:pPr>
              <w:spacing w:after="0"/>
              <w:ind w:firstLine="0"/>
              <w:jc w:val="right"/>
              <w:rPr>
                <w:snapToGrid w:val="0"/>
                <w:sz w:val="20"/>
              </w:rPr>
            </w:pPr>
            <w:r w:rsidRPr="00814C3E">
              <w:rPr>
                <w:snapToGrid w:val="0"/>
                <w:sz w:val="20"/>
              </w:rPr>
              <w:t>-1,0%</w:t>
            </w:r>
          </w:p>
        </w:tc>
        <w:tc>
          <w:tcPr>
            <w:tcW w:w="797" w:type="dxa"/>
            <w:tcMar>
              <w:top w:w="0" w:type="dxa"/>
              <w:left w:w="108" w:type="dxa"/>
              <w:bottom w:w="0" w:type="dxa"/>
              <w:right w:w="108" w:type="dxa"/>
            </w:tcMar>
          </w:tcPr>
          <w:p w14:paraId="6CEA0DE6" w14:textId="2AFA6936" w:rsidR="00926426" w:rsidRPr="00814C3E" w:rsidRDefault="00926426" w:rsidP="004B74A0">
            <w:pPr>
              <w:spacing w:after="0"/>
              <w:ind w:firstLine="0"/>
              <w:jc w:val="right"/>
              <w:rPr>
                <w:snapToGrid w:val="0"/>
                <w:sz w:val="20"/>
              </w:rPr>
            </w:pPr>
            <w:r w:rsidRPr="00814C3E">
              <w:rPr>
                <w:snapToGrid w:val="0"/>
                <w:sz w:val="20"/>
              </w:rPr>
              <w:t>-0,8%</w:t>
            </w:r>
          </w:p>
        </w:tc>
        <w:tc>
          <w:tcPr>
            <w:tcW w:w="797" w:type="dxa"/>
            <w:tcMar>
              <w:top w:w="0" w:type="dxa"/>
              <w:left w:w="108" w:type="dxa"/>
              <w:bottom w:w="0" w:type="dxa"/>
              <w:right w:w="108" w:type="dxa"/>
            </w:tcMar>
          </w:tcPr>
          <w:p w14:paraId="6A2420DF" w14:textId="63A2FE8D" w:rsidR="00926426" w:rsidRPr="00814C3E" w:rsidRDefault="00926426" w:rsidP="004B74A0">
            <w:pPr>
              <w:spacing w:after="0"/>
              <w:ind w:firstLine="0"/>
              <w:jc w:val="right"/>
              <w:rPr>
                <w:snapToGrid w:val="0"/>
                <w:sz w:val="20"/>
              </w:rPr>
            </w:pPr>
            <w:r>
              <w:rPr>
                <w:snapToGrid w:val="0"/>
                <w:sz w:val="20"/>
              </w:rPr>
              <w:t>-</w:t>
            </w:r>
            <w:r w:rsidRPr="00814C3E">
              <w:rPr>
                <w:snapToGrid w:val="0"/>
                <w:sz w:val="20"/>
              </w:rPr>
              <w:t>0,</w:t>
            </w:r>
            <w:r>
              <w:rPr>
                <w:snapToGrid w:val="0"/>
                <w:sz w:val="20"/>
              </w:rPr>
              <w:t>7</w:t>
            </w:r>
            <w:r w:rsidRPr="00814C3E">
              <w:rPr>
                <w:snapToGrid w:val="0"/>
                <w:sz w:val="20"/>
              </w:rPr>
              <w:t>%</w:t>
            </w:r>
          </w:p>
        </w:tc>
        <w:tc>
          <w:tcPr>
            <w:tcW w:w="710" w:type="dxa"/>
            <w:tcMar>
              <w:top w:w="0" w:type="dxa"/>
              <w:left w:w="108" w:type="dxa"/>
              <w:bottom w:w="0" w:type="dxa"/>
              <w:right w:w="108" w:type="dxa"/>
            </w:tcMar>
          </w:tcPr>
          <w:p w14:paraId="070DEFA5" w14:textId="7F0C616D" w:rsidR="00926426" w:rsidRPr="00814C3E" w:rsidRDefault="00926426" w:rsidP="004B74A0">
            <w:pPr>
              <w:spacing w:after="0"/>
              <w:ind w:firstLine="0"/>
              <w:jc w:val="right"/>
              <w:rPr>
                <w:snapToGrid w:val="0"/>
                <w:sz w:val="20"/>
              </w:rPr>
            </w:pPr>
            <w:r>
              <w:rPr>
                <w:snapToGrid w:val="0"/>
                <w:sz w:val="20"/>
              </w:rPr>
              <w:t>-0,7</w:t>
            </w:r>
            <w:r w:rsidRPr="00814C3E">
              <w:rPr>
                <w:snapToGrid w:val="0"/>
                <w:sz w:val="20"/>
              </w:rPr>
              <w:t>%</w:t>
            </w:r>
          </w:p>
        </w:tc>
      </w:tr>
      <w:tr w:rsidR="00926426" w:rsidRPr="002D72BF" w14:paraId="0E498795" w14:textId="77777777" w:rsidTr="004B74A0">
        <w:trPr>
          <w:jc w:val="center"/>
        </w:trPr>
        <w:tc>
          <w:tcPr>
            <w:tcW w:w="4408" w:type="dxa"/>
            <w:tcMar>
              <w:top w:w="0" w:type="dxa"/>
              <w:left w:w="108" w:type="dxa"/>
              <w:bottom w:w="0" w:type="dxa"/>
              <w:right w:w="108" w:type="dxa"/>
            </w:tcMar>
            <w:hideMark/>
          </w:tcPr>
          <w:p w14:paraId="29F3BE4C" w14:textId="77777777" w:rsidR="00926426" w:rsidRPr="00814C3E" w:rsidRDefault="00926426" w:rsidP="00926426">
            <w:pPr>
              <w:spacing w:after="0"/>
              <w:ind w:firstLine="0"/>
              <w:rPr>
                <w:snapToGrid w:val="0"/>
                <w:color w:val="000000"/>
                <w:sz w:val="20"/>
              </w:rPr>
            </w:pPr>
            <w:r w:rsidRPr="00814C3E">
              <w:rPr>
                <w:snapToGrid w:val="0"/>
                <w:color w:val="000000"/>
                <w:sz w:val="20"/>
              </w:rPr>
              <w:t>4. Statistiskā novirze</w:t>
            </w:r>
          </w:p>
        </w:tc>
        <w:tc>
          <w:tcPr>
            <w:tcW w:w="951" w:type="dxa"/>
            <w:tcMar>
              <w:top w:w="0" w:type="dxa"/>
              <w:left w:w="108" w:type="dxa"/>
              <w:bottom w:w="0" w:type="dxa"/>
              <w:right w:w="108" w:type="dxa"/>
            </w:tcMar>
          </w:tcPr>
          <w:p w14:paraId="06D8210F" w14:textId="77777777" w:rsidR="00926426" w:rsidRPr="00814C3E" w:rsidRDefault="00926426" w:rsidP="00926426">
            <w:pPr>
              <w:spacing w:after="0"/>
              <w:rPr>
                <w:snapToGrid w:val="0"/>
                <w:color w:val="000000"/>
                <w:sz w:val="20"/>
              </w:rPr>
            </w:pPr>
          </w:p>
        </w:tc>
        <w:tc>
          <w:tcPr>
            <w:tcW w:w="797" w:type="dxa"/>
            <w:tcMar>
              <w:top w:w="0" w:type="dxa"/>
              <w:left w:w="108" w:type="dxa"/>
              <w:bottom w:w="0" w:type="dxa"/>
              <w:right w:w="108" w:type="dxa"/>
            </w:tcMar>
          </w:tcPr>
          <w:p w14:paraId="2C78FFD0" w14:textId="77777777" w:rsidR="00926426" w:rsidRPr="00814C3E" w:rsidRDefault="00926426" w:rsidP="004B74A0">
            <w:pPr>
              <w:spacing w:after="0"/>
              <w:ind w:hanging="31"/>
              <w:jc w:val="right"/>
              <w:rPr>
                <w:rFonts w:eastAsia="Calibri"/>
                <w:i/>
                <w:color w:val="000000"/>
                <w:sz w:val="20"/>
              </w:rPr>
            </w:pPr>
            <w:r w:rsidRPr="00814C3E">
              <w:rPr>
                <w:rFonts w:eastAsia="Calibri"/>
                <w:i/>
                <w:color w:val="000000"/>
                <w:sz w:val="20"/>
              </w:rPr>
              <w:t>-0,8%</w:t>
            </w:r>
          </w:p>
        </w:tc>
        <w:tc>
          <w:tcPr>
            <w:tcW w:w="797" w:type="dxa"/>
            <w:tcMar>
              <w:top w:w="0" w:type="dxa"/>
              <w:left w:w="108" w:type="dxa"/>
              <w:bottom w:w="0" w:type="dxa"/>
              <w:right w:w="108" w:type="dxa"/>
            </w:tcMar>
          </w:tcPr>
          <w:p w14:paraId="38FA8D5A" w14:textId="77777777" w:rsidR="00926426" w:rsidRPr="00814C3E" w:rsidRDefault="00926426" w:rsidP="004B74A0">
            <w:pPr>
              <w:spacing w:after="0"/>
              <w:ind w:hanging="31"/>
              <w:jc w:val="right"/>
              <w:rPr>
                <w:rFonts w:eastAsia="Calibri"/>
                <w:i/>
                <w:color w:val="000000"/>
                <w:sz w:val="20"/>
              </w:rPr>
            </w:pPr>
            <w:r w:rsidRPr="00814C3E">
              <w:rPr>
                <w:rFonts w:eastAsia="Calibri"/>
                <w:i/>
                <w:color w:val="000000"/>
                <w:sz w:val="20"/>
              </w:rPr>
              <w:t>0,0%</w:t>
            </w:r>
          </w:p>
        </w:tc>
        <w:tc>
          <w:tcPr>
            <w:tcW w:w="797" w:type="dxa"/>
            <w:tcMar>
              <w:top w:w="0" w:type="dxa"/>
              <w:left w:w="108" w:type="dxa"/>
              <w:bottom w:w="0" w:type="dxa"/>
              <w:right w:w="108" w:type="dxa"/>
            </w:tcMar>
          </w:tcPr>
          <w:p w14:paraId="7F0D97C6" w14:textId="77777777" w:rsidR="00926426" w:rsidRPr="00814C3E" w:rsidRDefault="00926426" w:rsidP="004B74A0">
            <w:pPr>
              <w:spacing w:after="0"/>
              <w:ind w:hanging="31"/>
              <w:jc w:val="right"/>
              <w:rPr>
                <w:rFonts w:eastAsia="Calibri"/>
                <w:i/>
                <w:color w:val="000000"/>
                <w:sz w:val="20"/>
              </w:rPr>
            </w:pPr>
            <w:r w:rsidRPr="00814C3E">
              <w:rPr>
                <w:rFonts w:eastAsia="Calibri"/>
                <w:i/>
                <w:color w:val="000000"/>
                <w:sz w:val="20"/>
              </w:rPr>
              <w:t>0,0%</w:t>
            </w:r>
          </w:p>
        </w:tc>
        <w:tc>
          <w:tcPr>
            <w:tcW w:w="797" w:type="dxa"/>
            <w:tcMar>
              <w:top w:w="0" w:type="dxa"/>
              <w:left w:w="108" w:type="dxa"/>
              <w:bottom w:w="0" w:type="dxa"/>
              <w:right w:w="108" w:type="dxa"/>
            </w:tcMar>
          </w:tcPr>
          <w:p w14:paraId="47847E37" w14:textId="77777777" w:rsidR="00926426" w:rsidRPr="00814C3E" w:rsidRDefault="00926426" w:rsidP="004B74A0">
            <w:pPr>
              <w:spacing w:after="0"/>
              <w:ind w:hanging="31"/>
              <w:jc w:val="right"/>
              <w:rPr>
                <w:rFonts w:eastAsia="Calibri"/>
                <w:i/>
                <w:color w:val="000000"/>
                <w:sz w:val="20"/>
              </w:rPr>
            </w:pPr>
            <w:r w:rsidRPr="00814C3E">
              <w:rPr>
                <w:rFonts w:eastAsia="Calibri"/>
                <w:i/>
                <w:color w:val="000000"/>
                <w:sz w:val="20"/>
              </w:rPr>
              <w:t>0,0%</w:t>
            </w:r>
          </w:p>
        </w:tc>
        <w:tc>
          <w:tcPr>
            <w:tcW w:w="710" w:type="dxa"/>
            <w:tcMar>
              <w:top w:w="0" w:type="dxa"/>
              <w:left w:w="108" w:type="dxa"/>
              <w:bottom w:w="0" w:type="dxa"/>
              <w:right w:w="108" w:type="dxa"/>
            </w:tcMar>
          </w:tcPr>
          <w:p w14:paraId="40EAE46A" w14:textId="77777777" w:rsidR="00926426" w:rsidRPr="002D72BF" w:rsidRDefault="00926426" w:rsidP="004B74A0">
            <w:pPr>
              <w:spacing w:after="0"/>
              <w:ind w:hanging="31"/>
              <w:jc w:val="right"/>
              <w:rPr>
                <w:rFonts w:eastAsia="Calibri"/>
                <w:i/>
                <w:color w:val="000000"/>
                <w:sz w:val="20"/>
              </w:rPr>
            </w:pPr>
            <w:r w:rsidRPr="00814C3E">
              <w:rPr>
                <w:rFonts w:eastAsia="Calibri"/>
                <w:i/>
                <w:color w:val="000000"/>
                <w:sz w:val="20"/>
              </w:rPr>
              <w:t>0,0%</w:t>
            </w:r>
          </w:p>
        </w:tc>
      </w:tr>
    </w:tbl>
    <w:p w14:paraId="0754E1DC" w14:textId="77777777" w:rsidR="00926426" w:rsidRDefault="00926426" w:rsidP="006B5F7D">
      <w:pPr>
        <w:ind w:firstLine="0"/>
        <w:jc w:val="left"/>
        <w:rPr>
          <w:b/>
          <w:color w:val="000000"/>
          <w:szCs w:val="24"/>
        </w:rPr>
      </w:pPr>
    </w:p>
    <w:p w14:paraId="16AC7F44" w14:textId="5E695C42" w:rsidR="006B5F7D" w:rsidRDefault="00926426" w:rsidP="006B5F7D">
      <w:pPr>
        <w:ind w:firstLine="0"/>
        <w:jc w:val="left"/>
        <w:rPr>
          <w:b/>
          <w:color w:val="000000"/>
          <w:szCs w:val="24"/>
        </w:rPr>
      </w:pPr>
      <w:r>
        <w:rPr>
          <w:b/>
          <w:color w:val="000000"/>
          <w:szCs w:val="24"/>
        </w:rPr>
        <w:br w:type="page"/>
      </w:r>
      <w:r w:rsidR="006B5F7D" w:rsidRPr="001946E0">
        <w:rPr>
          <w:b/>
          <w:color w:val="000000"/>
          <w:szCs w:val="24"/>
        </w:rPr>
        <w:t xml:space="preserve">2a. tabula. Vispārējās valdības budžeta attīstība </w:t>
      </w:r>
    </w:p>
    <w:tbl>
      <w:tblPr>
        <w:tblW w:w="9766" w:type="dxa"/>
        <w:jc w:val="center"/>
        <w:tblLayout w:type="fixed"/>
        <w:tblLook w:val="0000" w:firstRow="0" w:lastRow="0" w:firstColumn="0" w:lastColumn="0" w:noHBand="0" w:noVBand="0"/>
      </w:tblPr>
      <w:tblGrid>
        <w:gridCol w:w="1157"/>
        <w:gridCol w:w="2955"/>
        <w:gridCol w:w="1118"/>
        <w:gridCol w:w="989"/>
        <w:gridCol w:w="712"/>
        <w:gridCol w:w="713"/>
        <w:gridCol w:w="712"/>
        <w:gridCol w:w="713"/>
        <w:gridCol w:w="697"/>
      </w:tblGrid>
      <w:tr w:rsidR="00F102F6" w:rsidRPr="001518C9" w14:paraId="0D3308AD" w14:textId="77777777" w:rsidTr="00C15091">
        <w:trPr>
          <w:cantSplit/>
          <w:tblHeader/>
          <w:jc w:val="center"/>
        </w:trPr>
        <w:tc>
          <w:tcPr>
            <w:tcW w:w="4112" w:type="dxa"/>
            <w:gridSpan w:val="2"/>
            <w:tcBorders>
              <w:top w:val="double" w:sz="4" w:space="0" w:color="auto"/>
              <w:left w:val="double" w:sz="4" w:space="0" w:color="auto"/>
              <w:bottom w:val="single" w:sz="4" w:space="0" w:color="auto"/>
              <w:right w:val="single" w:sz="4" w:space="0" w:color="auto"/>
            </w:tcBorders>
            <w:vAlign w:val="bottom"/>
          </w:tcPr>
          <w:p w14:paraId="11046D95" w14:textId="77777777" w:rsidR="00F102F6" w:rsidRPr="001518C9" w:rsidRDefault="00F102F6" w:rsidP="00C15091">
            <w:pPr>
              <w:pStyle w:val="tabteksts"/>
              <w:jc w:val="center"/>
              <w:rPr>
                <w:b/>
              </w:rPr>
            </w:pPr>
          </w:p>
        </w:tc>
        <w:tc>
          <w:tcPr>
            <w:tcW w:w="1118" w:type="dxa"/>
            <w:tcBorders>
              <w:top w:val="double" w:sz="4" w:space="0" w:color="auto"/>
              <w:left w:val="single" w:sz="4" w:space="0" w:color="auto"/>
              <w:bottom w:val="single" w:sz="4" w:space="0" w:color="auto"/>
              <w:right w:val="double" w:sz="4" w:space="0" w:color="auto"/>
            </w:tcBorders>
            <w:vAlign w:val="bottom"/>
          </w:tcPr>
          <w:p w14:paraId="71ECA2B3" w14:textId="77777777" w:rsidR="00F102F6" w:rsidRPr="001518C9" w:rsidRDefault="00F102F6" w:rsidP="00C15091">
            <w:pPr>
              <w:pStyle w:val="tabteksts"/>
              <w:jc w:val="center"/>
              <w:rPr>
                <w:b/>
              </w:rPr>
            </w:pPr>
          </w:p>
        </w:tc>
        <w:tc>
          <w:tcPr>
            <w:tcW w:w="989" w:type="dxa"/>
            <w:tcBorders>
              <w:top w:val="double" w:sz="4" w:space="0" w:color="auto"/>
              <w:left w:val="double" w:sz="4" w:space="0" w:color="auto"/>
              <w:bottom w:val="single" w:sz="4" w:space="0" w:color="auto"/>
              <w:right w:val="single" w:sz="4" w:space="0" w:color="auto"/>
            </w:tcBorders>
            <w:vAlign w:val="bottom"/>
          </w:tcPr>
          <w:p w14:paraId="1E2AA85D" w14:textId="77777777" w:rsidR="00F102F6" w:rsidRPr="001518C9" w:rsidRDefault="00F102F6" w:rsidP="00C15091">
            <w:pPr>
              <w:pStyle w:val="tabteksts"/>
              <w:jc w:val="center"/>
              <w:rPr>
                <w:b/>
              </w:rPr>
            </w:pPr>
            <w:r>
              <w:rPr>
                <w:b/>
              </w:rPr>
              <w:t>2013</w:t>
            </w:r>
          </w:p>
        </w:tc>
        <w:tc>
          <w:tcPr>
            <w:tcW w:w="712" w:type="dxa"/>
            <w:tcBorders>
              <w:top w:val="double" w:sz="4" w:space="0" w:color="auto"/>
              <w:left w:val="nil"/>
              <w:bottom w:val="single" w:sz="4" w:space="0" w:color="auto"/>
              <w:right w:val="single" w:sz="4" w:space="0" w:color="auto"/>
            </w:tcBorders>
            <w:vAlign w:val="bottom"/>
          </w:tcPr>
          <w:p w14:paraId="6589AAA9" w14:textId="77777777" w:rsidR="00F102F6" w:rsidRPr="001518C9" w:rsidRDefault="00F102F6" w:rsidP="00C15091">
            <w:pPr>
              <w:pStyle w:val="tabteksts"/>
              <w:jc w:val="center"/>
              <w:rPr>
                <w:b/>
              </w:rPr>
            </w:pPr>
            <w:r w:rsidRPr="001518C9">
              <w:rPr>
                <w:b/>
              </w:rPr>
              <w:t>201</w:t>
            </w:r>
            <w:r>
              <w:rPr>
                <w:b/>
              </w:rPr>
              <w:t>3</w:t>
            </w:r>
          </w:p>
        </w:tc>
        <w:tc>
          <w:tcPr>
            <w:tcW w:w="713" w:type="dxa"/>
            <w:tcBorders>
              <w:top w:val="double" w:sz="4" w:space="0" w:color="auto"/>
              <w:left w:val="nil"/>
              <w:bottom w:val="single" w:sz="4" w:space="0" w:color="auto"/>
              <w:right w:val="single" w:sz="4" w:space="0" w:color="auto"/>
            </w:tcBorders>
            <w:vAlign w:val="bottom"/>
          </w:tcPr>
          <w:p w14:paraId="6D64FC0B" w14:textId="77777777" w:rsidR="00F102F6" w:rsidRPr="001518C9" w:rsidRDefault="00F102F6" w:rsidP="00C15091">
            <w:pPr>
              <w:pStyle w:val="tabteksts"/>
              <w:jc w:val="center"/>
              <w:rPr>
                <w:b/>
              </w:rPr>
            </w:pPr>
            <w:r w:rsidRPr="00315B1B">
              <w:rPr>
                <w:b/>
              </w:rPr>
              <w:t>2014</w:t>
            </w:r>
          </w:p>
        </w:tc>
        <w:tc>
          <w:tcPr>
            <w:tcW w:w="712" w:type="dxa"/>
            <w:tcBorders>
              <w:top w:val="double" w:sz="4" w:space="0" w:color="auto"/>
              <w:left w:val="nil"/>
              <w:bottom w:val="single" w:sz="4" w:space="0" w:color="auto"/>
              <w:right w:val="single" w:sz="4" w:space="0" w:color="auto"/>
            </w:tcBorders>
          </w:tcPr>
          <w:p w14:paraId="56262C5A" w14:textId="77777777" w:rsidR="00F102F6" w:rsidRPr="001518C9" w:rsidRDefault="00F102F6" w:rsidP="00C15091">
            <w:pPr>
              <w:pStyle w:val="tabteksts"/>
              <w:jc w:val="center"/>
              <w:rPr>
                <w:b/>
              </w:rPr>
            </w:pPr>
            <w:r w:rsidRPr="001518C9">
              <w:rPr>
                <w:b/>
              </w:rPr>
              <w:t>201</w:t>
            </w:r>
            <w:r>
              <w:rPr>
                <w:b/>
              </w:rPr>
              <w:t>5</w:t>
            </w:r>
          </w:p>
        </w:tc>
        <w:tc>
          <w:tcPr>
            <w:tcW w:w="713" w:type="dxa"/>
            <w:tcBorders>
              <w:top w:val="double" w:sz="4" w:space="0" w:color="auto"/>
              <w:left w:val="nil"/>
              <w:bottom w:val="single" w:sz="4" w:space="0" w:color="auto"/>
              <w:right w:val="single" w:sz="4" w:space="0" w:color="auto"/>
            </w:tcBorders>
            <w:vAlign w:val="bottom"/>
          </w:tcPr>
          <w:p w14:paraId="11806A5D" w14:textId="77777777" w:rsidR="00F102F6" w:rsidRPr="001518C9" w:rsidRDefault="00F102F6" w:rsidP="00C15091">
            <w:pPr>
              <w:pStyle w:val="tabteksts"/>
              <w:jc w:val="center"/>
              <w:rPr>
                <w:b/>
              </w:rPr>
            </w:pPr>
            <w:r w:rsidRPr="001518C9">
              <w:rPr>
                <w:b/>
              </w:rPr>
              <w:t>201</w:t>
            </w:r>
            <w:r>
              <w:rPr>
                <w:b/>
              </w:rPr>
              <w:t>6</w:t>
            </w:r>
          </w:p>
        </w:tc>
        <w:tc>
          <w:tcPr>
            <w:tcW w:w="697" w:type="dxa"/>
            <w:tcBorders>
              <w:top w:val="double" w:sz="4" w:space="0" w:color="auto"/>
              <w:left w:val="single" w:sz="4" w:space="0" w:color="auto"/>
              <w:bottom w:val="single" w:sz="4" w:space="0" w:color="auto"/>
              <w:right w:val="double" w:sz="4" w:space="0" w:color="auto"/>
            </w:tcBorders>
            <w:vAlign w:val="bottom"/>
          </w:tcPr>
          <w:p w14:paraId="067D3A52" w14:textId="77777777" w:rsidR="00F102F6" w:rsidRPr="001518C9" w:rsidRDefault="00F102F6" w:rsidP="00C15091">
            <w:pPr>
              <w:pStyle w:val="tabteksts"/>
              <w:jc w:val="center"/>
              <w:rPr>
                <w:b/>
              </w:rPr>
            </w:pPr>
            <w:r w:rsidRPr="001518C9">
              <w:rPr>
                <w:b/>
              </w:rPr>
              <w:t>201</w:t>
            </w:r>
            <w:r>
              <w:rPr>
                <w:b/>
              </w:rPr>
              <w:t>7</w:t>
            </w:r>
          </w:p>
        </w:tc>
      </w:tr>
      <w:tr w:rsidR="00F102F6" w:rsidRPr="007A44FD" w14:paraId="442E7115" w14:textId="77777777" w:rsidTr="00C15091">
        <w:trPr>
          <w:cantSplit/>
          <w:tblHeader/>
          <w:jc w:val="center"/>
        </w:trPr>
        <w:tc>
          <w:tcPr>
            <w:tcW w:w="4112" w:type="dxa"/>
            <w:gridSpan w:val="2"/>
            <w:tcBorders>
              <w:top w:val="single" w:sz="4" w:space="0" w:color="auto"/>
              <w:left w:val="double" w:sz="4" w:space="0" w:color="auto"/>
              <w:bottom w:val="double" w:sz="4" w:space="0" w:color="auto"/>
              <w:right w:val="single" w:sz="4" w:space="0" w:color="auto"/>
            </w:tcBorders>
            <w:vAlign w:val="bottom"/>
          </w:tcPr>
          <w:p w14:paraId="79E080C1" w14:textId="77777777" w:rsidR="00F102F6" w:rsidRPr="001518C9" w:rsidRDefault="00F102F6" w:rsidP="00C15091">
            <w:pPr>
              <w:pStyle w:val="tabteksts"/>
            </w:pPr>
          </w:p>
        </w:tc>
        <w:tc>
          <w:tcPr>
            <w:tcW w:w="1118" w:type="dxa"/>
            <w:tcBorders>
              <w:top w:val="single" w:sz="4" w:space="0" w:color="auto"/>
              <w:left w:val="single" w:sz="4" w:space="0" w:color="auto"/>
              <w:bottom w:val="double" w:sz="4" w:space="0" w:color="auto"/>
              <w:right w:val="double" w:sz="4" w:space="0" w:color="auto"/>
            </w:tcBorders>
            <w:vAlign w:val="center"/>
          </w:tcPr>
          <w:p w14:paraId="34B856E3" w14:textId="77777777" w:rsidR="00F102F6" w:rsidRPr="001518C9" w:rsidRDefault="00F102F6" w:rsidP="00C15091">
            <w:pPr>
              <w:pStyle w:val="tabteksts"/>
              <w:jc w:val="center"/>
            </w:pPr>
            <w:r w:rsidRPr="001518C9">
              <w:t>EKS kods</w:t>
            </w:r>
          </w:p>
        </w:tc>
        <w:tc>
          <w:tcPr>
            <w:tcW w:w="989" w:type="dxa"/>
            <w:tcBorders>
              <w:top w:val="single" w:sz="4" w:space="0" w:color="auto"/>
              <w:left w:val="double" w:sz="4" w:space="0" w:color="auto"/>
              <w:bottom w:val="double" w:sz="4" w:space="0" w:color="auto"/>
              <w:right w:val="single" w:sz="4" w:space="0" w:color="auto"/>
            </w:tcBorders>
            <w:vAlign w:val="center"/>
          </w:tcPr>
          <w:p w14:paraId="1EEA1629" w14:textId="1140BCDB" w:rsidR="00F102F6" w:rsidRPr="001518C9" w:rsidRDefault="00AB6336" w:rsidP="00AB6336">
            <w:pPr>
              <w:pStyle w:val="tabteksts"/>
              <w:jc w:val="center"/>
              <w:rPr>
                <w:noProof/>
              </w:rPr>
            </w:pPr>
            <w:r>
              <w:rPr>
                <w:noProof/>
              </w:rPr>
              <w:t>milj.</w:t>
            </w:r>
            <w:r w:rsidRPr="00AB6336">
              <w:rPr>
                <w:i/>
                <w:noProof/>
              </w:rPr>
              <w:t>euro</w:t>
            </w:r>
          </w:p>
        </w:tc>
        <w:tc>
          <w:tcPr>
            <w:tcW w:w="3547" w:type="dxa"/>
            <w:gridSpan w:val="5"/>
            <w:tcBorders>
              <w:top w:val="single" w:sz="4" w:space="0" w:color="auto"/>
              <w:left w:val="nil"/>
              <w:bottom w:val="double" w:sz="4" w:space="0" w:color="auto"/>
              <w:right w:val="double" w:sz="4" w:space="0" w:color="auto"/>
            </w:tcBorders>
            <w:vAlign w:val="center"/>
          </w:tcPr>
          <w:p w14:paraId="1560F89E" w14:textId="77777777" w:rsidR="00F102F6" w:rsidRPr="001518C9" w:rsidRDefault="00F102F6" w:rsidP="00C15091">
            <w:pPr>
              <w:pStyle w:val="tabteksts"/>
              <w:jc w:val="center"/>
            </w:pPr>
            <w:r w:rsidRPr="001518C9">
              <w:t>% no IKP</w:t>
            </w:r>
          </w:p>
        </w:tc>
      </w:tr>
      <w:tr w:rsidR="00F102F6" w:rsidRPr="007A44FD" w14:paraId="432402E3" w14:textId="77777777" w:rsidTr="00C15091">
        <w:trPr>
          <w:cantSplit/>
          <w:jc w:val="center"/>
        </w:trPr>
        <w:tc>
          <w:tcPr>
            <w:tcW w:w="1157" w:type="dxa"/>
            <w:tcBorders>
              <w:top w:val="double" w:sz="4" w:space="0" w:color="auto"/>
              <w:left w:val="double" w:sz="4" w:space="0" w:color="auto"/>
              <w:bottom w:val="single" w:sz="4" w:space="0" w:color="auto"/>
            </w:tcBorders>
          </w:tcPr>
          <w:p w14:paraId="44B5087F" w14:textId="77777777" w:rsidR="00F102F6" w:rsidRPr="001518C9" w:rsidRDefault="00F102F6" w:rsidP="00C15091">
            <w:pPr>
              <w:pStyle w:val="tabteksts"/>
              <w:jc w:val="center"/>
              <w:rPr>
                <w:b/>
                <w:snapToGrid w:val="0"/>
              </w:rPr>
            </w:pPr>
          </w:p>
        </w:tc>
        <w:tc>
          <w:tcPr>
            <w:tcW w:w="8609" w:type="dxa"/>
            <w:gridSpan w:val="8"/>
            <w:tcBorders>
              <w:top w:val="double" w:sz="4" w:space="0" w:color="auto"/>
              <w:bottom w:val="single" w:sz="4" w:space="0" w:color="auto"/>
              <w:right w:val="double" w:sz="4" w:space="0" w:color="auto"/>
            </w:tcBorders>
            <w:vAlign w:val="bottom"/>
          </w:tcPr>
          <w:p w14:paraId="7013D01E" w14:textId="77777777" w:rsidR="00F102F6" w:rsidRPr="001518C9" w:rsidRDefault="00F102F6" w:rsidP="00C15091">
            <w:pPr>
              <w:pStyle w:val="tabteksts"/>
              <w:jc w:val="center"/>
              <w:rPr>
                <w:b/>
                <w:snapToGrid w:val="0"/>
              </w:rPr>
            </w:pPr>
            <w:r w:rsidRPr="001518C9">
              <w:rPr>
                <w:b/>
                <w:snapToGrid w:val="0"/>
              </w:rPr>
              <w:t xml:space="preserve">Neto aizdevumi (EDP B.9) pa </w:t>
            </w:r>
            <w:r w:rsidRPr="001518C9">
              <w:rPr>
                <w:b/>
                <w:noProof/>
                <w:snapToGrid w:val="0"/>
              </w:rPr>
              <w:t>apakšsektoriem</w:t>
            </w:r>
          </w:p>
        </w:tc>
      </w:tr>
      <w:tr w:rsidR="00F102F6" w:rsidRPr="00C704FB" w14:paraId="4E5BF2E1"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578F9F32" w14:textId="77777777" w:rsidR="00F102F6" w:rsidRPr="00C704FB" w:rsidRDefault="00F102F6" w:rsidP="00C15091">
            <w:pPr>
              <w:pStyle w:val="tabteksts"/>
              <w:rPr>
                <w:snapToGrid w:val="0"/>
              </w:rPr>
            </w:pPr>
            <w:r w:rsidRPr="00C704FB">
              <w:rPr>
                <w:snapToGrid w:val="0"/>
              </w:rPr>
              <w:t>1. Vispārējā valdība</w:t>
            </w:r>
          </w:p>
        </w:tc>
        <w:tc>
          <w:tcPr>
            <w:tcW w:w="1118" w:type="dxa"/>
            <w:tcBorders>
              <w:top w:val="single" w:sz="4" w:space="0" w:color="auto"/>
              <w:left w:val="single" w:sz="4" w:space="0" w:color="auto"/>
              <w:bottom w:val="single" w:sz="4" w:space="0" w:color="auto"/>
              <w:right w:val="double" w:sz="4" w:space="0" w:color="auto"/>
            </w:tcBorders>
            <w:vAlign w:val="bottom"/>
          </w:tcPr>
          <w:p w14:paraId="3BDB2E1C" w14:textId="77777777" w:rsidR="00F102F6" w:rsidRPr="00C704FB" w:rsidRDefault="00F102F6" w:rsidP="00C15091">
            <w:pPr>
              <w:pStyle w:val="tabteksts"/>
            </w:pPr>
            <w:r w:rsidRPr="00C704FB">
              <w:t>S.13</w:t>
            </w:r>
          </w:p>
        </w:tc>
        <w:tc>
          <w:tcPr>
            <w:tcW w:w="989" w:type="dxa"/>
            <w:tcBorders>
              <w:top w:val="single" w:sz="4" w:space="0" w:color="auto"/>
              <w:left w:val="double" w:sz="4" w:space="0" w:color="auto"/>
              <w:bottom w:val="single" w:sz="4" w:space="0" w:color="auto"/>
              <w:right w:val="single" w:sz="4" w:space="0" w:color="auto"/>
            </w:tcBorders>
          </w:tcPr>
          <w:p w14:paraId="6284C60E" w14:textId="77777777" w:rsidR="00F102F6" w:rsidRPr="00AB37BA" w:rsidRDefault="00F102F6" w:rsidP="002622DC">
            <w:pPr>
              <w:pStyle w:val="tabteksts"/>
              <w:jc w:val="right"/>
              <w:rPr>
                <w:snapToGrid w:val="0"/>
              </w:rPr>
            </w:pPr>
            <w:r w:rsidRPr="00AB37BA">
              <w:rPr>
                <w:snapToGrid w:val="0"/>
              </w:rPr>
              <w:t>-223,8</w:t>
            </w:r>
          </w:p>
        </w:tc>
        <w:tc>
          <w:tcPr>
            <w:tcW w:w="712" w:type="dxa"/>
            <w:tcBorders>
              <w:top w:val="single" w:sz="4" w:space="0" w:color="auto"/>
              <w:left w:val="nil"/>
              <w:bottom w:val="single" w:sz="4" w:space="0" w:color="auto"/>
              <w:right w:val="single" w:sz="4" w:space="0" w:color="auto"/>
            </w:tcBorders>
          </w:tcPr>
          <w:p w14:paraId="1AAEF7C8" w14:textId="77777777" w:rsidR="00F102F6" w:rsidRPr="0049071C" w:rsidRDefault="00F102F6" w:rsidP="002622DC">
            <w:pPr>
              <w:pStyle w:val="tabteksts"/>
              <w:jc w:val="right"/>
              <w:rPr>
                <w:snapToGrid w:val="0"/>
              </w:rPr>
            </w:pPr>
            <w:r w:rsidRPr="0049071C">
              <w:rPr>
                <w:snapToGrid w:val="0"/>
              </w:rPr>
              <w:t>-1,0</w:t>
            </w:r>
          </w:p>
        </w:tc>
        <w:tc>
          <w:tcPr>
            <w:tcW w:w="713" w:type="dxa"/>
            <w:tcBorders>
              <w:top w:val="single" w:sz="4" w:space="0" w:color="auto"/>
              <w:left w:val="nil"/>
              <w:bottom w:val="single" w:sz="4" w:space="0" w:color="auto"/>
              <w:right w:val="single" w:sz="4" w:space="0" w:color="auto"/>
            </w:tcBorders>
          </w:tcPr>
          <w:p w14:paraId="45646E53" w14:textId="77777777" w:rsidR="00F102F6" w:rsidRPr="00602FEE" w:rsidRDefault="00F102F6" w:rsidP="002622DC">
            <w:pPr>
              <w:pStyle w:val="tabteksts"/>
              <w:jc w:val="right"/>
              <w:rPr>
                <w:snapToGrid w:val="0"/>
              </w:rPr>
            </w:pPr>
            <w:r w:rsidRPr="00602FEE">
              <w:rPr>
                <w:snapToGrid w:val="0"/>
              </w:rPr>
              <w:t>-1,0</w:t>
            </w:r>
          </w:p>
        </w:tc>
        <w:tc>
          <w:tcPr>
            <w:tcW w:w="712" w:type="dxa"/>
            <w:tcBorders>
              <w:top w:val="single" w:sz="4" w:space="0" w:color="auto"/>
              <w:left w:val="nil"/>
              <w:bottom w:val="single" w:sz="4" w:space="0" w:color="auto"/>
              <w:right w:val="single" w:sz="4" w:space="0" w:color="auto"/>
            </w:tcBorders>
          </w:tcPr>
          <w:p w14:paraId="38E9489C" w14:textId="77777777" w:rsidR="00F102F6" w:rsidRPr="00602FEE" w:rsidRDefault="00F102F6" w:rsidP="002622DC">
            <w:pPr>
              <w:pStyle w:val="tabteksts"/>
              <w:jc w:val="right"/>
              <w:rPr>
                <w:snapToGrid w:val="0"/>
              </w:rPr>
            </w:pPr>
            <w:r w:rsidRPr="00602FEE">
              <w:rPr>
                <w:snapToGrid w:val="0"/>
              </w:rPr>
              <w:t>-0,8</w:t>
            </w:r>
          </w:p>
        </w:tc>
        <w:tc>
          <w:tcPr>
            <w:tcW w:w="713" w:type="dxa"/>
            <w:tcBorders>
              <w:top w:val="single" w:sz="4" w:space="0" w:color="auto"/>
              <w:left w:val="nil"/>
              <w:bottom w:val="single" w:sz="4" w:space="0" w:color="auto"/>
              <w:right w:val="single" w:sz="4" w:space="0" w:color="auto"/>
            </w:tcBorders>
          </w:tcPr>
          <w:p w14:paraId="68935612" w14:textId="77777777" w:rsidR="00F102F6" w:rsidRPr="00602FEE" w:rsidRDefault="00F102F6" w:rsidP="002622DC">
            <w:pPr>
              <w:pStyle w:val="tabteksts"/>
              <w:jc w:val="right"/>
              <w:rPr>
                <w:snapToGrid w:val="0"/>
              </w:rPr>
            </w:pPr>
            <w:r w:rsidRPr="00602FEE">
              <w:rPr>
                <w:snapToGrid w:val="0"/>
              </w:rPr>
              <w:t>-0,7</w:t>
            </w:r>
          </w:p>
        </w:tc>
        <w:tc>
          <w:tcPr>
            <w:tcW w:w="697" w:type="dxa"/>
            <w:tcBorders>
              <w:top w:val="single" w:sz="4" w:space="0" w:color="auto"/>
              <w:left w:val="single" w:sz="4" w:space="0" w:color="auto"/>
              <w:bottom w:val="single" w:sz="4" w:space="0" w:color="auto"/>
              <w:right w:val="double" w:sz="4" w:space="0" w:color="auto"/>
            </w:tcBorders>
          </w:tcPr>
          <w:p w14:paraId="7759E2BA" w14:textId="77777777" w:rsidR="00F102F6" w:rsidRPr="00602FEE" w:rsidRDefault="00F102F6" w:rsidP="002622DC">
            <w:pPr>
              <w:pStyle w:val="tabteksts"/>
              <w:jc w:val="right"/>
              <w:rPr>
                <w:snapToGrid w:val="0"/>
              </w:rPr>
            </w:pPr>
            <w:r w:rsidRPr="00602FEE">
              <w:rPr>
                <w:snapToGrid w:val="0"/>
              </w:rPr>
              <w:t>-0,7</w:t>
            </w:r>
          </w:p>
        </w:tc>
      </w:tr>
      <w:tr w:rsidR="00F102F6" w:rsidRPr="00C704FB" w14:paraId="6ADE2B95"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38817E93" w14:textId="77777777" w:rsidR="00F102F6" w:rsidRPr="00C704FB" w:rsidRDefault="00F102F6" w:rsidP="00C15091">
            <w:pPr>
              <w:pStyle w:val="tabteksts"/>
              <w:rPr>
                <w:snapToGrid w:val="0"/>
              </w:rPr>
            </w:pPr>
            <w:r w:rsidRPr="00C704FB">
              <w:rPr>
                <w:snapToGrid w:val="0"/>
              </w:rPr>
              <w:t>2. Centrālā valdība</w:t>
            </w:r>
          </w:p>
        </w:tc>
        <w:tc>
          <w:tcPr>
            <w:tcW w:w="1118" w:type="dxa"/>
            <w:tcBorders>
              <w:top w:val="single" w:sz="4" w:space="0" w:color="auto"/>
              <w:left w:val="single" w:sz="4" w:space="0" w:color="auto"/>
              <w:bottom w:val="single" w:sz="4" w:space="0" w:color="auto"/>
              <w:right w:val="double" w:sz="4" w:space="0" w:color="auto"/>
            </w:tcBorders>
            <w:vAlign w:val="bottom"/>
          </w:tcPr>
          <w:p w14:paraId="5AE1A943" w14:textId="77777777" w:rsidR="00F102F6" w:rsidRPr="00C704FB" w:rsidRDefault="00F102F6" w:rsidP="00C15091">
            <w:pPr>
              <w:pStyle w:val="tabteksts"/>
            </w:pPr>
            <w:r w:rsidRPr="00C704FB">
              <w:t>S.1311</w:t>
            </w:r>
          </w:p>
        </w:tc>
        <w:tc>
          <w:tcPr>
            <w:tcW w:w="989" w:type="dxa"/>
            <w:tcBorders>
              <w:top w:val="single" w:sz="4" w:space="0" w:color="auto"/>
              <w:left w:val="double" w:sz="4" w:space="0" w:color="auto"/>
              <w:bottom w:val="single" w:sz="4" w:space="0" w:color="auto"/>
              <w:right w:val="single" w:sz="4" w:space="0" w:color="auto"/>
            </w:tcBorders>
          </w:tcPr>
          <w:p w14:paraId="1E2763B5" w14:textId="77777777" w:rsidR="00F102F6" w:rsidRPr="00AB37BA" w:rsidRDefault="00F102F6" w:rsidP="002622DC">
            <w:pPr>
              <w:pStyle w:val="tabteksts"/>
              <w:jc w:val="right"/>
              <w:rPr>
                <w:snapToGrid w:val="0"/>
              </w:rPr>
            </w:pPr>
            <w:r w:rsidRPr="00AB37BA">
              <w:rPr>
                <w:snapToGrid w:val="0"/>
              </w:rPr>
              <w:t>-29,6</w:t>
            </w:r>
          </w:p>
        </w:tc>
        <w:tc>
          <w:tcPr>
            <w:tcW w:w="712" w:type="dxa"/>
            <w:tcBorders>
              <w:top w:val="single" w:sz="4" w:space="0" w:color="auto"/>
              <w:left w:val="nil"/>
              <w:bottom w:val="single" w:sz="4" w:space="0" w:color="auto"/>
              <w:right w:val="single" w:sz="4" w:space="0" w:color="auto"/>
            </w:tcBorders>
          </w:tcPr>
          <w:p w14:paraId="6828CD99" w14:textId="77777777" w:rsidR="00F102F6" w:rsidRPr="0049071C" w:rsidRDefault="00F102F6" w:rsidP="002622DC">
            <w:pPr>
              <w:pStyle w:val="tabteksts"/>
              <w:jc w:val="right"/>
              <w:rPr>
                <w:snapToGrid w:val="0"/>
              </w:rPr>
            </w:pPr>
            <w:r w:rsidRPr="0049071C">
              <w:rPr>
                <w:snapToGrid w:val="0"/>
              </w:rPr>
              <w:t>-0,1</w:t>
            </w:r>
          </w:p>
        </w:tc>
        <w:tc>
          <w:tcPr>
            <w:tcW w:w="713" w:type="dxa"/>
            <w:tcBorders>
              <w:top w:val="single" w:sz="4" w:space="0" w:color="auto"/>
              <w:left w:val="nil"/>
              <w:bottom w:val="single" w:sz="4" w:space="0" w:color="auto"/>
              <w:right w:val="single" w:sz="4" w:space="0" w:color="auto"/>
            </w:tcBorders>
          </w:tcPr>
          <w:p w14:paraId="0064654A" w14:textId="77777777" w:rsidR="00F102F6" w:rsidRPr="00602FEE" w:rsidRDefault="00F102F6" w:rsidP="002622DC">
            <w:pPr>
              <w:pStyle w:val="tabteksts"/>
              <w:jc w:val="right"/>
              <w:rPr>
                <w:snapToGrid w:val="0"/>
              </w:rPr>
            </w:pPr>
            <w:r w:rsidRPr="00602FEE">
              <w:rPr>
                <w:snapToGrid w:val="0"/>
              </w:rPr>
              <w:t>-1,4</w:t>
            </w:r>
          </w:p>
        </w:tc>
        <w:tc>
          <w:tcPr>
            <w:tcW w:w="712" w:type="dxa"/>
            <w:tcBorders>
              <w:top w:val="single" w:sz="4" w:space="0" w:color="auto"/>
              <w:left w:val="nil"/>
              <w:bottom w:val="single" w:sz="4" w:space="0" w:color="auto"/>
              <w:right w:val="single" w:sz="4" w:space="0" w:color="auto"/>
            </w:tcBorders>
          </w:tcPr>
          <w:p w14:paraId="268E8148" w14:textId="77777777" w:rsidR="00F102F6" w:rsidRPr="00602FEE" w:rsidRDefault="00F102F6" w:rsidP="002622DC">
            <w:pPr>
              <w:pStyle w:val="tabteksts"/>
              <w:jc w:val="right"/>
              <w:rPr>
                <w:snapToGrid w:val="0"/>
              </w:rPr>
            </w:pPr>
            <w:r w:rsidRPr="00602FEE">
              <w:rPr>
                <w:snapToGrid w:val="0"/>
              </w:rPr>
              <w:t>-1,1</w:t>
            </w:r>
          </w:p>
        </w:tc>
        <w:tc>
          <w:tcPr>
            <w:tcW w:w="713" w:type="dxa"/>
            <w:tcBorders>
              <w:top w:val="single" w:sz="4" w:space="0" w:color="auto"/>
              <w:left w:val="nil"/>
              <w:bottom w:val="single" w:sz="4" w:space="0" w:color="auto"/>
              <w:right w:val="single" w:sz="4" w:space="0" w:color="auto"/>
            </w:tcBorders>
          </w:tcPr>
          <w:p w14:paraId="44025FE1" w14:textId="77777777" w:rsidR="00F102F6" w:rsidRPr="00602FEE" w:rsidRDefault="00F102F6" w:rsidP="002622DC">
            <w:pPr>
              <w:pStyle w:val="tabteksts"/>
              <w:jc w:val="right"/>
              <w:rPr>
                <w:snapToGrid w:val="0"/>
              </w:rPr>
            </w:pPr>
            <w:r w:rsidRPr="00602FEE">
              <w:rPr>
                <w:snapToGrid w:val="0"/>
              </w:rPr>
              <w:t>-1,2</w:t>
            </w:r>
          </w:p>
        </w:tc>
        <w:tc>
          <w:tcPr>
            <w:tcW w:w="697" w:type="dxa"/>
            <w:tcBorders>
              <w:top w:val="single" w:sz="4" w:space="0" w:color="auto"/>
              <w:left w:val="single" w:sz="4" w:space="0" w:color="auto"/>
              <w:bottom w:val="single" w:sz="4" w:space="0" w:color="auto"/>
              <w:right w:val="double" w:sz="4" w:space="0" w:color="auto"/>
            </w:tcBorders>
          </w:tcPr>
          <w:p w14:paraId="2A250FDC" w14:textId="77777777" w:rsidR="00F102F6" w:rsidRPr="00602FEE" w:rsidRDefault="00F102F6" w:rsidP="002622DC">
            <w:pPr>
              <w:pStyle w:val="tabteksts"/>
              <w:jc w:val="right"/>
              <w:rPr>
                <w:snapToGrid w:val="0"/>
              </w:rPr>
            </w:pPr>
            <w:r w:rsidRPr="00602FEE">
              <w:rPr>
                <w:snapToGrid w:val="0"/>
              </w:rPr>
              <w:t>-1,2</w:t>
            </w:r>
          </w:p>
        </w:tc>
      </w:tr>
      <w:tr w:rsidR="00F102F6" w:rsidRPr="00C704FB" w14:paraId="4CBDAA00" w14:textId="77777777" w:rsidTr="00336495">
        <w:trPr>
          <w:cantSplit/>
          <w:trHeight w:val="133"/>
          <w:jc w:val="center"/>
        </w:trPr>
        <w:tc>
          <w:tcPr>
            <w:tcW w:w="4112" w:type="dxa"/>
            <w:gridSpan w:val="2"/>
            <w:tcBorders>
              <w:top w:val="single" w:sz="4" w:space="0" w:color="auto"/>
              <w:left w:val="double" w:sz="4" w:space="0" w:color="auto"/>
              <w:bottom w:val="single" w:sz="4" w:space="0" w:color="auto"/>
              <w:right w:val="single" w:sz="4" w:space="0" w:color="auto"/>
            </w:tcBorders>
          </w:tcPr>
          <w:p w14:paraId="683AE9F7" w14:textId="77777777" w:rsidR="00F102F6" w:rsidRPr="00C704FB" w:rsidRDefault="00F102F6" w:rsidP="00C15091">
            <w:pPr>
              <w:pStyle w:val="tabteksts"/>
              <w:rPr>
                <w:snapToGrid w:val="0"/>
              </w:rPr>
            </w:pPr>
            <w:r w:rsidRPr="00C704FB">
              <w:rPr>
                <w:snapToGrid w:val="0"/>
              </w:rPr>
              <w:t>3. Pavalsts valdība</w:t>
            </w:r>
          </w:p>
        </w:tc>
        <w:tc>
          <w:tcPr>
            <w:tcW w:w="1118" w:type="dxa"/>
            <w:tcBorders>
              <w:top w:val="single" w:sz="4" w:space="0" w:color="auto"/>
              <w:left w:val="single" w:sz="4" w:space="0" w:color="auto"/>
              <w:bottom w:val="single" w:sz="4" w:space="0" w:color="auto"/>
              <w:right w:val="double" w:sz="4" w:space="0" w:color="auto"/>
            </w:tcBorders>
            <w:vAlign w:val="bottom"/>
          </w:tcPr>
          <w:p w14:paraId="372E85DE" w14:textId="77777777" w:rsidR="00F102F6" w:rsidRPr="00C704FB" w:rsidRDefault="00F102F6" w:rsidP="00C15091">
            <w:pPr>
              <w:pStyle w:val="tabteksts"/>
            </w:pPr>
            <w:r w:rsidRPr="00C704FB">
              <w:t>S.1312</w:t>
            </w:r>
          </w:p>
        </w:tc>
        <w:tc>
          <w:tcPr>
            <w:tcW w:w="989" w:type="dxa"/>
            <w:tcBorders>
              <w:top w:val="single" w:sz="4" w:space="0" w:color="auto"/>
              <w:left w:val="double" w:sz="4" w:space="0" w:color="auto"/>
              <w:bottom w:val="single" w:sz="4" w:space="0" w:color="auto"/>
              <w:right w:val="single" w:sz="4" w:space="0" w:color="auto"/>
            </w:tcBorders>
          </w:tcPr>
          <w:p w14:paraId="0ED26706" w14:textId="77777777" w:rsidR="00F102F6" w:rsidRPr="00AB37BA" w:rsidRDefault="00F102F6" w:rsidP="002622DC">
            <w:pPr>
              <w:pStyle w:val="tabteksts"/>
              <w:jc w:val="right"/>
              <w:rPr>
                <w:snapToGrid w:val="0"/>
              </w:rPr>
            </w:pPr>
          </w:p>
        </w:tc>
        <w:tc>
          <w:tcPr>
            <w:tcW w:w="712" w:type="dxa"/>
            <w:tcBorders>
              <w:top w:val="single" w:sz="4" w:space="0" w:color="auto"/>
              <w:left w:val="nil"/>
              <w:bottom w:val="single" w:sz="4" w:space="0" w:color="auto"/>
              <w:right w:val="single" w:sz="4" w:space="0" w:color="auto"/>
            </w:tcBorders>
          </w:tcPr>
          <w:p w14:paraId="38C70EB2" w14:textId="77777777" w:rsidR="00F102F6" w:rsidRPr="0049071C" w:rsidRDefault="00F102F6" w:rsidP="002622DC">
            <w:pPr>
              <w:pStyle w:val="tabteksts"/>
              <w:jc w:val="right"/>
              <w:rPr>
                <w:snapToGrid w:val="0"/>
              </w:rPr>
            </w:pPr>
          </w:p>
        </w:tc>
        <w:tc>
          <w:tcPr>
            <w:tcW w:w="713" w:type="dxa"/>
            <w:tcBorders>
              <w:top w:val="single" w:sz="4" w:space="0" w:color="auto"/>
              <w:left w:val="nil"/>
              <w:bottom w:val="single" w:sz="4" w:space="0" w:color="auto"/>
              <w:right w:val="single" w:sz="4" w:space="0" w:color="auto"/>
            </w:tcBorders>
          </w:tcPr>
          <w:p w14:paraId="478BA160" w14:textId="77777777" w:rsidR="00F102F6" w:rsidRPr="00602FEE" w:rsidRDefault="00F102F6" w:rsidP="002622DC">
            <w:pPr>
              <w:pStyle w:val="tabteksts"/>
              <w:jc w:val="right"/>
              <w:rPr>
                <w:snapToGrid w:val="0"/>
              </w:rPr>
            </w:pPr>
          </w:p>
        </w:tc>
        <w:tc>
          <w:tcPr>
            <w:tcW w:w="712" w:type="dxa"/>
            <w:tcBorders>
              <w:top w:val="single" w:sz="4" w:space="0" w:color="auto"/>
              <w:left w:val="nil"/>
              <w:bottom w:val="single" w:sz="4" w:space="0" w:color="auto"/>
              <w:right w:val="single" w:sz="4" w:space="0" w:color="auto"/>
            </w:tcBorders>
          </w:tcPr>
          <w:p w14:paraId="52BAAA21" w14:textId="77777777" w:rsidR="00F102F6" w:rsidRPr="00602FEE" w:rsidRDefault="00F102F6" w:rsidP="002622DC">
            <w:pPr>
              <w:pStyle w:val="tabteksts"/>
              <w:jc w:val="right"/>
              <w:rPr>
                <w:snapToGrid w:val="0"/>
              </w:rPr>
            </w:pPr>
          </w:p>
        </w:tc>
        <w:tc>
          <w:tcPr>
            <w:tcW w:w="713" w:type="dxa"/>
            <w:tcBorders>
              <w:top w:val="single" w:sz="4" w:space="0" w:color="auto"/>
              <w:left w:val="nil"/>
              <w:bottom w:val="single" w:sz="4" w:space="0" w:color="auto"/>
              <w:right w:val="single" w:sz="4" w:space="0" w:color="auto"/>
            </w:tcBorders>
          </w:tcPr>
          <w:p w14:paraId="5E1D8E0D" w14:textId="77777777" w:rsidR="00F102F6" w:rsidRPr="00602FEE" w:rsidRDefault="00F102F6" w:rsidP="002622DC">
            <w:pPr>
              <w:pStyle w:val="tabteksts"/>
              <w:jc w:val="right"/>
              <w:rPr>
                <w:snapToGrid w:val="0"/>
              </w:rPr>
            </w:pPr>
          </w:p>
        </w:tc>
        <w:tc>
          <w:tcPr>
            <w:tcW w:w="697" w:type="dxa"/>
            <w:tcBorders>
              <w:top w:val="single" w:sz="4" w:space="0" w:color="auto"/>
              <w:left w:val="single" w:sz="4" w:space="0" w:color="auto"/>
              <w:bottom w:val="single" w:sz="4" w:space="0" w:color="auto"/>
              <w:right w:val="double" w:sz="4" w:space="0" w:color="auto"/>
            </w:tcBorders>
          </w:tcPr>
          <w:p w14:paraId="2EDF6F4D" w14:textId="77777777" w:rsidR="00F102F6" w:rsidRPr="00602FEE" w:rsidRDefault="00F102F6" w:rsidP="002622DC">
            <w:pPr>
              <w:pStyle w:val="tabteksts"/>
              <w:jc w:val="right"/>
              <w:rPr>
                <w:snapToGrid w:val="0"/>
              </w:rPr>
            </w:pPr>
          </w:p>
        </w:tc>
      </w:tr>
      <w:tr w:rsidR="00F102F6" w:rsidRPr="00C704FB" w14:paraId="55172FBD"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232F915A" w14:textId="77777777" w:rsidR="00F102F6" w:rsidRPr="00C704FB" w:rsidRDefault="00F102F6" w:rsidP="00C15091">
            <w:pPr>
              <w:pStyle w:val="tabteksts"/>
              <w:rPr>
                <w:snapToGrid w:val="0"/>
              </w:rPr>
            </w:pPr>
            <w:r w:rsidRPr="00C704FB">
              <w:rPr>
                <w:snapToGrid w:val="0"/>
              </w:rPr>
              <w:t>4. Vietējā valdība</w:t>
            </w:r>
          </w:p>
        </w:tc>
        <w:tc>
          <w:tcPr>
            <w:tcW w:w="1118" w:type="dxa"/>
            <w:tcBorders>
              <w:top w:val="single" w:sz="4" w:space="0" w:color="auto"/>
              <w:left w:val="single" w:sz="4" w:space="0" w:color="auto"/>
              <w:bottom w:val="single" w:sz="4" w:space="0" w:color="auto"/>
              <w:right w:val="double" w:sz="4" w:space="0" w:color="auto"/>
            </w:tcBorders>
            <w:vAlign w:val="bottom"/>
          </w:tcPr>
          <w:p w14:paraId="72E7EAE1" w14:textId="77777777" w:rsidR="00F102F6" w:rsidRPr="00C704FB" w:rsidRDefault="00F102F6" w:rsidP="00C15091">
            <w:pPr>
              <w:pStyle w:val="tabteksts"/>
            </w:pPr>
            <w:r w:rsidRPr="00C704FB">
              <w:t>S.1313</w:t>
            </w:r>
          </w:p>
        </w:tc>
        <w:tc>
          <w:tcPr>
            <w:tcW w:w="989" w:type="dxa"/>
            <w:tcBorders>
              <w:top w:val="single" w:sz="4" w:space="0" w:color="auto"/>
              <w:left w:val="double" w:sz="4" w:space="0" w:color="auto"/>
              <w:bottom w:val="single" w:sz="4" w:space="0" w:color="auto"/>
              <w:right w:val="single" w:sz="4" w:space="0" w:color="auto"/>
            </w:tcBorders>
          </w:tcPr>
          <w:p w14:paraId="462ABAFD" w14:textId="77777777" w:rsidR="00F102F6" w:rsidRPr="00AB37BA" w:rsidRDefault="00F102F6" w:rsidP="002622DC">
            <w:pPr>
              <w:pStyle w:val="tabteksts"/>
              <w:jc w:val="right"/>
              <w:rPr>
                <w:snapToGrid w:val="0"/>
              </w:rPr>
            </w:pPr>
            <w:r w:rsidRPr="00AB37BA">
              <w:rPr>
                <w:snapToGrid w:val="0"/>
              </w:rPr>
              <w:t>-121,9</w:t>
            </w:r>
          </w:p>
        </w:tc>
        <w:tc>
          <w:tcPr>
            <w:tcW w:w="712" w:type="dxa"/>
            <w:tcBorders>
              <w:top w:val="single" w:sz="4" w:space="0" w:color="auto"/>
              <w:left w:val="nil"/>
              <w:bottom w:val="single" w:sz="4" w:space="0" w:color="auto"/>
              <w:right w:val="single" w:sz="4" w:space="0" w:color="auto"/>
            </w:tcBorders>
          </w:tcPr>
          <w:p w14:paraId="7054627C" w14:textId="77777777" w:rsidR="00F102F6" w:rsidRPr="0049071C" w:rsidRDefault="00F102F6" w:rsidP="002622DC">
            <w:pPr>
              <w:pStyle w:val="tabteksts"/>
              <w:jc w:val="right"/>
              <w:rPr>
                <w:snapToGrid w:val="0"/>
              </w:rPr>
            </w:pPr>
            <w:r w:rsidRPr="0049071C">
              <w:rPr>
                <w:snapToGrid w:val="0"/>
              </w:rPr>
              <w:t>-0,5</w:t>
            </w:r>
          </w:p>
        </w:tc>
        <w:tc>
          <w:tcPr>
            <w:tcW w:w="713" w:type="dxa"/>
            <w:tcBorders>
              <w:top w:val="single" w:sz="4" w:space="0" w:color="auto"/>
              <w:left w:val="nil"/>
              <w:bottom w:val="single" w:sz="4" w:space="0" w:color="auto"/>
              <w:right w:val="single" w:sz="4" w:space="0" w:color="auto"/>
            </w:tcBorders>
          </w:tcPr>
          <w:p w14:paraId="7053226F" w14:textId="77777777" w:rsidR="00F102F6" w:rsidRPr="00602FEE" w:rsidRDefault="00F102F6" w:rsidP="002622DC">
            <w:pPr>
              <w:pStyle w:val="tabteksts"/>
              <w:jc w:val="right"/>
              <w:rPr>
                <w:snapToGrid w:val="0"/>
              </w:rPr>
            </w:pPr>
            <w:r w:rsidRPr="00602FEE">
              <w:rPr>
                <w:snapToGrid w:val="0"/>
              </w:rPr>
              <w:t>-0,3</w:t>
            </w:r>
          </w:p>
        </w:tc>
        <w:tc>
          <w:tcPr>
            <w:tcW w:w="712" w:type="dxa"/>
            <w:tcBorders>
              <w:top w:val="single" w:sz="4" w:space="0" w:color="auto"/>
              <w:left w:val="nil"/>
              <w:bottom w:val="single" w:sz="4" w:space="0" w:color="auto"/>
              <w:right w:val="single" w:sz="4" w:space="0" w:color="auto"/>
            </w:tcBorders>
          </w:tcPr>
          <w:p w14:paraId="405CF209" w14:textId="77777777" w:rsidR="00F102F6" w:rsidRPr="00602FEE" w:rsidRDefault="00F102F6" w:rsidP="002622DC">
            <w:pPr>
              <w:pStyle w:val="tabteksts"/>
              <w:jc w:val="right"/>
              <w:rPr>
                <w:snapToGrid w:val="0"/>
              </w:rPr>
            </w:pPr>
            <w:r w:rsidRPr="00602FEE">
              <w:rPr>
                <w:snapToGrid w:val="0"/>
              </w:rPr>
              <w:t>-0,2</w:t>
            </w:r>
          </w:p>
        </w:tc>
        <w:tc>
          <w:tcPr>
            <w:tcW w:w="713" w:type="dxa"/>
            <w:tcBorders>
              <w:top w:val="single" w:sz="4" w:space="0" w:color="auto"/>
              <w:left w:val="nil"/>
              <w:bottom w:val="single" w:sz="4" w:space="0" w:color="auto"/>
              <w:right w:val="single" w:sz="4" w:space="0" w:color="auto"/>
            </w:tcBorders>
          </w:tcPr>
          <w:p w14:paraId="48BE2AE5" w14:textId="77777777" w:rsidR="00F102F6" w:rsidRPr="00602FEE" w:rsidRDefault="00F102F6" w:rsidP="002622DC">
            <w:pPr>
              <w:pStyle w:val="tabteksts"/>
              <w:jc w:val="right"/>
              <w:rPr>
                <w:snapToGrid w:val="0"/>
              </w:rPr>
            </w:pPr>
            <w:r w:rsidRPr="00602FEE">
              <w:rPr>
                <w:snapToGrid w:val="0"/>
              </w:rPr>
              <w:t>0,1</w:t>
            </w:r>
          </w:p>
        </w:tc>
        <w:tc>
          <w:tcPr>
            <w:tcW w:w="697" w:type="dxa"/>
            <w:tcBorders>
              <w:top w:val="single" w:sz="4" w:space="0" w:color="auto"/>
              <w:left w:val="single" w:sz="4" w:space="0" w:color="auto"/>
              <w:bottom w:val="single" w:sz="4" w:space="0" w:color="auto"/>
              <w:right w:val="double" w:sz="4" w:space="0" w:color="auto"/>
            </w:tcBorders>
          </w:tcPr>
          <w:p w14:paraId="4280750C" w14:textId="77777777" w:rsidR="00F102F6" w:rsidRPr="00602FEE" w:rsidRDefault="00F102F6" w:rsidP="002622DC">
            <w:pPr>
              <w:pStyle w:val="tabteksts"/>
              <w:jc w:val="right"/>
              <w:rPr>
                <w:snapToGrid w:val="0"/>
              </w:rPr>
            </w:pPr>
            <w:r w:rsidRPr="00602FEE">
              <w:rPr>
                <w:snapToGrid w:val="0"/>
              </w:rPr>
              <w:t>0,1</w:t>
            </w:r>
          </w:p>
        </w:tc>
      </w:tr>
      <w:tr w:rsidR="00F102F6" w:rsidRPr="00C704FB" w14:paraId="5D198EEE"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758F5274" w14:textId="77777777" w:rsidR="00F102F6" w:rsidRPr="00C704FB" w:rsidRDefault="00F102F6" w:rsidP="00C15091">
            <w:pPr>
              <w:pStyle w:val="tabteksts"/>
              <w:rPr>
                <w:snapToGrid w:val="0"/>
              </w:rPr>
            </w:pPr>
            <w:r w:rsidRPr="00C704FB">
              <w:rPr>
                <w:snapToGrid w:val="0"/>
              </w:rPr>
              <w:t>5. Sociālās nodrošināšanas fondi</w:t>
            </w:r>
          </w:p>
        </w:tc>
        <w:tc>
          <w:tcPr>
            <w:tcW w:w="1118" w:type="dxa"/>
            <w:tcBorders>
              <w:top w:val="single" w:sz="4" w:space="0" w:color="auto"/>
              <w:left w:val="single" w:sz="4" w:space="0" w:color="auto"/>
              <w:bottom w:val="single" w:sz="4" w:space="0" w:color="auto"/>
              <w:right w:val="double" w:sz="4" w:space="0" w:color="auto"/>
            </w:tcBorders>
            <w:vAlign w:val="bottom"/>
          </w:tcPr>
          <w:p w14:paraId="165B2275" w14:textId="77777777" w:rsidR="00F102F6" w:rsidRPr="00C704FB" w:rsidRDefault="00F102F6" w:rsidP="00C15091">
            <w:pPr>
              <w:pStyle w:val="tabteksts"/>
            </w:pPr>
            <w:r w:rsidRPr="00C704FB">
              <w:t>S.1314</w:t>
            </w:r>
          </w:p>
        </w:tc>
        <w:tc>
          <w:tcPr>
            <w:tcW w:w="989" w:type="dxa"/>
            <w:tcBorders>
              <w:top w:val="single" w:sz="4" w:space="0" w:color="auto"/>
              <w:left w:val="double" w:sz="4" w:space="0" w:color="auto"/>
              <w:bottom w:val="single" w:sz="4" w:space="0" w:color="auto"/>
              <w:right w:val="single" w:sz="4" w:space="0" w:color="auto"/>
            </w:tcBorders>
          </w:tcPr>
          <w:p w14:paraId="41458EC9" w14:textId="77777777" w:rsidR="00F102F6" w:rsidRPr="00AB37BA" w:rsidRDefault="00F102F6" w:rsidP="002622DC">
            <w:pPr>
              <w:pStyle w:val="tabteksts"/>
              <w:jc w:val="right"/>
              <w:rPr>
                <w:snapToGrid w:val="0"/>
              </w:rPr>
            </w:pPr>
            <w:r w:rsidRPr="00AB37BA">
              <w:rPr>
                <w:snapToGrid w:val="0"/>
              </w:rPr>
              <w:t>-72,3</w:t>
            </w:r>
          </w:p>
        </w:tc>
        <w:tc>
          <w:tcPr>
            <w:tcW w:w="712" w:type="dxa"/>
            <w:tcBorders>
              <w:top w:val="single" w:sz="4" w:space="0" w:color="auto"/>
              <w:left w:val="nil"/>
              <w:bottom w:val="single" w:sz="4" w:space="0" w:color="auto"/>
              <w:right w:val="single" w:sz="4" w:space="0" w:color="auto"/>
            </w:tcBorders>
          </w:tcPr>
          <w:p w14:paraId="24839C46" w14:textId="77777777" w:rsidR="00F102F6" w:rsidRPr="0049071C" w:rsidRDefault="00F102F6" w:rsidP="002622DC">
            <w:pPr>
              <w:pStyle w:val="tabteksts"/>
              <w:jc w:val="right"/>
              <w:rPr>
                <w:snapToGrid w:val="0"/>
              </w:rPr>
            </w:pPr>
            <w:r w:rsidRPr="0049071C">
              <w:rPr>
                <w:snapToGrid w:val="0"/>
              </w:rPr>
              <w:t>-0,3</w:t>
            </w:r>
          </w:p>
        </w:tc>
        <w:tc>
          <w:tcPr>
            <w:tcW w:w="713" w:type="dxa"/>
            <w:tcBorders>
              <w:top w:val="single" w:sz="4" w:space="0" w:color="auto"/>
              <w:left w:val="nil"/>
              <w:bottom w:val="single" w:sz="4" w:space="0" w:color="auto"/>
              <w:right w:val="single" w:sz="4" w:space="0" w:color="auto"/>
            </w:tcBorders>
          </w:tcPr>
          <w:p w14:paraId="680EE871" w14:textId="77777777" w:rsidR="00F102F6" w:rsidRPr="00602FEE" w:rsidRDefault="00F102F6" w:rsidP="002622DC">
            <w:pPr>
              <w:pStyle w:val="tabteksts"/>
              <w:jc w:val="right"/>
              <w:rPr>
                <w:snapToGrid w:val="0"/>
              </w:rPr>
            </w:pPr>
            <w:r w:rsidRPr="00602FEE">
              <w:rPr>
                <w:snapToGrid w:val="0"/>
              </w:rPr>
              <w:t>0,7</w:t>
            </w:r>
          </w:p>
        </w:tc>
        <w:tc>
          <w:tcPr>
            <w:tcW w:w="712" w:type="dxa"/>
            <w:tcBorders>
              <w:top w:val="single" w:sz="4" w:space="0" w:color="auto"/>
              <w:left w:val="nil"/>
              <w:bottom w:val="single" w:sz="4" w:space="0" w:color="auto"/>
              <w:right w:val="single" w:sz="4" w:space="0" w:color="auto"/>
            </w:tcBorders>
          </w:tcPr>
          <w:p w14:paraId="1EF82E0A" w14:textId="77777777" w:rsidR="00F102F6" w:rsidRPr="00602FEE" w:rsidRDefault="00F102F6" w:rsidP="002622DC">
            <w:pPr>
              <w:pStyle w:val="tabteksts"/>
              <w:jc w:val="right"/>
              <w:rPr>
                <w:snapToGrid w:val="0"/>
              </w:rPr>
            </w:pPr>
            <w:r w:rsidRPr="00602FEE">
              <w:rPr>
                <w:snapToGrid w:val="0"/>
              </w:rPr>
              <w:t>0,4</w:t>
            </w:r>
          </w:p>
        </w:tc>
        <w:tc>
          <w:tcPr>
            <w:tcW w:w="713" w:type="dxa"/>
            <w:tcBorders>
              <w:top w:val="single" w:sz="4" w:space="0" w:color="auto"/>
              <w:left w:val="nil"/>
              <w:bottom w:val="single" w:sz="4" w:space="0" w:color="auto"/>
              <w:right w:val="single" w:sz="4" w:space="0" w:color="auto"/>
            </w:tcBorders>
          </w:tcPr>
          <w:p w14:paraId="320AFA32" w14:textId="77777777" w:rsidR="00F102F6" w:rsidRPr="00602FEE" w:rsidRDefault="00F102F6" w:rsidP="002622DC">
            <w:pPr>
              <w:pStyle w:val="tabteksts"/>
              <w:jc w:val="right"/>
              <w:rPr>
                <w:snapToGrid w:val="0"/>
              </w:rPr>
            </w:pPr>
            <w:r w:rsidRPr="00602FEE">
              <w:rPr>
                <w:snapToGrid w:val="0"/>
              </w:rPr>
              <w:t>0,4</w:t>
            </w:r>
          </w:p>
        </w:tc>
        <w:tc>
          <w:tcPr>
            <w:tcW w:w="697" w:type="dxa"/>
            <w:tcBorders>
              <w:top w:val="single" w:sz="4" w:space="0" w:color="auto"/>
              <w:left w:val="single" w:sz="4" w:space="0" w:color="auto"/>
              <w:bottom w:val="single" w:sz="4" w:space="0" w:color="auto"/>
              <w:right w:val="double" w:sz="4" w:space="0" w:color="auto"/>
            </w:tcBorders>
          </w:tcPr>
          <w:p w14:paraId="6A2D0B5B" w14:textId="77777777" w:rsidR="00F102F6" w:rsidRPr="00602FEE" w:rsidRDefault="00F102F6" w:rsidP="002622DC">
            <w:pPr>
              <w:pStyle w:val="tabteksts"/>
              <w:jc w:val="right"/>
              <w:rPr>
                <w:snapToGrid w:val="0"/>
              </w:rPr>
            </w:pPr>
            <w:r w:rsidRPr="00602FEE">
              <w:rPr>
                <w:snapToGrid w:val="0"/>
              </w:rPr>
              <w:t>0,5</w:t>
            </w:r>
          </w:p>
        </w:tc>
      </w:tr>
      <w:tr w:rsidR="00F102F6" w:rsidRPr="00C704FB" w14:paraId="3CC1EA98" w14:textId="77777777" w:rsidTr="00336495">
        <w:trPr>
          <w:cantSplit/>
          <w:jc w:val="center"/>
        </w:trPr>
        <w:tc>
          <w:tcPr>
            <w:tcW w:w="1157" w:type="dxa"/>
            <w:tcBorders>
              <w:top w:val="single" w:sz="4" w:space="0" w:color="auto"/>
              <w:left w:val="double" w:sz="4" w:space="0" w:color="auto"/>
              <w:bottom w:val="single" w:sz="4" w:space="0" w:color="auto"/>
            </w:tcBorders>
          </w:tcPr>
          <w:p w14:paraId="388D1761" w14:textId="77777777" w:rsidR="00F102F6" w:rsidRPr="00C704FB" w:rsidRDefault="00F102F6" w:rsidP="00C15091">
            <w:pPr>
              <w:pStyle w:val="tabteksts"/>
              <w:jc w:val="center"/>
              <w:rPr>
                <w:b/>
                <w:snapToGrid w:val="0"/>
              </w:rPr>
            </w:pPr>
          </w:p>
        </w:tc>
        <w:tc>
          <w:tcPr>
            <w:tcW w:w="8609" w:type="dxa"/>
            <w:gridSpan w:val="8"/>
            <w:tcBorders>
              <w:top w:val="single" w:sz="4" w:space="0" w:color="auto"/>
              <w:bottom w:val="single" w:sz="4" w:space="0" w:color="auto"/>
              <w:right w:val="double" w:sz="4" w:space="0" w:color="auto"/>
            </w:tcBorders>
          </w:tcPr>
          <w:p w14:paraId="17C6B2B1" w14:textId="77777777" w:rsidR="00F102F6" w:rsidRPr="00C704FB" w:rsidRDefault="00F102F6" w:rsidP="00336495">
            <w:pPr>
              <w:pStyle w:val="tabteksts"/>
              <w:jc w:val="center"/>
              <w:rPr>
                <w:b/>
                <w:snapToGrid w:val="0"/>
              </w:rPr>
            </w:pPr>
            <w:r w:rsidRPr="00C704FB">
              <w:rPr>
                <w:b/>
                <w:snapToGrid w:val="0"/>
              </w:rPr>
              <w:t>Vispārējā valdība (S.13)</w:t>
            </w:r>
          </w:p>
        </w:tc>
      </w:tr>
      <w:tr w:rsidR="00F102F6" w:rsidRPr="00C704FB" w14:paraId="24F7641C"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7651AF31" w14:textId="77777777" w:rsidR="00F102F6" w:rsidRPr="00C704FB" w:rsidRDefault="00F102F6" w:rsidP="00C15091">
            <w:pPr>
              <w:pStyle w:val="tabteksts"/>
              <w:rPr>
                <w:snapToGrid w:val="0"/>
              </w:rPr>
            </w:pPr>
            <w:r w:rsidRPr="00C704FB">
              <w:rPr>
                <w:snapToGrid w:val="0"/>
              </w:rPr>
              <w:t xml:space="preserve">6. Kopējie ieņēmumi </w:t>
            </w:r>
          </w:p>
        </w:tc>
        <w:tc>
          <w:tcPr>
            <w:tcW w:w="1118" w:type="dxa"/>
            <w:tcBorders>
              <w:top w:val="single" w:sz="4" w:space="0" w:color="auto"/>
              <w:left w:val="single" w:sz="4" w:space="0" w:color="auto"/>
              <w:bottom w:val="single" w:sz="4" w:space="0" w:color="auto"/>
              <w:right w:val="double" w:sz="4" w:space="0" w:color="auto"/>
            </w:tcBorders>
            <w:vAlign w:val="bottom"/>
          </w:tcPr>
          <w:p w14:paraId="36BAF32C" w14:textId="77777777" w:rsidR="00F102F6" w:rsidRPr="00C704FB" w:rsidRDefault="00F102F6" w:rsidP="00C15091">
            <w:pPr>
              <w:pStyle w:val="tabteksts"/>
            </w:pPr>
            <w:r w:rsidRPr="00C704FB">
              <w:t>TR</w:t>
            </w:r>
          </w:p>
        </w:tc>
        <w:tc>
          <w:tcPr>
            <w:tcW w:w="989" w:type="dxa"/>
            <w:tcBorders>
              <w:top w:val="single" w:sz="4" w:space="0" w:color="auto"/>
              <w:left w:val="double" w:sz="4" w:space="0" w:color="auto"/>
              <w:bottom w:val="single" w:sz="4" w:space="0" w:color="auto"/>
              <w:right w:val="single" w:sz="4" w:space="0" w:color="auto"/>
            </w:tcBorders>
          </w:tcPr>
          <w:p w14:paraId="3D0FA8F0" w14:textId="77777777" w:rsidR="00F102F6" w:rsidRPr="00AB37BA" w:rsidRDefault="00F102F6" w:rsidP="002622DC">
            <w:pPr>
              <w:pStyle w:val="tabteksts"/>
              <w:jc w:val="right"/>
              <w:rPr>
                <w:snapToGrid w:val="0"/>
              </w:rPr>
            </w:pPr>
            <w:r w:rsidRPr="00AB37BA">
              <w:rPr>
                <w:snapToGrid w:val="0"/>
              </w:rPr>
              <w:t>8 194,4</w:t>
            </w:r>
          </w:p>
        </w:tc>
        <w:tc>
          <w:tcPr>
            <w:tcW w:w="712" w:type="dxa"/>
            <w:tcBorders>
              <w:top w:val="single" w:sz="4" w:space="0" w:color="auto"/>
              <w:left w:val="nil"/>
              <w:bottom w:val="single" w:sz="4" w:space="0" w:color="auto"/>
              <w:right w:val="single" w:sz="4" w:space="0" w:color="auto"/>
            </w:tcBorders>
          </w:tcPr>
          <w:p w14:paraId="1CD0E3BE" w14:textId="77777777" w:rsidR="00F102F6" w:rsidRPr="0049071C" w:rsidRDefault="00F102F6" w:rsidP="002622DC">
            <w:pPr>
              <w:pStyle w:val="tabteksts"/>
              <w:jc w:val="right"/>
              <w:rPr>
                <w:snapToGrid w:val="0"/>
              </w:rPr>
            </w:pPr>
            <w:r w:rsidRPr="0049071C">
              <w:rPr>
                <w:snapToGrid w:val="0"/>
              </w:rPr>
              <w:t>35,1</w:t>
            </w:r>
          </w:p>
        </w:tc>
        <w:tc>
          <w:tcPr>
            <w:tcW w:w="713" w:type="dxa"/>
            <w:tcBorders>
              <w:top w:val="single" w:sz="4" w:space="0" w:color="auto"/>
              <w:left w:val="nil"/>
              <w:bottom w:val="single" w:sz="4" w:space="0" w:color="auto"/>
              <w:right w:val="single" w:sz="4" w:space="0" w:color="auto"/>
            </w:tcBorders>
          </w:tcPr>
          <w:p w14:paraId="14BDC0B9" w14:textId="77777777" w:rsidR="00F102F6" w:rsidRPr="00602FEE" w:rsidRDefault="00F102F6" w:rsidP="002622DC">
            <w:pPr>
              <w:pStyle w:val="tabteksts"/>
              <w:jc w:val="right"/>
              <w:rPr>
                <w:snapToGrid w:val="0"/>
              </w:rPr>
            </w:pPr>
            <w:r w:rsidRPr="00602FEE">
              <w:rPr>
                <w:snapToGrid w:val="0"/>
              </w:rPr>
              <w:t>33,9</w:t>
            </w:r>
          </w:p>
        </w:tc>
        <w:tc>
          <w:tcPr>
            <w:tcW w:w="712" w:type="dxa"/>
            <w:tcBorders>
              <w:top w:val="single" w:sz="4" w:space="0" w:color="auto"/>
              <w:left w:val="nil"/>
              <w:bottom w:val="single" w:sz="4" w:space="0" w:color="auto"/>
              <w:right w:val="single" w:sz="4" w:space="0" w:color="auto"/>
            </w:tcBorders>
          </w:tcPr>
          <w:p w14:paraId="4E9744BC" w14:textId="77777777" w:rsidR="00F102F6" w:rsidRPr="00602FEE" w:rsidRDefault="00F102F6" w:rsidP="002622DC">
            <w:pPr>
              <w:pStyle w:val="tabteksts"/>
              <w:jc w:val="right"/>
              <w:rPr>
                <w:snapToGrid w:val="0"/>
              </w:rPr>
            </w:pPr>
            <w:r w:rsidRPr="00602FEE">
              <w:rPr>
                <w:snapToGrid w:val="0"/>
              </w:rPr>
              <w:t>32,0</w:t>
            </w:r>
          </w:p>
        </w:tc>
        <w:tc>
          <w:tcPr>
            <w:tcW w:w="713" w:type="dxa"/>
            <w:tcBorders>
              <w:top w:val="single" w:sz="4" w:space="0" w:color="auto"/>
              <w:left w:val="nil"/>
              <w:bottom w:val="single" w:sz="4" w:space="0" w:color="auto"/>
              <w:right w:val="single" w:sz="4" w:space="0" w:color="auto"/>
            </w:tcBorders>
          </w:tcPr>
          <w:p w14:paraId="1C34BDBC" w14:textId="77777777" w:rsidR="00F102F6" w:rsidRPr="00602FEE" w:rsidRDefault="00F102F6" w:rsidP="002622DC">
            <w:pPr>
              <w:pStyle w:val="tabteksts"/>
              <w:jc w:val="right"/>
              <w:rPr>
                <w:snapToGrid w:val="0"/>
              </w:rPr>
            </w:pPr>
            <w:r w:rsidRPr="00602FEE">
              <w:rPr>
                <w:snapToGrid w:val="0"/>
              </w:rPr>
              <w:t>30,9</w:t>
            </w:r>
          </w:p>
        </w:tc>
        <w:tc>
          <w:tcPr>
            <w:tcW w:w="697" w:type="dxa"/>
            <w:tcBorders>
              <w:top w:val="single" w:sz="4" w:space="0" w:color="auto"/>
              <w:left w:val="single" w:sz="4" w:space="0" w:color="auto"/>
              <w:bottom w:val="single" w:sz="4" w:space="0" w:color="auto"/>
              <w:right w:val="double" w:sz="4" w:space="0" w:color="auto"/>
            </w:tcBorders>
          </w:tcPr>
          <w:p w14:paraId="2E5F9C2E" w14:textId="77777777" w:rsidR="00F102F6" w:rsidRPr="00602FEE" w:rsidRDefault="00F102F6" w:rsidP="002622DC">
            <w:pPr>
              <w:pStyle w:val="tabteksts"/>
              <w:jc w:val="right"/>
              <w:rPr>
                <w:snapToGrid w:val="0"/>
              </w:rPr>
            </w:pPr>
            <w:r w:rsidRPr="00602FEE">
              <w:rPr>
                <w:snapToGrid w:val="0"/>
              </w:rPr>
              <w:t>30,1</w:t>
            </w:r>
          </w:p>
        </w:tc>
      </w:tr>
      <w:tr w:rsidR="00F102F6" w:rsidRPr="00C704FB" w14:paraId="792962A3" w14:textId="77777777" w:rsidTr="00336495">
        <w:trPr>
          <w:cantSplit/>
          <w:trHeight w:val="158"/>
          <w:jc w:val="center"/>
        </w:trPr>
        <w:tc>
          <w:tcPr>
            <w:tcW w:w="4112" w:type="dxa"/>
            <w:gridSpan w:val="2"/>
            <w:tcBorders>
              <w:top w:val="single" w:sz="4" w:space="0" w:color="auto"/>
              <w:left w:val="double" w:sz="4" w:space="0" w:color="auto"/>
              <w:bottom w:val="single" w:sz="4" w:space="0" w:color="auto"/>
              <w:right w:val="single" w:sz="4" w:space="0" w:color="auto"/>
            </w:tcBorders>
          </w:tcPr>
          <w:p w14:paraId="41C84004" w14:textId="77777777" w:rsidR="00F102F6" w:rsidRPr="00C704FB" w:rsidRDefault="00F102F6" w:rsidP="00C15091">
            <w:pPr>
              <w:pStyle w:val="tabteksts"/>
              <w:rPr>
                <w:snapToGrid w:val="0"/>
              </w:rPr>
            </w:pPr>
            <w:r w:rsidRPr="00C704FB">
              <w:rPr>
                <w:snapToGrid w:val="0"/>
              </w:rPr>
              <w:t>7. Kopējie izdevumi</w:t>
            </w:r>
          </w:p>
        </w:tc>
        <w:tc>
          <w:tcPr>
            <w:tcW w:w="1118" w:type="dxa"/>
            <w:tcBorders>
              <w:top w:val="single" w:sz="4" w:space="0" w:color="auto"/>
              <w:left w:val="single" w:sz="4" w:space="0" w:color="auto"/>
              <w:bottom w:val="single" w:sz="4" w:space="0" w:color="auto"/>
              <w:right w:val="double" w:sz="4" w:space="0" w:color="auto"/>
            </w:tcBorders>
            <w:vAlign w:val="bottom"/>
          </w:tcPr>
          <w:p w14:paraId="3A4CBBFC" w14:textId="77777777" w:rsidR="00F102F6" w:rsidRPr="00C704FB" w:rsidRDefault="00F102F6" w:rsidP="00C15091">
            <w:pPr>
              <w:pStyle w:val="tabteksts"/>
            </w:pPr>
            <w:r w:rsidRPr="00C704FB">
              <w:t>TE</w:t>
            </w:r>
          </w:p>
        </w:tc>
        <w:tc>
          <w:tcPr>
            <w:tcW w:w="989" w:type="dxa"/>
            <w:tcBorders>
              <w:top w:val="single" w:sz="4" w:space="0" w:color="auto"/>
              <w:left w:val="double" w:sz="4" w:space="0" w:color="auto"/>
              <w:bottom w:val="single" w:sz="4" w:space="0" w:color="auto"/>
              <w:right w:val="single" w:sz="4" w:space="0" w:color="auto"/>
            </w:tcBorders>
          </w:tcPr>
          <w:p w14:paraId="2CD486EB" w14:textId="77777777" w:rsidR="00F102F6" w:rsidRPr="00AB37BA" w:rsidRDefault="00F102F6" w:rsidP="002622DC">
            <w:pPr>
              <w:pStyle w:val="tabteksts"/>
              <w:jc w:val="right"/>
              <w:rPr>
                <w:snapToGrid w:val="0"/>
              </w:rPr>
            </w:pPr>
            <w:r w:rsidRPr="00AB37BA">
              <w:rPr>
                <w:snapToGrid w:val="0"/>
              </w:rPr>
              <w:t>8 418,2</w:t>
            </w:r>
          </w:p>
        </w:tc>
        <w:tc>
          <w:tcPr>
            <w:tcW w:w="712" w:type="dxa"/>
            <w:tcBorders>
              <w:top w:val="single" w:sz="4" w:space="0" w:color="auto"/>
              <w:left w:val="nil"/>
              <w:bottom w:val="single" w:sz="4" w:space="0" w:color="auto"/>
              <w:right w:val="single" w:sz="4" w:space="0" w:color="auto"/>
            </w:tcBorders>
          </w:tcPr>
          <w:p w14:paraId="7048AD13" w14:textId="77777777" w:rsidR="00F102F6" w:rsidRPr="0049071C" w:rsidRDefault="00F102F6" w:rsidP="002622DC">
            <w:pPr>
              <w:pStyle w:val="tabteksts"/>
              <w:jc w:val="right"/>
              <w:rPr>
                <w:snapToGrid w:val="0"/>
              </w:rPr>
            </w:pPr>
            <w:r w:rsidRPr="0049071C">
              <w:rPr>
                <w:snapToGrid w:val="0"/>
              </w:rPr>
              <w:t>36,1</w:t>
            </w:r>
          </w:p>
        </w:tc>
        <w:tc>
          <w:tcPr>
            <w:tcW w:w="713" w:type="dxa"/>
            <w:tcBorders>
              <w:top w:val="single" w:sz="4" w:space="0" w:color="auto"/>
              <w:left w:val="nil"/>
              <w:bottom w:val="single" w:sz="4" w:space="0" w:color="auto"/>
              <w:right w:val="single" w:sz="4" w:space="0" w:color="auto"/>
            </w:tcBorders>
          </w:tcPr>
          <w:p w14:paraId="2F24AB96" w14:textId="77777777" w:rsidR="00F102F6" w:rsidRPr="00602FEE" w:rsidRDefault="00F102F6" w:rsidP="002622DC">
            <w:pPr>
              <w:pStyle w:val="tabteksts"/>
              <w:jc w:val="right"/>
              <w:rPr>
                <w:snapToGrid w:val="0"/>
              </w:rPr>
            </w:pPr>
            <w:r w:rsidRPr="00602FEE">
              <w:rPr>
                <w:snapToGrid w:val="0"/>
              </w:rPr>
              <w:t>34,9</w:t>
            </w:r>
          </w:p>
        </w:tc>
        <w:tc>
          <w:tcPr>
            <w:tcW w:w="712" w:type="dxa"/>
            <w:tcBorders>
              <w:top w:val="single" w:sz="4" w:space="0" w:color="auto"/>
              <w:left w:val="nil"/>
              <w:bottom w:val="single" w:sz="4" w:space="0" w:color="auto"/>
              <w:right w:val="single" w:sz="4" w:space="0" w:color="auto"/>
            </w:tcBorders>
          </w:tcPr>
          <w:p w14:paraId="2CD772BC" w14:textId="77777777" w:rsidR="00F102F6" w:rsidRPr="00602FEE" w:rsidRDefault="00F102F6" w:rsidP="002622DC">
            <w:pPr>
              <w:pStyle w:val="tabteksts"/>
              <w:jc w:val="right"/>
              <w:rPr>
                <w:snapToGrid w:val="0"/>
              </w:rPr>
            </w:pPr>
            <w:r w:rsidRPr="00602FEE">
              <w:rPr>
                <w:snapToGrid w:val="0"/>
              </w:rPr>
              <w:t>32,8</w:t>
            </w:r>
          </w:p>
        </w:tc>
        <w:tc>
          <w:tcPr>
            <w:tcW w:w="713" w:type="dxa"/>
            <w:tcBorders>
              <w:top w:val="single" w:sz="4" w:space="0" w:color="auto"/>
              <w:left w:val="nil"/>
              <w:bottom w:val="single" w:sz="4" w:space="0" w:color="auto"/>
              <w:right w:val="single" w:sz="4" w:space="0" w:color="auto"/>
            </w:tcBorders>
          </w:tcPr>
          <w:p w14:paraId="60595695" w14:textId="77777777" w:rsidR="00F102F6" w:rsidRPr="00602FEE" w:rsidRDefault="00F102F6" w:rsidP="002622DC">
            <w:pPr>
              <w:pStyle w:val="tabteksts"/>
              <w:jc w:val="right"/>
              <w:rPr>
                <w:snapToGrid w:val="0"/>
              </w:rPr>
            </w:pPr>
            <w:r w:rsidRPr="00602FEE">
              <w:rPr>
                <w:snapToGrid w:val="0"/>
              </w:rPr>
              <w:t>31,6</w:t>
            </w:r>
          </w:p>
        </w:tc>
        <w:tc>
          <w:tcPr>
            <w:tcW w:w="697" w:type="dxa"/>
            <w:tcBorders>
              <w:top w:val="single" w:sz="4" w:space="0" w:color="auto"/>
              <w:left w:val="single" w:sz="4" w:space="0" w:color="auto"/>
              <w:bottom w:val="single" w:sz="4" w:space="0" w:color="auto"/>
              <w:right w:val="double" w:sz="4" w:space="0" w:color="auto"/>
            </w:tcBorders>
          </w:tcPr>
          <w:p w14:paraId="5E5B8C7C" w14:textId="77777777" w:rsidR="00F102F6" w:rsidRPr="00602FEE" w:rsidRDefault="00F102F6" w:rsidP="002622DC">
            <w:pPr>
              <w:pStyle w:val="tabteksts"/>
              <w:jc w:val="right"/>
              <w:rPr>
                <w:snapToGrid w:val="0"/>
              </w:rPr>
            </w:pPr>
            <w:r w:rsidRPr="00602FEE">
              <w:rPr>
                <w:snapToGrid w:val="0"/>
              </w:rPr>
              <w:t>30,8</w:t>
            </w:r>
          </w:p>
        </w:tc>
      </w:tr>
      <w:tr w:rsidR="00F102F6" w:rsidRPr="00C704FB" w14:paraId="7AFB8D24"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43B9EF24" w14:textId="77777777" w:rsidR="00F102F6" w:rsidRPr="00C704FB" w:rsidRDefault="00F102F6" w:rsidP="00C15091">
            <w:pPr>
              <w:pStyle w:val="tabteksts"/>
              <w:rPr>
                <w:snapToGrid w:val="0"/>
              </w:rPr>
            </w:pPr>
            <w:r w:rsidRPr="00C704FB">
              <w:rPr>
                <w:snapToGrid w:val="0"/>
              </w:rPr>
              <w:t>8. Budžeta bilance</w:t>
            </w:r>
          </w:p>
        </w:tc>
        <w:tc>
          <w:tcPr>
            <w:tcW w:w="1118" w:type="dxa"/>
            <w:tcBorders>
              <w:top w:val="single" w:sz="4" w:space="0" w:color="auto"/>
              <w:left w:val="single" w:sz="4" w:space="0" w:color="auto"/>
              <w:bottom w:val="single" w:sz="4" w:space="0" w:color="auto"/>
              <w:right w:val="double" w:sz="4" w:space="0" w:color="auto"/>
            </w:tcBorders>
            <w:vAlign w:val="bottom"/>
          </w:tcPr>
          <w:p w14:paraId="4F180F85" w14:textId="77777777" w:rsidR="00F102F6" w:rsidRPr="00C704FB" w:rsidRDefault="00F102F6" w:rsidP="00C15091">
            <w:pPr>
              <w:pStyle w:val="tabteksts"/>
            </w:pPr>
            <w:r w:rsidRPr="00C704FB">
              <w:t>EDP B.9</w:t>
            </w:r>
          </w:p>
        </w:tc>
        <w:tc>
          <w:tcPr>
            <w:tcW w:w="989" w:type="dxa"/>
            <w:tcBorders>
              <w:top w:val="single" w:sz="4" w:space="0" w:color="auto"/>
              <w:left w:val="double" w:sz="4" w:space="0" w:color="auto"/>
              <w:bottom w:val="single" w:sz="4" w:space="0" w:color="auto"/>
              <w:right w:val="single" w:sz="4" w:space="0" w:color="auto"/>
            </w:tcBorders>
          </w:tcPr>
          <w:p w14:paraId="69183A2E" w14:textId="77777777" w:rsidR="00F102F6" w:rsidRPr="00AB37BA" w:rsidRDefault="00F102F6" w:rsidP="002622DC">
            <w:pPr>
              <w:pStyle w:val="tabteksts"/>
              <w:jc w:val="right"/>
              <w:rPr>
                <w:snapToGrid w:val="0"/>
              </w:rPr>
            </w:pPr>
            <w:r w:rsidRPr="00AB37BA">
              <w:rPr>
                <w:snapToGrid w:val="0"/>
              </w:rPr>
              <w:t>-223,8</w:t>
            </w:r>
          </w:p>
        </w:tc>
        <w:tc>
          <w:tcPr>
            <w:tcW w:w="712" w:type="dxa"/>
            <w:tcBorders>
              <w:top w:val="single" w:sz="4" w:space="0" w:color="auto"/>
              <w:left w:val="nil"/>
              <w:bottom w:val="single" w:sz="4" w:space="0" w:color="auto"/>
              <w:right w:val="single" w:sz="4" w:space="0" w:color="auto"/>
            </w:tcBorders>
          </w:tcPr>
          <w:p w14:paraId="617CE0E2" w14:textId="77777777" w:rsidR="00F102F6" w:rsidRPr="0049071C" w:rsidRDefault="00F102F6" w:rsidP="002622DC">
            <w:pPr>
              <w:pStyle w:val="tabteksts"/>
              <w:jc w:val="right"/>
              <w:rPr>
                <w:snapToGrid w:val="0"/>
              </w:rPr>
            </w:pPr>
            <w:r w:rsidRPr="0049071C">
              <w:rPr>
                <w:snapToGrid w:val="0"/>
              </w:rPr>
              <w:t>-1,0</w:t>
            </w:r>
          </w:p>
        </w:tc>
        <w:tc>
          <w:tcPr>
            <w:tcW w:w="713" w:type="dxa"/>
            <w:tcBorders>
              <w:top w:val="single" w:sz="4" w:space="0" w:color="auto"/>
              <w:left w:val="nil"/>
              <w:bottom w:val="single" w:sz="4" w:space="0" w:color="auto"/>
              <w:right w:val="single" w:sz="4" w:space="0" w:color="auto"/>
            </w:tcBorders>
          </w:tcPr>
          <w:p w14:paraId="0ECC26B4" w14:textId="77777777" w:rsidR="00F102F6" w:rsidRPr="00602FEE" w:rsidRDefault="00F102F6" w:rsidP="002622DC">
            <w:pPr>
              <w:pStyle w:val="tabteksts"/>
              <w:jc w:val="right"/>
              <w:rPr>
                <w:snapToGrid w:val="0"/>
              </w:rPr>
            </w:pPr>
            <w:r w:rsidRPr="00602FEE">
              <w:rPr>
                <w:snapToGrid w:val="0"/>
              </w:rPr>
              <w:t>-1,0</w:t>
            </w:r>
          </w:p>
        </w:tc>
        <w:tc>
          <w:tcPr>
            <w:tcW w:w="712" w:type="dxa"/>
            <w:tcBorders>
              <w:top w:val="single" w:sz="4" w:space="0" w:color="auto"/>
              <w:left w:val="nil"/>
              <w:bottom w:val="single" w:sz="4" w:space="0" w:color="auto"/>
              <w:right w:val="single" w:sz="4" w:space="0" w:color="auto"/>
            </w:tcBorders>
          </w:tcPr>
          <w:p w14:paraId="48F590BF" w14:textId="77777777" w:rsidR="00F102F6" w:rsidRPr="00602FEE" w:rsidRDefault="00F102F6" w:rsidP="002622DC">
            <w:pPr>
              <w:pStyle w:val="tabteksts"/>
              <w:jc w:val="right"/>
              <w:rPr>
                <w:snapToGrid w:val="0"/>
              </w:rPr>
            </w:pPr>
            <w:r w:rsidRPr="00602FEE">
              <w:rPr>
                <w:snapToGrid w:val="0"/>
              </w:rPr>
              <w:t>-0,8</w:t>
            </w:r>
          </w:p>
        </w:tc>
        <w:tc>
          <w:tcPr>
            <w:tcW w:w="713" w:type="dxa"/>
            <w:tcBorders>
              <w:top w:val="single" w:sz="4" w:space="0" w:color="auto"/>
              <w:left w:val="nil"/>
              <w:bottom w:val="single" w:sz="4" w:space="0" w:color="auto"/>
              <w:right w:val="single" w:sz="4" w:space="0" w:color="auto"/>
            </w:tcBorders>
          </w:tcPr>
          <w:p w14:paraId="0FBEC28F" w14:textId="77777777" w:rsidR="00F102F6" w:rsidRPr="00602FEE" w:rsidRDefault="00F102F6" w:rsidP="002622DC">
            <w:pPr>
              <w:pStyle w:val="tabteksts"/>
              <w:jc w:val="right"/>
              <w:rPr>
                <w:snapToGrid w:val="0"/>
              </w:rPr>
            </w:pPr>
            <w:r w:rsidRPr="00602FEE">
              <w:rPr>
                <w:snapToGrid w:val="0"/>
              </w:rPr>
              <w:t>-0,7</w:t>
            </w:r>
          </w:p>
        </w:tc>
        <w:tc>
          <w:tcPr>
            <w:tcW w:w="697" w:type="dxa"/>
            <w:tcBorders>
              <w:top w:val="single" w:sz="4" w:space="0" w:color="auto"/>
              <w:left w:val="single" w:sz="4" w:space="0" w:color="auto"/>
              <w:bottom w:val="single" w:sz="4" w:space="0" w:color="auto"/>
              <w:right w:val="double" w:sz="4" w:space="0" w:color="auto"/>
            </w:tcBorders>
          </w:tcPr>
          <w:p w14:paraId="243AB341" w14:textId="77777777" w:rsidR="00F102F6" w:rsidRPr="00602FEE" w:rsidRDefault="00F102F6" w:rsidP="002622DC">
            <w:pPr>
              <w:pStyle w:val="tabteksts"/>
              <w:jc w:val="right"/>
              <w:rPr>
                <w:snapToGrid w:val="0"/>
              </w:rPr>
            </w:pPr>
            <w:r w:rsidRPr="00602FEE">
              <w:rPr>
                <w:snapToGrid w:val="0"/>
              </w:rPr>
              <w:t>-0,7</w:t>
            </w:r>
          </w:p>
        </w:tc>
      </w:tr>
      <w:tr w:rsidR="00F102F6" w:rsidRPr="00C704FB" w14:paraId="0AC5BE80"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vAlign w:val="center"/>
          </w:tcPr>
          <w:p w14:paraId="1F6297B0" w14:textId="77777777" w:rsidR="00F102F6" w:rsidRPr="00C704FB" w:rsidRDefault="00F102F6" w:rsidP="00C15091">
            <w:pPr>
              <w:pStyle w:val="tabteksts"/>
              <w:rPr>
                <w:snapToGrid w:val="0"/>
              </w:rPr>
            </w:pPr>
            <w:r w:rsidRPr="00C704FB">
              <w:rPr>
                <w:snapToGrid w:val="0"/>
              </w:rPr>
              <w:t>9. Procentu izdevumi</w:t>
            </w:r>
          </w:p>
        </w:tc>
        <w:tc>
          <w:tcPr>
            <w:tcW w:w="1118" w:type="dxa"/>
            <w:tcBorders>
              <w:top w:val="single" w:sz="4" w:space="0" w:color="auto"/>
              <w:left w:val="single" w:sz="4" w:space="0" w:color="auto"/>
              <w:bottom w:val="single" w:sz="4" w:space="0" w:color="auto"/>
              <w:right w:val="double" w:sz="4" w:space="0" w:color="auto"/>
            </w:tcBorders>
            <w:vAlign w:val="bottom"/>
          </w:tcPr>
          <w:p w14:paraId="24620D49" w14:textId="77777777" w:rsidR="00F102F6" w:rsidRPr="00C704FB" w:rsidRDefault="00F102F6" w:rsidP="00C15091">
            <w:pPr>
              <w:pStyle w:val="tabteksts"/>
            </w:pPr>
            <w:r w:rsidRPr="00C704FB">
              <w:t xml:space="preserve">EDP D.41 </w:t>
            </w:r>
          </w:p>
        </w:tc>
        <w:tc>
          <w:tcPr>
            <w:tcW w:w="989" w:type="dxa"/>
            <w:tcBorders>
              <w:top w:val="single" w:sz="4" w:space="0" w:color="auto"/>
              <w:left w:val="double" w:sz="4" w:space="0" w:color="auto"/>
              <w:bottom w:val="single" w:sz="4" w:space="0" w:color="auto"/>
              <w:right w:val="single" w:sz="4" w:space="0" w:color="auto"/>
            </w:tcBorders>
          </w:tcPr>
          <w:p w14:paraId="60A474E5" w14:textId="77777777" w:rsidR="00F102F6" w:rsidRPr="00AB37BA" w:rsidRDefault="00F102F6" w:rsidP="002622DC">
            <w:pPr>
              <w:pStyle w:val="tabteksts"/>
              <w:jc w:val="right"/>
              <w:rPr>
                <w:snapToGrid w:val="0"/>
              </w:rPr>
            </w:pPr>
            <w:r w:rsidRPr="00AB37BA">
              <w:rPr>
                <w:snapToGrid w:val="0"/>
              </w:rPr>
              <w:t>388,2</w:t>
            </w:r>
          </w:p>
        </w:tc>
        <w:tc>
          <w:tcPr>
            <w:tcW w:w="712" w:type="dxa"/>
            <w:tcBorders>
              <w:top w:val="single" w:sz="4" w:space="0" w:color="auto"/>
              <w:left w:val="nil"/>
              <w:bottom w:val="single" w:sz="4" w:space="0" w:color="auto"/>
              <w:right w:val="single" w:sz="4" w:space="0" w:color="auto"/>
            </w:tcBorders>
          </w:tcPr>
          <w:p w14:paraId="20256B0E" w14:textId="77777777" w:rsidR="00F102F6" w:rsidRPr="0049071C" w:rsidRDefault="00F102F6" w:rsidP="002622DC">
            <w:pPr>
              <w:pStyle w:val="tabteksts"/>
              <w:jc w:val="right"/>
              <w:rPr>
                <w:snapToGrid w:val="0"/>
              </w:rPr>
            </w:pPr>
            <w:r w:rsidRPr="0049071C">
              <w:rPr>
                <w:snapToGrid w:val="0"/>
              </w:rPr>
              <w:t>1,7</w:t>
            </w:r>
          </w:p>
        </w:tc>
        <w:tc>
          <w:tcPr>
            <w:tcW w:w="713" w:type="dxa"/>
            <w:tcBorders>
              <w:top w:val="single" w:sz="4" w:space="0" w:color="auto"/>
              <w:left w:val="nil"/>
              <w:bottom w:val="single" w:sz="4" w:space="0" w:color="auto"/>
              <w:right w:val="single" w:sz="4" w:space="0" w:color="auto"/>
            </w:tcBorders>
          </w:tcPr>
          <w:p w14:paraId="5688C736" w14:textId="77777777" w:rsidR="00F102F6" w:rsidRPr="00602FEE" w:rsidRDefault="00F102F6" w:rsidP="002622DC">
            <w:pPr>
              <w:pStyle w:val="tabteksts"/>
              <w:jc w:val="right"/>
              <w:rPr>
                <w:snapToGrid w:val="0"/>
              </w:rPr>
            </w:pPr>
            <w:r w:rsidRPr="00602FEE">
              <w:rPr>
                <w:snapToGrid w:val="0"/>
              </w:rPr>
              <w:t>1,6</w:t>
            </w:r>
          </w:p>
        </w:tc>
        <w:tc>
          <w:tcPr>
            <w:tcW w:w="712" w:type="dxa"/>
            <w:tcBorders>
              <w:top w:val="single" w:sz="4" w:space="0" w:color="auto"/>
              <w:left w:val="nil"/>
              <w:bottom w:val="single" w:sz="4" w:space="0" w:color="auto"/>
              <w:right w:val="single" w:sz="4" w:space="0" w:color="auto"/>
            </w:tcBorders>
          </w:tcPr>
          <w:p w14:paraId="584F3543" w14:textId="77777777" w:rsidR="00F102F6" w:rsidRPr="00602FEE" w:rsidRDefault="00F102F6" w:rsidP="002622DC">
            <w:pPr>
              <w:pStyle w:val="tabteksts"/>
              <w:jc w:val="right"/>
              <w:rPr>
                <w:snapToGrid w:val="0"/>
              </w:rPr>
            </w:pPr>
            <w:r w:rsidRPr="00602FEE">
              <w:rPr>
                <w:snapToGrid w:val="0"/>
              </w:rPr>
              <w:t>1,2</w:t>
            </w:r>
          </w:p>
        </w:tc>
        <w:tc>
          <w:tcPr>
            <w:tcW w:w="713" w:type="dxa"/>
            <w:tcBorders>
              <w:top w:val="single" w:sz="4" w:space="0" w:color="auto"/>
              <w:left w:val="nil"/>
              <w:bottom w:val="single" w:sz="4" w:space="0" w:color="auto"/>
              <w:right w:val="single" w:sz="4" w:space="0" w:color="auto"/>
            </w:tcBorders>
          </w:tcPr>
          <w:p w14:paraId="71BB3297" w14:textId="77777777" w:rsidR="00F102F6" w:rsidRPr="00602FEE" w:rsidRDefault="00F102F6" w:rsidP="002622DC">
            <w:pPr>
              <w:pStyle w:val="tabteksts"/>
              <w:jc w:val="right"/>
              <w:rPr>
                <w:snapToGrid w:val="0"/>
              </w:rPr>
            </w:pPr>
            <w:r w:rsidRPr="00602FEE">
              <w:rPr>
                <w:snapToGrid w:val="0"/>
              </w:rPr>
              <w:t>1,2</w:t>
            </w:r>
          </w:p>
        </w:tc>
        <w:tc>
          <w:tcPr>
            <w:tcW w:w="697" w:type="dxa"/>
            <w:tcBorders>
              <w:top w:val="single" w:sz="4" w:space="0" w:color="auto"/>
              <w:left w:val="single" w:sz="4" w:space="0" w:color="auto"/>
              <w:bottom w:val="single" w:sz="4" w:space="0" w:color="auto"/>
              <w:right w:val="double" w:sz="4" w:space="0" w:color="auto"/>
            </w:tcBorders>
          </w:tcPr>
          <w:p w14:paraId="3590B03C" w14:textId="77777777" w:rsidR="00F102F6" w:rsidRPr="00602FEE" w:rsidRDefault="00F102F6" w:rsidP="002622DC">
            <w:pPr>
              <w:pStyle w:val="tabteksts"/>
              <w:jc w:val="right"/>
              <w:rPr>
                <w:snapToGrid w:val="0"/>
              </w:rPr>
            </w:pPr>
            <w:r w:rsidRPr="00602FEE">
              <w:rPr>
                <w:snapToGrid w:val="0"/>
              </w:rPr>
              <w:t>1,1</w:t>
            </w:r>
          </w:p>
        </w:tc>
      </w:tr>
      <w:tr w:rsidR="00F102F6" w:rsidRPr="00C704FB" w14:paraId="61BB2557"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5F29D9AA" w14:textId="77777777" w:rsidR="00F102F6" w:rsidRPr="00C704FB" w:rsidRDefault="00F102F6" w:rsidP="00C15091">
            <w:pPr>
              <w:pStyle w:val="tabteksts"/>
              <w:rPr>
                <w:snapToGrid w:val="0"/>
              </w:rPr>
            </w:pPr>
            <w:r w:rsidRPr="00C704FB">
              <w:rPr>
                <w:snapToGrid w:val="0"/>
              </w:rPr>
              <w:t>10. Primārā bilance</w:t>
            </w:r>
          </w:p>
        </w:tc>
        <w:tc>
          <w:tcPr>
            <w:tcW w:w="1118" w:type="dxa"/>
            <w:tcBorders>
              <w:top w:val="single" w:sz="4" w:space="0" w:color="auto"/>
              <w:left w:val="single" w:sz="4" w:space="0" w:color="auto"/>
              <w:bottom w:val="single" w:sz="4" w:space="0" w:color="auto"/>
              <w:right w:val="double" w:sz="4" w:space="0" w:color="auto"/>
            </w:tcBorders>
            <w:vAlign w:val="bottom"/>
          </w:tcPr>
          <w:p w14:paraId="63902C31" w14:textId="77777777" w:rsidR="00F102F6" w:rsidRPr="00C704FB" w:rsidRDefault="00F102F6" w:rsidP="00C15091">
            <w:pPr>
              <w:pStyle w:val="tabteksts"/>
            </w:pPr>
          </w:p>
        </w:tc>
        <w:tc>
          <w:tcPr>
            <w:tcW w:w="989" w:type="dxa"/>
            <w:tcBorders>
              <w:top w:val="single" w:sz="4" w:space="0" w:color="auto"/>
              <w:left w:val="double" w:sz="4" w:space="0" w:color="auto"/>
              <w:bottom w:val="single" w:sz="4" w:space="0" w:color="auto"/>
              <w:right w:val="single" w:sz="4" w:space="0" w:color="auto"/>
            </w:tcBorders>
          </w:tcPr>
          <w:p w14:paraId="2CFC410C" w14:textId="77777777" w:rsidR="00F102F6" w:rsidRPr="00AB37BA" w:rsidRDefault="00F102F6" w:rsidP="002622DC">
            <w:pPr>
              <w:pStyle w:val="tabteksts"/>
              <w:jc w:val="right"/>
              <w:rPr>
                <w:snapToGrid w:val="0"/>
              </w:rPr>
            </w:pPr>
            <w:r w:rsidRPr="00AB37BA">
              <w:rPr>
                <w:snapToGrid w:val="0"/>
              </w:rPr>
              <w:t>164,4</w:t>
            </w:r>
          </w:p>
        </w:tc>
        <w:tc>
          <w:tcPr>
            <w:tcW w:w="712" w:type="dxa"/>
            <w:tcBorders>
              <w:top w:val="single" w:sz="4" w:space="0" w:color="auto"/>
              <w:left w:val="nil"/>
              <w:bottom w:val="single" w:sz="4" w:space="0" w:color="auto"/>
              <w:right w:val="single" w:sz="4" w:space="0" w:color="auto"/>
            </w:tcBorders>
          </w:tcPr>
          <w:p w14:paraId="64583CC1" w14:textId="77777777" w:rsidR="00F102F6" w:rsidRPr="0049071C" w:rsidRDefault="00F102F6" w:rsidP="002622DC">
            <w:pPr>
              <w:pStyle w:val="tabteksts"/>
              <w:jc w:val="right"/>
              <w:rPr>
                <w:snapToGrid w:val="0"/>
              </w:rPr>
            </w:pPr>
            <w:r w:rsidRPr="0049071C">
              <w:rPr>
                <w:snapToGrid w:val="0"/>
              </w:rPr>
              <w:t>0,7</w:t>
            </w:r>
          </w:p>
        </w:tc>
        <w:tc>
          <w:tcPr>
            <w:tcW w:w="713" w:type="dxa"/>
            <w:tcBorders>
              <w:top w:val="single" w:sz="4" w:space="0" w:color="auto"/>
              <w:left w:val="nil"/>
              <w:bottom w:val="single" w:sz="4" w:space="0" w:color="auto"/>
              <w:right w:val="single" w:sz="4" w:space="0" w:color="auto"/>
            </w:tcBorders>
          </w:tcPr>
          <w:p w14:paraId="281F9853" w14:textId="77777777" w:rsidR="00F102F6" w:rsidRPr="00602FEE" w:rsidRDefault="00F102F6" w:rsidP="002622DC">
            <w:pPr>
              <w:pStyle w:val="tabteksts"/>
              <w:jc w:val="right"/>
              <w:rPr>
                <w:snapToGrid w:val="0"/>
              </w:rPr>
            </w:pPr>
            <w:r w:rsidRPr="00602FEE">
              <w:rPr>
                <w:snapToGrid w:val="0"/>
              </w:rPr>
              <w:t>0,6</w:t>
            </w:r>
          </w:p>
        </w:tc>
        <w:tc>
          <w:tcPr>
            <w:tcW w:w="712" w:type="dxa"/>
            <w:tcBorders>
              <w:top w:val="single" w:sz="4" w:space="0" w:color="auto"/>
              <w:left w:val="nil"/>
              <w:bottom w:val="single" w:sz="4" w:space="0" w:color="auto"/>
              <w:right w:val="single" w:sz="4" w:space="0" w:color="auto"/>
            </w:tcBorders>
          </w:tcPr>
          <w:p w14:paraId="5F236451" w14:textId="77777777" w:rsidR="00F102F6" w:rsidRPr="00602FEE" w:rsidRDefault="00F102F6" w:rsidP="002622DC">
            <w:pPr>
              <w:pStyle w:val="tabteksts"/>
              <w:jc w:val="right"/>
              <w:rPr>
                <w:snapToGrid w:val="0"/>
              </w:rPr>
            </w:pPr>
            <w:r w:rsidRPr="00602FEE">
              <w:rPr>
                <w:snapToGrid w:val="0"/>
              </w:rPr>
              <w:t>0,4</w:t>
            </w:r>
          </w:p>
        </w:tc>
        <w:tc>
          <w:tcPr>
            <w:tcW w:w="713" w:type="dxa"/>
            <w:tcBorders>
              <w:top w:val="single" w:sz="4" w:space="0" w:color="auto"/>
              <w:left w:val="nil"/>
              <w:bottom w:val="single" w:sz="4" w:space="0" w:color="auto"/>
              <w:right w:val="single" w:sz="4" w:space="0" w:color="auto"/>
            </w:tcBorders>
          </w:tcPr>
          <w:p w14:paraId="6BCC7228" w14:textId="77777777" w:rsidR="00F102F6" w:rsidRPr="00602FEE" w:rsidRDefault="00F102F6" w:rsidP="002622DC">
            <w:pPr>
              <w:pStyle w:val="tabteksts"/>
              <w:jc w:val="right"/>
              <w:rPr>
                <w:snapToGrid w:val="0"/>
              </w:rPr>
            </w:pPr>
            <w:r w:rsidRPr="00602FEE">
              <w:rPr>
                <w:snapToGrid w:val="0"/>
              </w:rPr>
              <w:t>0,5</w:t>
            </w:r>
          </w:p>
        </w:tc>
        <w:tc>
          <w:tcPr>
            <w:tcW w:w="697" w:type="dxa"/>
            <w:tcBorders>
              <w:top w:val="single" w:sz="4" w:space="0" w:color="auto"/>
              <w:left w:val="single" w:sz="4" w:space="0" w:color="auto"/>
              <w:bottom w:val="single" w:sz="4" w:space="0" w:color="auto"/>
              <w:right w:val="double" w:sz="4" w:space="0" w:color="auto"/>
            </w:tcBorders>
          </w:tcPr>
          <w:p w14:paraId="1D44569A" w14:textId="77777777" w:rsidR="00F102F6" w:rsidRPr="00602FEE" w:rsidRDefault="00F102F6" w:rsidP="002622DC">
            <w:pPr>
              <w:pStyle w:val="tabteksts"/>
              <w:jc w:val="right"/>
              <w:rPr>
                <w:snapToGrid w:val="0"/>
              </w:rPr>
            </w:pPr>
            <w:r w:rsidRPr="00602FEE">
              <w:rPr>
                <w:snapToGrid w:val="0"/>
              </w:rPr>
              <w:t>0,4</w:t>
            </w:r>
          </w:p>
        </w:tc>
      </w:tr>
      <w:tr w:rsidR="00F102F6" w:rsidRPr="00C704FB" w14:paraId="760E5D02" w14:textId="77777777" w:rsidTr="00336495">
        <w:trPr>
          <w:cantSplit/>
          <w:jc w:val="center"/>
        </w:trPr>
        <w:tc>
          <w:tcPr>
            <w:tcW w:w="4112" w:type="dxa"/>
            <w:gridSpan w:val="2"/>
            <w:tcBorders>
              <w:top w:val="single" w:sz="4" w:space="0" w:color="auto"/>
              <w:left w:val="double" w:sz="4" w:space="0" w:color="auto"/>
              <w:bottom w:val="double" w:sz="4" w:space="0" w:color="auto"/>
              <w:right w:val="single" w:sz="4" w:space="0" w:color="auto"/>
            </w:tcBorders>
          </w:tcPr>
          <w:p w14:paraId="63945AD0" w14:textId="77777777" w:rsidR="00F102F6" w:rsidRPr="00C704FB" w:rsidRDefault="00F102F6" w:rsidP="00C15091">
            <w:pPr>
              <w:pStyle w:val="tabteksts"/>
              <w:rPr>
                <w:snapToGrid w:val="0"/>
              </w:rPr>
            </w:pPr>
            <w:r w:rsidRPr="00C704FB">
              <w:rPr>
                <w:snapToGrid w:val="0"/>
              </w:rPr>
              <w:t xml:space="preserve">11. Vienreizējie un citi pagaidu pasākumi </w:t>
            </w:r>
          </w:p>
        </w:tc>
        <w:tc>
          <w:tcPr>
            <w:tcW w:w="1118" w:type="dxa"/>
            <w:tcBorders>
              <w:top w:val="single" w:sz="4" w:space="0" w:color="auto"/>
              <w:left w:val="single" w:sz="4" w:space="0" w:color="auto"/>
              <w:bottom w:val="double" w:sz="4" w:space="0" w:color="auto"/>
              <w:right w:val="double" w:sz="4" w:space="0" w:color="auto"/>
            </w:tcBorders>
            <w:vAlign w:val="bottom"/>
          </w:tcPr>
          <w:p w14:paraId="4D6CC018" w14:textId="77777777" w:rsidR="00F102F6" w:rsidRPr="00C704FB" w:rsidRDefault="00F102F6" w:rsidP="00C15091">
            <w:pPr>
              <w:pStyle w:val="tabteksts"/>
            </w:pPr>
          </w:p>
        </w:tc>
        <w:tc>
          <w:tcPr>
            <w:tcW w:w="989" w:type="dxa"/>
            <w:tcBorders>
              <w:top w:val="single" w:sz="4" w:space="0" w:color="auto"/>
              <w:left w:val="double" w:sz="4" w:space="0" w:color="auto"/>
              <w:bottom w:val="double" w:sz="4" w:space="0" w:color="auto"/>
              <w:right w:val="single" w:sz="4" w:space="0" w:color="auto"/>
            </w:tcBorders>
          </w:tcPr>
          <w:p w14:paraId="60122D16" w14:textId="77777777" w:rsidR="00F102F6" w:rsidRPr="00C704FB" w:rsidRDefault="00F102F6" w:rsidP="00336495">
            <w:pPr>
              <w:pStyle w:val="tabteksts"/>
              <w:jc w:val="center"/>
              <w:rPr>
                <w:snapToGrid w:val="0"/>
              </w:rPr>
            </w:pPr>
          </w:p>
        </w:tc>
        <w:tc>
          <w:tcPr>
            <w:tcW w:w="712" w:type="dxa"/>
            <w:tcBorders>
              <w:top w:val="single" w:sz="4" w:space="0" w:color="auto"/>
              <w:left w:val="nil"/>
              <w:bottom w:val="double" w:sz="4" w:space="0" w:color="auto"/>
              <w:right w:val="single" w:sz="4" w:space="0" w:color="auto"/>
            </w:tcBorders>
          </w:tcPr>
          <w:p w14:paraId="34589310" w14:textId="77777777" w:rsidR="00F102F6" w:rsidRPr="0049071C" w:rsidRDefault="00F102F6" w:rsidP="00336495">
            <w:pPr>
              <w:pStyle w:val="tabteksts"/>
              <w:jc w:val="center"/>
              <w:rPr>
                <w:snapToGrid w:val="0"/>
              </w:rPr>
            </w:pPr>
          </w:p>
        </w:tc>
        <w:tc>
          <w:tcPr>
            <w:tcW w:w="713" w:type="dxa"/>
            <w:tcBorders>
              <w:top w:val="single" w:sz="4" w:space="0" w:color="auto"/>
              <w:left w:val="nil"/>
              <w:bottom w:val="double" w:sz="4" w:space="0" w:color="auto"/>
              <w:right w:val="single" w:sz="4" w:space="0" w:color="auto"/>
            </w:tcBorders>
          </w:tcPr>
          <w:p w14:paraId="450EA022" w14:textId="77777777" w:rsidR="00F102F6" w:rsidRPr="0049071C" w:rsidRDefault="00F102F6" w:rsidP="00336495">
            <w:pPr>
              <w:pStyle w:val="tabteksts"/>
              <w:jc w:val="center"/>
              <w:rPr>
                <w:snapToGrid w:val="0"/>
              </w:rPr>
            </w:pPr>
          </w:p>
        </w:tc>
        <w:tc>
          <w:tcPr>
            <w:tcW w:w="712" w:type="dxa"/>
            <w:tcBorders>
              <w:top w:val="single" w:sz="4" w:space="0" w:color="auto"/>
              <w:left w:val="nil"/>
              <w:bottom w:val="double" w:sz="4" w:space="0" w:color="auto"/>
              <w:right w:val="single" w:sz="4" w:space="0" w:color="auto"/>
            </w:tcBorders>
          </w:tcPr>
          <w:p w14:paraId="5D221197" w14:textId="77777777" w:rsidR="00F102F6" w:rsidRPr="0049071C" w:rsidRDefault="00F102F6" w:rsidP="00336495">
            <w:pPr>
              <w:pStyle w:val="tabteksts"/>
              <w:jc w:val="center"/>
              <w:rPr>
                <w:snapToGrid w:val="0"/>
              </w:rPr>
            </w:pPr>
          </w:p>
        </w:tc>
        <w:tc>
          <w:tcPr>
            <w:tcW w:w="713" w:type="dxa"/>
            <w:tcBorders>
              <w:top w:val="single" w:sz="4" w:space="0" w:color="auto"/>
              <w:left w:val="nil"/>
              <w:bottom w:val="double" w:sz="4" w:space="0" w:color="auto"/>
              <w:right w:val="single" w:sz="4" w:space="0" w:color="auto"/>
            </w:tcBorders>
          </w:tcPr>
          <w:p w14:paraId="7F09B481" w14:textId="77777777" w:rsidR="00F102F6" w:rsidRPr="0049071C" w:rsidRDefault="00F102F6" w:rsidP="00336495">
            <w:pPr>
              <w:pStyle w:val="tabteksts"/>
              <w:jc w:val="center"/>
              <w:rPr>
                <w:snapToGrid w:val="0"/>
              </w:rPr>
            </w:pPr>
          </w:p>
        </w:tc>
        <w:tc>
          <w:tcPr>
            <w:tcW w:w="697" w:type="dxa"/>
            <w:tcBorders>
              <w:top w:val="single" w:sz="4" w:space="0" w:color="auto"/>
              <w:left w:val="single" w:sz="4" w:space="0" w:color="auto"/>
              <w:bottom w:val="double" w:sz="4" w:space="0" w:color="auto"/>
              <w:right w:val="double" w:sz="4" w:space="0" w:color="auto"/>
            </w:tcBorders>
          </w:tcPr>
          <w:p w14:paraId="325EB339" w14:textId="77777777" w:rsidR="00F102F6" w:rsidRPr="0049071C" w:rsidRDefault="00F102F6" w:rsidP="00336495">
            <w:pPr>
              <w:pStyle w:val="tabteksts"/>
              <w:jc w:val="center"/>
              <w:rPr>
                <w:snapToGrid w:val="0"/>
              </w:rPr>
            </w:pPr>
          </w:p>
        </w:tc>
      </w:tr>
      <w:tr w:rsidR="00F102F6" w:rsidRPr="00C704FB" w14:paraId="1D09EE00" w14:textId="77777777" w:rsidTr="00336495">
        <w:trPr>
          <w:cantSplit/>
          <w:jc w:val="center"/>
        </w:trPr>
        <w:tc>
          <w:tcPr>
            <w:tcW w:w="1157" w:type="dxa"/>
            <w:tcBorders>
              <w:top w:val="double" w:sz="4" w:space="0" w:color="auto"/>
              <w:left w:val="double" w:sz="4" w:space="0" w:color="auto"/>
              <w:bottom w:val="single" w:sz="4" w:space="0" w:color="auto"/>
            </w:tcBorders>
          </w:tcPr>
          <w:p w14:paraId="2013049F" w14:textId="77777777" w:rsidR="00F102F6" w:rsidRPr="00C704FB" w:rsidRDefault="00F102F6" w:rsidP="00C15091">
            <w:pPr>
              <w:pStyle w:val="tabteksts"/>
              <w:jc w:val="center"/>
              <w:rPr>
                <w:b/>
                <w:snapToGrid w:val="0"/>
              </w:rPr>
            </w:pPr>
          </w:p>
        </w:tc>
        <w:tc>
          <w:tcPr>
            <w:tcW w:w="8609" w:type="dxa"/>
            <w:gridSpan w:val="8"/>
            <w:tcBorders>
              <w:top w:val="double" w:sz="4" w:space="0" w:color="auto"/>
              <w:bottom w:val="single" w:sz="4" w:space="0" w:color="auto"/>
              <w:right w:val="double" w:sz="4" w:space="0" w:color="auto"/>
            </w:tcBorders>
          </w:tcPr>
          <w:p w14:paraId="14A51B03" w14:textId="77777777" w:rsidR="00F102F6" w:rsidRPr="00C704FB" w:rsidRDefault="00F102F6" w:rsidP="00336495">
            <w:pPr>
              <w:pStyle w:val="tabteksts"/>
              <w:jc w:val="center"/>
              <w:rPr>
                <w:b/>
                <w:snapToGrid w:val="0"/>
              </w:rPr>
            </w:pPr>
            <w:r w:rsidRPr="00C704FB">
              <w:rPr>
                <w:b/>
                <w:snapToGrid w:val="0"/>
              </w:rPr>
              <w:t>Ieņēmumu sadaļas</w:t>
            </w:r>
          </w:p>
        </w:tc>
      </w:tr>
      <w:tr w:rsidR="00F102F6" w:rsidRPr="00C704FB" w14:paraId="230CA876" w14:textId="77777777" w:rsidTr="00336495">
        <w:trPr>
          <w:cantSplit/>
          <w:trHeight w:val="189"/>
          <w:jc w:val="center"/>
        </w:trPr>
        <w:tc>
          <w:tcPr>
            <w:tcW w:w="4112" w:type="dxa"/>
            <w:gridSpan w:val="2"/>
            <w:tcBorders>
              <w:top w:val="single" w:sz="4" w:space="0" w:color="auto"/>
              <w:left w:val="double" w:sz="4" w:space="0" w:color="auto"/>
              <w:bottom w:val="single" w:sz="4" w:space="0" w:color="auto"/>
              <w:right w:val="single" w:sz="4" w:space="0" w:color="auto"/>
            </w:tcBorders>
          </w:tcPr>
          <w:p w14:paraId="20FC3A69" w14:textId="77777777" w:rsidR="00F102F6" w:rsidRPr="00C704FB" w:rsidRDefault="00F102F6" w:rsidP="00C15091">
            <w:pPr>
              <w:pStyle w:val="tabteksts"/>
              <w:rPr>
                <w:snapToGrid w:val="0"/>
              </w:rPr>
            </w:pPr>
            <w:r w:rsidRPr="00C704FB">
              <w:rPr>
                <w:snapToGrid w:val="0"/>
              </w:rPr>
              <w:t>12. Nodokļi kopā (12=12a+12b+12c)</w:t>
            </w:r>
          </w:p>
        </w:tc>
        <w:tc>
          <w:tcPr>
            <w:tcW w:w="1118" w:type="dxa"/>
            <w:tcBorders>
              <w:top w:val="single" w:sz="4" w:space="0" w:color="auto"/>
              <w:left w:val="single" w:sz="4" w:space="0" w:color="auto"/>
              <w:bottom w:val="single" w:sz="4" w:space="0" w:color="auto"/>
              <w:right w:val="double" w:sz="4" w:space="0" w:color="auto"/>
            </w:tcBorders>
            <w:vAlign w:val="bottom"/>
          </w:tcPr>
          <w:p w14:paraId="0759A1C5" w14:textId="77777777" w:rsidR="00F102F6" w:rsidRPr="00C704FB" w:rsidRDefault="00F102F6" w:rsidP="00C15091">
            <w:pPr>
              <w:pStyle w:val="tabteksts"/>
            </w:pPr>
          </w:p>
        </w:tc>
        <w:tc>
          <w:tcPr>
            <w:tcW w:w="989" w:type="dxa"/>
            <w:tcBorders>
              <w:top w:val="single" w:sz="4" w:space="0" w:color="auto"/>
              <w:left w:val="double" w:sz="4" w:space="0" w:color="auto"/>
              <w:bottom w:val="single" w:sz="4" w:space="0" w:color="auto"/>
              <w:right w:val="single" w:sz="4" w:space="0" w:color="auto"/>
            </w:tcBorders>
          </w:tcPr>
          <w:p w14:paraId="149FAAF5" w14:textId="77777777" w:rsidR="00F102F6" w:rsidRPr="00AB37BA" w:rsidRDefault="00F102F6" w:rsidP="002622DC">
            <w:pPr>
              <w:pStyle w:val="tabteksts"/>
              <w:jc w:val="right"/>
              <w:rPr>
                <w:snapToGrid w:val="0"/>
              </w:rPr>
            </w:pPr>
            <w:r w:rsidRPr="00AB37BA">
              <w:rPr>
                <w:snapToGrid w:val="0"/>
              </w:rPr>
              <w:t>4 493,1</w:t>
            </w:r>
          </w:p>
        </w:tc>
        <w:tc>
          <w:tcPr>
            <w:tcW w:w="712" w:type="dxa"/>
            <w:tcBorders>
              <w:top w:val="single" w:sz="4" w:space="0" w:color="auto"/>
              <w:left w:val="nil"/>
              <w:bottom w:val="single" w:sz="4" w:space="0" w:color="auto"/>
              <w:right w:val="single" w:sz="4" w:space="0" w:color="auto"/>
            </w:tcBorders>
          </w:tcPr>
          <w:p w14:paraId="4C6E28CF" w14:textId="77777777" w:rsidR="00F102F6" w:rsidRPr="0049071C" w:rsidRDefault="00F102F6" w:rsidP="002622DC">
            <w:pPr>
              <w:pStyle w:val="tabteksts"/>
              <w:jc w:val="right"/>
              <w:rPr>
                <w:snapToGrid w:val="0"/>
              </w:rPr>
            </w:pPr>
            <w:r w:rsidRPr="0049071C">
              <w:rPr>
                <w:snapToGrid w:val="0"/>
              </w:rPr>
              <w:t>19,3</w:t>
            </w:r>
          </w:p>
        </w:tc>
        <w:tc>
          <w:tcPr>
            <w:tcW w:w="713" w:type="dxa"/>
            <w:tcBorders>
              <w:top w:val="single" w:sz="4" w:space="0" w:color="auto"/>
              <w:left w:val="nil"/>
              <w:bottom w:val="single" w:sz="4" w:space="0" w:color="auto"/>
              <w:right w:val="single" w:sz="4" w:space="0" w:color="auto"/>
            </w:tcBorders>
          </w:tcPr>
          <w:p w14:paraId="392062B1" w14:textId="77777777" w:rsidR="00F102F6" w:rsidRPr="00602FEE" w:rsidRDefault="00F102F6" w:rsidP="002622DC">
            <w:pPr>
              <w:pStyle w:val="tabteksts"/>
              <w:jc w:val="right"/>
              <w:rPr>
                <w:snapToGrid w:val="0"/>
              </w:rPr>
            </w:pPr>
            <w:r w:rsidRPr="00602FEE">
              <w:rPr>
                <w:snapToGrid w:val="0"/>
              </w:rPr>
              <w:t>19,2</w:t>
            </w:r>
          </w:p>
        </w:tc>
        <w:tc>
          <w:tcPr>
            <w:tcW w:w="712" w:type="dxa"/>
            <w:tcBorders>
              <w:top w:val="single" w:sz="4" w:space="0" w:color="auto"/>
              <w:left w:val="nil"/>
              <w:bottom w:val="single" w:sz="4" w:space="0" w:color="auto"/>
              <w:right w:val="single" w:sz="4" w:space="0" w:color="auto"/>
            </w:tcBorders>
          </w:tcPr>
          <w:p w14:paraId="2A7703CF" w14:textId="77777777" w:rsidR="00F102F6" w:rsidRPr="00602FEE" w:rsidRDefault="00F102F6" w:rsidP="002622DC">
            <w:pPr>
              <w:pStyle w:val="tabteksts"/>
              <w:jc w:val="right"/>
              <w:rPr>
                <w:snapToGrid w:val="0"/>
              </w:rPr>
            </w:pPr>
            <w:r w:rsidRPr="00602FEE">
              <w:rPr>
                <w:snapToGrid w:val="0"/>
              </w:rPr>
              <w:t>18,8</w:t>
            </w:r>
          </w:p>
        </w:tc>
        <w:tc>
          <w:tcPr>
            <w:tcW w:w="713" w:type="dxa"/>
            <w:tcBorders>
              <w:top w:val="single" w:sz="4" w:space="0" w:color="auto"/>
              <w:left w:val="nil"/>
              <w:bottom w:val="single" w:sz="4" w:space="0" w:color="auto"/>
              <w:right w:val="single" w:sz="4" w:space="0" w:color="auto"/>
            </w:tcBorders>
          </w:tcPr>
          <w:p w14:paraId="32D9D811" w14:textId="77777777" w:rsidR="00F102F6" w:rsidRPr="00602FEE" w:rsidRDefault="00F102F6" w:rsidP="002622DC">
            <w:pPr>
              <w:pStyle w:val="tabteksts"/>
              <w:jc w:val="right"/>
              <w:rPr>
                <w:snapToGrid w:val="0"/>
              </w:rPr>
            </w:pPr>
            <w:r w:rsidRPr="00602FEE">
              <w:rPr>
                <w:snapToGrid w:val="0"/>
              </w:rPr>
              <w:t>18,3</w:t>
            </w:r>
          </w:p>
        </w:tc>
        <w:tc>
          <w:tcPr>
            <w:tcW w:w="697" w:type="dxa"/>
            <w:tcBorders>
              <w:top w:val="single" w:sz="4" w:space="0" w:color="auto"/>
              <w:left w:val="single" w:sz="4" w:space="0" w:color="auto"/>
              <w:bottom w:val="single" w:sz="4" w:space="0" w:color="auto"/>
              <w:right w:val="double" w:sz="4" w:space="0" w:color="auto"/>
            </w:tcBorders>
          </w:tcPr>
          <w:p w14:paraId="6A42E308" w14:textId="77777777" w:rsidR="00F102F6" w:rsidRPr="00602FEE" w:rsidRDefault="00F102F6" w:rsidP="002622DC">
            <w:pPr>
              <w:pStyle w:val="tabteksts"/>
              <w:jc w:val="right"/>
              <w:rPr>
                <w:snapToGrid w:val="0"/>
              </w:rPr>
            </w:pPr>
            <w:r w:rsidRPr="00602FEE">
              <w:rPr>
                <w:snapToGrid w:val="0"/>
              </w:rPr>
              <w:t>18,1</w:t>
            </w:r>
          </w:p>
        </w:tc>
      </w:tr>
      <w:tr w:rsidR="00F102F6" w:rsidRPr="00C704FB" w14:paraId="5BA431A1"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37A788B1" w14:textId="77777777" w:rsidR="00F102F6" w:rsidRPr="00C704FB" w:rsidRDefault="00F102F6" w:rsidP="00C15091">
            <w:pPr>
              <w:pStyle w:val="tabteksts"/>
              <w:rPr>
                <w:snapToGrid w:val="0"/>
              </w:rPr>
            </w:pPr>
            <w:r w:rsidRPr="00C704FB">
              <w:rPr>
                <w:snapToGrid w:val="0"/>
              </w:rPr>
              <w:t>12a. Ražošanas un importa nodokļi</w:t>
            </w:r>
          </w:p>
        </w:tc>
        <w:tc>
          <w:tcPr>
            <w:tcW w:w="1118" w:type="dxa"/>
            <w:tcBorders>
              <w:top w:val="single" w:sz="4" w:space="0" w:color="auto"/>
              <w:left w:val="single" w:sz="4" w:space="0" w:color="auto"/>
              <w:bottom w:val="single" w:sz="4" w:space="0" w:color="auto"/>
              <w:right w:val="double" w:sz="4" w:space="0" w:color="auto"/>
            </w:tcBorders>
            <w:vAlign w:val="bottom"/>
          </w:tcPr>
          <w:p w14:paraId="3133AF44" w14:textId="77777777" w:rsidR="00F102F6" w:rsidRPr="00C704FB" w:rsidRDefault="00F102F6" w:rsidP="00C15091">
            <w:pPr>
              <w:pStyle w:val="tabteksts"/>
            </w:pPr>
            <w:r w:rsidRPr="00C704FB">
              <w:t>D.2</w:t>
            </w:r>
          </w:p>
        </w:tc>
        <w:tc>
          <w:tcPr>
            <w:tcW w:w="989" w:type="dxa"/>
            <w:tcBorders>
              <w:top w:val="single" w:sz="4" w:space="0" w:color="auto"/>
              <w:left w:val="double" w:sz="4" w:space="0" w:color="auto"/>
              <w:bottom w:val="single" w:sz="4" w:space="0" w:color="auto"/>
              <w:right w:val="single" w:sz="4" w:space="0" w:color="auto"/>
            </w:tcBorders>
          </w:tcPr>
          <w:p w14:paraId="26D789B0" w14:textId="77777777" w:rsidR="00F102F6" w:rsidRPr="00AB37BA" w:rsidRDefault="00F102F6" w:rsidP="002622DC">
            <w:pPr>
              <w:pStyle w:val="tabteksts"/>
              <w:jc w:val="right"/>
              <w:rPr>
                <w:snapToGrid w:val="0"/>
              </w:rPr>
            </w:pPr>
            <w:r w:rsidRPr="00AB37BA">
              <w:rPr>
                <w:snapToGrid w:val="0"/>
              </w:rPr>
              <w:t>2 705,3</w:t>
            </w:r>
          </w:p>
        </w:tc>
        <w:tc>
          <w:tcPr>
            <w:tcW w:w="712" w:type="dxa"/>
            <w:tcBorders>
              <w:top w:val="single" w:sz="4" w:space="0" w:color="auto"/>
              <w:left w:val="nil"/>
              <w:bottom w:val="single" w:sz="4" w:space="0" w:color="auto"/>
              <w:right w:val="single" w:sz="4" w:space="0" w:color="auto"/>
            </w:tcBorders>
          </w:tcPr>
          <w:p w14:paraId="35C9F171" w14:textId="77777777" w:rsidR="00F102F6" w:rsidRPr="0049071C" w:rsidRDefault="00F102F6" w:rsidP="002622DC">
            <w:pPr>
              <w:pStyle w:val="tabteksts"/>
              <w:jc w:val="right"/>
              <w:rPr>
                <w:snapToGrid w:val="0"/>
              </w:rPr>
            </w:pPr>
            <w:r w:rsidRPr="0049071C">
              <w:rPr>
                <w:snapToGrid w:val="0"/>
              </w:rPr>
              <w:t>11,6</w:t>
            </w:r>
          </w:p>
        </w:tc>
        <w:tc>
          <w:tcPr>
            <w:tcW w:w="713" w:type="dxa"/>
            <w:tcBorders>
              <w:top w:val="single" w:sz="4" w:space="0" w:color="auto"/>
              <w:left w:val="nil"/>
              <w:bottom w:val="single" w:sz="4" w:space="0" w:color="auto"/>
              <w:right w:val="single" w:sz="4" w:space="0" w:color="auto"/>
            </w:tcBorders>
          </w:tcPr>
          <w:p w14:paraId="1F4040FD" w14:textId="77777777" w:rsidR="00F102F6" w:rsidRPr="00602FEE" w:rsidRDefault="00F102F6" w:rsidP="002622DC">
            <w:pPr>
              <w:pStyle w:val="tabteksts"/>
              <w:jc w:val="right"/>
              <w:rPr>
                <w:snapToGrid w:val="0"/>
              </w:rPr>
            </w:pPr>
            <w:r w:rsidRPr="00602FEE">
              <w:rPr>
                <w:snapToGrid w:val="0"/>
              </w:rPr>
              <w:t>11,6</w:t>
            </w:r>
          </w:p>
        </w:tc>
        <w:tc>
          <w:tcPr>
            <w:tcW w:w="712" w:type="dxa"/>
            <w:tcBorders>
              <w:top w:val="single" w:sz="4" w:space="0" w:color="auto"/>
              <w:left w:val="nil"/>
              <w:bottom w:val="single" w:sz="4" w:space="0" w:color="auto"/>
              <w:right w:val="single" w:sz="4" w:space="0" w:color="auto"/>
            </w:tcBorders>
          </w:tcPr>
          <w:p w14:paraId="7F09E194" w14:textId="77777777" w:rsidR="00F102F6" w:rsidRPr="00602FEE" w:rsidRDefault="00F102F6" w:rsidP="002622DC">
            <w:pPr>
              <w:pStyle w:val="tabteksts"/>
              <w:jc w:val="right"/>
              <w:rPr>
                <w:snapToGrid w:val="0"/>
              </w:rPr>
            </w:pPr>
            <w:r w:rsidRPr="00602FEE">
              <w:rPr>
                <w:snapToGrid w:val="0"/>
              </w:rPr>
              <w:t>11,5</w:t>
            </w:r>
          </w:p>
        </w:tc>
        <w:tc>
          <w:tcPr>
            <w:tcW w:w="713" w:type="dxa"/>
            <w:tcBorders>
              <w:top w:val="single" w:sz="4" w:space="0" w:color="auto"/>
              <w:left w:val="nil"/>
              <w:bottom w:val="single" w:sz="4" w:space="0" w:color="auto"/>
              <w:right w:val="single" w:sz="4" w:space="0" w:color="auto"/>
            </w:tcBorders>
          </w:tcPr>
          <w:p w14:paraId="391FE965" w14:textId="77777777" w:rsidR="00F102F6" w:rsidRPr="00602FEE" w:rsidRDefault="00F102F6" w:rsidP="002622DC">
            <w:pPr>
              <w:pStyle w:val="tabteksts"/>
              <w:jc w:val="right"/>
              <w:rPr>
                <w:snapToGrid w:val="0"/>
              </w:rPr>
            </w:pPr>
            <w:r w:rsidRPr="00602FEE">
              <w:rPr>
                <w:snapToGrid w:val="0"/>
              </w:rPr>
              <w:t>11,3</w:t>
            </w:r>
          </w:p>
        </w:tc>
        <w:tc>
          <w:tcPr>
            <w:tcW w:w="697" w:type="dxa"/>
            <w:tcBorders>
              <w:top w:val="single" w:sz="4" w:space="0" w:color="auto"/>
              <w:left w:val="single" w:sz="4" w:space="0" w:color="auto"/>
              <w:bottom w:val="single" w:sz="4" w:space="0" w:color="auto"/>
              <w:right w:val="double" w:sz="4" w:space="0" w:color="auto"/>
            </w:tcBorders>
          </w:tcPr>
          <w:p w14:paraId="1849A0A2" w14:textId="77777777" w:rsidR="00F102F6" w:rsidRPr="00602FEE" w:rsidRDefault="00F102F6" w:rsidP="002622DC">
            <w:pPr>
              <w:pStyle w:val="tabteksts"/>
              <w:jc w:val="right"/>
              <w:rPr>
                <w:snapToGrid w:val="0"/>
              </w:rPr>
            </w:pPr>
            <w:r w:rsidRPr="00602FEE">
              <w:rPr>
                <w:snapToGrid w:val="0"/>
              </w:rPr>
              <w:t>11,1</w:t>
            </w:r>
          </w:p>
        </w:tc>
      </w:tr>
      <w:tr w:rsidR="00F102F6" w:rsidRPr="00C704FB" w14:paraId="0EC42649"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4510D1F8" w14:textId="77777777" w:rsidR="00F102F6" w:rsidRPr="00C704FB" w:rsidRDefault="00F102F6" w:rsidP="00C15091">
            <w:pPr>
              <w:pStyle w:val="tabteksts"/>
              <w:rPr>
                <w:snapToGrid w:val="0"/>
              </w:rPr>
            </w:pPr>
            <w:r w:rsidRPr="00C704FB">
              <w:rPr>
                <w:snapToGrid w:val="0"/>
              </w:rPr>
              <w:t>12b. Ienākuma un mantas kārtējie nodokļi</w:t>
            </w:r>
          </w:p>
        </w:tc>
        <w:tc>
          <w:tcPr>
            <w:tcW w:w="1118" w:type="dxa"/>
            <w:tcBorders>
              <w:top w:val="single" w:sz="4" w:space="0" w:color="auto"/>
              <w:left w:val="single" w:sz="4" w:space="0" w:color="auto"/>
              <w:bottom w:val="single" w:sz="4" w:space="0" w:color="auto"/>
              <w:right w:val="double" w:sz="4" w:space="0" w:color="auto"/>
            </w:tcBorders>
            <w:vAlign w:val="bottom"/>
          </w:tcPr>
          <w:p w14:paraId="3153E0D3" w14:textId="77777777" w:rsidR="00F102F6" w:rsidRPr="00C704FB" w:rsidRDefault="00F102F6" w:rsidP="00C15091">
            <w:pPr>
              <w:pStyle w:val="tabteksts"/>
            </w:pPr>
            <w:r w:rsidRPr="00C704FB">
              <w:t>D.5</w:t>
            </w:r>
          </w:p>
        </w:tc>
        <w:tc>
          <w:tcPr>
            <w:tcW w:w="989" w:type="dxa"/>
            <w:tcBorders>
              <w:top w:val="single" w:sz="4" w:space="0" w:color="auto"/>
              <w:left w:val="double" w:sz="4" w:space="0" w:color="auto"/>
              <w:bottom w:val="single" w:sz="4" w:space="0" w:color="auto"/>
              <w:right w:val="single" w:sz="4" w:space="0" w:color="auto"/>
            </w:tcBorders>
          </w:tcPr>
          <w:p w14:paraId="79E4CE4C" w14:textId="77777777" w:rsidR="00F102F6" w:rsidRPr="00AB37BA" w:rsidRDefault="00F102F6" w:rsidP="002622DC">
            <w:pPr>
              <w:pStyle w:val="tabteksts"/>
              <w:jc w:val="right"/>
              <w:rPr>
                <w:snapToGrid w:val="0"/>
              </w:rPr>
            </w:pPr>
            <w:r w:rsidRPr="00AB37BA">
              <w:rPr>
                <w:snapToGrid w:val="0"/>
              </w:rPr>
              <w:t>1 785,6</w:t>
            </w:r>
          </w:p>
        </w:tc>
        <w:tc>
          <w:tcPr>
            <w:tcW w:w="712" w:type="dxa"/>
            <w:tcBorders>
              <w:top w:val="single" w:sz="4" w:space="0" w:color="auto"/>
              <w:left w:val="nil"/>
              <w:bottom w:val="single" w:sz="4" w:space="0" w:color="auto"/>
              <w:right w:val="single" w:sz="4" w:space="0" w:color="auto"/>
            </w:tcBorders>
          </w:tcPr>
          <w:p w14:paraId="59CB3D08" w14:textId="77777777" w:rsidR="00F102F6" w:rsidRPr="0049071C" w:rsidRDefault="00F102F6" w:rsidP="002622DC">
            <w:pPr>
              <w:pStyle w:val="tabteksts"/>
              <w:jc w:val="right"/>
              <w:rPr>
                <w:snapToGrid w:val="0"/>
              </w:rPr>
            </w:pPr>
            <w:r w:rsidRPr="0049071C">
              <w:rPr>
                <w:snapToGrid w:val="0"/>
              </w:rPr>
              <w:t>7,7</w:t>
            </w:r>
          </w:p>
        </w:tc>
        <w:tc>
          <w:tcPr>
            <w:tcW w:w="713" w:type="dxa"/>
            <w:tcBorders>
              <w:top w:val="single" w:sz="4" w:space="0" w:color="auto"/>
              <w:left w:val="nil"/>
              <w:bottom w:val="single" w:sz="4" w:space="0" w:color="auto"/>
              <w:right w:val="single" w:sz="4" w:space="0" w:color="auto"/>
            </w:tcBorders>
          </w:tcPr>
          <w:p w14:paraId="64F14CD2" w14:textId="77777777" w:rsidR="00F102F6" w:rsidRPr="00602FEE" w:rsidRDefault="00F102F6" w:rsidP="002622DC">
            <w:pPr>
              <w:pStyle w:val="tabteksts"/>
              <w:jc w:val="right"/>
              <w:rPr>
                <w:snapToGrid w:val="0"/>
              </w:rPr>
            </w:pPr>
            <w:r w:rsidRPr="00602FEE">
              <w:rPr>
                <w:snapToGrid w:val="0"/>
              </w:rPr>
              <w:t>7,6</w:t>
            </w:r>
          </w:p>
        </w:tc>
        <w:tc>
          <w:tcPr>
            <w:tcW w:w="712" w:type="dxa"/>
            <w:tcBorders>
              <w:top w:val="single" w:sz="4" w:space="0" w:color="auto"/>
              <w:left w:val="nil"/>
              <w:bottom w:val="single" w:sz="4" w:space="0" w:color="auto"/>
              <w:right w:val="single" w:sz="4" w:space="0" w:color="auto"/>
            </w:tcBorders>
          </w:tcPr>
          <w:p w14:paraId="181D0A3B" w14:textId="77777777" w:rsidR="00F102F6" w:rsidRPr="00602FEE" w:rsidRDefault="00F102F6" w:rsidP="002622DC">
            <w:pPr>
              <w:pStyle w:val="tabteksts"/>
              <w:jc w:val="right"/>
              <w:rPr>
                <w:snapToGrid w:val="0"/>
              </w:rPr>
            </w:pPr>
            <w:r w:rsidRPr="00602FEE">
              <w:rPr>
                <w:snapToGrid w:val="0"/>
              </w:rPr>
              <w:t>7,3</w:t>
            </w:r>
          </w:p>
        </w:tc>
        <w:tc>
          <w:tcPr>
            <w:tcW w:w="713" w:type="dxa"/>
            <w:tcBorders>
              <w:top w:val="single" w:sz="4" w:space="0" w:color="auto"/>
              <w:left w:val="nil"/>
              <w:bottom w:val="single" w:sz="4" w:space="0" w:color="auto"/>
              <w:right w:val="single" w:sz="4" w:space="0" w:color="auto"/>
            </w:tcBorders>
          </w:tcPr>
          <w:p w14:paraId="2D1E292A" w14:textId="77777777" w:rsidR="00F102F6" w:rsidRPr="00602FEE" w:rsidRDefault="00F102F6" w:rsidP="002622DC">
            <w:pPr>
              <w:pStyle w:val="tabteksts"/>
              <w:jc w:val="right"/>
              <w:rPr>
                <w:snapToGrid w:val="0"/>
              </w:rPr>
            </w:pPr>
            <w:r w:rsidRPr="00602FEE">
              <w:rPr>
                <w:snapToGrid w:val="0"/>
              </w:rPr>
              <w:t>7,0</w:t>
            </w:r>
          </w:p>
        </w:tc>
        <w:tc>
          <w:tcPr>
            <w:tcW w:w="697" w:type="dxa"/>
            <w:tcBorders>
              <w:top w:val="single" w:sz="4" w:space="0" w:color="auto"/>
              <w:left w:val="single" w:sz="4" w:space="0" w:color="auto"/>
              <w:bottom w:val="single" w:sz="4" w:space="0" w:color="auto"/>
              <w:right w:val="double" w:sz="4" w:space="0" w:color="auto"/>
            </w:tcBorders>
          </w:tcPr>
          <w:p w14:paraId="791DFEC8" w14:textId="77777777" w:rsidR="00F102F6" w:rsidRPr="00602FEE" w:rsidRDefault="00F102F6" w:rsidP="002622DC">
            <w:pPr>
              <w:pStyle w:val="tabteksts"/>
              <w:jc w:val="right"/>
              <w:rPr>
                <w:snapToGrid w:val="0"/>
              </w:rPr>
            </w:pPr>
            <w:r w:rsidRPr="00602FEE">
              <w:rPr>
                <w:snapToGrid w:val="0"/>
              </w:rPr>
              <w:t>6,9</w:t>
            </w:r>
          </w:p>
        </w:tc>
      </w:tr>
      <w:tr w:rsidR="00F102F6" w:rsidRPr="00C704FB" w14:paraId="669E7721"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15FD7A17" w14:textId="77777777" w:rsidR="00F102F6" w:rsidRPr="00C704FB" w:rsidRDefault="00F102F6" w:rsidP="00C15091">
            <w:pPr>
              <w:pStyle w:val="tabteksts"/>
              <w:rPr>
                <w:snapToGrid w:val="0"/>
              </w:rPr>
            </w:pPr>
            <w:r w:rsidRPr="00C704FB">
              <w:rPr>
                <w:snapToGrid w:val="0"/>
              </w:rPr>
              <w:t>12c . Kapitāla nodokļi</w:t>
            </w:r>
          </w:p>
        </w:tc>
        <w:tc>
          <w:tcPr>
            <w:tcW w:w="1118" w:type="dxa"/>
            <w:tcBorders>
              <w:top w:val="single" w:sz="4" w:space="0" w:color="auto"/>
              <w:left w:val="single" w:sz="4" w:space="0" w:color="auto"/>
              <w:bottom w:val="single" w:sz="4" w:space="0" w:color="auto"/>
              <w:right w:val="double" w:sz="4" w:space="0" w:color="auto"/>
            </w:tcBorders>
            <w:vAlign w:val="bottom"/>
          </w:tcPr>
          <w:p w14:paraId="38418758" w14:textId="77777777" w:rsidR="00F102F6" w:rsidRPr="00C704FB" w:rsidRDefault="00F102F6" w:rsidP="00C15091">
            <w:pPr>
              <w:pStyle w:val="tabteksts"/>
            </w:pPr>
            <w:r w:rsidRPr="00C704FB">
              <w:t>D.91</w:t>
            </w:r>
          </w:p>
        </w:tc>
        <w:tc>
          <w:tcPr>
            <w:tcW w:w="989" w:type="dxa"/>
            <w:tcBorders>
              <w:top w:val="single" w:sz="4" w:space="0" w:color="auto"/>
              <w:left w:val="double" w:sz="4" w:space="0" w:color="auto"/>
              <w:bottom w:val="single" w:sz="4" w:space="0" w:color="auto"/>
              <w:right w:val="single" w:sz="4" w:space="0" w:color="auto"/>
            </w:tcBorders>
          </w:tcPr>
          <w:p w14:paraId="44F1FD48" w14:textId="77777777" w:rsidR="00F102F6" w:rsidRPr="00AB37BA" w:rsidRDefault="00F102F6" w:rsidP="002622DC">
            <w:pPr>
              <w:pStyle w:val="tabteksts"/>
              <w:jc w:val="right"/>
              <w:rPr>
                <w:snapToGrid w:val="0"/>
              </w:rPr>
            </w:pPr>
            <w:r w:rsidRPr="00AB37BA">
              <w:rPr>
                <w:snapToGrid w:val="0"/>
              </w:rPr>
              <w:t>2,3</w:t>
            </w:r>
          </w:p>
        </w:tc>
        <w:tc>
          <w:tcPr>
            <w:tcW w:w="712" w:type="dxa"/>
            <w:tcBorders>
              <w:top w:val="single" w:sz="4" w:space="0" w:color="auto"/>
              <w:left w:val="nil"/>
              <w:bottom w:val="single" w:sz="4" w:space="0" w:color="auto"/>
              <w:right w:val="single" w:sz="4" w:space="0" w:color="auto"/>
            </w:tcBorders>
          </w:tcPr>
          <w:p w14:paraId="128E837C" w14:textId="77777777" w:rsidR="00F102F6" w:rsidRPr="0049071C" w:rsidRDefault="00F102F6" w:rsidP="002622DC">
            <w:pPr>
              <w:pStyle w:val="tabteksts"/>
              <w:jc w:val="right"/>
              <w:rPr>
                <w:snapToGrid w:val="0"/>
              </w:rPr>
            </w:pPr>
            <w:r w:rsidRPr="0049071C">
              <w:rPr>
                <w:snapToGrid w:val="0"/>
              </w:rPr>
              <w:t>0,0</w:t>
            </w:r>
          </w:p>
        </w:tc>
        <w:tc>
          <w:tcPr>
            <w:tcW w:w="713" w:type="dxa"/>
            <w:tcBorders>
              <w:top w:val="single" w:sz="4" w:space="0" w:color="auto"/>
              <w:left w:val="nil"/>
              <w:bottom w:val="single" w:sz="4" w:space="0" w:color="auto"/>
              <w:right w:val="single" w:sz="4" w:space="0" w:color="auto"/>
            </w:tcBorders>
          </w:tcPr>
          <w:p w14:paraId="0056D4BD" w14:textId="77777777" w:rsidR="00F102F6" w:rsidRPr="00602FEE" w:rsidRDefault="00F102F6" w:rsidP="002622DC">
            <w:pPr>
              <w:pStyle w:val="tabteksts"/>
              <w:jc w:val="right"/>
              <w:rPr>
                <w:snapToGrid w:val="0"/>
              </w:rPr>
            </w:pPr>
            <w:r w:rsidRPr="00602FEE">
              <w:rPr>
                <w:snapToGrid w:val="0"/>
              </w:rPr>
              <w:t>0,0</w:t>
            </w:r>
          </w:p>
        </w:tc>
        <w:tc>
          <w:tcPr>
            <w:tcW w:w="712" w:type="dxa"/>
            <w:tcBorders>
              <w:top w:val="single" w:sz="4" w:space="0" w:color="auto"/>
              <w:left w:val="nil"/>
              <w:bottom w:val="single" w:sz="4" w:space="0" w:color="auto"/>
              <w:right w:val="single" w:sz="4" w:space="0" w:color="auto"/>
            </w:tcBorders>
          </w:tcPr>
          <w:p w14:paraId="1E2BFBFA" w14:textId="77777777" w:rsidR="00F102F6" w:rsidRPr="00602FEE" w:rsidRDefault="00F102F6" w:rsidP="002622DC">
            <w:pPr>
              <w:pStyle w:val="tabteksts"/>
              <w:jc w:val="right"/>
              <w:rPr>
                <w:snapToGrid w:val="0"/>
              </w:rPr>
            </w:pPr>
            <w:r w:rsidRPr="00602FEE">
              <w:rPr>
                <w:snapToGrid w:val="0"/>
              </w:rPr>
              <w:t>0,0</w:t>
            </w:r>
          </w:p>
        </w:tc>
        <w:tc>
          <w:tcPr>
            <w:tcW w:w="713" w:type="dxa"/>
            <w:tcBorders>
              <w:top w:val="single" w:sz="4" w:space="0" w:color="auto"/>
              <w:left w:val="nil"/>
              <w:bottom w:val="single" w:sz="4" w:space="0" w:color="auto"/>
              <w:right w:val="single" w:sz="4" w:space="0" w:color="auto"/>
            </w:tcBorders>
          </w:tcPr>
          <w:p w14:paraId="186E6AD5" w14:textId="77777777" w:rsidR="00F102F6" w:rsidRPr="00602FEE" w:rsidRDefault="00F102F6" w:rsidP="002622DC">
            <w:pPr>
              <w:pStyle w:val="tabteksts"/>
              <w:jc w:val="right"/>
              <w:rPr>
                <w:snapToGrid w:val="0"/>
              </w:rPr>
            </w:pPr>
            <w:r w:rsidRPr="00602FEE">
              <w:rPr>
                <w:snapToGrid w:val="0"/>
              </w:rPr>
              <w:t>0,0</w:t>
            </w:r>
          </w:p>
        </w:tc>
        <w:tc>
          <w:tcPr>
            <w:tcW w:w="697" w:type="dxa"/>
            <w:tcBorders>
              <w:top w:val="single" w:sz="4" w:space="0" w:color="auto"/>
              <w:left w:val="single" w:sz="4" w:space="0" w:color="auto"/>
              <w:bottom w:val="single" w:sz="4" w:space="0" w:color="auto"/>
              <w:right w:val="double" w:sz="4" w:space="0" w:color="auto"/>
            </w:tcBorders>
          </w:tcPr>
          <w:p w14:paraId="5F053A67" w14:textId="77777777" w:rsidR="00F102F6" w:rsidRPr="00602FEE" w:rsidRDefault="00F102F6" w:rsidP="002622DC">
            <w:pPr>
              <w:pStyle w:val="tabteksts"/>
              <w:jc w:val="right"/>
              <w:rPr>
                <w:snapToGrid w:val="0"/>
              </w:rPr>
            </w:pPr>
            <w:r w:rsidRPr="00602FEE">
              <w:rPr>
                <w:snapToGrid w:val="0"/>
              </w:rPr>
              <w:t>0,0</w:t>
            </w:r>
          </w:p>
        </w:tc>
      </w:tr>
      <w:tr w:rsidR="00F102F6" w:rsidRPr="00C704FB" w14:paraId="00F3D52A"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684D1489" w14:textId="77777777" w:rsidR="00F102F6" w:rsidRPr="00C704FB" w:rsidRDefault="00F102F6" w:rsidP="00C15091">
            <w:pPr>
              <w:pStyle w:val="tabteksts"/>
              <w:rPr>
                <w:snapToGrid w:val="0"/>
              </w:rPr>
            </w:pPr>
            <w:r w:rsidRPr="00C704FB">
              <w:rPr>
                <w:snapToGrid w:val="0"/>
              </w:rPr>
              <w:t xml:space="preserve">13. Sociālās iemaksas </w:t>
            </w:r>
          </w:p>
        </w:tc>
        <w:tc>
          <w:tcPr>
            <w:tcW w:w="1118" w:type="dxa"/>
            <w:tcBorders>
              <w:top w:val="single" w:sz="4" w:space="0" w:color="auto"/>
              <w:left w:val="single" w:sz="4" w:space="0" w:color="auto"/>
              <w:bottom w:val="single" w:sz="4" w:space="0" w:color="auto"/>
              <w:right w:val="double" w:sz="4" w:space="0" w:color="auto"/>
            </w:tcBorders>
            <w:vAlign w:val="bottom"/>
          </w:tcPr>
          <w:p w14:paraId="7019CD05" w14:textId="77777777" w:rsidR="00F102F6" w:rsidRPr="00C704FB" w:rsidRDefault="00F102F6" w:rsidP="00C15091">
            <w:pPr>
              <w:pStyle w:val="tabteksts"/>
            </w:pPr>
            <w:r w:rsidRPr="00C704FB">
              <w:t>D.61</w:t>
            </w:r>
          </w:p>
        </w:tc>
        <w:tc>
          <w:tcPr>
            <w:tcW w:w="989" w:type="dxa"/>
            <w:tcBorders>
              <w:top w:val="single" w:sz="4" w:space="0" w:color="auto"/>
              <w:left w:val="double" w:sz="4" w:space="0" w:color="auto"/>
              <w:bottom w:val="single" w:sz="4" w:space="0" w:color="auto"/>
              <w:right w:val="single" w:sz="4" w:space="0" w:color="auto"/>
            </w:tcBorders>
          </w:tcPr>
          <w:p w14:paraId="28DB1F52" w14:textId="77777777" w:rsidR="00F102F6" w:rsidRPr="00AB37BA" w:rsidRDefault="00F102F6" w:rsidP="002622DC">
            <w:pPr>
              <w:pStyle w:val="tabteksts"/>
              <w:jc w:val="right"/>
              <w:rPr>
                <w:snapToGrid w:val="0"/>
              </w:rPr>
            </w:pPr>
            <w:r w:rsidRPr="00AB37BA">
              <w:rPr>
                <w:snapToGrid w:val="0"/>
              </w:rPr>
              <w:t>1 936,9</w:t>
            </w:r>
          </w:p>
        </w:tc>
        <w:tc>
          <w:tcPr>
            <w:tcW w:w="712" w:type="dxa"/>
            <w:tcBorders>
              <w:top w:val="single" w:sz="4" w:space="0" w:color="auto"/>
              <w:left w:val="nil"/>
              <w:bottom w:val="single" w:sz="4" w:space="0" w:color="auto"/>
              <w:right w:val="single" w:sz="4" w:space="0" w:color="auto"/>
            </w:tcBorders>
          </w:tcPr>
          <w:p w14:paraId="794D52D8" w14:textId="77777777" w:rsidR="00F102F6" w:rsidRPr="0049071C" w:rsidRDefault="00F102F6" w:rsidP="002622DC">
            <w:pPr>
              <w:pStyle w:val="tabteksts"/>
              <w:jc w:val="right"/>
              <w:rPr>
                <w:snapToGrid w:val="0"/>
              </w:rPr>
            </w:pPr>
            <w:r w:rsidRPr="0049071C">
              <w:rPr>
                <w:snapToGrid w:val="0"/>
              </w:rPr>
              <w:t>8,3</w:t>
            </w:r>
          </w:p>
        </w:tc>
        <w:tc>
          <w:tcPr>
            <w:tcW w:w="713" w:type="dxa"/>
            <w:tcBorders>
              <w:top w:val="single" w:sz="4" w:space="0" w:color="auto"/>
              <w:left w:val="nil"/>
              <w:bottom w:val="single" w:sz="4" w:space="0" w:color="auto"/>
              <w:right w:val="single" w:sz="4" w:space="0" w:color="auto"/>
            </w:tcBorders>
          </w:tcPr>
          <w:p w14:paraId="2670224E" w14:textId="77777777" w:rsidR="00F102F6" w:rsidRPr="00602FEE" w:rsidRDefault="00F102F6" w:rsidP="002622DC">
            <w:pPr>
              <w:pStyle w:val="tabteksts"/>
              <w:jc w:val="right"/>
              <w:rPr>
                <w:snapToGrid w:val="0"/>
              </w:rPr>
            </w:pPr>
            <w:r w:rsidRPr="00602FEE">
              <w:rPr>
                <w:snapToGrid w:val="0"/>
              </w:rPr>
              <w:t>8,2</w:t>
            </w:r>
          </w:p>
        </w:tc>
        <w:tc>
          <w:tcPr>
            <w:tcW w:w="712" w:type="dxa"/>
            <w:tcBorders>
              <w:top w:val="single" w:sz="4" w:space="0" w:color="auto"/>
              <w:left w:val="nil"/>
              <w:bottom w:val="single" w:sz="4" w:space="0" w:color="auto"/>
              <w:right w:val="single" w:sz="4" w:space="0" w:color="auto"/>
            </w:tcBorders>
          </w:tcPr>
          <w:p w14:paraId="36E0CB4D" w14:textId="77777777" w:rsidR="00F102F6" w:rsidRPr="00602FEE" w:rsidRDefault="00F102F6" w:rsidP="002622DC">
            <w:pPr>
              <w:pStyle w:val="tabteksts"/>
              <w:jc w:val="right"/>
              <w:rPr>
                <w:snapToGrid w:val="0"/>
              </w:rPr>
            </w:pPr>
            <w:r w:rsidRPr="00602FEE">
              <w:rPr>
                <w:snapToGrid w:val="0"/>
              </w:rPr>
              <w:t>7,7</w:t>
            </w:r>
          </w:p>
        </w:tc>
        <w:tc>
          <w:tcPr>
            <w:tcW w:w="713" w:type="dxa"/>
            <w:tcBorders>
              <w:top w:val="single" w:sz="4" w:space="0" w:color="auto"/>
              <w:left w:val="nil"/>
              <w:bottom w:val="single" w:sz="4" w:space="0" w:color="auto"/>
              <w:right w:val="single" w:sz="4" w:space="0" w:color="auto"/>
            </w:tcBorders>
          </w:tcPr>
          <w:p w14:paraId="68E40EF4" w14:textId="77777777" w:rsidR="00F102F6" w:rsidRPr="00602FEE" w:rsidRDefault="00F102F6" w:rsidP="002622DC">
            <w:pPr>
              <w:pStyle w:val="tabteksts"/>
              <w:jc w:val="right"/>
              <w:rPr>
                <w:snapToGrid w:val="0"/>
              </w:rPr>
            </w:pPr>
            <w:r w:rsidRPr="00602FEE">
              <w:rPr>
                <w:snapToGrid w:val="0"/>
              </w:rPr>
              <w:t>7,4</w:t>
            </w:r>
          </w:p>
        </w:tc>
        <w:tc>
          <w:tcPr>
            <w:tcW w:w="697" w:type="dxa"/>
            <w:tcBorders>
              <w:top w:val="single" w:sz="4" w:space="0" w:color="auto"/>
              <w:left w:val="single" w:sz="4" w:space="0" w:color="auto"/>
              <w:bottom w:val="single" w:sz="4" w:space="0" w:color="auto"/>
              <w:right w:val="double" w:sz="4" w:space="0" w:color="auto"/>
            </w:tcBorders>
          </w:tcPr>
          <w:p w14:paraId="101E9982" w14:textId="77777777" w:rsidR="00F102F6" w:rsidRPr="00602FEE" w:rsidRDefault="00F102F6" w:rsidP="002622DC">
            <w:pPr>
              <w:pStyle w:val="tabteksts"/>
              <w:jc w:val="right"/>
              <w:rPr>
                <w:snapToGrid w:val="0"/>
              </w:rPr>
            </w:pPr>
            <w:r w:rsidRPr="00602FEE">
              <w:rPr>
                <w:snapToGrid w:val="0"/>
              </w:rPr>
              <w:t>7,2</w:t>
            </w:r>
          </w:p>
        </w:tc>
      </w:tr>
      <w:tr w:rsidR="00F102F6" w:rsidRPr="00C704FB" w14:paraId="6FF1E44B"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254563EE" w14:textId="77777777" w:rsidR="00F102F6" w:rsidRPr="00C704FB" w:rsidRDefault="00F102F6" w:rsidP="00C15091">
            <w:pPr>
              <w:pStyle w:val="tabteksts"/>
              <w:rPr>
                <w:snapToGrid w:val="0"/>
              </w:rPr>
            </w:pPr>
            <w:r w:rsidRPr="00C704FB">
              <w:rPr>
                <w:snapToGrid w:val="0"/>
              </w:rPr>
              <w:t>14. Īpašuma ienākumi</w:t>
            </w:r>
          </w:p>
        </w:tc>
        <w:tc>
          <w:tcPr>
            <w:tcW w:w="1118" w:type="dxa"/>
            <w:tcBorders>
              <w:top w:val="single" w:sz="4" w:space="0" w:color="auto"/>
              <w:left w:val="single" w:sz="4" w:space="0" w:color="auto"/>
              <w:bottom w:val="single" w:sz="4" w:space="0" w:color="auto"/>
              <w:right w:val="double" w:sz="4" w:space="0" w:color="auto"/>
            </w:tcBorders>
            <w:vAlign w:val="bottom"/>
          </w:tcPr>
          <w:p w14:paraId="721779BA" w14:textId="77777777" w:rsidR="00F102F6" w:rsidRPr="00C704FB" w:rsidRDefault="00F102F6" w:rsidP="00C15091">
            <w:pPr>
              <w:pStyle w:val="tabteksts"/>
            </w:pPr>
            <w:r w:rsidRPr="00C704FB">
              <w:t>D.4</w:t>
            </w:r>
          </w:p>
        </w:tc>
        <w:tc>
          <w:tcPr>
            <w:tcW w:w="989" w:type="dxa"/>
            <w:tcBorders>
              <w:top w:val="single" w:sz="4" w:space="0" w:color="auto"/>
              <w:left w:val="double" w:sz="4" w:space="0" w:color="auto"/>
              <w:bottom w:val="single" w:sz="4" w:space="0" w:color="auto"/>
              <w:right w:val="single" w:sz="4" w:space="0" w:color="auto"/>
            </w:tcBorders>
          </w:tcPr>
          <w:p w14:paraId="09A5B8DE" w14:textId="77777777" w:rsidR="00F102F6" w:rsidRPr="00AB37BA" w:rsidRDefault="00F102F6" w:rsidP="002622DC">
            <w:pPr>
              <w:pStyle w:val="tabteksts"/>
              <w:jc w:val="right"/>
              <w:rPr>
                <w:snapToGrid w:val="0"/>
              </w:rPr>
            </w:pPr>
            <w:r w:rsidRPr="00AB37BA">
              <w:rPr>
                <w:snapToGrid w:val="0"/>
              </w:rPr>
              <w:t>317,5</w:t>
            </w:r>
          </w:p>
        </w:tc>
        <w:tc>
          <w:tcPr>
            <w:tcW w:w="712" w:type="dxa"/>
            <w:tcBorders>
              <w:top w:val="single" w:sz="4" w:space="0" w:color="auto"/>
              <w:left w:val="nil"/>
              <w:bottom w:val="single" w:sz="4" w:space="0" w:color="auto"/>
              <w:right w:val="single" w:sz="4" w:space="0" w:color="auto"/>
            </w:tcBorders>
          </w:tcPr>
          <w:p w14:paraId="35B1C1E4" w14:textId="77777777" w:rsidR="00F102F6" w:rsidRPr="0049071C" w:rsidRDefault="00F102F6" w:rsidP="002622DC">
            <w:pPr>
              <w:pStyle w:val="tabteksts"/>
              <w:jc w:val="right"/>
              <w:rPr>
                <w:snapToGrid w:val="0"/>
              </w:rPr>
            </w:pPr>
            <w:r w:rsidRPr="0049071C">
              <w:rPr>
                <w:snapToGrid w:val="0"/>
              </w:rPr>
              <w:t>1,4</w:t>
            </w:r>
          </w:p>
        </w:tc>
        <w:tc>
          <w:tcPr>
            <w:tcW w:w="713" w:type="dxa"/>
            <w:tcBorders>
              <w:top w:val="single" w:sz="4" w:space="0" w:color="auto"/>
              <w:left w:val="nil"/>
              <w:bottom w:val="single" w:sz="4" w:space="0" w:color="auto"/>
              <w:right w:val="single" w:sz="4" w:space="0" w:color="auto"/>
            </w:tcBorders>
          </w:tcPr>
          <w:p w14:paraId="7F6805DD" w14:textId="77777777" w:rsidR="00F102F6" w:rsidRPr="00602FEE" w:rsidRDefault="00F102F6" w:rsidP="002622DC">
            <w:pPr>
              <w:pStyle w:val="tabteksts"/>
              <w:jc w:val="right"/>
              <w:rPr>
                <w:snapToGrid w:val="0"/>
              </w:rPr>
            </w:pPr>
            <w:r w:rsidRPr="00602FEE">
              <w:rPr>
                <w:snapToGrid w:val="0"/>
              </w:rPr>
              <w:t>0,8</w:t>
            </w:r>
          </w:p>
        </w:tc>
        <w:tc>
          <w:tcPr>
            <w:tcW w:w="712" w:type="dxa"/>
            <w:tcBorders>
              <w:top w:val="single" w:sz="4" w:space="0" w:color="auto"/>
              <w:left w:val="nil"/>
              <w:bottom w:val="single" w:sz="4" w:space="0" w:color="auto"/>
              <w:right w:val="single" w:sz="4" w:space="0" w:color="auto"/>
            </w:tcBorders>
          </w:tcPr>
          <w:p w14:paraId="54B5FEC6" w14:textId="77777777" w:rsidR="00F102F6" w:rsidRPr="00602FEE" w:rsidRDefault="00F102F6" w:rsidP="002622DC">
            <w:pPr>
              <w:pStyle w:val="tabteksts"/>
              <w:jc w:val="right"/>
              <w:rPr>
                <w:snapToGrid w:val="0"/>
              </w:rPr>
            </w:pPr>
            <w:r w:rsidRPr="00602FEE">
              <w:rPr>
                <w:snapToGrid w:val="0"/>
              </w:rPr>
              <w:t>0,5</w:t>
            </w:r>
          </w:p>
        </w:tc>
        <w:tc>
          <w:tcPr>
            <w:tcW w:w="713" w:type="dxa"/>
            <w:tcBorders>
              <w:top w:val="single" w:sz="4" w:space="0" w:color="auto"/>
              <w:left w:val="nil"/>
              <w:bottom w:val="single" w:sz="4" w:space="0" w:color="auto"/>
              <w:right w:val="single" w:sz="4" w:space="0" w:color="auto"/>
            </w:tcBorders>
          </w:tcPr>
          <w:p w14:paraId="64FBC5C6" w14:textId="77777777" w:rsidR="00F102F6" w:rsidRPr="00602FEE" w:rsidRDefault="00F102F6" w:rsidP="002622DC">
            <w:pPr>
              <w:pStyle w:val="tabteksts"/>
              <w:jc w:val="right"/>
              <w:rPr>
                <w:snapToGrid w:val="0"/>
              </w:rPr>
            </w:pPr>
            <w:r w:rsidRPr="00602FEE">
              <w:rPr>
                <w:snapToGrid w:val="0"/>
              </w:rPr>
              <w:t>0,3</w:t>
            </w:r>
          </w:p>
        </w:tc>
        <w:tc>
          <w:tcPr>
            <w:tcW w:w="697" w:type="dxa"/>
            <w:tcBorders>
              <w:top w:val="single" w:sz="4" w:space="0" w:color="auto"/>
              <w:left w:val="single" w:sz="4" w:space="0" w:color="auto"/>
              <w:bottom w:val="single" w:sz="4" w:space="0" w:color="auto"/>
              <w:right w:val="double" w:sz="4" w:space="0" w:color="auto"/>
            </w:tcBorders>
          </w:tcPr>
          <w:p w14:paraId="29DF2096" w14:textId="77777777" w:rsidR="00F102F6" w:rsidRPr="00602FEE" w:rsidRDefault="00F102F6" w:rsidP="002622DC">
            <w:pPr>
              <w:pStyle w:val="tabteksts"/>
              <w:jc w:val="right"/>
              <w:rPr>
                <w:snapToGrid w:val="0"/>
              </w:rPr>
            </w:pPr>
            <w:r w:rsidRPr="00602FEE">
              <w:rPr>
                <w:snapToGrid w:val="0"/>
              </w:rPr>
              <w:t>0,3</w:t>
            </w:r>
          </w:p>
        </w:tc>
      </w:tr>
      <w:tr w:rsidR="00F102F6" w:rsidRPr="00C704FB" w14:paraId="1B175596"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2DD00E3A" w14:textId="77777777" w:rsidR="00F102F6" w:rsidRPr="00C704FB" w:rsidRDefault="00F102F6" w:rsidP="00C15091">
            <w:pPr>
              <w:pStyle w:val="tabteksts"/>
              <w:rPr>
                <w:snapToGrid w:val="0"/>
              </w:rPr>
            </w:pPr>
            <w:r w:rsidRPr="00C704FB">
              <w:rPr>
                <w:snapToGrid w:val="0"/>
              </w:rPr>
              <w:t>15. Pārējie ieņēmumi</w:t>
            </w:r>
          </w:p>
        </w:tc>
        <w:tc>
          <w:tcPr>
            <w:tcW w:w="1118" w:type="dxa"/>
            <w:tcBorders>
              <w:top w:val="single" w:sz="4" w:space="0" w:color="auto"/>
              <w:left w:val="single" w:sz="4" w:space="0" w:color="auto"/>
              <w:bottom w:val="single" w:sz="4" w:space="0" w:color="auto"/>
              <w:right w:val="double" w:sz="4" w:space="0" w:color="auto"/>
            </w:tcBorders>
            <w:vAlign w:val="bottom"/>
          </w:tcPr>
          <w:p w14:paraId="21BEA003" w14:textId="77777777" w:rsidR="00F102F6" w:rsidRPr="00C704FB" w:rsidRDefault="00F102F6" w:rsidP="00C15091">
            <w:pPr>
              <w:pStyle w:val="tabteksts"/>
            </w:pPr>
            <w:r w:rsidRPr="00C704FB">
              <w:t> </w:t>
            </w:r>
          </w:p>
        </w:tc>
        <w:tc>
          <w:tcPr>
            <w:tcW w:w="989" w:type="dxa"/>
            <w:tcBorders>
              <w:top w:val="single" w:sz="4" w:space="0" w:color="auto"/>
              <w:left w:val="double" w:sz="4" w:space="0" w:color="auto"/>
              <w:bottom w:val="single" w:sz="4" w:space="0" w:color="auto"/>
              <w:right w:val="single" w:sz="4" w:space="0" w:color="auto"/>
            </w:tcBorders>
          </w:tcPr>
          <w:p w14:paraId="290D5DDF" w14:textId="77777777" w:rsidR="00F102F6" w:rsidRPr="00AB37BA" w:rsidRDefault="00F102F6" w:rsidP="002622DC">
            <w:pPr>
              <w:pStyle w:val="tabteksts"/>
              <w:jc w:val="right"/>
              <w:rPr>
                <w:snapToGrid w:val="0"/>
              </w:rPr>
            </w:pPr>
            <w:r w:rsidRPr="00AB37BA">
              <w:rPr>
                <w:snapToGrid w:val="0"/>
              </w:rPr>
              <w:t>1 446,9</w:t>
            </w:r>
          </w:p>
        </w:tc>
        <w:tc>
          <w:tcPr>
            <w:tcW w:w="712" w:type="dxa"/>
            <w:tcBorders>
              <w:top w:val="single" w:sz="4" w:space="0" w:color="auto"/>
              <w:left w:val="nil"/>
              <w:bottom w:val="single" w:sz="4" w:space="0" w:color="auto"/>
              <w:right w:val="single" w:sz="4" w:space="0" w:color="auto"/>
            </w:tcBorders>
          </w:tcPr>
          <w:p w14:paraId="00D6F222" w14:textId="77777777" w:rsidR="00F102F6" w:rsidRPr="0049071C" w:rsidRDefault="00F102F6" w:rsidP="002622DC">
            <w:pPr>
              <w:pStyle w:val="tabteksts"/>
              <w:jc w:val="right"/>
              <w:rPr>
                <w:snapToGrid w:val="0"/>
              </w:rPr>
            </w:pPr>
            <w:r w:rsidRPr="0049071C">
              <w:rPr>
                <w:snapToGrid w:val="0"/>
              </w:rPr>
              <w:t>6,2</w:t>
            </w:r>
          </w:p>
        </w:tc>
        <w:tc>
          <w:tcPr>
            <w:tcW w:w="713" w:type="dxa"/>
            <w:tcBorders>
              <w:top w:val="single" w:sz="4" w:space="0" w:color="auto"/>
              <w:left w:val="nil"/>
              <w:bottom w:val="single" w:sz="4" w:space="0" w:color="auto"/>
              <w:right w:val="single" w:sz="4" w:space="0" w:color="auto"/>
            </w:tcBorders>
          </w:tcPr>
          <w:p w14:paraId="5113A5B8" w14:textId="77777777" w:rsidR="00F102F6" w:rsidRPr="00602FEE" w:rsidRDefault="00F102F6" w:rsidP="002622DC">
            <w:pPr>
              <w:pStyle w:val="tabteksts"/>
              <w:jc w:val="right"/>
              <w:rPr>
                <w:snapToGrid w:val="0"/>
              </w:rPr>
            </w:pPr>
            <w:r w:rsidRPr="00602FEE">
              <w:rPr>
                <w:snapToGrid w:val="0"/>
              </w:rPr>
              <w:t>5,6</w:t>
            </w:r>
          </w:p>
        </w:tc>
        <w:tc>
          <w:tcPr>
            <w:tcW w:w="712" w:type="dxa"/>
            <w:tcBorders>
              <w:top w:val="single" w:sz="4" w:space="0" w:color="auto"/>
              <w:left w:val="nil"/>
              <w:bottom w:val="single" w:sz="4" w:space="0" w:color="auto"/>
              <w:right w:val="single" w:sz="4" w:space="0" w:color="auto"/>
            </w:tcBorders>
          </w:tcPr>
          <w:p w14:paraId="79C9537E" w14:textId="77777777" w:rsidR="00F102F6" w:rsidRPr="00602FEE" w:rsidRDefault="00F102F6" w:rsidP="002622DC">
            <w:pPr>
              <w:pStyle w:val="tabteksts"/>
              <w:jc w:val="right"/>
              <w:rPr>
                <w:snapToGrid w:val="0"/>
              </w:rPr>
            </w:pPr>
            <w:r w:rsidRPr="00602FEE">
              <w:rPr>
                <w:snapToGrid w:val="0"/>
              </w:rPr>
              <w:t>4,9</w:t>
            </w:r>
          </w:p>
        </w:tc>
        <w:tc>
          <w:tcPr>
            <w:tcW w:w="713" w:type="dxa"/>
            <w:tcBorders>
              <w:top w:val="single" w:sz="4" w:space="0" w:color="auto"/>
              <w:left w:val="nil"/>
              <w:bottom w:val="single" w:sz="4" w:space="0" w:color="auto"/>
              <w:right w:val="single" w:sz="4" w:space="0" w:color="auto"/>
            </w:tcBorders>
          </w:tcPr>
          <w:p w14:paraId="3B94F14D" w14:textId="77777777" w:rsidR="00F102F6" w:rsidRPr="00602FEE" w:rsidRDefault="00F102F6" w:rsidP="002622DC">
            <w:pPr>
              <w:pStyle w:val="tabteksts"/>
              <w:jc w:val="right"/>
              <w:rPr>
                <w:snapToGrid w:val="0"/>
              </w:rPr>
            </w:pPr>
            <w:r w:rsidRPr="00602FEE">
              <w:rPr>
                <w:snapToGrid w:val="0"/>
              </w:rPr>
              <w:t>4,8</w:t>
            </w:r>
          </w:p>
        </w:tc>
        <w:tc>
          <w:tcPr>
            <w:tcW w:w="697" w:type="dxa"/>
            <w:tcBorders>
              <w:top w:val="single" w:sz="4" w:space="0" w:color="auto"/>
              <w:left w:val="single" w:sz="4" w:space="0" w:color="auto"/>
              <w:bottom w:val="single" w:sz="4" w:space="0" w:color="auto"/>
              <w:right w:val="double" w:sz="4" w:space="0" w:color="auto"/>
            </w:tcBorders>
          </w:tcPr>
          <w:p w14:paraId="5BF9D96F" w14:textId="77777777" w:rsidR="00F102F6" w:rsidRPr="00602FEE" w:rsidRDefault="00F102F6" w:rsidP="002622DC">
            <w:pPr>
              <w:pStyle w:val="tabteksts"/>
              <w:jc w:val="right"/>
              <w:rPr>
                <w:snapToGrid w:val="0"/>
              </w:rPr>
            </w:pPr>
            <w:r w:rsidRPr="00602FEE">
              <w:rPr>
                <w:snapToGrid w:val="0"/>
              </w:rPr>
              <w:t>4,5</w:t>
            </w:r>
          </w:p>
        </w:tc>
      </w:tr>
      <w:tr w:rsidR="00F102F6" w:rsidRPr="00C704FB" w14:paraId="3AA8063C"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693B224C" w14:textId="77777777" w:rsidR="00F102F6" w:rsidRPr="00C704FB" w:rsidRDefault="00F102F6" w:rsidP="00C15091">
            <w:pPr>
              <w:pStyle w:val="tabteksts"/>
              <w:rPr>
                <w:snapToGrid w:val="0"/>
              </w:rPr>
            </w:pPr>
            <w:r w:rsidRPr="00C704FB">
              <w:rPr>
                <w:snapToGrid w:val="0"/>
              </w:rPr>
              <w:t>16. Kopējie ieņēmumi</w:t>
            </w:r>
          </w:p>
        </w:tc>
        <w:tc>
          <w:tcPr>
            <w:tcW w:w="1118" w:type="dxa"/>
            <w:tcBorders>
              <w:top w:val="single" w:sz="4" w:space="0" w:color="auto"/>
              <w:left w:val="single" w:sz="4" w:space="0" w:color="auto"/>
              <w:bottom w:val="single" w:sz="4" w:space="0" w:color="auto"/>
              <w:right w:val="double" w:sz="4" w:space="0" w:color="auto"/>
            </w:tcBorders>
            <w:vAlign w:val="bottom"/>
          </w:tcPr>
          <w:p w14:paraId="1C9FB067" w14:textId="77777777" w:rsidR="00F102F6" w:rsidRPr="00C704FB" w:rsidRDefault="00F102F6" w:rsidP="00C15091">
            <w:pPr>
              <w:pStyle w:val="tabteksts"/>
            </w:pPr>
            <w:r w:rsidRPr="00C704FB">
              <w:t>TR</w:t>
            </w:r>
          </w:p>
        </w:tc>
        <w:tc>
          <w:tcPr>
            <w:tcW w:w="989" w:type="dxa"/>
            <w:tcBorders>
              <w:top w:val="single" w:sz="4" w:space="0" w:color="auto"/>
              <w:left w:val="double" w:sz="4" w:space="0" w:color="auto"/>
              <w:bottom w:val="single" w:sz="4" w:space="0" w:color="auto"/>
              <w:right w:val="single" w:sz="4" w:space="0" w:color="auto"/>
            </w:tcBorders>
          </w:tcPr>
          <w:p w14:paraId="353F1D62" w14:textId="77777777" w:rsidR="00F102F6" w:rsidRPr="00AB37BA" w:rsidRDefault="00F102F6" w:rsidP="002622DC">
            <w:pPr>
              <w:pStyle w:val="tabteksts"/>
              <w:jc w:val="right"/>
              <w:rPr>
                <w:snapToGrid w:val="0"/>
              </w:rPr>
            </w:pPr>
            <w:r w:rsidRPr="00AB37BA">
              <w:rPr>
                <w:snapToGrid w:val="0"/>
              </w:rPr>
              <w:t>8 194,4</w:t>
            </w:r>
          </w:p>
        </w:tc>
        <w:tc>
          <w:tcPr>
            <w:tcW w:w="712" w:type="dxa"/>
            <w:tcBorders>
              <w:top w:val="single" w:sz="4" w:space="0" w:color="auto"/>
              <w:left w:val="nil"/>
              <w:bottom w:val="single" w:sz="4" w:space="0" w:color="auto"/>
              <w:right w:val="single" w:sz="4" w:space="0" w:color="auto"/>
            </w:tcBorders>
          </w:tcPr>
          <w:p w14:paraId="51571AC2" w14:textId="77777777" w:rsidR="00F102F6" w:rsidRPr="0049071C" w:rsidRDefault="00F102F6" w:rsidP="002622DC">
            <w:pPr>
              <w:pStyle w:val="tabteksts"/>
              <w:jc w:val="right"/>
              <w:rPr>
                <w:snapToGrid w:val="0"/>
              </w:rPr>
            </w:pPr>
            <w:r w:rsidRPr="0049071C">
              <w:rPr>
                <w:snapToGrid w:val="0"/>
              </w:rPr>
              <w:t>35,1</w:t>
            </w:r>
          </w:p>
        </w:tc>
        <w:tc>
          <w:tcPr>
            <w:tcW w:w="713" w:type="dxa"/>
            <w:tcBorders>
              <w:top w:val="single" w:sz="4" w:space="0" w:color="auto"/>
              <w:left w:val="nil"/>
              <w:bottom w:val="single" w:sz="4" w:space="0" w:color="auto"/>
              <w:right w:val="single" w:sz="4" w:space="0" w:color="auto"/>
            </w:tcBorders>
          </w:tcPr>
          <w:p w14:paraId="15AA5C5F" w14:textId="77777777" w:rsidR="00F102F6" w:rsidRPr="00602FEE" w:rsidRDefault="00F102F6" w:rsidP="002622DC">
            <w:pPr>
              <w:pStyle w:val="tabteksts"/>
              <w:jc w:val="right"/>
              <w:rPr>
                <w:snapToGrid w:val="0"/>
              </w:rPr>
            </w:pPr>
            <w:r w:rsidRPr="00602FEE">
              <w:rPr>
                <w:snapToGrid w:val="0"/>
              </w:rPr>
              <w:t>33,9</w:t>
            </w:r>
          </w:p>
        </w:tc>
        <w:tc>
          <w:tcPr>
            <w:tcW w:w="712" w:type="dxa"/>
            <w:tcBorders>
              <w:top w:val="single" w:sz="4" w:space="0" w:color="auto"/>
              <w:left w:val="nil"/>
              <w:bottom w:val="single" w:sz="4" w:space="0" w:color="auto"/>
              <w:right w:val="single" w:sz="4" w:space="0" w:color="auto"/>
            </w:tcBorders>
          </w:tcPr>
          <w:p w14:paraId="43A65E76" w14:textId="77777777" w:rsidR="00F102F6" w:rsidRPr="00602FEE" w:rsidRDefault="00F102F6" w:rsidP="002622DC">
            <w:pPr>
              <w:pStyle w:val="tabteksts"/>
              <w:jc w:val="right"/>
              <w:rPr>
                <w:snapToGrid w:val="0"/>
              </w:rPr>
            </w:pPr>
            <w:r w:rsidRPr="00602FEE">
              <w:rPr>
                <w:snapToGrid w:val="0"/>
              </w:rPr>
              <w:t>32,0</w:t>
            </w:r>
          </w:p>
        </w:tc>
        <w:tc>
          <w:tcPr>
            <w:tcW w:w="713" w:type="dxa"/>
            <w:tcBorders>
              <w:top w:val="single" w:sz="4" w:space="0" w:color="auto"/>
              <w:left w:val="nil"/>
              <w:bottom w:val="single" w:sz="4" w:space="0" w:color="auto"/>
              <w:right w:val="single" w:sz="4" w:space="0" w:color="auto"/>
            </w:tcBorders>
          </w:tcPr>
          <w:p w14:paraId="6082A650" w14:textId="77777777" w:rsidR="00F102F6" w:rsidRPr="00602FEE" w:rsidRDefault="00F102F6" w:rsidP="002622DC">
            <w:pPr>
              <w:pStyle w:val="tabteksts"/>
              <w:jc w:val="right"/>
              <w:rPr>
                <w:snapToGrid w:val="0"/>
              </w:rPr>
            </w:pPr>
            <w:r w:rsidRPr="00602FEE">
              <w:rPr>
                <w:snapToGrid w:val="0"/>
              </w:rPr>
              <w:t>30,9</w:t>
            </w:r>
          </w:p>
        </w:tc>
        <w:tc>
          <w:tcPr>
            <w:tcW w:w="697" w:type="dxa"/>
            <w:tcBorders>
              <w:top w:val="single" w:sz="4" w:space="0" w:color="auto"/>
              <w:left w:val="single" w:sz="4" w:space="0" w:color="auto"/>
              <w:bottom w:val="single" w:sz="4" w:space="0" w:color="auto"/>
              <w:right w:val="double" w:sz="4" w:space="0" w:color="auto"/>
            </w:tcBorders>
          </w:tcPr>
          <w:p w14:paraId="0F3335EA" w14:textId="77777777" w:rsidR="00F102F6" w:rsidRPr="00602FEE" w:rsidRDefault="00F102F6" w:rsidP="002622DC">
            <w:pPr>
              <w:pStyle w:val="tabteksts"/>
              <w:jc w:val="right"/>
              <w:rPr>
                <w:snapToGrid w:val="0"/>
              </w:rPr>
            </w:pPr>
            <w:r w:rsidRPr="00602FEE">
              <w:rPr>
                <w:snapToGrid w:val="0"/>
              </w:rPr>
              <w:t>30,1</w:t>
            </w:r>
          </w:p>
        </w:tc>
      </w:tr>
      <w:tr w:rsidR="00F102F6" w:rsidRPr="00C704FB" w14:paraId="71549EF9" w14:textId="77777777" w:rsidTr="00336495">
        <w:trPr>
          <w:cantSplit/>
          <w:jc w:val="center"/>
        </w:trPr>
        <w:tc>
          <w:tcPr>
            <w:tcW w:w="4112" w:type="dxa"/>
            <w:gridSpan w:val="2"/>
            <w:tcBorders>
              <w:top w:val="single" w:sz="4" w:space="0" w:color="auto"/>
              <w:left w:val="double" w:sz="4" w:space="0" w:color="auto"/>
              <w:bottom w:val="double" w:sz="4" w:space="0" w:color="auto"/>
              <w:right w:val="single" w:sz="4" w:space="0" w:color="auto"/>
            </w:tcBorders>
          </w:tcPr>
          <w:p w14:paraId="5B03F66D" w14:textId="77777777" w:rsidR="00F102F6" w:rsidRPr="00C704FB" w:rsidRDefault="00F102F6" w:rsidP="00C15091">
            <w:pPr>
              <w:pStyle w:val="tabteksts"/>
              <w:rPr>
                <w:snapToGrid w:val="0"/>
                <w:vertAlign w:val="superscript"/>
              </w:rPr>
            </w:pPr>
            <w:r w:rsidRPr="00C704FB">
              <w:rPr>
                <w:snapToGrid w:val="0"/>
              </w:rPr>
              <w:t xml:space="preserve"> Nodokļu slogs (D.2</w:t>
            </w:r>
            <w:r w:rsidRPr="00C704FB">
              <w:rPr>
                <w:rStyle w:val="FootnoteReference"/>
                <w:snapToGrid w:val="0"/>
              </w:rPr>
              <w:footnoteReference w:id="18"/>
            </w:r>
            <w:r w:rsidRPr="00C704FB">
              <w:rPr>
                <w:snapToGrid w:val="0"/>
              </w:rPr>
              <w:t>+D.5+D.61+D.91 – D.995)</w:t>
            </w:r>
          </w:p>
        </w:tc>
        <w:tc>
          <w:tcPr>
            <w:tcW w:w="1118" w:type="dxa"/>
            <w:tcBorders>
              <w:top w:val="single" w:sz="4" w:space="0" w:color="auto"/>
              <w:left w:val="single" w:sz="4" w:space="0" w:color="auto"/>
              <w:bottom w:val="double" w:sz="4" w:space="0" w:color="auto"/>
              <w:right w:val="double" w:sz="4" w:space="0" w:color="auto"/>
            </w:tcBorders>
            <w:vAlign w:val="bottom"/>
          </w:tcPr>
          <w:p w14:paraId="42118A24" w14:textId="77777777" w:rsidR="00F102F6" w:rsidRPr="00C704FB" w:rsidRDefault="00F102F6" w:rsidP="00C15091">
            <w:pPr>
              <w:pStyle w:val="tabteksts"/>
            </w:pPr>
          </w:p>
        </w:tc>
        <w:tc>
          <w:tcPr>
            <w:tcW w:w="989" w:type="dxa"/>
            <w:tcBorders>
              <w:top w:val="single" w:sz="4" w:space="0" w:color="auto"/>
              <w:left w:val="double" w:sz="4" w:space="0" w:color="auto"/>
              <w:bottom w:val="double" w:sz="4" w:space="0" w:color="auto"/>
              <w:right w:val="single" w:sz="4" w:space="0" w:color="auto"/>
            </w:tcBorders>
          </w:tcPr>
          <w:p w14:paraId="35ED590D" w14:textId="77777777" w:rsidR="00F102F6" w:rsidRPr="00AB37BA" w:rsidRDefault="00F102F6" w:rsidP="002622DC">
            <w:pPr>
              <w:pStyle w:val="tabteksts"/>
              <w:jc w:val="right"/>
              <w:rPr>
                <w:snapToGrid w:val="0"/>
              </w:rPr>
            </w:pPr>
            <w:r w:rsidRPr="00AB37BA">
              <w:rPr>
                <w:snapToGrid w:val="0"/>
              </w:rPr>
              <w:t>6 361,7</w:t>
            </w:r>
          </w:p>
        </w:tc>
        <w:tc>
          <w:tcPr>
            <w:tcW w:w="712" w:type="dxa"/>
            <w:tcBorders>
              <w:top w:val="single" w:sz="4" w:space="0" w:color="auto"/>
              <w:left w:val="nil"/>
              <w:bottom w:val="double" w:sz="4" w:space="0" w:color="auto"/>
              <w:right w:val="single" w:sz="4" w:space="0" w:color="auto"/>
            </w:tcBorders>
          </w:tcPr>
          <w:p w14:paraId="6D7E169F" w14:textId="77777777" w:rsidR="00F102F6" w:rsidRPr="0049071C" w:rsidRDefault="00F102F6" w:rsidP="002622DC">
            <w:pPr>
              <w:pStyle w:val="tabteksts"/>
              <w:jc w:val="right"/>
              <w:rPr>
                <w:snapToGrid w:val="0"/>
              </w:rPr>
            </w:pPr>
            <w:r w:rsidRPr="0049071C">
              <w:rPr>
                <w:snapToGrid w:val="0"/>
              </w:rPr>
              <w:t>27,3</w:t>
            </w:r>
          </w:p>
        </w:tc>
        <w:tc>
          <w:tcPr>
            <w:tcW w:w="713" w:type="dxa"/>
            <w:tcBorders>
              <w:top w:val="single" w:sz="4" w:space="0" w:color="auto"/>
              <w:left w:val="nil"/>
              <w:bottom w:val="double" w:sz="4" w:space="0" w:color="auto"/>
              <w:right w:val="single" w:sz="4" w:space="0" w:color="auto"/>
            </w:tcBorders>
          </w:tcPr>
          <w:p w14:paraId="1936B5DE" w14:textId="77777777" w:rsidR="00F102F6" w:rsidRPr="00602FEE" w:rsidRDefault="00F102F6" w:rsidP="002622DC">
            <w:pPr>
              <w:pStyle w:val="tabteksts"/>
              <w:jc w:val="right"/>
              <w:rPr>
                <w:snapToGrid w:val="0"/>
              </w:rPr>
            </w:pPr>
            <w:r w:rsidRPr="00602FEE">
              <w:rPr>
                <w:snapToGrid w:val="0"/>
              </w:rPr>
              <w:t>27,7</w:t>
            </w:r>
          </w:p>
        </w:tc>
        <w:tc>
          <w:tcPr>
            <w:tcW w:w="712" w:type="dxa"/>
            <w:tcBorders>
              <w:top w:val="single" w:sz="4" w:space="0" w:color="auto"/>
              <w:left w:val="nil"/>
              <w:bottom w:val="double" w:sz="4" w:space="0" w:color="auto"/>
              <w:right w:val="single" w:sz="4" w:space="0" w:color="auto"/>
            </w:tcBorders>
          </w:tcPr>
          <w:p w14:paraId="62EBD2E6" w14:textId="77777777" w:rsidR="00F102F6" w:rsidRPr="00602FEE" w:rsidRDefault="00F102F6" w:rsidP="002622DC">
            <w:pPr>
              <w:pStyle w:val="tabteksts"/>
              <w:jc w:val="right"/>
              <w:rPr>
                <w:snapToGrid w:val="0"/>
              </w:rPr>
            </w:pPr>
            <w:r w:rsidRPr="00602FEE">
              <w:rPr>
                <w:snapToGrid w:val="0"/>
              </w:rPr>
              <w:t>26,8</w:t>
            </w:r>
          </w:p>
        </w:tc>
        <w:tc>
          <w:tcPr>
            <w:tcW w:w="713" w:type="dxa"/>
            <w:tcBorders>
              <w:top w:val="single" w:sz="4" w:space="0" w:color="auto"/>
              <w:left w:val="nil"/>
              <w:bottom w:val="double" w:sz="4" w:space="0" w:color="auto"/>
              <w:right w:val="single" w:sz="4" w:space="0" w:color="auto"/>
            </w:tcBorders>
          </w:tcPr>
          <w:p w14:paraId="0C06A5D0" w14:textId="77777777" w:rsidR="00F102F6" w:rsidRPr="00602FEE" w:rsidRDefault="00F102F6" w:rsidP="002622DC">
            <w:pPr>
              <w:pStyle w:val="tabteksts"/>
              <w:jc w:val="right"/>
              <w:rPr>
                <w:snapToGrid w:val="0"/>
              </w:rPr>
            </w:pPr>
            <w:r w:rsidRPr="00602FEE">
              <w:rPr>
                <w:snapToGrid w:val="0"/>
              </w:rPr>
              <w:t>26,0</w:t>
            </w:r>
          </w:p>
        </w:tc>
        <w:tc>
          <w:tcPr>
            <w:tcW w:w="697" w:type="dxa"/>
            <w:tcBorders>
              <w:top w:val="single" w:sz="4" w:space="0" w:color="auto"/>
              <w:left w:val="single" w:sz="4" w:space="0" w:color="auto"/>
              <w:bottom w:val="double" w:sz="4" w:space="0" w:color="auto"/>
              <w:right w:val="double" w:sz="4" w:space="0" w:color="auto"/>
            </w:tcBorders>
          </w:tcPr>
          <w:p w14:paraId="7613D162" w14:textId="77777777" w:rsidR="00F102F6" w:rsidRPr="00602FEE" w:rsidRDefault="00F102F6" w:rsidP="002622DC">
            <w:pPr>
              <w:pStyle w:val="tabteksts"/>
              <w:jc w:val="right"/>
              <w:rPr>
                <w:snapToGrid w:val="0"/>
              </w:rPr>
            </w:pPr>
            <w:r w:rsidRPr="00602FEE">
              <w:rPr>
                <w:snapToGrid w:val="0"/>
              </w:rPr>
              <w:t>25,5</w:t>
            </w:r>
          </w:p>
        </w:tc>
      </w:tr>
      <w:tr w:rsidR="00F102F6" w:rsidRPr="00C704FB" w14:paraId="6CC7315F" w14:textId="77777777" w:rsidTr="00336495">
        <w:trPr>
          <w:cantSplit/>
          <w:jc w:val="center"/>
        </w:trPr>
        <w:tc>
          <w:tcPr>
            <w:tcW w:w="1157" w:type="dxa"/>
            <w:tcBorders>
              <w:top w:val="double" w:sz="4" w:space="0" w:color="auto"/>
              <w:left w:val="double" w:sz="4" w:space="0" w:color="auto"/>
              <w:bottom w:val="single" w:sz="4" w:space="0" w:color="auto"/>
            </w:tcBorders>
          </w:tcPr>
          <w:p w14:paraId="5663B8C2" w14:textId="77777777" w:rsidR="00F102F6" w:rsidRPr="00C704FB" w:rsidRDefault="00F102F6" w:rsidP="00C15091">
            <w:pPr>
              <w:pStyle w:val="tabteksts"/>
              <w:jc w:val="center"/>
              <w:rPr>
                <w:b/>
                <w:snapToGrid w:val="0"/>
              </w:rPr>
            </w:pPr>
          </w:p>
        </w:tc>
        <w:tc>
          <w:tcPr>
            <w:tcW w:w="8609" w:type="dxa"/>
            <w:gridSpan w:val="8"/>
            <w:tcBorders>
              <w:top w:val="double" w:sz="4" w:space="0" w:color="auto"/>
              <w:bottom w:val="single" w:sz="4" w:space="0" w:color="auto"/>
              <w:right w:val="double" w:sz="4" w:space="0" w:color="auto"/>
            </w:tcBorders>
          </w:tcPr>
          <w:p w14:paraId="4AB3BF85" w14:textId="77777777" w:rsidR="00F102F6" w:rsidRPr="00C704FB" w:rsidRDefault="00F102F6" w:rsidP="00336495">
            <w:pPr>
              <w:pStyle w:val="tabteksts"/>
              <w:jc w:val="center"/>
              <w:rPr>
                <w:b/>
                <w:snapToGrid w:val="0"/>
              </w:rPr>
            </w:pPr>
            <w:r w:rsidRPr="00C704FB">
              <w:rPr>
                <w:b/>
                <w:snapToGrid w:val="0"/>
              </w:rPr>
              <w:t>Izdevumu sadaļas</w:t>
            </w:r>
          </w:p>
        </w:tc>
      </w:tr>
      <w:tr w:rsidR="00F102F6" w:rsidRPr="00C704FB" w14:paraId="19091F98"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30BE0478" w14:textId="77777777" w:rsidR="00F102F6" w:rsidRPr="00C704FB" w:rsidRDefault="00F102F6" w:rsidP="00C15091">
            <w:pPr>
              <w:pStyle w:val="tabteksts"/>
              <w:rPr>
                <w:snapToGrid w:val="0"/>
              </w:rPr>
            </w:pPr>
            <w:r w:rsidRPr="00C704FB">
              <w:rPr>
                <w:snapToGrid w:val="0"/>
              </w:rPr>
              <w:t>17. Atlīdzība nodarbinātajiem un starppatēriņš</w:t>
            </w:r>
          </w:p>
        </w:tc>
        <w:tc>
          <w:tcPr>
            <w:tcW w:w="1118" w:type="dxa"/>
            <w:tcBorders>
              <w:top w:val="single" w:sz="4" w:space="0" w:color="auto"/>
              <w:left w:val="single" w:sz="4" w:space="0" w:color="auto"/>
              <w:bottom w:val="single" w:sz="4" w:space="0" w:color="auto"/>
              <w:right w:val="double" w:sz="4" w:space="0" w:color="auto"/>
            </w:tcBorders>
            <w:vAlign w:val="bottom"/>
          </w:tcPr>
          <w:p w14:paraId="04BE4C49" w14:textId="77777777" w:rsidR="00F102F6" w:rsidRPr="00C704FB" w:rsidRDefault="00F102F6" w:rsidP="00C15091">
            <w:pPr>
              <w:pStyle w:val="tabteksts"/>
            </w:pPr>
            <w:r w:rsidRPr="00C704FB">
              <w:t>D.1+P.2</w:t>
            </w:r>
          </w:p>
        </w:tc>
        <w:tc>
          <w:tcPr>
            <w:tcW w:w="989" w:type="dxa"/>
            <w:tcBorders>
              <w:top w:val="single" w:sz="4" w:space="0" w:color="auto"/>
              <w:left w:val="double" w:sz="4" w:space="0" w:color="auto"/>
              <w:bottom w:val="single" w:sz="4" w:space="0" w:color="auto"/>
              <w:right w:val="single" w:sz="4" w:space="0" w:color="auto"/>
            </w:tcBorders>
          </w:tcPr>
          <w:p w14:paraId="13813416" w14:textId="77777777" w:rsidR="00F102F6" w:rsidRPr="00AB37BA" w:rsidRDefault="00F102F6" w:rsidP="002622DC">
            <w:pPr>
              <w:pStyle w:val="tabteksts"/>
              <w:jc w:val="right"/>
              <w:rPr>
                <w:snapToGrid w:val="0"/>
              </w:rPr>
            </w:pPr>
            <w:r w:rsidRPr="00AB37BA">
              <w:rPr>
                <w:snapToGrid w:val="0"/>
              </w:rPr>
              <w:t>3 629,5</w:t>
            </w:r>
          </w:p>
        </w:tc>
        <w:tc>
          <w:tcPr>
            <w:tcW w:w="712" w:type="dxa"/>
            <w:tcBorders>
              <w:top w:val="single" w:sz="4" w:space="0" w:color="auto"/>
              <w:left w:val="nil"/>
              <w:bottom w:val="single" w:sz="4" w:space="0" w:color="auto"/>
              <w:right w:val="single" w:sz="4" w:space="0" w:color="auto"/>
            </w:tcBorders>
          </w:tcPr>
          <w:p w14:paraId="5EB7DFDF" w14:textId="77777777" w:rsidR="00F102F6" w:rsidRPr="0049071C" w:rsidRDefault="00F102F6" w:rsidP="002622DC">
            <w:pPr>
              <w:pStyle w:val="tabteksts"/>
              <w:jc w:val="right"/>
              <w:rPr>
                <w:snapToGrid w:val="0"/>
              </w:rPr>
            </w:pPr>
            <w:r w:rsidRPr="0049071C">
              <w:rPr>
                <w:snapToGrid w:val="0"/>
              </w:rPr>
              <w:t>15,6</w:t>
            </w:r>
          </w:p>
        </w:tc>
        <w:tc>
          <w:tcPr>
            <w:tcW w:w="713" w:type="dxa"/>
            <w:tcBorders>
              <w:top w:val="single" w:sz="4" w:space="0" w:color="auto"/>
              <w:left w:val="nil"/>
              <w:bottom w:val="single" w:sz="4" w:space="0" w:color="auto"/>
              <w:right w:val="single" w:sz="4" w:space="0" w:color="auto"/>
            </w:tcBorders>
          </w:tcPr>
          <w:p w14:paraId="4F144A79" w14:textId="77777777" w:rsidR="00F102F6" w:rsidRPr="00602FEE" w:rsidRDefault="00F102F6" w:rsidP="002622DC">
            <w:pPr>
              <w:pStyle w:val="tabteksts"/>
              <w:jc w:val="right"/>
              <w:rPr>
                <w:snapToGrid w:val="0"/>
              </w:rPr>
            </w:pPr>
            <w:r w:rsidRPr="00602FEE">
              <w:rPr>
                <w:snapToGrid w:val="0"/>
              </w:rPr>
              <w:t>15,7</w:t>
            </w:r>
          </w:p>
        </w:tc>
        <w:tc>
          <w:tcPr>
            <w:tcW w:w="712" w:type="dxa"/>
            <w:tcBorders>
              <w:top w:val="single" w:sz="4" w:space="0" w:color="auto"/>
              <w:left w:val="nil"/>
              <w:bottom w:val="single" w:sz="4" w:space="0" w:color="auto"/>
              <w:right w:val="single" w:sz="4" w:space="0" w:color="auto"/>
            </w:tcBorders>
          </w:tcPr>
          <w:p w14:paraId="5879E357" w14:textId="77777777" w:rsidR="00F102F6" w:rsidRPr="00602FEE" w:rsidRDefault="00F102F6" w:rsidP="002622DC">
            <w:pPr>
              <w:pStyle w:val="tabteksts"/>
              <w:jc w:val="right"/>
              <w:rPr>
                <w:snapToGrid w:val="0"/>
              </w:rPr>
            </w:pPr>
            <w:r w:rsidRPr="00602FEE">
              <w:rPr>
                <w:snapToGrid w:val="0"/>
              </w:rPr>
              <w:t>14,9</w:t>
            </w:r>
          </w:p>
        </w:tc>
        <w:tc>
          <w:tcPr>
            <w:tcW w:w="713" w:type="dxa"/>
            <w:tcBorders>
              <w:top w:val="single" w:sz="4" w:space="0" w:color="auto"/>
              <w:left w:val="nil"/>
              <w:bottom w:val="single" w:sz="4" w:space="0" w:color="auto"/>
              <w:right w:val="single" w:sz="4" w:space="0" w:color="auto"/>
            </w:tcBorders>
          </w:tcPr>
          <w:p w14:paraId="57136336" w14:textId="77777777" w:rsidR="00F102F6" w:rsidRPr="00602FEE" w:rsidRDefault="00F102F6" w:rsidP="002622DC">
            <w:pPr>
              <w:pStyle w:val="tabteksts"/>
              <w:jc w:val="right"/>
              <w:rPr>
                <w:snapToGrid w:val="0"/>
              </w:rPr>
            </w:pPr>
            <w:r w:rsidRPr="00602FEE">
              <w:rPr>
                <w:snapToGrid w:val="0"/>
              </w:rPr>
              <w:t>13,9</w:t>
            </w:r>
          </w:p>
        </w:tc>
        <w:tc>
          <w:tcPr>
            <w:tcW w:w="697" w:type="dxa"/>
            <w:tcBorders>
              <w:top w:val="single" w:sz="4" w:space="0" w:color="auto"/>
              <w:left w:val="single" w:sz="4" w:space="0" w:color="auto"/>
              <w:bottom w:val="single" w:sz="4" w:space="0" w:color="auto"/>
              <w:right w:val="double" w:sz="4" w:space="0" w:color="auto"/>
            </w:tcBorders>
          </w:tcPr>
          <w:p w14:paraId="1DD1E9F5" w14:textId="77777777" w:rsidR="00F102F6" w:rsidRPr="00602FEE" w:rsidRDefault="00F102F6" w:rsidP="002622DC">
            <w:pPr>
              <w:pStyle w:val="tabteksts"/>
              <w:jc w:val="right"/>
              <w:rPr>
                <w:snapToGrid w:val="0"/>
              </w:rPr>
            </w:pPr>
            <w:r w:rsidRPr="00602FEE">
              <w:rPr>
                <w:snapToGrid w:val="0"/>
              </w:rPr>
              <w:t>13,1</w:t>
            </w:r>
          </w:p>
        </w:tc>
      </w:tr>
      <w:tr w:rsidR="00F102F6" w:rsidRPr="00C704FB" w14:paraId="1329F627"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0E0DB78E" w14:textId="77777777" w:rsidR="00F102F6" w:rsidRPr="00C704FB" w:rsidRDefault="00F102F6" w:rsidP="00C15091">
            <w:pPr>
              <w:pStyle w:val="tabteksts"/>
              <w:rPr>
                <w:snapToGrid w:val="0"/>
              </w:rPr>
            </w:pPr>
            <w:r w:rsidRPr="00C704FB">
              <w:rPr>
                <w:snapToGrid w:val="0"/>
              </w:rPr>
              <w:t>17a. Atlīdzība nodarbinātajiem</w:t>
            </w:r>
          </w:p>
        </w:tc>
        <w:tc>
          <w:tcPr>
            <w:tcW w:w="1118" w:type="dxa"/>
            <w:tcBorders>
              <w:top w:val="single" w:sz="4" w:space="0" w:color="auto"/>
              <w:left w:val="single" w:sz="4" w:space="0" w:color="auto"/>
              <w:bottom w:val="single" w:sz="4" w:space="0" w:color="auto"/>
              <w:right w:val="double" w:sz="4" w:space="0" w:color="auto"/>
            </w:tcBorders>
            <w:vAlign w:val="bottom"/>
          </w:tcPr>
          <w:p w14:paraId="3F4771F1" w14:textId="77777777" w:rsidR="00F102F6" w:rsidRPr="00C704FB" w:rsidRDefault="00F102F6" w:rsidP="00C15091">
            <w:pPr>
              <w:pStyle w:val="tabteksts"/>
            </w:pPr>
            <w:r w:rsidRPr="00C704FB">
              <w:t>D.1</w:t>
            </w:r>
          </w:p>
        </w:tc>
        <w:tc>
          <w:tcPr>
            <w:tcW w:w="989" w:type="dxa"/>
            <w:tcBorders>
              <w:top w:val="single" w:sz="4" w:space="0" w:color="auto"/>
              <w:left w:val="double" w:sz="4" w:space="0" w:color="auto"/>
              <w:bottom w:val="single" w:sz="4" w:space="0" w:color="auto"/>
              <w:right w:val="single" w:sz="4" w:space="0" w:color="auto"/>
            </w:tcBorders>
          </w:tcPr>
          <w:p w14:paraId="32EAFC99" w14:textId="77777777" w:rsidR="00F102F6" w:rsidRPr="00AB37BA" w:rsidRDefault="00F102F6" w:rsidP="002622DC">
            <w:pPr>
              <w:pStyle w:val="tabteksts"/>
              <w:jc w:val="right"/>
              <w:rPr>
                <w:snapToGrid w:val="0"/>
              </w:rPr>
            </w:pPr>
            <w:r w:rsidRPr="00AB37BA">
              <w:rPr>
                <w:snapToGrid w:val="0"/>
              </w:rPr>
              <w:t>2 137,0</w:t>
            </w:r>
          </w:p>
        </w:tc>
        <w:tc>
          <w:tcPr>
            <w:tcW w:w="712" w:type="dxa"/>
            <w:tcBorders>
              <w:top w:val="single" w:sz="4" w:space="0" w:color="auto"/>
              <w:left w:val="nil"/>
              <w:bottom w:val="single" w:sz="4" w:space="0" w:color="auto"/>
              <w:right w:val="single" w:sz="4" w:space="0" w:color="auto"/>
            </w:tcBorders>
          </w:tcPr>
          <w:p w14:paraId="7BE94F72" w14:textId="77777777" w:rsidR="00F102F6" w:rsidRPr="0049071C" w:rsidRDefault="00F102F6" w:rsidP="002622DC">
            <w:pPr>
              <w:pStyle w:val="tabteksts"/>
              <w:jc w:val="right"/>
              <w:rPr>
                <w:snapToGrid w:val="0"/>
              </w:rPr>
            </w:pPr>
            <w:r w:rsidRPr="0049071C">
              <w:rPr>
                <w:snapToGrid w:val="0"/>
              </w:rPr>
              <w:t>9,2</w:t>
            </w:r>
          </w:p>
        </w:tc>
        <w:tc>
          <w:tcPr>
            <w:tcW w:w="713" w:type="dxa"/>
            <w:tcBorders>
              <w:top w:val="single" w:sz="4" w:space="0" w:color="auto"/>
              <w:left w:val="nil"/>
              <w:bottom w:val="single" w:sz="4" w:space="0" w:color="auto"/>
              <w:right w:val="single" w:sz="4" w:space="0" w:color="auto"/>
            </w:tcBorders>
          </w:tcPr>
          <w:p w14:paraId="4099CEC3" w14:textId="77777777" w:rsidR="00F102F6" w:rsidRPr="00602FEE" w:rsidRDefault="00F102F6" w:rsidP="002622DC">
            <w:pPr>
              <w:pStyle w:val="tabteksts"/>
              <w:jc w:val="right"/>
              <w:rPr>
                <w:snapToGrid w:val="0"/>
              </w:rPr>
            </w:pPr>
            <w:r w:rsidRPr="00602FEE">
              <w:rPr>
                <w:snapToGrid w:val="0"/>
              </w:rPr>
              <w:t>9,2</w:t>
            </w:r>
          </w:p>
        </w:tc>
        <w:tc>
          <w:tcPr>
            <w:tcW w:w="712" w:type="dxa"/>
            <w:tcBorders>
              <w:top w:val="single" w:sz="4" w:space="0" w:color="auto"/>
              <w:left w:val="nil"/>
              <w:bottom w:val="single" w:sz="4" w:space="0" w:color="auto"/>
              <w:right w:val="single" w:sz="4" w:space="0" w:color="auto"/>
            </w:tcBorders>
          </w:tcPr>
          <w:p w14:paraId="679DDC8A" w14:textId="77777777" w:rsidR="00F102F6" w:rsidRPr="00602FEE" w:rsidRDefault="00F102F6" w:rsidP="002622DC">
            <w:pPr>
              <w:pStyle w:val="tabteksts"/>
              <w:jc w:val="right"/>
              <w:rPr>
                <w:snapToGrid w:val="0"/>
              </w:rPr>
            </w:pPr>
            <w:r w:rsidRPr="00602FEE">
              <w:rPr>
                <w:snapToGrid w:val="0"/>
              </w:rPr>
              <w:t>8,7</w:t>
            </w:r>
          </w:p>
        </w:tc>
        <w:tc>
          <w:tcPr>
            <w:tcW w:w="713" w:type="dxa"/>
            <w:tcBorders>
              <w:top w:val="single" w:sz="4" w:space="0" w:color="auto"/>
              <w:left w:val="nil"/>
              <w:bottom w:val="single" w:sz="4" w:space="0" w:color="auto"/>
              <w:right w:val="single" w:sz="4" w:space="0" w:color="auto"/>
            </w:tcBorders>
          </w:tcPr>
          <w:p w14:paraId="2E2281D6" w14:textId="77777777" w:rsidR="00F102F6" w:rsidRPr="00602FEE" w:rsidRDefault="00F102F6" w:rsidP="002622DC">
            <w:pPr>
              <w:pStyle w:val="tabteksts"/>
              <w:jc w:val="right"/>
              <w:rPr>
                <w:snapToGrid w:val="0"/>
              </w:rPr>
            </w:pPr>
            <w:r w:rsidRPr="00602FEE">
              <w:rPr>
                <w:snapToGrid w:val="0"/>
              </w:rPr>
              <w:t>8,3</w:t>
            </w:r>
          </w:p>
        </w:tc>
        <w:tc>
          <w:tcPr>
            <w:tcW w:w="697" w:type="dxa"/>
            <w:tcBorders>
              <w:top w:val="single" w:sz="4" w:space="0" w:color="auto"/>
              <w:left w:val="single" w:sz="4" w:space="0" w:color="auto"/>
              <w:bottom w:val="single" w:sz="4" w:space="0" w:color="auto"/>
              <w:right w:val="double" w:sz="4" w:space="0" w:color="auto"/>
            </w:tcBorders>
          </w:tcPr>
          <w:p w14:paraId="7CDBB133" w14:textId="77777777" w:rsidR="00F102F6" w:rsidRPr="00602FEE" w:rsidRDefault="00F102F6" w:rsidP="002622DC">
            <w:pPr>
              <w:pStyle w:val="tabteksts"/>
              <w:jc w:val="right"/>
              <w:rPr>
                <w:snapToGrid w:val="0"/>
              </w:rPr>
            </w:pPr>
            <w:r w:rsidRPr="00602FEE">
              <w:rPr>
                <w:snapToGrid w:val="0"/>
              </w:rPr>
              <w:t>8,0</w:t>
            </w:r>
          </w:p>
        </w:tc>
      </w:tr>
      <w:tr w:rsidR="00F102F6" w:rsidRPr="00C704FB" w14:paraId="14582490"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4BD4FD20" w14:textId="77777777" w:rsidR="00F102F6" w:rsidRPr="00C704FB" w:rsidRDefault="00F102F6" w:rsidP="00C15091">
            <w:pPr>
              <w:pStyle w:val="tabteksts"/>
              <w:rPr>
                <w:snapToGrid w:val="0"/>
              </w:rPr>
            </w:pPr>
            <w:r w:rsidRPr="00C704FB">
              <w:rPr>
                <w:snapToGrid w:val="0"/>
              </w:rPr>
              <w:t>17b. Starppatēriņš</w:t>
            </w:r>
          </w:p>
        </w:tc>
        <w:tc>
          <w:tcPr>
            <w:tcW w:w="1118" w:type="dxa"/>
            <w:tcBorders>
              <w:top w:val="single" w:sz="4" w:space="0" w:color="auto"/>
              <w:left w:val="single" w:sz="4" w:space="0" w:color="auto"/>
              <w:bottom w:val="single" w:sz="4" w:space="0" w:color="auto"/>
              <w:right w:val="double" w:sz="4" w:space="0" w:color="auto"/>
            </w:tcBorders>
            <w:vAlign w:val="bottom"/>
          </w:tcPr>
          <w:p w14:paraId="44FF8EFD" w14:textId="77777777" w:rsidR="00F102F6" w:rsidRPr="00C704FB" w:rsidRDefault="00F102F6" w:rsidP="00C15091">
            <w:pPr>
              <w:pStyle w:val="tabteksts"/>
            </w:pPr>
            <w:r w:rsidRPr="00C704FB">
              <w:t>P.2</w:t>
            </w:r>
          </w:p>
        </w:tc>
        <w:tc>
          <w:tcPr>
            <w:tcW w:w="989" w:type="dxa"/>
            <w:tcBorders>
              <w:top w:val="single" w:sz="4" w:space="0" w:color="auto"/>
              <w:left w:val="double" w:sz="4" w:space="0" w:color="auto"/>
              <w:bottom w:val="single" w:sz="4" w:space="0" w:color="auto"/>
              <w:right w:val="single" w:sz="4" w:space="0" w:color="auto"/>
            </w:tcBorders>
          </w:tcPr>
          <w:p w14:paraId="1B1D5C00" w14:textId="77777777" w:rsidR="00F102F6" w:rsidRPr="00AB37BA" w:rsidRDefault="00F102F6" w:rsidP="002622DC">
            <w:pPr>
              <w:pStyle w:val="tabteksts"/>
              <w:jc w:val="right"/>
              <w:rPr>
                <w:snapToGrid w:val="0"/>
              </w:rPr>
            </w:pPr>
            <w:r w:rsidRPr="00AB37BA">
              <w:rPr>
                <w:snapToGrid w:val="0"/>
              </w:rPr>
              <w:t>1 492,4</w:t>
            </w:r>
          </w:p>
        </w:tc>
        <w:tc>
          <w:tcPr>
            <w:tcW w:w="712" w:type="dxa"/>
            <w:tcBorders>
              <w:top w:val="single" w:sz="4" w:space="0" w:color="auto"/>
              <w:left w:val="nil"/>
              <w:bottom w:val="single" w:sz="4" w:space="0" w:color="auto"/>
              <w:right w:val="single" w:sz="4" w:space="0" w:color="auto"/>
            </w:tcBorders>
          </w:tcPr>
          <w:p w14:paraId="505F288B" w14:textId="77777777" w:rsidR="00F102F6" w:rsidRPr="0049071C" w:rsidRDefault="00F102F6" w:rsidP="002622DC">
            <w:pPr>
              <w:pStyle w:val="tabteksts"/>
              <w:jc w:val="right"/>
              <w:rPr>
                <w:snapToGrid w:val="0"/>
              </w:rPr>
            </w:pPr>
            <w:r w:rsidRPr="0049071C">
              <w:rPr>
                <w:snapToGrid w:val="0"/>
              </w:rPr>
              <w:t>6,4</w:t>
            </w:r>
          </w:p>
        </w:tc>
        <w:tc>
          <w:tcPr>
            <w:tcW w:w="713" w:type="dxa"/>
            <w:tcBorders>
              <w:top w:val="single" w:sz="4" w:space="0" w:color="auto"/>
              <w:left w:val="nil"/>
              <w:bottom w:val="single" w:sz="4" w:space="0" w:color="auto"/>
              <w:right w:val="single" w:sz="4" w:space="0" w:color="auto"/>
            </w:tcBorders>
          </w:tcPr>
          <w:p w14:paraId="6DA32D57" w14:textId="77777777" w:rsidR="00F102F6" w:rsidRPr="00602FEE" w:rsidRDefault="00F102F6" w:rsidP="002622DC">
            <w:pPr>
              <w:pStyle w:val="tabteksts"/>
              <w:jc w:val="right"/>
              <w:rPr>
                <w:snapToGrid w:val="0"/>
              </w:rPr>
            </w:pPr>
            <w:r w:rsidRPr="00602FEE">
              <w:rPr>
                <w:snapToGrid w:val="0"/>
              </w:rPr>
              <w:t>6,5</w:t>
            </w:r>
          </w:p>
        </w:tc>
        <w:tc>
          <w:tcPr>
            <w:tcW w:w="712" w:type="dxa"/>
            <w:tcBorders>
              <w:top w:val="single" w:sz="4" w:space="0" w:color="auto"/>
              <w:left w:val="nil"/>
              <w:bottom w:val="single" w:sz="4" w:space="0" w:color="auto"/>
              <w:right w:val="single" w:sz="4" w:space="0" w:color="auto"/>
            </w:tcBorders>
          </w:tcPr>
          <w:p w14:paraId="280F626F" w14:textId="77777777" w:rsidR="00F102F6" w:rsidRPr="00602FEE" w:rsidRDefault="00F102F6" w:rsidP="002622DC">
            <w:pPr>
              <w:pStyle w:val="tabteksts"/>
              <w:jc w:val="right"/>
              <w:rPr>
                <w:snapToGrid w:val="0"/>
              </w:rPr>
            </w:pPr>
            <w:r w:rsidRPr="00602FEE">
              <w:rPr>
                <w:snapToGrid w:val="0"/>
              </w:rPr>
              <w:t>6,2</w:t>
            </w:r>
          </w:p>
        </w:tc>
        <w:tc>
          <w:tcPr>
            <w:tcW w:w="713" w:type="dxa"/>
            <w:tcBorders>
              <w:top w:val="single" w:sz="4" w:space="0" w:color="auto"/>
              <w:left w:val="nil"/>
              <w:bottom w:val="single" w:sz="4" w:space="0" w:color="auto"/>
              <w:right w:val="single" w:sz="4" w:space="0" w:color="auto"/>
            </w:tcBorders>
          </w:tcPr>
          <w:p w14:paraId="714011AA" w14:textId="77777777" w:rsidR="00F102F6" w:rsidRPr="00602FEE" w:rsidRDefault="00F102F6" w:rsidP="002622DC">
            <w:pPr>
              <w:pStyle w:val="tabteksts"/>
              <w:jc w:val="right"/>
              <w:rPr>
                <w:snapToGrid w:val="0"/>
              </w:rPr>
            </w:pPr>
            <w:r w:rsidRPr="00602FEE">
              <w:rPr>
                <w:snapToGrid w:val="0"/>
              </w:rPr>
              <w:t>5,6</w:t>
            </w:r>
          </w:p>
        </w:tc>
        <w:tc>
          <w:tcPr>
            <w:tcW w:w="697" w:type="dxa"/>
            <w:tcBorders>
              <w:top w:val="single" w:sz="4" w:space="0" w:color="auto"/>
              <w:left w:val="single" w:sz="4" w:space="0" w:color="auto"/>
              <w:bottom w:val="single" w:sz="4" w:space="0" w:color="auto"/>
              <w:right w:val="double" w:sz="4" w:space="0" w:color="auto"/>
            </w:tcBorders>
          </w:tcPr>
          <w:p w14:paraId="41F2A2B0" w14:textId="77777777" w:rsidR="00F102F6" w:rsidRPr="00602FEE" w:rsidRDefault="00F102F6" w:rsidP="002622DC">
            <w:pPr>
              <w:pStyle w:val="tabteksts"/>
              <w:jc w:val="right"/>
              <w:rPr>
                <w:snapToGrid w:val="0"/>
              </w:rPr>
            </w:pPr>
            <w:r w:rsidRPr="00602FEE">
              <w:rPr>
                <w:snapToGrid w:val="0"/>
              </w:rPr>
              <w:t>5,2</w:t>
            </w:r>
          </w:p>
        </w:tc>
      </w:tr>
      <w:tr w:rsidR="00F102F6" w:rsidRPr="00C704FB" w14:paraId="4D96AFBE"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147F6E00" w14:textId="77777777" w:rsidR="00F102F6" w:rsidRPr="00C704FB" w:rsidRDefault="00F102F6" w:rsidP="00C15091">
            <w:pPr>
              <w:pStyle w:val="tabteksts"/>
              <w:rPr>
                <w:snapToGrid w:val="0"/>
              </w:rPr>
            </w:pPr>
            <w:r w:rsidRPr="00C704FB">
              <w:rPr>
                <w:snapToGrid w:val="0"/>
              </w:rPr>
              <w:t xml:space="preserve">18. Sociālie maksājumi (18=18a+18b) </w:t>
            </w:r>
          </w:p>
        </w:tc>
        <w:tc>
          <w:tcPr>
            <w:tcW w:w="1118" w:type="dxa"/>
            <w:tcBorders>
              <w:top w:val="single" w:sz="4" w:space="0" w:color="auto"/>
              <w:left w:val="single" w:sz="4" w:space="0" w:color="auto"/>
              <w:bottom w:val="single" w:sz="4" w:space="0" w:color="auto"/>
              <w:right w:val="double" w:sz="4" w:space="0" w:color="auto"/>
            </w:tcBorders>
            <w:vAlign w:val="bottom"/>
          </w:tcPr>
          <w:p w14:paraId="77ABA6A0" w14:textId="77777777" w:rsidR="00F102F6" w:rsidRPr="00C704FB" w:rsidRDefault="00F102F6" w:rsidP="00C15091">
            <w:pPr>
              <w:pStyle w:val="tabteksts"/>
            </w:pPr>
          </w:p>
        </w:tc>
        <w:tc>
          <w:tcPr>
            <w:tcW w:w="989" w:type="dxa"/>
            <w:tcBorders>
              <w:top w:val="single" w:sz="4" w:space="0" w:color="auto"/>
              <w:left w:val="double" w:sz="4" w:space="0" w:color="auto"/>
              <w:bottom w:val="single" w:sz="4" w:space="0" w:color="auto"/>
              <w:right w:val="single" w:sz="4" w:space="0" w:color="auto"/>
            </w:tcBorders>
          </w:tcPr>
          <w:p w14:paraId="0F2443E9" w14:textId="77777777" w:rsidR="00F102F6" w:rsidRPr="00AB37BA" w:rsidRDefault="00F102F6" w:rsidP="002622DC">
            <w:pPr>
              <w:pStyle w:val="tabteksts"/>
              <w:jc w:val="right"/>
              <w:rPr>
                <w:snapToGrid w:val="0"/>
              </w:rPr>
            </w:pPr>
            <w:r w:rsidRPr="00AB37BA">
              <w:rPr>
                <w:snapToGrid w:val="0"/>
              </w:rPr>
              <w:t>2 480,8</w:t>
            </w:r>
          </w:p>
        </w:tc>
        <w:tc>
          <w:tcPr>
            <w:tcW w:w="712" w:type="dxa"/>
            <w:tcBorders>
              <w:top w:val="single" w:sz="4" w:space="0" w:color="auto"/>
              <w:left w:val="nil"/>
              <w:bottom w:val="single" w:sz="4" w:space="0" w:color="auto"/>
              <w:right w:val="single" w:sz="4" w:space="0" w:color="auto"/>
            </w:tcBorders>
          </w:tcPr>
          <w:p w14:paraId="7D4DF7D0" w14:textId="77777777" w:rsidR="00F102F6" w:rsidRPr="0049071C" w:rsidRDefault="00F102F6" w:rsidP="002622DC">
            <w:pPr>
              <w:pStyle w:val="tabteksts"/>
              <w:jc w:val="right"/>
              <w:rPr>
                <w:snapToGrid w:val="0"/>
              </w:rPr>
            </w:pPr>
            <w:r w:rsidRPr="0049071C">
              <w:rPr>
                <w:snapToGrid w:val="0"/>
              </w:rPr>
              <w:t>10,6</w:t>
            </w:r>
          </w:p>
        </w:tc>
        <w:tc>
          <w:tcPr>
            <w:tcW w:w="713" w:type="dxa"/>
            <w:tcBorders>
              <w:top w:val="single" w:sz="4" w:space="0" w:color="auto"/>
              <w:left w:val="nil"/>
              <w:bottom w:val="single" w:sz="4" w:space="0" w:color="auto"/>
              <w:right w:val="single" w:sz="4" w:space="0" w:color="auto"/>
            </w:tcBorders>
          </w:tcPr>
          <w:p w14:paraId="3328F347" w14:textId="77777777" w:rsidR="00F102F6" w:rsidRPr="00602FEE" w:rsidRDefault="00F102F6" w:rsidP="002622DC">
            <w:pPr>
              <w:pStyle w:val="tabteksts"/>
              <w:jc w:val="right"/>
              <w:rPr>
                <w:snapToGrid w:val="0"/>
              </w:rPr>
            </w:pPr>
            <w:r w:rsidRPr="00602FEE">
              <w:rPr>
                <w:snapToGrid w:val="0"/>
              </w:rPr>
              <w:t>10,1</w:t>
            </w:r>
          </w:p>
        </w:tc>
        <w:tc>
          <w:tcPr>
            <w:tcW w:w="712" w:type="dxa"/>
            <w:tcBorders>
              <w:top w:val="single" w:sz="4" w:space="0" w:color="auto"/>
              <w:left w:val="nil"/>
              <w:bottom w:val="single" w:sz="4" w:space="0" w:color="auto"/>
              <w:right w:val="single" w:sz="4" w:space="0" w:color="auto"/>
            </w:tcBorders>
          </w:tcPr>
          <w:p w14:paraId="4509C96D" w14:textId="77777777" w:rsidR="00F102F6" w:rsidRPr="00602FEE" w:rsidRDefault="00F102F6" w:rsidP="002622DC">
            <w:pPr>
              <w:pStyle w:val="tabteksts"/>
              <w:jc w:val="right"/>
              <w:rPr>
                <w:snapToGrid w:val="0"/>
              </w:rPr>
            </w:pPr>
            <w:r w:rsidRPr="00602FEE">
              <w:rPr>
                <w:snapToGrid w:val="0"/>
              </w:rPr>
              <w:t>9,9</w:t>
            </w:r>
          </w:p>
        </w:tc>
        <w:tc>
          <w:tcPr>
            <w:tcW w:w="713" w:type="dxa"/>
            <w:tcBorders>
              <w:top w:val="single" w:sz="4" w:space="0" w:color="auto"/>
              <w:left w:val="nil"/>
              <w:bottom w:val="single" w:sz="4" w:space="0" w:color="auto"/>
              <w:right w:val="single" w:sz="4" w:space="0" w:color="auto"/>
            </w:tcBorders>
          </w:tcPr>
          <w:p w14:paraId="23814440" w14:textId="77777777" w:rsidR="00F102F6" w:rsidRPr="00602FEE" w:rsidRDefault="00F102F6" w:rsidP="002622DC">
            <w:pPr>
              <w:pStyle w:val="tabteksts"/>
              <w:jc w:val="right"/>
              <w:rPr>
                <w:snapToGrid w:val="0"/>
              </w:rPr>
            </w:pPr>
            <w:r w:rsidRPr="00602FEE">
              <w:rPr>
                <w:snapToGrid w:val="0"/>
              </w:rPr>
              <w:t>9,4</w:t>
            </w:r>
          </w:p>
        </w:tc>
        <w:tc>
          <w:tcPr>
            <w:tcW w:w="697" w:type="dxa"/>
            <w:tcBorders>
              <w:top w:val="single" w:sz="4" w:space="0" w:color="auto"/>
              <w:left w:val="single" w:sz="4" w:space="0" w:color="auto"/>
              <w:bottom w:val="single" w:sz="4" w:space="0" w:color="auto"/>
              <w:right w:val="double" w:sz="4" w:space="0" w:color="auto"/>
            </w:tcBorders>
          </w:tcPr>
          <w:p w14:paraId="31240313" w14:textId="77777777" w:rsidR="00F102F6" w:rsidRPr="00602FEE" w:rsidRDefault="00F102F6" w:rsidP="002622DC">
            <w:pPr>
              <w:pStyle w:val="tabteksts"/>
              <w:jc w:val="right"/>
              <w:rPr>
                <w:snapToGrid w:val="0"/>
              </w:rPr>
            </w:pPr>
            <w:r w:rsidRPr="00602FEE">
              <w:rPr>
                <w:snapToGrid w:val="0"/>
              </w:rPr>
              <w:t>9,0</w:t>
            </w:r>
          </w:p>
        </w:tc>
      </w:tr>
      <w:tr w:rsidR="00F102F6" w:rsidRPr="00C704FB" w14:paraId="45437D7B"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vAlign w:val="center"/>
          </w:tcPr>
          <w:p w14:paraId="28E0DC93" w14:textId="77777777" w:rsidR="00F102F6" w:rsidRPr="00C704FB" w:rsidRDefault="00F102F6" w:rsidP="00C15091">
            <w:pPr>
              <w:pStyle w:val="tabteksts"/>
              <w:rPr>
                <w:snapToGrid w:val="0"/>
              </w:rPr>
            </w:pPr>
            <w:r w:rsidRPr="00C704FB">
              <w:rPr>
                <w:snapToGrid w:val="0"/>
              </w:rPr>
              <w:t xml:space="preserve">        tai skaitā bezdarbnieku pabalsti</w:t>
            </w:r>
          </w:p>
        </w:tc>
        <w:tc>
          <w:tcPr>
            <w:tcW w:w="1118" w:type="dxa"/>
            <w:tcBorders>
              <w:top w:val="single" w:sz="4" w:space="0" w:color="auto"/>
              <w:left w:val="single" w:sz="4" w:space="0" w:color="auto"/>
              <w:bottom w:val="single" w:sz="4" w:space="0" w:color="auto"/>
              <w:right w:val="double" w:sz="4" w:space="0" w:color="auto"/>
            </w:tcBorders>
            <w:vAlign w:val="center"/>
          </w:tcPr>
          <w:p w14:paraId="557AB0FE" w14:textId="77777777" w:rsidR="00F102F6" w:rsidRPr="00C704FB" w:rsidRDefault="00F102F6" w:rsidP="00C15091">
            <w:pPr>
              <w:pStyle w:val="tabteksts"/>
            </w:pPr>
          </w:p>
        </w:tc>
        <w:tc>
          <w:tcPr>
            <w:tcW w:w="989" w:type="dxa"/>
            <w:tcBorders>
              <w:top w:val="single" w:sz="4" w:space="0" w:color="auto"/>
              <w:left w:val="double" w:sz="4" w:space="0" w:color="auto"/>
              <w:bottom w:val="single" w:sz="4" w:space="0" w:color="auto"/>
              <w:right w:val="single" w:sz="4" w:space="0" w:color="auto"/>
            </w:tcBorders>
          </w:tcPr>
          <w:p w14:paraId="5EE4E5F3" w14:textId="77777777" w:rsidR="00F102F6" w:rsidRPr="00AB37BA" w:rsidRDefault="00F102F6" w:rsidP="002622DC">
            <w:pPr>
              <w:pStyle w:val="tabteksts"/>
              <w:jc w:val="right"/>
              <w:rPr>
                <w:snapToGrid w:val="0"/>
              </w:rPr>
            </w:pPr>
            <w:r w:rsidRPr="00AB37BA">
              <w:rPr>
                <w:snapToGrid w:val="0"/>
              </w:rPr>
              <w:t>74,3</w:t>
            </w:r>
          </w:p>
        </w:tc>
        <w:tc>
          <w:tcPr>
            <w:tcW w:w="712" w:type="dxa"/>
            <w:tcBorders>
              <w:top w:val="single" w:sz="4" w:space="0" w:color="auto"/>
              <w:left w:val="nil"/>
              <w:bottom w:val="single" w:sz="4" w:space="0" w:color="auto"/>
              <w:right w:val="single" w:sz="4" w:space="0" w:color="auto"/>
            </w:tcBorders>
          </w:tcPr>
          <w:p w14:paraId="0E5687C7" w14:textId="77777777" w:rsidR="00F102F6" w:rsidRPr="0049071C" w:rsidRDefault="00F102F6" w:rsidP="002622DC">
            <w:pPr>
              <w:pStyle w:val="tabteksts"/>
              <w:jc w:val="right"/>
              <w:rPr>
                <w:snapToGrid w:val="0"/>
              </w:rPr>
            </w:pPr>
            <w:r w:rsidRPr="0049071C">
              <w:rPr>
                <w:snapToGrid w:val="0"/>
              </w:rPr>
              <w:t>0,3</w:t>
            </w:r>
          </w:p>
        </w:tc>
        <w:tc>
          <w:tcPr>
            <w:tcW w:w="713" w:type="dxa"/>
            <w:tcBorders>
              <w:top w:val="single" w:sz="4" w:space="0" w:color="auto"/>
              <w:left w:val="nil"/>
              <w:bottom w:val="single" w:sz="4" w:space="0" w:color="auto"/>
              <w:right w:val="single" w:sz="4" w:space="0" w:color="auto"/>
            </w:tcBorders>
          </w:tcPr>
          <w:p w14:paraId="28A3915F" w14:textId="77777777" w:rsidR="00F102F6" w:rsidRPr="00602FEE" w:rsidRDefault="00F102F6" w:rsidP="002622DC">
            <w:pPr>
              <w:pStyle w:val="tabteksts"/>
              <w:jc w:val="right"/>
              <w:rPr>
                <w:snapToGrid w:val="0"/>
              </w:rPr>
            </w:pPr>
            <w:r w:rsidRPr="00602FEE">
              <w:rPr>
                <w:snapToGrid w:val="0"/>
              </w:rPr>
              <w:t>0,3</w:t>
            </w:r>
          </w:p>
        </w:tc>
        <w:tc>
          <w:tcPr>
            <w:tcW w:w="712" w:type="dxa"/>
            <w:tcBorders>
              <w:top w:val="single" w:sz="4" w:space="0" w:color="auto"/>
              <w:left w:val="nil"/>
              <w:bottom w:val="single" w:sz="4" w:space="0" w:color="auto"/>
              <w:right w:val="single" w:sz="4" w:space="0" w:color="auto"/>
            </w:tcBorders>
          </w:tcPr>
          <w:p w14:paraId="260CA635" w14:textId="77777777" w:rsidR="00F102F6" w:rsidRPr="00602FEE" w:rsidRDefault="00F102F6" w:rsidP="002622DC">
            <w:pPr>
              <w:pStyle w:val="tabteksts"/>
              <w:jc w:val="right"/>
              <w:rPr>
                <w:snapToGrid w:val="0"/>
              </w:rPr>
            </w:pPr>
            <w:r w:rsidRPr="00602FEE">
              <w:rPr>
                <w:snapToGrid w:val="0"/>
              </w:rPr>
              <w:t>0,3</w:t>
            </w:r>
          </w:p>
        </w:tc>
        <w:tc>
          <w:tcPr>
            <w:tcW w:w="713" w:type="dxa"/>
            <w:tcBorders>
              <w:top w:val="single" w:sz="4" w:space="0" w:color="auto"/>
              <w:left w:val="nil"/>
              <w:bottom w:val="single" w:sz="4" w:space="0" w:color="auto"/>
              <w:right w:val="single" w:sz="4" w:space="0" w:color="auto"/>
            </w:tcBorders>
          </w:tcPr>
          <w:p w14:paraId="4E50F7AD" w14:textId="77777777" w:rsidR="00F102F6" w:rsidRPr="00602FEE" w:rsidRDefault="00F102F6" w:rsidP="002622DC">
            <w:pPr>
              <w:pStyle w:val="tabteksts"/>
              <w:jc w:val="right"/>
              <w:rPr>
                <w:snapToGrid w:val="0"/>
              </w:rPr>
            </w:pPr>
            <w:r w:rsidRPr="00602FEE">
              <w:rPr>
                <w:snapToGrid w:val="0"/>
              </w:rPr>
              <w:t>0,3</w:t>
            </w:r>
          </w:p>
        </w:tc>
        <w:tc>
          <w:tcPr>
            <w:tcW w:w="697" w:type="dxa"/>
            <w:tcBorders>
              <w:top w:val="single" w:sz="4" w:space="0" w:color="auto"/>
              <w:left w:val="single" w:sz="4" w:space="0" w:color="auto"/>
              <w:bottom w:val="single" w:sz="4" w:space="0" w:color="auto"/>
              <w:right w:val="double" w:sz="4" w:space="0" w:color="auto"/>
            </w:tcBorders>
          </w:tcPr>
          <w:p w14:paraId="133A7913" w14:textId="77777777" w:rsidR="00F102F6" w:rsidRPr="00602FEE" w:rsidRDefault="00F102F6" w:rsidP="002622DC">
            <w:pPr>
              <w:pStyle w:val="tabteksts"/>
              <w:jc w:val="right"/>
              <w:rPr>
                <w:snapToGrid w:val="0"/>
              </w:rPr>
            </w:pPr>
            <w:r w:rsidRPr="00602FEE">
              <w:rPr>
                <w:snapToGrid w:val="0"/>
              </w:rPr>
              <w:t>0,3</w:t>
            </w:r>
          </w:p>
        </w:tc>
      </w:tr>
      <w:tr w:rsidR="00F102F6" w:rsidRPr="00C704FB" w14:paraId="554CFF4D"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vAlign w:val="center"/>
          </w:tcPr>
          <w:p w14:paraId="4931BEA3" w14:textId="77777777" w:rsidR="00F102F6" w:rsidRPr="00C704FB" w:rsidRDefault="00F102F6" w:rsidP="00C15091">
            <w:pPr>
              <w:pStyle w:val="tabteksts"/>
              <w:rPr>
                <w:snapToGrid w:val="0"/>
              </w:rPr>
            </w:pPr>
            <w:r w:rsidRPr="00C704FB">
              <w:rPr>
                <w:snapToGrid w:val="0"/>
              </w:rPr>
              <w:t xml:space="preserve">18a. Sociālie pārvedumi piegādāti caur tirgus ražotājiem </w:t>
            </w:r>
          </w:p>
        </w:tc>
        <w:tc>
          <w:tcPr>
            <w:tcW w:w="1118" w:type="dxa"/>
            <w:tcBorders>
              <w:top w:val="single" w:sz="4" w:space="0" w:color="auto"/>
              <w:left w:val="single" w:sz="4" w:space="0" w:color="auto"/>
              <w:bottom w:val="single" w:sz="4" w:space="0" w:color="auto"/>
              <w:right w:val="double" w:sz="4" w:space="0" w:color="auto"/>
            </w:tcBorders>
            <w:vAlign w:val="center"/>
          </w:tcPr>
          <w:p w14:paraId="146B3CB9" w14:textId="77777777" w:rsidR="00F102F6" w:rsidRPr="00C704FB" w:rsidRDefault="00F102F6" w:rsidP="00C15091">
            <w:pPr>
              <w:pStyle w:val="tabteksts"/>
            </w:pPr>
            <w:r w:rsidRPr="00C704FB">
              <w:t>D.6311,</w:t>
            </w:r>
          </w:p>
          <w:p w14:paraId="71053FF3" w14:textId="77777777" w:rsidR="00F102F6" w:rsidRPr="00C704FB" w:rsidRDefault="00F102F6" w:rsidP="00C15091">
            <w:pPr>
              <w:pStyle w:val="tabteksts"/>
            </w:pPr>
            <w:r w:rsidRPr="00C704FB">
              <w:t>D.63121,</w:t>
            </w:r>
          </w:p>
          <w:p w14:paraId="717336B3" w14:textId="77777777" w:rsidR="00F102F6" w:rsidRPr="00C704FB" w:rsidRDefault="00F102F6" w:rsidP="00C15091">
            <w:pPr>
              <w:pStyle w:val="tabteksts"/>
            </w:pPr>
            <w:r w:rsidRPr="00C704FB">
              <w:t xml:space="preserve">D.63131 </w:t>
            </w:r>
          </w:p>
        </w:tc>
        <w:tc>
          <w:tcPr>
            <w:tcW w:w="989" w:type="dxa"/>
            <w:tcBorders>
              <w:top w:val="single" w:sz="4" w:space="0" w:color="auto"/>
              <w:left w:val="double" w:sz="4" w:space="0" w:color="auto"/>
              <w:bottom w:val="single" w:sz="4" w:space="0" w:color="auto"/>
              <w:right w:val="single" w:sz="4" w:space="0" w:color="auto"/>
            </w:tcBorders>
          </w:tcPr>
          <w:p w14:paraId="6C0660BE" w14:textId="77777777" w:rsidR="00F102F6" w:rsidRPr="00AB37BA" w:rsidRDefault="00F102F6" w:rsidP="002622DC">
            <w:pPr>
              <w:pStyle w:val="tabteksts"/>
              <w:jc w:val="right"/>
              <w:rPr>
                <w:snapToGrid w:val="0"/>
              </w:rPr>
            </w:pPr>
            <w:r w:rsidRPr="00AB37BA">
              <w:rPr>
                <w:snapToGrid w:val="0"/>
              </w:rPr>
              <w:t>249,1</w:t>
            </w:r>
          </w:p>
        </w:tc>
        <w:tc>
          <w:tcPr>
            <w:tcW w:w="712" w:type="dxa"/>
            <w:tcBorders>
              <w:top w:val="single" w:sz="4" w:space="0" w:color="auto"/>
              <w:left w:val="nil"/>
              <w:bottom w:val="single" w:sz="4" w:space="0" w:color="auto"/>
              <w:right w:val="single" w:sz="4" w:space="0" w:color="auto"/>
            </w:tcBorders>
          </w:tcPr>
          <w:p w14:paraId="4BBA52A2" w14:textId="77777777" w:rsidR="00F102F6" w:rsidRPr="0049071C" w:rsidRDefault="00F102F6" w:rsidP="002622DC">
            <w:pPr>
              <w:pStyle w:val="tabteksts"/>
              <w:jc w:val="right"/>
              <w:rPr>
                <w:snapToGrid w:val="0"/>
              </w:rPr>
            </w:pPr>
            <w:r w:rsidRPr="0049071C">
              <w:rPr>
                <w:snapToGrid w:val="0"/>
              </w:rPr>
              <w:t>1,1</w:t>
            </w:r>
          </w:p>
        </w:tc>
        <w:tc>
          <w:tcPr>
            <w:tcW w:w="713" w:type="dxa"/>
            <w:tcBorders>
              <w:top w:val="single" w:sz="4" w:space="0" w:color="auto"/>
              <w:left w:val="nil"/>
              <w:bottom w:val="single" w:sz="4" w:space="0" w:color="auto"/>
              <w:right w:val="single" w:sz="4" w:space="0" w:color="auto"/>
            </w:tcBorders>
          </w:tcPr>
          <w:p w14:paraId="4600E333" w14:textId="77777777" w:rsidR="00F102F6" w:rsidRPr="00602FEE" w:rsidRDefault="00F102F6" w:rsidP="002622DC">
            <w:pPr>
              <w:pStyle w:val="tabteksts"/>
              <w:jc w:val="right"/>
              <w:rPr>
                <w:snapToGrid w:val="0"/>
              </w:rPr>
            </w:pPr>
            <w:r w:rsidRPr="00602FEE">
              <w:rPr>
                <w:snapToGrid w:val="0"/>
              </w:rPr>
              <w:t>1,0</w:t>
            </w:r>
          </w:p>
        </w:tc>
        <w:tc>
          <w:tcPr>
            <w:tcW w:w="712" w:type="dxa"/>
            <w:tcBorders>
              <w:top w:val="single" w:sz="4" w:space="0" w:color="auto"/>
              <w:left w:val="nil"/>
              <w:bottom w:val="single" w:sz="4" w:space="0" w:color="auto"/>
              <w:right w:val="single" w:sz="4" w:space="0" w:color="auto"/>
            </w:tcBorders>
          </w:tcPr>
          <w:p w14:paraId="2B18E6E8" w14:textId="77777777" w:rsidR="00F102F6" w:rsidRPr="00602FEE" w:rsidRDefault="00F102F6" w:rsidP="002622DC">
            <w:pPr>
              <w:pStyle w:val="tabteksts"/>
              <w:jc w:val="right"/>
              <w:rPr>
                <w:snapToGrid w:val="0"/>
              </w:rPr>
            </w:pPr>
            <w:r w:rsidRPr="00602FEE">
              <w:rPr>
                <w:snapToGrid w:val="0"/>
              </w:rPr>
              <w:t>1,0</w:t>
            </w:r>
          </w:p>
        </w:tc>
        <w:tc>
          <w:tcPr>
            <w:tcW w:w="713" w:type="dxa"/>
            <w:tcBorders>
              <w:top w:val="single" w:sz="4" w:space="0" w:color="auto"/>
              <w:left w:val="nil"/>
              <w:bottom w:val="single" w:sz="4" w:space="0" w:color="auto"/>
              <w:right w:val="single" w:sz="4" w:space="0" w:color="auto"/>
            </w:tcBorders>
          </w:tcPr>
          <w:p w14:paraId="755F21C7" w14:textId="77777777" w:rsidR="00F102F6" w:rsidRPr="00602FEE" w:rsidRDefault="00F102F6" w:rsidP="002622DC">
            <w:pPr>
              <w:pStyle w:val="tabteksts"/>
              <w:jc w:val="right"/>
              <w:rPr>
                <w:snapToGrid w:val="0"/>
              </w:rPr>
            </w:pPr>
            <w:r w:rsidRPr="00602FEE">
              <w:rPr>
                <w:snapToGrid w:val="0"/>
              </w:rPr>
              <w:t>0,9</w:t>
            </w:r>
          </w:p>
        </w:tc>
        <w:tc>
          <w:tcPr>
            <w:tcW w:w="697" w:type="dxa"/>
            <w:tcBorders>
              <w:top w:val="single" w:sz="4" w:space="0" w:color="auto"/>
              <w:left w:val="single" w:sz="4" w:space="0" w:color="auto"/>
              <w:bottom w:val="single" w:sz="4" w:space="0" w:color="auto"/>
              <w:right w:val="double" w:sz="4" w:space="0" w:color="auto"/>
            </w:tcBorders>
          </w:tcPr>
          <w:p w14:paraId="5D9FC4C7" w14:textId="77777777" w:rsidR="00F102F6" w:rsidRPr="00602FEE" w:rsidRDefault="00F102F6" w:rsidP="002622DC">
            <w:pPr>
              <w:pStyle w:val="tabteksts"/>
              <w:jc w:val="right"/>
              <w:rPr>
                <w:snapToGrid w:val="0"/>
              </w:rPr>
            </w:pPr>
            <w:r w:rsidRPr="00602FEE">
              <w:rPr>
                <w:snapToGrid w:val="0"/>
              </w:rPr>
              <w:t>0,9</w:t>
            </w:r>
          </w:p>
        </w:tc>
      </w:tr>
      <w:tr w:rsidR="00F102F6" w:rsidRPr="00C704FB" w14:paraId="0BDE520E"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vAlign w:val="center"/>
          </w:tcPr>
          <w:p w14:paraId="05EB143A" w14:textId="77777777" w:rsidR="00F102F6" w:rsidRPr="00C704FB" w:rsidRDefault="00F102F6" w:rsidP="00C15091">
            <w:pPr>
              <w:pStyle w:val="tabteksts"/>
              <w:rPr>
                <w:snapToGrid w:val="0"/>
              </w:rPr>
            </w:pPr>
            <w:r w:rsidRPr="00C704FB">
              <w:rPr>
                <w:snapToGrid w:val="0"/>
              </w:rPr>
              <w:t>18b. Sociālie pārvedumi, kas nav sociālie pārvedumi natūrā</w:t>
            </w:r>
          </w:p>
        </w:tc>
        <w:tc>
          <w:tcPr>
            <w:tcW w:w="1118" w:type="dxa"/>
            <w:tcBorders>
              <w:top w:val="single" w:sz="4" w:space="0" w:color="auto"/>
              <w:left w:val="single" w:sz="4" w:space="0" w:color="auto"/>
              <w:bottom w:val="single" w:sz="4" w:space="0" w:color="auto"/>
              <w:right w:val="double" w:sz="4" w:space="0" w:color="auto"/>
            </w:tcBorders>
            <w:vAlign w:val="center"/>
          </w:tcPr>
          <w:p w14:paraId="2673B416" w14:textId="77777777" w:rsidR="00F102F6" w:rsidRPr="00C704FB" w:rsidRDefault="00F102F6" w:rsidP="00C15091">
            <w:pPr>
              <w:pStyle w:val="tabteksts"/>
            </w:pPr>
            <w:r w:rsidRPr="00C704FB">
              <w:t xml:space="preserve">D.62 </w:t>
            </w:r>
          </w:p>
        </w:tc>
        <w:tc>
          <w:tcPr>
            <w:tcW w:w="989" w:type="dxa"/>
            <w:tcBorders>
              <w:top w:val="single" w:sz="4" w:space="0" w:color="auto"/>
              <w:left w:val="double" w:sz="4" w:space="0" w:color="auto"/>
              <w:bottom w:val="single" w:sz="4" w:space="0" w:color="auto"/>
              <w:right w:val="single" w:sz="4" w:space="0" w:color="auto"/>
            </w:tcBorders>
          </w:tcPr>
          <w:p w14:paraId="3FD0809E" w14:textId="77777777" w:rsidR="00F102F6" w:rsidRPr="00AB37BA" w:rsidRDefault="00F102F6" w:rsidP="002622DC">
            <w:pPr>
              <w:pStyle w:val="tabteksts"/>
              <w:jc w:val="right"/>
              <w:rPr>
                <w:snapToGrid w:val="0"/>
              </w:rPr>
            </w:pPr>
            <w:r w:rsidRPr="00AB37BA">
              <w:rPr>
                <w:snapToGrid w:val="0"/>
              </w:rPr>
              <w:t>2 231,6</w:t>
            </w:r>
          </w:p>
        </w:tc>
        <w:tc>
          <w:tcPr>
            <w:tcW w:w="712" w:type="dxa"/>
            <w:tcBorders>
              <w:top w:val="single" w:sz="4" w:space="0" w:color="auto"/>
              <w:left w:val="nil"/>
              <w:bottom w:val="single" w:sz="4" w:space="0" w:color="auto"/>
              <w:right w:val="single" w:sz="4" w:space="0" w:color="auto"/>
            </w:tcBorders>
          </w:tcPr>
          <w:p w14:paraId="3CE2F1F5" w14:textId="77777777" w:rsidR="00F102F6" w:rsidRPr="0049071C" w:rsidRDefault="00F102F6" w:rsidP="002622DC">
            <w:pPr>
              <w:pStyle w:val="tabteksts"/>
              <w:jc w:val="right"/>
              <w:rPr>
                <w:snapToGrid w:val="0"/>
              </w:rPr>
            </w:pPr>
            <w:r w:rsidRPr="0049071C">
              <w:rPr>
                <w:snapToGrid w:val="0"/>
              </w:rPr>
              <w:t>9,6</w:t>
            </w:r>
          </w:p>
        </w:tc>
        <w:tc>
          <w:tcPr>
            <w:tcW w:w="713" w:type="dxa"/>
            <w:tcBorders>
              <w:top w:val="single" w:sz="4" w:space="0" w:color="auto"/>
              <w:left w:val="nil"/>
              <w:bottom w:val="single" w:sz="4" w:space="0" w:color="auto"/>
              <w:right w:val="single" w:sz="4" w:space="0" w:color="auto"/>
            </w:tcBorders>
          </w:tcPr>
          <w:p w14:paraId="6969258F" w14:textId="77777777" w:rsidR="00F102F6" w:rsidRPr="00602FEE" w:rsidRDefault="00F102F6" w:rsidP="002622DC">
            <w:pPr>
              <w:pStyle w:val="tabteksts"/>
              <w:jc w:val="right"/>
              <w:rPr>
                <w:snapToGrid w:val="0"/>
              </w:rPr>
            </w:pPr>
            <w:r w:rsidRPr="00602FEE">
              <w:rPr>
                <w:snapToGrid w:val="0"/>
              </w:rPr>
              <w:t>9,1</w:t>
            </w:r>
          </w:p>
        </w:tc>
        <w:tc>
          <w:tcPr>
            <w:tcW w:w="712" w:type="dxa"/>
            <w:tcBorders>
              <w:top w:val="single" w:sz="4" w:space="0" w:color="auto"/>
              <w:left w:val="nil"/>
              <w:bottom w:val="single" w:sz="4" w:space="0" w:color="auto"/>
              <w:right w:val="single" w:sz="4" w:space="0" w:color="auto"/>
            </w:tcBorders>
          </w:tcPr>
          <w:p w14:paraId="01D2CBD3" w14:textId="77777777" w:rsidR="00F102F6" w:rsidRPr="00602FEE" w:rsidRDefault="00F102F6" w:rsidP="002622DC">
            <w:pPr>
              <w:pStyle w:val="tabteksts"/>
              <w:jc w:val="right"/>
              <w:rPr>
                <w:snapToGrid w:val="0"/>
              </w:rPr>
            </w:pPr>
            <w:r w:rsidRPr="00602FEE">
              <w:rPr>
                <w:snapToGrid w:val="0"/>
              </w:rPr>
              <w:t>8,9</w:t>
            </w:r>
          </w:p>
        </w:tc>
        <w:tc>
          <w:tcPr>
            <w:tcW w:w="713" w:type="dxa"/>
            <w:tcBorders>
              <w:top w:val="single" w:sz="4" w:space="0" w:color="auto"/>
              <w:left w:val="nil"/>
              <w:bottom w:val="single" w:sz="4" w:space="0" w:color="auto"/>
              <w:right w:val="single" w:sz="4" w:space="0" w:color="auto"/>
            </w:tcBorders>
          </w:tcPr>
          <w:p w14:paraId="0EE20E36" w14:textId="77777777" w:rsidR="00F102F6" w:rsidRPr="00602FEE" w:rsidRDefault="00F102F6" w:rsidP="002622DC">
            <w:pPr>
              <w:pStyle w:val="tabteksts"/>
              <w:jc w:val="right"/>
              <w:rPr>
                <w:snapToGrid w:val="0"/>
              </w:rPr>
            </w:pPr>
            <w:r w:rsidRPr="00602FEE">
              <w:rPr>
                <w:snapToGrid w:val="0"/>
              </w:rPr>
              <w:t>8,5</w:t>
            </w:r>
          </w:p>
        </w:tc>
        <w:tc>
          <w:tcPr>
            <w:tcW w:w="697" w:type="dxa"/>
            <w:tcBorders>
              <w:top w:val="single" w:sz="4" w:space="0" w:color="auto"/>
              <w:left w:val="single" w:sz="4" w:space="0" w:color="auto"/>
              <w:bottom w:val="single" w:sz="4" w:space="0" w:color="auto"/>
              <w:right w:val="double" w:sz="4" w:space="0" w:color="auto"/>
            </w:tcBorders>
          </w:tcPr>
          <w:p w14:paraId="1147D5B6" w14:textId="77777777" w:rsidR="00F102F6" w:rsidRPr="00602FEE" w:rsidRDefault="00F102F6" w:rsidP="002622DC">
            <w:pPr>
              <w:pStyle w:val="tabteksts"/>
              <w:jc w:val="right"/>
              <w:rPr>
                <w:snapToGrid w:val="0"/>
              </w:rPr>
            </w:pPr>
            <w:r w:rsidRPr="00602FEE">
              <w:rPr>
                <w:snapToGrid w:val="0"/>
              </w:rPr>
              <w:t>8,1</w:t>
            </w:r>
          </w:p>
        </w:tc>
      </w:tr>
      <w:tr w:rsidR="00F102F6" w:rsidRPr="00C704FB" w14:paraId="32EE4F11"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vAlign w:val="center"/>
          </w:tcPr>
          <w:p w14:paraId="6AFE99A2" w14:textId="77777777" w:rsidR="00F102F6" w:rsidRPr="00C704FB" w:rsidRDefault="00F102F6" w:rsidP="00C15091">
            <w:pPr>
              <w:pStyle w:val="tabteksts"/>
              <w:rPr>
                <w:snapToGrid w:val="0"/>
              </w:rPr>
            </w:pPr>
            <w:r w:rsidRPr="00C704FB">
              <w:rPr>
                <w:snapToGrid w:val="0"/>
              </w:rPr>
              <w:t xml:space="preserve">19.=9. Procentu izdevumi </w:t>
            </w:r>
          </w:p>
        </w:tc>
        <w:tc>
          <w:tcPr>
            <w:tcW w:w="1118" w:type="dxa"/>
            <w:tcBorders>
              <w:top w:val="single" w:sz="4" w:space="0" w:color="auto"/>
              <w:left w:val="single" w:sz="4" w:space="0" w:color="auto"/>
              <w:bottom w:val="single" w:sz="4" w:space="0" w:color="auto"/>
              <w:right w:val="double" w:sz="4" w:space="0" w:color="auto"/>
            </w:tcBorders>
            <w:vAlign w:val="center"/>
          </w:tcPr>
          <w:p w14:paraId="4458BEAF" w14:textId="77777777" w:rsidR="00F102F6" w:rsidRPr="00C704FB" w:rsidRDefault="00F102F6" w:rsidP="00C15091">
            <w:pPr>
              <w:pStyle w:val="tabteksts"/>
              <w:rPr>
                <w:snapToGrid w:val="0"/>
              </w:rPr>
            </w:pPr>
            <w:r w:rsidRPr="00C704FB">
              <w:rPr>
                <w:snapToGrid w:val="0"/>
              </w:rPr>
              <w:t xml:space="preserve">EDP D.41 </w:t>
            </w:r>
          </w:p>
        </w:tc>
        <w:tc>
          <w:tcPr>
            <w:tcW w:w="989" w:type="dxa"/>
            <w:tcBorders>
              <w:top w:val="single" w:sz="4" w:space="0" w:color="auto"/>
              <w:left w:val="double" w:sz="4" w:space="0" w:color="auto"/>
              <w:bottom w:val="single" w:sz="4" w:space="0" w:color="auto"/>
              <w:right w:val="single" w:sz="4" w:space="0" w:color="auto"/>
            </w:tcBorders>
          </w:tcPr>
          <w:p w14:paraId="1B980988" w14:textId="77777777" w:rsidR="00F102F6" w:rsidRPr="00AB37BA" w:rsidRDefault="00F102F6" w:rsidP="002622DC">
            <w:pPr>
              <w:pStyle w:val="tabteksts"/>
              <w:jc w:val="right"/>
              <w:rPr>
                <w:snapToGrid w:val="0"/>
              </w:rPr>
            </w:pPr>
            <w:r w:rsidRPr="00AB37BA">
              <w:rPr>
                <w:snapToGrid w:val="0"/>
              </w:rPr>
              <w:t>388,2</w:t>
            </w:r>
          </w:p>
        </w:tc>
        <w:tc>
          <w:tcPr>
            <w:tcW w:w="712" w:type="dxa"/>
            <w:tcBorders>
              <w:top w:val="single" w:sz="4" w:space="0" w:color="auto"/>
              <w:left w:val="nil"/>
              <w:bottom w:val="single" w:sz="4" w:space="0" w:color="auto"/>
              <w:right w:val="single" w:sz="4" w:space="0" w:color="auto"/>
            </w:tcBorders>
          </w:tcPr>
          <w:p w14:paraId="32B26499" w14:textId="77777777" w:rsidR="00F102F6" w:rsidRPr="0049071C" w:rsidRDefault="00F102F6" w:rsidP="002622DC">
            <w:pPr>
              <w:pStyle w:val="tabteksts"/>
              <w:jc w:val="right"/>
              <w:rPr>
                <w:snapToGrid w:val="0"/>
              </w:rPr>
            </w:pPr>
            <w:r w:rsidRPr="0049071C">
              <w:rPr>
                <w:snapToGrid w:val="0"/>
              </w:rPr>
              <w:t>1,7</w:t>
            </w:r>
          </w:p>
        </w:tc>
        <w:tc>
          <w:tcPr>
            <w:tcW w:w="713" w:type="dxa"/>
            <w:tcBorders>
              <w:top w:val="single" w:sz="4" w:space="0" w:color="auto"/>
              <w:left w:val="nil"/>
              <w:bottom w:val="single" w:sz="4" w:space="0" w:color="auto"/>
              <w:right w:val="single" w:sz="4" w:space="0" w:color="auto"/>
            </w:tcBorders>
          </w:tcPr>
          <w:p w14:paraId="00CA1249" w14:textId="77777777" w:rsidR="00F102F6" w:rsidRPr="00602FEE" w:rsidRDefault="00F102F6" w:rsidP="002622DC">
            <w:pPr>
              <w:pStyle w:val="tabteksts"/>
              <w:jc w:val="right"/>
              <w:rPr>
                <w:snapToGrid w:val="0"/>
              </w:rPr>
            </w:pPr>
            <w:r w:rsidRPr="00602FEE">
              <w:rPr>
                <w:snapToGrid w:val="0"/>
              </w:rPr>
              <w:t>1,6</w:t>
            </w:r>
          </w:p>
        </w:tc>
        <w:tc>
          <w:tcPr>
            <w:tcW w:w="712" w:type="dxa"/>
            <w:tcBorders>
              <w:top w:val="single" w:sz="4" w:space="0" w:color="auto"/>
              <w:left w:val="nil"/>
              <w:bottom w:val="single" w:sz="4" w:space="0" w:color="auto"/>
              <w:right w:val="single" w:sz="4" w:space="0" w:color="auto"/>
            </w:tcBorders>
          </w:tcPr>
          <w:p w14:paraId="632C1FAF" w14:textId="77777777" w:rsidR="00F102F6" w:rsidRPr="00602FEE" w:rsidRDefault="00F102F6" w:rsidP="002622DC">
            <w:pPr>
              <w:pStyle w:val="tabteksts"/>
              <w:jc w:val="right"/>
              <w:rPr>
                <w:snapToGrid w:val="0"/>
              </w:rPr>
            </w:pPr>
            <w:r w:rsidRPr="00602FEE">
              <w:rPr>
                <w:snapToGrid w:val="0"/>
              </w:rPr>
              <w:t>1,2</w:t>
            </w:r>
          </w:p>
        </w:tc>
        <w:tc>
          <w:tcPr>
            <w:tcW w:w="713" w:type="dxa"/>
            <w:tcBorders>
              <w:top w:val="single" w:sz="4" w:space="0" w:color="auto"/>
              <w:left w:val="nil"/>
              <w:bottom w:val="single" w:sz="4" w:space="0" w:color="auto"/>
              <w:right w:val="single" w:sz="4" w:space="0" w:color="auto"/>
            </w:tcBorders>
          </w:tcPr>
          <w:p w14:paraId="2EC85A03" w14:textId="77777777" w:rsidR="00F102F6" w:rsidRPr="00602FEE" w:rsidRDefault="00F102F6" w:rsidP="002622DC">
            <w:pPr>
              <w:pStyle w:val="tabteksts"/>
              <w:jc w:val="right"/>
              <w:rPr>
                <w:snapToGrid w:val="0"/>
              </w:rPr>
            </w:pPr>
            <w:r w:rsidRPr="00602FEE">
              <w:rPr>
                <w:snapToGrid w:val="0"/>
              </w:rPr>
              <w:t>1,2</w:t>
            </w:r>
          </w:p>
        </w:tc>
        <w:tc>
          <w:tcPr>
            <w:tcW w:w="697" w:type="dxa"/>
            <w:tcBorders>
              <w:top w:val="single" w:sz="4" w:space="0" w:color="auto"/>
              <w:left w:val="single" w:sz="4" w:space="0" w:color="auto"/>
              <w:bottom w:val="single" w:sz="4" w:space="0" w:color="auto"/>
              <w:right w:val="double" w:sz="4" w:space="0" w:color="auto"/>
            </w:tcBorders>
          </w:tcPr>
          <w:p w14:paraId="5731F76F" w14:textId="77777777" w:rsidR="00F102F6" w:rsidRPr="00602FEE" w:rsidRDefault="00F102F6" w:rsidP="002622DC">
            <w:pPr>
              <w:pStyle w:val="tabteksts"/>
              <w:jc w:val="right"/>
              <w:rPr>
                <w:snapToGrid w:val="0"/>
              </w:rPr>
            </w:pPr>
            <w:r w:rsidRPr="00602FEE">
              <w:rPr>
                <w:snapToGrid w:val="0"/>
              </w:rPr>
              <w:t>1,1</w:t>
            </w:r>
          </w:p>
        </w:tc>
      </w:tr>
      <w:tr w:rsidR="00F102F6" w:rsidRPr="00C704FB" w14:paraId="51A3AE94"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7B5C0EAC" w14:textId="77777777" w:rsidR="00F102F6" w:rsidRPr="00C704FB" w:rsidRDefault="00F102F6" w:rsidP="00C15091">
            <w:pPr>
              <w:pStyle w:val="tabteksts"/>
              <w:rPr>
                <w:snapToGrid w:val="0"/>
              </w:rPr>
            </w:pPr>
            <w:r w:rsidRPr="00C704FB">
              <w:rPr>
                <w:snapToGrid w:val="0"/>
              </w:rPr>
              <w:t>20. Subsīdijas</w:t>
            </w:r>
          </w:p>
        </w:tc>
        <w:tc>
          <w:tcPr>
            <w:tcW w:w="1118" w:type="dxa"/>
            <w:tcBorders>
              <w:top w:val="single" w:sz="4" w:space="0" w:color="auto"/>
              <w:left w:val="single" w:sz="4" w:space="0" w:color="auto"/>
              <w:bottom w:val="single" w:sz="4" w:space="0" w:color="auto"/>
              <w:right w:val="double" w:sz="4" w:space="0" w:color="auto"/>
            </w:tcBorders>
            <w:vAlign w:val="bottom"/>
          </w:tcPr>
          <w:p w14:paraId="15ABD1FA" w14:textId="77777777" w:rsidR="00F102F6" w:rsidRPr="00C704FB" w:rsidRDefault="00F102F6" w:rsidP="00C15091">
            <w:pPr>
              <w:pStyle w:val="tabteksts"/>
            </w:pPr>
            <w:r w:rsidRPr="00C704FB">
              <w:t>D.3</w:t>
            </w:r>
          </w:p>
        </w:tc>
        <w:tc>
          <w:tcPr>
            <w:tcW w:w="989" w:type="dxa"/>
            <w:tcBorders>
              <w:top w:val="single" w:sz="4" w:space="0" w:color="auto"/>
              <w:left w:val="double" w:sz="4" w:space="0" w:color="auto"/>
              <w:bottom w:val="single" w:sz="4" w:space="0" w:color="auto"/>
              <w:right w:val="single" w:sz="4" w:space="0" w:color="auto"/>
            </w:tcBorders>
          </w:tcPr>
          <w:p w14:paraId="7BA3101A" w14:textId="77777777" w:rsidR="00F102F6" w:rsidRPr="00AB37BA" w:rsidRDefault="00F102F6" w:rsidP="002622DC">
            <w:pPr>
              <w:pStyle w:val="tabteksts"/>
              <w:jc w:val="right"/>
              <w:rPr>
                <w:snapToGrid w:val="0"/>
              </w:rPr>
            </w:pPr>
            <w:r w:rsidRPr="00AB37BA">
              <w:rPr>
                <w:snapToGrid w:val="0"/>
              </w:rPr>
              <w:t>144,3</w:t>
            </w:r>
          </w:p>
        </w:tc>
        <w:tc>
          <w:tcPr>
            <w:tcW w:w="712" w:type="dxa"/>
            <w:tcBorders>
              <w:top w:val="single" w:sz="4" w:space="0" w:color="auto"/>
              <w:left w:val="nil"/>
              <w:bottom w:val="single" w:sz="4" w:space="0" w:color="auto"/>
              <w:right w:val="single" w:sz="4" w:space="0" w:color="auto"/>
            </w:tcBorders>
          </w:tcPr>
          <w:p w14:paraId="39AD9CB2" w14:textId="77777777" w:rsidR="00F102F6" w:rsidRPr="0049071C" w:rsidRDefault="00F102F6" w:rsidP="002622DC">
            <w:pPr>
              <w:pStyle w:val="tabteksts"/>
              <w:jc w:val="right"/>
              <w:rPr>
                <w:snapToGrid w:val="0"/>
              </w:rPr>
            </w:pPr>
            <w:r w:rsidRPr="0049071C">
              <w:rPr>
                <w:snapToGrid w:val="0"/>
              </w:rPr>
              <w:t>0,6</w:t>
            </w:r>
          </w:p>
        </w:tc>
        <w:tc>
          <w:tcPr>
            <w:tcW w:w="713" w:type="dxa"/>
            <w:tcBorders>
              <w:top w:val="single" w:sz="4" w:space="0" w:color="auto"/>
              <w:left w:val="nil"/>
              <w:bottom w:val="single" w:sz="4" w:space="0" w:color="auto"/>
              <w:right w:val="single" w:sz="4" w:space="0" w:color="auto"/>
            </w:tcBorders>
          </w:tcPr>
          <w:p w14:paraId="54613E31" w14:textId="77777777" w:rsidR="00F102F6" w:rsidRPr="00602FEE" w:rsidRDefault="00F102F6" w:rsidP="002622DC">
            <w:pPr>
              <w:pStyle w:val="tabteksts"/>
              <w:jc w:val="right"/>
              <w:rPr>
                <w:snapToGrid w:val="0"/>
              </w:rPr>
            </w:pPr>
            <w:r w:rsidRPr="00602FEE">
              <w:rPr>
                <w:snapToGrid w:val="0"/>
              </w:rPr>
              <w:t>0,6</w:t>
            </w:r>
          </w:p>
        </w:tc>
        <w:tc>
          <w:tcPr>
            <w:tcW w:w="712" w:type="dxa"/>
            <w:tcBorders>
              <w:top w:val="single" w:sz="4" w:space="0" w:color="auto"/>
              <w:left w:val="nil"/>
              <w:bottom w:val="single" w:sz="4" w:space="0" w:color="auto"/>
              <w:right w:val="single" w:sz="4" w:space="0" w:color="auto"/>
            </w:tcBorders>
          </w:tcPr>
          <w:p w14:paraId="319BBC5D" w14:textId="77777777" w:rsidR="00F102F6" w:rsidRPr="00602FEE" w:rsidRDefault="00F102F6" w:rsidP="002622DC">
            <w:pPr>
              <w:pStyle w:val="tabteksts"/>
              <w:jc w:val="right"/>
              <w:rPr>
                <w:snapToGrid w:val="0"/>
              </w:rPr>
            </w:pPr>
            <w:r w:rsidRPr="00602FEE">
              <w:rPr>
                <w:snapToGrid w:val="0"/>
              </w:rPr>
              <w:t>0,6</w:t>
            </w:r>
          </w:p>
        </w:tc>
        <w:tc>
          <w:tcPr>
            <w:tcW w:w="713" w:type="dxa"/>
            <w:tcBorders>
              <w:top w:val="single" w:sz="4" w:space="0" w:color="auto"/>
              <w:left w:val="nil"/>
              <w:bottom w:val="single" w:sz="4" w:space="0" w:color="auto"/>
              <w:right w:val="single" w:sz="4" w:space="0" w:color="auto"/>
            </w:tcBorders>
          </w:tcPr>
          <w:p w14:paraId="3E95F81A" w14:textId="77777777" w:rsidR="00F102F6" w:rsidRPr="00602FEE" w:rsidRDefault="00F102F6" w:rsidP="002622DC">
            <w:pPr>
              <w:pStyle w:val="tabteksts"/>
              <w:jc w:val="right"/>
              <w:rPr>
                <w:snapToGrid w:val="0"/>
              </w:rPr>
            </w:pPr>
            <w:r w:rsidRPr="00602FEE">
              <w:rPr>
                <w:snapToGrid w:val="0"/>
              </w:rPr>
              <w:t>0,6</w:t>
            </w:r>
          </w:p>
        </w:tc>
        <w:tc>
          <w:tcPr>
            <w:tcW w:w="697" w:type="dxa"/>
            <w:tcBorders>
              <w:top w:val="single" w:sz="4" w:space="0" w:color="auto"/>
              <w:left w:val="single" w:sz="4" w:space="0" w:color="auto"/>
              <w:bottom w:val="single" w:sz="4" w:space="0" w:color="auto"/>
              <w:right w:val="double" w:sz="4" w:space="0" w:color="auto"/>
            </w:tcBorders>
          </w:tcPr>
          <w:p w14:paraId="1A5BDFC1" w14:textId="77777777" w:rsidR="00F102F6" w:rsidRPr="00602FEE" w:rsidRDefault="00F102F6" w:rsidP="002622DC">
            <w:pPr>
              <w:pStyle w:val="tabteksts"/>
              <w:jc w:val="right"/>
              <w:rPr>
                <w:snapToGrid w:val="0"/>
              </w:rPr>
            </w:pPr>
            <w:r w:rsidRPr="00602FEE">
              <w:rPr>
                <w:snapToGrid w:val="0"/>
              </w:rPr>
              <w:t>0,7</w:t>
            </w:r>
          </w:p>
        </w:tc>
      </w:tr>
      <w:tr w:rsidR="00F102F6" w:rsidRPr="00C704FB" w14:paraId="304C03D8"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0F6D37D7" w14:textId="77777777" w:rsidR="00F102F6" w:rsidRPr="00C704FB" w:rsidRDefault="00F102F6" w:rsidP="00C15091">
            <w:pPr>
              <w:pStyle w:val="tabteksts"/>
              <w:rPr>
                <w:snapToGrid w:val="0"/>
              </w:rPr>
            </w:pPr>
            <w:r w:rsidRPr="00C704FB">
              <w:rPr>
                <w:snapToGrid w:val="0"/>
              </w:rPr>
              <w:t>21. Bruto kopējā pamatkapitāla veidošana</w:t>
            </w:r>
          </w:p>
        </w:tc>
        <w:tc>
          <w:tcPr>
            <w:tcW w:w="1118" w:type="dxa"/>
            <w:tcBorders>
              <w:top w:val="single" w:sz="4" w:space="0" w:color="auto"/>
              <w:left w:val="single" w:sz="4" w:space="0" w:color="auto"/>
              <w:bottom w:val="single" w:sz="4" w:space="0" w:color="auto"/>
              <w:right w:val="double" w:sz="4" w:space="0" w:color="auto"/>
            </w:tcBorders>
            <w:vAlign w:val="bottom"/>
          </w:tcPr>
          <w:p w14:paraId="6C03DEF0" w14:textId="77777777" w:rsidR="00F102F6" w:rsidRPr="00C704FB" w:rsidRDefault="00F102F6" w:rsidP="00C15091">
            <w:pPr>
              <w:pStyle w:val="tabteksts"/>
            </w:pPr>
            <w:r w:rsidRPr="00C704FB">
              <w:t>P.51</w:t>
            </w:r>
          </w:p>
        </w:tc>
        <w:tc>
          <w:tcPr>
            <w:tcW w:w="989" w:type="dxa"/>
            <w:tcBorders>
              <w:top w:val="single" w:sz="4" w:space="0" w:color="auto"/>
              <w:left w:val="double" w:sz="4" w:space="0" w:color="auto"/>
              <w:bottom w:val="single" w:sz="4" w:space="0" w:color="auto"/>
              <w:right w:val="single" w:sz="4" w:space="0" w:color="auto"/>
            </w:tcBorders>
          </w:tcPr>
          <w:p w14:paraId="6B8C80FD" w14:textId="77777777" w:rsidR="00F102F6" w:rsidRPr="00AB37BA" w:rsidRDefault="00F102F6" w:rsidP="002622DC">
            <w:pPr>
              <w:pStyle w:val="tabteksts"/>
              <w:jc w:val="right"/>
              <w:rPr>
                <w:snapToGrid w:val="0"/>
              </w:rPr>
            </w:pPr>
            <w:r w:rsidRPr="00AB37BA">
              <w:rPr>
                <w:snapToGrid w:val="0"/>
              </w:rPr>
              <w:t>912,1</w:t>
            </w:r>
          </w:p>
        </w:tc>
        <w:tc>
          <w:tcPr>
            <w:tcW w:w="712" w:type="dxa"/>
            <w:tcBorders>
              <w:top w:val="single" w:sz="4" w:space="0" w:color="auto"/>
              <w:left w:val="nil"/>
              <w:bottom w:val="single" w:sz="4" w:space="0" w:color="auto"/>
              <w:right w:val="single" w:sz="4" w:space="0" w:color="auto"/>
            </w:tcBorders>
          </w:tcPr>
          <w:p w14:paraId="083D6805" w14:textId="77777777" w:rsidR="00F102F6" w:rsidRPr="0049071C" w:rsidRDefault="00F102F6" w:rsidP="002622DC">
            <w:pPr>
              <w:pStyle w:val="tabteksts"/>
              <w:jc w:val="right"/>
              <w:rPr>
                <w:snapToGrid w:val="0"/>
              </w:rPr>
            </w:pPr>
            <w:r w:rsidRPr="0049071C">
              <w:rPr>
                <w:snapToGrid w:val="0"/>
              </w:rPr>
              <w:t>3,9</w:t>
            </w:r>
          </w:p>
        </w:tc>
        <w:tc>
          <w:tcPr>
            <w:tcW w:w="713" w:type="dxa"/>
            <w:tcBorders>
              <w:top w:val="single" w:sz="4" w:space="0" w:color="auto"/>
              <w:left w:val="nil"/>
              <w:bottom w:val="single" w:sz="4" w:space="0" w:color="auto"/>
              <w:right w:val="single" w:sz="4" w:space="0" w:color="auto"/>
            </w:tcBorders>
          </w:tcPr>
          <w:p w14:paraId="36CC2FE7" w14:textId="77777777" w:rsidR="00F102F6" w:rsidRPr="00602FEE" w:rsidRDefault="00F102F6" w:rsidP="002622DC">
            <w:pPr>
              <w:pStyle w:val="tabteksts"/>
              <w:jc w:val="right"/>
              <w:rPr>
                <w:snapToGrid w:val="0"/>
              </w:rPr>
            </w:pPr>
            <w:r w:rsidRPr="00602FEE">
              <w:rPr>
                <w:snapToGrid w:val="0"/>
              </w:rPr>
              <w:t>3,6</w:t>
            </w:r>
          </w:p>
        </w:tc>
        <w:tc>
          <w:tcPr>
            <w:tcW w:w="712" w:type="dxa"/>
            <w:tcBorders>
              <w:top w:val="single" w:sz="4" w:space="0" w:color="auto"/>
              <w:left w:val="nil"/>
              <w:bottom w:val="single" w:sz="4" w:space="0" w:color="auto"/>
              <w:right w:val="single" w:sz="4" w:space="0" w:color="auto"/>
            </w:tcBorders>
          </w:tcPr>
          <w:p w14:paraId="52569193" w14:textId="77777777" w:rsidR="00F102F6" w:rsidRPr="00602FEE" w:rsidRDefault="00F102F6" w:rsidP="002622DC">
            <w:pPr>
              <w:pStyle w:val="tabteksts"/>
              <w:jc w:val="right"/>
              <w:rPr>
                <w:snapToGrid w:val="0"/>
              </w:rPr>
            </w:pPr>
            <w:r w:rsidRPr="00602FEE">
              <w:rPr>
                <w:snapToGrid w:val="0"/>
              </w:rPr>
              <w:t>3,2</w:t>
            </w:r>
          </w:p>
        </w:tc>
        <w:tc>
          <w:tcPr>
            <w:tcW w:w="713" w:type="dxa"/>
            <w:tcBorders>
              <w:top w:val="single" w:sz="4" w:space="0" w:color="auto"/>
              <w:left w:val="nil"/>
              <w:bottom w:val="single" w:sz="4" w:space="0" w:color="auto"/>
              <w:right w:val="single" w:sz="4" w:space="0" w:color="auto"/>
            </w:tcBorders>
          </w:tcPr>
          <w:p w14:paraId="5E1B9A61" w14:textId="77777777" w:rsidR="00F102F6" w:rsidRPr="00602FEE" w:rsidRDefault="00F102F6" w:rsidP="002622DC">
            <w:pPr>
              <w:pStyle w:val="tabteksts"/>
              <w:jc w:val="right"/>
              <w:rPr>
                <w:snapToGrid w:val="0"/>
              </w:rPr>
            </w:pPr>
            <w:r w:rsidRPr="00602FEE">
              <w:rPr>
                <w:snapToGrid w:val="0"/>
              </w:rPr>
              <w:t>2,7</w:t>
            </w:r>
          </w:p>
        </w:tc>
        <w:tc>
          <w:tcPr>
            <w:tcW w:w="697" w:type="dxa"/>
            <w:tcBorders>
              <w:top w:val="single" w:sz="4" w:space="0" w:color="auto"/>
              <w:left w:val="single" w:sz="4" w:space="0" w:color="auto"/>
              <w:bottom w:val="single" w:sz="4" w:space="0" w:color="auto"/>
              <w:right w:val="double" w:sz="4" w:space="0" w:color="auto"/>
            </w:tcBorders>
          </w:tcPr>
          <w:p w14:paraId="63FE5D3E" w14:textId="77777777" w:rsidR="00F102F6" w:rsidRPr="00602FEE" w:rsidRDefault="00F102F6" w:rsidP="002622DC">
            <w:pPr>
              <w:pStyle w:val="tabteksts"/>
              <w:jc w:val="right"/>
              <w:rPr>
                <w:snapToGrid w:val="0"/>
              </w:rPr>
            </w:pPr>
            <w:r w:rsidRPr="00602FEE">
              <w:rPr>
                <w:snapToGrid w:val="0"/>
              </w:rPr>
              <w:t>2,5</w:t>
            </w:r>
          </w:p>
        </w:tc>
      </w:tr>
      <w:tr w:rsidR="00F102F6" w:rsidRPr="00C704FB" w14:paraId="18DB3C58"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6F3C33A8" w14:textId="77777777" w:rsidR="00F102F6" w:rsidRPr="00C704FB" w:rsidRDefault="00F102F6" w:rsidP="00C15091">
            <w:pPr>
              <w:pStyle w:val="tabteksts"/>
              <w:rPr>
                <w:snapToGrid w:val="0"/>
              </w:rPr>
            </w:pPr>
            <w:r w:rsidRPr="00C704FB">
              <w:rPr>
                <w:snapToGrid w:val="0"/>
              </w:rPr>
              <w:t xml:space="preserve">22. Kapitālo izdevumu </w:t>
            </w:r>
            <w:proofErr w:type="spellStart"/>
            <w:r w:rsidRPr="00C704FB">
              <w:rPr>
                <w:snapToGrid w:val="0"/>
              </w:rPr>
              <w:t>transferti</w:t>
            </w:r>
            <w:proofErr w:type="spellEnd"/>
          </w:p>
        </w:tc>
        <w:tc>
          <w:tcPr>
            <w:tcW w:w="1118" w:type="dxa"/>
            <w:tcBorders>
              <w:top w:val="single" w:sz="4" w:space="0" w:color="auto"/>
              <w:left w:val="single" w:sz="4" w:space="0" w:color="auto"/>
              <w:bottom w:val="single" w:sz="4" w:space="0" w:color="auto"/>
              <w:right w:val="double" w:sz="4" w:space="0" w:color="auto"/>
            </w:tcBorders>
            <w:vAlign w:val="bottom"/>
          </w:tcPr>
          <w:p w14:paraId="7396AB17" w14:textId="77777777" w:rsidR="00F102F6" w:rsidRPr="00C704FB" w:rsidRDefault="00F102F6" w:rsidP="00C15091">
            <w:pPr>
              <w:pStyle w:val="tabteksts"/>
            </w:pPr>
            <w:r w:rsidRPr="00C704FB">
              <w:t>D.9</w:t>
            </w:r>
          </w:p>
        </w:tc>
        <w:tc>
          <w:tcPr>
            <w:tcW w:w="989" w:type="dxa"/>
            <w:tcBorders>
              <w:top w:val="single" w:sz="4" w:space="0" w:color="auto"/>
              <w:left w:val="double" w:sz="4" w:space="0" w:color="auto"/>
              <w:bottom w:val="single" w:sz="4" w:space="0" w:color="auto"/>
              <w:right w:val="single" w:sz="4" w:space="0" w:color="auto"/>
            </w:tcBorders>
          </w:tcPr>
          <w:p w14:paraId="762E8352" w14:textId="77777777" w:rsidR="00F102F6" w:rsidRPr="00AB37BA" w:rsidRDefault="00F102F6" w:rsidP="002622DC">
            <w:pPr>
              <w:pStyle w:val="tabteksts"/>
              <w:jc w:val="right"/>
              <w:rPr>
                <w:snapToGrid w:val="0"/>
              </w:rPr>
            </w:pPr>
            <w:r w:rsidRPr="00AB37BA">
              <w:rPr>
                <w:snapToGrid w:val="0"/>
              </w:rPr>
              <w:t>101,4</w:t>
            </w:r>
          </w:p>
        </w:tc>
        <w:tc>
          <w:tcPr>
            <w:tcW w:w="712" w:type="dxa"/>
            <w:tcBorders>
              <w:top w:val="single" w:sz="4" w:space="0" w:color="auto"/>
              <w:left w:val="nil"/>
              <w:bottom w:val="single" w:sz="4" w:space="0" w:color="auto"/>
              <w:right w:val="single" w:sz="4" w:space="0" w:color="auto"/>
            </w:tcBorders>
          </w:tcPr>
          <w:p w14:paraId="7170C544" w14:textId="77777777" w:rsidR="00F102F6" w:rsidRPr="0049071C" w:rsidRDefault="00F102F6" w:rsidP="002622DC">
            <w:pPr>
              <w:pStyle w:val="tabteksts"/>
              <w:jc w:val="right"/>
              <w:rPr>
                <w:snapToGrid w:val="0"/>
              </w:rPr>
            </w:pPr>
            <w:r w:rsidRPr="0049071C">
              <w:rPr>
                <w:snapToGrid w:val="0"/>
              </w:rPr>
              <w:t>0,4</w:t>
            </w:r>
          </w:p>
        </w:tc>
        <w:tc>
          <w:tcPr>
            <w:tcW w:w="713" w:type="dxa"/>
            <w:tcBorders>
              <w:top w:val="single" w:sz="4" w:space="0" w:color="auto"/>
              <w:left w:val="nil"/>
              <w:bottom w:val="single" w:sz="4" w:space="0" w:color="auto"/>
              <w:right w:val="single" w:sz="4" w:space="0" w:color="auto"/>
            </w:tcBorders>
          </w:tcPr>
          <w:p w14:paraId="0E4CB1E0" w14:textId="77777777" w:rsidR="00F102F6" w:rsidRPr="00602FEE" w:rsidRDefault="00F102F6" w:rsidP="002622DC">
            <w:pPr>
              <w:pStyle w:val="tabteksts"/>
              <w:jc w:val="right"/>
              <w:rPr>
                <w:snapToGrid w:val="0"/>
              </w:rPr>
            </w:pPr>
            <w:r w:rsidRPr="00602FEE">
              <w:rPr>
                <w:snapToGrid w:val="0"/>
              </w:rPr>
              <w:t>0,1</w:t>
            </w:r>
          </w:p>
        </w:tc>
        <w:tc>
          <w:tcPr>
            <w:tcW w:w="712" w:type="dxa"/>
            <w:tcBorders>
              <w:top w:val="single" w:sz="4" w:space="0" w:color="auto"/>
              <w:left w:val="nil"/>
              <w:bottom w:val="single" w:sz="4" w:space="0" w:color="auto"/>
              <w:right w:val="single" w:sz="4" w:space="0" w:color="auto"/>
            </w:tcBorders>
          </w:tcPr>
          <w:p w14:paraId="2F508EB5" w14:textId="77777777" w:rsidR="00F102F6" w:rsidRPr="00602FEE" w:rsidRDefault="00F102F6" w:rsidP="002622DC">
            <w:pPr>
              <w:pStyle w:val="tabteksts"/>
              <w:jc w:val="right"/>
              <w:rPr>
                <w:snapToGrid w:val="0"/>
              </w:rPr>
            </w:pPr>
            <w:r w:rsidRPr="00602FEE">
              <w:rPr>
                <w:snapToGrid w:val="0"/>
              </w:rPr>
              <w:t>0,0</w:t>
            </w:r>
          </w:p>
        </w:tc>
        <w:tc>
          <w:tcPr>
            <w:tcW w:w="713" w:type="dxa"/>
            <w:tcBorders>
              <w:top w:val="single" w:sz="4" w:space="0" w:color="auto"/>
              <w:left w:val="nil"/>
              <w:bottom w:val="single" w:sz="4" w:space="0" w:color="auto"/>
              <w:right w:val="single" w:sz="4" w:space="0" w:color="auto"/>
            </w:tcBorders>
          </w:tcPr>
          <w:p w14:paraId="407F6F4D" w14:textId="77777777" w:rsidR="00F102F6" w:rsidRPr="00602FEE" w:rsidRDefault="00F102F6" w:rsidP="002622DC">
            <w:pPr>
              <w:pStyle w:val="tabteksts"/>
              <w:jc w:val="right"/>
              <w:rPr>
                <w:snapToGrid w:val="0"/>
              </w:rPr>
            </w:pPr>
            <w:r w:rsidRPr="00602FEE">
              <w:rPr>
                <w:snapToGrid w:val="0"/>
              </w:rPr>
              <w:t>0,0</w:t>
            </w:r>
          </w:p>
        </w:tc>
        <w:tc>
          <w:tcPr>
            <w:tcW w:w="697" w:type="dxa"/>
            <w:tcBorders>
              <w:top w:val="single" w:sz="4" w:space="0" w:color="auto"/>
              <w:left w:val="single" w:sz="4" w:space="0" w:color="auto"/>
              <w:bottom w:val="single" w:sz="4" w:space="0" w:color="auto"/>
              <w:right w:val="double" w:sz="4" w:space="0" w:color="auto"/>
            </w:tcBorders>
          </w:tcPr>
          <w:p w14:paraId="73DDA3A1" w14:textId="77777777" w:rsidR="00F102F6" w:rsidRPr="00602FEE" w:rsidRDefault="00F102F6" w:rsidP="002622DC">
            <w:pPr>
              <w:pStyle w:val="tabteksts"/>
              <w:jc w:val="right"/>
              <w:rPr>
                <w:snapToGrid w:val="0"/>
              </w:rPr>
            </w:pPr>
            <w:r w:rsidRPr="00602FEE">
              <w:rPr>
                <w:snapToGrid w:val="0"/>
              </w:rPr>
              <w:t>0,0</w:t>
            </w:r>
          </w:p>
        </w:tc>
      </w:tr>
      <w:tr w:rsidR="00F102F6" w:rsidRPr="00C704FB" w14:paraId="586782D2" w14:textId="77777777" w:rsidTr="00336495">
        <w:trPr>
          <w:cantSplit/>
          <w:jc w:val="center"/>
        </w:trPr>
        <w:tc>
          <w:tcPr>
            <w:tcW w:w="4112" w:type="dxa"/>
            <w:gridSpan w:val="2"/>
            <w:tcBorders>
              <w:top w:val="single" w:sz="4" w:space="0" w:color="auto"/>
              <w:left w:val="double" w:sz="4" w:space="0" w:color="auto"/>
              <w:bottom w:val="single" w:sz="4" w:space="0" w:color="auto"/>
              <w:right w:val="single" w:sz="4" w:space="0" w:color="auto"/>
            </w:tcBorders>
          </w:tcPr>
          <w:p w14:paraId="2DA6C254" w14:textId="77777777" w:rsidR="00F102F6" w:rsidRPr="00C704FB" w:rsidRDefault="00F102F6" w:rsidP="00C15091">
            <w:pPr>
              <w:pStyle w:val="tabteksts"/>
              <w:rPr>
                <w:snapToGrid w:val="0"/>
              </w:rPr>
            </w:pPr>
            <w:r w:rsidRPr="00C704FB">
              <w:rPr>
                <w:snapToGrid w:val="0"/>
              </w:rPr>
              <w:t>23. Pārējie izdevumi</w:t>
            </w:r>
          </w:p>
        </w:tc>
        <w:tc>
          <w:tcPr>
            <w:tcW w:w="1118" w:type="dxa"/>
            <w:tcBorders>
              <w:top w:val="single" w:sz="4" w:space="0" w:color="auto"/>
              <w:left w:val="single" w:sz="4" w:space="0" w:color="auto"/>
              <w:bottom w:val="single" w:sz="4" w:space="0" w:color="auto"/>
              <w:right w:val="double" w:sz="4" w:space="0" w:color="auto"/>
            </w:tcBorders>
            <w:vAlign w:val="bottom"/>
          </w:tcPr>
          <w:p w14:paraId="7179D97E" w14:textId="77777777" w:rsidR="00F102F6" w:rsidRPr="00C704FB" w:rsidRDefault="00F102F6" w:rsidP="00C15091">
            <w:pPr>
              <w:pStyle w:val="tabteksts"/>
            </w:pPr>
          </w:p>
        </w:tc>
        <w:tc>
          <w:tcPr>
            <w:tcW w:w="989" w:type="dxa"/>
            <w:tcBorders>
              <w:top w:val="single" w:sz="4" w:space="0" w:color="auto"/>
              <w:left w:val="double" w:sz="4" w:space="0" w:color="auto"/>
              <w:bottom w:val="single" w:sz="4" w:space="0" w:color="auto"/>
              <w:right w:val="single" w:sz="4" w:space="0" w:color="auto"/>
            </w:tcBorders>
          </w:tcPr>
          <w:p w14:paraId="6A99B3D4" w14:textId="77777777" w:rsidR="00F102F6" w:rsidRPr="00AB37BA" w:rsidRDefault="00F102F6" w:rsidP="002622DC">
            <w:pPr>
              <w:pStyle w:val="tabteksts"/>
              <w:jc w:val="right"/>
              <w:rPr>
                <w:snapToGrid w:val="0"/>
              </w:rPr>
            </w:pPr>
            <w:r w:rsidRPr="00AB37BA">
              <w:rPr>
                <w:snapToGrid w:val="0"/>
              </w:rPr>
              <w:t>762,0</w:t>
            </w:r>
          </w:p>
        </w:tc>
        <w:tc>
          <w:tcPr>
            <w:tcW w:w="712" w:type="dxa"/>
            <w:tcBorders>
              <w:top w:val="single" w:sz="4" w:space="0" w:color="auto"/>
              <w:left w:val="nil"/>
              <w:bottom w:val="single" w:sz="4" w:space="0" w:color="auto"/>
              <w:right w:val="single" w:sz="4" w:space="0" w:color="auto"/>
            </w:tcBorders>
          </w:tcPr>
          <w:p w14:paraId="2594AC00" w14:textId="77777777" w:rsidR="00F102F6" w:rsidRPr="0049071C" w:rsidRDefault="00F102F6" w:rsidP="002622DC">
            <w:pPr>
              <w:pStyle w:val="tabteksts"/>
              <w:jc w:val="right"/>
              <w:rPr>
                <w:snapToGrid w:val="0"/>
              </w:rPr>
            </w:pPr>
            <w:r w:rsidRPr="0049071C">
              <w:rPr>
                <w:snapToGrid w:val="0"/>
              </w:rPr>
              <w:t>3,3</w:t>
            </w:r>
          </w:p>
        </w:tc>
        <w:tc>
          <w:tcPr>
            <w:tcW w:w="713" w:type="dxa"/>
            <w:tcBorders>
              <w:top w:val="single" w:sz="4" w:space="0" w:color="auto"/>
              <w:left w:val="nil"/>
              <w:bottom w:val="single" w:sz="4" w:space="0" w:color="auto"/>
              <w:right w:val="single" w:sz="4" w:space="0" w:color="auto"/>
            </w:tcBorders>
          </w:tcPr>
          <w:p w14:paraId="539749A0" w14:textId="77777777" w:rsidR="00F102F6" w:rsidRPr="00602FEE" w:rsidRDefault="00F102F6" w:rsidP="002622DC">
            <w:pPr>
              <w:pStyle w:val="tabteksts"/>
              <w:jc w:val="right"/>
              <w:rPr>
                <w:snapToGrid w:val="0"/>
              </w:rPr>
            </w:pPr>
            <w:r w:rsidRPr="00602FEE">
              <w:rPr>
                <w:snapToGrid w:val="0"/>
              </w:rPr>
              <w:t>3,3</w:t>
            </w:r>
          </w:p>
        </w:tc>
        <w:tc>
          <w:tcPr>
            <w:tcW w:w="712" w:type="dxa"/>
            <w:tcBorders>
              <w:top w:val="single" w:sz="4" w:space="0" w:color="auto"/>
              <w:left w:val="nil"/>
              <w:bottom w:val="single" w:sz="4" w:space="0" w:color="auto"/>
              <w:right w:val="single" w:sz="4" w:space="0" w:color="auto"/>
            </w:tcBorders>
          </w:tcPr>
          <w:p w14:paraId="6DF05FDB" w14:textId="77777777" w:rsidR="00F102F6" w:rsidRPr="00602FEE" w:rsidRDefault="00F102F6" w:rsidP="002622DC">
            <w:pPr>
              <w:pStyle w:val="tabteksts"/>
              <w:jc w:val="right"/>
              <w:rPr>
                <w:snapToGrid w:val="0"/>
              </w:rPr>
            </w:pPr>
            <w:r w:rsidRPr="00602FEE">
              <w:rPr>
                <w:snapToGrid w:val="0"/>
              </w:rPr>
              <w:t>3,1</w:t>
            </w:r>
          </w:p>
        </w:tc>
        <w:tc>
          <w:tcPr>
            <w:tcW w:w="713" w:type="dxa"/>
            <w:tcBorders>
              <w:top w:val="single" w:sz="4" w:space="0" w:color="auto"/>
              <w:left w:val="nil"/>
              <w:bottom w:val="single" w:sz="4" w:space="0" w:color="auto"/>
              <w:right w:val="single" w:sz="4" w:space="0" w:color="auto"/>
            </w:tcBorders>
          </w:tcPr>
          <w:p w14:paraId="399A4181" w14:textId="77777777" w:rsidR="00F102F6" w:rsidRPr="00602FEE" w:rsidRDefault="00F102F6" w:rsidP="002622DC">
            <w:pPr>
              <w:pStyle w:val="tabteksts"/>
              <w:jc w:val="right"/>
              <w:rPr>
                <w:snapToGrid w:val="0"/>
              </w:rPr>
            </w:pPr>
            <w:r w:rsidRPr="00602FEE">
              <w:rPr>
                <w:snapToGrid w:val="0"/>
              </w:rPr>
              <w:t>3,8</w:t>
            </w:r>
          </w:p>
        </w:tc>
        <w:tc>
          <w:tcPr>
            <w:tcW w:w="697" w:type="dxa"/>
            <w:tcBorders>
              <w:top w:val="single" w:sz="4" w:space="0" w:color="auto"/>
              <w:left w:val="single" w:sz="4" w:space="0" w:color="auto"/>
              <w:bottom w:val="single" w:sz="4" w:space="0" w:color="auto"/>
              <w:right w:val="double" w:sz="4" w:space="0" w:color="auto"/>
            </w:tcBorders>
          </w:tcPr>
          <w:p w14:paraId="6DCFCFE5" w14:textId="77777777" w:rsidR="00F102F6" w:rsidRPr="00602FEE" w:rsidRDefault="00F102F6" w:rsidP="002622DC">
            <w:pPr>
              <w:pStyle w:val="tabteksts"/>
              <w:jc w:val="right"/>
              <w:rPr>
                <w:snapToGrid w:val="0"/>
              </w:rPr>
            </w:pPr>
            <w:r w:rsidRPr="00602FEE">
              <w:rPr>
                <w:snapToGrid w:val="0"/>
              </w:rPr>
              <w:t>4,4</w:t>
            </w:r>
          </w:p>
        </w:tc>
      </w:tr>
      <w:tr w:rsidR="00F102F6" w:rsidRPr="00C704FB" w14:paraId="649BCB62" w14:textId="77777777" w:rsidTr="00336495">
        <w:trPr>
          <w:cantSplit/>
          <w:trHeight w:val="135"/>
          <w:jc w:val="center"/>
        </w:trPr>
        <w:tc>
          <w:tcPr>
            <w:tcW w:w="4112" w:type="dxa"/>
            <w:gridSpan w:val="2"/>
            <w:tcBorders>
              <w:top w:val="single" w:sz="4" w:space="0" w:color="auto"/>
              <w:left w:val="double" w:sz="4" w:space="0" w:color="auto"/>
              <w:bottom w:val="single" w:sz="4" w:space="0" w:color="auto"/>
              <w:right w:val="single" w:sz="4" w:space="0" w:color="auto"/>
            </w:tcBorders>
          </w:tcPr>
          <w:p w14:paraId="16128B3B" w14:textId="77777777" w:rsidR="00F102F6" w:rsidRPr="00C704FB" w:rsidRDefault="00F102F6" w:rsidP="00C15091">
            <w:pPr>
              <w:pStyle w:val="tabteksts"/>
              <w:rPr>
                <w:snapToGrid w:val="0"/>
              </w:rPr>
            </w:pPr>
            <w:r w:rsidRPr="00C704FB">
              <w:rPr>
                <w:snapToGrid w:val="0"/>
              </w:rPr>
              <w:t>24.=7. Kopējie izdevumi</w:t>
            </w:r>
          </w:p>
        </w:tc>
        <w:tc>
          <w:tcPr>
            <w:tcW w:w="1118" w:type="dxa"/>
            <w:tcBorders>
              <w:top w:val="single" w:sz="4" w:space="0" w:color="auto"/>
              <w:left w:val="single" w:sz="4" w:space="0" w:color="auto"/>
              <w:bottom w:val="single" w:sz="4" w:space="0" w:color="auto"/>
              <w:right w:val="double" w:sz="4" w:space="0" w:color="auto"/>
            </w:tcBorders>
            <w:vAlign w:val="bottom"/>
          </w:tcPr>
          <w:p w14:paraId="60742136" w14:textId="77777777" w:rsidR="00F102F6" w:rsidRPr="00C704FB" w:rsidRDefault="00F102F6" w:rsidP="00C15091">
            <w:pPr>
              <w:pStyle w:val="tabteksts"/>
            </w:pPr>
            <w:r w:rsidRPr="00C704FB">
              <w:t>TE</w:t>
            </w:r>
          </w:p>
        </w:tc>
        <w:tc>
          <w:tcPr>
            <w:tcW w:w="989" w:type="dxa"/>
            <w:tcBorders>
              <w:top w:val="single" w:sz="4" w:space="0" w:color="auto"/>
              <w:left w:val="double" w:sz="4" w:space="0" w:color="auto"/>
              <w:bottom w:val="single" w:sz="4" w:space="0" w:color="auto"/>
              <w:right w:val="single" w:sz="4" w:space="0" w:color="auto"/>
            </w:tcBorders>
          </w:tcPr>
          <w:p w14:paraId="622AF918" w14:textId="77777777" w:rsidR="00F102F6" w:rsidRPr="00AB37BA" w:rsidRDefault="00F102F6" w:rsidP="002622DC">
            <w:pPr>
              <w:pStyle w:val="tabteksts"/>
              <w:jc w:val="right"/>
              <w:rPr>
                <w:snapToGrid w:val="0"/>
              </w:rPr>
            </w:pPr>
            <w:r w:rsidRPr="00AB37BA">
              <w:rPr>
                <w:snapToGrid w:val="0"/>
              </w:rPr>
              <w:t>8 418,2</w:t>
            </w:r>
          </w:p>
        </w:tc>
        <w:tc>
          <w:tcPr>
            <w:tcW w:w="712" w:type="dxa"/>
            <w:tcBorders>
              <w:top w:val="single" w:sz="4" w:space="0" w:color="auto"/>
              <w:left w:val="nil"/>
              <w:bottom w:val="single" w:sz="4" w:space="0" w:color="auto"/>
              <w:right w:val="single" w:sz="4" w:space="0" w:color="auto"/>
            </w:tcBorders>
          </w:tcPr>
          <w:p w14:paraId="25A2FDD0" w14:textId="77777777" w:rsidR="00F102F6" w:rsidRPr="0049071C" w:rsidRDefault="00F102F6" w:rsidP="002622DC">
            <w:pPr>
              <w:pStyle w:val="tabteksts"/>
              <w:jc w:val="right"/>
              <w:rPr>
                <w:snapToGrid w:val="0"/>
              </w:rPr>
            </w:pPr>
            <w:r w:rsidRPr="0049071C">
              <w:rPr>
                <w:snapToGrid w:val="0"/>
              </w:rPr>
              <w:t>36,1</w:t>
            </w:r>
          </w:p>
        </w:tc>
        <w:tc>
          <w:tcPr>
            <w:tcW w:w="713" w:type="dxa"/>
            <w:tcBorders>
              <w:top w:val="single" w:sz="4" w:space="0" w:color="auto"/>
              <w:left w:val="nil"/>
              <w:bottom w:val="single" w:sz="4" w:space="0" w:color="auto"/>
              <w:right w:val="single" w:sz="4" w:space="0" w:color="auto"/>
            </w:tcBorders>
          </w:tcPr>
          <w:p w14:paraId="78EFE435" w14:textId="77777777" w:rsidR="00F102F6" w:rsidRPr="00602FEE" w:rsidRDefault="00F102F6" w:rsidP="002622DC">
            <w:pPr>
              <w:pStyle w:val="tabteksts"/>
              <w:jc w:val="right"/>
              <w:rPr>
                <w:snapToGrid w:val="0"/>
              </w:rPr>
            </w:pPr>
            <w:r w:rsidRPr="00602FEE">
              <w:rPr>
                <w:snapToGrid w:val="0"/>
              </w:rPr>
              <w:t>34,9</w:t>
            </w:r>
          </w:p>
        </w:tc>
        <w:tc>
          <w:tcPr>
            <w:tcW w:w="712" w:type="dxa"/>
            <w:tcBorders>
              <w:top w:val="single" w:sz="4" w:space="0" w:color="auto"/>
              <w:left w:val="nil"/>
              <w:bottom w:val="single" w:sz="4" w:space="0" w:color="auto"/>
              <w:right w:val="single" w:sz="4" w:space="0" w:color="auto"/>
            </w:tcBorders>
          </w:tcPr>
          <w:p w14:paraId="2612C8AE" w14:textId="77777777" w:rsidR="00F102F6" w:rsidRPr="00602FEE" w:rsidRDefault="00F102F6" w:rsidP="002622DC">
            <w:pPr>
              <w:pStyle w:val="tabteksts"/>
              <w:jc w:val="right"/>
              <w:rPr>
                <w:snapToGrid w:val="0"/>
              </w:rPr>
            </w:pPr>
            <w:r w:rsidRPr="00602FEE">
              <w:rPr>
                <w:snapToGrid w:val="0"/>
              </w:rPr>
              <w:t>32,8</w:t>
            </w:r>
          </w:p>
        </w:tc>
        <w:tc>
          <w:tcPr>
            <w:tcW w:w="713" w:type="dxa"/>
            <w:tcBorders>
              <w:top w:val="single" w:sz="4" w:space="0" w:color="auto"/>
              <w:left w:val="nil"/>
              <w:bottom w:val="single" w:sz="4" w:space="0" w:color="auto"/>
              <w:right w:val="single" w:sz="4" w:space="0" w:color="auto"/>
            </w:tcBorders>
          </w:tcPr>
          <w:p w14:paraId="39A985C4" w14:textId="77777777" w:rsidR="00F102F6" w:rsidRPr="00602FEE" w:rsidRDefault="00F102F6" w:rsidP="002622DC">
            <w:pPr>
              <w:pStyle w:val="tabteksts"/>
              <w:jc w:val="right"/>
              <w:rPr>
                <w:snapToGrid w:val="0"/>
              </w:rPr>
            </w:pPr>
            <w:r w:rsidRPr="00602FEE">
              <w:rPr>
                <w:snapToGrid w:val="0"/>
              </w:rPr>
              <w:t>31,6</w:t>
            </w:r>
          </w:p>
        </w:tc>
        <w:tc>
          <w:tcPr>
            <w:tcW w:w="697" w:type="dxa"/>
            <w:tcBorders>
              <w:top w:val="single" w:sz="4" w:space="0" w:color="auto"/>
              <w:left w:val="single" w:sz="4" w:space="0" w:color="auto"/>
              <w:bottom w:val="single" w:sz="4" w:space="0" w:color="auto"/>
              <w:right w:val="double" w:sz="4" w:space="0" w:color="auto"/>
            </w:tcBorders>
          </w:tcPr>
          <w:p w14:paraId="377D7FC7" w14:textId="77777777" w:rsidR="00F102F6" w:rsidRPr="00602FEE" w:rsidRDefault="00F102F6" w:rsidP="002622DC">
            <w:pPr>
              <w:pStyle w:val="tabteksts"/>
              <w:jc w:val="right"/>
              <w:rPr>
                <w:snapToGrid w:val="0"/>
              </w:rPr>
            </w:pPr>
            <w:r w:rsidRPr="00602FEE">
              <w:rPr>
                <w:snapToGrid w:val="0"/>
              </w:rPr>
              <w:t>30,8</w:t>
            </w:r>
          </w:p>
        </w:tc>
      </w:tr>
      <w:tr w:rsidR="00F102F6" w:rsidRPr="00C704FB" w14:paraId="2236B882" w14:textId="77777777" w:rsidTr="00336495">
        <w:trPr>
          <w:cantSplit/>
          <w:jc w:val="center"/>
        </w:trPr>
        <w:tc>
          <w:tcPr>
            <w:tcW w:w="4112" w:type="dxa"/>
            <w:gridSpan w:val="2"/>
            <w:tcBorders>
              <w:top w:val="single" w:sz="4" w:space="0" w:color="auto"/>
              <w:left w:val="double" w:sz="4" w:space="0" w:color="auto"/>
              <w:bottom w:val="double" w:sz="4" w:space="0" w:color="auto"/>
              <w:right w:val="single" w:sz="4" w:space="0" w:color="auto"/>
            </w:tcBorders>
          </w:tcPr>
          <w:p w14:paraId="47D6637D" w14:textId="77777777" w:rsidR="00F102F6" w:rsidRPr="00C704FB" w:rsidRDefault="00F102F6" w:rsidP="00C15091">
            <w:pPr>
              <w:pStyle w:val="tabteksts"/>
              <w:rPr>
                <w:snapToGrid w:val="0"/>
              </w:rPr>
            </w:pPr>
            <w:r w:rsidRPr="00C704FB">
              <w:rPr>
                <w:snapToGrid w:val="0"/>
              </w:rPr>
              <w:t>Valdības patēriņš</w:t>
            </w:r>
          </w:p>
        </w:tc>
        <w:tc>
          <w:tcPr>
            <w:tcW w:w="1118" w:type="dxa"/>
            <w:tcBorders>
              <w:top w:val="single" w:sz="4" w:space="0" w:color="auto"/>
              <w:left w:val="single" w:sz="4" w:space="0" w:color="auto"/>
              <w:bottom w:val="double" w:sz="4" w:space="0" w:color="auto"/>
              <w:right w:val="double" w:sz="4" w:space="0" w:color="auto"/>
            </w:tcBorders>
            <w:vAlign w:val="bottom"/>
          </w:tcPr>
          <w:p w14:paraId="06B39A0A" w14:textId="77777777" w:rsidR="00F102F6" w:rsidRPr="00C704FB" w:rsidRDefault="00F102F6" w:rsidP="00C15091">
            <w:pPr>
              <w:pStyle w:val="tabteksts"/>
            </w:pPr>
            <w:r w:rsidRPr="00C704FB">
              <w:t>P.3</w:t>
            </w:r>
          </w:p>
        </w:tc>
        <w:tc>
          <w:tcPr>
            <w:tcW w:w="989" w:type="dxa"/>
            <w:tcBorders>
              <w:top w:val="single" w:sz="4" w:space="0" w:color="auto"/>
              <w:left w:val="double" w:sz="4" w:space="0" w:color="auto"/>
              <w:bottom w:val="double" w:sz="4" w:space="0" w:color="auto"/>
              <w:right w:val="single" w:sz="4" w:space="0" w:color="auto"/>
            </w:tcBorders>
          </w:tcPr>
          <w:p w14:paraId="33292D21" w14:textId="77777777" w:rsidR="00F102F6" w:rsidRPr="00AB37BA" w:rsidRDefault="00F102F6" w:rsidP="002622DC">
            <w:pPr>
              <w:pStyle w:val="tabteksts"/>
              <w:jc w:val="right"/>
              <w:rPr>
                <w:snapToGrid w:val="0"/>
              </w:rPr>
            </w:pPr>
            <w:r w:rsidRPr="00AB37BA">
              <w:rPr>
                <w:snapToGrid w:val="0"/>
              </w:rPr>
              <w:t>3 842,4</w:t>
            </w:r>
          </w:p>
        </w:tc>
        <w:tc>
          <w:tcPr>
            <w:tcW w:w="712" w:type="dxa"/>
            <w:tcBorders>
              <w:top w:val="single" w:sz="4" w:space="0" w:color="auto"/>
              <w:left w:val="nil"/>
              <w:bottom w:val="double" w:sz="4" w:space="0" w:color="auto"/>
              <w:right w:val="single" w:sz="4" w:space="0" w:color="auto"/>
            </w:tcBorders>
          </w:tcPr>
          <w:p w14:paraId="4DB50701" w14:textId="77777777" w:rsidR="00F102F6" w:rsidRPr="0049071C" w:rsidRDefault="00F102F6" w:rsidP="002622DC">
            <w:pPr>
              <w:pStyle w:val="tabteksts"/>
              <w:jc w:val="right"/>
              <w:rPr>
                <w:snapToGrid w:val="0"/>
              </w:rPr>
            </w:pPr>
            <w:r w:rsidRPr="0049071C">
              <w:rPr>
                <w:snapToGrid w:val="0"/>
              </w:rPr>
              <w:t>16,5</w:t>
            </w:r>
          </w:p>
        </w:tc>
        <w:tc>
          <w:tcPr>
            <w:tcW w:w="713" w:type="dxa"/>
            <w:tcBorders>
              <w:top w:val="single" w:sz="4" w:space="0" w:color="auto"/>
              <w:left w:val="nil"/>
              <w:bottom w:val="double" w:sz="4" w:space="0" w:color="auto"/>
              <w:right w:val="single" w:sz="4" w:space="0" w:color="auto"/>
            </w:tcBorders>
          </w:tcPr>
          <w:p w14:paraId="34DA9E29" w14:textId="77777777" w:rsidR="00F102F6" w:rsidRPr="00602FEE" w:rsidRDefault="00F102F6" w:rsidP="002622DC">
            <w:pPr>
              <w:pStyle w:val="tabteksts"/>
              <w:jc w:val="right"/>
              <w:rPr>
                <w:snapToGrid w:val="0"/>
              </w:rPr>
            </w:pPr>
            <w:r w:rsidRPr="00602FEE">
              <w:rPr>
                <w:snapToGrid w:val="0"/>
              </w:rPr>
              <w:t>16,8</w:t>
            </w:r>
          </w:p>
        </w:tc>
        <w:tc>
          <w:tcPr>
            <w:tcW w:w="712" w:type="dxa"/>
            <w:tcBorders>
              <w:top w:val="single" w:sz="4" w:space="0" w:color="auto"/>
              <w:left w:val="nil"/>
              <w:bottom w:val="double" w:sz="4" w:space="0" w:color="auto"/>
              <w:right w:val="single" w:sz="4" w:space="0" w:color="auto"/>
            </w:tcBorders>
          </w:tcPr>
          <w:p w14:paraId="41F25AD8" w14:textId="77777777" w:rsidR="00F102F6" w:rsidRPr="00602FEE" w:rsidRDefault="00F102F6" w:rsidP="002622DC">
            <w:pPr>
              <w:pStyle w:val="tabteksts"/>
              <w:jc w:val="right"/>
              <w:rPr>
                <w:snapToGrid w:val="0"/>
              </w:rPr>
            </w:pPr>
            <w:r w:rsidRPr="00602FEE">
              <w:rPr>
                <w:snapToGrid w:val="0"/>
              </w:rPr>
              <w:t>16,0</w:t>
            </w:r>
          </w:p>
        </w:tc>
        <w:tc>
          <w:tcPr>
            <w:tcW w:w="713" w:type="dxa"/>
            <w:tcBorders>
              <w:top w:val="single" w:sz="4" w:space="0" w:color="auto"/>
              <w:left w:val="nil"/>
              <w:bottom w:val="double" w:sz="4" w:space="0" w:color="auto"/>
              <w:right w:val="single" w:sz="4" w:space="0" w:color="auto"/>
            </w:tcBorders>
          </w:tcPr>
          <w:p w14:paraId="0993E30B" w14:textId="77777777" w:rsidR="00F102F6" w:rsidRPr="00602FEE" w:rsidRDefault="00F102F6" w:rsidP="002622DC">
            <w:pPr>
              <w:pStyle w:val="tabteksts"/>
              <w:jc w:val="right"/>
              <w:rPr>
                <w:snapToGrid w:val="0"/>
              </w:rPr>
            </w:pPr>
            <w:r w:rsidRPr="00602FEE">
              <w:rPr>
                <w:snapToGrid w:val="0"/>
              </w:rPr>
              <w:t>14,9</w:t>
            </w:r>
          </w:p>
        </w:tc>
        <w:tc>
          <w:tcPr>
            <w:tcW w:w="697" w:type="dxa"/>
            <w:tcBorders>
              <w:top w:val="single" w:sz="4" w:space="0" w:color="auto"/>
              <w:left w:val="single" w:sz="4" w:space="0" w:color="auto"/>
              <w:bottom w:val="double" w:sz="4" w:space="0" w:color="auto"/>
              <w:right w:val="double" w:sz="4" w:space="0" w:color="auto"/>
            </w:tcBorders>
          </w:tcPr>
          <w:p w14:paraId="0979D6EB" w14:textId="77777777" w:rsidR="00F102F6" w:rsidRPr="00602FEE" w:rsidRDefault="00F102F6" w:rsidP="002622DC">
            <w:pPr>
              <w:pStyle w:val="tabteksts"/>
              <w:jc w:val="right"/>
              <w:rPr>
                <w:snapToGrid w:val="0"/>
              </w:rPr>
            </w:pPr>
            <w:r w:rsidRPr="00602FEE">
              <w:rPr>
                <w:snapToGrid w:val="0"/>
              </w:rPr>
              <w:t>14,2</w:t>
            </w:r>
          </w:p>
        </w:tc>
      </w:tr>
    </w:tbl>
    <w:p w14:paraId="2C0E0B56" w14:textId="77777777" w:rsidR="00F102F6" w:rsidRDefault="00F102F6" w:rsidP="006B5F7D">
      <w:pPr>
        <w:ind w:firstLine="0"/>
        <w:jc w:val="left"/>
        <w:rPr>
          <w:b/>
          <w:color w:val="000000"/>
          <w:szCs w:val="24"/>
        </w:rPr>
      </w:pPr>
    </w:p>
    <w:p w14:paraId="31D5B723" w14:textId="77777777" w:rsidR="00F102F6" w:rsidRDefault="00F102F6" w:rsidP="006B5F7D">
      <w:pPr>
        <w:ind w:firstLine="0"/>
        <w:jc w:val="left"/>
        <w:rPr>
          <w:b/>
          <w:color w:val="000000"/>
          <w:szCs w:val="24"/>
        </w:rPr>
      </w:pPr>
    </w:p>
    <w:p w14:paraId="6EDF8BD5" w14:textId="77777777" w:rsidR="00F102F6" w:rsidRDefault="00F102F6" w:rsidP="006B5F7D">
      <w:pPr>
        <w:ind w:firstLine="0"/>
        <w:jc w:val="left"/>
        <w:rPr>
          <w:b/>
          <w:color w:val="000000"/>
          <w:szCs w:val="24"/>
        </w:rPr>
      </w:pPr>
    </w:p>
    <w:p w14:paraId="1CBD5D0C" w14:textId="77777777" w:rsidR="006B5F7D" w:rsidRPr="00C704FB" w:rsidRDefault="006B5F7D" w:rsidP="006B5F7D">
      <w:pPr>
        <w:ind w:firstLine="0"/>
        <w:jc w:val="left"/>
        <w:rPr>
          <w:b/>
          <w:szCs w:val="24"/>
        </w:rPr>
      </w:pPr>
    </w:p>
    <w:p w14:paraId="5762CE42" w14:textId="7EE254ED" w:rsidR="006B5F7D" w:rsidRDefault="006B5F7D" w:rsidP="002622DC">
      <w:pPr>
        <w:ind w:firstLine="0"/>
        <w:jc w:val="left"/>
        <w:rPr>
          <w:b/>
          <w:szCs w:val="24"/>
        </w:rPr>
      </w:pPr>
      <w:r w:rsidRPr="002622DC">
        <w:rPr>
          <w:b/>
          <w:szCs w:val="24"/>
        </w:rPr>
        <w:t xml:space="preserve"> </w:t>
      </w:r>
      <w:r w:rsidRPr="00C704FB">
        <w:rPr>
          <w:b/>
          <w:szCs w:val="24"/>
        </w:rPr>
        <w:t>2b. tabula. Prognozes pie nemainīgas politikas</w:t>
      </w:r>
    </w:p>
    <w:tbl>
      <w:tblPr>
        <w:tblW w:w="8949" w:type="dxa"/>
        <w:tblLayout w:type="fixed"/>
        <w:tblLook w:val="0000" w:firstRow="0" w:lastRow="0" w:firstColumn="0" w:lastColumn="0" w:noHBand="0" w:noVBand="0"/>
      </w:tblPr>
      <w:tblGrid>
        <w:gridCol w:w="3988"/>
        <w:gridCol w:w="974"/>
        <w:gridCol w:w="797"/>
        <w:gridCol w:w="797"/>
        <w:gridCol w:w="798"/>
        <w:gridCol w:w="797"/>
        <w:gridCol w:w="798"/>
      </w:tblGrid>
      <w:tr w:rsidR="00F102F6" w:rsidRPr="00C704FB" w14:paraId="54ABD0F5" w14:textId="77777777" w:rsidTr="00C15091">
        <w:trPr>
          <w:cantSplit/>
          <w:tblHeader/>
        </w:trPr>
        <w:tc>
          <w:tcPr>
            <w:tcW w:w="3988" w:type="dxa"/>
            <w:tcBorders>
              <w:top w:val="double" w:sz="4" w:space="0" w:color="auto"/>
              <w:left w:val="double" w:sz="4" w:space="0" w:color="auto"/>
              <w:bottom w:val="single" w:sz="4" w:space="0" w:color="auto"/>
              <w:right w:val="double" w:sz="4" w:space="0" w:color="auto"/>
            </w:tcBorders>
            <w:vAlign w:val="bottom"/>
          </w:tcPr>
          <w:p w14:paraId="646701CA" w14:textId="77777777" w:rsidR="00F102F6" w:rsidRPr="00C704FB" w:rsidRDefault="00F102F6" w:rsidP="00C15091">
            <w:pPr>
              <w:pStyle w:val="tabteksts"/>
              <w:jc w:val="center"/>
              <w:rPr>
                <w:b/>
              </w:rPr>
            </w:pPr>
          </w:p>
        </w:tc>
        <w:tc>
          <w:tcPr>
            <w:tcW w:w="974" w:type="dxa"/>
            <w:tcBorders>
              <w:top w:val="double" w:sz="4" w:space="0" w:color="auto"/>
              <w:left w:val="nil"/>
              <w:bottom w:val="single" w:sz="4" w:space="0" w:color="auto"/>
              <w:right w:val="single" w:sz="4" w:space="0" w:color="auto"/>
            </w:tcBorders>
            <w:vAlign w:val="bottom"/>
          </w:tcPr>
          <w:p w14:paraId="5EBCA1C2" w14:textId="77777777" w:rsidR="00F102F6" w:rsidRPr="00C704FB" w:rsidRDefault="00F102F6" w:rsidP="00C15091">
            <w:pPr>
              <w:pStyle w:val="tabteksts"/>
              <w:jc w:val="center"/>
              <w:rPr>
                <w:b/>
              </w:rPr>
            </w:pPr>
            <w:r w:rsidRPr="00C704FB">
              <w:rPr>
                <w:b/>
              </w:rPr>
              <w:t>2013</w:t>
            </w:r>
          </w:p>
        </w:tc>
        <w:tc>
          <w:tcPr>
            <w:tcW w:w="797" w:type="dxa"/>
            <w:tcBorders>
              <w:top w:val="double" w:sz="4" w:space="0" w:color="auto"/>
              <w:left w:val="nil"/>
              <w:bottom w:val="single" w:sz="4" w:space="0" w:color="auto"/>
              <w:right w:val="single" w:sz="4" w:space="0" w:color="auto"/>
            </w:tcBorders>
            <w:vAlign w:val="bottom"/>
          </w:tcPr>
          <w:p w14:paraId="05968797" w14:textId="77777777" w:rsidR="00F102F6" w:rsidRPr="00C704FB" w:rsidRDefault="00F102F6" w:rsidP="00C15091">
            <w:pPr>
              <w:pStyle w:val="tabteksts"/>
              <w:jc w:val="center"/>
              <w:rPr>
                <w:b/>
              </w:rPr>
            </w:pPr>
            <w:r w:rsidRPr="00C704FB">
              <w:rPr>
                <w:b/>
              </w:rPr>
              <w:t>2013</w:t>
            </w:r>
          </w:p>
        </w:tc>
        <w:tc>
          <w:tcPr>
            <w:tcW w:w="797" w:type="dxa"/>
            <w:tcBorders>
              <w:top w:val="double" w:sz="4" w:space="0" w:color="auto"/>
              <w:left w:val="nil"/>
              <w:bottom w:val="single" w:sz="4" w:space="0" w:color="auto"/>
              <w:right w:val="single" w:sz="4" w:space="0" w:color="auto"/>
            </w:tcBorders>
            <w:vAlign w:val="bottom"/>
          </w:tcPr>
          <w:p w14:paraId="7ADC65D9" w14:textId="77777777" w:rsidR="00F102F6" w:rsidRPr="00C704FB" w:rsidRDefault="00F102F6" w:rsidP="00C15091">
            <w:pPr>
              <w:pStyle w:val="tabteksts"/>
              <w:jc w:val="center"/>
              <w:rPr>
                <w:b/>
              </w:rPr>
            </w:pPr>
            <w:r w:rsidRPr="00C704FB">
              <w:rPr>
                <w:b/>
              </w:rPr>
              <w:t>2014</w:t>
            </w:r>
          </w:p>
        </w:tc>
        <w:tc>
          <w:tcPr>
            <w:tcW w:w="798" w:type="dxa"/>
            <w:tcBorders>
              <w:top w:val="double" w:sz="4" w:space="0" w:color="auto"/>
              <w:left w:val="nil"/>
              <w:bottom w:val="single" w:sz="4" w:space="0" w:color="auto"/>
              <w:right w:val="single" w:sz="4" w:space="0" w:color="auto"/>
            </w:tcBorders>
          </w:tcPr>
          <w:p w14:paraId="743C264C" w14:textId="77777777" w:rsidR="00F102F6" w:rsidRPr="00C704FB" w:rsidRDefault="00F102F6" w:rsidP="00C15091">
            <w:pPr>
              <w:pStyle w:val="tabteksts"/>
              <w:jc w:val="center"/>
              <w:rPr>
                <w:b/>
              </w:rPr>
            </w:pPr>
            <w:r w:rsidRPr="00C704FB">
              <w:rPr>
                <w:b/>
              </w:rPr>
              <w:t>2015</w:t>
            </w:r>
          </w:p>
        </w:tc>
        <w:tc>
          <w:tcPr>
            <w:tcW w:w="797" w:type="dxa"/>
            <w:tcBorders>
              <w:top w:val="double" w:sz="4" w:space="0" w:color="auto"/>
              <w:left w:val="nil"/>
              <w:bottom w:val="single" w:sz="4" w:space="0" w:color="auto"/>
              <w:right w:val="single" w:sz="4" w:space="0" w:color="auto"/>
            </w:tcBorders>
            <w:vAlign w:val="bottom"/>
          </w:tcPr>
          <w:p w14:paraId="4296242D" w14:textId="77777777" w:rsidR="00F102F6" w:rsidRPr="00C704FB" w:rsidRDefault="00F102F6" w:rsidP="00C15091">
            <w:pPr>
              <w:pStyle w:val="tabteksts"/>
              <w:jc w:val="center"/>
              <w:rPr>
                <w:b/>
              </w:rPr>
            </w:pPr>
            <w:r w:rsidRPr="00C704FB">
              <w:rPr>
                <w:b/>
              </w:rPr>
              <w:t>2015</w:t>
            </w:r>
          </w:p>
        </w:tc>
        <w:tc>
          <w:tcPr>
            <w:tcW w:w="798" w:type="dxa"/>
            <w:tcBorders>
              <w:top w:val="double" w:sz="4" w:space="0" w:color="auto"/>
              <w:left w:val="single" w:sz="4" w:space="0" w:color="auto"/>
              <w:bottom w:val="single" w:sz="4" w:space="0" w:color="auto"/>
              <w:right w:val="double" w:sz="4" w:space="0" w:color="auto"/>
            </w:tcBorders>
            <w:vAlign w:val="bottom"/>
          </w:tcPr>
          <w:p w14:paraId="14F6A1D9" w14:textId="77777777" w:rsidR="00F102F6" w:rsidRPr="00C704FB" w:rsidRDefault="00F102F6" w:rsidP="00C15091">
            <w:pPr>
              <w:pStyle w:val="tabteksts"/>
              <w:jc w:val="center"/>
              <w:rPr>
                <w:b/>
              </w:rPr>
            </w:pPr>
            <w:r w:rsidRPr="00C704FB">
              <w:rPr>
                <w:b/>
              </w:rPr>
              <w:t>2017</w:t>
            </w:r>
          </w:p>
        </w:tc>
      </w:tr>
      <w:tr w:rsidR="00F102F6" w:rsidRPr="00C704FB" w14:paraId="1DAC8C5B" w14:textId="77777777" w:rsidTr="00C15091">
        <w:trPr>
          <w:cantSplit/>
          <w:tblHeader/>
        </w:trPr>
        <w:tc>
          <w:tcPr>
            <w:tcW w:w="3988" w:type="dxa"/>
            <w:tcBorders>
              <w:top w:val="single" w:sz="4" w:space="0" w:color="auto"/>
              <w:left w:val="double" w:sz="4" w:space="0" w:color="auto"/>
              <w:bottom w:val="single" w:sz="4" w:space="0" w:color="auto"/>
              <w:right w:val="double" w:sz="4" w:space="0" w:color="auto"/>
            </w:tcBorders>
            <w:vAlign w:val="bottom"/>
          </w:tcPr>
          <w:p w14:paraId="5E7C19A6" w14:textId="77777777" w:rsidR="00F102F6" w:rsidRPr="00C704FB" w:rsidRDefault="00F102F6" w:rsidP="00C15091">
            <w:pPr>
              <w:pStyle w:val="tabteksts"/>
            </w:pPr>
          </w:p>
        </w:tc>
        <w:tc>
          <w:tcPr>
            <w:tcW w:w="974" w:type="dxa"/>
            <w:tcBorders>
              <w:top w:val="single" w:sz="4" w:space="0" w:color="auto"/>
              <w:left w:val="nil"/>
              <w:bottom w:val="single" w:sz="4" w:space="0" w:color="auto"/>
              <w:right w:val="single" w:sz="4" w:space="0" w:color="auto"/>
            </w:tcBorders>
            <w:vAlign w:val="center"/>
          </w:tcPr>
          <w:p w14:paraId="59F0DC8E" w14:textId="584E086C" w:rsidR="00F102F6" w:rsidRPr="00C704FB" w:rsidRDefault="00F102F6" w:rsidP="00AB6336">
            <w:pPr>
              <w:pStyle w:val="tabteksts"/>
              <w:jc w:val="center"/>
              <w:rPr>
                <w:noProof/>
              </w:rPr>
            </w:pPr>
            <w:r w:rsidRPr="00C704FB">
              <w:rPr>
                <w:noProof/>
              </w:rPr>
              <w:t xml:space="preserve">milj. </w:t>
            </w:r>
            <w:r w:rsidRPr="00AB6336">
              <w:rPr>
                <w:i/>
                <w:noProof/>
              </w:rPr>
              <w:t>e</w:t>
            </w:r>
            <w:r w:rsidR="00AB6336" w:rsidRPr="00AB6336">
              <w:rPr>
                <w:i/>
                <w:noProof/>
              </w:rPr>
              <w:t>u</w:t>
            </w:r>
            <w:r w:rsidRPr="00AB6336">
              <w:rPr>
                <w:i/>
                <w:noProof/>
              </w:rPr>
              <w:t>ro</w:t>
            </w:r>
          </w:p>
        </w:tc>
        <w:tc>
          <w:tcPr>
            <w:tcW w:w="3987" w:type="dxa"/>
            <w:gridSpan w:val="5"/>
            <w:tcBorders>
              <w:top w:val="single" w:sz="4" w:space="0" w:color="auto"/>
              <w:left w:val="nil"/>
              <w:bottom w:val="single" w:sz="4" w:space="0" w:color="auto"/>
              <w:right w:val="double" w:sz="4" w:space="0" w:color="auto"/>
            </w:tcBorders>
            <w:vAlign w:val="center"/>
          </w:tcPr>
          <w:p w14:paraId="084A18F8" w14:textId="77777777" w:rsidR="00F102F6" w:rsidRPr="00C704FB" w:rsidRDefault="00F102F6" w:rsidP="00C15091">
            <w:pPr>
              <w:pStyle w:val="tabteksts"/>
              <w:jc w:val="center"/>
            </w:pPr>
            <w:r w:rsidRPr="00C704FB">
              <w:t>% no IKP</w:t>
            </w:r>
          </w:p>
        </w:tc>
      </w:tr>
      <w:tr w:rsidR="00F102F6" w:rsidRPr="00C704FB" w14:paraId="3438502D" w14:textId="77777777" w:rsidTr="004B74A0">
        <w:trPr>
          <w:cantSplit/>
        </w:trPr>
        <w:tc>
          <w:tcPr>
            <w:tcW w:w="3988" w:type="dxa"/>
            <w:tcBorders>
              <w:top w:val="single" w:sz="4" w:space="0" w:color="auto"/>
              <w:left w:val="double" w:sz="4" w:space="0" w:color="auto"/>
              <w:bottom w:val="single" w:sz="4" w:space="0" w:color="auto"/>
              <w:right w:val="double" w:sz="4" w:space="0" w:color="auto"/>
            </w:tcBorders>
          </w:tcPr>
          <w:p w14:paraId="7F91439D" w14:textId="77777777" w:rsidR="00F102F6" w:rsidRPr="00C704FB" w:rsidRDefault="00F102F6" w:rsidP="00C15091">
            <w:pPr>
              <w:pStyle w:val="tabteksts"/>
              <w:rPr>
                <w:snapToGrid w:val="0"/>
              </w:rPr>
            </w:pPr>
            <w:r w:rsidRPr="00C704FB">
              <w:rPr>
                <w:snapToGrid w:val="0"/>
              </w:rPr>
              <w:t>1. Kopējie ieņēmumi pie nemainīgas politikas</w:t>
            </w:r>
          </w:p>
        </w:tc>
        <w:tc>
          <w:tcPr>
            <w:tcW w:w="974" w:type="dxa"/>
            <w:tcBorders>
              <w:top w:val="single" w:sz="4" w:space="0" w:color="auto"/>
              <w:left w:val="nil"/>
              <w:bottom w:val="single" w:sz="4" w:space="0" w:color="auto"/>
              <w:right w:val="single" w:sz="4" w:space="0" w:color="auto"/>
            </w:tcBorders>
          </w:tcPr>
          <w:p w14:paraId="02DBE5F6" w14:textId="77777777" w:rsidR="00F102F6" w:rsidRPr="00C74B00" w:rsidRDefault="00F102F6" w:rsidP="004B74A0">
            <w:pPr>
              <w:pStyle w:val="tabteksts"/>
              <w:jc w:val="right"/>
              <w:rPr>
                <w:snapToGrid w:val="0"/>
              </w:rPr>
            </w:pPr>
            <w:r w:rsidRPr="00C74B00">
              <w:rPr>
                <w:snapToGrid w:val="0"/>
              </w:rPr>
              <w:t>8 194,4</w:t>
            </w:r>
          </w:p>
        </w:tc>
        <w:tc>
          <w:tcPr>
            <w:tcW w:w="797" w:type="dxa"/>
            <w:tcBorders>
              <w:top w:val="single" w:sz="4" w:space="0" w:color="auto"/>
              <w:left w:val="nil"/>
              <w:bottom w:val="single" w:sz="4" w:space="0" w:color="auto"/>
              <w:right w:val="single" w:sz="4" w:space="0" w:color="auto"/>
            </w:tcBorders>
          </w:tcPr>
          <w:p w14:paraId="4911AEA9" w14:textId="77777777" w:rsidR="00F102F6" w:rsidRPr="001C57EA" w:rsidRDefault="00F102F6" w:rsidP="004B74A0">
            <w:pPr>
              <w:pStyle w:val="tabteksts"/>
              <w:jc w:val="right"/>
              <w:rPr>
                <w:snapToGrid w:val="0"/>
              </w:rPr>
            </w:pPr>
            <w:r w:rsidRPr="001C57EA">
              <w:rPr>
                <w:snapToGrid w:val="0"/>
              </w:rPr>
              <w:t>35,1</w:t>
            </w:r>
          </w:p>
        </w:tc>
        <w:tc>
          <w:tcPr>
            <w:tcW w:w="797" w:type="dxa"/>
            <w:tcBorders>
              <w:top w:val="single" w:sz="4" w:space="0" w:color="auto"/>
              <w:left w:val="nil"/>
              <w:bottom w:val="single" w:sz="4" w:space="0" w:color="auto"/>
              <w:right w:val="single" w:sz="4" w:space="0" w:color="auto"/>
            </w:tcBorders>
          </w:tcPr>
          <w:p w14:paraId="46666E40" w14:textId="77777777" w:rsidR="00F102F6" w:rsidRPr="001C57EA" w:rsidRDefault="00F102F6" w:rsidP="004B74A0">
            <w:pPr>
              <w:pStyle w:val="tabteksts"/>
              <w:jc w:val="right"/>
              <w:rPr>
                <w:snapToGrid w:val="0"/>
              </w:rPr>
            </w:pPr>
            <w:r w:rsidRPr="001C57EA">
              <w:rPr>
                <w:snapToGrid w:val="0"/>
              </w:rPr>
              <w:t>33,9</w:t>
            </w:r>
          </w:p>
        </w:tc>
        <w:tc>
          <w:tcPr>
            <w:tcW w:w="798" w:type="dxa"/>
            <w:tcBorders>
              <w:top w:val="single" w:sz="4" w:space="0" w:color="auto"/>
              <w:left w:val="nil"/>
              <w:bottom w:val="single" w:sz="4" w:space="0" w:color="auto"/>
              <w:right w:val="single" w:sz="4" w:space="0" w:color="auto"/>
            </w:tcBorders>
          </w:tcPr>
          <w:p w14:paraId="62A06A76" w14:textId="77777777" w:rsidR="00F102F6" w:rsidRPr="001C57EA" w:rsidRDefault="00F102F6" w:rsidP="004B74A0">
            <w:pPr>
              <w:pStyle w:val="tabteksts"/>
              <w:jc w:val="right"/>
              <w:rPr>
                <w:snapToGrid w:val="0"/>
              </w:rPr>
            </w:pPr>
            <w:r w:rsidRPr="001C57EA">
              <w:rPr>
                <w:snapToGrid w:val="0"/>
              </w:rPr>
              <w:t>32,0</w:t>
            </w:r>
          </w:p>
        </w:tc>
        <w:tc>
          <w:tcPr>
            <w:tcW w:w="797" w:type="dxa"/>
            <w:tcBorders>
              <w:top w:val="single" w:sz="4" w:space="0" w:color="auto"/>
              <w:left w:val="nil"/>
              <w:bottom w:val="single" w:sz="4" w:space="0" w:color="auto"/>
              <w:right w:val="single" w:sz="4" w:space="0" w:color="auto"/>
            </w:tcBorders>
          </w:tcPr>
          <w:p w14:paraId="3F210935" w14:textId="77777777" w:rsidR="00F102F6" w:rsidRPr="001C57EA" w:rsidRDefault="00F102F6" w:rsidP="004B74A0">
            <w:pPr>
              <w:pStyle w:val="tabteksts"/>
              <w:jc w:val="right"/>
              <w:rPr>
                <w:snapToGrid w:val="0"/>
              </w:rPr>
            </w:pPr>
            <w:r w:rsidRPr="001C57EA">
              <w:rPr>
                <w:snapToGrid w:val="0"/>
              </w:rPr>
              <w:t>30,9</w:t>
            </w:r>
          </w:p>
        </w:tc>
        <w:tc>
          <w:tcPr>
            <w:tcW w:w="798" w:type="dxa"/>
            <w:tcBorders>
              <w:top w:val="single" w:sz="4" w:space="0" w:color="auto"/>
              <w:left w:val="single" w:sz="4" w:space="0" w:color="auto"/>
              <w:bottom w:val="single" w:sz="4" w:space="0" w:color="auto"/>
              <w:right w:val="double" w:sz="4" w:space="0" w:color="auto"/>
            </w:tcBorders>
          </w:tcPr>
          <w:p w14:paraId="716B1602" w14:textId="77777777" w:rsidR="00F102F6" w:rsidRPr="001C57EA" w:rsidRDefault="00F102F6" w:rsidP="004B74A0">
            <w:pPr>
              <w:pStyle w:val="tabteksts"/>
              <w:jc w:val="right"/>
              <w:rPr>
                <w:snapToGrid w:val="0"/>
              </w:rPr>
            </w:pPr>
            <w:r w:rsidRPr="001C57EA">
              <w:rPr>
                <w:snapToGrid w:val="0"/>
              </w:rPr>
              <w:t>30,1</w:t>
            </w:r>
          </w:p>
        </w:tc>
      </w:tr>
      <w:tr w:rsidR="00F102F6" w:rsidRPr="00C704FB" w14:paraId="17DF36E1" w14:textId="77777777" w:rsidTr="004B74A0">
        <w:trPr>
          <w:cantSplit/>
        </w:trPr>
        <w:tc>
          <w:tcPr>
            <w:tcW w:w="3988" w:type="dxa"/>
            <w:tcBorders>
              <w:top w:val="single" w:sz="4" w:space="0" w:color="auto"/>
              <w:left w:val="double" w:sz="4" w:space="0" w:color="auto"/>
              <w:bottom w:val="double" w:sz="4" w:space="0" w:color="auto"/>
              <w:right w:val="double" w:sz="4" w:space="0" w:color="auto"/>
            </w:tcBorders>
          </w:tcPr>
          <w:p w14:paraId="6F689527" w14:textId="77777777" w:rsidR="00F102F6" w:rsidRPr="00C704FB" w:rsidRDefault="00F102F6" w:rsidP="00C15091">
            <w:pPr>
              <w:pStyle w:val="tabteksts"/>
              <w:rPr>
                <w:snapToGrid w:val="0"/>
              </w:rPr>
            </w:pPr>
            <w:r w:rsidRPr="00C704FB">
              <w:rPr>
                <w:snapToGrid w:val="0"/>
              </w:rPr>
              <w:t>2. Kopējie izdevumi pie nemainīgas politikas</w:t>
            </w:r>
          </w:p>
        </w:tc>
        <w:tc>
          <w:tcPr>
            <w:tcW w:w="974" w:type="dxa"/>
            <w:tcBorders>
              <w:top w:val="single" w:sz="4" w:space="0" w:color="auto"/>
              <w:left w:val="nil"/>
              <w:bottom w:val="double" w:sz="4" w:space="0" w:color="auto"/>
              <w:right w:val="single" w:sz="4" w:space="0" w:color="auto"/>
            </w:tcBorders>
          </w:tcPr>
          <w:p w14:paraId="1A2EEBF6" w14:textId="77777777" w:rsidR="00F102F6" w:rsidRPr="00C74B00" w:rsidRDefault="00F102F6" w:rsidP="004B74A0">
            <w:pPr>
              <w:pStyle w:val="tabteksts"/>
              <w:jc w:val="right"/>
              <w:rPr>
                <w:snapToGrid w:val="0"/>
              </w:rPr>
            </w:pPr>
            <w:r w:rsidRPr="00C74B00">
              <w:rPr>
                <w:snapToGrid w:val="0"/>
              </w:rPr>
              <w:t>8 418,2</w:t>
            </w:r>
          </w:p>
        </w:tc>
        <w:tc>
          <w:tcPr>
            <w:tcW w:w="797" w:type="dxa"/>
            <w:tcBorders>
              <w:top w:val="single" w:sz="4" w:space="0" w:color="auto"/>
              <w:left w:val="nil"/>
              <w:bottom w:val="double" w:sz="4" w:space="0" w:color="auto"/>
              <w:right w:val="single" w:sz="4" w:space="0" w:color="auto"/>
            </w:tcBorders>
          </w:tcPr>
          <w:p w14:paraId="151EFA56" w14:textId="77777777" w:rsidR="00F102F6" w:rsidRPr="001C57EA" w:rsidRDefault="00F102F6" w:rsidP="004B74A0">
            <w:pPr>
              <w:pStyle w:val="tabteksts"/>
              <w:jc w:val="right"/>
              <w:rPr>
                <w:snapToGrid w:val="0"/>
              </w:rPr>
            </w:pPr>
            <w:r w:rsidRPr="001C57EA">
              <w:rPr>
                <w:snapToGrid w:val="0"/>
              </w:rPr>
              <w:t>36,1</w:t>
            </w:r>
          </w:p>
        </w:tc>
        <w:tc>
          <w:tcPr>
            <w:tcW w:w="797" w:type="dxa"/>
            <w:tcBorders>
              <w:top w:val="single" w:sz="4" w:space="0" w:color="auto"/>
              <w:left w:val="nil"/>
              <w:bottom w:val="double" w:sz="4" w:space="0" w:color="auto"/>
              <w:right w:val="single" w:sz="4" w:space="0" w:color="auto"/>
            </w:tcBorders>
          </w:tcPr>
          <w:p w14:paraId="60767109" w14:textId="77777777" w:rsidR="00F102F6" w:rsidRPr="001C57EA" w:rsidRDefault="00F102F6" w:rsidP="004B74A0">
            <w:pPr>
              <w:pStyle w:val="tabteksts"/>
              <w:jc w:val="right"/>
              <w:rPr>
                <w:snapToGrid w:val="0"/>
              </w:rPr>
            </w:pPr>
            <w:r w:rsidRPr="001C57EA">
              <w:rPr>
                <w:snapToGrid w:val="0"/>
              </w:rPr>
              <w:t>34,9</w:t>
            </w:r>
          </w:p>
        </w:tc>
        <w:tc>
          <w:tcPr>
            <w:tcW w:w="798" w:type="dxa"/>
            <w:tcBorders>
              <w:top w:val="single" w:sz="4" w:space="0" w:color="auto"/>
              <w:left w:val="nil"/>
              <w:bottom w:val="double" w:sz="4" w:space="0" w:color="auto"/>
              <w:right w:val="single" w:sz="4" w:space="0" w:color="auto"/>
            </w:tcBorders>
          </w:tcPr>
          <w:p w14:paraId="3ADB3E29" w14:textId="77777777" w:rsidR="00F102F6" w:rsidRPr="001C57EA" w:rsidRDefault="00F102F6" w:rsidP="004B74A0">
            <w:pPr>
              <w:pStyle w:val="tabteksts"/>
              <w:jc w:val="right"/>
              <w:rPr>
                <w:snapToGrid w:val="0"/>
              </w:rPr>
            </w:pPr>
            <w:r w:rsidRPr="001C57EA">
              <w:rPr>
                <w:snapToGrid w:val="0"/>
              </w:rPr>
              <w:t>32,8</w:t>
            </w:r>
          </w:p>
        </w:tc>
        <w:tc>
          <w:tcPr>
            <w:tcW w:w="797" w:type="dxa"/>
            <w:tcBorders>
              <w:top w:val="single" w:sz="4" w:space="0" w:color="auto"/>
              <w:left w:val="nil"/>
              <w:bottom w:val="double" w:sz="4" w:space="0" w:color="auto"/>
              <w:right w:val="single" w:sz="4" w:space="0" w:color="auto"/>
            </w:tcBorders>
          </w:tcPr>
          <w:p w14:paraId="07EC8736" w14:textId="77777777" w:rsidR="00F102F6" w:rsidRPr="001C57EA" w:rsidRDefault="00F102F6" w:rsidP="004B74A0">
            <w:pPr>
              <w:pStyle w:val="tabteksts"/>
              <w:jc w:val="right"/>
              <w:rPr>
                <w:snapToGrid w:val="0"/>
              </w:rPr>
            </w:pPr>
            <w:r w:rsidRPr="001C57EA">
              <w:rPr>
                <w:snapToGrid w:val="0"/>
              </w:rPr>
              <w:t>30,9</w:t>
            </w:r>
          </w:p>
        </w:tc>
        <w:tc>
          <w:tcPr>
            <w:tcW w:w="798" w:type="dxa"/>
            <w:tcBorders>
              <w:top w:val="single" w:sz="4" w:space="0" w:color="auto"/>
              <w:left w:val="single" w:sz="4" w:space="0" w:color="auto"/>
              <w:bottom w:val="double" w:sz="4" w:space="0" w:color="auto"/>
              <w:right w:val="double" w:sz="4" w:space="0" w:color="auto"/>
            </w:tcBorders>
          </w:tcPr>
          <w:p w14:paraId="180BCDB4" w14:textId="77777777" w:rsidR="00F102F6" w:rsidRPr="001C57EA" w:rsidRDefault="00F102F6" w:rsidP="004B74A0">
            <w:pPr>
              <w:pStyle w:val="tabteksts"/>
              <w:jc w:val="right"/>
              <w:rPr>
                <w:snapToGrid w:val="0"/>
              </w:rPr>
            </w:pPr>
            <w:r w:rsidRPr="001C57EA">
              <w:rPr>
                <w:snapToGrid w:val="0"/>
              </w:rPr>
              <w:t>29,2</w:t>
            </w:r>
          </w:p>
        </w:tc>
      </w:tr>
    </w:tbl>
    <w:p w14:paraId="045BDE31" w14:textId="77777777" w:rsidR="006B5F7D" w:rsidRDefault="006B5F7D" w:rsidP="00F102F6">
      <w:pPr>
        <w:ind w:firstLine="0"/>
        <w:rPr>
          <w:szCs w:val="24"/>
        </w:rPr>
      </w:pPr>
    </w:p>
    <w:p w14:paraId="455B7D83" w14:textId="03458B5A" w:rsidR="008118BE" w:rsidRDefault="008118BE" w:rsidP="001B50EF">
      <w:pPr>
        <w:ind w:firstLine="0"/>
        <w:jc w:val="left"/>
        <w:rPr>
          <w:b/>
          <w:szCs w:val="24"/>
        </w:rPr>
      </w:pPr>
      <w:r w:rsidRPr="00C704FB">
        <w:rPr>
          <w:b/>
          <w:szCs w:val="24"/>
        </w:rPr>
        <w:t>2</w:t>
      </w:r>
      <w:r>
        <w:rPr>
          <w:b/>
          <w:szCs w:val="24"/>
        </w:rPr>
        <w:t>c</w:t>
      </w:r>
      <w:r w:rsidRPr="00C704FB">
        <w:rPr>
          <w:b/>
          <w:szCs w:val="24"/>
        </w:rPr>
        <w:t xml:space="preserve">. tabula. </w:t>
      </w:r>
      <w:r>
        <w:rPr>
          <w:b/>
          <w:szCs w:val="24"/>
        </w:rPr>
        <w:t>Izdevumi, kas tiek izslēgti no izdevumu kritērija</w:t>
      </w:r>
    </w:p>
    <w:tbl>
      <w:tblPr>
        <w:tblW w:w="8931" w:type="dxa"/>
        <w:tblInd w:w="-34" w:type="dxa"/>
        <w:tblLayout w:type="fixed"/>
        <w:tblLook w:val="0000" w:firstRow="0" w:lastRow="0" w:firstColumn="0" w:lastColumn="0" w:noHBand="0" w:noVBand="0"/>
      </w:tblPr>
      <w:tblGrid>
        <w:gridCol w:w="3544"/>
        <w:gridCol w:w="992"/>
        <w:gridCol w:w="851"/>
        <w:gridCol w:w="851"/>
        <w:gridCol w:w="850"/>
        <w:gridCol w:w="850"/>
        <w:gridCol w:w="993"/>
      </w:tblGrid>
      <w:tr w:rsidR="001B50EF" w:rsidRPr="005A6F44" w14:paraId="0632E343" w14:textId="77777777" w:rsidTr="001B50EF">
        <w:trPr>
          <w:cantSplit/>
          <w:tblHeader/>
        </w:trPr>
        <w:tc>
          <w:tcPr>
            <w:tcW w:w="3544" w:type="dxa"/>
            <w:tcBorders>
              <w:top w:val="double" w:sz="4" w:space="0" w:color="auto"/>
              <w:left w:val="double" w:sz="4" w:space="0" w:color="auto"/>
              <w:bottom w:val="single" w:sz="4" w:space="0" w:color="auto"/>
              <w:right w:val="double" w:sz="4" w:space="0" w:color="auto"/>
            </w:tcBorders>
            <w:vAlign w:val="bottom"/>
          </w:tcPr>
          <w:p w14:paraId="480FD286" w14:textId="77777777" w:rsidR="001B50EF" w:rsidRPr="005A6F44" w:rsidRDefault="001B50EF" w:rsidP="00C15091">
            <w:pPr>
              <w:pStyle w:val="tabteksts"/>
              <w:jc w:val="center"/>
              <w:rPr>
                <w:b/>
              </w:rPr>
            </w:pPr>
          </w:p>
        </w:tc>
        <w:tc>
          <w:tcPr>
            <w:tcW w:w="992" w:type="dxa"/>
            <w:tcBorders>
              <w:top w:val="double" w:sz="4" w:space="0" w:color="auto"/>
              <w:left w:val="nil"/>
              <w:bottom w:val="single" w:sz="4" w:space="0" w:color="auto"/>
              <w:right w:val="single" w:sz="4" w:space="0" w:color="auto"/>
            </w:tcBorders>
            <w:vAlign w:val="bottom"/>
          </w:tcPr>
          <w:p w14:paraId="220C3B71" w14:textId="77777777" w:rsidR="001B50EF" w:rsidRPr="005A6F44" w:rsidRDefault="001B50EF" w:rsidP="00C15091">
            <w:pPr>
              <w:pStyle w:val="tabteksts"/>
              <w:jc w:val="center"/>
              <w:rPr>
                <w:b/>
              </w:rPr>
            </w:pPr>
            <w:r>
              <w:rPr>
                <w:b/>
              </w:rPr>
              <w:t>2013</w:t>
            </w:r>
          </w:p>
        </w:tc>
        <w:tc>
          <w:tcPr>
            <w:tcW w:w="851" w:type="dxa"/>
            <w:tcBorders>
              <w:top w:val="double" w:sz="4" w:space="0" w:color="auto"/>
              <w:left w:val="nil"/>
              <w:bottom w:val="single" w:sz="4" w:space="0" w:color="auto"/>
              <w:right w:val="single" w:sz="4" w:space="0" w:color="auto"/>
            </w:tcBorders>
            <w:vAlign w:val="bottom"/>
          </w:tcPr>
          <w:p w14:paraId="4A5132F2" w14:textId="77777777" w:rsidR="001B50EF" w:rsidRPr="005A6F44" w:rsidRDefault="001B50EF" w:rsidP="00C15091">
            <w:pPr>
              <w:pStyle w:val="tabteksts"/>
              <w:jc w:val="center"/>
              <w:rPr>
                <w:b/>
              </w:rPr>
            </w:pPr>
            <w:r>
              <w:rPr>
                <w:b/>
              </w:rPr>
              <w:t>2013</w:t>
            </w:r>
          </w:p>
        </w:tc>
        <w:tc>
          <w:tcPr>
            <w:tcW w:w="851" w:type="dxa"/>
            <w:tcBorders>
              <w:top w:val="double" w:sz="4" w:space="0" w:color="auto"/>
              <w:left w:val="nil"/>
              <w:bottom w:val="single" w:sz="4" w:space="0" w:color="auto"/>
              <w:right w:val="single" w:sz="4" w:space="0" w:color="auto"/>
            </w:tcBorders>
            <w:vAlign w:val="bottom"/>
          </w:tcPr>
          <w:p w14:paraId="281C400A" w14:textId="77777777" w:rsidR="001B50EF" w:rsidRPr="005A6F44" w:rsidRDefault="001B50EF" w:rsidP="00C15091">
            <w:pPr>
              <w:pStyle w:val="tabteksts"/>
              <w:jc w:val="center"/>
              <w:rPr>
                <w:b/>
              </w:rPr>
            </w:pPr>
            <w:r>
              <w:rPr>
                <w:b/>
              </w:rPr>
              <w:t>2014</w:t>
            </w:r>
          </w:p>
        </w:tc>
        <w:tc>
          <w:tcPr>
            <w:tcW w:w="850" w:type="dxa"/>
            <w:tcBorders>
              <w:top w:val="double" w:sz="4" w:space="0" w:color="auto"/>
              <w:left w:val="nil"/>
              <w:bottom w:val="single" w:sz="4" w:space="0" w:color="auto"/>
              <w:right w:val="single" w:sz="4" w:space="0" w:color="auto"/>
            </w:tcBorders>
          </w:tcPr>
          <w:p w14:paraId="5ED1761B" w14:textId="77777777" w:rsidR="001B50EF" w:rsidRPr="005A6F44" w:rsidRDefault="001B50EF" w:rsidP="00C15091">
            <w:pPr>
              <w:pStyle w:val="tabteksts"/>
              <w:jc w:val="center"/>
              <w:rPr>
                <w:b/>
              </w:rPr>
            </w:pPr>
            <w:r>
              <w:rPr>
                <w:b/>
              </w:rPr>
              <w:t>2015</w:t>
            </w:r>
          </w:p>
        </w:tc>
        <w:tc>
          <w:tcPr>
            <w:tcW w:w="850" w:type="dxa"/>
            <w:tcBorders>
              <w:top w:val="double" w:sz="4" w:space="0" w:color="auto"/>
              <w:left w:val="nil"/>
              <w:bottom w:val="single" w:sz="4" w:space="0" w:color="auto"/>
              <w:right w:val="single" w:sz="4" w:space="0" w:color="auto"/>
            </w:tcBorders>
            <w:vAlign w:val="bottom"/>
          </w:tcPr>
          <w:p w14:paraId="24ACC5AC" w14:textId="77777777" w:rsidR="001B50EF" w:rsidRPr="005A6F44" w:rsidRDefault="001B50EF" w:rsidP="00C15091">
            <w:pPr>
              <w:pStyle w:val="tabteksts"/>
              <w:jc w:val="center"/>
              <w:rPr>
                <w:b/>
              </w:rPr>
            </w:pPr>
            <w:r>
              <w:rPr>
                <w:b/>
              </w:rPr>
              <w:t>2016</w:t>
            </w:r>
          </w:p>
        </w:tc>
        <w:tc>
          <w:tcPr>
            <w:tcW w:w="993" w:type="dxa"/>
            <w:tcBorders>
              <w:top w:val="double" w:sz="4" w:space="0" w:color="auto"/>
              <w:left w:val="single" w:sz="4" w:space="0" w:color="auto"/>
              <w:bottom w:val="single" w:sz="4" w:space="0" w:color="auto"/>
              <w:right w:val="double" w:sz="4" w:space="0" w:color="auto"/>
            </w:tcBorders>
            <w:vAlign w:val="bottom"/>
          </w:tcPr>
          <w:p w14:paraId="1328257D" w14:textId="77777777" w:rsidR="001B50EF" w:rsidRPr="005A6F44" w:rsidRDefault="001B50EF" w:rsidP="00C15091">
            <w:pPr>
              <w:pStyle w:val="tabteksts"/>
              <w:jc w:val="center"/>
              <w:rPr>
                <w:b/>
              </w:rPr>
            </w:pPr>
            <w:r>
              <w:rPr>
                <w:b/>
              </w:rPr>
              <w:t>2017</w:t>
            </w:r>
          </w:p>
        </w:tc>
      </w:tr>
      <w:tr w:rsidR="001B50EF" w:rsidRPr="005A6F44" w14:paraId="081747A1" w14:textId="77777777" w:rsidTr="001B50EF">
        <w:trPr>
          <w:cantSplit/>
          <w:tblHeader/>
        </w:trPr>
        <w:tc>
          <w:tcPr>
            <w:tcW w:w="3544" w:type="dxa"/>
            <w:tcBorders>
              <w:top w:val="single" w:sz="4" w:space="0" w:color="auto"/>
              <w:left w:val="double" w:sz="4" w:space="0" w:color="auto"/>
              <w:bottom w:val="single" w:sz="4" w:space="0" w:color="auto"/>
              <w:right w:val="double" w:sz="4" w:space="0" w:color="auto"/>
            </w:tcBorders>
            <w:vAlign w:val="bottom"/>
          </w:tcPr>
          <w:p w14:paraId="69453351" w14:textId="77777777" w:rsidR="001B50EF" w:rsidRPr="005A6F44" w:rsidRDefault="001B50EF" w:rsidP="00C15091">
            <w:pPr>
              <w:pStyle w:val="tabteksts"/>
            </w:pPr>
          </w:p>
        </w:tc>
        <w:tc>
          <w:tcPr>
            <w:tcW w:w="992" w:type="dxa"/>
            <w:tcBorders>
              <w:top w:val="single" w:sz="4" w:space="0" w:color="auto"/>
              <w:left w:val="nil"/>
              <w:bottom w:val="single" w:sz="4" w:space="0" w:color="auto"/>
              <w:right w:val="single" w:sz="4" w:space="0" w:color="auto"/>
            </w:tcBorders>
            <w:vAlign w:val="center"/>
          </w:tcPr>
          <w:p w14:paraId="1ECE8A30" w14:textId="40958C47" w:rsidR="001B50EF" w:rsidRPr="005A6F44" w:rsidRDefault="00582AB5" w:rsidP="00582AB5">
            <w:pPr>
              <w:pStyle w:val="tabteksts"/>
              <w:rPr>
                <w:noProof/>
              </w:rPr>
            </w:pPr>
            <w:r>
              <w:rPr>
                <w:noProof/>
              </w:rPr>
              <w:t>milj.</w:t>
            </w:r>
            <w:r>
              <w:rPr>
                <w:i/>
                <w:noProof/>
              </w:rPr>
              <w:t>euro</w:t>
            </w:r>
          </w:p>
        </w:tc>
        <w:tc>
          <w:tcPr>
            <w:tcW w:w="4395" w:type="dxa"/>
            <w:gridSpan w:val="5"/>
            <w:tcBorders>
              <w:top w:val="single" w:sz="4" w:space="0" w:color="auto"/>
              <w:left w:val="nil"/>
              <w:bottom w:val="single" w:sz="4" w:space="0" w:color="auto"/>
              <w:right w:val="double" w:sz="4" w:space="0" w:color="auto"/>
            </w:tcBorders>
            <w:vAlign w:val="center"/>
          </w:tcPr>
          <w:p w14:paraId="74980C28" w14:textId="77777777" w:rsidR="001B50EF" w:rsidRPr="005A6F44" w:rsidRDefault="001B50EF" w:rsidP="00C15091">
            <w:pPr>
              <w:pStyle w:val="tabteksts"/>
              <w:jc w:val="center"/>
            </w:pPr>
            <w:r w:rsidRPr="005A6F44">
              <w:t>% no IKP</w:t>
            </w:r>
          </w:p>
        </w:tc>
      </w:tr>
      <w:tr w:rsidR="001B50EF" w:rsidRPr="005A6F44" w14:paraId="435EEC94" w14:textId="77777777" w:rsidTr="002622DC">
        <w:trPr>
          <w:cantSplit/>
        </w:trPr>
        <w:tc>
          <w:tcPr>
            <w:tcW w:w="3544" w:type="dxa"/>
            <w:tcBorders>
              <w:top w:val="single" w:sz="4" w:space="0" w:color="auto"/>
              <w:left w:val="double" w:sz="4" w:space="0" w:color="auto"/>
              <w:bottom w:val="single" w:sz="4" w:space="0" w:color="auto"/>
              <w:right w:val="double" w:sz="4" w:space="0" w:color="auto"/>
            </w:tcBorders>
          </w:tcPr>
          <w:p w14:paraId="0023B0F3" w14:textId="77777777" w:rsidR="001B50EF" w:rsidRPr="005A6F44" w:rsidRDefault="001B50EF" w:rsidP="00327E5B">
            <w:pPr>
              <w:pStyle w:val="tabteksts"/>
              <w:jc w:val="both"/>
              <w:rPr>
                <w:snapToGrid w:val="0"/>
              </w:rPr>
            </w:pPr>
            <w:r w:rsidRPr="005A6F44">
              <w:rPr>
                <w:snapToGrid w:val="0"/>
              </w:rPr>
              <w:t>1. Izdevumi ārvalstu finanšu palīdzības projektiem,  kas atbilst saņemtajiem ārvalstu finanšu palīdzības ieņēmumiem</w:t>
            </w:r>
          </w:p>
        </w:tc>
        <w:tc>
          <w:tcPr>
            <w:tcW w:w="992" w:type="dxa"/>
            <w:tcBorders>
              <w:top w:val="single" w:sz="4" w:space="0" w:color="auto"/>
              <w:left w:val="nil"/>
              <w:bottom w:val="single" w:sz="4" w:space="0" w:color="auto"/>
              <w:right w:val="single" w:sz="4" w:space="0" w:color="auto"/>
            </w:tcBorders>
            <w:vAlign w:val="center"/>
          </w:tcPr>
          <w:p w14:paraId="74481C5C" w14:textId="77777777" w:rsidR="001B50EF" w:rsidRPr="00BC2325" w:rsidRDefault="001B50EF" w:rsidP="002622DC">
            <w:pPr>
              <w:pStyle w:val="tabteksts"/>
              <w:jc w:val="right"/>
              <w:rPr>
                <w:snapToGrid w:val="0"/>
              </w:rPr>
            </w:pPr>
            <w:r w:rsidRPr="00BC2325">
              <w:rPr>
                <w:snapToGrid w:val="0"/>
              </w:rPr>
              <w:t>1100,5</w:t>
            </w:r>
          </w:p>
        </w:tc>
        <w:tc>
          <w:tcPr>
            <w:tcW w:w="851" w:type="dxa"/>
            <w:tcBorders>
              <w:top w:val="single" w:sz="4" w:space="0" w:color="auto"/>
              <w:left w:val="nil"/>
              <w:bottom w:val="single" w:sz="4" w:space="0" w:color="auto"/>
              <w:right w:val="single" w:sz="4" w:space="0" w:color="auto"/>
            </w:tcBorders>
            <w:vAlign w:val="center"/>
          </w:tcPr>
          <w:p w14:paraId="0D74FD92" w14:textId="77777777" w:rsidR="001B50EF" w:rsidRPr="00BC2325" w:rsidRDefault="001B50EF" w:rsidP="002622DC">
            <w:pPr>
              <w:pStyle w:val="tabteksts"/>
              <w:jc w:val="right"/>
              <w:rPr>
                <w:snapToGrid w:val="0"/>
              </w:rPr>
            </w:pPr>
            <w:r w:rsidRPr="00BC2325">
              <w:rPr>
                <w:snapToGrid w:val="0"/>
              </w:rPr>
              <w:t>4,7</w:t>
            </w:r>
          </w:p>
        </w:tc>
        <w:tc>
          <w:tcPr>
            <w:tcW w:w="851" w:type="dxa"/>
            <w:tcBorders>
              <w:top w:val="single" w:sz="4" w:space="0" w:color="auto"/>
              <w:left w:val="nil"/>
              <w:bottom w:val="single" w:sz="4" w:space="0" w:color="auto"/>
              <w:right w:val="single" w:sz="4" w:space="0" w:color="auto"/>
            </w:tcBorders>
            <w:vAlign w:val="center"/>
          </w:tcPr>
          <w:p w14:paraId="5C308D8C" w14:textId="77777777" w:rsidR="001B50EF" w:rsidRPr="005A6F44" w:rsidRDefault="001B50EF" w:rsidP="002622DC">
            <w:pPr>
              <w:pStyle w:val="tabteksts"/>
              <w:jc w:val="right"/>
              <w:rPr>
                <w:snapToGrid w:val="0"/>
              </w:rPr>
            </w:pPr>
            <w:r w:rsidRPr="00BC2325">
              <w:rPr>
                <w:snapToGrid w:val="0"/>
              </w:rPr>
              <w:t>4,6</w:t>
            </w:r>
          </w:p>
        </w:tc>
        <w:tc>
          <w:tcPr>
            <w:tcW w:w="850" w:type="dxa"/>
            <w:tcBorders>
              <w:top w:val="single" w:sz="4" w:space="0" w:color="auto"/>
              <w:left w:val="nil"/>
              <w:bottom w:val="single" w:sz="4" w:space="0" w:color="auto"/>
              <w:right w:val="single" w:sz="4" w:space="0" w:color="auto"/>
            </w:tcBorders>
            <w:vAlign w:val="center"/>
          </w:tcPr>
          <w:p w14:paraId="4DB326F3" w14:textId="77777777" w:rsidR="001B50EF" w:rsidRPr="005A6F44" w:rsidRDefault="001B50EF" w:rsidP="002622DC">
            <w:pPr>
              <w:pStyle w:val="tabteksts"/>
              <w:jc w:val="right"/>
              <w:rPr>
                <w:snapToGrid w:val="0"/>
              </w:rPr>
            </w:pPr>
            <w:r w:rsidRPr="00BC2325">
              <w:rPr>
                <w:snapToGrid w:val="0"/>
              </w:rPr>
              <w:t>4,1</w:t>
            </w:r>
          </w:p>
        </w:tc>
        <w:tc>
          <w:tcPr>
            <w:tcW w:w="850" w:type="dxa"/>
            <w:tcBorders>
              <w:top w:val="single" w:sz="4" w:space="0" w:color="auto"/>
              <w:left w:val="nil"/>
              <w:bottom w:val="single" w:sz="4" w:space="0" w:color="auto"/>
              <w:right w:val="single" w:sz="4" w:space="0" w:color="auto"/>
            </w:tcBorders>
            <w:vAlign w:val="center"/>
          </w:tcPr>
          <w:p w14:paraId="6CEA121D" w14:textId="77777777" w:rsidR="001B50EF" w:rsidRPr="005A6F44" w:rsidRDefault="001B50EF" w:rsidP="002622DC">
            <w:pPr>
              <w:pStyle w:val="tabteksts"/>
              <w:jc w:val="right"/>
              <w:rPr>
                <w:snapToGrid w:val="0"/>
              </w:rPr>
            </w:pPr>
            <w:r w:rsidRPr="00BC2325">
              <w:rPr>
                <w:snapToGrid w:val="0"/>
              </w:rPr>
              <w:t>3,8</w:t>
            </w:r>
          </w:p>
        </w:tc>
        <w:tc>
          <w:tcPr>
            <w:tcW w:w="993" w:type="dxa"/>
            <w:tcBorders>
              <w:top w:val="single" w:sz="4" w:space="0" w:color="auto"/>
              <w:left w:val="single" w:sz="4" w:space="0" w:color="auto"/>
              <w:bottom w:val="single" w:sz="4" w:space="0" w:color="auto"/>
              <w:right w:val="double" w:sz="4" w:space="0" w:color="auto"/>
            </w:tcBorders>
            <w:vAlign w:val="center"/>
          </w:tcPr>
          <w:p w14:paraId="6AC5DA91" w14:textId="77777777" w:rsidR="001B50EF" w:rsidRPr="005A6F44" w:rsidRDefault="001B50EF" w:rsidP="002622DC">
            <w:pPr>
              <w:pStyle w:val="tabteksts"/>
              <w:jc w:val="right"/>
              <w:rPr>
                <w:snapToGrid w:val="0"/>
              </w:rPr>
            </w:pPr>
            <w:r w:rsidRPr="00BC2325">
              <w:rPr>
                <w:snapToGrid w:val="0"/>
              </w:rPr>
              <w:t>3,6</w:t>
            </w:r>
          </w:p>
        </w:tc>
      </w:tr>
      <w:tr w:rsidR="001B50EF" w:rsidRPr="005A6F44" w14:paraId="67766B66" w14:textId="77777777" w:rsidTr="002622DC">
        <w:trPr>
          <w:cantSplit/>
        </w:trPr>
        <w:tc>
          <w:tcPr>
            <w:tcW w:w="3544" w:type="dxa"/>
            <w:tcBorders>
              <w:top w:val="single" w:sz="4" w:space="0" w:color="auto"/>
              <w:left w:val="double" w:sz="4" w:space="0" w:color="auto"/>
              <w:bottom w:val="single" w:sz="4" w:space="0" w:color="auto"/>
              <w:right w:val="double" w:sz="4" w:space="0" w:color="auto"/>
            </w:tcBorders>
          </w:tcPr>
          <w:p w14:paraId="2BA6C601" w14:textId="77777777" w:rsidR="001B50EF" w:rsidRPr="005A6F44" w:rsidRDefault="001B50EF" w:rsidP="00327E5B">
            <w:pPr>
              <w:pStyle w:val="tabteksts"/>
              <w:jc w:val="both"/>
              <w:rPr>
                <w:snapToGrid w:val="0"/>
              </w:rPr>
            </w:pPr>
            <w:r w:rsidRPr="005A6F44">
              <w:rPr>
                <w:snapToGrid w:val="0"/>
              </w:rPr>
              <w:t>2. Cikliskie izdevumi bezdarbnieku pabalstiem</w:t>
            </w:r>
          </w:p>
        </w:tc>
        <w:tc>
          <w:tcPr>
            <w:tcW w:w="992" w:type="dxa"/>
            <w:tcBorders>
              <w:top w:val="single" w:sz="4" w:space="0" w:color="auto"/>
              <w:left w:val="nil"/>
              <w:bottom w:val="single" w:sz="4" w:space="0" w:color="auto"/>
              <w:right w:val="single" w:sz="4" w:space="0" w:color="auto"/>
            </w:tcBorders>
            <w:vAlign w:val="center"/>
          </w:tcPr>
          <w:p w14:paraId="3806DED8" w14:textId="77777777" w:rsidR="001B50EF" w:rsidRPr="005A6F44" w:rsidRDefault="001B50EF" w:rsidP="002622DC">
            <w:pPr>
              <w:pStyle w:val="tabteksts"/>
              <w:jc w:val="right"/>
              <w:rPr>
                <w:snapToGrid w:val="0"/>
              </w:rPr>
            </w:pPr>
            <w:r w:rsidRPr="005A6F44">
              <w:rPr>
                <w:snapToGrid w:val="0"/>
              </w:rPr>
              <w:t>0,0</w:t>
            </w:r>
          </w:p>
        </w:tc>
        <w:tc>
          <w:tcPr>
            <w:tcW w:w="851" w:type="dxa"/>
            <w:tcBorders>
              <w:top w:val="single" w:sz="4" w:space="0" w:color="auto"/>
              <w:left w:val="nil"/>
              <w:bottom w:val="single" w:sz="4" w:space="0" w:color="auto"/>
              <w:right w:val="single" w:sz="4" w:space="0" w:color="auto"/>
            </w:tcBorders>
            <w:vAlign w:val="center"/>
          </w:tcPr>
          <w:p w14:paraId="7A9FCD12" w14:textId="77777777" w:rsidR="001B50EF" w:rsidRPr="005A6F44" w:rsidRDefault="001B50EF" w:rsidP="002622DC">
            <w:pPr>
              <w:pStyle w:val="tabteksts"/>
              <w:jc w:val="right"/>
              <w:rPr>
                <w:snapToGrid w:val="0"/>
              </w:rPr>
            </w:pPr>
            <w:r w:rsidRPr="005A6F44">
              <w:rPr>
                <w:snapToGrid w:val="0"/>
              </w:rPr>
              <w:t>0,0</w:t>
            </w:r>
          </w:p>
        </w:tc>
        <w:tc>
          <w:tcPr>
            <w:tcW w:w="851" w:type="dxa"/>
            <w:tcBorders>
              <w:top w:val="single" w:sz="4" w:space="0" w:color="auto"/>
              <w:left w:val="nil"/>
              <w:bottom w:val="single" w:sz="4" w:space="0" w:color="auto"/>
              <w:right w:val="single" w:sz="4" w:space="0" w:color="auto"/>
            </w:tcBorders>
            <w:vAlign w:val="center"/>
          </w:tcPr>
          <w:p w14:paraId="5F8B2C1D" w14:textId="77777777" w:rsidR="001B50EF" w:rsidRPr="005A6F44" w:rsidRDefault="001B50EF" w:rsidP="002622DC">
            <w:pPr>
              <w:pStyle w:val="tabteksts"/>
              <w:jc w:val="right"/>
              <w:rPr>
                <w:snapToGrid w:val="0"/>
              </w:rPr>
            </w:pPr>
            <w:r w:rsidRPr="005A6F44">
              <w:rPr>
                <w:snapToGrid w:val="0"/>
              </w:rPr>
              <w:t>0,0</w:t>
            </w:r>
          </w:p>
        </w:tc>
        <w:tc>
          <w:tcPr>
            <w:tcW w:w="850" w:type="dxa"/>
            <w:tcBorders>
              <w:top w:val="single" w:sz="4" w:space="0" w:color="auto"/>
              <w:left w:val="nil"/>
              <w:bottom w:val="single" w:sz="4" w:space="0" w:color="auto"/>
              <w:right w:val="single" w:sz="4" w:space="0" w:color="auto"/>
            </w:tcBorders>
            <w:vAlign w:val="center"/>
          </w:tcPr>
          <w:p w14:paraId="7928490C" w14:textId="77777777" w:rsidR="001B50EF" w:rsidRPr="005A6F44" w:rsidRDefault="001B50EF" w:rsidP="002622DC">
            <w:pPr>
              <w:pStyle w:val="tabteksts"/>
              <w:jc w:val="right"/>
              <w:rPr>
                <w:snapToGrid w:val="0"/>
              </w:rPr>
            </w:pPr>
            <w:r w:rsidRPr="005A6F44">
              <w:rPr>
                <w:snapToGrid w:val="0"/>
              </w:rPr>
              <w:t>0,0</w:t>
            </w:r>
          </w:p>
        </w:tc>
        <w:tc>
          <w:tcPr>
            <w:tcW w:w="850" w:type="dxa"/>
            <w:tcBorders>
              <w:top w:val="single" w:sz="4" w:space="0" w:color="auto"/>
              <w:left w:val="nil"/>
              <w:bottom w:val="single" w:sz="4" w:space="0" w:color="auto"/>
              <w:right w:val="single" w:sz="4" w:space="0" w:color="auto"/>
            </w:tcBorders>
            <w:vAlign w:val="center"/>
          </w:tcPr>
          <w:p w14:paraId="19873C82" w14:textId="77777777" w:rsidR="001B50EF" w:rsidRPr="005A6F44" w:rsidRDefault="001B50EF" w:rsidP="002622DC">
            <w:pPr>
              <w:pStyle w:val="tabteksts"/>
              <w:jc w:val="right"/>
              <w:rPr>
                <w:snapToGrid w:val="0"/>
              </w:rPr>
            </w:pPr>
            <w:r w:rsidRPr="005A6F44">
              <w:rPr>
                <w:snapToGrid w:val="0"/>
              </w:rPr>
              <w:t>0,0</w:t>
            </w:r>
          </w:p>
        </w:tc>
        <w:tc>
          <w:tcPr>
            <w:tcW w:w="993" w:type="dxa"/>
            <w:tcBorders>
              <w:top w:val="single" w:sz="4" w:space="0" w:color="auto"/>
              <w:left w:val="single" w:sz="4" w:space="0" w:color="auto"/>
              <w:bottom w:val="single" w:sz="4" w:space="0" w:color="auto"/>
              <w:right w:val="double" w:sz="4" w:space="0" w:color="auto"/>
            </w:tcBorders>
            <w:vAlign w:val="center"/>
          </w:tcPr>
          <w:p w14:paraId="74291779" w14:textId="77777777" w:rsidR="001B50EF" w:rsidRPr="005A6F44" w:rsidRDefault="001B50EF" w:rsidP="002622DC">
            <w:pPr>
              <w:pStyle w:val="tabteksts"/>
              <w:jc w:val="right"/>
              <w:rPr>
                <w:snapToGrid w:val="0"/>
              </w:rPr>
            </w:pPr>
            <w:r w:rsidRPr="005A6F44">
              <w:rPr>
                <w:snapToGrid w:val="0"/>
              </w:rPr>
              <w:t>0,0</w:t>
            </w:r>
          </w:p>
        </w:tc>
      </w:tr>
      <w:tr w:rsidR="001B50EF" w:rsidRPr="005A6F44" w14:paraId="7B89AEF8" w14:textId="77777777" w:rsidTr="002622DC">
        <w:trPr>
          <w:cantSplit/>
        </w:trPr>
        <w:tc>
          <w:tcPr>
            <w:tcW w:w="3544" w:type="dxa"/>
            <w:tcBorders>
              <w:top w:val="single" w:sz="4" w:space="0" w:color="auto"/>
              <w:left w:val="double" w:sz="4" w:space="0" w:color="auto"/>
              <w:bottom w:val="single" w:sz="4" w:space="0" w:color="auto"/>
              <w:right w:val="double" w:sz="4" w:space="0" w:color="auto"/>
            </w:tcBorders>
          </w:tcPr>
          <w:p w14:paraId="45031E5E" w14:textId="77777777" w:rsidR="001B50EF" w:rsidRPr="005A6F44" w:rsidRDefault="001B50EF" w:rsidP="00327E5B">
            <w:pPr>
              <w:pStyle w:val="tabteksts"/>
              <w:jc w:val="both"/>
              <w:rPr>
                <w:snapToGrid w:val="0"/>
              </w:rPr>
            </w:pPr>
            <w:r w:rsidRPr="005A6F44">
              <w:rPr>
                <w:snapToGrid w:val="0"/>
              </w:rPr>
              <w:t xml:space="preserve">3. </w:t>
            </w:r>
            <w:proofErr w:type="spellStart"/>
            <w:r w:rsidRPr="005A6F44">
              <w:rPr>
                <w:snapToGrid w:val="0"/>
              </w:rPr>
              <w:t>Diskrecionāri</w:t>
            </w:r>
            <w:proofErr w:type="spellEnd"/>
            <w:r w:rsidRPr="005A6F44">
              <w:rPr>
                <w:snapToGrid w:val="0"/>
              </w:rPr>
              <w:t xml:space="preserve"> ieņēmumu pasākumi</w:t>
            </w:r>
          </w:p>
        </w:tc>
        <w:tc>
          <w:tcPr>
            <w:tcW w:w="992" w:type="dxa"/>
            <w:tcBorders>
              <w:top w:val="single" w:sz="4" w:space="0" w:color="auto"/>
              <w:left w:val="nil"/>
              <w:bottom w:val="single" w:sz="4" w:space="0" w:color="auto"/>
              <w:right w:val="single" w:sz="4" w:space="0" w:color="auto"/>
            </w:tcBorders>
            <w:vAlign w:val="center"/>
          </w:tcPr>
          <w:p w14:paraId="23B0CEB9" w14:textId="77777777" w:rsidR="001B50EF" w:rsidRPr="005A6F44" w:rsidRDefault="001B50EF" w:rsidP="002622DC">
            <w:pPr>
              <w:pStyle w:val="tabteksts"/>
              <w:jc w:val="right"/>
              <w:rPr>
                <w:snapToGrid w:val="0"/>
              </w:rPr>
            </w:pPr>
            <w:r w:rsidRPr="00BC2325">
              <w:rPr>
                <w:snapToGrid w:val="0"/>
              </w:rPr>
              <w:t>-58,0</w:t>
            </w:r>
          </w:p>
        </w:tc>
        <w:tc>
          <w:tcPr>
            <w:tcW w:w="851" w:type="dxa"/>
            <w:tcBorders>
              <w:top w:val="single" w:sz="4" w:space="0" w:color="auto"/>
              <w:left w:val="nil"/>
              <w:bottom w:val="single" w:sz="4" w:space="0" w:color="auto"/>
              <w:right w:val="single" w:sz="4" w:space="0" w:color="auto"/>
            </w:tcBorders>
            <w:vAlign w:val="center"/>
          </w:tcPr>
          <w:p w14:paraId="50F74920" w14:textId="77777777" w:rsidR="001B50EF" w:rsidRPr="005A6F44" w:rsidRDefault="001B50EF" w:rsidP="002622DC">
            <w:pPr>
              <w:pStyle w:val="tabteksts"/>
              <w:jc w:val="right"/>
              <w:rPr>
                <w:snapToGrid w:val="0"/>
              </w:rPr>
            </w:pPr>
            <w:r w:rsidRPr="00831DE0">
              <w:t>-0,2</w:t>
            </w:r>
          </w:p>
        </w:tc>
        <w:tc>
          <w:tcPr>
            <w:tcW w:w="851" w:type="dxa"/>
            <w:tcBorders>
              <w:top w:val="single" w:sz="4" w:space="0" w:color="auto"/>
              <w:left w:val="nil"/>
              <w:bottom w:val="single" w:sz="4" w:space="0" w:color="auto"/>
              <w:right w:val="single" w:sz="4" w:space="0" w:color="auto"/>
            </w:tcBorders>
            <w:vAlign w:val="center"/>
          </w:tcPr>
          <w:p w14:paraId="39BD3A20" w14:textId="77777777" w:rsidR="001B50EF" w:rsidRPr="005A6F44" w:rsidRDefault="001B50EF" w:rsidP="002622DC">
            <w:pPr>
              <w:pStyle w:val="tabteksts"/>
              <w:jc w:val="right"/>
              <w:rPr>
                <w:snapToGrid w:val="0"/>
              </w:rPr>
            </w:pPr>
            <w:r w:rsidRPr="00831DE0">
              <w:t>0,1</w:t>
            </w:r>
          </w:p>
        </w:tc>
        <w:tc>
          <w:tcPr>
            <w:tcW w:w="850" w:type="dxa"/>
            <w:tcBorders>
              <w:top w:val="single" w:sz="4" w:space="0" w:color="auto"/>
              <w:left w:val="nil"/>
              <w:bottom w:val="single" w:sz="4" w:space="0" w:color="auto"/>
              <w:right w:val="single" w:sz="4" w:space="0" w:color="auto"/>
            </w:tcBorders>
            <w:vAlign w:val="center"/>
          </w:tcPr>
          <w:p w14:paraId="2B6BADE0" w14:textId="77777777" w:rsidR="001B50EF" w:rsidRPr="005A6F44" w:rsidRDefault="001B50EF" w:rsidP="002622DC">
            <w:pPr>
              <w:pStyle w:val="tabteksts"/>
              <w:jc w:val="right"/>
              <w:rPr>
                <w:snapToGrid w:val="0"/>
              </w:rPr>
            </w:pPr>
            <w:r w:rsidRPr="00831DE0">
              <w:t>-0,2</w:t>
            </w:r>
          </w:p>
        </w:tc>
        <w:tc>
          <w:tcPr>
            <w:tcW w:w="850" w:type="dxa"/>
            <w:tcBorders>
              <w:top w:val="single" w:sz="4" w:space="0" w:color="auto"/>
              <w:left w:val="nil"/>
              <w:bottom w:val="single" w:sz="4" w:space="0" w:color="auto"/>
              <w:right w:val="single" w:sz="4" w:space="0" w:color="auto"/>
            </w:tcBorders>
            <w:vAlign w:val="center"/>
          </w:tcPr>
          <w:p w14:paraId="5CFA3274" w14:textId="77777777" w:rsidR="001B50EF" w:rsidRPr="005A6F44" w:rsidRDefault="001B50EF" w:rsidP="002622DC">
            <w:pPr>
              <w:pStyle w:val="tabteksts"/>
              <w:jc w:val="right"/>
              <w:rPr>
                <w:snapToGrid w:val="0"/>
              </w:rPr>
            </w:pPr>
            <w:r w:rsidRPr="00831DE0">
              <w:t>-0,3</w:t>
            </w:r>
          </w:p>
        </w:tc>
        <w:tc>
          <w:tcPr>
            <w:tcW w:w="993" w:type="dxa"/>
            <w:tcBorders>
              <w:top w:val="single" w:sz="4" w:space="0" w:color="auto"/>
              <w:left w:val="single" w:sz="4" w:space="0" w:color="auto"/>
              <w:bottom w:val="single" w:sz="4" w:space="0" w:color="auto"/>
              <w:right w:val="double" w:sz="4" w:space="0" w:color="auto"/>
            </w:tcBorders>
            <w:vAlign w:val="center"/>
          </w:tcPr>
          <w:p w14:paraId="056E824E" w14:textId="77777777" w:rsidR="001B50EF" w:rsidRPr="005A6F44" w:rsidRDefault="001B50EF" w:rsidP="002622DC">
            <w:pPr>
              <w:pStyle w:val="tabteksts"/>
              <w:jc w:val="right"/>
              <w:rPr>
                <w:snapToGrid w:val="0"/>
              </w:rPr>
            </w:pPr>
            <w:r w:rsidRPr="00831DE0">
              <w:t>0,0</w:t>
            </w:r>
          </w:p>
        </w:tc>
      </w:tr>
      <w:tr w:rsidR="001B50EF" w:rsidRPr="005A6F44" w14:paraId="58A31713" w14:textId="77777777" w:rsidTr="002622DC">
        <w:trPr>
          <w:cantSplit/>
        </w:trPr>
        <w:tc>
          <w:tcPr>
            <w:tcW w:w="3544" w:type="dxa"/>
            <w:tcBorders>
              <w:top w:val="single" w:sz="4" w:space="0" w:color="auto"/>
              <w:left w:val="double" w:sz="4" w:space="0" w:color="auto"/>
              <w:bottom w:val="double" w:sz="4" w:space="0" w:color="auto"/>
              <w:right w:val="double" w:sz="4" w:space="0" w:color="auto"/>
            </w:tcBorders>
          </w:tcPr>
          <w:p w14:paraId="6C0A489E" w14:textId="77777777" w:rsidR="001B50EF" w:rsidRPr="005A6F44" w:rsidRDefault="001B50EF" w:rsidP="00327E5B">
            <w:pPr>
              <w:pStyle w:val="tabteksts"/>
              <w:jc w:val="both"/>
              <w:rPr>
                <w:snapToGrid w:val="0"/>
              </w:rPr>
            </w:pPr>
            <w:r w:rsidRPr="005A6F44">
              <w:rPr>
                <w:snapToGrid w:val="0"/>
              </w:rPr>
              <w:t xml:space="preserve">4. </w:t>
            </w:r>
            <w:r w:rsidRPr="005A6F44">
              <w:rPr>
                <w:noProof/>
                <w:snapToGrid w:val="0"/>
              </w:rPr>
              <w:t>Ieņēmumu palielinājums, kas apstiprināts ar likumu</w:t>
            </w:r>
          </w:p>
        </w:tc>
        <w:tc>
          <w:tcPr>
            <w:tcW w:w="992" w:type="dxa"/>
            <w:tcBorders>
              <w:top w:val="single" w:sz="4" w:space="0" w:color="auto"/>
              <w:left w:val="nil"/>
              <w:bottom w:val="double" w:sz="4" w:space="0" w:color="auto"/>
              <w:right w:val="single" w:sz="4" w:space="0" w:color="auto"/>
            </w:tcBorders>
            <w:vAlign w:val="center"/>
          </w:tcPr>
          <w:p w14:paraId="6190BE39" w14:textId="77777777" w:rsidR="001B50EF" w:rsidRPr="005A6F44" w:rsidRDefault="001B50EF" w:rsidP="002622DC">
            <w:pPr>
              <w:pStyle w:val="tabteksts"/>
              <w:jc w:val="right"/>
              <w:rPr>
                <w:snapToGrid w:val="0"/>
              </w:rPr>
            </w:pPr>
            <w:r w:rsidRPr="005A6F44">
              <w:rPr>
                <w:snapToGrid w:val="0"/>
              </w:rPr>
              <w:t>0,0</w:t>
            </w:r>
          </w:p>
        </w:tc>
        <w:tc>
          <w:tcPr>
            <w:tcW w:w="851" w:type="dxa"/>
            <w:tcBorders>
              <w:top w:val="single" w:sz="4" w:space="0" w:color="auto"/>
              <w:left w:val="nil"/>
              <w:bottom w:val="double" w:sz="4" w:space="0" w:color="auto"/>
              <w:right w:val="single" w:sz="4" w:space="0" w:color="auto"/>
            </w:tcBorders>
            <w:vAlign w:val="center"/>
          </w:tcPr>
          <w:p w14:paraId="08DE6F0C" w14:textId="77777777" w:rsidR="001B50EF" w:rsidRPr="005A6F44" w:rsidRDefault="001B50EF" w:rsidP="002622DC">
            <w:pPr>
              <w:pStyle w:val="tabteksts"/>
              <w:jc w:val="right"/>
              <w:rPr>
                <w:snapToGrid w:val="0"/>
              </w:rPr>
            </w:pPr>
            <w:r w:rsidRPr="005A6F44">
              <w:rPr>
                <w:snapToGrid w:val="0"/>
              </w:rPr>
              <w:t>0,0</w:t>
            </w:r>
          </w:p>
        </w:tc>
        <w:tc>
          <w:tcPr>
            <w:tcW w:w="851" w:type="dxa"/>
            <w:tcBorders>
              <w:top w:val="single" w:sz="4" w:space="0" w:color="auto"/>
              <w:left w:val="nil"/>
              <w:bottom w:val="double" w:sz="4" w:space="0" w:color="auto"/>
              <w:right w:val="single" w:sz="4" w:space="0" w:color="auto"/>
            </w:tcBorders>
            <w:vAlign w:val="center"/>
          </w:tcPr>
          <w:p w14:paraId="5856C6C5" w14:textId="77777777" w:rsidR="001B50EF" w:rsidRPr="005A6F44" w:rsidRDefault="001B50EF" w:rsidP="002622DC">
            <w:pPr>
              <w:pStyle w:val="tabteksts"/>
              <w:jc w:val="right"/>
              <w:rPr>
                <w:snapToGrid w:val="0"/>
              </w:rPr>
            </w:pPr>
            <w:r w:rsidRPr="005A6F44">
              <w:rPr>
                <w:snapToGrid w:val="0"/>
              </w:rPr>
              <w:t>0,0</w:t>
            </w:r>
          </w:p>
        </w:tc>
        <w:tc>
          <w:tcPr>
            <w:tcW w:w="850" w:type="dxa"/>
            <w:tcBorders>
              <w:top w:val="single" w:sz="4" w:space="0" w:color="auto"/>
              <w:left w:val="nil"/>
              <w:bottom w:val="double" w:sz="4" w:space="0" w:color="auto"/>
              <w:right w:val="single" w:sz="4" w:space="0" w:color="auto"/>
            </w:tcBorders>
            <w:vAlign w:val="center"/>
          </w:tcPr>
          <w:p w14:paraId="1414623D" w14:textId="77777777" w:rsidR="001B50EF" w:rsidRPr="005A6F44" w:rsidRDefault="001B50EF" w:rsidP="002622DC">
            <w:pPr>
              <w:pStyle w:val="tabteksts"/>
              <w:jc w:val="right"/>
              <w:rPr>
                <w:snapToGrid w:val="0"/>
              </w:rPr>
            </w:pPr>
            <w:r w:rsidRPr="005A6F44">
              <w:rPr>
                <w:snapToGrid w:val="0"/>
              </w:rPr>
              <w:t>0,0</w:t>
            </w:r>
          </w:p>
        </w:tc>
        <w:tc>
          <w:tcPr>
            <w:tcW w:w="850" w:type="dxa"/>
            <w:tcBorders>
              <w:top w:val="single" w:sz="4" w:space="0" w:color="auto"/>
              <w:left w:val="nil"/>
              <w:bottom w:val="double" w:sz="4" w:space="0" w:color="auto"/>
              <w:right w:val="single" w:sz="4" w:space="0" w:color="auto"/>
            </w:tcBorders>
            <w:vAlign w:val="center"/>
          </w:tcPr>
          <w:p w14:paraId="6D097C80" w14:textId="77777777" w:rsidR="001B50EF" w:rsidRPr="005A6F44" w:rsidRDefault="001B50EF" w:rsidP="002622DC">
            <w:pPr>
              <w:pStyle w:val="tabteksts"/>
              <w:jc w:val="right"/>
              <w:rPr>
                <w:snapToGrid w:val="0"/>
              </w:rPr>
            </w:pPr>
            <w:r w:rsidRPr="005A6F44">
              <w:rPr>
                <w:snapToGrid w:val="0"/>
              </w:rPr>
              <w:t>0,0</w:t>
            </w:r>
          </w:p>
        </w:tc>
        <w:tc>
          <w:tcPr>
            <w:tcW w:w="993" w:type="dxa"/>
            <w:tcBorders>
              <w:top w:val="single" w:sz="4" w:space="0" w:color="auto"/>
              <w:left w:val="single" w:sz="4" w:space="0" w:color="auto"/>
              <w:bottom w:val="double" w:sz="4" w:space="0" w:color="auto"/>
              <w:right w:val="double" w:sz="4" w:space="0" w:color="auto"/>
            </w:tcBorders>
            <w:vAlign w:val="center"/>
          </w:tcPr>
          <w:p w14:paraId="1FFA1923" w14:textId="77777777" w:rsidR="001B50EF" w:rsidRPr="005A6F44" w:rsidRDefault="001B50EF" w:rsidP="002622DC">
            <w:pPr>
              <w:pStyle w:val="tabteksts"/>
              <w:jc w:val="right"/>
              <w:rPr>
                <w:snapToGrid w:val="0"/>
              </w:rPr>
            </w:pPr>
            <w:r w:rsidRPr="005A6F44">
              <w:rPr>
                <w:snapToGrid w:val="0"/>
              </w:rPr>
              <w:t>0,0</w:t>
            </w:r>
          </w:p>
        </w:tc>
      </w:tr>
    </w:tbl>
    <w:p w14:paraId="1DFFAA3A" w14:textId="77777777" w:rsidR="001B50EF" w:rsidRPr="001B50EF" w:rsidRDefault="001B50EF" w:rsidP="001B50EF">
      <w:pPr>
        <w:ind w:hanging="142"/>
        <w:jc w:val="left"/>
        <w:rPr>
          <w:b/>
          <w:szCs w:val="24"/>
        </w:rPr>
      </w:pPr>
    </w:p>
    <w:p w14:paraId="5367BEEA" w14:textId="77777777" w:rsidR="006B5F7D" w:rsidRPr="00E55E7F" w:rsidRDefault="006B5F7D" w:rsidP="006B5F7D">
      <w:pPr>
        <w:ind w:firstLine="0"/>
        <w:jc w:val="left"/>
        <w:rPr>
          <w:b/>
          <w:szCs w:val="24"/>
        </w:rPr>
      </w:pPr>
      <w:r w:rsidRPr="00E55E7F">
        <w:rPr>
          <w:b/>
          <w:szCs w:val="24"/>
        </w:rPr>
        <w:t>3. tabula. Vispārējās valdības izdevumi funkciju sadalījumā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9"/>
        <w:gridCol w:w="952"/>
        <w:gridCol w:w="797"/>
        <w:gridCol w:w="798"/>
      </w:tblGrid>
      <w:tr w:rsidR="00F102F6" w:rsidRPr="00C704FB" w14:paraId="2340FAF1" w14:textId="77777777" w:rsidTr="00AB6336">
        <w:trPr>
          <w:tblHeader/>
        </w:trPr>
        <w:tc>
          <w:tcPr>
            <w:tcW w:w="4029" w:type="dxa"/>
            <w:tcBorders>
              <w:top w:val="double" w:sz="4" w:space="0" w:color="auto"/>
              <w:left w:val="double" w:sz="4" w:space="0" w:color="auto"/>
              <w:bottom w:val="double" w:sz="4" w:space="0" w:color="auto"/>
            </w:tcBorders>
            <w:vAlign w:val="center"/>
          </w:tcPr>
          <w:p w14:paraId="609ACF49" w14:textId="77777777" w:rsidR="00F102F6" w:rsidRPr="00C704FB" w:rsidRDefault="00F102F6" w:rsidP="00AB6336">
            <w:pPr>
              <w:pStyle w:val="tabteksts"/>
            </w:pPr>
            <w:r w:rsidRPr="00C704FB">
              <w:t>% no IKP</w:t>
            </w:r>
          </w:p>
        </w:tc>
        <w:tc>
          <w:tcPr>
            <w:tcW w:w="952" w:type="dxa"/>
            <w:tcBorders>
              <w:top w:val="double" w:sz="4" w:space="0" w:color="auto"/>
              <w:bottom w:val="double" w:sz="4" w:space="0" w:color="auto"/>
              <w:right w:val="double" w:sz="4" w:space="0" w:color="auto"/>
            </w:tcBorders>
          </w:tcPr>
          <w:p w14:paraId="2E0F0E72" w14:textId="77777777" w:rsidR="00F102F6" w:rsidRPr="00C704FB" w:rsidRDefault="00F102F6" w:rsidP="00C15091">
            <w:pPr>
              <w:pStyle w:val="tabteksts"/>
              <w:jc w:val="center"/>
            </w:pPr>
            <w:r w:rsidRPr="00C704FB">
              <w:t>COFOG</w:t>
            </w:r>
          </w:p>
          <w:p w14:paraId="12A9E69C" w14:textId="77777777" w:rsidR="00F102F6" w:rsidRPr="00C704FB" w:rsidRDefault="00F102F6" w:rsidP="00C15091">
            <w:pPr>
              <w:pStyle w:val="tabteksts"/>
              <w:jc w:val="center"/>
            </w:pPr>
            <w:r w:rsidRPr="00C704FB">
              <w:t>kods</w:t>
            </w:r>
          </w:p>
        </w:tc>
        <w:tc>
          <w:tcPr>
            <w:tcW w:w="797" w:type="dxa"/>
            <w:tcBorders>
              <w:top w:val="double" w:sz="4" w:space="0" w:color="auto"/>
              <w:left w:val="double" w:sz="4" w:space="0" w:color="auto"/>
              <w:bottom w:val="double" w:sz="4" w:space="0" w:color="auto"/>
            </w:tcBorders>
          </w:tcPr>
          <w:p w14:paraId="1B00B52F" w14:textId="77777777" w:rsidR="00F102F6" w:rsidRPr="00C704FB" w:rsidRDefault="00F102F6" w:rsidP="00C15091">
            <w:pPr>
              <w:pStyle w:val="tabteksts"/>
              <w:jc w:val="center"/>
              <w:rPr>
                <w:b/>
              </w:rPr>
            </w:pPr>
            <w:r w:rsidRPr="00C704FB">
              <w:rPr>
                <w:b/>
              </w:rPr>
              <w:t>2012</w:t>
            </w:r>
          </w:p>
        </w:tc>
        <w:tc>
          <w:tcPr>
            <w:tcW w:w="798" w:type="dxa"/>
            <w:tcBorders>
              <w:top w:val="double" w:sz="4" w:space="0" w:color="auto"/>
              <w:bottom w:val="double" w:sz="4" w:space="0" w:color="auto"/>
              <w:right w:val="double" w:sz="4" w:space="0" w:color="auto"/>
            </w:tcBorders>
          </w:tcPr>
          <w:p w14:paraId="05337CA2" w14:textId="77777777" w:rsidR="00F102F6" w:rsidRPr="00C704FB" w:rsidRDefault="00F102F6" w:rsidP="00C15091">
            <w:pPr>
              <w:pStyle w:val="tabteksts"/>
              <w:jc w:val="center"/>
              <w:rPr>
                <w:b/>
              </w:rPr>
            </w:pPr>
            <w:r w:rsidRPr="00ED2D60">
              <w:rPr>
                <w:b/>
              </w:rPr>
              <w:t>2017</w:t>
            </w:r>
          </w:p>
        </w:tc>
      </w:tr>
      <w:tr w:rsidR="00F102F6" w:rsidRPr="00C704FB" w14:paraId="6594C6FD" w14:textId="77777777" w:rsidTr="002622DC">
        <w:tc>
          <w:tcPr>
            <w:tcW w:w="4029" w:type="dxa"/>
            <w:tcBorders>
              <w:top w:val="double" w:sz="4" w:space="0" w:color="auto"/>
              <w:left w:val="double" w:sz="4" w:space="0" w:color="auto"/>
              <w:bottom w:val="single" w:sz="4" w:space="0" w:color="auto"/>
            </w:tcBorders>
          </w:tcPr>
          <w:p w14:paraId="0EE7A9D9" w14:textId="77777777" w:rsidR="00F102F6" w:rsidRPr="00C704FB" w:rsidRDefault="00F102F6" w:rsidP="00C15091">
            <w:pPr>
              <w:pStyle w:val="tabteksts"/>
              <w:rPr>
                <w:snapToGrid w:val="0"/>
              </w:rPr>
            </w:pPr>
            <w:r w:rsidRPr="00C704FB">
              <w:rPr>
                <w:snapToGrid w:val="0"/>
              </w:rPr>
              <w:t>1. Vispārējie sabiedriskie pakalpojumi</w:t>
            </w:r>
          </w:p>
        </w:tc>
        <w:tc>
          <w:tcPr>
            <w:tcW w:w="952" w:type="dxa"/>
            <w:tcBorders>
              <w:top w:val="double" w:sz="4" w:space="0" w:color="auto"/>
              <w:bottom w:val="single" w:sz="4" w:space="0" w:color="auto"/>
              <w:right w:val="double" w:sz="4" w:space="0" w:color="auto"/>
            </w:tcBorders>
          </w:tcPr>
          <w:p w14:paraId="686BA972" w14:textId="77777777" w:rsidR="00F102F6" w:rsidRPr="00C704FB" w:rsidRDefault="00F102F6" w:rsidP="00C15091">
            <w:pPr>
              <w:pStyle w:val="tabteksts"/>
              <w:rPr>
                <w:snapToGrid w:val="0"/>
              </w:rPr>
            </w:pPr>
            <w:r w:rsidRPr="00C704FB">
              <w:rPr>
                <w:snapToGrid w:val="0"/>
              </w:rPr>
              <w:t>1</w:t>
            </w:r>
          </w:p>
        </w:tc>
        <w:tc>
          <w:tcPr>
            <w:tcW w:w="797" w:type="dxa"/>
            <w:tcBorders>
              <w:top w:val="double" w:sz="4" w:space="0" w:color="auto"/>
              <w:left w:val="double" w:sz="4" w:space="0" w:color="auto"/>
              <w:bottom w:val="single" w:sz="4" w:space="0" w:color="auto"/>
            </w:tcBorders>
            <w:shd w:val="clear" w:color="auto" w:fill="auto"/>
          </w:tcPr>
          <w:p w14:paraId="05505C6D" w14:textId="77777777" w:rsidR="00F102F6" w:rsidRPr="002C78FF" w:rsidRDefault="00F102F6" w:rsidP="002622DC">
            <w:pPr>
              <w:pStyle w:val="tabteksts"/>
              <w:jc w:val="right"/>
              <w:rPr>
                <w:snapToGrid w:val="0"/>
              </w:rPr>
            </w:pPr>
            <w:r w:rsidRPr="002C78FF">
              <w:rPr>
                <w:snapToGrid w:val="0"/>
              </w:rPr>
              <w:t>4,5</w:t>
            </w:r>
          </w:p>
        </w:tc>
        <w:tc>
          <w:tcPr>
            <w:tcW w:w="798" w:type="dxa"/>
            <w:tcBorders>
              <w:top w:val="double" w:sz="4" w:space="0" w:color="auto"/>
              <w:bottom w:val="single" w:sz="4" w:space="0" w:color="auto"/>
              <w:right w:val="double" w:sz="4" w:space="0" w:color="auto"/>
            </w:tcBorders>
            <w:shd w:val="clear" w:color="auto" w:fill="auto"/>
          </w:tcPr>
          <w:p w14:paraId="76F66530" w14:textId="77777777" w:rsidR="00F102F6" w:rsidRPr="004B20EE" w:rsidRDefault="00F102F6" w:rsidP="002622DC">
            <w:pPr>
              <w:pStyle w:val="tabteksts"/>
              <w:jc w:val="right"/>
              <w:rPr>
                <w:snapToGrid w:val="0"/>
              </w:rPr>
            </w:pPr>
            <w:r w:rsidRPr="004B20EE">
              <w:rPr>
                <w:snapToGrid w:val="0"/>
              </w:rPr>
              <w:t>3,8</w:t>
            </w:r>
          </w:p>
        </w:tc>
      </w:tr>
      <w:tr w:rsidR="00F102F6" w:rsidRPr="00C704FB" w14:paraId="1FF57519" w14:textId="77777777" w:rsidTr="002622DC">
        <w:tc>
          <w:tcPr>
            <w:tcW w:w="4029" w:type="dxa"/>
            <w:tcBorders>
              <w:top w:val="single" w:sz="4" w:space="0" w:color="auto"/>
              <w:left w:val="double" w:sz="4" w:space="0" w:color="auto"/>
              <w:bottom w:val="single" w:sz="4" w:space="0" w:color="auto"/>
            </w:tcBorders>
          </w:tcPr>
          <w:p w14:paraId="17A2CF20" w14:textId="77777777" w:rsidR="00F102F6" w:rsidRPr="00C704FB" w:rsidRDefault="00F102F6" w:rsidP="00C15091">
            <w:pPr>
              <w:pStyle w:val="tabteksts"/>
              <w:rPr>
                <w:snapToGrid w:val="0"/>
              </w:rPr>
            </w:pPr>
            <w:r w:rsidRPr="00C704FB">
              <w:rPr>
                <w:snapToGrid w:val="0"/>
              </w:rPr>
              <w:t>2. Aizsardzība</w:t>
            </w:r>
          </w:p>
        </w:tc>
        <w:tc>
          <w:tcPr>
            <w:tcW w:w="952" w:type="dxa"/>
            <w:tcBorders>
              <w:top w:val="single" w:sz="4" w:space="0" w:color="auto"/>
              <w:bottom w:val="single" w:sz="4" w:space="0" w:color="auto"/>
              <w:right w:val="double" w:sz="4" w:space="0" w:color="auto"/>
            </w:tcBorders>
          </w:tcPr>
          <w:p w14:paraId="5BF0B1BA" w14:textId="77777777" w:rsidR="00F102F6" w:rsidRPr="00C704FB" w:rsidRDefault="00F102F6" w:rsidP="00C15091">
            <w:pPr>
              <w:pStyle w:val="tabteksts"/>
              <w:rPr>
                <w:snapToGrid w:val="0"/>
              </w:rPr>
            </w:pPr>
            <w:r w:rsidRPr="00C704FB">
              <w:rPr>
                <w:snapToGrid w:val="0"/>
              </w:rPr>
              <w:t>2</w:t>
            </w:r>
          </w:p>
        </w:tc>
        <w:tc>
          <w:tcPr>
            <w:tcW w:w="797" w:type="dxa"/>
            <w:tcBorders>
              <w:top w:val="single" w:sz="4" w:space="0" w:color="auto"/>
              <w:left w:val="double" w:sz="4" w:space="0" w:color="auto"/>
              <w:bottom w:val="single" w:sz="4" w:space="0" w:color="auto"/>
            </w:tcBorders>
            <w:shd w:val="clear" w:color="auto" w:fill="auto"/>
          </w:tcPr>
          <w:p w14:paraId="3BDF01C4" w14:textId="77777777" w:rsidR="00F102F6" w:rsidRPr="002C78FF" w:rsidRDefault="00F102F6" w:rsidP="002622DC">
            <w:pPr>
              <w:pStyle w:val="tabteksts"/>
              <w:jc w:val="right"/>
              <w:rPr>
                <w:snapToGrid w:val="0"/>
              </w:rPr>
            </w:pPr>
            <w:r w:rsidRPr="002C78FF">
              <w:rPr>
                <w:snapToGrid w:val="0"/>
              </w:rPr>
              <w:t>0,9</w:t>
            </w:r>
          </w:p>
        </w:tc>
        <w:tc>
          <w:tcPr>
            <w:tcW w:w="798" w:type="dxa"/>
            <w:tcBorders>
              <w:top w:val="single" w:sz="4" w:space="0" w:color="auto"/>
              <w:bottom w:val="single" w:sz="4" w:space="0" w:color="auto"/>
              <w:right w:val="double" w:sz="4" w:space="0" w:color="auto"/>
            </w:tcBorders>
            <w:shd w:val="clear" w:color="auto" w:fill="auto"/>
          </w:tcPr>
          <w:p w14:paraId="755383D5" w14:textId="77777777" w:rsidR="00F102F6" w:rsidRPr="004B20EE" w:rsidRDefault="00F102F6" w:rsidP="002622DC">
            <w:pPr>
              <w:pStyle w:val="tabteksts"/>
              <w:jc w:val="right"/>
              <w:rPr>
                <w:snapToGrid w:val="0"/>
              </w:rPr>
            </w:pPr>
            <w:r w:rsidRPr="004B20EE">
              <w:rPr>
                <w:snapToGrid w:val="0"/>
              </w:rPr>
              <w:t>1,0</w:t>
            </w:r>
          </w:p>
        </w:tc>
      </w:tr>
      <w:tr w:rsidR="00F102F6" w:rsidRPr="00C704FB" w14:paraId="748DF119" w14:textId="77777777" w:rsidTr="002622DC">
        <w:tc>
          <w:tcPr>
            <w:tcW w:w="4029" w:type="dxa"/>
            <w:tcBorders>
              <w:left w:val="double" w:sz="4" w:space="0" w:color="auto"/>
            </w:tcBorders>
          </w:tcPr>
          <w:p w14:paraId="2699F728" w14:textId="77777777" w:rsidR="00F102F6" w:rsidRPr="00C704FB" w:rsidRDefault="00F102F6" w:rsidP="00C15091">
            <w:pPr>
              <w:pStyle w:val="tabteksts"/>
              <w:rPr>
                <w:snapToGrid w:val="0"/>
              </w:rPr>
            </w:pPr>
            <w:r w:rsidRPr="00C704FB">
              <w:rPr>
                <w:snapToGrid w:val="0"/>
              </w:rPr>
              <w:t>3. Sabiedriskā kārtība un drošība</w:t>
            </w:r>
          </w:p>
        </w:tc>
        <w:tc>
          <w:tcPr>
            <w:tcW w:w="952" w:type="dxa"/>
            <w:tcBorders>
              <w:right w:val="double" w:sz="4" w:space="0" w:color="auto"/>
            </w:tcBorders>
          </w:tcPr>
          <w:p w14:paraId="7BAB8069" w14:textId="77777777" w:rsidR="00F102F6" w:rsidRPr="00C704FB" w:rsidRDefault="00F102F6" w:rsidP="00C15091">
            <w:pPr>
              <w:pStyle w:val="tabteksts"/>
              <w:rPr>
                <w:snapToGrid w:val="0"/>
              </w:rPr>
            </w:pPr>
            <w:r w:rsidRPr="00C704FB">
              <w:rPr>
                <w:snapToGrid w:val="0"/>
              </w:rPr>
              <w:t>3</w:t>
            </w:r>
          </w:p>
        </w:tc>
        <w:tc>
          <w:tcPr>
            <w:tcW w:w="797" w:type="dxa"/>
            <w:tcBorders>
              <w:left w:val="double" w:sz="4" w:space="0" w:color="auto"/>
            </w:tcBorders>
            <w:shd w:val="clear" w:color="auto" w:fill="auto"/>
          </w:tcPr>
          <w:p w14:paraId="7D6A35E6" w14:textId="77777777" w:rsidR="00F102F6" w:rsidRPr="002C78FF" w:rsidRDefault="00F102F6" w:rsidP="002622DC">
            <w:pPr>
              <w:pStyle w:val="tabteksts"/>
              <w:jc w:val="right"/>
              <w:rPr>
                <w:snapToGrid w:val="0"/>
              </w:rPr>
            </w:pPr>
            <w:r w:rsidRPr="002C78FF">
              <w:rPr>
                <w:snapToGrid w:val="0"/>
              </w:rPr>
              <w:t>1,8</w:t>
            </w:r>
          </w:p>
        </w:tc>
        <w:tc>
          <w:tcPr>
            <w:tcW w:w="798" w:type="dxa"/>
            <w:tcBorders>
              <w:right w:val="double" w:sz="4" w:space="0" w:color="auto"/>
            </w:tcBorders>
            <w:shd w:val="clear" w:color="auto" w:fill="auto"/>
          </w:tcPr>
          <w:p w14:paraId="6EA2BF33" w14:textId="77777777" w:rsidR="00F102F6" w:rsidRPr="004B20EE" w:rsidRDefault="00F102F6" w:rsidP="002622DC">
            <w:pPr>
              <w:pStyle w:val="tabteksts"/>
              <w:jc w:val="right"/>
              <w:rPr>
                <w:snapToGrid w:val="0"/>
              </w:rPr>
            </w:pPr>
            <w:r w:rsidRPr="004B20EE">
              <w:rPr>
                <w:snapToGrid w:val="0"/>
              </w:rPr>
              <w:t>1,5</w:t>
            </w:r>
          </w:p>
        </w:tc>
      </w:tr>
      <w:tr w:rsidR="00F102F6" w:rsidRPr="00C704FB" w14:paraId="6FEAAAF3" w14:textId="77777777" w:rsidTr="002622DC">
        <w:tc>
          <w:tcPr>
            <w:tcW w:w="4029" w:type="dxa"/>
            <w:tcBorders>
              <w:left w:val="double" w:sz="4" w:space="0" w:color="auto"/>
            </w:tcBorders>
          </w:tcPr>
          <w:p w14:paraId="046749BE" w14:textId="77777777" w:rsidR="00F102F6" w:rsidRPr="00C704FB" w:rsidRDefault="00F102F6" w:rsidP="00C15091">
            <w:pPr>
              <w:pStyle w:val="tabteksts"/>
              <w:rPr>
                <w:snapToGrid w:val="0"/>
              </w:rPr>
            </w:pPr>
            <w:r w:rsidRPr="00C704FB">
              <w:rPr>
                <w:snapToGrid w:val="0"/>
              </w:rPr>
              <w:t>4. Ekonomiskā darbība</w:t>
            </w:r>
          </w:p>
        </w:tc>
        <w:tc>
          <w:tcPr>
            <w:tcW w:w="952" w:type="dxa"/>
            <w:tcBorders>
              <w:right w:val="double" w:sz="4" w:space="0" w:color="auto"/>
            </w:tcBorders>
          </w:tcPr>
          <w:p w14:paraId="0984A2AB" w14:textId="77777777" w:rsidR="00F102F6" w:rsidRPr="00C704FB" w:rsidRDefault="00F102F6" w:rsidP="00C15091">
            <w:pPr>
              <w:pStyle w:val="tabteksts"/>
              <w:rPr>
                <w:snapToGrid w:val="0"/>
              </w:rPr>
            </w:pPr>
            <w:r w:rsidRPr="00C704FB">
              <w:rPr>
                <w:snapToGrid w:val="0"/>
              </w:rPr>
              <w:t>4</w:t>
            </w:r>
          </w:p>
        </w:tc>
        <w:tc>
          <w:tcPr>
            <w:tcW w:w="797" w:type="dxa"/>
            <w:tcBorders>
              <w:left w:val="double" w:sz="4" w:space="0" w:color="auto"/>
            </w:tcBorders>
            <w:shd w:val="clear" w:color="auto" w:fill="auto"/>
          </w:tcPr>
          <w:p w14:paraId="406126C7" w14:textId="77777777" w:rsidR="00F102F6" w:rsidRPr="002C78FF" w:rsidRDefault="00F102F6" w:rsidP="002622DC">
            <w:pPr>
              <w:pStyle w:val="tabteksts"/>
              <w:jc w:val="right"/>
              <w:rPr>
                <w:snapToGrid w:val="0"/>
              </w:rPr>
            </w:pPr>
            <w:r w:rsidRPr="002C78FF">
              <w:rPr>
                <w:snapToGrid w:val="0"/>
              </w:rPr>
              <w:t>5,3</w:t>
            </w:r>
          </w:p>
        </w:tc>
        <w:tc>
          <w:tcPr>
            <w:tcW w:w="798" w:type="dxa"/>
            <w:tcBorders>
              <w:right w:val="double" w:sz="4" w:space="0" w:color="auto"/>
            </w:tcBorders>
            <w:shd w:val="clear" w:color="auto" w:fill="auto"/>
          </w:tcPr>
          <w:p w14:paraId="6A198405" w14:textId="77777777" w:rsidR="00F102F6" w:rsidRPr="004B20EE" w:rsidRDefault="00F102F6" w:rsidP="002622DC">
            <w:pPr>
              <w:pStyle w:val="tabteksts"/>
              <w:jc w:val="right"/>
              <w:rPr>
                <w:snapToGrid w:val="0"/>
              </w:rPr>
            </w:pPr>
            <w:r w:rsidRPr="004B20EE">
              <w:rPr>
                <w:snapToGrid w:val="0"/>
              </w:rPr>
              <w:t>4,4</w:t>
            </w:r>
          </w:p>
        </w:tc>
      </w:tr>
      <w:tr w:rsidR="00F102F6" w:rsidRPr="00C704FB" w14:paraId="4134FA3B" w14:textId="77777777" w:rsidTr="002622DC">
        <w:tc>
          <w:tcPr>
            <w:tcW w:w="4029" w:type="dxa"/>
            <w:tcBorders>
              <w:left w:val="double" w:sz="4" w:space="0" w:color="auto"/>
            </w:tcBorders>
          </w:tcPr>
          <w:p w14:paraId="18AD2524" w14:textId="77777777" w:rsidR="00F102F6" w:rsidRPr="00C704FB" w:rsidRDefault="00F102F6" w:rsidP="00C15091">
            <w:pPr>
              <w:pStyle w:val="tabteksts"/>
              <w:rPr>
                <w:snapToGrid w:val="0"/>
              </w:rPr>
            </w:pPr>
            <w:r w:rsidRPr="00C704FB">
              <w:rPr>
                <w:snapToGrid w:val="0"/>
              </w:rPr>
              <w:t>5. Vides aizsardzība</w:t>
            </w:r>
          </w:p>
        </w:tc>
        <w:tc>
          <w:tcPr>
            <w:tcW w:w="952" w:type="dxa"/>
            <w:tcBorders>
              <w:right w:val="double" w:sz="4" w:space="0" w:color="auto"/>
            </w:tcBorders>
          </w:tcPr>
          <w:p w14:paraId="4576891B" w14:textId="77777777" w:rsidR="00F102F6" w:rsidRPr="00C704FB" w:rsidRDefault="00F102F6" w:rsidP="00C15091">
            <w:pPr>
              <w:pStyle w:val="tabteksts"/>
            </w:pPr>
            <w:r w:rsidRPr="00C704FB">
              <w:t>5</w:t>
            </w:r>
          </w:p>
        </w:tc>
        <w:tc>
          <w:tcPr>
            <w:tcW w:w="797" w:type="dxa"/>
            <w:tcBorders>
              <w:left w:val="double" w:sz="4" w:space="0" w:color="auto"/>
            </w:tcBorders>
            <w:shd w:val="clear" w:color="auto" w:fill="auto"/>
          </w:tcPr>
          <w:p w14:paraId="6F769F08" w14:textId="77777777" w:rsidR="00F102F6" w:rsidRPr="002C78FF" w:rsidRDefault="00F102F6" w:rsidP="002622DC">
            <w:pPr>
              <w:pStyle w:val="tabteksts"/>
              <w:jc w:val="right"/>
              <w:rPr>
                <w:snapToGrid w:val="0"/>
              </w:rPr>
            </w:pPr>
            <w:r w:rsidRPr="002C78FF">
              <w:rPr>
                <w:snapToGrid w:val="0"/>
              </w:rPr>
              <w:t>0,7</w:t>
            </w:r>
          </w:p>
        </w:tc>
        <w:tc>
          <w:tcPr>
            <w:tcW w:w="798" w:type="dxa"/>
            <w:tcBorders>
              <w:right w:val="double" w:sz="4" w:space="0" w:color="auto"/>
            </w:tcBorders>
            <w:shd w:val="clear" w:color="auto" w:fill="auto"/>
          </w:tcPr>
          <w:p w14:paraId="34BFE806" w14:textId="77777777" w:rsidR="00F102F6" w:rsidRPr="004B20EE" w:rsidRDefault="00F102F6" w:rsidP="002622DC">
            <w:pPr>
              <w:pStyle w:val="tabteksts"/>
              <w:jc w:val="right"/>
              <w:rPr>
                <w:snapToGrid w:val="0"/>
              </w:rPr>
            </w:pPr>
            <w:r w:rsidRPr="004B20EE">
              <w:rPr>
                <w:snapToGrid w:val="0"/>
              </w:rPr>
              <w:t>0,6</w:t>
            </w:r>
          </w:p>
        </w:tc>
      </w:tr>
      <w:tr w:rsidR="00F102F6" w:rsidRPr="00C704FB" w14:paraId="5C3E0258" w14:textId="77777777" w:rsidTr="002622DC">
        <w:tc>
          <w:tcPr>
            <w:tcW w:w="4029" w:type="dxa"/>
            <w:tcBorders>
              <w:left w:val="double" w:sz="4" w:space="0" w:color="auto"/>
            </w:tcBorders>
          </w:tcPr>
          <w:p w14:paraId="28709149" w14:textId="77777777" w:rsidR="00F102F6" w:rsidRPr="00C704FB" w:rsidRDefault="00F102F6" w:rsidP="00C15091">
            <w:pPr>
              <w:pStyle w:val="tabteksts"/>
              <w:rPr>
                <w:snapToGrid w:val="0"/>
              </w:rPr>
            </w:pPr>
            <w:r w:rsidRPr="00C704FB">
              <w:rPr>
                <w:snapToGrid w:val="0"/>
              </w:rPr>
              <w:t>6. Mājoklis un komunālā saimniecība</w:t>
            </w:r>
          </w:p>
        </w:tc>
        <w:tc>
          <w:tcPr>
            <w:tcW w:w="952" w:type="dxa"/>
            <w:tcBorders>
              <w:right w:val="double" w:sz="4" w:space="0" w:color="auto"/>
            </w:tcBorders>
          </w:tcPr>
          <w:p w14:paraId="01826DEC" w14:textId="77777777" w:rsidR="00F102F6" w:rsidRPr="00C704FB" w:rsidRDefault="00F102F6" w:rsidP="00C15091">
            <w:pPr>
              <w:pStyle w:val="tabteksts"/>
            </w:pPr>
            <w:r w:rsidRPr="00C704FB">
              <w:t>6</w:t>
            </w:r>
          </w:p>
        </w:tc>
        <w:tc>
          <w:tcPr>
            <w:tcW w:w="797" w:type="dxa"/>
            <w:tcBorders>
              <w:left w:val="double" w:sz="4" w:space="0" w:color="auto"/>
            </w:tcBorders>
            <w:shd w:val="clear" w:color="auto" w:fill="auto"/>
          </w:tcPr>
          <w:p w14:paraId="03BFA665" w14:textId="77777777" w:rsidR="00F102F6" w:rsidRPr="002C78FF" w:rsidRDefault="00F102F6" w:rsidP="002622DC">
            <w:pPr>
              <w:pStyle w:val="tabteksts"/>
              <w:jc w:val="right"/>
              <w:rPr>
                <w:snapToGrid w:val="0"/>
              </w:rPr>
            </w:pPr>
            <w:r w:rsidRPr="002C78FF">
              <w:rPr>
                <w:snapToGrid w:val="0"/>
              </w:rPr>
              <w:t>1,2</w:t>
            </w:r>
          </w:p>
        </w:tc>
        <w:tc>
          <w:tcPr>
            <w:tcW w:w="798" w:type="dxa"/>
            <w:tcBorders>
              <w:right w:val="double" w:sz="4" w:space="0" w:color="auto"/>
            </w:tcBorders>
            <w:shd w:val="clear" w:color="auto" w:fill="auto"/>
          </w:tcPr>
          <w:p w14:paraId="6A5F11E2" w14:textId="77777777" w:rsidR="00F102F6" w:rsidRPr="004B20EE" w:rsidRDefault="00F102F6" w:rsidP="002622DC">
            <w:pPr>
              <w:pStyle w:val="tabteksts"/>
              <w:jc w:val="right"/>
              <w:rPr>
                <w:snapToGrid w:val="0"/>
              </w:rPr>
            </w:pPr>
            <w:r w:rsidRPr="004B20EE">
              <w:rPr>
                <w:snapToGrid w:val="0"/>
              </w:rPr>
              <w:t>1,0</w:t>
            </w:r>
          </w:p>
        </w:tc>
      </w:tr>
      <w:tr w:rsidR="00F102F6" w:rsidRPr="00C704FB" w14:paraId="21ED5805" w14:textId="77777777" w:rsidTr="002622DC">
        <w:tc>
          <w:tcPr>
            <w:tcW w:w="4029" w:type="dxa"/>
            <w:tcBorders>
              <w:left w:val="double" w:sz="4" w:space="0" w:color="auto"/>
            </w:tcBorders>
          </w:tcPr>
          <w:p w14:paraId="51ECD27E" w14:textId="77777777" w:rsidR="00F102F6" w:rsidRPr="00C704FB" w:rsidRDefault="00F102F6" w:rsidP="00C15091">
            <w:pPr>
              <w:pStyle w:val="tabteksts"/>
              <w:rPr>
                <w:snapToGrid w:val="0"/>
              </w:rPr>
            </w:pPr>
            <w:r w:rsidRPr="00C704FB">
              <w:rPr>
                <w:snapToGrid w:val="0"/>
              </w:rPr>
              <w:t>7. Veselība</w:t>
            </w:r>
          </w:p>
        </w:tc>
        <w:tc>
          <w:tcPr>
            <w:tcW w:w="952" w:type="dxa"/>
            <w:tcBorders>
              <w:right w:val="double" w:sz="4" w:space="0" w:color="auto"/>
            </w:tcBorders>
          </w:tcPr>
          <w:p w14:paraId="05541487" w14:textId="77777777" w:rsidR="00F102F6" w:rsidRPr="00C704FB" w:rsidRDefault="00F102F6" w:rsidP="00C15091">
            <w:pPr>
              <w:pStyle w:val="tabteksts"/>
            </w:pPr>
            <w:r w:rsidRPr="00C704FB">
              <w:t>7</w:t>
            </w:r>
          </w:p>
        </w:tc>
        <w:tc>
          <w:tcPr>
            <w:tcW w:w="797" w:type="dxa"/>
            <w:tcBorders>
              <w:left w:val="double" w:sz="4" w:space="0" w:color="auto"/>
            </w:tcBorders>
            <w:shd w:val="clear" w:color="auto" w:fill="auto"/>
          </w:tcPr>
          <w:p w14:paraId="05A42FFA" w14:textId="77777777" w:rsidR="00F102F6" w:rsidRPr="002C78FF" w:rsidRDefault="00F102F6" w:rsidP="002622DC">
            <w:pPr>
              <w:pStyle w:val="tabteksts"/>
              <w:jc w:val="right"/>
              <w:rPr>
                <w:snapToGrid w:val="0"/>
              </w:rPr>
            </w:pPr>
            <w:r w:rsidRPr="002C78FF">
              <w:rPr>
                <w:snapToGrid w:val="0"/>
              </w:rPr>
              <w:t>3,9</w:t>
            </w:r>
          </w:p>
        </w:tc>
        <w:tc>
          <w:tcPr>
            <w:tcW w:w="798" w:type="dxa"/>
            <w:tcBorders>
              <w:right w:val="double" w:sz="4" w:space="0" w:color="auto"/>
            </w:tcBorders>
            <w:shd w:val="clear" w:color="auto" w:fill="auto"/>
          </w:tcPr>
          <w:p w14:paraId="06D12E64" w14:textId="77777777" w:rsidR="00F102F6" w:rsidRPr="004B20EE" w:rsidRDefault="00F102F6" w:rsidP="002622DC">
            <w:pPr>
              <w:pStyle w:val="tabteksts"/>
              <w:jc w:val="right"/>
              <w:rPr>
                <w:snapToGrid w:val="0"/>
              </w:rPr>
            </w:pPr>
            <w:r w:rsidRPr="004B20EE">
              <w:rPr>
                <w:snapToGrid w:val="0"/>
              </w:rPr>
              <w:t>3,2</w:t>
            </w:r>
          </w:p>
        </w:tc>
      </w:tr>
      <w:tr w:rsidR="00F102F6" w:rsidRPr="00C704FB" w14:paraId="136A65EF" w14:textId="77777777" w:rsidTr="002622DC">
        <w:tc>
          <w:tcPr>
            <w:tcW w:w="4029" w:type="dxa"/>
            <w:tcBorders>
              <w:left w:val="double" w:sz="4" w:space="0" w:color="auto"/>
            </w:tcBorders>
          </w:tcPr>
          <w:p w14:paraId="2956794E" w14:textId="77777777" w:rsidR="00F102F6" w:rsidRPr="00C704FB" w:rsidRDefault="00F102F6" w:rsidP="00C15091">
            <w:pPr>
              <w:pStyle w:val="tabteksts"/>
              <w:rPr>
                <w:snapToGrid w:val="0"/>
              </w:rPr>
            </w:pPr>
            <w:r w:rsidRPr="00C704FB">
              <w:rPr>
                <w:snapToGrid w:val="0"/>
              </w:rPr>
              <w:t>8. Atpūta, kultūra un reliģija</w:t>
            </w:r>
          </w:p>
        </w:tc>
        <w:tc>
          <w:tcPr>
            <w:tcW w:w="952" w:type="dxa"/>
            <w:tcBorders>
              <w:right w:val="double" w:sz="4" w:space="0" w:color="auto"/>
            </w:tcBorders>
          </w:tcPr>
          <w:p w14:paraId="757875BB" w14:textId="77777777" w:rsidR="00F102F6" w:rsidRPr="00C704FB" w:rsidRDefault="00F102F6" w:rsidP="00C15091">
            <w:pPr>
              <w:pStyle w:val="tabteksts"/>
            </w:pPr>
            <w:r w:rsidRPr="00C704FB">
              <w:t>8</w:t>
            </w:r>
          </w:p>
        </w:tc>
        <w:tc>
          <w:tcPr>
            <w:tcW w:w="797" w:type="dxa"/>
            <w:tcBorders>
              <w:left w:val="double" w:sz="4" w:space="0" w:color="auto"/>
            </w:tcBorders>
            <w:shd w:val="clear" w:color="auto" w:fill="auto"/>
          </w:tcPr>
          <w:p w14:paraId="29498351" w14:textId="77777777" w:rsidR="00F102F6" w:rsidRPr="002C78FF" w:rsidRDefault="00F102F6" w:rsidP="002622DC">
            <w:pPr>
              <w:pStyle w:val="tabteksts"/>
              <w:jc w:val="right"/>
              <w:rPr>
                <w:snapToGrid w:val="0"/>
              </w:rPr>
            </w:pPr>
            <w:r w:rsidRPr="002C78FF">
              <w:rPr>
                <w:snapToGrid w:val="0"/>
              </w:rPr>
              <w:t>1,5</w:t>
            </w:r>
          </w:p>
        </w:tc>
        <w:tc>
          <w:tcPr>
            <w:tcW w:w="798" w:type="dxa"/>
            <w:tcBorders>
              <w:right w:val="double" w:sz="4" w:space="0" w:color="auto"/>
            </w:tcBorders>
            <w:shd w:val="clear" w:color="auto" w:fill="auto"/>
          </w:tcPr>
          <w:p w14:paraId="043F81FC" w14:textId="77777777" w:rsidR="00F102F6" w:rsidRPr="004B20EE" w:rsidRDefault="00F102F6" w:rsidP="002622DC">
            <w:pPr>
              <w:pStyle w:val="tabteksts"/>
              <w:jc w:val="right"/>
              <w:rPr>
                <w:snapToGrid w:val="0"/>
              </w:rPr>
            </w:pPr>
            <w:r w:rsidRPr="004B20EE">
              <w:rPr>
                <w:snapToGrid w:val="0"/>
              </w:rPr>
              <w:t>1,2</w:t>
            </w:r>
          </w:p>
        </w:tc>
      </w:tr>
      <w:tr w:rsidR="00F102F6" w:rsidRPr="00C704FB" w14:paraId="260C9D33" w14:textId="77777777" w:rsidTr="002622DC">
        <w:tc>
          <w:tcPr>
            <w:tcW w:w="4029" w:type="dxa"/>
            <w:tcBorders>
              <w:left w:val="double" w:sz="4" w:space="0" w:color="auto"/>
            </w:tcBorders>
          </w:tcPr>
          <w:p w14:paraId="73D53CF1" w14:textId="77777777" w:rsidR="00F102F6" w:rsidRPr="00C704FB" w:rsidRDefault="00F102F6" w:rsidP="00C15091">
            <w:pPr>
              <w:pStyle w:val="tabteksts"/>
              <w:rPr>
                <w:snapToGrid w:val="0"/>
              </w:rPr>
            </w:pPr>
            <w:r w:rsidRPr="00C704FB">
              <w:rPr>
                <w:snapToGrid w:val="0"/>
              </w:rPr>
              <w:t>9. Izglītība</w:t>
            </w:r>
          </w:p>
        </w:tc>
        <w:tc>
          <w:tcPr>
            <w:tcW w:w="952" w:type="dxa"/>
            <w:tcBorders>
              <w:right w:val="double" w:sz="4" w:space="0" w:color="auto"/>
            </w:tcBorders>
          </w:tcPr>
          <w:p w14:paraId="568FCF74" w14:textId="77777777" w:rsidR="00F102F6" w:rsidRPr="00C704FB" w:rsidRDefault="00F102F6" w:rsidP="00C15091">
            <w:pPr>
              <w:pStyle w:val="tabteksts"/>
            </w:pPr>
            <w:r w:rsidRPr="00C704FB">
              <w:t>9</w:t>
            </w:r>
          </w:p>
        </w:tc>
        <w:tc>
          <w:tcPr>
            <w:tcW w:w="797" w:type="dxa"/>
            <w:tcBorders>
              <w:left w:val="double" w:sz="4" w:space="0" w:color="auto"/>
            </w:tcBorders>
            <w:shd w:val="clear" w:color="auto" w:fill="auto"/>
          </w:tcPr>
          <w:p w14:paraId="6616702D" w14:textId="77777777" w:rsidR="00F102F6" w:rsidRPr="002C78FF" w:rsidRDefault="00F102F6" w:rsidP="002622DC">
            <w:pPr>
              <w:pStyle w:val="tabteksts"/>
              <w:jc w:val="right"/>
              <w:rPr>
                <w:snapToGrid w:val="0"/>
              </w:rPr>
            </w:pPr>
            <w:r w:rsidRPr="002C78FF">
              <w:rPr>
                <w:snapToGrid w:val="0"/>
              </w:rPr>
              <w:t>5,5</w:t>
            </w:r>
          </w:p>
        </w:tc>
        <w:tc>
          <w:tcPr>
            <w:tcW w:w="798" w:type="dxa"/>
            <w:tcBorders>
              <w:right w:val="double" w:sz="4" w:space="0" w:color="auto"/>
            </w:tcBorders>
            <w:shd w:val="clear" w:color="auto" w:fill="auto"/>
          </w:tcPr>
          <w:p w14:paraId="05DA62CA" w14:textId="77777777" w:rsidR="00F102F6" w:rsidRPr="004B20EE" w:rsidRDefault="00F102F6" w:rsidP="002622DC">
            <w:pPr>
              <w:pStyle w:val="tabteksts"/>
              <w:jc w:val="right"/>
              <w:rPr>
                <w:snapToGrid w:val="0"/>
              </w:rPr>
            </w:pPr>
            <w:r w:rsidRPr="004B20EE">
              <w:rPr>
                <w:snapToGrid w:val="0"/>
              </w:rPr>
              <w:t>4,6</w:t>
            </w:r>
          </w:p>
        </w:tc>
      </w:tr>
      <w:tr w:rsidR="00F102F6" w:rsidRPr="00C704FB" w14:paraId="07818BC5" w14:textId="77777777" w:rsidTr="002622DC">
        <w:tc>
          <w:tcPr>
            <w:tcW w:w="4029" w:type="dxa"/>
            <w:tcBorders>
              <w:left w:val="double" w:sz="4" w:space="0" w:color="auto"/>
              <w:bottom w:val="double" w:sz="4" w:space="0" w:color="auto"/>
            </w:tcBorders>
          </w:tcPr>
          <w:p w14:paraId="4CF781BF" w14:textId="77777777" w:rsidR="00F102F6" w:rsidRPr="00C704FB" w:rsidRDefault="00F102F6" w:rsidP="00C15091">
            <w:pPr>
              <w:pStyle w:val="tabteksts"/>
              <w:rPr>
                <w:snapToGrid w:val="0"/>
              </w:rPr>
            </w:pPr>
            <w:r w:rsidRPr="00C704FB">
              <w:rPr>
                <w:snapToGrid w:val="0"/>
              </w:rPr>
              <w:t>10. Sociālā aizsardzība</w:t>
            </w:r>
          </w:p>
        </w:tc>
        <w:tc>
          <w:tcPr>
            <w:tcW w:w="952" w:type="dxa"/>
            <w:tcBorders>
              <w:bottom w:val="double" w:sz="4" w:space="0" w:color="auto"/>
              <w:right w:val="double" w:sz="4" w:space="0" w:color="auto"/>
            </w:tcBorders>
          </w:tcPr>
          <w:p w14:paraId="4E395C85" w14:textId="77777777" w:rsidR="00F102F6" w:rsidRPr="00C704FB" w:rsidRDefault="00F102F6" w:rsidP="00C15091">
            <w:pPr>
              <w:pStyle w:val="tabteksts"/>
            </w:pPr>
            <w:r w:rsidRPr="00C704FB">
              <w:t>10</w:t>
            </w:r>
          </w:p>
        </w:tc>
        <w:tc>
          <w:tcPr>
            <w:tcW w:w="797" w:type="dxa"/>
            <w:tcBorders>
              <w:left w:val="double" w:sz="4" w:space="0" w:color="auto"/>
              <w:bottom w:val="double" w:sz="4" w:space="0" w:color="auto"/>
            </w:tcBorders>
            <w:shd w:val="clear" w:color="auto" w:fill="auto"/>
          </w:tcPr>
          <w:p w14:paraId="099F35E2" w14:textId="77777777" w:rsidR="00F102F6" w:rsidRPr="002C78FF" w:rsidRDefault="00F102F6" w:rsidP="002622DC">
            <w:pPr>
              <w:pStyle w:val="tabteksts"/>
              <w:jc w:val="right"/>
              <w:rPr>
                <w:snapToGrid w:val="0"/>
              </w:rPr>
            </w:pPr>
            <w:r w:rsidRPr="002C78FF">
              <w:rPr>
                <w:snapToGrid w:val="0"/>
              </w:rPr>
              <w:t>11,2</w:t>
            </w:r>
          </w:p>
        </w:tc>
        <w:tc>
          <w:tcPr>
            <w:tcW w:w="798" w:type="dxa"/>
            <w:tcBorders>
              <w:bottom w:val="double" w:sz="4" w:space="0" w:color="auto"/>
              <w:right w:val="double" w:sz="4" w:space="0" w:color="auto"/>
            </w:tcBorders>
            <w:shd w:val="clear" w:color="auto" w:fill="auto"/>
          </w:tcPr>
          <w:p w14:paraId="3BE2D13B" w14:textId="77777777" w:rsidR="00F102F6" w:rsidRPr="004B20EE" w:rsidRDefault="00F102F6" w:rsidP="002622DC">
            <w:pPr>
              <w:pStyle w:val="tabteksts"/>
              <w:jc w:val="right"/>
              <w:rPr>
                <w:snapToGrid w:val="0"/>
              </w:rPr>
            </w:pPr>
            <w:r w:rsidRPr="004B20EE">
              <w:rPr>
                <w:snapToGrid w:val="0"/>
              </w:rPr>
              <w:t>9,4</w:t>
            </w:r>
          </w:p>
        </w:tc>
      </w:tr>
      <w:tr w:rsidR="00F102F6" w:rsidRPr="00C704FB" w14:paraId="7F8335C9" w14:textId="77777777" w:rsidTr="002622DC">
        <w:tc>
          <w:tcPr>
            <w:tcW w:w="4029" w:type="dxa"/>
            <w:tcBorders>
              <w:top w:val="double" w:sz="4" w:space="0" w:color="auto"/>
              <w:left w:val="double" w:sz="4" w:space="0" w:color="auto"/>
              <w:bottom w:val="double" w:sz="4" w:space="0" w:color="auto"/>
            </w:tcBorders>
          </w:tcPr>
          <w:p w14:paraId="0FDBB50C" w14:textId="77777777" w:rsidR="00F102F6" w:rsidRPr="00C704FB" w:rsidRDefault="00F102F6" w:rsidP="00C15091">
            <w:pPr>
              <w:pStyle w:val="tabteksts"/>
              <w:rPr>
                <w:snapToGrid w:val="0"/>
              </w:rPr>
            </w:pPr>
            <w:r w:rsidRPr="00C704FB">
              <w:rPr>
                <w:snapToGrid w:val="0"/>
              </w:rPr>
              <w:t>11. Kopējie izdevumi</w:t>
            </w:r>
          </w:p>
        </w:tc>
        <w:tc>
          <w:tcPr>
            <w:tcW w:w="952" w:type="dxa"/>
            <w:tcBorders>
              <w:top w:val="double" w:sz="4" w:space="0" w:color="auto"/>
              <w:bottom w:val="double" w:sz="4" w:space="0" w:color="auto"/>
              <w:right w:val="double" w:sz="4" w:space="0" w:color="auto"/>
            </w:tcBorders>
          </w:tcPr>
          <w:p w14:paraId="7ABD54D6" w14:textId="77777777" w:rsidR="00F102F6" w:rsidRPr="00C704FB" w:rsidRDefault="00F102F6" w:rsidP="00C15091">
            <w:pPr>
              <w:pStyle w:val="tabteksts"/>
            </w:pPr>
            <w:r w:rsidRPr="00C704FB">
              <w:t>TE</w:t>
            </w:r>
          </w:p>
        </w:tc>
        <w:tc>
          <w:tcPr>
            <w:tcW w:w="797" w:type="dxa"/>
            <w:tcBorders>
              <w:top w:val="double" w:sz="4" w:space="0" w:color="auto"/>
              <w:left w:val="double" w:sz="4" w:space="0" w:color="auto"/>
              <w:bottom w:val="double" w:sz="4" w:space="0" w:color="auto"/>
            </w:tcBorders>
            <w:shd w:val="clear" w:color="auto" w:fill="auto"/>
          </w:tcPr>
          <w:p w14:paraId="4C6CA0E2" w14:textId="77777777" w:rsidR="00F102F6" w:rsidRPr="002C78FF" w:rsidRDefault="00F102F6" w:rsidP="002622DC">
            <w:pPr>
              <w:pStyle w:val="tabteksts"/>
              <w:jc w:val="right"/>
              <w:rPr>
                <w:snapToGrid w:val="0"/>
              </w:rPr>
            </w:pPr>
            <w:r w:rsidRPr="002C78FF">
              <w:rPr>
                <w:snapToGrid w:val="0"/>
              </w:rPr>
              <w:t>36,4</w:t>
            </w:r>
          </w:p>
        </w:tc>
        <w:tc>
          <w:tcPr>
            <w:tcW w:w="798" w:type="dxa"/>
            <w:tcBorders>
              <w:top w:val="double" w:sz="4" w:space="0" w:color="auto"/>
              <w:bottom w:val="double" w:sz="4" w:space="0" w:color="auto"/>
              <w:right w:val="double" w:sz="4" w:space="0" w:color="auto"/>
            </w:tcBorders>
            <w:shd w:val="clear" w:color="auto" w:fill="auto"/>
          </w:tcPr>
          <w:p w14:paraId="7E64E3C7" w14:textId="77777777" w:rsidR="00F102F6" w:rsidRPr="004B20EE" w:rsidRDefault="00F102F6" w:rsidP="002622DC">
            <w:pPr>
              <w:pStyle w:val="tabteksts"/>
              <w:jc w:val="right"/>
              <w:rPr>
                <w:snapToGrid w:val="0"/>
              </w:rPr>
            </w:pPr>
            <w:r w:rsidRPr="004B20EE">
              <w:rPr>
                <w:snapToGrid w:val="0"/>
              </w:rPr>
              <w:t>30,8</w:t>
            </w:r>
          </w:p>
        </w:tc>
      </w:tr>
    </w:tbl>
    <w:p w14:paraId="37423B03" w14:textId="77777777" w:rsidR="006B5F7D" w:rsidRDefault="006B5F7D" w:rsidP="006B5F7D">
      <w:pPr>
        <w:spacing w:before="120"/>
        <w:ind w:firstLine="0"/>
      </w:pPr>
    </w:p>
    <w:p w14:paraId="6C8DDE95" w14:textId="6A2F27A5" w:rsidR="009126BE" w:rsidRDefault="009126BE" w:rsidP="009126BE">
      <w:pPr>
        <w:ind w:firstLine="0"/>
        <w:rPr>
          <w:b/>
          <w:bCs/>
          <w:szCs w:val="32"/>
          <w:lang w:eastAsia="lv-LV"/>
        </w:rPr>
      </w:pPr>
      <w:r>
        <w:rPr>
          <w:color w:val="000000"/>
          <w:szCs w:val="24"/>
        </w:rPr>
        <w:br w:type="page"/>
      </w:r>
      <w:r>
        <w:rPr>
          <w:b/>
          <w:bCs/>
          <w:szCs w:val="32"/>
          <w:lang w:eastAsia="lv-LV"/>
        </w:rPr>
        <w:t xml:space="preserve">4. tabula. </w:t>
      </w:r>
      <w:r w:rsidRPr="00DB6F9B">
        <w:rPr>
          <w:b/>
          <w:bCs/>
          <w:szCs w:val="32"/>
          <w:lang w:eastAsia="lv-LV"/>
        </w:rPr>
        <w:t>Vispārējās valdības parāda attīstība un parāda izmaiņas ietekmējošie faktori 2013.-2017.gadā</w:t>
      </w:r>
    </w:p>
    <w:tbl>
      <w:tblPr>
        <w:tblpPr w:leftFromText="180" w:rightFromText="180" w:vertAnchor="page" w:horzAnchor="margin" w:tblpXSpec="center" w:tblpY="2431"/>
        <w:tblW w:w="9693" w:type="dxa"/>
        <w:tblLook w:val="04A0" w:firstRow="1" w:lastRow="0" w:firstColumn="1" w:lastColumn="0" w:noHBand="0" w:noVBand="1"/>
      </w:tblPr>
      <w:tblGrid>
        <w:gridCol w:w="4058"/>
        <w:gridCol w:w="668"/>
        <w:gridCol w:w="1013"/>
        <w:gridCol w:w="1032"/>
        <w:gridCol w:w="941"/>
        <w:gridCol w:w="1037"/>
        <w:gridCol w:w="944"/>
      </w:tblGrid>
      <w:tr w:rsidR="009126BE" w:rsidRPr="00DB6F9B" w14:paraId="75653AE5" w14:textId="77777777" w:rsidTr="004B74A0">
        <w:trPr>
          <w:trHeight w:val="645"/>
        </w:trPr>
        <w:tc>
          <w:tcPr>
            <w:tcW w:w="405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5007E96" w14:textId="77777777" w:rsidR="009126BE" w:rsidRPr="00DB6F9B" w:rsidRDefault="009126BE" w:rsidP="002D5EB9">
            <w:pPr>
              <w:spacing w:after="0"/>
              <w:ind w:firstLine="0"/>
              <w:jc w:val="left"/>
              <w:rPr>
                <w:b/>
                <w:bCs/>
                <w:sz w:val="20"/>
                <w:lang w:eastAsia="lv-LV"/>
              </w:rPr>
            </w:pPr>
            <w:r w:rsidRPr="00DB6F9B">
              <w:rPr>
                <w:b/>
                <w:bCs/>
                <w:sz w:val="20"/>
                <w:lang w:eastAsia="lv-LV"/>
              </w:rPr>
              <w:t>% no IKP</w:t>
            </w:r>
          </w:p>
        </w:tc>
        <w:tc>
          <w:tcPr>
            <w:tcW w:w="668" w:type="dxa"/>
            <w:tcBorders>
              <w:top w:val="double" w:sz="4" w:space="0" w:color="auto"/>
              <w:left w:val="nil"/>
              <w:bottom w:val="single" w:sz="4" w:space="0" w:color="auto"/>
              <w:right w:val="single" w:sz="4" w:space="0" w:color="auto"/>
            </w:tcBorders>
            <w:shd w:val="clear" w:color="auto" w:fill="auto"/>
            <w:vAlign w:val="center"/>
            <w:hideMark/>
          </w:tcPr>
          <w:p w14:paraId="7F04E4AE" w14:textId="77777777" w:rsidR="009126BE" w:rsidRPr="00DB6F9B" w:rsidRDefault="009126BE" w:rsidP="002D5EB9">
            <w:pPr>
              <w:spacing w:after="0"/>
              <w:ind w:firstLine="0"/>
              <w:jc w:val="center"/>
              <w:rPr>
                <w:sz w:val="20"/>
                <w:lang w:eastAsia="lv-LV"/>
              </w:rPr>
            </w:pPr>
            <w:r w:rsidRPr="00DB6F9B">
              <w:rPr>
                <w:sz w:val="20"/>
                <w:lang w:eastAsia="lv-LV"/>
              </w:rPr>
              <w:t>ESA kods</w:t>
            </w:r>
          </w:p>
        </w:tc>
        <w:tc>
          <w:tcPr>
            <w:tcW w:w="1013" w:type="dxa"/>
            <w:tcBorders>
              <w:top w:val="double" w:sz="4" w:space="0" w:color="auto"/>
              <w:left w:val="nil"/>
              <w:bottom w:val="single" w:sz="4" w:space="0" w:color="auto"/>
              <w:right w:val="single" w:sz="4" w:space="0" w:color="auto"/>
            </w:tcBorders>
            <w:shd w:val="clear" w:color="auto" w:fill="auto"/>
            <w:noWrap/>
            <w:vAlign w:val="center"/>
            <w:hideMark/>
          </w:tcPr>
          <w:p w14:paraId="79C5DD25" w14:textId="77777777" w:rsidR="009126BE" w:rsidRPr="00DB6F9B" w:rsidRDefault="009126BE" w:rsidP="002D5EB9">
            <w:pPr>
              <w:spacing w:after="0"/>
              <w:ind w:firstLine="0"/>
              <w:jc w:val="center"/>
              <w:rPr>
                <w:b/>
                <w:bCs/>
                <w:sz w:val="20"/>
                <w:lang w:eastAsia="lv-LV"/>
              </w:rPr>
            </w:pPr>
            <w:r w:rsidRPr="00DB6F9B">
              <w:rPr>
                <w:b/>
                <w:bCs/>
                <w:sz w:val="20"/>
                <w:lang w:eastAsia="lv-LV"/>
              </w:rPr>
              <w:t>2013</w:t>
            </w:r>
          </w:p>
        </w:tc>
        <w:tc>
          <w:tcPr>
            <w:tcW w:w="1032" w:type="dxa"/>
            <w:tcBorders>
              <w:top w:val="double" w:sz="4" w:space="0" w:color="auto"/>
              <w:left w:val="nil"/>
              <w:bottom w:val="single" w:sz="4" w:space="0" w:color="auto"/>
              <w:right w:val="single" w:sz="4" w:space="0" w:color="auto"/>
            </w:tcBorders>
            <w:shd w:val="clear" w:color="auto" w:fill="auto"/>
            <w:noWrap/>
            <w:vAlign w:val="center"/>
            <w:hideMark/>
          </w:tcPr>
          <w:p w14:paraId="36C1D10C" w14:textId="77777777" w:rsidR="009126BE" w:rsidRPr="00DB6F9B" w:rsidRDefault="009126BE" w:rsidP="002D5EB9">
            <w:pPr>
              <w:spacing w:after="0"/>
              <w:ind w:firstLine="0"/>
              <w:jc w:val="center"/>
              <w:rPr>
                <w:b/>
                <w:bCs/>
                <w:sz w:val="20"/>
                <w:lang w:eastAsia="lv-LV"/>
              </w:rPr>
            </w:pPr>
            <w:r w:rsidRPr="00DB6F9B">
              <w:rPr>
                <w:b/>
                <w:bCs/>
                <w:sz w:val="20"/>
                <w:lang w:eastAsia="lv-LV"/>
              </w:rPr>
              <w:t>2014</w:t>
            </w:r>
          </w:p>
        </w:tc>
        <w:tc>
          <w:tcPr>
            <w:tcW w:w="941" w:type="dxa"/>
            <w:tcBorders>
              <w:top w:val="double" w:sz="4" w:space="0" w:color="auto"/>
              <w:left w:val="nil"/>
              <w:bottom w:val="single" w:sz="4" w:space="0" w:color="auto"/>
              <w:right w:val="single" w:sz="4" w:space="0" w:color="auto"/>
            </w:tcBorders>
            <w:shd w:val="clear" w:color="auto" w:fill="auto"/>
            <w:noWrap/>
            <w:vAlign w:val="center"/>
            <w:hideMark/>
          </w:tcPr>
          <w:p w14:paraId="447D95E5" w14:textId="77777777" w:rsidR="009126BE" w:rsidRPr="00DB6F9B" w:rsidRDefault="009126BE" w:rsidP="002D5EB9">
            <w:pPr>
              <w:spacing w:after="0"/>
              <w:ind w:firstLine="0"/>
              <w:jc w:val="center"/>
              <w:rPr>
                <w:b/>
                <w:bCs/>
                <w:sz w:val="20"/>
                <w:lang w:eastAsia="lv-LV"/>
              </w:rPr>
            </w:pPr>
            <w:r w:rsidRPr="00DB6F9B">
              <w:rPr>
                <w:b/>
                <w:bCs/>
                <w:sz w:val="20"/>
                <w:lang w:eastAsia="lv-LV"/>
              </w:rPr>
              <w:t>2015</w:t>
            </w:r>
          </w:p>
        </w:tc>
        <w:tc>
          <w:tcPr>
            <w:tcW w:w="1037" w:type="dxa"/>
            <w:tcBorders>
              <w:top w:val="double" w:sz="4" w:space="0" w:color="auto"/>
              <w:left w:val="nil"/>
              <w:bottom w:val="single" w:sz="4" w:space="0" w:color="auto"/>
              <w:right w:val="single" w:sz="4" w:space="0" w:color="auto"/>
            </w:tcBorders>
            <w:shd w:val="clear" w:color="auto" w:fill="auto"/>
            <w:noWrap/>
            <w:vAlign w:val="center"/>
            <w:hideMark/>
          </w:tcPr>
          <w:p w14:paraId="20EC588C" w14:textId="77777777" w:rsidR="009126BE" w:rsidRPr="00DB6F9B" w:rsidRDefault="009126BE" w:rsidP="002D5EB9">
            <w:pPr>
              <w:spacing w:after="0"/>
              <w:ind w:firstLine="0"/>
              <w:jc w:val="center"/>
              <w:rPr>
                <w:b/>
                <w:bCs/>
                <w:sz w:val="20"/>
                <w:lang w:eastAsia="lv-LV"/>
              </w:rPr>
            </w:pPr>
            <w:r w:rsidRPr="00DB6F9B">
              <w:rPr>
                <w:b/>
                <w:bCs/>
                <w:sz w:val="20"/>
                <w:lang w:eastAsia="lv-LV"/>
              </w:rPr>
              <w:t>2016</w:t>
            </w:r>
          </w:p>
        </w:tc>
        <w:tc>
          <w:tcPr>
            <w:tcW w:w="944" w:type="dxa"/>
            <w:tcBorders>
              <w:top w:val="double" w:sz="4" w:space="0" w:color="auto"/>
              <w:left w:val="nil"/>
              <w:bottom w:val="single" w:sz="4" w:space="0" w:color="auto"/>
              <w:right w:val="double" w:sz="4" w:space="0" w:color="auto"/>
            </w:tcBorders>
            <w:shd w:val="clear" w:color="auto" w:fill="auto"/>
            <w:noWrap/>
            <w:vAlign w:val="center"/>
            <w:hideMark/>
          </w:tcPr>
          <w:p w14:paraId="260DAAFC" w14:textId="77777777" w:rsidR="009126BE" w:rsidRPr="00DB6F9B" w:rsidRDefault="009126BE" w:rsidP="002D5EB9">
            <w:pPr>
              <w:spacing w:after="0"/>
              <w:ind w:firstLine="0"/>
              <w:jc w:val="center"/>
              <w:rPr>
                <w:b/>
                <w:bCs/>
                <w:sz w:val="20"/>
                <w:lang w:eastAsia="lv-LV"/>
              </w:rPr>
            </w:pPr>
            <w:r w:rsidRPr="00DB6F9B">
              <w:rPr>
                <w:b/>
                <w:bCs/>
                <w:sz w:val="20"/>
                <w:lang w:eastAsia="lv-LV"/>
              </w:rPr>
              <w:t>2017</w:t>
            </w:r>
          </w:p>
        </w:tc>
      </w:tr>
      <w:tr w:rsidR="004B74A0" w:rsidRPr="00DB6F9B" w14:paraId="140DE24D" w14:textId="77777777" w:rsidTr="002D5EB9">
        <w:trPr>
          <w:trHeight w:val="171"/>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4791499E" w14:textId="77777777" w:rsidR="004B74A0" w:rsidRPr="00DB6F9B" w:rsidRDefault="004B74A0" w:rsidP="002D5EB9">
            <w:pPr>
              <w:spacing w:after="0"/>
              <w:ind w:firstLine="0"/>
              <w:rPr>
                <w:b/>
                <w:bCs/>
                <w:sz w:val="20"/>
                <w:lang w:eastAsia="lv-LV"/>
              </w:rPr>
            </w:pPr>
            <w:r w:rsidRPr="00DB6F9B">
              <w:rPr>
                <w:b/>
                <w:bCs/>
                <w:sz w:val="20"/>
                <w:lang w:eastAsia="lv-LV"/>
              </w:rPr>
              <w:t xml:space="preserve">1. Bruto parāds (Gross </w:t>
            </w:r>
            <w:proofErr w:type="spellStart"/>
            <w:r w:rsidRPr="00DB6F9B">
              <w:rPr>
                <w:b/>
                <w:bCs/>
                <w:sz w:val="20"/>
                <w:lang w:eastAsia="lv-LV"/>
              </w:rPr>
              <w:t>debt</w:t>
            </w:r>
            <w:proofErr w:type="spellEnd"/>
            <w:r w:rsidRPr="00DB6F9B">
              <w:rPr>
                <w:b/>
                <w:bCs/>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2BC217EE" w14:textId="77777777" w:rsidR="004B74A0" w:rsidRPr="00DB6F9B" w:rsidRDefault="004B74A0" w:rsidP="002D5EB9">
            <w:pPr>
              <w:spacing w:after="0"/>
              <w:ind w:firstLine="0"/>
              <w:jc w:val="left"/>
              <w:rPr>
                <w:b/>
                <w:bCs/>
                <w:sz w:val="20"/>
                <w:lang w:eastAsia="lv-LV"/>
              </w:rPr>
            </w:pPr>
            <w:r w:rsidRPr="00DB6F9B">
              <w:rPr>
                <w:b/>
                <w:b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501CBDA8" w14:textId="72FD0DAA" w:rsidR="004B74A0" w:rsidRPr="004B74A0" w:rsidRDefault="004B74A0" w:rsidP="002D5EB9">
            <w:pPr>
              <w:spacing w:after="0"/>
              <w:ind w:firstLine="0"/>
              <w:jc w:val="right"/>
              <w:rPr>
                <w:b/>
                <w:bCs/>
                <w:sz w:val="20"/>
                <w:lang w:eastAsia="lv-LV"/>
              </w:rPr>
            </w:pPr>
            <w:r w:rsidRPr="004B74A0">
              <w:rPr>
                <w:b/>
                <w:bCs/>
                <w:sz w:val="20"/>
              </w:rPr>
              <w:t>38,1%</w:t>
            </w:r>
          </w:p>
        </w:tc>
        <w:tc>
          <w:tcPr>
            <w:tcW w:w="1032" w:type="dxa"/>
            <w:tcBorders>
              <w:top w:val="nil"/>
              <w:left w:val="nil"/>
              <w:bottom w:val="single" w:sz="4" w:space="0" w:color="auto"/>
              <w:right w:val="single" w:sz="4" w:space="0" w:color="auto"/>
            </w:tcBorders>
            <w:shd w:val="clear" w:color="auto" w:fill="auto"/>
            <w:noWrap/>
            <w:vAlign w:val="center"/>
            <w:hideMark/>
          </w:tcPr>
          <w:p w14:paraId="79A4B8B5" w14:textId="7CDCD3F0" w:rsidR="004B74A0" w:rsidRPr="004B74A0" w:rsidRDefault="004B74A0" w:rsidP="002D5EB9">
            <w:pPr>
              <w:spacing w:after="0"/>
              <w:ind w:firstLine="0"/>
              <w:jc w:val="right"/>
              <w:rPr>
                <w:b/>
                <w:bCs/>
                <w:sz w:val="20"/>
                <w:lang w:eastAsia="lv-LV"/>
              </w:rPr>
            </w:pPr>
            <w:r w:rsidRPr="004B74A0">
              <w:rPr>
                <w:b/>
                <w:bCs/>
                <w:sz w:val="20"/>
              </w:rPr>
              <w:t>38,8%</w:t>
            </w:r>
          </w:p>
        </w:tc>
        <w:tc>
          <w:tcPr>
            <w:tcW w:w="941" w:type="dxa"/>
            <w:tcBorders>
              <w:top w:val="nil"/>
              <w:left w:val="nil"/>
              <w:bottom w:val="single" w:sz="4" w:space="0" w:color="auto"/>
              <w:right w:val="single" w:sz="4" w:space="0" w:color="auto"/>
            </w:tcBorders>
            <w:shd w:val="clear" w:color="auto" w:fill="auto"/>
            <w:noWrap/>
            <w:vAlign w:val="center"/>
            <w:hideMark/>
          </w:tcPr>
          <w:p w14:paraId="3F4F006C" w14:textId="3E003C5A" w:rsidR="004B74A0" w:rsidRPr="004B74A0" w:rsidRDefault="004B74A0" w:rsidP="002D5EB9">
            <w:pPr>
              <w:spacing w:after="0"/>
              <w:ind w:firstLine="0"/>
              <w:jc w:val="right"/>
              <w:rPr>
                <w:b/>
                <w:bCs/>
                <w:sz w:val="20"/>
                <w:lang w:eastAsia="lv-LV"/>
              </w:rPr>
            </w:pPr>
            <w:r w:rsidRPr="004B74A0">
              <w:rPr>
                <w:b/>
                <w:bCs/>
                <w:sz w:val="20"/>
              </w:rPr>
              <w:t>32,9%</w:t>
            </w:r>
          </w:p>
        </w:tc>
        <w:tc>
          <w:tcPr>
            <w:tcW w:w="1037" w:type="dxa"/>
            <w:tcBorders>
              <w:top w:val="nil"/>
              <w:left w:val="nil"/>
              <w:bottom w:val="single" w:sz="4" w:space="0" w:color="auto"/>
              <w:right w:val="single" w:sz="4" w:space="0" w:color="auto"/>
            </w:tcBorders>
            <w:shd w:val="clear" w:color="auto" w:fill="auto"/>
            <w:noWrap/>
            <w:vAlign w:val="center"/>
            <w:hideMark/>
          </w:tcPr>
          <w:p w14:paraId="54D01510" w14:textId="7B33D077" w:rsidR="004B74A0" w:rsidRPr="004B74A0" w:rsidRDefault="004B74A0" w:rsidP="002D5EB9">
            <w:pPr>
              <w:spacing w:after="0"/>
              <w:ind w:firstLine="0"/>
              <w:jc w:val="right"/>
              <w:rPr>
                <w:b/>
                <w:bCs/>
                <w:sz w:val="20"/>
                <w:lang w:eastAsia="lv-LV"/>
              </w:rPr>
            </w:pPr>
            <w:r w:rsidRPr="004B74A0">
              <w:rPr>
                <w:b/>
                <w:bCs/>
                <w:sz w:val="20"/>
              </w:rPr>
              <w:t>34,2%</w:t>
            </w:r>
          </w:p>
        </w:tc>
        <w:tc>
          <w:tcPr>
            <w:tcW w:w="944" w:type="dxa"/>
            <w:tcBorders>
              <w:top w:val="nil"/>
              <w:left w:val="nil"/>
              <w:bottom w:val="single" w:sz="4" w:space="0" w:color="auto"/>
              <w:right w:val="double" w:sz="4" w:space="0" w:color="auto"/>
            </w:tcBorders>
            <w:shd w:val="clear" w:color="auto" w:fill="auto"/>
            <w:noWrap/>
            <w:vAlign w:val="center"/>
            <w:hideMark/>
          </w:tcPr>
          <w:p w14:paraId="4DC4DAE2" w14:textId="326724F1" w:rsidR="004B74A0" w:rsidRPr="004B74A0" w:rsidRDefault="004B74A0" w:rsidP="002D5EB9">
            <w:pPr>
              <w:spacing w:after="0"/>
              <w:ind w:firstLine="0"/>
              <w:jc w:val="right"/>
              <w:rPr>
                <w:b/>
                <w:bCs/>
                <w:sz w:val="20"/>
                <w:lang w:eastAsia="lv-LV"/>
              </w:rPr>
            </w:pPr>
            <w:r w:rsidRPr="004B74A0">
              <w:rPr>
                <w:b/>
                <w:bCs/>
                <w:sz w:val="20"/>
              </w:rPr>
              <w:t>31,3%</w:t>
            </w:r>
          </w:p>
        </w:tc>
      </w:tr>
      <w:tr w:rsidR="004B74A0" w:rsidRPr="00DB6F9B" w14:paraId="5F59F098" w14:textId="77777777" w:rsidTr="002D5EB9">
        <w:trPr>
          <w:trHeight w:val="487"/>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73AF6169" w14:textId="77777777" w:rsidR="004B74A0" w:rsidRPr="00DB6F9B" w:rsidRDefault="004B74A0" w:rsidP="002D5EB9">
            <w:pPr>
              <w:spacing w:after="0"/>
              <w:ind w:firstLine="0"/>
              <w:rPr>
                <w:b/>
                <w:bCs/>
                <w:sz w:val="20"/>
                <w:lang w:eastAsia="lv-LV"/>
              </w:rPr>
            </w:pPr>
            <w:r w:rsidRPr="00DB6F9B">
              <w:rPr>
                <w:b/>
                <w:bCs/>
                <w:sz w:val="20"/>
                <w:lang w:eastAsia="lv-LV"/>
              </w:rPr>
              <w:t>2. Bruto parāda izmaiņas (</w:t>
            </w:r>
            <w:proofErr w:type="spellStart"/>
            <w:r w:rsidRPr="00DB6F9B">
              <w:rPr>
                <w:b/>
                <w:bCs/>
                <w:sz w:val="20"/>
                <w:lang w:eastAsia="lv-LV"/>
              </w:rPr>
              <w:t>Change</w:t>
            </w:r>
            <w:proofErr w:type="spellEnd"/>
            <w:r w:rsidRPr="00DB6F9B">
              <w:rPr>
                <w:b/>
                <w:bCs/>
                <w:sz w:val="20"/>
                <w:lang w:eastAsia="lv-LV"/>
              </w:rPr>
              <w:t xml:space="preserve"> </w:t>
            </w:r>
            <w:proofErr w:type="spellStart"/>
            <w:r w:rsidRPr="00DB6F9B">
              <w:rPr>
                <w:b/>
                <w:bCs/>
                <w:sz w:val="20"/>
                <w:lang w:eastAsia="lv-LV"/>
              </w:rPr>
              <w:t>in</w:t>
            </w:r>
            <w:proofErr w:type="spellEnd"/>
            <w:r w:rsidRPr="00DB6F9B">
              <w:rPr>
                <w:b/>
                <w:bCs/>
                <w:sz w:val="20"/>
                <w:lang w:eastAsia="lv-LV"/>
              </w:rPr>
              <w:t xml:space="preserve"> </w:t>
            </w:r>
            <w:proofErr w:type="spellStart"/>
            <w:r w:rsidRPr="00DB6F9B">
              <w:rPr>
                <w:b/>
                <w:bCs/>
                <w:sz w:val="20"/>
                <w:lang w:eastAsia="lv-LV"/>
              </w:rPr>
              <w:t>gross</w:t>
            </w:r>
            <w:proofErr w:type="spellEnd"/>
            <w:r w:rsidRPr="00DB6F9B">
              <w:rPr>
                <w:b/>
                <w:bCs/>
                <w:sz w:val="20"/>
                <w:lang w:eastAsia="lv-LV"/>
              </w:rPr>
              <w:t xml:space="preserve"> </w:t>
            </w:r>
            <w:proofErr w:type="spellStart"/>
            <w:r w:rsidRPr="00DB6F9B">
              <w:rPr>
                <w:b/>
                <w:bCs/>
                <w:sz w:val="20"/>
                <w:lang w:eastAsia="lv-LV"/>
              </w:rPr>
              <w:t>debt</w:t>
            </w:r>
            <w:proofErr w:type="spellEnd"/>
            <w:r w:rsidRPr="00DB6F9B">
              <w:rPr>
                <w:b/>
                <w:bCs/>
                <w:sz w:val="20"/>
                <w:lang w:eastAsia="lv-LV"/>
              </w:rPr>
              <w:t xml:space="preserve"> </w:t>
            </w:r>
            <w:proofErr w:type="spellStart"/>
            <w:r w:rsidRPr="00DB6F9B">
              <w:rPr>
                <w:b/>
                <w:bCs/>
                <w:sz w:val="20"/>
                <w:lang w:eastAsia="lv-LV"/>
              </w:rPr>
              <w:t>ratio</w:t>
            </w:r>
            <w:proofErr w:type="spellEnd"/>
            <w:r w:rsidRPr="00DB6F9B">
              <w:rPr>
                <w:b/>
                <w:bCs/>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2A38F740" w14:textId="77777777" w:rsidR="004B74A0" w:rsidRPr="00DB6F9B" w:rsidRDefault="004B74A0" w:rsidP="002D5EB9">
            <w:pPr>
              <w:spacing w:after="0"/>
              <w:ind w:firstLine="0"/>
              <w:jc w:val="left"/>
              <w:rPr>
                <w:b/>
                <w:bCs/>
                <w:sz w:val="20"/>
                <w:lang w:eastAsia="lv-LV"/>
              </w:rPr>
            </w:pPr>
            <w:r w:rsidRPr="00DB6F9B">
              <w:rPr>
                <w:b/>
                <w:b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667220B3" w14:textId="525E8CAF" w:rsidR="004B74A0" w:rsidRPr="004B74A0" w:rsidRDefault="004B74A0" w:rsidP="002D5EB9">
            <w:pPr>
              <w:spacing w:after="0"/>
              <w:ind w:firstLine="0"/>
              <w:jc w:val="right"/>
              <w:rPr>
                <w:b/>
                <w:bCs/>
                <w:sz w:val="20"/>
                <w:lang w:eastAsia="lv-LV"/>
              </w:rPr>
            </w:pPr>
            <w:r w:rsidRPr="004B74A0">
              <w:rPr>
                <w:b/>
                <w:bCs/>
                <w:sz w:val="20"/>
              </w:rPr>
              <w:t>-0,6%</w:t>
            </w:r>
          </w:p>
        </w:tc>
        <w:tc>
          <w:tcPr>
            <w:tcW w:w="1032" w:type="dxa"/>
            <w:tcBorders>
              <w:top w:val="nil"/>
              <w:left w:val="nil"/>
              <w:bottom w:val="single" w:sz="4" w:space="0" w:color="auto"/>
              <w:right w:val="single" w:sz="4" w:space="0" w:color="auto"/>
            </w:tcBorders>
            <w:shd w:val="clear" w:color="auto" w:fill="auto"/>
            <w:noWrap/>
            <w:vAlign w:val="center"/>
            <w:hideMark/>
          </w:tcPr>
          <w:p w14:paraId="435D53AF" w14:textId="347BD2E0" w:rsidR="004B74A0" w:rsidRPr="004B74A0" w:rsidRDefault="004B74A0" w:rsidP="002D5EB9">
            <w:pPr>
              <w:spacing w:after="0"/>
              <w:ind w:firstLine="0"/>
              <w:jc w:val="right"/>
              <w:rPr>
                <w:b/>
                <w:bCs/>
                <w:sz w:val="20"/>
                <w:lang w:eastAsia="lv-LV"/>
              </w:rPr>
            </w:pPr>
            <w:r w:rsidRPr="004B74A0">
              <w:rPr>
                <w:b/>
                <w:bCs/>
                <w:sz w:val="20"/>
              </w:rPr>
              <w:t>2,9%</w:t>
            </w:r>
          </w:p>
        </w:tc>
        <w:tc>
          <w:tcPr>
            <w:tcW w:w="941" w:type="dxa"/>
            <w:tcBorders>
              <w:top w:val="nil"/>
              <w:left w:val="nil"/>
              <w:bottom w:val="single" w:sz="4" w:space="0" w:color="auto"/>
              <w:right w:val="single" w:sz="4" w:space="0" w:color="auto"/>
            </w:tcBorders>
            <w:shd w:val="clear" w:color="auto" w:fill="auto"/>
            <w:noWrap/>
            <w:vAlign w:val="center"/>
            <w:hideMark/>
          </w:tcPr>
          <w:p w14:paraId="6E60468D" w14:textId="2CCAE882" w:rsidR="004B74A0" w:rsidRPr="004B74A0" w:rsidRDefault="004B74A0" w:rsidP="002D5EB9">
            <w:pPr>
              <w:spacing w:after="0"/>
              <w:ind w:firstLine="0"/>
              <w:jc w:val="right"/>
              <w:rPr>
                <w:b/>
                <w:bCs/>
                <w:sz w:val="20"/>
                <w:lang w:eastAsia="lv-LV"/>
              </w:rPr>
            </w:pPr>
            <w:r w:rsidRPr="004B74A0">
              <w:rPr>
                <w:b/>
                <w:bCs/>
                <w:sz w:val="20"/>
              </w:rPr>
              <w:t>-3,2%</w:t>
            </w:r>
          </w:p>
        </w:tc>
        <w:tc>
          <w:tcPr>
            <w:tcW w:w="1037" w:type="dxa"/>
            <w:tcBorders>
              <w:top w:val="nil"/>
              <w:left w:val="nil"/>
              <w:bottom w:val="single" w:sz="4" w:space="0" w:color="auto"/>
              <w:right w:val="single" w:sz="4" w:space="0" w:color="auto"/>
            </w:tcBorders>
            <w:shd w:val="clear" w:color="auto" w:fill="auto"/>
            <w:noWrap/>
            <w:vAlign w:val="center"/>
            <w:hideMark/>
          </w:tcPr>
          <w:p w14:paraId="7E7F713A" w14:textId="4E897A73" w:rsidR="004B74A0" w:rsidRPr="004B74A0" w:rsidRDefault="004B74A0" w:rsidP="002D5EB9">
            <w:pPr>
              <w:spacing w:after="0"/>
              <w:ind w:firstLine="0"/>
              <w:jc w:val="right"/>
              <w:rPr>
                <w:b/>
                <w:bCs/>
                <w:sz w:val="20"/>
                <w:lang w:eastAsia="lv-LV"/>
              </w:rPr>
            </w:pPr>
            <w:r w:rsidRPr="004B74A0">
              <w:rPr>
                <w:b/>
                <w:bCs/>
                <w:sz w:val="20"/>
              </w:rPr>
              <w:t>3,3%</w:t>
            </w:r>
          </w:p>
        </w:tc>
        <w:tc>
          <w:tcPr>
            <w:tcW w:w="944" w:type="dxa"/>
            <w:tcBorders>
              <w:top w:val="nil"/>
              <w:left w:val="nil"/>
              <w:bottom w:val="single" w:sz="4" w:space="0" w:color="auto"/>
              <w:right w:val="double" w:sz="4" w:space="0" w:color="auto"/>
            </w:tcBorders>
            <w:shd w:val="clear" w:color="auto" w:fill="auto"/>
            <w:noWrap/>
            <w:vAlign w:val="center"/>
            <w:hideMark/>
          </w:tcPr>
          <w:p w14:paraId="7A27AE62" w14:textId="1A5873E7" w:rsidR="004B74A0" w:rsidRPr="004B74A0" w:rsidRDefault="004B74A0" w:rsidP="002D5EB9">
            <w:pPr>
              <w:spacing w:after="0"/>
              <w:ind w:firstLine="0"/>
              <w:jc w:val="right"/>
              <w:rPr>
                <w:b/>
                <w:bCs/>
                <w:sz w:val="20"/>
                <w:lang w:eastAsia="lv-LV"/>
              </w:rPr>
            </w:pPr>
            <w:r w:rsidRPr="004B74A0">
              <w:rPr>
                <w:b/>
                <w:bCs/>
                <w:sz w:val="20"/>
              </w:rPr>
              <w:t>-0,8%</w:t>
            </w:r>
          </w:p>
        </w:tc>
      </w:tr>
      <w:tr w:rsidR="009126BE" w:rsidRPr="00DB6F9B" w14:paraId="146381BF" w14:textId="77777777" w:rsidTr="004B74A0">
        <w:trPr>
          <w:trHeight w:val="263"/>
        </w:trPr>
        <w:tc>
          <w:tcPr>
            <w:tcW w:w="9693"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186FCEF6" w14:textId="77777777" w:rsidR="009126BE" w:rsidRPr="004B74A0" w:rsidRDefault="009126BE" w:rsidP="002D5EB9">
            <w:pPr>
              <w:spacing w:after="0"/>
              <w:ind w:firstLine="0"/>
              <w:rPr>
                <w:b/>
                <w:bCs/>
                <w:sz w:val="20"/>
                <w:lang w:eastAsia="lv-LV"/>
              </w:rPr>
            </w:pPr>
            <w:r w:rsidRPr="004B74A0">
              <w:rPr>
                <w:b/>
                <w:bCs/>
                <w:sz w:val="20"/>
                <w:lang w:eastAsia="lv-LV"/>
              </w:rPr>
              <w:t>Kopējā parāda izmaiņas ietekmējošie faktori (</w:t>
            </w:r>
            <w:proofErr w:type="spellStart"/>
            <w:r w:rsidRPr="004B74A0">
              <w:rPr>
                <w:b/>
                <w:bCs/>
                <w:sz w:val="20"/>
                <w:lang w:eastAsia="lv-LV"/>
              </w:rPr>
              <w:t>Contributions</w:t>
            </w:r>
            <w:proofErr w:type="spellEnd"/>
            <w:r w:rsidRPr="004B74A0">
              <w:rPr>
                <w:b/>
                <w:bCs/>
                <w:sz w:val="20"/>
                <w:lang w:eastAsia="lv-LV"/>
              </w:rPr>
              <w:t xml:space="preserve"> to </w:t>
            </w:r>
            <w:proofErr w:type="spellStart"/>
            <w:r w:rsidRPr="004B74A0">
              <w:rPr>
                <w:b/>
                <w:bCs/>
                <w:sz w:val="20"/>
                <w:lang w:eastAsia="lv-LV"/>
              </w:rPr>
              <w:t>change</w:t>
            </w:r>
            <w:proofErr w:type="spellEnd"/>
            <w:r w:rsidRPr="004B74A0">
              <w:rPr>
                <w:b/>
                <w:bCs/>
                <w:sz w:val="20"/>
                <w:lang w:eastAsia="lv-LV"/>
              </w:rPr>
              <w:t xml:space="preserve"> </w:t>
            </w:r>
            <w:proofErr w:type="spellStart"/>
            <w:r w:rsidRPr="004B74A0">
              <w:rPr>
                <w:b/>
                <w:bCs/>
                <w:sz w:val="20"/>
                <w:lang w:eastAsia="lv-LV"/>
              </w:rPr>
              <w:t>in</w:t>
            </w:r>
            <w:proofErr w:type="spellEnd"/>
            <w:r w:rsidRPr="004B74A0">
              <w:rPr>
                <w:b/>
                <w:bCs/>
                <w:sz w:val="20"/>
                <w:lang w:eastAsia="lv-LV"/>
              </w:rPr>
              <w:t xml:space="preserve"> </w:t>
            </w:r>
            <w:proofErr w:type="spellStart"/>
            <w:r w:rsidRPr="004B74A0">
              <w:rPr>
                <w:b/>
                <w:bCs/>
                <w:sz w:val="20"/>
                <w:lang w:eastAsia="lv-LV"/>
              </w:rPr>
              <w:t>gross</w:t>
            </w:r>
            <w:proofErr w:type="spellEnd"/>
            <w:r w:rsidRPr="004B74A0">
              <w:rPr>
                <w:b/>
                <w:bCs/>
                <w:sz w:val="20"/>
                <w:lang w:eastAsia="lv-LV"/>
              </w:rPr>
              <w:t xml:space="preserve"> </w:t>
            </w:r>
            <w:proofErr w:type="spellStart"/>
            <w:r w:rsidRPr="004B74A0">
              <w:rPr>
                <w:b/>
                <w:bCs/>
                <w:sz w:val="20"/>
                <w:lang w:eastAsia="lv-LV"/>
              </w:rPr>
              <w:t>debt</w:t>
            </w:r>
            <w:proofErr w:type="spellEnd"/>
            <w:r w:rsidRPr="004B74A0">
              <w:rPr>
                <w:b/>
                <w:bCs/>
                <w:sz w:val="20"/>
                <w:lang w:eastAsia="lv-LV"/>
              </w:rPr>
              <w:t>)</w:t>
            </w:r>
          </w:p>
        </w:tc>
      </w:tr>
      <w:tr w:rsidR="004B74A0" w:rsidRPr="00DB6F9B" w14:paraId="32B30AB1" w14:textId="77777777" w:rsidTr="004B74A0">
        <w:trPr>
          <w:trHeight w:val="369"/>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48752FB6" w14:textId="77777777" w:rsidR="004B74A0" w:rsidRPr="00DB6F9B" w:rsidRDefault="004B74A0" w:rsidP="002D5EB9">
            <w:pPr>
              <w:spacing w:after="0"/>
              <w:ind w:firstLine="0"/>
              <w:rPr>
                <w:b/>
                <w:bCs/>
                <w:sz w:val="20"/>
                <w:lang w:eastAsia="lv-LV"/>
              </w:rPr>
            </w:pPr>
            <w:r w:rsidRPr="00DB6F9B">
              <w:rPr>
                <w:b/>
                <w:bCs/>
                <w:sz w:val="20"/>
                <w:lang w:eastAsia="lv-LV"/>
              </w:rPr>
              <w:t>3. Primārā bilance (</w:t>
            </w:r>
            <w:proofErr w:type="spellStart"/>
            <w:r w:rsidRPr="00DB6F9B">
              <w:rPr>
                <w:b/>
                <w:bCs/>
                <w:sz w:val="20"/>
                <w:lang w:eastAsia="lv-LV"/>
              </w:rPr>
              <w:t>Primary</w:t>
            </w:r>
            <w:proofErr w:type="spellEnd"/>
            <w:r w:rsidRPr="00DB6F9B">
              <w:rPr>
                <w:b/>
                <w:bCs/>
                <w:sz w:val="20"/>
                <w:lang w:eastAsia="lv-LV"/>
              </w:rPr>
              <w:t xml:space="preserve"> </w:t>
            </w:r>
            <w:proofErr w:type="spellStart"/>
            <w:r w:rsidRPr="00DB6F9B">
              <w:rPr>
                <w:b/>
                <w:bCs/>
                <w:sz w:val="20"/>
                <w:lang w:eastAsia="lv-LV"/>
              </w:rPr>
              <w:t>balance</w:t>
            </w:r>
            <w:proofErr w:type="spellEnd"/>
            <w:r w:rsidRPr="00DB6F9B">
              <w:rPr>
                <w:b/>
                <w:bCs/>
                <w:sz w:val="20"/>
                <w:lang w:eastAsia="lv-LV"/>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14:paraId="52B44337" w14:textId="77777777" w:rsidR="004B74A0" w:rsidRPr="00DB6F9B" w:rsidRDefault="004B74A0" w:rsidP="002D5EB9">
            <w:pPr>
              <w:spacing w:after="0"/>
              <w:ind w:firstLine="0"/>
              <w:jc w:val="left"/>
              <w:rPr>
                <w:b/>
                <w:bCs/>
                <w:sz w:val="20"/>
                <w:lang w:eastAsia="lv-LV"/>
              </w:rPr>
            </w:pPr>
            <w:r w:rsidRPr="00DB6F9B">
              <w:rPr>
                <w:b/>
                <w:b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6883769C" w14:textId="3CAAC750" w:rsidR="004B74A0" w:rsidRPr="004B74A0" w:rsidRDefault="004B74A0" w:rsidP="002D5EB9">
            <w:pPr>
              <w:spacing w:after="0"/>
              <w:ind w:firstLine="0"/>
              <w:jc w:val="right"/>
              <w:rPr>
                <w:b/>
                <w:bCs/>
                <w:sz w:val="20"/>
                <w:lang w:eastAsia="lv-LV"/>
              </w:rPr>
            </w:pPr>
            <w:r w:rsidRPr="004B74A0">
              <w:rPr>
                <w:b/>
                <w:bCs/>
                <w:sz w:val="20"/>
              </w:rPr>
              <w:t>0,7%</w:t>
            </w:r>
          </w:p>
        </w:tc>
        <w:tc>
          <w:tcPr>
            <w:tcW w:w="1032" w:type="dxa"/>
            <w:tcBorders>
              <w:top w:val="nil"/>
              <w:left w:val="nil"/>
              <w:bottom w:val="single" w:sz="4" w:space="0" w:color="auto"/>
              <w:right w:val="single" w:sz="4" w:space="0" w:color="auto"/>
            </w:tcBorders>
            <w:shd w:val="clear" w:color="auto" w:fill="auto"/>
            <w:noWrap/>
            <w:vAlign w:val="center"/>
            <w:hideMark/>
          </w:tcPr>
          <w:p w14:paraId="166A3284" w14:textId="5167FEB2" w:rsidR="004B74A0" w:rsidRPr="004B74A0" w:rsidRDefault="004B74A0" w:rsidP="002D5EB9">
            <w:pPr>
              <w:spacing w:after="0"/>
              <w:ind w:firstLine="0"/>
              <w:jc w:val="right"/>
              <w:rPr>
                <w:b/>
                <w:bCs/>
                <w:sz w:val="20"/>
                <w:lang w:eastAsia="lv-LV"/>
              </w:rPr>
            </w:pPr>
            <w:r w:rsidRPr="004B74A0">
              <w:rPr>
                <w:b/>
                <w:bCs/>
                <w:sz w:val="20"/>
              </w:rPr>
              <w:t>0,6%</w:t>
            </w:r>
          </w:p>
        </w:tc>
        <w:tc>
          <w:tcPr>
            <w:tcW w:w="941" w:type="dxa"/>
            <w:tcBorders>
              <w:top w:val="nil"/>
              <w:left w:val="nil"/>
              <w:bottom w:val="single" w:sz="4" w:space="0" w:color="auto"/>
              <w:right w:val="single" w:sz="4" w:space="0" w:color="auto"/>
            </w:tcBorders>
            <w:shd w:val="clear" w:color="auto" w:fill="auto"/>
            <w:noWrap/>
            <w:vAlign w:val="center"/>
            <w:hideMark/>
          </w:tcPr>
          <w:p w14:paraId="03209E64" w14:textId="09BA4078" w:rsidR="004B74A0" w:rsidRPr="004B74A0" w:rsidRDefault="004B74A0" w:rsidP="002D5EB9">
            <w:pPr>
              <w:spacing w:after="0"/>
              <w:ind w:firstLine="0"/>
              <w:jc w:val="right"/>
              <w:rPr>
                <w:b/>
                <w:bCs/>
                <w:sz w:val="20"/>
                <w:lang w:eastAsia="lv-LV"/>
              </w:rPr>
            </w:pPr>
            <w:r w:rsidRPr="004B74A0">
              <w:rPr>
                <w:b/>
                <w:bCs/>
                <w:sz w:val="20"/>
              </w:rPr>
              <w:t>0,4%</w:t>
            </w:r>
          </w:p>
        </w:tc>
        <w:tc>
          <w:tcPr>
            <w:tcW w:w="1037" w:type="dxa"/>
            <w:tcBorders>
              <w:top w:val="nil"/>
              <w:left w:val="nil"/>
              <w:bottom w:val="single" w:sz="4" w:space="0" w:color="auto"/>
              <w:right w:val="single" w:sz="4" w:space="0" w:color="auto"/>
            </w:tcBorders>
            <w:shd w:val="clear" w:color="auto" w:fill="auto"/>
            <w:noWrap/>
            <w:vAlign w:val="center"/>
            <w:hideMark/>
          </w:tcPr>
          <w:p w14:paraId="15690ACB" w14:textId="6938055D" w:rsidR="004B74A0" w:rsidRPr="004B74A0" w:rsidRDefault="004B74A0" w:rsidP="002D5EB9">
            <w:pPr>
              <w:spacing w:after="0"/>
              <w:ind w:firstLine="0"/>
              <w:jc w:val="right"/>
              <w:rPr>
                <w:b/>
                <w:bCs/>
                <w:sz w:val="20"/>
                <w:lang w:eastAsia="lv-LV"/>
              </w:rPr>
            </w:pPr>
            <w:r w:rsidRPr="004B74A0">
              <w:rPr>
                <w:b/>
                <w:bCs/>
                <w:sz w:val="20"/>
              </w:rPr>
              <w:t>0,5%</w:t>
            </w:r>
          </w:p>
        </w:tc>
        <w:tc>
          <w:tcPr>
            <w:tcW w:w="944" w:type="dxa"/>
            <w:tcBorders>
              <w:top w:val="nil"/>
              <w:left w:val="nil"/>
              <w:bottom w:val="single" w:sz="4" w:space="0" w:color="auto"/>
              <w:right w:val="double" w:sz="4" w:space="0" w:color="auto"/>
            </w:tcBorders>
            <w:shd w:val="clear" w:color="auto" w:fill="auto"/>
            <w:noWrap/>
            <w:vAlign w:val="center"/>
            <w:hideMark/>
          </w:tcPr>
          <w:p w14:paraId="79CFC485" w14:textId="225432F0" w:rsidR="004B74A0" w:rsidRPr="004B74A0" w:rsidRDefault="004B74A0" w:rsidP="002D5EB9">
            <w:pPr>
              <w:spacing w:after="0"/>
              <w:ind w:firstLine="0"/>
              <w:jc w:val="right"/>
              <w:rPr>
                <w:b/>
                <w:bCs/>
                <w:sz w:val="20"/>
                <w:lang w:eastAsia="lv-LV"/>
              </w:rPr>
            </w:pPr>
            <w:r w:rsidRPr="004B74A0">
              <w:rPr>
                <w:b/>
                <w:bCs/>
                <w:sz w:val="20"/>
              </w:rPr>
              <w:t>0,4%</w:t>
            </w:r>
          </w:p>
        </w:tc>
      </w:tr>
      <w:tr w:rsidR="004B74A0" w:rsidRPr="00DB6F9B" w14:paraId="18BAEB5C" w14:textId="77777777" w:rsidTr="002D5EB9">
        <w:trPr>
          <w:trHeight w:val="333"/>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19AE0331" w14:textId="77777777" w:rsidR="004B74A0" w:rsidRPr="00DB6F9B" w:rsidRDefault="004B74A0" w:rsidP="002D5EB9">
            <w:pPr>
              <w:spacing w:after="0"/>
              <w:ind w:firstLine="0"/>
              <w:rPr>
                <w:b/>
                <w:bCs/>
                <w:sz w:val="20"/>
                <w:lang w:eastAsia="lv-LV"/>
              </w:rPr>
            </w:pPr>
            <w:r w:rsidRPr="00DB6F9B">
              <w:rPr>
                <w:b/>
                <w:bCs/>
                <w:sz w:val="20"/>
                <w:lang w:eastAsia="lv-LV"/>
              </w:rPr>
              <w:t>4. Procentu maksājumi (</w:t>
            </w:r>
            <w:proofErr w:type="spellStart"/>
            <w:r w:rsidRPr="00DB6F9B">
              <w:rPr>
                <w:b/>
                <w:bCs/>
                <w:sz w:val="20"/>
                <w:lang w:eastAsia="lv-LV"/>
              </w:rPr>
              <w:t>Interest</w:t>
            </w:r>
            <w:proofErr w:type="spellEnd"/>
            <w:r w:rsidRPr="00DB6F9B">
              <w:rPr>
                <w:b/>
                <w:bCs/>
                <w:sz w:val="20"/>
                <w:lang w:eastAsia="lv-LV"/>
              </w:rPr>
              <w:t xml:space="preserve"> </w:t>
            </w:r>
            <w:proofErr w:type="spellStart"/>
            <w:r w:rsidRPr="00DB6F9B">
              <w:rPr>
                <w:b/>
                <w:bCs/>
                <w:sz w:val="20"/>
                <w:lang w:eastAsia="lv-LV"/>
              </w:rPr>
              <w:t>expenditure</w:t>
            </w:r>
            <w:proofErr w:type="spellEnd"/>
            <w:r w:rsidRPr="00DB6F9B">
              <w:rPr>
                <w:b/>
                <w:bCs/>
                <w:sz w:val="20"/>
                <w:lang w:eastAsia="lv-LV"/>
              </w:rPr>
              <w:t>)</w:t>
            </w:r>
          </w:p>
        </w:tc>
        <w:tc>
          <w:tcPr>
            <w:tcW w:w="668" w:type="dxa"/>
            <w:tcBorders>
              <w:top w:val="nil"/>
              <w:left w:val="nil"/>
              <w:bottom w:val="single" w:sz="4" w:space="0" w:color="auto"/>
              <w:right w:val="single" w:sz="4" w:space="0" w:color="auto"/>
            </w:tcBorders>
            <w:shd w:val="clear" w:color="auto" w:fill="auto"/>
            <w:vAlign w:val="center"/>
            <w:hideMark/>
          </w:tcPr>
          <w:p w14:paraId="43BD2EF1" w14:textId="77777777" w:rsidR="004B74A0" w:rsidRPr="00DB6F9B" w:rsidRDefault="004B74A0" w:rsidP="002D5EB9">
            <w:pPr>
              <w:spacing w:after="0"/>
              <w:ind w:firstLine="0"/>
              <w:jc w:val="left"/>
              <w:rPr>
                <w:b/>
                <w:bCs/>
                <w:sz w:val="20"/>
                <w:lang w:eastAsia="lv-LV"/>
              </w:rPr>
            </w:pPr>
            <w:r w:rsidRPr="00DB6F9B">
              <w:rPr>
                <w:b/>
                <w:bCs/>
                <w:sz w:val="20"/>
                <w:lang w:eastAsia="lv-LV"/>
              </w:rPr>
              <w:t>EDP D.41</w:t>
            </w:r>
          </w:p>
        </w:tc>
        <w:tc>
          <w:tcPr>
            <w:tcW w:w="1013" w:type="dxa"/>
            <w:tcBorders>
              <w:top w:val="nil"/>
              <w:left w:val="nil"/>
              <w:bottom w:val="single" w:sz="4" w:space="0" w:color="auto"/>
              <w:right w:val="single" w:sz="4" w:space="0" w:color="auto"/>
            </w:tcBorders>
            <w:shd w:val="clear" w:color="auto" w:fill="auto"/>
            <w:noWrap/>
            <w:vAlign w:val="center"/>
            <w:hideMark/>
          </w:tcPr>
          <w:p w14:paraId="4BBE999C" w14:textId="1FE191C3" w:rsidR="004B74A0" w:rsidRPr="004B74A0" w:rsidRDefault="004B74A0" w:rsidP="002D5EB9">
            <w:pPr>
              <w:spacing w:after="0"/>
              <w:ind w:firstLine="0"/>
              <w:jc w:val="right"/>
              <w:rPr>
                <w:b/>
                <w:bCs/>
                <w:sz w:val="20"/>
                <w:lang w:eastAsia="lv-LV"/>
              </w:rPr>
            </w:pPr>
            <w:r w:rsidRPr="004B74A0">
              <w:rPr>
                <w:b/>
                <w:bCs/>
                <w:sz w:val="20"/>
              </w:rPr>
              <w:t>1,7%</w:t>
            </w:r>
          </w:p>
        </w:tc>
        <w:tc>
          <w:tcPr>
            <w:tcW w:w="1032" w:type="dxa"/>
            <w:tcBorders>
              <w:top w:val="nil"/>
              <w:left w:val="nil"/>
              <w:bottom w:val="single" w:sz="4" w:space="0" w:color="auto"/>
              <w:right w:val="single" w:sz="4" w:space="0" w:color="auto"/>
            </w:tcBorders>
            <w:shd w:val="clear" w:color="auto" w:fill="auto"/>
            <w:noWrap/>
            <w:vAlign w:val="center"/>
            <w:hideMark/>
          </w:tcPr>
          <w:p w14:paraId="6A17C924" w14:textId="71108F45" w:rsidR="004B74A0" w:rsidRPr="004B74A0" w:rsidRDefault="004B74A0" w:rsidP="002D5EB9">
            <w:pPr>
              <w:spacing w:after="0"/>
              <w:ind w:firstLine="0"/>
              <w:jc w:val="right"/>
              <w:rPr>
                <w:b/>
                <w:bCs/>
                <w:sz w:val="20"/>
                <w:lang w:eastAsia="lv-LV"/>
              </w:rPr>
            </w:pPr>
            <w:r w:rsidRPr="004B74A0">
              <w:rPr>
                <w:b/>
                <w:bCs/>
                <w:sz w:val="20"/>
              </w:rPr>
              <w:t>1,6%</w:t>
            </w:r>
          </w:p>
        </w:tc>
        <w:tc>
          <w:tcPr>
            <w:tcW w:w="941" w:type="dxa"/>
            <w:tcBorders>
              <w:top w:val="nil"/>
              <w:left w:val="nil"/>
              <w:bottom w:val="single" w:sz="4" w:space="0" w:color="auto"/>
              <w:right w:val="single" w:sz="4" w:space="0" w:color="auto"/>
            </w:tcBorders>
            <w:shd w:val="clear" w:color="auto" w:fill="auto"/>
            <w:noWrap/>
            <w:vAlign w:val="center"/>
            <w:hideMark/>
          </w:tcPr>
          <w:p w14:paraId="2D8C5141" w14:textId="15F2FA26" w:rsidR="004B74A0" w:rsidRPr="004B74A0" w:rsidRDefault="004B74A0" w:rsidP="002D5EB9">
            <w:pPr>
              <w:spacing w:after="0"/>
              <w:ind w:firstLine="0"/>
              <w:jc w:val="right"/>
              <w:rPr>
                <w:b/>
                <w:bCs/>
                <w:sz w:val="20"/>
                <w:lang w:eastAsia="lv-LV"/>
              </w:rPr>
            </w:pPr>
            <w:r w:rsidRPr="004B74A0">
              <w:rPr>
                <w:b/>
                <w:bCs/>
                <w:sz w:val="20"/>
              </w:rPr>
              <w:t>1,2%</w:t>
            </w:r>
          </w:p>
        </w:tc>
        <w:tc>
          <w:tcPr>
            <w:tcW w:w="1037" w:type="dxa"/>
            <w:tcBorders>
              <w:top w:val="nil"/>
              <w:left w:val="nil"/>
              <w:bottom w:val="single" w:sz="4" w:space="0" w:color="auto"/>
              <w:right w:val="single" w:sz="4" w:space="0" w:color="auto"/>
            </w:tcBorders>
            <w:shd w:val="clear" w:color="auto" w:fill="auto"/>
            <w:noWrap/>
            <w:vAlign w:val="center"/>
            <w:hideMark/>
          </w:tcPr>
          <w:p w14:paraId="7B160905" w14:textId="52E856A0" w:rsidR="004B74A0" w:rsidRPr="004B74A0" w:rsidRDefault="004B74A0" w:rsidP="002D5EB9">
            <w:pPr>
              <w:spacing w:after="0"/>
              <w:ind w:firstLine="0"/>
              <w:jc w:val="right"/>
              <w:rPr>
                <w:b/>
                <w:bCs/>
                <w:sz w:val="20"/>
                <w:lang w:eastAsia="lv-LV"/>
              </w:rPr>
            </w:pPr>
            <w:r w:rsidRPr="004B74A0">
              <w:rPr>
                <w:b/>
                <w:bCs/>
                <w:sz w:val="20"/>
              </w:rPr>
              <w:t>1,2%</w:t>
            </w:r>
          </w:p>
        </w:tc>
        <w:tc>
          <w:tcPr>
            <w:tcW w:w="944" w:type="dxa"/>
            <w:tcBorders>
              <w:top w:val="nil"/>
              <w:left w:val="nil"/>
              <w:bottom w:val="single" w:sz="4" w:space="0" w:color="auto"/>
              <w:right w:val="double" w:sz="4" w:space="0" w:color="auto"/>
            </w:tcBorders>
            <w:shd w:val="clear" w:color="auto" w:fill="auto"/>
            <w:noWrap/>
            <w:vAlign w:val="center"/>
            <w:hideMark/>
          </w:tcPr>
          <w:p w14:paraId="1764FFED" w14:textId="3A2F927F" w:rsidR="004B74A0" w:rsidRPr="004B74A0" w:rsidRDefault="004B74A0" w:rsidP="002D5EB9">
            <w:pPr>
              <w:spacing w:after="0"/>
              <w:ind w:firstLine="0"/>
              <w:jc w:val="right"/>
              <w:rPr>
                <w:b/>
                <w:bCs/>
                <w:sz w:val="20"/>
                <w:lang w:eastAsia="lv-LV"/>
              </w:rPr>
            </w:pPr>
            <w:r w:rsidRPr="004B74A0">
              <w:rPr>
                <w:b/>
                <w:bCs/>
                <w:sz w:val="20"/>
              </w:rPr>
              <w:t>1,1%</w:t>
            </w:r>
          </w:p>
        </w:tc>
      </w:tr>
      <w:tr w:rsidR="004B74A0" w:rsidRPr="00DB6F9B" w14:paraId="3F5E5596" w14:textId="77777777" w:rsidTr="002D5EB9">
        <w:trPr>
          <w:trHeight w:val="438"/>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55E3EE1B" w14:textId="77777777" w:rsidR="004B74A0" w:rsidRPr="00DB6F9B" w:rsidRDefault="004B74A0" w:rsidP="002D5EB9">
            <w:pPr>
              <w:spacing w:after="0"/>
              <w:ind w:firstLine="0"/>
              <w:rPr>
                <w:b/>
                <w:bCs/>
                <w:sz w:val="20"/>
                <w:lang w:eastAsia="lv-LV"/>
              </w:rPr>
            </w:pPr>
            <w:r w:rsidRPr="00DB6F9B">
              <w:rPr>
                <w:b/>
                <w:bCs/>
                <w:sz w:val="20"/>
                <w:lang w:eastAsia="lv-LV"/>
              </w:rPr>
              <w:t>5. Krājumu izmaiņas (</w:t>
            </w:r>
            <w:proofErr w:type="spellStart"/>
            <w:r w:rsidRPr="00DB6F9B">
              <w:rPr>
                <w:b/>
                <w:bCs/>
                <w:sz w:val="20"/>
                <w:lang w:eastAsia="lv-LV"/>
              </w:rPr>
              <w:t>Stock-flow</w:t>
            </w:r>
            <w:proofErr w:type="spellEnd"/>
            <w:r w:rsidRPr="00DB6F9B">
              <w:rPr>
                <w:b/>
                <w:bCs/>
                <w:sz w:val="20"/>
                <w:lang w:eastAsia="lv-LV"/>
              </w:rPr>
              <w:t xml:space="preserve"> </w:t>
            </w:r>
            <w:proofErr w:type="spellStart"/>
            <w:r w:rsidRPr="00DB6F9B">
              <w:rPr>
                <w:b/>
                <w:bCs/>
                <w:sz w:val="20"/>
                <w:lang w:eastAsia="lv-LV"/>
              </w:rPr>
              <w:t>adjustment</w:t>
            </w:r>
            <w:proofErr w:type="spellEnd"/>
            <w:r w:rsidRPr="00DB6F9B">
              <w:rPr>
                <w:b/>
                <w:bCs/>
                <w:sz w:val="20"/>
                <w:lang w:eastAsia="lv-LV"/>
              </w:rPr>
              <w:t>),  t.sk.</w:t>
            </w:r>
          </w:p>
        </w:tc>
        <w:tc>
          <w:tcPr>
            <w:tcW w:w="668" w:type="dxa"/>
            <w:tcBorders>
              <w:top w:val="nil"/>
              <w:left w:val="nil"/>
              <w:bottom w:val="single" w:sz="4" w:space="0" w:color="auto"/>
              <w:right w:val="single" w:sz="4" w:space="0" w:color="auto"/>
            </w:tcBorders>
            <w:shd w:val="clear" w:color="auto" w:fill="auto"/>
            <w:vAlign w:val="center"/>
            <w:hideMark/>
          </w:tcPr>
          <w:p w14:paraId="243258CD" w14:textId="77777777" w:rsidR="004B74A0" w:rsidRPr="00DB6F9B" w:rsidRDefault="004B74A0" w:rsidP="002D5EB9">
            <w:pPr>
              <w:spacing w:after="0"/>
              <w:ind w:firstLine="0"/>
              <w:jc w:val="left"/>
              <w:rPr>
                <w:b/>
                <w:bCs/>
                <w:sz w:val="20"/>
                <w:lang w:eastAsia="lv-LV"/>
              </w:rPr>
            </w:pPr>
            <w:r w:rsidRPr="00DB6F9B">
              <w:rPr>
                <w:b/>
                <w:b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3A8585E4" w14:textId="6C06165D" w:rsidR="004B74A0" w:rsidRPr="004B74A0" w:rsidRDefault="004B74A0" w:rsidP="002D5EB9">
            <w:pPr>
              <w:spacing w:after="0"/>
              <w:ind w:firstLine="0"/>
              <w:jc w:val="right"/>
              <w:rPr>
                <w:b/>
                <w:bCs/>
                <w:sz w:val="20"/>
                <w:lang w:eastAsia="lv-LV"/>
              </w:rPr>
            </w:pPr>
            <w:r w:rsidRPr="004B74A0">
              <w:rPr>
                <w:b/>
                <w:bCs/>
                <w:sz w:val="20"/>
              </w:rPr>
              <w:t>-1,6%</w:t>
            </w:r>
          </w:p>
        </w:tc>
        <w:tc>
          <w:tcPr>
            <w:tcW w:w="1032" w:type="dxa"/>
            <w:tcBorders>
              <w:top w:val="nil"/>
              <w:left w:val="nil"/>
              <w:bottom w:val="single" w:sz="4" w:space="0" w:color="auto"/>
              <w:right w:val="single" w:sz="4" w:space="0" w:color="auto"/>
            </w:tcBorders>
            <w:shd w:val="clear" w:color="auto" w:fill="auto"/>
            <w:noWrap/>
            <w:vAlign w:val="center"/>
            <w:hideMark/>
          </w:tcPr>
          <w:p w14:paraId="2F6E585E" w14:textId="28B22051" w:rsidR="004B74A0" w:rsidRPr="004B74A0" w:rsidRDefault="004B74A0" w:rsidP="002D5EB9">
            <w:pPr>
              <w:spacing w:after="0"/>
              <w:ind w:firstLine="0"/>
              <w:jc w:val="right"/>
              <w:rPr>
                <w:b/>
                <w:bCs/>
                <w:sz w:val="20"/>
                <w:lang w:eastAsia="lv-LV"/>
              </w:rPr>
            </w:pPr>
            <w:r w:rsidRPr="004B74A0">
              <w:rPr>
                <w:b/>
                <w:bCs/>
                <w:sz w:val="20"/>
              </w:rPr>
              <w:t>1,8%</w:t>
            </w:r>
          </w:p>
        </w:tc>
        <w:tc>
          <w:tcPr>
            <w:tcW w:w="941" w:type="dxa"/>
            <w:tcBorders>
              <w:top w:val="nil"/>
              <w:left w:val="nil"/>
              <w:bottom w:val="single" w:sz="4" w:space="0" w:color="auto"/>
              <w:right w:val="single" w:sz="4" w:space="0" w:color="auto"/>
            </w:tcBorders>
            <w:shd w:val="clear" w:color="auto" w:fill="auto"/>
            <w:noWrap/>
            <w:vAlign w:val="center"/>
            <w:hideMark/>
          </w:tcPr>
          <w:p w14:paraId="3740CE23" w14:textId="7BA1C8FD" w:rsidR="004B74A0" w:rsidRPr="004B74A0" w:rsidRDefault="004B74A0" w:rsidP="002D5EB9">
            <w:pPr>
              <w:spacing w:after="0"/>
              <w:ind w:firstLine="0"/>
              <w:jc w:val="right"/>
              <w:rPr>
                <w:b/>
                <w:bCs/>
                <w:sz w:val="20"/>
                <w:lang w:eastAsia="lv-LV"/>
              </w:rPr>
            </w:pPr>
            <w:r w:rsidRPr="004B74A0">
              <w:rPr>
                <w:b/>
                <w:bCs/>
                <w:sz w:val="20"/>
              </w:rPr>
              <w:t>-4,0%</w:t>
            </w:r>
          </w:p>
        </w:tc>
        <w:tc>
          <w:tcPr>
            <w:tcW w:w="1037" w:type="dxa"/>
            <w:tcBorders>
              <w:top w:val="nil"/>
              <w:left w:val="nil"/>
              <w:bottom w:val="single" w:sz="4" w:space="0" w:color="auto"/>
              <w:right w:val="single" w:sz="4" w:space="0" w:color="auto"/>
            </w:tcBorders>
            <w:shd w:val="clear" w:color="auto" w:fill="auto"/>
            <w:noWrap/>
            <w:vAlign w:val="center"/>
            <w:hideMark/>
          </w:tcPr>
          <w:p w14:paraId="4C30F333" w14:textId="439BAF7F" w:rsidR="004B74A0" w:rsidRPr="004B74A0" w:rsidRDefault="004B74A0" w:rsidP="002D5EB9">
            <w:pPr>
              <w:spacing w:after="0"/>
              <w:ind w:firstLine="0"/>
              <w:jc w:val="right"/>
              <w:rPr>
                <w:b/>
                <w:bCs/>
                <w:sz w:val="20"/>
                <w:lang w:eastAsia="lv-LV"/>
              </w:rPr>
            </w:pPr>
            <w:r w:rsidRPr="004B74A0">
              <w:rPr>
                <w:b/>
                <w:bCs/>
                <w:sz w:val="20"/>
              </w:rPr>
              <w:t>2,6%</w:t>
            </w:r>
          </w:p>
        </w:tc>
        <w:tc>
          <w:tcPr>
            <w:tcW w:w="944" w:type="dxa"/>
            <w:tcBorders>
              <w:top w:val="nil"/>
              <w:left w:val="nil"/>
              <w:bottom w:val="single" w:sz="4" w:space="0" w:color="auto"/>
              <w:right w:val="double" w:sz="4" w:space="0" w:color="auto"/>
            </w:tcBorders>
            <w:shd w:val="clear" w:color="auto" w:fill="auto"/>
            <w:noWrap/>
            <w:vAlign w:val="center"/>
            <w:hideMark/>
          </w:tcPr>
          <w:p w14:paraId="0CEEC73E" w14:textId="459FA362" w:rsidR="004B74A0" w:rsidRPr="004B74A0" w:rsidRDefault="004B74A0" w:rsidP="002D5EB9">
            <w:pPr>
              <w:spacing w:after="0"/>
              <w:ind w:firstLine="0"/>
              <w:jc w:val="right"/>
              <w:rPr>
                <w:b/>
                <w:bCs/>
                <w:sz w:val="20"/>
                <w:lang w:eastAsia="lv-LV"/>
              </w:rPr>
            </w:pPr>
            <w:r w:rsidRPr="004B74A0">
              <w:rPr>
                <w:b/>
                <w:bCs/>
                <w:sz w:val="20"/>
              </w:rPr>
              <w:t>-1,5%</w:t>
            </w:r>
          </w:p>
        </w:tc>
      </w:tr>
      <w:tr w:rsidR="004B74A0" w:rsidRPr="00DB6F9B" w14:paraId="33E57B76" w14:textId="77777777" w:rsidTr="002D5EB9">
        <w:trPr>
          <w:trHeight w:val="388"/>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210640F3" w14:textId="77777777" w:rsidR="004B74A0" w:rsidRPr="00DB6F9B" w:rsidRDefault="004B74A0" w:rsidP="002D5EB9">
            <w:pPr>
              <w:spacing w:after="0"/>
              <w:ind w:firstLineChars="200" w:firstLine="400"/>
              <w:rPr>
                <w:sz w:val="20"/>
                <w:lang w:eastAsia="lv-LV"/>
              </w:rPr>
            </w:pPr>
            <w:r w:rsidRPr="00DB6F9B">
              <w:rPr>
                <w:sz w:val="20"/>
                <w:lang w:eastAsia="lv-LV"/>
              </w:rPr>
              <w:t>- Starpības starp plūsmu un uzkrājumiem (</w:t>
            </w:r>
            <w:proofErr w:type="spellStart"/>
            <w:r w:rsidRPr="00DB6F9B">
              <w:rPr>
                <w:sz w:val="20"/>
                <w:lang w:eastAsia="lv-LV"/>
              </w:rPr>
              <w:t>Differences</w:t>
            </w:r>
            <w:proofErr w:type="spellEnd"/>
            <w:r w:rsidRPr="00DB6F9B">
              <w:rPr>
                <w:sz w:val="20"/>
                <w:lang w:eastAsia="lv-LV"/>
              </w:rPr>
              <w:t xml:space="preserve"> </w:t>
            </w:r>
            <w:proofErr w:type="spellStart"/>
            <w:r w:rsidRPr="00DB6F9B">
              <w:rPr>
                <w:sz w:val="20"/>
                <w:lang w:eastAsia="lv-LV"/>
              </w:rPr>
              <w:t>between</w:t>
            </w:r>
            <w:proofErr w:type="spellEnd"/>
            <w:r w:rsidRPr="00DB6F9B">
              <w:rPr>
                <w:sz w:val="20"/>
                <w:lang w:eastAsia="lv-LV"/>
              </w:rPr>
              <w:t xml:space="preserve"> </w:t>
            </w:r>
            <w:proofErr w:type="spellStart"/>
            <w:r w:rsidRPr="00DB6F9B">
              <w:rPr>
                <w:sz w:val="20"/>
                <w:lang w:eastAsia="lv-LV"/>
              </w:rPr>
              <w:t>cash</w:t>
            </w:r>
            <w:proofErr w:type="spellEnd"/>
            <w:r w:rsidRPr="00DB6F9B">
              <w:rPr>
                <w:sz w:val="20"/>
                <w:lang w:eastAsia="lv-LV"/>
              </w:rPr>
              <w:t xml:space="preserve"> </w:t>
            </w:r>
            <w:proofErr w:type="spellStart"/>
            <w:r w:rsidRPr="00DB6F9B">
              <w:rPr>
                <w:sz w:val="20"/>
                <w:lang w:eastAsia="lv-LV"/>
              </w:rPr>
              <w:t>and</w:t>
            </w:r>
            <w:proofErr w:type="spellEnd"/>
            <w:r w:rsidRPr="00DB6F9B">
              <w:rPr>
                <w:sz w:val="20"/>
                <w:lang w:eastAsia="lv-LV"/>
              </w:rPr>
              <w:t xml:space="preserve"> </w:t>
            </w:r>
            <w:proofErr w:type="spellStart"/>
            <w:r w:rsidRPr="00DB6F9B">
              <w:rPr>
                <w:sz w:val="20"/>
                <w:lang w:eastAsia="lv-LV"/>
              </w:rPr>
              <w:t>accruals</w:t>
            </w:r>
            <w:proofErr w:type="spellEnd"/>
            <w:r w:rsidRPr="00DB6F9B">
              <w:rPr>
                <w:sz w:val="20"/>
                <w:lang w:eastAsia="lv-LV"/>
              </w:rPr>
              <w:t>) *</w:t>
            </w:r>
          </w:p>
        </w:tc>
        <w:tc>
          <w:tcPr>
            <w:tcW w:w="668" w:type="dxa"/>
            <w:tcBorders>
              <w:top w:val="nil"/>
              <w:left w:val="nil"/>
              <w:bottom w:val="single" w:sz="4" w:space="0" w:color="auto"/>
              <w:right w:val="single" w:sz="4" w:space="0" w:color="auto"/>
            </w:tcBorders>
            <w:shd w:val="clear" w:color="auto" w:fill="auto"/>
            <w:vAlign w:val="center"/>
            <w:hideMark/>
          </w:tcPr>
          <w:p w14:paraId="07F65B82"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11214AAB" w14:textId="2D256098" w:rsidR="004B74A0" w:rsidRPr="004B74A0" w:rsidRDefault="004B74A0" w:rsidP="002D5EB9">
            <w:pPr>
              <w:spacing w:after="0"/>
              <w:ind w:firstLine="0"/>
              <w:jc w:val="right"/>
              <w:rPr>
                <w:sz w:val="20"/>
                <w:lang w:eastAsia="lv-LV"/>
              </w:rPr>
            </w:pPr>
            <w:r w:rsidRPr="004B74A0">
              <w:rPr>
                <w:sz w:val="20"/>
              </w:rPr>
              <w:t>-0,1%</w:t>
            </w:r>
          </w:p>
        </w:tc>
        <w:tc>
          <w:tcPr>
            <w:tcW w:w="1032" w:type="dxa"/>
            <w:tcBorders>
              <w:top w:val="nil"/>
              <w:left w:val="nil"/>
              <w:bottom w:val="single" w:sz="4" w:space="0" w:color="auto"/>
              <w:right w:val="single" w:sz="4" w:space="0" w:color="auto"/>
            </w:tcBorders>
            <w:shd w:val="clear" w:color="auto" w:fill="auto"/>
            <w:noWrap/>
            <w:vAlign w:val="center"/>
            <w:hideMark/>
          </w:tcPr>
          <w:p w14:paraId="453A3DB0" w14:textId="0DF77C7E" w:rsidR="004B74A0" w:rsidRPr="004B74A0" w:rsidRDefault="004B74A0" w:rsidP="002D5EB9">
            <w:pPr>
              <w:spacing w:after="0"/>
              <w:ind w:firstLine="0"/>
              <w:jc w:val="right"/>
              <w:rPr>
                <w:sz w:val="20"/>
                <w:lang w:eastAsia="lv-LV"/>
              </w:rPr>
            </w:pPr>
            <w:r w:rsidRPr="004B74A0">
              <w:rPr>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665D7249" w14:textId="6A6F9602" w:rsidR="004B74A0" w:rsidRPr="004B74A0" w:rsidRDefault="004B74A0" w:rsidP="002D5EB9">
            <w:pPr>
              <w:spacing w:after="0"/>
              <w:ind w:firstLine="0"/>
              <w:jc w:val="right"/>
              <w:rPr>
                <w:sz w:val="20"/>
                <w:lang w:eastAsia="lv-LV"/>
              </w:rPr>
            </w:pPr>
            <w:r w:rsidRPr="004B74A0">
              <w:rPr>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29F64332" w14:textId="55DAB952" w:rsidR="004B74A0" w:rsidRPr="004B74A0" w:rsidRDefault="004B74A0" w:rsidP="002D5EB9">
            <w:pPr>
              <w:spacing w:after="0"/>
              <w:ind w:firstLine="0"/>
              <w:jc w:val="right"/>
              <w:rPr>
                <w:sz w:val="20"/>
                <w:lang w:eastAsia="lv-LV"/>
              </w:rPr>
            </w:pPr>
            <w:r w:rsidRPr="004B74A0">
              <w:rPr>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677CA57C" w14:textId="43045C86" w:rsidR="004B74A0" w:rsidRPr="004B74A0" w:rsidRDefault="004B74A0" w:rsidP="002D5EB9">
            <w:pPr>
              <w:spacing w:after="0"/>
              <w:ind w:firstLine="0"/>
              <w:jc w:val="right"/>
              <w:rPr>
                <w:sz w:val="20"/>
                <w:lang w:eastAsia="lv-LV"/>
              </w:rPr>
            </w:pPr>
            <w:r w:rsidRPr="004B74A0">
              <w:rPr>
                <w:sz w:val="20"/>
              </w:rPr>
              <w:t> </w:t>
            </w:r>
          </w:p>
        </w:tc>
      </w:tr>
      <w:tr w:rsidR="004B74A0" w:rsidRPr="00DB6F9B" w14:paraId="75F53FFD" w14:textId="77777777" w:rsidTr="002D5EB9">
        <w:trPr>
          <w:trHeight w:val="494"/>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05BE298C" w14:textId="77777777" w:rsidR="004B74A0" w:rsidRPr="00DB6F9B" w:rsidRDefault="004B74A0" w:rsidP="002D5EB9">
            <w:pPr>
              <w:spacing w:after="0"/>
              <w:ind w:firstLineChars="200" w:firstLine="400"/>
              <w:rPr>
                <w:sz w:val="20"/>
                <w:lang w:eastAsia="lv-LV"/>
              </w:rPr>
            </w:pPr>
            <w:r w:rsidRPr="00DB6F9B">
              <w:rPr>
                <w:sz w:val="20"/>
                <w:lang w:eastAsia="lv-LV"/>
              </w:rPr>
              <w:t xml:space="preserve">- Finanšu aktīvu neto uzkrājums (Net </w:t>
            </w:r>
            <w:proofErr w:type="spellStart"/>
            <w:r w:rsidRPr="00DB6F9B">
              <w:rPr>
                <w:sz w:val="20"/>
                <w:lang w:eastAsia="lv-LV"/>
              </w:rPr>
              <w:t>accumulation</w:t>
            </w:r>
            <w:proofErr w:type="spellEnd"/>
            <w:r w:rsidRPr="00DB6F9B">
              <w:rPr>
                <w:sz w:val="20"/>
                <w:lang w:eastAsia="lv-LV"/>
              </w:rPr>
              <w:t xml:space="preserve"> </w:t>
            </w:r>
            <w:proofErr w:type="spellStart"/>
            <w:r w:rsidRPr="00DB6F9B">
              <w:rPr>
                <w:sz w:val="20"/>
                <w:lang w:eastAsia="lv-LV"/>
              </w:rPr>
              <w:t>of</w:t>
            </w:r>
            <w:proofErr w:type="spellEnd"/>
            <w:r w:rsidRPr="00DB6F9B">
              <w:rPr>
                <w:sz w:val="20"/>
                <w:lang w:eastAsia="lv-LV"/>
              </w:rPr>
              <w:t xml:space="preserve"> </w:t>
            </w:r>
            <w:proofErr w:type="spellStart"/>
            <w:r w:rsidRPr="00DB6F9B">
              <w:rPr>
                <w:sz w:val="20"/>
                <w:lang w:eastAsia="lv-LV"/>
              </w:rPr>
              <w:t>financial</w:t>
            </w:r>
            <w:proofErr w:type="spellEnd"/>
            <w:r w:rsidRPr="00DB6F9B">
              <w:rPr>
                <w:sz w:val="20"/>
                <w:lang w:eastAsia="lv-LV"/>
              </w:rPr>
              <w:t xml:space="preserve"> </w:t>
            </w:r>
            <w:proofErr w:type="spellStart"/>
            <w:r w:rsidRPr="00DB6F9B">
              <w:rPr>
                <w:sz w:val="20"/>
                <w:lang w:eastAsia="lv-LV"/>
              </w:rPr>
              <w:t>assets</w:t>
            </w:r>
            <w:proofErr w:type="spellEnd"/>
            <w:r w:rsidRPr="00DB6F9B">
              <w:rPr>
                <w:sz w:val="20"/>
                <w:lang w:eastAsia="lv-LV"/>
              </w:rPr>
              <w:t>), **</w:t>
            </w:r>
          </w:p>
        </w:tc>
        <w:tc>
          <w:tcPr>
            <w:tcW w:w="668" w:type="dxa"/>
            <w:tcBorders>
              <w:top w:val="nil"/>
              <w:left w:val="nil"/>
              <w:bottom w:val="single" w:sz="4" w:space="0" w:color="auto"/>
              <w:right w:val="single" w:sz="4" w:space="0" w:color="auto"/>
            </w:tcBorders>
            <w:shd w:val="clear" w:color="auto" w:fill="auto"/>
            <w:vAlign w:val="center"/>
            <w:hideMark/>
          </w:tcPr>
          <w:p w14:paraId="6B4CA4DE"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765DBDA6" w14:textId="55198299" w:rsidR="004B74A0" w:rsidRPr="004B74A0" w:rsidRDefault="004B74A0" w:rsidP="002D5EB9">
            <w:pPr>
              <w:spacing w:after="0"/>
              <w:ind w:firstLine="0"/>
              <w:jc w:val="right"/>
              <w:rPr>
                <w:sz w:val="20"/>
                <w:lang w:eastAsia="lv-LV"/>
              </w:rPr>
            </w:pPr>
            <w:r w:rsidRPr="004B74A0">
              <w:rPr>
                <w:sz w:val="20"/>
              </w:rPr>
              <w:t>-1,6%</w:t>
            </w:r>
          </w:p>
        </w:tc>
        <w:tc>
          <w:tcPr>
            <w:tcW w:w="1032" w:type="dxa"/>
            <w:tcBorders>
              <w:top w:val="nil"/>
              <w:left w:val="nil"/>
              <w:bottom w:val="single" w:sz="4" w:space="0" w:color="auto"/>
              <w:right w:val="single" w:sz="4" w:space="0" w:color="auto"/>
            </w:tcBorders>
            <w:shd w:val="clear" w:color="auto" w:fill="auto"/>
            <w:noWrap/>
            <w:vAlign w:val="center"/>
            <w:hideMark/>
          </w:tcPr>
          <w:p w14:paraId="054183D1" w14:textId="4EB4094A" w:rsidR="004B74A0" w:rsidRPr="004B74A0" w:rsidRDefault="004B74A0" w:rsidP="002D5EB9">
            <w:pPr>
              <w:spacing w:after="0"/>
              <w:ind w:firstLine="0"/>
              <w:jc w:val="right"/>
              <w:rPr>
                <w:sz w:val="20"/>
                <w:lang w:eastAsia="lv-LV"/>
              </w:rPr>
            </w:pPr>
            <w:r w:rsidRPr="004B74A0">
              <w:rPr>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3D6A9BCD" w14:textId="6BD53053" w:rsidR="004B74A0" w:rsidRPr="004B74A0" w:rsidRDefault="004B74A0" w:rsidP="002D5EB9">
            <w:pPr>
              <w:spacing w:after="0"/>
              <w:ind w:firstLine="0"/>
              <w:jc w:val="right"/>
              <w:rPr>
                <w:sz w:val="20"/>
                <w:lang w:eastAsia="lv-LV"/>
              </w:rPr>
            </w:pPr>
            <w:r w:rsidRPr="004B74A0">
              <w:rPr>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3DE7EE20" w14:textId="6CABD530" w:rsidR="004B74A0" w:rsidRPr="004B74A0" w:rsidRDefault="004B74A0" w:rsidP="002D5EB9">
            <w:pPr>
              <w:spacing w:after="0"/>
              <w:ind w:firstLine="0"/>
              <w:jc w:val="right"/>
              <w:rPr>
                <w:sz w:val="20"/>
                <w:lang w:eastAsia="lv-LV"/>
              </w:rPr>
            </w:pPr>
            <w:r w:rsidRPr="004B74A0">
              <w:rPr>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05A715A0" w14:textId="171E8827" w:rsidR="004B74A0" w:rsidRPr="004B74A0" w:rsidRDefault="004B74A0" w:rsidP="002D5EB9">
            <w:pPr>
              <w:spacing w:after="0"/>
              <w:ind w:firstLine="0"/>
              <w:jc w:val="right"/>
              <w:rPr>
                <w:sz w:val="20"/>
                <w:lang w:eastAsia="lv-LV"/>
              </w:rPr>
            </w:pPr>
            <w:r w:rsidRPr="004B74A0">
              <w:rPr>
                <w:sz w:val="20"/>
              </w:rPr>
              <w:t> </w:t>
            </w:r>
          </w:p>
        </w:tc>
      </w:tr>
      <w:tr w:rsidR="004B74A0" w:rsidRPr="00DB6F9B" w14:paraId="7D7ED8DA" w14:textId="77777777" w:rsidTr="002D5EB9">
        <w:trPr>
          <w:trHeight w:val="416"/>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5CA4B4D6" w14:textId="77777777" w:rsidR="004B74A0" w:rsidRPr="00DB6F9B" w:rsidRDefault="004B74A0" w:rsidP="002D5EB9">
            <w:pPr>
              <w:spacing w:after="0"/>
              <w:ind w:firstLine="0"/>
              <w:rPr>
                <w:sz w:val="20"/>
                <w:lang w:eastAsia="lv-LV"/>
              </w:rPr>
            </w:pPr>
            <w:r w:rsidRPr="00DB6F9B">
              <w:rPr>
                <w:sz w:val="20"/>
                <w:lang w:eastAsia="lv-LV"/>
              </w:rPr>
              <w:t xml:space="preserve">   t.sk. privatizācijas ieņēmumi (</w:t>
            </w:r>
            <w:proofErr w:type="spellStart"/>
            <w:r w:rsidRPr="00DB6F9B">
              <w:rPr>
                <w:sz w:val="20"/>
                <w:lang w:eastAsia="lv-LV"/>
              </w:rPr>
              <w:t>privatisation</w:t>
            </w:r>
            <w:proofErr w:type="spellEnd"/>
            <w:r w:rsidRPr="00DB6F9B">
              <w:rPr>
                <w:sz w:val="20"/>
                <w:lang w:eastAsia="lv-LV"/>
              </w:rPr>
              <w:t xml:space="preserve"> </w:t>
            </w:r>
            <w:proofErr w:type="spellStart"/>
            <w:r w:rsidRPr="00DB6F9B">
              <w:rPr>
                <w:sz w:val="20"/>
                <w:lang w:eastAsia="lv-LV"/>
              </w:rPr>
              <w:t>proceeds</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vAlign w:val="center"/>
            <w:hideMark/>
          </w:tcPr>
          <w:p w14:paraId="35BA4D2F" w14:textId="77777777" w:rsidR="004B74A0" w:rsidRPr="00DB6F9B" w:rsidRDefault="004B74A0" w:rsidP="002D5EB9">
            <w:pPr>
              <w:spacing w:after="0"/>
              <w:ind w:firstLine="0"/>
              <w:jc w:val="left"/>
              <w:rPr>
                <w:i/>
                <w:iCs/>
                <w:sz w:val="20"/>
                <w:lang w:eastAsia="lv-LV"/>
              </w:rPr>
            </w:pPr>
            <w:r w:rsidRPr="00DB6F9B">
              <w:rPr>
                <w:i/>
                <w:i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472FDCF0" w14:textId="5CF5BAD1" w:rsidR="004B74A0" w:rsidRPr="004B74A0" w:rsidRDefault="004B74A0" w:rsidP="002D5EB9">
            <w:pPr>
              <w:spacing w:after="0"/>
              <w:ind w:firstLine="0"/>
              <w:jc w:val="right"/>
              <w:rPr>
                <w:i/>
                <w:iCs/>
                <w:sz w:val="20"/>
                <w:lang w:eastAsia="lv-LV"/>
              </w:rPr>
            </w:pPr>
            <w:r w:rsidRPr="004B74A0">
              <w:rPr>
                <w:i/>
                <w:iCs/>
                <w:sz w:val="20"/>
              </w:rPr>
              <w:t>0,1%</w:t>
            </w:r>
          </w:p>
        </w:tc>
        <w:tc>
          <w:tcPr>
            <w:tcW w:w="1032" w:type="dxa"/>
            <w:tcBorders>
              <w:top w:val="nil"/>
              <w:left w:val="nil"/>
              <w:bottom w:val="single" w:sz="4" w:space="0" w:color="auto"/>
              <w:right w:val="single" w:sz="4" w:space="0" w:color="auto"/>
            </w:tcBorders>
            <w:shd w:val="clear" w:color="auto" w:fill="auto"/>
            <w:noWrap/>
            <w:vAlign w:val="center"/>
            <w:hideMark/>
          </w:tcPr>
          <w:p w14:paraId="123BCD5D" w14:textId="5A0CC64E" w:rsidR="004B74A0" w:rsidRPr="004B74A0" w:rsidRDefault="004B74A0" w:rsidP="002D5EB9">
            <w:pPr>
              <w:spacing w:after="0"/>
              <w:ind w:firstLine="0"/>
              <w:jc w:val="right"/>
              <w:rPr>
                <w:i/>
                <w:iCs/>
                <w:sz w:val="20"/>
                <w:lang w:eastAsia="lv-LV"/>
              </w:rPr>
            </w:pPr>
            <w:r w:rsidRPr="004B74A0">
              <w:rPr>
                <w:i/>
                <w:iCs/>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1B422B06" w14:textId="37208B22" w:rsidR="004B74A0" w:rsidRPr="004B74A0" w:rsidRDefault="004B74A0" w:rsidP="002D5EB9">
            <w:pPr>
              <w:spacing w:after="0"/>
              <w:ind w:firstLine="0"/>
              <w:jc w:val="right"/>
              <w:rPr>
                <w:i/>
                <w:iCs/>
                <w:sz w:val="20"/>
                <w:lang w:eastAsia="lv-LV"/>
              </w:rPr>
            </w:pPr>
            <w:r w:rsidRPr="004B74A0">
              <w:rPr>
                <w:i/>
                <w:iCs/>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794E89" w14:textId="7686674C" w:rsidR="004B74A0" w:rsidRPr="004B74A0" w:rsidRDefault="004B74A0" w:rsidP="002D5EB9">
            <w:pPr>
              <w:spacing w:after="0"/>
              <w:ind w:firstLine="0"/>
              <w:jc w:val="right"/>
              <w:rPr>
                <w:i/>
                <w:iCs/>
                <w:sz w:val="20"/>
                <w:lang w:eastAsia="lv-LV"/>
              </w:rPr>
            </w:pPr>
            <w:r w:rsidRPr="004B74A0">
              <w:rPr>
                <w:i/>
                <w:iCs/>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4CC6B0F1" w14:textId="1D35C78C" w:rsidR="004B74A0" w:rsidRPr="004B74A0" w:rsidRDefault="004B74A0" w:rsidP="002D5EB9">
            <w:pPr>
              <w:spacing w:after="0"/>
              <w:ind w:firstLine="0"/>
              <w:jc w:val="right"/>
              <w:rPr>
                <w:i/>
                <w:iCs/>
                <w:sz w:val="20"/>
                <w:lang w:eastAsia="lv-LV"/>
              </w:rPr>
            </w:pPr>
            <w:r w:rsidRPr="004B74A0">
              <w:rPr>
                <w:i/>
                <w:iCs/>
                <w:sz w:val="20"/>
              </w:rPr>
              <w:t> </w:t>
            </w:r>
          </w:p>
        </w:tc>
      </w:tr>
      <w:tr w:rsidR="004B74A0" w:rsidRPr="00DB6F9B" w14:paraId="0574858A" w14:textId="77777777" w:rsidTr="002D5EB9">
        <w:trPr>
          <w:trHeight w:val="352"/>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06521218" w14:textId="77777777" w:rsidR="004B74A0" w:rsidRPr="00DB6F9B" w:rsidRDefault="004B74A0" w:rsidP="002D5EB9">
            <w:pPr>
              <w:spacing w:after="0"/>
              <w:ind w:firstLineChars="200" w:firstLine="400"/>
              <w:rPr>
                <w:sz w:val="20"/>
                <w:lang w:eastAsia="lv-LV"/>
              </w:rPr>
            </w:pPr>
            <w:r w:rsidRPr="00DB6F9B">
              <w:rPr>
                <w:sz w:val="20"/>
                <w:lang w:eastAsia="lv-LV"/>
              </w:rPr>
              <w:t>- Pārvērtēšanas efekti un citi (</w:t>
            </w:r>
            <w:proofErr w:type="spellStart"/>
            <w:r w:rsidRPr="00DB6F9B">
              <w:rPr>
                <w:sz w:val="20"/>
                <w:lang w:eastAsia="lv-LV"/>
              </w:rPr>
              <w:t>Valuation</w:t>
            </w:r>
            <w:proofErr w:type="spellEnd"/>
            <w:r w:rsidRPr="00DB6F9B">
              <w:rPr>
                <w:sz w:val="20"/>
                <w:lang w:eastAsia="lv-LV"/>
              </w:rPr>
              <w:t xml:space="preserve"> </w:t>
            </w:r>
            <w:proofErr w:type="spellStart"/>
            <w:r w:rsidRPr="00DB6F9B">
              <w:rPr>
                <w:sz w:val="20"/>
                <w:lang w:eastAsia="lv-LV"/>
              </w:rPr>
              <w:t>effects</w:t>
            </w:r>
            <w:proofErr w:type="spellEnd"/>
            <w:r w:rsidRPr="00DB6F9B">
              <w:rPr>
                <w:sz w:val="20"/>
                <w:lang w:eastAsia="lv-LV"/>
              </w:rPr>
              <w:t xml:space="preserve"> </w:t>
            </w:r>
            <w:proofErr w:type="spellStart"/>
            <w:r w:rsidRPr="00DB6F9B">
              <w:rPr>
                <w:sz w:val="20"/>
                <w:lang w:eastAsia="lv-LV"/>
              </w:rPr>
              <w:t>and</w:t>
            </w:r>
            <w:proofErr w:type="spellEnd"/>
            <w:r w:rsidRPr="00DB6F9B">
              <w:rPr>
                <w:sz w:val="20"/>
                <w:lang w:eastAsia="lv-LV"/>
              </w:rPr>
              <w:t xml:space="preserve"> </w:t>
            </w:r>
            <w:proofErr w:type="spellStart"/>
            <w:r w:rsidRPr="00DB6F9B">
              <w:rPr>
                <w:sz w:val="20"/>
                <w:lang w:eastAsia="lv-LV"/>
              </w:rPr>
              <w:t>other</w:t>
            </w:r>
            <w:proofErr w:type="spellEnd"/>
            <w:r w:rsidRPr="00DB6F9B">
              <w:rPr>
                <w:sz w:val="20"/>
                <w:lang w:eastAsia="lv-LV"/>
              </w:rPr>
              <w:t>) ***</w:t>
            </w:r>
          </w:p>
        </w:tc>
        <w:tc>
          <w:tcPr>
            <w:tcW w:w="668" w:type="dxa"/>
            <w:tcBorders>
              <w:top w:val="nil"/>
              <w:left w:val="nil"/>
              <w:bottom w:val="single" w:sz="4" w:space="0" w:color="auto"/>
              <w:right w:val="single" w:sz="4" w:space="0" w:color="auto"/>
            </w:tcBorders>
            <w:shd w:val="clear" w:color="auto" w:fill="auto"/>
            <w:noWrap/>
            <w:vAlign w:val="center"/>
            <w:hideMark/>
          </w:tcPr>
          <w:p w14:paraId="158CCF9B"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56051937" w14:textId="134B1E89" w:rsidR="004B74A0" w:rsidRPr="004B74A0" w:rsidRDefault="004B74A0" w:rsidP="002D5EB9">
            <w:pPr>
              <w:spacing w:after="0"/>
              <w:ind w:firstLine="0"/>
              <w:jc w:val="right"/>
              <w:rPr>
                <w:sz w:val="20"/>
                <w:lang w:eastAsia="lv-LV"/>
              </w:rPr>
            </w:pPr>
            <w:r w:rsidRPr="004B74A0">
              <w:rPr>
                <w:sz w:val="20"/>
              </w:rPr>
              <w:t>0,1%</w:t>
            </w:r>
          </w:p>
        </w:tc>
        <w:tc>
          <w:tcPr>
            <w:tcW w:w="1032" w:type="dxa"/>
            <w:tcBorders>
              <w:top w:val="nil"/>
              <w:left w:val="nil"/>
              <w:bottom w:val="single" w:sz="4" w:space="0" w:color="auto"/>
              <w:right w:val="single" w:sz="4" w:space="0" w:color="auto"/>
            </w:tcBorders>
            <w:shd w:val="clear" w:color="auto" w:fill="auto"/>
            <w:noWrap/>
            <w:vAlign w:val="center"/>
            <w:hideMark/>
          </w:tcPr>
          <w:p w14:paraId="1CA53DC1" w14:textId="43DF35C7" w:rsidR="004B74A0" w:rsidRPr="004B74A0" w:rsidRDefault="004B74A0" w:rsidP="002D5EB9">
            <w:pPr>
              <w:spacing w:after="0"/>
              <w:ind w:firstLine="0"/>
              <w:jc w:val="right"/>
              <w:rPr>
                <w:sz w:val="20"/>
                <w:lang w:eastAsia="lv-LV"/>
              </w:rPr>
            </w:pPr>
            <w:r w:rsidRPr="004B74A0">
              <w:rPr>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0A3EE8BD" w14:textId="651EDC1F" w:rsidR="004B74A0" w:rsidRPr="004B74A0" w:rsidRDefault="004B74A0" w:rsidP="002D5EB9">
            <w:pPr>
              <w:spacing w:after="0"/>
              <w:ind w:firstLine="0"/>
              <w:jc w:val="right"/>
              <w:rPr>
                <w:sz w:val="20"/>
                <w:lang w:eastAsia="lv-LV"/>
              </w:rPr>
            </w:pPr>
            <w:r w:rsidRPr="004B74A0">
              <w:rPr>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73430C" w14:textId="6BEF8061" w:rsidR="004B74A0" w:rsidRPr="004B74A0" w:rsidRDefault="004B74A0" w:rsidP="002D5EB9">
            <w:pPr>
              <w:spacing w:after="0"/>
              <w:ind w:firstLine="0"/>
              <w:jc w:val="right"/>
              <w:rPr>
                <w:sz w:val="20"/>
                <w:lang w:eastAsia="lv-LV"/>
              </w:rPr>
            </w:pPr>
            <w:r w:rsidRPr="004B74A0">
              <w:rPr>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22DFF987" w14:textId="5E1CF163" w:rsidR="004B74A0" w:rsidRPr="004B74A0" w:rsidRDefault="004B74A0" w:rsidP="002D5EB9">
            <w:pPr>
              <w:spacing w:after="0"/>
              <w:ind w:firstLine="0"/>
              <w:jc w:val="right"/>
              <w:rPr>
                <w:sz w:val="20"/>
                <w:lang w:eastAsia="lv-LV"/>
              </w:rPr>
            </w:pPr>
            <w:r w:rsidRPr="004B74A0">
              <w:rPr>
                <w:sz w:val="20"/>
              </w:rPr>
              <w:t> </w:t>
            </w:r>
          </w:p>
        </w:tc>
      </w:tr>
      <w:tr w:rsidR="004B74A0" w:rsidRPr="00DB6F9B" w14:paraId="09C01A3A" w14:textId="77777777" w:rsidTr="004B74A0">
        <w:trPr>
          <w:trHeight w:val="383"/>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6233BC46" w14:textId="77777777" w:rsidR="004B74A0" w:rsidRPr="00DB6F9B" w:rsidRDefault="004B74A0" w:rsidP="002D5EB9">
            <w:pPr>
              <w:spacing w:after="0"/>
              <w:ind w:firstLine="0"/>
              <w:rPr>
                <w:b/>
                <w:bCs/>
                <w:sz w:val="20"/>
                <w:lang w:eastAsia="lv-LV"/>
              </w:rPr>
            </w:pPr>
            <w:r w:rsidRPr="00DB6F9B">
              <w:rPr>
                <w:b/>
                <w:bCs/>
                <w:sz w:val="20"/>
                <w:lang w:eastAsia="lv-LV"/>
              </w:rPr>
              <w:t>Valsts parāda netiešā procentu likme</w:t>
            </w:r>
          </w:p>
        </w:tc>
        <w:tc>
          <w:tcPr>
            <w:tcW w:w="668" w:type="dxa"/>
            <w:tcBorders>
              <w:top w:val="nil"/>
              <w:left w:val="nil"/>
              <w:bottom w:val="single" w:sz="4" w:space="0" w:color="auto"/>
              <w:right w:val="single" w:sz="4" w:space="0" w:color="auto"/>
            </w:tcBorders>
            <w:shd w:val="clear" w:color="auto" w:fill="auto"/>
            <w:noWrap/>
            <w:vAlign w:val="center"/>
            <w:hideMark/>
          </w:tcPr>
          <w:p w14:paraId="75CAABA8" w14:textId="77777777" w:rsidR="004B74A0" w:rsidRPr="00DB6F9B" w:rsidRDefault="004B74A0" w:rsidP="002D5EB9">
            <w:pPr>
              <w:spacing w:after="0"/>
              <w:ind w:firstLine="0"/>
              <w:jc w:val="left"/>
              <w:rPr>
                <w:b/>
                <w:bCs/>
                <w:sz w:val="20"/>
                <w:lang w:eastAsia="lv-LV"/>
              </w:rPr>
            </w:pPr>
            <w:r w:rsidRPr="00DB6F9B">
              <w:rPr>
                <w:b/>
                <w:bCs/>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7B285140" w14:textId="24A35C70" w:rsidR="004B74A0" w:rsidRPr="004B74A0" w:rsidRDefault="004B74A0" w:rsidP="002D5EB9">
            <w:pPr>
              <w:spacing w:after="0"/>
              <w:ind w:firstLine="0"/>
              <w:jc w:val="right"/>
              <w:rPr>
                <w:b/>
                <w:bCs/>
                <w:sz w:val="20"/>
                <w:lang w:eastAsia="lv-LV"/>
              </w:rPr>
            </w:pPr>
            <w:r w:rsidRPr="004B74A0">
              <w:rPr>
                <w:b/>
                <w:bCs/>
                <w:sz w:val="20"/>
              </w:rPr>
              <w:t>4,3%</w:t>
            </w:r>
          </w:p>
        </w:tc>
        <w:tc>
          <w:tcPr>
            <w:tcW w:w="1032" w:type="dxa"/>
            <w:tcBorders>
              <w:top w:val="nil"/>
              <w:left w:val="nil"/>
              <w:bottom w:val="single" w:sz="4" w:space="0" w:color="auto"/>
              <w:right w:val="single" w:sz="4" w:space="0" w:color="auto"/>
            </w:tcBorders>
            <w:shd w:val="clear" w:color="auto" w:fill="auto"/>
            <w:noWrap/>
            <w:vAlign w:val="center"/>
            <w:hideMark/>
          </w:tcPr>
          <w:p w14:paraId="54C202F4" w14:textId="5A600DE9" w:rsidR="004B74A0" w:rsidRPr="004B74A0" w:rsidRDefault="004B74A0" w:rsidP="002D5EB9">
            <w:pPr>
              <w:spacing w:after="0"/>
              <w:ind w:firstLine="0"/>
              <w:jc w:val="right"/>
              <w:rPr>
                <w:b/>
                <w:bCs/>
                <w:sz w:val="20"/>
                <w:lang w:eastAsia="lv-LV"/>
              </w:rPr>
            </w:pPr>
            <w:r w:rsidRPr="004B74A0">
              <w:rPr>
                <w:b/>
                <w:bCs/>
                <w:sz w:val="20"/>
              </w:rPr>
              <w:t>4,4%</w:t>
            </w:r>
          </w:p>
        </w:tc>
        <w:tc>
          <w:tcPr>
            <w:tcW w:w="941" w:type="dxa"/>
            <w:tcBorders>
              <w:top w:val="nil"/>
              <w:left w:val="nil"/>
              <w:bottom w:val="single" w:sz="4" w:space="0" w:color="auto"/>
              <w:right w:val="single" w:sz="4" w:space="0" w:color="auto"/>
            </w:tcBorders>
            <w:shd w:val="clear" w:color="auto" w:fill="auto"/>
            <w:noWrap/>
            <w:vAlign w:val="center"/>
            <w:hideMark/>
          </w:tcPr>
          <w:p w14:paraId="31F82A7A" w14:textId="23D15884" w:rsidR="004B74A0" w:rsidRPr="004B74A0" w:rsidRDefault="004B74A0" w:rsidP="002D5EB9">
            <w:pPr>
              <w:spacing w:after="0"/>
              <w:ind w:firstLine="0"/>
              <w:jc w:val="right"/>
              <w:rPr>
                <w:b/>
                <w:bCs/>
                <w:sz w:val="20"/>
                <w:lang w:eastAsia="lv-LV"/>
              </w:rPr>
            </w:pPr>
            <w:r w:rsidRPr="004B74A0">
              <w:rPr>
                <w:b/>
                <w:bCs/>
                <w:sz w:val="20"/>
              </w:rPr>
              <w:t>3,3%</w:t>
            </w:r>
          </w:p>
        </w:tc>
        <w:tc>
          <w:tcPr>
            <w:tcW w:w="1037" w:type="dxa"/>
            <w:tcBorders>
              <w:top w:val="nil"/>
              <w:left w:val="nil"/>
              <w:bottom w:val="single" w:sz="4" w:space="0" w:color="auto"/>
              <w:right w:val="single" w:sz="4" w:space="0" w:color="auto"/>
            </w:tcBorders>
            <w:shd w:val="clear" w:color="auto" w:fill="auto"/>
            <w:noWrap/>
            <w:vAlign w:val="center"/>
            <w:hideMark/>
          </w:tcPr>
          <w:p w14:paraId="18824A03" w14:textId="1F31413C" w:rsidR="004B74A0" w:rsidRPr="004B74A0" w:rsidRDefault="004B74A0" w:rsidP="002D5EB9">
            <w:pPr>
              <w:spacing w:after="0"/>
              <w:ind w:firstLine="0"/>
              <w:jc w:val="right"/>
              <w:rPr>
                <w:b/>
                <w:bCs/>
                <w:sz w:val="20"/>
                <w:lang w:eastAsia="lv-LV"/>
              </w:rPr>
            </w:pPr>
            <w:r w:rsidRPr="004B74A0">
              <w:rPr>
                <w:b/>
                <w:bCs/>
                <w:sz w:val="20"/>
              </w:rPr>
              <w:t>3,8%</w:t>
            </w:r>
          </w:p>
        </w:tc>
        <w:tc>
          <w:tcPr>
            <w:tcW w:w="944" w:type="dxa"/>
            <w:tcBorders>
              <w:top w:val="nil"/>
              <w:left w:val="nil"/>
              <w:bottom w:val="single" w:sz="4" w:space="0" w:color="auto"/>
              <w:right w:val="double" w:sz="4" w:space="0" w:color="auto"/>
            </w:tcBorders>
            <w:shd w:val="clear" w:color="auto" w:fill="auto"/>
            <w:noWrap/>
            <w:vAlign w:val="center"/>
            <w:hideMark/>
          </w:tcPr>
          <w:p w14:paraId="595E17B3" w14:textId="08EF6B2B" w:rsidR="004B74A0" w:rsidRPr="004B74A0" w:rsidRDefault="004B74A0" w:rsidP="002D5EB9">
            <w:pPr>
              <w:spacing w:after="0"/>
              <w:ind w:firstLine="0"/>
              <w:jc w:val="right"/>
              <w:rPr>
                <w:b/>
                <w:bCs/>
                <w:sz w:val="20"/>
                <w:lang w:eastAsia="lv-LV"/>
              </w:rPr>
            </w:pPr>
            <w:r w:rsidRPr="004B74A0">
              <w:rPr>
                <w:b/>
                <w:bCs/>
                <w:sz w:val="20"/>
              </w:rPr>
              <w:t>3,4%</w:t>
            </w:r>
          </w:p>
        </w:tc>
      </w:tr>
      <w:tr w:rsidR="009126BE" w:rsidRPr="00DB6F9B" w14:paraId="016EF765" w14:textId="77777777" w:rsidTr="004B74A0">
        <w:trPr>
          <w:trHeight w:val="275"/>
        </w:trPr>
        <w:tc>
          <w:tcPr>
            <w:tcW w:w="9693"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29BAE1A3" w14:textId="77777777" w:rsidR="009126BE" w:rsidRPr="004B74A0" w:rsidRDefault="009126BE" w:rsidP="002D5EB9">
            <w:pPr>
              <w:spacing w:after="0"/>
              <w:ind w:firstLine="0"/>
              <w:rPr>
                <w:b/>
                <w:bCs/>
                <w:sz w:val="20"/>
                <w:lang w:eastAsia="lv-LV"/>
              </w:rPr>
            </w:pPr>
            <w:r w:rsidRPr="004B74A0">
              <w:rPr>
                <w:b/>
                <w:bCs/>
                <w:sz w:val="20"/>
                <w:lang w:eastAsia="lv-LV"/>
              </w:rPr>
              <w:t>Citi mainīgie (</w:t>
            </w:r>
            <w:proofErr w:type="spellStart"/>
            <w:r w:rsidRPr="004B74A0">
              <w:rPr>
                <w:b/>
                <w:bCs/>
                <w:sz w:val="20"/>
                <w:lang w:eastAsia="lv-LV"/>
              </w:rPr>
              <w:t>Other</w:t>
            </w:r>
            <w:proofErr w:type="spellEnd"/>
            <w:r w:rsidRPr="004B74A0">
              <w:rPr>
                <w:b/>
                <w:bCs/>
                <w:sz w:val="20"/>
                <w:lang w:eastAsia="lv-LV"/>
              </w:rPr>
              <w:t xml:space="preserve"> relevant </w:t>
            </w:r>
            <w:proofErr w:type="spellStart"/>
            <w:r w:rsidRPr="004B74A0">
              <w:rPr>
                <w:b/>
                <w:bCs/>
                <w:sz w:val="20"/>
                <w:lang w:eastAsia="lv-LV"/>
              </w:rPr>
              <w:t>variables</w:t>
            </w:r>
            <w:proofErr w:type="spellEnd"/>
            <w:r w:rsidRPr="004B74A0">
              <w:rPr>
                <w:b/>
                <w:bCs/>
                <w:sz w:val="20"/>
                <w:lang w:eastAsia="lv-LV"/>
              </w:rPr>
              <w:t>)</w:t>
            </w:r>
          </w:p>
        </w:tc>
      </w:tr>
      <w:tr w:rsidR="004B74A0" w:rsidRPr="00DB6F9B" w14:paraId="55A1A25E" w14:textId="77777777" w:rsidTr="002D5EB9">
        <w:trPr>
          <w:trHeight w:val="354"/>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1915949E" w14:textId="77777777" w:rsidR="004B74A0" w:rsidRPr="00DB6F9B" w:rsidRDefault="004B74A0" w:rsidP="002D5EB9">
            <w:pPr>
              <w:spacing w:after="0"/>
              <w:ind w:firstLine="0"/>
              <w:rPr>
                <w:sz w:val="20"/>
                <w:lang w:eastAsia="lv-LV"/>
              </w:rPr>
            </w:pPr>
            <w:r w:rsidRPr="00DB6F9B">
              <w:rPr>
                <w:sz w:val="20"/>
                <w:lang w:eastAsia="lv-LV"/>
              </w:rPr>
              <w:t>6. Likvīdi finanšu aktīvi (</w:t>
            </w:r>
            <w:proofErr w:type="spellStart"/>
            <w:r w:rsidRPr="00DB6F9B">
              <w:rPr>
                <w:sz w:val="20"/>
                <w:lang w:eastAsia="lv-LV"/>
              </w:rPr>
              <w:t>Liquid</w:t>
            </w:r>
            <w:proofErr w:type="spellEnd"/>
            <w:r w:rsidRPr="00DB6F9B">
              <w:rPr>
                <w:sz w:val="20"/>
                <w:lang w:eastAsia="lv-LV"/>
              </w:rPr>
              <w:t xml:space="preserve"> </w:t>
            </w:r>
            <w:proofErr w:type="spellStart"/>
            <w:r w:rsidRPr="00DB6F9B">
              <w:rPr>
                <w:sz w:val="20"/>
                <w:lang w:eastAsia="lv-LV"/>
              </w:rPr>
              <w:t>financial</w:t>
            </w:r>
            <w:proofErr w:type="spellEnd"/>
            <w:r w:rsidRPr="00DB6F9B">
              <w:rPr>
                <w:sz w:val="20"/>
                <w:lang w:eastAsia="lv-LV"/>
              </w:rPr>
              <w:t xml:space="preserve"> </w:t>
            </w:r>
            <w:proofErr w:type="spellStart"/>
            <w:r w:rsidRPr="00DB6F9B">
              <w:rPr>
                <w:sz w:val="20"/>
                <w:lang w:eastAsia="lv-LV"/>
              </w:rPr>
              <w:t>assets</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6BF32A58"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6AAC591B" w14:textId="2ACE3A43" w:rsidR="004B74A0" w:rsidRPr="004B74A0" w:rsidRDefault="004B74A0" w:rsidP="002D5EB9">
            <w:pPr>
              <w:spacing w:after="0"/>
              <w:ind w:firstLine="0"/>
              <w:jc w:val="right"/>
              <w:rPr>
                <w:sz w:val="20"/>
                <w:lang w:eastAsia="lv-LV"/>
              </w:rPr>
            </w:pPr>
            <w:r w:rsidRPr="004B74A0">
              <w:rPr>
                <w:sz w:val="20"/>
              </w:rPr>
              <w:t>8,0%</w:t>
            </w:r>
          </w:p>
        </w:tc>
        <w:tc>
          <w:tcPr>
            <w:tcW w:w="1032" w:type="dxa"/>
            <w:tcBorders>
              <w:top w:val="nil"/>
              <w:left w:val="nil"/>
              <w:bottom w:val="single" w:sz="4" w:space="0" w:color="auto"/>
              <w:right w:val="single" w:sz="4" w:space="0" w:color="auto"/>
            </w:tcBorders>
            <w:shd w:val="clear" w:color="auto" w:fill="auto"/>
            <w:noWrap/>
            <w:vAlign w:val="center"/>
            <w:hideMark/>
          </w:tcPr>
          <w:p w14:paraId="70E34F07" w14:textId="449DE1A6" w:rsidR="004B74A0" w:rsidRPr="004B74A0" w:rsidRDefault="004B74A0" w:rsidP="002D5EB9">
            <w:pPr>
              <w:spacing w:after="0"/>
              <w:ind w:firstLine="0"/>
              <w:jc w:val="right"/>
              <w:rPr>
                <w:sz w:val="20"/>
                <w:lang w:eastAsia="lv-LV"/>
              </w:rPr>
            </w:pPr>
            <w:r w:rsidRPr="004B74A0">
              <w:rPr>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5B5BA0CC" w14:textId="77E677D1" w:rsidR="004B74A0" w:rsidRPr="004B74A0" w:rsidRDefault="004B74A0" w:rsidP="002D5EB9">
            <w:pPr>
              <w:spacing w:after="0"/>
              <w:ind w:firstLine="0"/>
              <w:jc w:val="right"/>
              <w:rPr>
                <w:sz w:val="20"/>
                <w:lang w:eastAsia="lv-LV"/>
              </w:rPr>
            </w:pPr>
            <w:r w:rsidRPr="004B74A0">
              <w:rPr>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6534A99E" w14:textId="5F8F76F3" w:rsidR="004B74A0" w:rsidRPr="004B74A0" w:rsidRDefault="004B74A0" w:rsidP="002D5EB9">
            <w:pPr>
              <w:spacing w:after="0"/>
              <w:ind w:firstLine="0"/>
              <w:jc w:val="right"/>
              <w:rPr>
                <w:sz w:val="20"/>
                <w:lang w:eastAsia="lv-LV"/>
              </w:rPr>
            </w:pPr>
            <w:r w:rsidRPr="004B74A0">
              <w:rPr>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305C07BD" w14:textId="1DD32305" w:rsidR="004B74A0" w:rsidRPr="004B74A0" w:rsidRDefault="004B74A0" w:rsidP="002D5EB9">
            <w:pPr>
              <w:spacing w:after="0"/>
              <w:ind w:firstLine="0"/>
              <w:jc w:val="right"/>
              <w:rPr>
                <w:sz w:val="20"/>
                <w:lang w:eastAsia="lv-LV"/>
              </w:rPr>
            </w:pPr>
            <w:r w:rsidRPr="004B74A0">
              <w:rPr>
                <w:sz w:val="20"/>
              </w:rPr>
              <w:t> </w:t>
            </w:r>
          </w:p>
        </w:tc>
      </w:tr>
      <w:tr w:rsidR="004B74A0" w:rsidRPr="00DB6F9B" w14:paraId="2250C308" w14:textId="77777777" w:rsidTr="002D5EB9">
        <w:trPr>
          <w:trHeight w:val="304"/>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34DEDFA5" w14:textId="77777777" w:rsidR="004B74A0" w:rsidRPr="00DB6F9B" w:rsidRDefault="004B74A0" w:rsidP="002D5EB9">
            <w:pPr>
              <w:spacing w:after="0"/>
              <w:ind w:firstLine="0"/>
              <w:rPr>
                <w:sz w:val="20"/>
                <w:lang w:eastAsia="lv-LV"/>
              </w:rPr>
            </w:pPr>
            <w:r w:rsidRPr="00DB6F9B">
              <w:rPr>
                <w:sz w:val="20"/>
                <w:lang w:eastAsia="lv-LV"/>
              </w:rPr>
              <w:t xml:space="preserve">7. Neto finansiālais parāds (7=1-6) (Net </w:t>
            </w:r>
            <w:proofErr w:type="spellStart"/>
            <w:r w:rsidRPr="00DB6F9B">
              <w:rPr>
                <w:sz w:val="20"/>
                <w:lang w:eastAsia="lv-LV"/>
              </w:rPr>
              <w:t>financial</w:t>
            </w:r>
            <w:proofErr w:type="spellEnd"/>
            <w:r w:rsidRPr="00DB6F9B">
              <w:rPr>
                <w:sz w:val="20"/>
                <w:lang w:eastAsia="lv-LV"/>
              </w:rPr>
              <w:t xml:space="preserve"> </w:t>
            </w:r>
            <w:proofErr w:type="spellStart"/>
            <w:r w:rsidRPr="00DB6F9B">
              <w:rPr>
                <w:sz w:val="20"/>
                <w:lang w:eastAsia="lv-LV"/>
              </w:rPr>
              <w:t>debt</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65367B34"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762177EB" w14:textId="5679731E" w:rsidR="004B74A0" w:rsidRPr="004B74A0" w:rsidRDefault="004B74A0" w:rsidP="002D5EB9">
            <w:pPr>
              <w:spacing w:after="0"/>
              <w:ind w:firstLine="0"/>
              <w:jc w:val="right"/>
              <w:rPr>
                <w:sz w:val="20"/>
                <w:lang w:eastAsia="lv-LV"/>
              </w:rPr>
            </w:pPr>
            <w:r w:rsidRPr="004B74A0">
              <w:rPr>
                <w:sz w:val="20"/>
              </w:rPr>
              <w:t>30,1%</w:t>
            </w:r>
          </w:p>
        </w:tc>
        <w:tc>
          <w:tcPr>
            <w:tcW w:w="1032" w:type="dxa"/>
            <w:tcBorders>
              <w:top w:val="nil"/>
              <w:left w:val="nil"/>
              <w:bottom w:val="single" w:sz="4" w:space="0" w:color="auto"/>
              <w:right w:val="single" w:sz="4" w:space="0" w:color="auto"/>
            </w:tcBorders>
            <w:shd w:val="clear" w:color="auto" w:fill="auto"/>
            <w:noWrap/>
            <w:vAlign w:val="center"/>
            <w:hideMark/>
          </w:tcPr>
          <w:p w14:paraId="7D026023" w14:textId="0C42189F" w:rsidR="004B74A0" w:rsidRPr="004B74A0" w:rsidRDefault="004B74A0" w:rsidP="002D5EB9">
            <w:pPr>
              <w:spacing w:after="0"/>
              <w:ind w:firstLine="0"/>
              <w:jc w:val="right"/>
              <w:rPr>
                <w:sz w:val="20"/>
                <w:lang w:eastAsia="lv-LV"/>
              </w:rPr>
            </w:pPr>
            <w:r w:rsidRPr="004B74A0">
              <w:rPr>
                <w:sz w:val="20"/>
              </w:rPr>
              <w:t> </w:t>
            </w:r>
          </w:p>
        </w:tc>
        <w:tc>
          <w:tcPr>
            <w:tcW w:w="941" w:type="dxa"/>
            <w:tcBorders>
              <w:top w:val="nil"/>
              <w:left w:val="nil"/>
              <w:bottom w:val="single" w:sz="4" w:space="0" w:color="auto"/>
              <w:right w:val="single" w:sz="4" w:space="0" w:color="auto"/>
            </w:tcBorders>
            <w:shd w:val="clear" w:color="auto" w:fill="auto"/>
            <w:noWrap/>
            <w:vAlign w:val="center"/>
            <w:hideMark/>
          </w:tcPr>
          <w:p w14:paraId="5F2F22F6" w14:textId="5EB7539E" w:rsidR="004B74A0" w:rsidRPr="004B74A0" w:rsidRDefault="004B74A0" w:rsidP="002D5EB9">
            <w:pPr>
              <w:spacing w:after="0"/>
              <w:ind w:firstLine="0"/>
              <w:jc w:val="right"/>
              <w:rPr>
                <w:sz w:val="20"/>
                <w:lang w:eastAsia="lv-LV"/>
              </w:rPr>
            </w:pPr>
            <w:r w:rsidRPr="004B74A0">
              <w:rPr>
                <w:sz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2E5D2823" w14:textId="3A0FB5A8" w:rsidR="004B74A0" w:rsidRPr="004B74A0" w:rsidRDefault="004B74A0" w:rsidP="002D5EB9">
            <w:pPr>
              <w:spacing w:after="0"/>
              <w:ind w:firstLine="0"/>
              <w:jc w:val="right"/>
              <w:rPr>
                <w:sz w:val="20"/>
                <w:lang w:eastAsia="lv-LV"/>
              </w:rPr>
            </w:pPr>
            <w:r w:rsidRPr="004B74A0">
              <w:rPr>
                <w:sz w:val="20"/>
              </w:rPr>
              <w:t> </w:t>
            </w:r>
          </w:p>
        </w:tc>
        <w:tc>
          <w:tcPr>
            <w:tcW w:w="944" w:type="dxa"/>
            <w:tcBorders>
              <w:top w:val="nil"/>
              <w:left w:val="nil"/>
              <w:bottom w:val="single" w:sz="4" w:space="0" w:color="auto"/>
              <w:right w:val="double" w:sz="4" w:space="0" w:color="auto"/>
            </w:tcBorders>
            <w:shd w:val="clear" w:color="auto" w:fill="auto"/>
            <w:noWrap/>
            <w:vAlign w:val="center"/>
            <w:hideMark/>
          </w:tcPr>
          <w:p w14:paraId="46D9885A" w14:textId="07B8BF08" w:rsidR="004B74A0" w:rsidRPr="004B74A0" w:rsidRDefault="004B74A0" w:rsidP="002D5EB9">
            <w:pPr>
              <w:spacing w:after="0"/>
              <w:ind w:firstLine="0"/>
              <w:jc w:val="right"/>
              <w:rPr>
                <w:sz w:val="20"/>
                <w:lang w:eastAsia="lv-LV"/>
              </w:rPr>
            </w:pPr>
            <w:r w:rsidRPr="004B74A0">
              <w:rPr>
                <w:sz w:val="20"/>
              </w:rPr>
              <w:t> </w:t>
            </w:r>
          </w:p>
        </w:tc>
      </w:tr>
      <w:tr w:rsidR="004B74A0" w:rsidRPr="00DB6F9B" w14:paraId="2DFD0C75" w14:textId="77777777" w:rsidTr="002D5EB9">
        <w:trPr>
          <w:trHeight w:val="538"/>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0F56D7AF" w14:textId="77777777" w:rsidR="004B74A0" w:rsidRPr="00DB6F9B" w:rsidRDefault="004B74A0" w:rsidP="002D5EB9">
            <w:pPr>
              <w:spacing w:after="0"/>
              <w:ind w:firstLine="0"/>
              <w:rPr>
                <w:sz w:val="20"/>
                <w:lang w:eastAsia="lv-LV"/>
              </w:rPr>
            </w:pPr>
            <w:r w:rsidRPr="00DB6F9B">
              <w:rPr>
                <w:sz w:val="20"/>
                <w:lang w:eastAsia="lv-LV"/>
              </w:rPr>
              <w:t>8. Parāda amortizācija (</w:t>
            </w:r>
            <w:proofErr w:type="spellStart"/>
            <w:r w:rsidRPr="00DB6F9B">
              <w:rPr>
                <w:sz w:val="20"/>
                <w:lang w:eastAsia="lv-LV"/>
              </w:rPr>
              <w:t>Debt</w:t>
            </w:r>
            <w:proofErr w:type="spellEnd"/>
            <w:r w:rsidRPr="00DB6F9B">
              <w:rPr>
                <w:sz w:val="20"/>
                <w:lang w:eastAsia="lv-LV"/>
              </w:rPr>
              <w:t xml:space="preserve"> </w:t>
            </w:r>
            <w:proofErr w:type="spellStart"/>
            <w:r w:rsidRPr="00DB6F9B">
              <w:rPr>
                <w:sz w:val="20"/>
                <w:lang w:eastAsia="lv-LV"/>
              </w:rPr>
              <w:t>amortization</w:t>
            </w:r>
            <w:proofErr w:type="spellEnd"/>
            <w:r w:rsidRPr="00DB6F9B">
              <w:rPr>
                <w:sz w:val="20"/>
                <w:lang w:eastAsia="lv-LV"/>
              </w:rPr>
              <w:t xml:space="preserve"> (</w:t>
            </w:r>
            <w:proofErr w:type="spellStart"/>
            <w:r w:rsidRPr="00DB6F9B">
              <w:rPr>
                <w:sz w:val="20"/>
                <w:lang w:eastAsia="lv-LV"/>
              </w:rPr>
              <w:t>existing</w:t>
            </w:r>
            <w:proofErr w:type="spellEnd"/>
            <w:r w:rsidRPr="00DB6F9B">
              <w:rPr>
                <w:sz w:val="20"/>
                <w:lang w:eastAsia="lv-LV"/>
              </w:rPr>
              <w:t xml:space="preserve"> </w:t>
            </w:r>
            <w:proofErr w:type="spellStart"/>
            <w:r w:rsidRPr="00DB6F9B">
              <w:rPr>
                <w:sz w:val="20"/>
                <w:lang w:eastAsia="lv-LV"/>
              </w:rPr>
              <w:t>bonds</w:t>
            </w:r>
            <w:proofErr w:type="spellEnd"/>
            <w:r w:rsidRPr="00DB6F9B">
              <w:rPr>
                <w:sz w:val="20"/>
                <w:lang w:eastAsia="lv-LV"/>
              </w:rPr>
              <w:t xml:space="preserve">) </w:t>
            </w:r>
            <w:proofErr w:type="spellStart"/>
            <w:r w:rsidRPr="00DB6F9B">
              <w:rPr>
                <w:sz w:val="20"/>
                <w:lang w:eastAsia="lv-LV"/>
              </w:rPr>
              <w:t>since</w:t>
            </w:r>
            <w:proofErr w:type="spellEnd"/>
            <w:r w:rsidRPr="00DB6F9B">
              <w:rPr>
                <w:sz w:val="20"/>
                <w:lang w:eastAsia="lv-LV"/>
              </w:rPr>
              <w:t xml:space="preserve"> </w:t>
            </w:r>
            <w:proofErr w:type="spellStart"/>
            <w:r w:rsidRPr="00DB6F9B">
              <w:rPr>
                <w:sz w:val="20"/>
                <w:lang w:eastAsia="lv-LV"/>
              </w:rPr>
              <w:t>the</w:t>
            </w:r>
            <w:proofErr w:type="spellEnd"/>
            <w:r w:rsidRPr="00DB6F9B">
              <w:rPr>
                <w:sz w:val="20"/>
                <w:lang w:eastAsia="lv-LV"/>
              </w:rPr>
              <w:t xml:space="preserve"> </w:t>
            </w:r>
            <w:proofErr w:type="spellStart"/>
            <w:r w:rsidRPr="00DB6F9B">
              <w:rPr>
                <w:sz w:val="20"/>
                <w:lang w:eastAsia="lv-LV"/>
              </w:rPr>
              <w:t>end</w:t>
            </w:r>
            <w:proofErr w:type="spellEnd"/>
            <w:r w:rsidRPr="00DB6F9B">
              <w:rPr>
                <w:sz w:val="20"/>
                <w:lang w:eastAsia="lv-LV"/>
              </w:rPr>
              <w:t xml:space="preserve"> </w:t>
            </w:r>
            <w:proofErr w:type="spellStart"/>
            <w:r w:rsidRPr="00DB6F9B">
              <w:rPr>
                <w:sz w:val="20"/>
                <w:lang w:eastAsia="lv-LV"/>
              </w:rPr>
              <w:t>of</w:t>
            </w:r>
            <w:proofErr w:type="spellEnd"/>
            <w:r w:rsidRPr="00DB6F9B">
              <w:rPr>
                <w:sz w:val="20"/>
                <w:lang w:eastAsia="lv-LV"/>
              </w:rPr>
              <w:t xml:space="preserve"> </w:t>
            </w:r>
            <w:proofErr w:type="spellStart"/>
            <w:r w:rsidRPr="00DB6F9B">
              <w:rPr>
                <w:sz w:val="20"/>
                <w:lang w:eastAsia="lv-LV"/>
              </w:rPr>
              <w:t>the</w:t>
            </w:r>
            <w:proofErr w:type="spellEnd"/>
            <w:r w:rsidRPr="00DB6F9B">
              <w:rPr>
                <w:sz w:val="20"/>
                <w:lang w:eastAsia="lv-LV"/>
              </w:rPr>
              <w:t xml:space="preserve"> </w:t>
            </w:r>
            <w:proofErr w:type="spellStart"/>
            <w:r w:rsidRPr="00DB6F9B">
              <w:rPr>
                <w:sz w:val="20"/>
                <w:lang w:eastAsia="lv-LV"/>
              </w:rPr>
              <w:t>previous</w:t>
            </w:r>
            <w:proofErr w:type="spellEnd"/>
            <w:r w:rsidRPr="00DB6F9B">
              <w:rPr>
                <w:sz w:val="20"/>
                <w:lang w:eastAsia="lv-LV"/>
              </w:rPr>
              <w:t xml:space="preserve"> </w:t>
            </w:r>
            <w:proofErr w:type="spellStart"/>
            <w:r w:rsidRPr="00DB6F9B">
              <w:rPr>
                <w:sz w:val="20"/>
                <w:lang w:eastAsia="lv-LV"/>
              </w:rPr>
              <w:t>year</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119D1CE2" w14:textId="77777777" w:rsidR="004B74A0" w:rsidRPr="00DB6F9B" w:rsidRDefault="004B74A0" w:rsidP="002D5EB9">
            <w:pPr>
              <w:spacing w:after="0"/>
              <w:ind w:firstLine="0"/>
              <w:jc w:val="right"/>
              <w:rPr>
                <w:color w:val="FF0000"/>
                <w:sz w:val="20"/>
                <w:lang w:eastAsia="lv-LV"/>
              </w:rPr>
            </w:pPr>
            <w:r w:rsidRPr="00DB6F9B">
              <w:rPr>
                <w:color w:val="FF0000"/>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5369C871" w14:textId="77654EDD" w:rsidR="004B74A0" w:rsidRPr="004B74A0" w:rsidRDefault="004B74A0" w:rsidP="002D5EB9">
            <w:pPr>
              <w:spacing w:after="0"/>
              <w:ind w:firstLine="0"/>
              <w:jc w:val="right"/>
              <w:rPr>
                <w:sz w:val="20"/>
                <w:lang w:eastAsia="lv-LV"/>
              </w:rPr>
            </w:pPr>
            <w:r w:rsidRPr="004B74A0">
              <w:rPr>
                <w:sz w:val="20"/>
              </w:rPr>
              <w:t>0,8%</w:t>
            </w:r>
          </w:p>
        </w:tc>
        <w:tc>
          <w:tcPr>
            <w:tcW w:w="1032" w:type="dxa"/>
            <w:tcBorders>
              <w:top w:val="nil"/>
              <w:left w:val="nil"/>
              <w:bottom w:val="single" w:sz="4" w:space="0" w:color="auto"/>
              <w:right w:val="single" w:sz="4" w:space="0" w:color="auto"/>
            </w:tcBorders>
            <w:shd w:val="clear" w:color="auto" w:fill="auto"/>
            <w:noWrap/>
            <w:vAlign w:val="center"/>
            <w:hideMark/>
          </w:tcPr>
          <w:p w14:paraId="1C3B75B0" w14:textId="0BD6EF5E" w:rsidR="004B74A0" w:rsidRPr="004B74A0" w:rsidRDefault="004B74A0" w:rsidP="002D5EB9">
            <w:pPr>
              <w:spacing w:after="0"/>
              <w:ind w:firstLine="0"/>
              <w:jc w:val="right"/>
              <w:rPr>
                <w:sz w:val="20"/>
                <w:lang w:eastAsia="lv-LV"/>
              </w:rPr>
            </w:pPr>
            <w:r w:rsidRPr="004B74A0">
              <w:rPr>
                <w:sz w:val="20"/>
              </w:rPr>
              <w:t>1,8%</w:t>
            </w:r>
          </w:p>
        </w:tc>
        <w:tc>
          <w:tcPr>
            <w:tcW w:w="941" w:type="dxa"/>
            <w:tcBorders>
              <w:top w:val="nil"/>
              <w:left w:val="nil"/>
              <w:bottom w:val="single" w:sz="4" w:space="0" w:color="auto"/>
              <w:right w:val="single" w:sz="4" w:space="0" w:color="auto"/>
            </w:tcBorders>
            <w:shd w:val="clear" w:color="auto" w:fill="auto"/>
            <w:noWrap/>
            <w:vAlign w:val="center"/>
            <w:hideMark/>
          </w:tcPr>
          <w:p w14:paraId="301EA439" w14:textId="3B1AFE94" w:rsidR="004B74A0" w:rsidRPr="004B74A0" w:rsidRDefault="004B74A0" w:rsidP="002D5EB9">
            <w:pPr>
              <w:spacing w:after="0"/>
              <w:ind w:firstLine="0"/>
              <w:jc w:val="right"/>
              <w:rPr>
                <w:sz w:val="20"/>
                <w:lang w:eastAsia="lv-LV"/>
              </w:rPr>
            </w:pPr>
            <w:r w:rsidRPr="004B74A0">
              <w:rPr>
                <w:sz w:val="20"/>
              </w:rPr>
              <w:t>0,7%</w:t>
            </w:r>
          </w:p>
        </w:tc>
        <w:tc>
          <w:tcPr>
            <w:tcW w:w="1037" w:type="dxa"/>
            <w:tcBorders>
              <w:top w:val="nil"/>
              <w:left w:val="nil"/>
              <w:bottom w:val="single" w:sz="4" w:space="0" w:color="auto"/>
              <w:right w:val="single" w:sz="4" w:space="0" w:color="auto"/>
            </w:tcBorders>
            <w:shd w:val="clear" w:color="auto" w:fill="auto"/>
            <w:noWrap/>
            <w:vAlign w:val="center"/>
            <w:hideMark/>
          </w:tcPr>
          <w:p w14:paraId="228EFCE5" w14:textId="01DB6245" w:rsidR="004B74A0" w:rsidRPr="004B74A0" w:rsidRDefault="004B74A0" w:rsidP="002D5EB9">
            <w:pPr>
              <w:spacing w:after="0"/>
              <w:ind w:firstLine="0"/>
              <w:jc w:val="right"/>
              <w:rPr>
                <w:sz w:val="20"/>
                <w:lang w:eastAsia="lv-LV"/>
              </w:rPr>
            </w:pPr>
            <w:r w:rsidRPr="004B74A0">
              <w:rPr>
                <w:sz w:val="20"/>
              </w:rPr>
              <w:t>0,9%</w:t>
            </w:r>
          </w:p>
        </w:tc>
        <w:tc>
          <w:tcPr>
            <w:tcW w:w="944" w:type="dxa"/>
            <w:tcBorders>
              <w:top w:val="nil"/>
              <w:left w:val="nil"/>
              <w:bottom w:val="single" w:sz="4" w:space="0" w:color="auto"/>
              <w:right w:val="double" w:sz="4" w:space="0" w:color="auto"/>
            </w:tcBorders>
            <w:shd w:val="clear" w:color="auto" w:fill="auto"/>
            <w:noWrap/>
            <w:vAlign w:val="center"/>
            <w:hideMark/>
          </w:tcPr>
          <w:p w14:paraId="62889D07" w14:textId="670C6BE3" w:rsidR="004B74A0" w:rsidRPr="004B74A0" w:rsidRDefault="004B74A0" w:rsidP="002D5EB9">
            <w:pPr>
              <w:spacing w:after="0"/>
              <w:ind w:firstLine="0"/>
              <w:jc w:val="right"/>
              <w:rPr>
                <w:sz w:val="20"/>
                <w:lang w:eastAsia="lv-LV"/>
              </w:rPr>
            </w:pPr>
            <w:r w:rsidRPr="004B74A0">
              <w:rPr>
                <w:sz w:val="20"/>
              </w:rPr>
              <w:t>2,6%</w:t>
            </w:r>
          </w:p>
        </w:tc>
      </w:tr>
      <w:tr w:rsidR="004B74A0" w:rsidRPr="00DB6F9B" w14:paraId="47F6619E" w14:textId="77777777" w:rsidTr="002D5EB9">
        <w:trPr>
          <w:trHeight w:val="548"/>
        </w:trPr>
        <w:tc>
          <w:tcPr>
            <w:tcW w:w="4058" w:type="dxa"/>
            <w:tcBorders>
              <w:top w:val="nil"/>
              <w:left w:val="double" w:sz="4" w:space="0" w:color="auto"/>
              <w:bottom w:val="single" w:sz="4" w:space="0" w:color="auto"/>
              <w:right w:val="single" w:sz="4" w:space="0" w:color="auto"/>
            </w:tcBorders>
            <w:shd w:val="clear" w:color="auto" w:fill="auto"/>
            <w:vAlign w:val="center"/>
            <w:hideMark/>
          </w:tcPr>
          <w:p w14:paraId="5FD3A218" w14:textId="77777777" w:rsidR="004B74A0" w:rsidRPr="00DB6F9B" w:rsidRDefault="004B74A0" w:rsidP="002D5EB9">
            <w:pPr>
              <w:spacing w:after="0"/>
              <w:ind w:firstLine="0"/>
              <w:rPr>
                <w:sz w:val="20"/>
                <w:lang w:eastAsia="lv-LV"/>
              </w:rPr>
            </w:pPr>
            <w:r w:rsidRPr="00DB6F9B">
              <w:rPr>
                <w:sz w:val="20"/>
                <w:lang w:eastAsia="lv-LV"/>
              </w:rPr>
              <w:t xml:space="preserve">9. Ārvalstu valūtā </w:t>
            </w:r>
            <w:proofErr w:type="spellStart"/>
            <w:r w:rsidRPr="00DB6F9B">
              <w:rPr>
                <w:sz w:val="20"/>
                <w:lang w:eastAsia="lv-LV"/>
              </w:rPr>
              <w:t>denominētā</w:t>
            </w:r>
            <w:proofErr w:type="spellEnd"/>
            <w:r w:rsidRPr="00DB6F9B">
              <w:rPr>
                <w:sz w:val="20"/>
                <w:lang w:eastAsia="lv-LV"/>
              </w:rPr>
              <w:t xml:space="preserve"> parāda īpatsvars (</w:t>
            </w:r>
            <w:proofErr w:type="spellStart"/>
            <w:r w:rsidRPr="00DB6F9B">
              <w:rPr>
                <w:sz w:val="20"/>
                <w:lang w:eastAsia="lv-LV"/>
              </w:rPr>
              <w:t>Percentage</w:t>
            </w:r>
            <w:proofErr w:type="spellEnd"/>
            <w:r w:rsidRPr="00DB6F9B">
              <w:rPr>
                <w:sz w:val="20"/>
                <w:lang w:eastAsia="lv-LV"/>
              </w:rPr>
              <w:t xml:space="preserve"> </w:t>
            </w:r>
            <w:proofErr w:type="spellStart"/>
            <w:r w:rsidRPr="00DB6F9B">
              <w:rPr>
                <w:sz w:val="20"/>
                <w:lang w:eastAsia="lv-LV"/>
              </w:rPr>
              <w:t>of</w:t>
            </w:r>
            <w:proofErr w:type="spellEnd"/>
            <w:r w:rsidRPr="00DB6F9B">
              <w:rPr>
                <w:sz w:val="20"/>
                <w:lang w:eastAsia="lv-LV"/>
              </w:rPr>
              <w:t xml:space="preserve"> </w:t>
            </w:r>
            <w:proofErr w:type="spellStart"/>
            <w:r w:rsidRPr="00DB6F9B">
              <w:rPr>
                <w:sz w:val="20"/>
                <w:lang w:eastAsia="lv-LV"/>
              </w:rPr>
              <w:t>debt</w:t>
            </w:r>
            <w:proofErr w:type="spellEnd"/>
            <w:r w:rsidRPr="00DB6F9B">
              <w:rPr>
                <w:sz w:val="20"/>
                <w:lang w:eastAsia="lv-LV"/>
              </w:rPr>
              <w:t xml:space="preserve"> </w:t>
            </w:r>
            <w:proofErr w:type="spellStart"/>
            <w:r w:rsidRPr="00DB6F9B">
              <w:rPr>
                <w:sz w:val="20"/>
                <w:lang w:eastAsia="lv-LV"/>
              </w:rPr>
              <w:t>denominated</w:t>
            </w:r>
            <w:proofErr w:type="spellEnd"/>
            <w:r w:rsidRPr="00DB6F9B">
              <w:rPr>
                <w:sz w:val="20"/>
                <w:lang w:eastAsia="lv-LV"/>
              </w:rPr>
              <w:t xml:space="preserve"> </w:t>
            </w:r>
            <w:proofErr w:type="spellStart"/>
            <w:r w:rsidRPr="00DB6F9B">
              <w:rPr>
                <w:sz w:val="20"/>
                <w:lang w:eastAsia="lv-LV"/>
              </w:rPr>
              <w:t>in</w:t>
            </w:r>
            <w:proofErr w:type="spellEnd"/>
            <w:r w:rsidRPr="00DB6F9B">
              <w:rPr>
                <w:sz w:val="20"/>
                <w:lang w:eastAsia="lv-LV"/>
              </w:rPr>
              <w:t xml:space="preserve"> </w:t>
            </w:r>
            <w:proofErr w:type="spellStart"/>
            <w:r w:rsidRPr="00DB6F9B">
              <w:rPr>
                <w:sz w:val="20"/>
                <w:lang w:eastAsia="lv-LV"/>
              </w:rPr>
              <w:t>foreign</w:t>
            </w:r>
            <w:proofErr w:type="spellEnd"/>
            <w:r w:rsidRPr="00DB6F9B">
              <w:rPr>
                <w:sz w:val="20"/>
                <w:lang w:eastAsia="lv-LV"/>
              </w:rPr>
              <w:t xml:space="preserve"> </w:t>
            </w:r>
            <w:proofErr w:type="spellStart"/>
            <w:r w:rsidRPr="00DB6F9B">
              <w:rPr>
                <w:sz w:val="20"/>
                <w:lang w:eastAsia="lv-LV"/>
              </w:rPr>
              <w:t>currency</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54FE5865"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3C920730" w14:textId="5A9296D5" w:rsidR="004B74A0" w:rsidRPr="004B74A0" w:rsidRDefault="004B74A0" w:rsidP="002D5EB9">
            <w:pPr>
              <w:spacing w:after="0"/>
              <w:ind w:firstLine="0"/>
              <w:jc w:val="right"/>
              <w:rPr>
                <w:sz w:val="20"/>
                <w:lang w:eastAsia="lv-LV"/>
              </w:rPr>
            </w:pPr>
            <w:r w:rsidRPr="004B74A0">
              <w:rPr>
                <w:sz w:val="20"/>
              </w:rPr>
              <w:t>85,3%</w:t>
            </w:r>
          </w:p>
        </w:tc>
        <w:tc>
          <w:tcPr>
            <w:tcW w:w="1032" w:type="dxa"/>
            <w:tcBorders>
              <w:top w:val="nil"/>
              <w:left w:val="nil"/>
              <w:bottom w:val="single" w:sz="4" w:space="0" w:color="auto"/>
              <w:right w:val="single" w:sz="4" w:space="0" w:color="auto"/>
            </w:tcBorders>
            <w:shd w:val="clear" w:color="auto" w:fill="auto"/>
            <w:noWrap/>
            <w:vAlign w:val="center"/>
            <w:hideMark/>
          </w:tcPr>
          <w:p w14:paraId="492A96E0" w14:textId="60BFBDC1" w:rsidR="004B74A0" w:rsidRPr="004B74A0" w:rsidRDefault="004B74A0" w:rsidP="002D5EB9">
            <w:pPr>
              <w:spacing w:after="0"/>
              <w:ind w:firstLine="0"/>
              <w:jc w:val="right"/>
              <w:rPr>
                <w:sz w:val="20"/>
                <w:lang w:eastAsia="lv-LV"/>
              </w:rPr>
            </w:pPr>
            <w:r w:rsidRPr="004B74A0">
              <w:rPr>
                <w:sz w:val="20"/>
              </w:rPr>
              <w:t>27,3%</w:t>
            </w:r>
          </w:p>
        </w:tc>
        <w:tc>
          <w:tcPr>
            <w:tcW w:w="941" w:type="dxa"/>
            <w:tcBorders>
              <w:top w:val="nil"/>
              <w:left w:val="nil"/>
              <w:bottom w:val="single" w:sz="4" w:space="0" w:color="auto"/>
              <w:right w:val="single" w:sz="4" w:space="0" w:color="auto"/>
            </w:tcBorders>
            <w:shd w:val="clear" w:color="auto" w:fill="auto"/>
            <w:noWrap/>
            <w:vAlign w:val="center"/>
            <w:hideMark/>
          </w:tcPr>
          <w:p w14:paraId="01EAF26F" w14:textId="367C439F" w:rsidR="004B74A0" w:rsidRPr="004B74A0" w:rsidRDefault="004B74A0" w:rsidP="002D5EB9">
            <w:pPr>
              <w:spacing w:after="0"/>
              <w:ind w:firstLine="0"/>
              <w:jc w:val="right"/>
              <w:rPr>
                <w:sz w:val="20"/>
                <w:lang w:eastAsia="lv-LV"/>
              </w:rPr>
            </w:pPr>
            <w:r w:rsidRPr="004B74A0">
              <w:rPr>
                <w:sz w:val="20"/>
              </w:rPr>
              <w:t>35,4%</w:t>
            </w:r>
          </w:p>
        </w:tc>
        <w:tc>
          <w:tcPr>
            <w:tcW w:w="1037" w:type="dxa"/>
            <w:tcBorders>
              <w:top w:val="nil"/>
              <w:left w:val="nil"/>
              <w:bottom w:val="single" w:sz="4" w:space="0" w:color="auto"/>
              <w:right w:val="single" w:sz="4" w:space="0" w:color="auto"/>
            </w:tcBorders>
            <w:shd w:val="clear" w:color="auto" w:fill="auto"/>
            <w:noWrap/>
            <w:vAlign w:val="center"/>
            <w:hideMark/>
          </w:tcPr>
          <w:p w14:paraId="2D6344BF" w14:textId="6A0726CE" w:rsidR="004B74A0" w:rsidRPr="004B74A0" w:rsidRDefault="004B74A0" w:rsidP="002D5EB9">
            <w:pPr>
              <w:spacing w:after="0"/>
              <w:ind w:firstLine="0"/>
              <w:jc w:val="right"/>
              <w:rPr>
                <w:sz w:val="20"/>
                <w:lang w:eastAsia="lv-LV"/>
              </w:rPr>
            </w:pPr>
            <w:r w:rsidRPr="004B74A0">
              <w:rPr>
                <w:sz w:val="20"/>
              </w:rPr>
              <w:t>38,1%</w:t>
            </w:r>
          </w:p>
        </w:tc>
        <w:tc>
          <w:tcPr>
            <w:tcW w:w="944" w:type="dxa"/>
            <w:tcBorders>
              <w:top w:val="nil"/>
              <w:left w:val="nil"/>
              <w:bottom w:val="single" w:sz="4" w:space="0" w:color="auto"/>
              <w:right w:val="double" w:sz="4" w:space="0" w:color="auto"/>
            </w:tcBorders>
            <w:shd w:val="clear" w:color="auto" w:fill="auto"/>
            <w:noWrap/>
            <w:vAlign w:val="center"/>
            <w:hideMark/>
          </w:tcPr>
          <w:p w14:paraId="5451249C" w14:textId="5D72ADED" w:rsidR="004B74A0" w:rsidRPr="004B74A0" w:rsidRDefault="004B74A0" w:rsidP="002D5EB9">
            <w:pPr>
              <w:spacing w:after="0"/>
              <w:ind w:firstLine="0"/>
              <w:jc w:val="right"/>
              <w:rPr>
                <w:sz w:val="20"/>
                <w:lang w:eastAsia="lv-LV"/>
              </w:rPr>
            </w:pPr>
            <w:r w:rsidRPr="004B74A0">
              <w:rPr>
                <w:sz w:val="20"/>
              </w:rPr>
              <w:t>29,1%</w:t>
            </w:r>
          </w:p>
        </w:tc>
      </w:tr>
      <w:tr w:rsidR="009126BE" w:rsidRPr="00DB6F9B" w14:paraId="5D8AFD26" w14:textId="77777777" w:rsidTr="002D5EB9">
        <w:trPr>
          <w:trHeight w:val="274"/>
        </w:trPr>
        <w:tc>
          <w:tcPr>
            <w:tcW w:w="4058" w:type="dxa"/>
            <w:tcBorders>
              <w:top w:val="nil"/>
              <w:left w:val="double" w:sz="4" w:space="0" w:color="auto"/>
              <w:bottom w:val="single" w:sz="4" w:space="0" w:color="auto"/>
              <w:right w:val="single" w:sz="4" w:space="0" w:color="auto"/>
            </w:tcBorders>
            <w:shd w:val="clear" w:color="auto" w:fill="auto"/>
            <w:noWrap/>
            <w:vAlign w:val="center"/>
            <w:hideMark/>
          </w:tcPr>
          <w:p w14:paraId="520BC848" w14:textId="77777777" w:rsidR="009126BE" w:rsidRPr="00DB6F9B" w:rsidRDefault="009126BE" w:rsidP="002D5EB9">
            <w:pPr>
              <w:spacing w:after="0"/>
              <w:ind w:firstLine="0"/>
              <w:rPr>
                <w:sz w:val="20"/>
                <w:lang w:eastAsia="lv-LV"/>
              </w:rPr>
            </w:pPr>
            <w:r w:rsidRPr="00DB6F9B">
              <w:rPr>
                <w:sz w:val="20"/>
                <w:lang w:eastAsia="lv-LV"/>
              </w:rPr>
              <w:t>10. Vidējā dzēšana (</w:t>
            </w:r>
            <w:proofErr w:type="spellStart"/>
            <w:r w:rsidRPr="00DB6F9B">
              <w:rPr>
                <w:sz w:val="20"/>
                <w:lang w:eastAsia="lv-LV"/>
              </w:rPr>
              <w:t>Average</w:t>
            </w:r>
            <w:proofErr w:type="spellEnd"/>
            <w:r w:rsidRPr="00DB6F9B">
              <w:rPr>
                <w:sz w:val="20"/>
                <w:lang w:eastAsia="lv-LV"/>
              </w:rPr>
              <w:t xml:space="preserve"> </w:t>
            </w:r>
            <w:proofErr w:type="spellStart"/>
            <w:r w:rsidRPr="00DB6F9B">
              <w:rPr>
                <w:sz w:val="20"/>
                <w:lang w:eastAsia="lv-LV"/>
              </w:rPr>
              <w:t>maturity</w:t>
            </w:r>
            <w:proofErr w:type="spellEnd"/>
            <w:r w:rsidRPr="00DB6F9B">
              <w:rPr>
                <w:sz w:val="20"/>
                <w:lang w:eastAsia="lv-LV"/>
              </w:rPr>
              <w:t>)</w:t>
            </w:r>
          </w:p>
        </w:tc>
        <w:tc>
          <w:tcPr>
            <w:tcW w:w="668" w:type="dxa"/>
            <w:tcBorders>
              <w:top w:val="nil"/>
              <w:left w:val="nil"/>
              <w:bottom w:val="single" w:sz="4" w:space="0" w:color="auto"/>
              <w:right w:val="single" w:sz="4" w:space="0" w:color="auto"/>
            </w:tcBorders>
            <w:shd w:val="clear" w:color="auto" w:fill="auto"/>
            <w:noWrap/>
            <w:vAlign w:val="center"/>
            <w:hideMark/>
          </w:tcPr>
          <w:p w14:paraId="290F62DA" w14:textId="77777777" w:rsidR="009126BE" w:rsidRPr="00DB6F9B" w:rsidRDefault="009126BE" w:rsidP="002D5EB9">
            <w:pPr>
              <w:spacing w:after="0"/>
              <w:ind w:firstLine="0"/>
              <w:jc w:val="left"/>
              <w:rPr>
                <w:sz w:val="20"/>
                <w:lang w:eastAsia="lv-LV"/>
              </w:rPr>
            </w:pPr>
            <w:r w:rsidRPr="00DB6F9B">
              <w:rPr>
                <w:sz w:val="20"/>
                <w:lang w:eastAsia="lv-LV"/>
              </w:rPr>
              <w:t> </w:t>
            </w:r>
          </w:p>
        </w:tc>
        <w:tc>
          <w:tcPr>
            <w:tcW w:w="1013" w:type="dxa"/>
            <w:tcBorders>
              <w:top w:val="nil"/>
              <w:left w:val="nil"/>
              <w:bottom w:val="single" w:sz="4" w:space="0" w:color="auto"/>
              <w:right w:val="single" w:sz="4" w:space="0" w:color="auto"/>
            </w:tcBorders>
            <w:shd w:val="clear" w:color="auto" w:fill="auto"/>
            <w:noWrap/>
            <w:vAlign w:val="center"/>
            <w:hideMark/>
          </w:tcPr>
          <w:p w14:paraId="4E4FFFDD" w14:textId="602A2952" w:rsidR="009126BE" w:rsidRPr="004B74A0" w:rsidRDefault="009126BE" w:rsidP="002D5EB9">
            <w:pPr>
              <w:spacing w:after="0"/>
              <w:ind w:left="-48" w:firstLine="0"/>
              <w:jc w:val="right"/>
              <w:rPr>
                <w:sz w:val="20"/>
                <w:lang w:eastAsia="lv-LV"/>
              </w:rPr>
            </w:pPr>
            <w:r w:rsidRPr="004B74A0">
              <w:rPr>
                <w:sz w:val="20"/>
                <w:lang w:eastAsia="lv-LV"/>
              </w:rPr>
              <w:t>4</w:t>
            </w:r>
            <w:r w:rsidR="004B74A0">
              <w:rPr>
                <w:sz w:val="20"/>
                <w:lang w:eastAsia="lv-LV"/>
              </w:rPr>
              <w:t xml:space="preserve">,06 </w:t>
            </w:r>
            <w:proofErr w:type="spellStart"/>
            <w:r w:rsidRPr="004B74A0">
              <w:rPr>
                <w:sz w:val="20"/>
                <w:lang w:eastAsia="lv-LV"/>
              </w:rPr>
              <w:t>years</w:t>
            </w:r>
            <w:proofErr w:type="spellEnd"/>
          </w:p>
        </w:tc>
        <w:tc>
          <w:tcPr>
            <w:tcW w:w="1032" w:type="dxa"/>
            <w:tcBorders>
              <w:top w:val="nil"/>
              <w:left w:val="nil"/>
              <w:bottom w:val="single" w:sz="4" w:space="0" w:color="auto"/>
              <w:right w:val="single" w:sz="4" w:space="0" w:color="auto"/>
            </w:tcBorders>
            <w:shd w:val="clear" w:color="auto" w:fill="auto"/>
            <w:noWrap/>
            <w:vAlign w:val="center"/>
            <w:hideMark/>
          </w:tcPr>
          <w:p w14:paraId="6E17A3BD" w14:textId="24F6912F" w:rsidR="009126BE" w:rsidRPr="004B74A0" w:rsidRDefault="009126BE" w:rsidP="002D5EB9">
            <w:pPr>
              <w:spacing w:after="0"/>
              <w:ind w:firstLine="0"/>
              <w:jc w:val="right"/>
              <w:rPr>
                <w:sz w:val="20"/>
                <w:lang w:eastAsia="lv-LV"/>
              </w:rPr>
            </w:pPr>
          </w:p>
        </w:tc>
        <w:tc>
          <w:tcPr>
            <w:tcW w:w="941" w:type="dxa"/>
            <w:tcBorders>
              <w:top w:val="nil"/>
              <w:left w:val="nil"/>
              <w:bottom w:val="single" w:sz="4" w:space="0" w:color="auto"/>
              <w:right w:val="single" w:sz="4" w:space="0" w:color="auto"/>
            </w:tcBorders>
            <w:shd w:val="clear" w:color="auto" w:fill="auto"/>
            <w:noWrap/>
            <w:vAlign w:val="center"/>
            <w:hideMark/>
          </w:tcPr>
          <w:p w14:paraId="1BF17D6D" w14:textId="222C8660" w:rsidR="009126BE" w:rsidRPr="004B74A0" w:rsidRDefault="009126BE" w:rsidP="002D5EB9">
            <w:pPr>
              <w:spacing w:after="0"/>
              <w:ind w:firstLine="0"/>
              <w:jc w:val="right"/>
              <w:rPr>
                <w:sz w:val="20"/>
                <w:lang w:eastAsia="lv-LV"/>
              </w:rPr>
            </w:pPr>
          </w:p>
        </w:tc>
        <w:tc>
          <w:tcPr>
            <w:tcW w:w="1037" w:type="dxa"/>
            <w:tcBorders>
              <w:top w:val="nil"/>
              <w:left w:val="nil"/>
              <w:bottom w:val="single" w:sz="4" w:space="0" w:color="auto"/>
              <w:right w:val="single" w:sz="4" w:space="0" w:color="auto"/>
            </w:tcBorders>
            <w:shd w:val="clear" w:color="auto" w:fill="auto"/>
            <w:noWrap/>
            <w:vAlign w:val="center"/>
            <w:hideMark/>
          </w:tcPr>
          <w:p w14:paraId="1A658A81" w14:textId="212BE399" w:rsidR="009126BE" w:rsidRPr="004B74A0" w:rsidRDefault="009126BE" w:rsidP="002D5EB9">
            <w:pPr>
              <w:spacing w:after="0"/>
              <w:ind w:firstLine="0"/>
              <w:jc w:val="right"/>
              <w:rPr>
                <w:sz w:val="20"/>
                <w:lang w:eastAsia="lv-LV"/>
              </w:rPr>
            </w:pPr>
          </w:p>
        </w:tc>
        <w:tc>
          <w:tcPr>
            <w:tcW w:w="944" w:type="dxa"/>
            <w:tcBorders>
              <w:top w:val="nil"/>
              <w:left w:val="nil"/>
              <w:bottom w:val="single" w:sz="4" w:space="0" w:color="auto"/>
              <w:right w:val="double" w:sz="4" w:space="0" w:color="auto"/>
            </w:tcBorders>
            <w:shd w:val="clear" w:color="auto" w:fill="auto"/>
            <w:noWrap/>
            <w:vAlign w:val="center"/>
            <w:hideMark/>
          </w:tcPr>
          <w:p w14:paraId="447F2A6A" w14:textId="2BC72C71" w:rsidR="009126BE" w:rsidRPr="004B74A0" w:rsidRDefault="009126BE" w:rsidP="002D5EB9">
            <w:pPr>
              <w:spacing w:after="0"/>
              <w:ind w:firstLine="0"/>
              <w:jc w:val="right"/>
              <w:rPr>
                <w:sz w:val="20"/>
                <w:lang w:eastAsia="lv-LV"/>
              </w:rPr>
            </w:pPr>
          </w:p>
        </w:tc>
      </w:tr>
      <w:tr w:rsidR="009126BE" w:rsidRPr="00DB6F9B" w14:paraId="2BB6A3E2" w14:textId="77777777" w:rsidTr="002D5EB9">
        <w:trPr>
          <w:trHeight w:val="137"/>
        </w:trPr>
        <w:tc>
          <w:tcPr>
            <w:tcW w:w="4058" w:type="dxa"/>
            <w:tcBorders>
              <w:top w:val="single" w:sz="4" w:space="0" w:color="auto"/>
              <w:left w:val="double" w:sz="4" w:space="0" w:color="auto"/>
              <w:bottom w:val="single" w:sz="4" w:space="0" w:color="auto"/>
              <w:right w:val="single" w:sz="4" w:space="0" w:color="auto"/>
            </w:tcBorders>
            <w:shd w:val="clear" w:color="auto" w:fill="auto"/>
            <w:noWrap/>
            <w:hideMark/>
          </w:tcPr>
          <w:p w14:paraId="381E7013" w14:textId="77777777" w:rsidR="009126BE" w:rsidRPr="00DB6F9B" w:rsidRDefault="009126BE" w:rsidP="002D5EB9">
            <w:pPr>
              <w:spacing w:after="0"/>
              <w:ind w:firstLine="0"/>
              <w:rPr>
                <w:b/>
                <w:bCs/>
                <w:i/>
                <w:iCs/>
                <w:sz w:val="20"/>
                <w:lang w:eastAsia="lv-LV"/>
              </w:rPr>
            </w:pPr>
            <w:r w:rsidRPr="00DB6F9B">
              <w:rPr>
                <w:b/>
                <w:bCs/>
                <w:i/>
                <w:iCs/>
                <w:sz w:val="20"/>
                <w:lang w:eastAsia="lv-LV"/>
              </w:rPr>
              <w:t>Informācijai - aprēķinos izmantotie IKP dati:</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2BE5782" w14:textId="77777777" w:rsidR="009126BE" w:rsidRPr="00DB6F9B" w:rsidRDefault="009126BE" w:rsidP="002D5EB9">
            <w:pPr>
              <w:spacing w:after="0"/>
              <w:ind w:firstLine="0"/>
              <w:jc w:val="left"/>
              <w:rPr>
                <w:sz w:val="20"/>
                <w:lang w:eastAsia="lv-LV"/>
              </w:rPr>
            </w:pPr>
            <w:r w:rsidRPr="00DB6F9B">
              <w:rPr>
                <w:sz w:val="20"/>
                <w:lang w:eastAsia="lv-LV"/>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B2FB818" w14:textId="1300A5F3" w:rsidR="009126BE" w:rsidRPr="004B74A0" w:rsidRDefault="009126BE" w:rsidP="002D5EB9">
            <w:pPr>
              <w:spacing w:after="0"/>
              <w:ind w:firstLine="0"/>
              <w:jc w:val="right"/>
              <w:rPr>
                <w:sz w:val="20"/>
                <w:lang w:eastAsia="lv-LV"/>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50B64E75" w14:textId="1AEB05EA" w:rsidR="009126BE" w:rsidRPr="004B74A0" w:rsidRDefault="009126BE" w:rsidP="002D5EB9">
            <w:pPr>
              <w:spacing w:after="0"/>
              <w:ind w:firstLine="0"/>
              <w:jc w:val="right"/>
              <w:rPr>
                <w:sz w:val="20"/>
                <w:lang w:eastAsia="lv-LV"/>
              </w:rPr>
            </w:pP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CECB1E5" w14:textId="454EA30C" w:rsidR="009126BE" w:rsidRPr="004B74A0" w:rsidRDefault="009126BE" w:rsidP="002D5EB9">
            <w:pPr>
              <w:spacing w:after="0"/>
              <w:ind w:firstLine="0"/>
              <w:jc w:val="right"/>
              <w:rPr>
                <w:sz w:val="20"/>
                <w:lang w:eastAsia="lv-LV"/>
              </w:rPr>
            </w:pP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1F71A4C4" w14:textId="74D1D04F" w:rsidR="009126BE" w:rsidRPr="004B74A0" w:rsidRDefault="009126BE" w:rsidP="002D5EB9">
            <w:pPr>
              <w:spacing w:after="0"/>
              <w:ind w:firstLine="0"/>
              <w:jc w:val="right"/>
              <w:rPr>
                <w:sz w:val="20"/>
                <w:lang w:eastAsia="lv-LV"/>
              </w:rPr>
            </w:pPr>
          </w:p>
        </w:tc>
        <w:tc>
          <w:tcPr>
            <w:tcW w:w="944" w:type="dxa"/>
            <w:tcBorders>
              <w:top w:val="single" w:sz="4" w:space="0" w:color="auto"/>
              <w:left w:val="nil"/>
              <w:bottom w:val="single" w:sz="4" w:space="0" w:color="auto"/>
              <w:right w:val="double" w:sz="4" w:space="0" w:color="auto"/>
            </w:tcBorders>
            <w:shd w:val="clear" w:color="auto" w:fill="auto"/>
            <w:noWrap/>
            <w:vAlign w:val="center"/>
            <w:hideMark/>
          </w:tcPr>
          <w:p w14:paraId="65CAAF5E" w14:textId="30315572" w:rsidR="009126BE" w:rsidRPr="004B74A0" w:rsidRDefault="009126BE" w:rsidP="002D5EB9">
            <w:pPr>
              <w:spacing w:after="0"/>
              <w:ind w:firstLine="0"/>
              <w:jc w:val="right"/>
              <w:rPr>
                <w:sz w:val="20"/>
                <w:lang w:eastAsia="lv-LV"/>
              </w:rPr>
            </w:pPr>
          </w:p>
        </w:tc>
      </w:tr>
      <w:tr w:rsidR="004B74A0" w:rsidRPr="00DB6F9B" w14:paraId="5E9BAEDC" w14:textId="77777777" w:rsidTr="002D5EB9">
        <w:trPr>
          <w:trHeight w:val="168"/>
        </w:trPr>
        <w:tc>
          <w:tcPr>
            <w:tcW w:w="4058"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18B9DCD0" w14:textId="7843ADEC" w:rsidR="004B74A0" w:rsidRPr="00DB6F9B" w:rsidRDefault="004B74A0" w:rsidP="002D5EB9">
            <w:pPr>
              <w:spacing w:after="0"/>
              <w:ind w:firstLine="0"/>
              <w:rPr>
                <w:sz w:val="20"/>
                <w:lang w:eastAsia="lv-LV"/>
              </w:rPr>
            </w:pPr>
            <w:r w:rsidRPr="00DB6F9B">
              <w:rPr>
                <w:sz w:val="20"/>
                <w:lang w:eastAsia="lv-LV"/>
              </w:rPr>
              <w:t>IKP faktiskajās cenās, milj.</w:t>
            </w:r>
            <w:r w:rsidR="002D5EB9">
              <w:rPr>
                <w:sz w:val="20"/>
                <w:lang w:eastAsia="lv-LV"/>
              </w:rPr>
              <w:t> </w:t>
            </w:r>
            <w:proofErr w:type="spellStart"/>
            <w:r w:rsidR="00327E5B">
              <w:rPr>
                <w:i/>
                <w:sz w:val="20"/>
                <w:lang w:eastAsia="lv-LV"/>
              </w:rPr>
              <w:t>euro</w:t>
            </w:r>
            <w:proofErr w:type="spellEnd"/>
          </w:p>
        </w:tc>
        <w:tc>
          <w:tcPr>
            <w:tcW w:w="668" w:type="dxa"/>
            <w:tcBorders>
              <w:top w:val="single" w:sz="4" w:space="0" w:color="auto"/>
              <w:left w:val="nil"/>
              <w:bottom w:val="double" w:sz="4" w:space="0" w:color="auto"/>
              <w:right w:val="single" w:sz="4" w:space="0" w:color="auto"/>
            </w:tcBorders>
            <w:shd w:val="clear" w:color="auto" w:fill="auto"/>
            <w:noWrap/>
            <w:vAlign w:val="center"/>
            <w:hideMark/>
          </w:tcPr>
          <w:p w14:paraId="2D58C485" w14:textId="77777777" w:rsidR="004B74A0" w:rsidRPr="00DB6F9B" w:rsidRDefault="004B74A0" w:rsidP="002D5EB9">
            <w:pPr>
              <w:spacing w:after="0"/>
              <w:ind w:firstLine="0"/>
              <w:jc w:val="left"/>
              <w:rPr>
                <w:sz w:val="20"/>
                <w:lang w:eastAsia="lv-LV"/>
              </w:rPr>
            </w:pPr>
            <w:r w:rsidRPr="00DB6F9B">
              <w:rPr>
                <w:sz w:val="20"/>
                <w:lang w:eastAsia="lv-LV"/>
              </w:rPr>
              <w:t> </w:t>
            </w:r>
          </w:p>
        </w:tc>
        <w:tc>
          <w:tcPr>
            <w:tcW w:w="1013" w:type="dxa"/>
            <w:tcBorders>
              <w:top w:val="single" w:sz="4" w:space="0" w:color="auto"/>
              <w:left w:val="nil"/>
              <w:bottom w:val="double" w:sz="4" w:space="0" w:color="auto"/>
              <w:right w:val="single" w:sz="4" w:space="0" w:color="auto"/>
            </w:tcBorders>
            <w:shd w:val="clear" w:color="auto" w:fill="auto"/>
            <w:noWrap/>
            <w:vAlign w:val="center"/>
            <w:hideMark/>
          </w:tcPr>
          <w:p w14:paraId="4177FB8E" w14:textId="251F5ACE" w:rsidR="004B74A0" w:rsidRPr="004B74A0" w:rsidRDefault="004B74A0" w:rsidP="002D5EB9">
            <w:pPr>
              <w:spacing w:after="0"/>
              <w:ind w:firstLine="0"/>
              <w:jc w:val="right"/>
              <w:rPr>
                <w:sz w:val="20"/>
                <w:lang w:eastAsia="lv-LV"/>
              </w:rPr>
            </w:pPr>
            <w:r w:rsidRPr="004B74A0">
              <w:rPr>
                <w:sz w:val="20"/>
              </w:rPr>
              <w:t>23 315,5</w:t>
            </w:r>
          </w:p>
        </w:tc>
        <w:tc>
          <w:tcPr>
            <w:tcW w:w="1032" w:type="dxa"/>
            <w:tcBorders>
              <w:top w:val="single" w:sz="4" w:space="0" w:color="auto"/>
              <w:left w:val="nil"/>
              <w:bottom w:val="double" w:sz="4" w:space="0" w:color="auto"/>
              <w:right w:val="single" w:sz="4" w:space="0" w:color="auto"/>
            </w:tcBorders>
            <w:shd w:val="clear" w:color="auto" w:fill="auto"/>
            <w:noWrap/>
            <w:vAlign w:val="center"/>
            <w:hideMark/>
          </w:tcPr>
          <w:p w14:paraId="32FA5D3D" w14:textId="62E20025" w:rsidR="004B74A0" w:rsidRPr="004B74A0" w:rsidRDefault="004B74A0" w:rsidP="002D5EB9">
            <w:pPr>
              <w:spacing w:after="0"/>
              <w:ind w:firstLine="0"/>
              <w:jc w:val="right"/>
              <w:rPr>
                <w:sz w:val="20"/>
                <w:lang w:eastAsia="lv-LV"/>
              </w:rPr>
            </w:pPr>
            <w:r w:rsidRPr="004B74A0">
              <w:rPr>
                <w:sz w:val="20"/>
              </w:rPr>
              <w:t>24 712,0</w:t>
            </w:r>
          </w:p>
        </w:tc>
        <w:tc>
          <w:tcPr>
            <w:tcW w:w="941" w:type="dxa"/>
            <w:tcBorders>
              <w:top w:val="single" w:sz="4" w:space="0" w:color="auto"/>
              <w:left w:val="nil"/>
              <w:bottom w:val="double" w:sz="4" w:space="0" w:color="auto"/>
              <w:right w:val="single" w:sz="4" w:space="0" w:color="auto"/>
            </w:tcBorders>
            <w:shd w:val="clear" w:color="auto" w:fill="auto"/>
            <w:noWrap/>
            <w:vAlign w:val="center"/>
            <w:hideMark/>
          </w:tcPr>
          <w:p w14:paraId="49D7C128" w14:textId="2E0A5538" w:rsidR="004B74A0" w:rsidRPr="004B74A0" w:rsidRDefault="004B74A0" w:rsidP="002D5EB9">
            <w:pPr>
              <w:spacing w:after="0"/>
              <w:ind w:firstLine="0"/>
              <w:jc w:val="right"/>
              <w:rPr>
                <w:sz w:val="20"/>
                <w:lang w:eastAsia="lv-LV"/>
              </w:rPr>
            </w:pPr>
            <w:r w:rsidRPr="004B74A0">
              <w:rPr>
                <w:sz w:val="20"/>
              </w:rPr>
              <w:t>26 502,7</w:t>
            </w:r>
          </w:p>
        </w:tc>
        <w:tc>
          <w:tcPr>
            <w:tcW w:w="1037" w:type="dxa"/>
            <w:tcBorders>
              <w:top w:val="single" w:sz="4" w:space="0" w:color="auto"/>
              <w:left w:val="nil"/>
              <w:bottom w:val="double" w:sz="4" w:space="0" w:color="auto"/>
              <w:right w:val="single" w:sz="4" w:space="0" w:color="auto"/>
            </w:tcBorders>
            <w:shd w:val="clear" w:color="auto" w:fill="auto"/>
            <w:noWrap/>
            <w:vAlign w:val="center"/>
            <w:hideMark/>
          </w:tcPr>
          <w:p w14:paraId="7519E6C2" w14:textId="49B22D32" w:rsidR="004B74A0" w:rsidRPr="004B74A0" w:rsidRDefault="004B74A0" w:rsidP="002D5EB9">
            <w:pPr>
              <w:spacing w:after="0"/>
              <w:ind w:firstLine="0"/>
              <w:jc w:val="right"/>
              <w:rPr>
                <w:sz w:val="20"/>
                <w:lang w:eastAsia="lv-LV"/>
              </w:rPr>
            </w:pPr>
            <w:r w:rsidRPr="004B74A0">
              <w:rPr>
                <w:sz w:val="20"/>
              </w:rPr>
              <w:t>28 243,6</w:t>
            </w:r>
          </w:p>
        </w:tc>
        <w:tc>
          <w:tcPr>
            <w:tcW w:w="944" w:type="dxa"/>
            <w:tcBorders>
              <w:top w:val="single" w:sz="4" w:space="0" w:color="auto"/>
              <w:left w:val="nil"/>
              <w:bottom w:val="double" w:sz="4" w:space="0" w:color="auto"/>
              <w:right w:val="double" w:sz="4" w:space="0" w:color="auto"/>
            </w:tcBorders>
            <w:shd w:val="clear" w:color="auto" w:fill="auto"/>
            <w:noWrap/>
            <w:vAlign w:val="center"/>
            <w:hideMark/>
          </w:tcPr>
          <w:p w14:paraId="7DB68866" w14:textId="728AFA6D" w:rsidR="004B74A0" w:rsidRPr="004B74A0" w:rsidRDefault="004B74A0" w:rsidP="002D5EB9">
            <w:pPr>
              <w:spacing w:after="0"/>
              <w:ind w:firstLine="0"/>
              <w:jc w:val="right"/>
              <w:rPr>
                <w:sz w:val="20"/>
                <w:lang w:eastAsia="lv-LV"/>
              </w:rPr>
            </w:pPr>
            <w:r w:rsidRPr="004B74A0">
              <w:rPr>
                <w:sz w:val="20"/>
              </w:rPr>
              <w:t>30 100,7</w:t>
            </w:r>
          </w:p>
        </w:tc>
      </w:tr>
      <w:tr w:rsidR="002D5EB9" w:rsidRPr="00DB6F9B" w14:paraId="7E2535A7" w14:textId="77777777" w:rsidTr="00F21BC6">
        <w:trPr>
          <w:trHeight w:val="390"/>
        </w:trPr>
        <w:tc>
          <w:tcPr>
            <w:tcW w:w="9693" w:type="dxa"/>
            <w:gridSpan w:val="7"/>
            <w:tcBorders>
              <w:top w:val="double" w:sz="4" w:space="0" w:color="auto"/>
              <w:left w:val="nil"/>
              <w:bottom w:val="nil"/>
              <w:right w:val="nil"/>
            </w:tcBorders>
            <w:shd w:val="clear" w:color="auto" w:fill="auto"/>
            <w:noWrap/>
            <w:vAlign w:val="center"/>
            <w:hideMark/>
          </w:tcPr>
          <w:p w14:paraId="00600179" w14:textId="7A1E0E54" w:rsidR="002D5EB9" w:rsidRPr="00DB6F9B" w:rsidRDefault="002D5EB9" w:rsidP="002D5EB9">
            <w:pPr>
              <w:spacing w:after="0"/>
              <w:ind w:firstLine="0"/>
              <w:jc w:val="left"/>
              <w:rPr>
                <w:sz w:val="20"/>
                <w:lang w:eastAsia="lv-LV"/>
              </w:rPr>
            </w:pPr>
            <w:r w:rsidRPr="00DB6F9B">
              <w:rPr>
                <w:sz w:val="20"/>
                <w:lang w:eastAsia="lv-LV"/>
              </w:rPr>
              <w:t>Saskaņā ar valsts budžeta deficīta un parāda 2014.gada aprīļa notifikācijas 3.A tabulas datiem:</w:t>
            </w:r>
          </w:p>
        </w:tc>
      </w:tr>
      <w:tr w:rsidR="009126BE" w:rsidRPr="00DB6F9B" w14:paraId="28E9F0CA" w14:textId="77777777" w:rsidTr="00C15091">
        <w:trPr>
          <w:trHeight w:val="315"/>
        </w:trPr>
        <w:tc>
          <w:tcPr>
            <w:tcW w:w="9693" w:type="dxa"/>
            <w:gridSpan w:val="7"/>
            <w:tcBorders>
              <w:top w:val="nil"/>
              <w:left w:val="nil"/>
              <w:bottom w:val="nil"/>
              <w:right w:val="nil"/>
            </w:tcBorders>
            <w:shd w:val="clear" w:color="auto" w:fill="auto"/>
            <w:noWrap/>
            <w:vAlign w:val="center"/>
            <w:hideMark/>
          </w:tcPr>
          <w:p w14:paraId="7488386F" w14:textId="77777777" w:rsidR="009126BE" w:rsidRPr="00DB6F9B" w:rsidRDefault="009126BE" w:rsidP="00D35753">
            <w:pPr>
              <w:spacing w:after="0"/>
              <w:ind w:firstLine="0"/>
              <w:rPr>
                <w:sz w:val="20"/>
                <w:lang w:eastAsia="lv-LV"/>
              </w:rPr>
            </w:pPr>
            <w:r w:rsidRPr="00DB6F9B">
              <w:rPr>
                <w:sz w:val="20"/>
                <w:lang w:eastAsia="lv-LV"/>
              </w:rPr>
              <w:t>* rindā "Uzkrāto procentu (-) un samaksāto (+) procentu (EDP D.41) starpība" ("</w:t>
            </w:r>
            <w:proofErr w:type="spellStart"/>
            <w:r w:rsidRPr="00DB6F9B">
              <w:rPr>
                <w:sz w:val="20"/>
                <w:lang w:eastAsia="lv-LV"/>
              </w:rPr>
              <w:t>Difference</w:t>
            </w:r>
            <w:proofErr w:type="spellEnd"/>
            <w:r w:rsidRPr="00DB6F9B">
              <w:rPr>
                <w:sz w:val="20"/>
                <w:lang w:eastAsia="lv-LV"/>
              </w:rPr>
              <w:t xml:space="preserve"> </w:t>
            </w:r>
            <w:proofErr w:type="spellStart"/>
            <w:r w:rsidRPr="00DB6F9B">
              <w:rPr>
                <w:sz w:val="20"/>
                <w:lang w:eastAsia="lv-LV"/>
              </w:rPr>
              <w:t>between</w:t>
            </w:r>
            <w:proofErr w:type="spellEnd"/>
            <w:r w:rsidRPr="00DB6F9B">
              <w:rPr>
                <w:sz w:val="20"/>
                <w:lang w:eastAsia="lv-LV"/>
              </w:rPr>
              <w:t xml:space="preserve"> </w:t>
            </w:r>
            <w:proofErr w:type="spellStart"/>
            <w:r w:rsidRPr="00DB6F9B">
              <w:rPr>
                <w:sz w:val="20"/>
                <w:lang w:eastAsia="lv-LV"/>
              </w:rPr>
              <w:t>interest</w:t>
            </w:r>
            <w:proofErr w:type="spellEnd"/>
            <w:r w:rsidRPr="00DB6F9B">
              <w:rPr>
                <w:sz w:val="20"/>
                <w:lang w:eastAsia="lv-LV"/>
              </w:rPr>
              <w:t xml:space="preserve"> (EDP D.41) </w:t>
            </w:r>
            <w:proofErr w:type="spellStart"/>
            <w:r w:rsidRPr="00DB6F9B">
              <w:rPr>
                <w:sz w:val="20"/>
                <w:lang w:eastAsia="lv-LV"/>
              </w:rPr>
              <w:t>accrued</w:t>
            </w:r>
            <w:proofErr w:type="spellEnd"/>
            <w:r w:rsidRPr="00DB6F9B">
              <w:rPr>
                <w:sz w:val="20"/>
                <w:lang w:eastAsia="lv-LV"/>
              </w:rPr>
              <w:t xml:space="preserve"> (-) </w:t>
            </w:r>
            <w:proofErr w:type="spellStart"/>
            <w:r w:rsidRPr="00DB6F9B">
              <w:rPr>
                <w:sz w:val="20"/>
                <w:lang w:eastAsia="lv-LV"/>
              </w:rPr>
              <w:t>and</w:t>
            </w:r>
            <w:proofErr w:type="spellEnd"/>
            <w:r w:rsidRPr="00DB6F9B">
              <w:rPr>
                <w:sz w:val="20"/>
                <w:lang w:eastAsia="lv-LV"/>
              </w:rPr>
              <w:t xml:space="preserve"> </w:t>
            </w:r>
            <w:proofErr w:type="spellStart"/>
            <w:r w:rsidRPr="00DB6F9B">
              <w:rPr>
                <w:sz w:val="20"/>
                <w:lang w:eastAsia="lv-LV"/>
              </w:rPr>
              <w:t>paid</w:t>
            </w:r>
            <w:proofErr w:type="spellEnd"/>
            <w:r w:rsidRPr="00DB6F9B">
              <w:rPr>
                <w:sz w:val="20"/>
                <w:lang w:eastAsia="lv-LV"/>
              </w:rPr>
              <w:t xml:space="preserve"> (+)"),</w:t>
            </w:r>
          </w:p>
        </w:tc>
      </w:tr>
      <w:tr w:rsidR="00D35753" w:rsidRPr="00DB6F9B" w14:paraId="119C44D1" w14:textId="77777777" w:rsidTr="00F31658">
        <w:trPr>
          <w:trHeight w:val="315"/>
        </w:trPr>
        <w:tc>
          <w:tcPr>
            <w:tcW w:w="9693" w:type="dxa"/>
            <w:gridSpan w:val="7"/>
            <w:tcBorders>
              <w:top w:val="nil"/>
              <w:left w:val="nil"/>
              <w:bottom w:val="nil"/>
              <w:right w:val="nil"/>
            </w:tcBorders>
            <w:shd w:val="clear" w:color="auto" w:fill="auto"/>
            <w:noWrap/>
            <w:vAlign w:val="center"/>
            <w:hideMark/>
          </w:tcPr>
          <w:p w14:paraId="2AC98FBE" w14:textId="6FBC9694" w:rsidR="00D35753" w:rsidRPr="00DB6F9B" w:rsidRDefault="00D35753" w:rsidP="002D5EB9">
            <w:pPr>
              <w:spacing w:after="0"/>
              <w:ind w:firstLine="0"/>
              <w:jc w:val="left"/>
              <w:rPr>
                <w:sz w:val="20"/>
                <w:lang w:eastAsia="lv-LV"/>
              </w:rPr>
            </w:pPr>
            <w:r w:rsidRPr="00DB6F9B">
              <w:rPr>
                <w:sz w:val="20"/>
                <w:lang w:eastAsia="lv-LV"/>
              </w:rPr>
              <w:t xml:space="preserve">** rindā "Finanšu aktīvu tīrā iegāde" ("Net </w:t>
            </w:r>
            <w:proofErr w:type="spellStart"/>
            <w:r w:rsidRPr="00DB6F9B">
              <w:rPr>
                <w:sz w:val="20"/>
                <w:lang w:eastAsia="lv-LV"/>
              </w:rPr>
              <w:t>acquisition</w:t>
            </w:r>
            <w:proofErr w:type="spellEnd"/>
            <w:r w:rsidRPr="00DB6F9B">
              <w:rPr>
                <w:sz w:val="20"/>
                <w:lang w:eastAsia="lv-LV"/>
              </w:rPr>
              <w:t xml:space="preserve"> </w:t>
            </w:r>
            <w:proofErr w:type="spellStart"/>
            <w:r w:rsidRPr="00DB6F9B">
              <w:rPr>
                <w:sz w:val="20"/>
                <w:lang w:eastAsia="lv-LV"/>
              </w:rPr>
              <w:t>of</w:t>
            </w:r>
            <w:proofErr w:type="spellEnd"/>
            <w:r w:rsidRPr="00DB6F9B">
              <w:rPr>
                <w:sz w:val="20"/>
                <w:lang w:eastAsia="lv-LV"/>
              </w:rPr>
              <w:t xml:space="preserve"> </w:t>
            </w:r>
            <w:proofErr w:type="spellStart"/>
            <w:r w:rsidRPr="00DB6F9B">
              <w:rPr>
                <w:sz w:val="20"/>
                <w:lang w:eastAsia="lv-LV"/>
              </w:rPr>
              <w:t>financial</w:t>
            </w:r>
            <w:proofErr w:type="spellEnd"/>
            <w:r w:rsidRPr="00DB6F9B">
              <w:rPr>
                <w:sz w:val="20"/>
                <w:lang w:eastAsia="lv-LV"/>
              </w:rPr>
              <w:t xml:space="preserve"> </w:t>
            </w:r>
            <w:proofErr w:type="spellStart"/>
            <w:r w:rsidRPr="00DB6F9B">
              <w:rPr>
                <w:sz w:val="20"/>
                <w:lang w:eastAsia="lv-LV"/>
              </w:rPr>
              <w:t>assets</w:t>
            </w:r>
            <w:proofErr w:type="spellEnd"/>
            <w:r w:rsidRPr="00DB6F9B">
              <w:rPr>
                <w:sz w:val="20"/>
                <w:lang w:eastAsia="lv-LV"/>
              </w:rPr>
              <w:t>"),</w:t>
            </w:r>
          </w:p>
        </w:tc>
      </w:tr>
      <w:tr w:rsidR="00D35753" w:rsidRPr="00DB6F9B" w14:paraId="07C9DE15" w14:textId="77777777" w:rsidTr="00FE716B">
        <w:trPr>
          <w:trHeight w:val="540"/>
        </w:trPr>
        <w:tc>
          <w:tcPr>
            <w:tcW w:w="9693" w:type="dxa"/>
            <w:gridSpan w:val="7"/>
            <w:tcBorders>
              <w:top w:val="nil"/>
              <w:left w:val="nil"/>
              <w:bottom w:val="nil"/>
              <w:right w:val="nil"/>
            </w:tcBorders>
            <w:shd w:val="clear" w:color="auto" w:fill="auto"/>
            <w:vAlign w:val="center"/>
            <w:hideMark/>
          </w:tcPr>
          <w:p w14:paraId="7224C5EC" w14:textId="66A7BFA9" w:rsidR="00D35753" w:rsidRPr="00DB6F9B" w:rsidRDefault="00D35753" w:rsidP="00D35753">
            <w:pPr>
              <w:spacing w:after="0"/>
              <w:ind w:firstLine="0"/>
              <w:rPr>
                <w:sz w:val="20"/>
                <w:lang w:eastAsia="lv-LV"/>
              </w:rPr>
            </w:pPr>
            <w:r w:rsidRPr="00DB6F9B">
              <w:rPr>
                <w:sz w:val="20"/>
                <w:lang w:eastAsia="lv-LV"/>
              </w:rPr>
              <w:t>*** rindā "Korekcijas" ("</w:t>
            </w:r>
            <w:proofErr w:type="spellStart"/>
            <w:r w:rsidRPr="00DB6F9B">
              <w:rPr>
                <w:sz w:val="20"/>
                <w:lang w:eastAsia="lv-LV"/>
              </w:rPr>
              <w:t>Adjustments</w:t>
            </w:r>
            <w:proofErr w:type="spellEnd"/>
            <w:r w:rsidRPr="00DB6F9B">
              <w:rPr>
                <w:sz w:val="20"/>
                <w:lang w:eastAsia="lv-LV"/>
              </w:rPr>
              <w:t>"), izņemot rindas "Uzkrāto procentu (-) un samaksāto (+) procentu (EDP D.41) starpība" ("</w:t>
            </w:r>
            <w:proofErr w:type="spellStart"/>
            <w:r w:rsidRPr="00DB6F9B">
              <w:rPr>
                <w:sz w:val="20"/>
                <w:lang w:eastAsia="lv-LV"/>
              </w:rPr>
              <w:t>Difference</w:t>
            </w:r>
            <w:proofErr w:type="spellEnd"/>
            <w:r w:rsidRPr="00DB6F9B">
              <w:rPr>
                <w:sz w:val="20"/>
                <w:lang w:eastAsia="lv-LV"/>
              </w:rPr>
              <w:t xml:space="preserve"> </w:t>
            </w:r>
            <w:proofErr w:type="spellStart"/>
            <w:r w:rsidRPr="00DB6F9B">
              <w:rPr>
                <w:sz w:val="20"/>
                <w:lang w:eastAsia="lv-LV"/>
              </w:rPr>
              <w:t>between</w:t>
            </w:r>
            <w:proofErr w:type="spellEnd"/>
            <w:r w:rsidRPr="00DB6F9B">
              <w:rPr>
                <w:sz w:val="20"/>
                <w:lang w:eastAsia="lv-LV"/>
              </w:rPr>
              <w:t xml:space="preserve"> </w:t>
            </w:r>
            <w:proofErr w:type="spellStart"/>
            <w:r w:rsidRPr="00DB6F9B">
              <w:rPr>
                <w:sz w:val="20"/>
                <w:lang w:eastAsia="lv-LV"/>
              </w:rPr>
              <w:t>interest</w:t>
            </w:r>
            <w:proofErr w:type="spellEnd"/>
            <w:r w:rsidRPr="00DB6F9B">
              <w:rPr>
                <w:sz w:val="20"/>
                <w:lang w:eastAsia="lv-LV"/>
              </w:rPr>
              <w:t xml:space="preserve"> (EDP D.41) </w:t>
            </w:r>
            <w:proofErr w:type="spellStart"/>
            <w:r w:rsidRPr="00DB6F9B">
              <w:rPr>
                <w:sz w:val="20"/>
                <w:lang w:eastAsia="lv-LV"/>
              </w:rPr>
              <w:t>accrued</w:t>
            </w:r>
            <w:proofErr w:type="spellEnd"/>
            <w:r w:rsidRPr="00DB6F9B">
              <w:rPr>
                <w:sz w:val="20"/>
                <w:lang w:eastAsia="lv-LV"/>
              </w:rPr>
              <w:t xml:space="preserve"> (-) </w:t>
            </w:r>
            <w:proofErr w:type="spellStart"/>
            <w:r w:rsidRPr="00DB6F9B">
              <w:rPr>
                <w:sz w:val="20"/>
                <w:lang w:eastAsia="lv-LV"/>
              </w:rPr>
              <w:t>and</w:t>
            </w:r>
            <w:proofErr w:type="spellEnd"/>
            <w:r w:rsidRPr="00DB6F9B">
              <w:rPr>
                <w:sz w:val="20"/>
                <w:lang w:eastAsia="lv-LV"/>
              </w:rPr>
              <w:t xml:space="preserve"> </w:t>
            </w:r>
            <w:proofErr w:type="spellStart"/>
            <w:r w:rsidRPr="00DB6F9B">
              <w:rPr>
                <w:sz w:val="20"/>
                <w:lang w:eastAsia="lv-LV"/>
              </w:rPr>
              <w:t>paid</w:t>
            </w:r>
            <w:proofErr w:type="spellEnd"/>
            <w:r w:rsidRPr="00DB6F9B">
              <w:rPr>
                <w:sz w:val="20"/>
                <w:lang w:eastAsia="lv-LV"/>
              </w:rPr>
              <w:t xml:space="preserve"> (+)") datus, un rindā "Statistikas neatbilstības" "</w:t>
            </w:r>
            <w:proofErr w:type="spellStart"/>
            <w:r w:rsidRPr="00DB6F9B">
              <w:rPr>
                <w:sz w:val="20"/>
                <w:lang w:eastAsia="lv-LV"/>
              </w:rPr>
              <w:t>Statistical</w:t>
            </w:r>
            <w:proofErr w:type="spellEnd"/>
            <w:r w:rsidRPr="00DB6F9B">
              <w:rPr>
                <w:sz w:val="20"/>
                <w:lang w:eastAsia="lv-LV"/>
              </w:rPr>
              <w:t xml:space="preserve"> </w:t>
            </w:r>
            <w:proofErr w:type="spellStart"/>
            <w:r w:rsidRPr="00DB6F9B">
              <w:rPr>
                <w:sz w:val="20"/>
                <w:lang w:eastAsia="lv-LV"/>
              </w:rPr>
              <w:t>discrepancies</w:t>
            </w:r>
            <w:proofErr w:type="spellEnd"/>
            <w:r w:rsidRPr="00DB6F9B">
              <w:rPr>
                <w:sz w:val="20"/>
                <w:lang w:eastAsia="lv-LV"/>
              </w:rPr>
              <w:t>").</w:t>
            </w:r>
          </w:p>
        </w:tc>
      </w:tr>
    </w:tbl>
    <w:p w14:paraId="14894F28" w14:textId="6614BC72" w:rsidR="009126BE" w:rsidRPr="00D35753" w:rsidRDefault="009126BE" w:rsidP="006B5F7D">
      <w:pPr>
        <w:pStyle w:val="T"/>
        <w:ind w:left="0"/>
        <w:rPr>
          <w:rFonts w:ascii="Times New Roman" w:hAnsi="Times New Roman"/>
          <w:color w:val="000000"/>
          <w:sz w:val="18"/>
          <w:szCs w:val="24"/>
        </w:rPr>
      </w:pPr>
    </w:p>
    <w:p w14:paraId="11FB05A8" w14:textId="77777777" w:rsidR="006B5F7D" w:rsidRDefault="009126BE" w:rsidP="006B5F7D">
      <w:pPr>
        <w:pStyle w:val="T"/>
        <w:ind w:left="0"/>
        <w:rPr>
          <w:rFonts w:ascii="Times New Roman" w:hAnsi="Times New Roman"/>
          <w:color w:val="000000"/>
          <w:szCs w:val="24"/>
        </w:rPr>
      </w:pPr>
      <w:r w:rsidRPr="009126BE">
        <w:br w:type="page"/>
      </w:r>
      <w:r w:rsidR="006B5F7D" w:rsidRPr="001946E0">
        <w:rPr>
          <w:rFonts w:ascii="Times New Roman" w:hAnsi="Times New Roman"/>
          <w:color w:val="000000"/>
          <w:szCs w:val="24"/>
        </w:rPr>
        <w:t>5. tabula. Cikliskā attīstība</w:t>
      </w:r>
    </w:p>
    <w:tbl>
      <w:tblPr>
        <w:tblW w:w="8940" w:type="dxa"/>
        <w:jc w:val="center"/>
        <w:tblLook w:val="04A0" w:firstRow="1" w:lastRow="0" w:firstColumn="1" w:lastColumn="0" w:noHBand="0" w:noVBand="1"/>
      </w:tblPr>
      <w:tblGrid>
        <w:gridCol w:w="3305"/>
        <w:gridCol w:w="840"/>
        <w:gridCol w:w="803"/>
        <w:gridCol w:w="1007"/>
        <w:gridCol w:w="1007"/>
        <w:gridCol w:w="1007"/>
        <w:gridCol w:w="1007"/>
      </w:tblGrid>
      <w:tr w:rsidR="00F102F6" w:rsidRPr="00B177B8" w14:paraId="3CB41D6B" w14:textId="77777777" w:rsidTr="001D3936">
        <w:trPr>
          <w:trHeight w:val="598"/>
          <w:jc w:val="center"/>
        </w:trPr>
        <w:tc>
          <w:tcPr>
            <w:tcW w:w="330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11480CA4"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xml:space="preserve">% no IKP </w:t>
            </w:r>
          </w:p>
        </w:tc>
        <w:tc>
          <w:tcPr>
            <w:tcW w:w="840" w:type="dxa"/>
            <w:tcBorders>
              <w:top w:val="double" w:sz="6" w:space="0" w:color="auto"/>
              <w:left w:val="nil"/>
              <w:bottom w:val="double" w:sz="6" w:space="0" w:color="auto"/>
              <w:right w:val="double" w:sz="6" w:space="0" w:color="auto"/>
            </w:tcBorders>
            <w:shd w:val="clear" w:color="auto" w:fill="auto"/>
            <w:vAlign w:val="bottom"/>
            <w:hideMark/>
          </w:tcPr>
          <w:p w14:paraId="1419A754" w14:textId="77777777" w:rsidR="00F102F6" w:rsidRPr="00B177B8" w:rsidRDefault="00F102F6" w:rsidP="002622DC">
            <w:pPr>
              <w:spacing w:after="0"/>
              <w:ind w:firstLine="0"/>
              <w:jc w:val="center"/>
              <w:rPr>
                <w:color w:val="000000"/>
                <w:sz w:val="20"/>
                <w:lang w:eastAsia="lv-LV"/>
              </w:rPr>
            </w:pPr>
            <w:r w:rsidRPr="00B177B8">
              <w:rPr>
                <w:color w:val="000000"/>
                <w:sz w:val="20"/>
                <w:lang w:eastAsia="lv-LV"/>
              </w:rPr>
              <w:t>EKS Kods</w:t>
            </w:r>
          </w:p>
        </w:tc>
        <w:tc>
          <w:tcPr>
            <w:tcW w:w="767" w:type="dxa"/>
            <w:tcBorders>
              <w:top w:val="double" w:sz="6" w:space="0" w:color="auto"/>
              <w:left w:val="nil"/>
              <w:bottom w:val="double" w:sz="6" w:space="0" w:color="auto"/>
              <w:right w:val="single" w:sz="4" w:space="0" w:color="auto"/>
            </w:tcBorders>
            <w:shd w:val="clear" w:color="auto" w:fill="auto"/>
            <w:noWrap/>
            <w:vAlign w:val="center"/>
            <w:hideMark/>
          </w:tcPr>
          <w:p w14:paraId="3734FA63" w14:textId="77777777" w:rsidR="00F102F6" w:rsidRPr="00B177B8" w:rsidRDefault="00F102F6" w:rsidP="002622DC">
            <w:pPr>
              <w:spacing w:after="0"/>
              <w:ind w:firstLine="0"/>
              <w:jc w:val="center"/>
              <w:rPr>
                <w:color w:val="000000"/>
                <w:sz w:val="20"/>
                <w:lang w:eastAsia="lv-LV"/>
              </w:rPr>
            </w:pPr>
            <w:r>
              <w:rPr>
                <w:color w:val="000000"/>
                <w:sz w:val="20"/>
                <w:lang w:eastAsia="lv-LV"/>
              </w:rPr>
              <w:t>2013</w:t>
            </w:r>
          </w:p>
        </w:tc>
        <w:tc>
          <w:tcPr>
            <w:tcW w:w="1007" w:type="dxa"/>
            <w:tcBorders>
              <w:top w:val="double" w:sz="6" w:space="0" w:color="auto"/>
              <w:left w:val="nil"/>
              <w:bottom w:val="double" w:sz="6" w:space="0" w:color="auto"/>
              <w:right w:val="single" w:sz="4" w:space="0" w:color="auto"/>
            </w:tcBorders>
            <w:shd w:val="clear" w:color="auto" w:fill="auto"/>
            <w:noWrap/>
            <w:vAlign w:val="center"/>
            <w:hideMark/>
          </w:tcPr>
          <w:p w14:paraId="06767CA3" w14:textId="77777777" w:rsidR="00F102F6" w:rsidRPr="00B177B8" w:rsidRDefault="00F102F6" w:rsidP="002622DC">
            <w:pPr>
              <w:spacing w:after="0"/>
              <w:ind w:firstLine="0"/>
              <w:jc w:val="center"/>
              <w:rPr>
                <w:color w:val="000000"/>
                <w:sz w:val="20"/>
                <w:lang w:eastAsia="lv-LV"/>
              </w:rPr>
            </w:pPr>
            <w:r>
              <w:rPr>
                <w:color w:val="000000"/>
                <w:sz w:val="20"/>
                <w:lang w:eastAsia="lv-LV"/>
              </w:rPr>
              <w:t>2014</w:t>
            </w:r>
          </w:p>
        </w:tc>
        <w:tc>
          <w:tcPr>
            <w:tcW w:w="1007" w:type="dxa"/>
            <w:tcBorders>
              <w:top w:val="double" w:sz="6" w:space="0" w:color="auto"/>
              <w:left w:val="nil"/>
              <w:bottom w:val="double" w:sz="6" w:space="0" w:color="auto"/>
              <w:right w:val="single" w:sz="4" w:space="0" w:color="auto"/>
            </w:tcBorders>
            <w:shd w:val="clear" w:color="auto" w:fill="auto"/>
            <w:noWrap/>
            <w:vAlign w:val="center"/>
            <w:hideMark/>
          </w:tcPr>
          <w:p w14:paraId="0A98366F" w14:textId="77777777" w:rsidR="00F102F6" w:rsidRPr="00B177B8" w:rsidRDefault="00F102F6" w:rsidP="002622DC">
            <w:pPr>
              <w:spacing w:after="0"/>
              <w:ind w:firstLine="0"/>
              <w:jc w:val="center"/>
              <w:rPr>
                <w:color w:val="000000"/>
                <w:sz w:val="20"/>
                <w:lang w:eastAsia="lv-LV"/>
              </w:rPr>
            </w:pPr>
            <w:r>
              <w:rPr>
                <w:color w:val="000000"/>
                <w:sz w:val="20"/>
                <w:lang w:eastAsia="lv-LV"/>
              </w:rPr>
              <w:t>2015</w:t>
            </w:r>
          </w:p>
        </w:tc>
        <w:tc>
          <w:tcPr>
            <w:tcW w:w="1007" w:type="dxa"/>
            <w:tcBorders>
              <w:top w:val="double" w:sz="6" w:space="0" w:color="auto"/>
              <w:left w:val="nil"/>
              <w:bottom w:val="double" w:sz="6" w:space="0" w:color="auto"/>
              <w:right w:val="single" w:sz="4" w:space="0" w:color="auto"/>
            </w:tcBorders>
            <w:shd w:val="clear" w:color="auto" w:fill="auto"/>
            <w:noWrap/>
            <w:vAlign w:val="center"/>
            <w:hideMark/>
          </w:tcPr>
          <w:p w14:paraId="0C6D032A" w14:textId="77777777" w:rsidR="00F102F6" w:rsidRPr="00B177B8" w:rsidRDefault="00F102F6" w:rsidP="002622DC">
            <w:pPr>
              <w:spacing w:after="0"/>
              <w:ind w:firstLine="0"/>
              <w:jc w:val="center"/>
              <w:rPr>
                <w:color w:val="000000"/>
                <w:sz w:val="20"/>
                <w:lang w:eastAsia="lv-LV"/>
              </w:rPr>
            </w:pPr>
            <w:r>
              <w:rPr>
                <w:color w:val="000000"/>
                <w:sz w:val="20"/>
                <w:lang w:eastAsia="lv-LV"/>
              </w:rPr>
              <w:t>2016</w:t>
            </w:r>
          </w:p>
        </w:tc>
        <w:tc>
          <w:tcPr>
            <w:tcW w:w="1007" w:type="dxa"/>
            <w:tcBorders>
              <w:top w:val="double" w:sz="6" w:space="0" w:color="auto"/>
              <w:left w:val="nil"/>
              <w:bottom w:val="double" w:sz="6" w:space="0" w:color="auto"/>
              <w:right w:val="double" w:sz="6" w:space="0" w:color="auto"/>
            </w:tcBorders>
            <w:shd w:val="clear" w:color="auto" w:fill="auto"/>
            <w:noWrap/>
            <w:vAlign w:val="center"/>
            <w:hideMark/>
          </w:tcPr>
          <w:p w14:paraId="4D1F16A2" w14:textId="77777777" w:rsidR="00F102F6" w:rsidRPr="00B177B8" w:rsidRDefault="00F102F6" w:rsidP="002622DC">
            <w:pPr>
              <w:spacing w:after="0"/>
              <w:ind w:firstLine="0"/>
              <w:jc w:val="center"/>
              <w:rPr>
                <w:color w:val="000000"/>
                <w:sz w:val="20"/>
                <w:lang w:eastAsia="lv-LV"/>
              </w:rPr>
            </w:pPr>
            <w:r>
              <w:rPr>
                <w:color w:val="000000"/>
                <w:sz w:val="20"/>
                <w:lang w:eastAsia="lv-LV"/>
              </w:rPr>
              <w:t>2017</w:t>
            </w:r>
          </w:p>
        </w:tc>
      </w:tr>
      <w:tr w:rsidR="00F102F6" w:rsidRPr="00B177B8" w14:paraId="0619556E" w14:textId="77777777" w:rsidTr="001D3936">
        <w:trPr>
          <w:trHeight w:val="5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64D9602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1. IKP pieaugums salīdzināmās cenās (%)</w:t>
            </w:r>
          </w:p>
        </w:tc>
        <w:tc>
          <w:tcPr>
            <w:tcW w:w="840" w:type="dxa"/>
            <w:tcBorders>
              <w:top w:val="nil"/>
              <w:left w:val="nil"/>
              <w:bottom w:val="single" w:sz="4" w:space="0" w:color="auto"/>
              <w:right w:val="double" w:sz="6" w:space="0" w:color="auto"/>
            </w:tcBorders>
            <w:shd w:val="clear" w:color="auto" w:fill="auto"/>
            <w:noWrap/>
            <w:vAlign w:val="center"/>
            <w:hideMark/>
          </w:tcPr>
          <w:p w14:paraId="024B4AB6" w14:textId="77777777" w:rsidR="00F102F6" w:rsidRPr="00B177B8" w:rsidRDefault="00F102F6" w:rsidP="002622DC">
            <w:pPr>
              <w:spacing w:after="0"/>
              <w:ind w:firstLine="0"/>
              <w:jc w:val="center"/>
              <w:rPr>
                <w:sz w:val="20"/>
                <w:lang w:eastAsia="lv-LV"/>
              </w:rPr>
            </w:pPr>
            <w:r w:rsidRPr="00B177B8">
              <w:rPr>
                <w:sz w:val="20"/>
                <w:lang w:eastAsia="lv-LV"/>
              </w:rPr>
              <w:t>B1g</w:t>
            </w:r>
          </w:p>
        </w:tc>
        <w:tc>
          <w:tcPr>
            <w:tcW w:w="767" w:type="dxa"/>
            <w:tcBorders>
              <w:top w:val="nil"/>
              <w:left w:val="nil"/>
              <w:bottom w:val="single" w:sz="4" w:space="0" w:color="auto"/>
              <w:right w:val="single" w:sz="4" w:space="0" w:color="auto"/>
            </w:tcBorders>
            <w:shd w:val="clear" w:color="auto" w:fill="auto"/>
            <w:noWrap/>
            <w:vAlign w:val="center"/>
          </w:tcPr>
          <w:p w14:paraId="1D7DC99D" w14:textId="77777777" w:rsidR="00F102F6" w:rsidRPr="00B177B8" w:rsidRDefault="00F102F6" w:rsidP="002622DC">
            <w:pPr>
              <w:spacing w:after="0"/>
              <w:ind w:firstLine="0"/>
              <w:jc w:val="right"/>
              <w:rPr>
                <w:color w:val="000000"/>
                <w:sz w:val="20"/>
                <w:lang w:eastAsia="lv-LV"/>
              </w:rPr>
            </w:pPr>
            <w:r>
              <w:rPr>
                <w:color w:val="000000"/>
                <w:sz w:val="20"/>
                <w:lang w:eastAsia="lv-LV"/>
              </w:rPr>
              <w:t>4,1</w:t>
            </w:r>
          </w:p>
        </w:tc>
        <w:tc>
          <w:tcPr>
            <w:tcW w:w="1007" w:type="dxa"/>
            <w:tcBorders>
              <w:top w:val="nil"/>
              <w:left w:val="nil"/>
              <w:bottom w:val="single" w:sz="4" w:space="0" w:color="auto"/>
              <w:right w:val="single" w:sz="4" w:space="0" w:color="auto"/>
            </w:tcBorders>
            <w:shd w:val="clear" w:color="auto" w:fill="auto"/>
            <w:noWrap/>
            <w:vAlign w:val="center"/>
          </w:tcPr>
          <w:p w14:paraId="7DAC46ED" w14:textId="77777777" w:rsidR="00F102F6" w:rsidRPr="00B177B8" w:rsidRDefault="00F102F6" w:rsidP="002622DC">
            <w:pPr>
              <w:spacing w:after="0"/>
              <w:ind w:firstLine="0"/>
              <w:jc w:val="right"/>
              <w:rPr>
                <w:color w:val="000000"/>
                <w:sz w:val="20"/>
                <w:lang w:eastAsia="lv-LV"/>
              </w:rPr>
            </w:pPr>
            <w:r>
              <w:rPr>
                <w:color w:val="000000"/>
                <w:sz w:val="20"/>
                <w:lang w:eastAsia="lv-LV"/>
              </w:rPr>
              <w:t>4,0</w:t>
            </w:r>
          </w:p>
        </w:tc>
        <w:tc>
          <w:tcPr>
            <w:tcW w:w="1007" w:type="dxa"/>
            <w:tcBorders>
              <w:top w:val="nil"/>
              <w:left w:val="nil"/>
              <w:bottom w:val="single" w:sz="4" w:space="0" w:color="auto"/>
              <w:right w:val="single" w:sz="4" w:space="0" w:color="auto"/>
            </w:tcBorders>
            <w:shd w:val="clear" w:color="auto" w:fill="auto"/>
            <w:noWrap/>
            <w:vAlign w:val="center"/>
          </w:tcPr>
          <w:p w14:paraId="552A0076" w14:textId="77777777" w:rsidR="00F102F6" w:rsidRPr="00B177B8" w:rsidRDefault="00F102F6" w:rsidP="002622DC">
            <w:pPr>
              <w:spacing w:after="0"/>
              <w:ind w:firstLine="0"/>
              <w:jc w:val="right"/>
              <w:rPr>
                <w:color w:val="000000"/>
                <w:sz w:val="20"/>
                <w:lang w:eastAsia="lv-LV"/>
              </w:rPr>
            </w:pPr>
            <w:r>
              <w:rPr>
                <w:color w:val="000000"/>
                <w:sz w:val="20"/>
                <w:lang w:eastAsia="lv-LV"/>
              </w:rPr>
              <w:t>4,0</w:t>
            </w:r>
          </w:p>
        </w:tc>
        <w:tc>
          <w:tcPr>
            <w:tcW w:w="1007" w:type="dxa"/>
            <w:tcBorders>
              <w:top w:val="nil"/>
              <w:left w:val="nil"/>
              <w:bottom w:val="single" w:sz="4" w:space="0" w:color="auto"/>
              <w:right w:val="single" w:sz="4" w:space="0" w:color="auto"/>
            </w:tcBorders>
            <w:shd w:val="clear" w:color="auto" w:fill="auto"/>
            <w:noWrap/>
            <w:vAlign w:val="center"/>
          </w:tcPr>
          <w:p w14:paraId="47608D34" w14:textId="77777777" w:rsidR="00F102F6" w:rsidRPr="00B177B8" w:rsidRDefault="00F102F6" w:rsidP="002622DC">
            <w:pPr>
              <w:spacing w:after="0"/>
              <w:ind w:firstLine="0"/>
              <w:jc w:val="right"/>
              <w:rPr>
                <w:color w:val="000000"/>
                <w:sz w:val="20"/>
                <w:lang w:eastAsia="lv-LV"/>
              </w:rPr>
            </w:pPr>
            <w:r>
              <w:rPr>
                <w:color w:val="000000"/>
                <w:sz w:val="20"/>
                <w:lang w:eastAsia="lv-LV"/>
              </w:rPr>
              <w:t>4,0</w:t>
            </w:r>
          </w:p>
        </w:tc>
        <w:tc>
          <w:tcPr>
            <w:tcW w:w="1007" w:type="dxa"/>
            <w:tcBorders>
              <w:top w:val="nil"/>
              <w:left w:val="nil"/>
              <w:bottom w:val="single" w:sz="4" w:space="0" w:color="auto"/>
              <w:right w:val="double" w:sz="6" w:space="0" w:color="auto"/>
            </w:tcBorders>
            <w:shd w:val="clear" w:color="auto" w:fill="auto"/>
            <w:noWrap/>
            <w:vAlign w:val="center"/>
          </w:tcPr>
          <w:p w14:paraId="5E15D1AA" w14:textId="77777777" w:rsidR="00F102F6" w:rsidRPr="00B177B8" w:rsidRDefault="00F102F6" w:rsidP="002622DC">
            <w:pPr>
              <w:spacing w:after="0"/>
              <w:ind w:firstLine="0"/>
              <w:jc w:val="right"/>
              <w:rPr>
                <w:color w:val="000000"/>
                <w:sz w:val="20"/>
                <w:lang w:eastAsia="lv-LV"/>
              </w:rPr>
            </w:pPr>
            <w:r>
              <w:rPr>
                <w:color w:val="000000"/>
                <w:sz w:val="20"/>
                <w:lang w:eastAsia="lv-LV"/>
              </w:rPr>
              <w:t>4,0</w:t>
            </w:r>
          </w:p>
        </w:tc>
      </w:tr>
      <w:tr w:rsidR="00F102F6" w:rsidRPr="00B177B8" w14:paraId="0382E865"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14EF1B4E"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2. Faktiskā budžeta bilance</w:t>
            </w:r>
          </w:p>
        </w:tc>
        <w:tc>
          <w:tcPr>
            <w:tcW w:w="840" w:type="dxa"/>
            <w:tcBorders>
              <w:top w:val="nil"/>
              <w:left w:val="nil"/>
              <w:bottom w:val="single" w:sz="4" w:space="0" w:color="auto"/>
              <w:right w:val="double" w:sz="6" w:space="0" w:color="auto"/>
            </w:tcBorders>
            <w:shd w:val="clear" w:color="auto" w:fill="auto"/>
            <w:noWrap/>
            <w:vAlign w:val="bottom"/>
            <w:hideMark/>
          </w:tcPr>
          <w:p w14:paraId="33F7379C" w14:textId="77777777" w:rsidR="00F102F6" w:rsidRPr="00B177B8" w:rsidRDefault="00F102F6" w:rsidP="002622DC">
            <w:pPr>
              <w:spacing w:after="0"/>
              <w:ind w:firstLine="0"/>
              <w:jc w:val="center"/>
              <w:rPr>
                <w:color w:val="000000"/>
                <w:sz w:val="20"/>
                <w:lang w:eastAsia="lv-LV"/>
              </w:rPr>
            </w:pPr>
            <w:r w:rsidRPr="00B177B8">
              <w:rPr>
                <w:color w:val="000000"/>
                <w:sz w:val="20"/>
                <w:lang w:eastAsia="lv-LV"/>
              </w:rPr>
              <w:t>B.9</w:t>
            </w:r>
          </w:p>
        </w:tc>
        <w:tc>
          <w:tcPr>
            <w:tcW w:w="76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1D1EF5" w14:textId="77777777" w:rsidR="00F102F6" w:rsidRPr="00602351" w:rsidRDefault="00F102F6" w:rsidP="002622DC">
            <w:pPr>
              <w:pStyle w:val="tabteksts"/>
              <w:tabs>
                <w:tab w:val="decimal" w:pos="436"/>
              </w:tabs>
              <w:jc w:val="right"/>
            </w:pPr>
            <w:r w:rsidRPr="00602351">
              <w:t>-1,0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7B31" w14:textId="77777777" w:rsidR="00F102F6" w:rsidRPr="00602351" w:rsidRDefault="00F102F6" w:rsidP="002622DC">
            <w:pPr>
              <w:pStyle w:val="tabteksts"/>
              <w:tabs>
                <w:tab w:val="decimal" w:pos="436"/>
              </w:tabs>
              <w:jc w:val="right"/>
            </w:pPr>
            <w:r w:rsidRPr="00602351">
              <w:t>-1,0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6E37C6A3" w14:textId="77777777" w:rsidR="00F102F6" w:rsidRPr="00602351" w:rsidRDefault="00F102F6" w:rsidP="002622DC">
            <w:pPr>
              <w:pStyle w:val="tabteksts"/>
              <w:tabs>
                <w:tab w:val="decimal" w:pos="436"/>
              </w:tabs>
              <w:jc w:val="right"/>
            </w:pPr>
            <w:r w:rsidRPr="00602351">
              <w:t>-0,8</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6CCC5220" w14:textId="77777777" w:rsidR="00F102F6" w:rsidRPr="00602351" w:rsidRDefault="00F102F6" w:rsidP="002622DC">
            <w:pPr>
              <w:pStyle w:val="tabteksts"/>
              <w:tabs>
                <w:tab w:val="decimal" w:pos="436"/>
              </w:tabs>
              <w:jc w:val="right"/>
            </w:pPr>
            <w:r w:rsidRPr="00602351">
              <w:t>-0,7</w:t>
            </w:r>
          </w:p>
        </w:tc>
        <w:tc>
          <w:tcPr>
            <w:tcW w:w="1007"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757779A7" w14:textId="77777777" w:rsidR="00F102F6" w:rsidRPr="00602351" w:rsidRDefault="00F102F6" w:rsidP="002622DC">
            <w:pPr>
              <w:pStyle w:val="tabteksts"/>
              <w:tabs>
                <w:tab w:val="decimal" w:pos="436"/>
              </w:tabs>
              <w:jc w:val="right"/>
            </w:pPr>
            <w:r w:rsidRPr="00602351">
              <w:t>-0,7</w:t>
            </w:r>
          </w:p>
        </w:tc>
      </w:tr>
      <w:tr w:rsidR="00F102F6" w:rsidRPr="00B177B8" w14:paraId="462C9D28" w14:textId="77777777" w:rsidTr="001D3936">
        <w:trPr>
          <w:trHeight w:val="63"/>
          <w:jc w:val="center"/>
        </w:trPr>
        <w:tc>
          <w:tcPr>
            <w:tcW w:w="3305" w:type="dxa"/>
            <w:tcBorders>
              <w:top w:val="nil"/>
              <w:left w:val="double" w:sz="6" w:space="0" w:color="auto"/>
              <w:bottom w:val="nil"/>
              <w:right w:val="single" w:sz="4" w:space="0" w:color="auto"/>
            </w:tcBorders>
            <w:shd w:val="clear" w:color="auto" w:fill="auto"/>
            <w:noWrap/>
            <w:vAlign w:val="bottom"/>
            <w:hideMark/>
          </w:tcPr>
          <w:p w14:paraId="501A0D62"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xml:space="preserve">3. Procentu izdevumi  </w:t>
            </w:r>
          </w:p>
        </w:tc>
        <w:tc>
          <w:tcPr>
            <w:tcW w:w="840" w:type="dxa"/>
            <w:tcBorders>
              <w:top w:val="nil"/>
              <w:left w:val="nil"/>
              <w:bottom w:val="nil"/>
              <w:right w:val="double" w:sz="6" w:space="0" w:color="auto"/>
            </w:tcBorders>
            <w:shd w:val="clear" w:color="auto" w:fill="auto"/>
            <w:noWrap/>
            <w:vAlign w:val="bottom"/>
            <w:hideMark/>
          </w:tcPr>
          <w:p w14:paraId="12804644" w14:textId="77777777" w:rsidR="00F102F6" w:rsidRPr="00B177B8" w:rsidRDefault="00F102F6" w:rsidP="002622DC">
            <w:pPr>
              <w:spacing w:after="0"/>
              <w:ind w:firstLine="0"/>
              <w:jc w:val="center"/>
              <w:rPr>
                <w:color w:val="000000"/>
                <w:sz w:val="20"/>
                <w:lang w:eastAsia="lv-LV"/>
              </w:rPr>
            </w:pPr>
            <w:r w:rsidRPr="00B177B8">
              <w:rPr>
                <w:color w:val="000000"/>
                <w:sz w:val="20"/>
                <w:lang w:eastAsia="lv-LV"/>
              </w:rPr>
              <w:t>D.41</w:t>
            </w:r>
          </w:p>
        </w:tc>
        <w:tc>
          <w:tcPr>
            <w:tcW w:w="767" w:type="dxa"/>
            <w:tcBorders>
              <w:top w:val="nil"/>
              <w:left w:val="double" w:sz="6" w:space="0" w:color="auto"/>
              <w:bottom w:val="single" w:sz="4" w:space="0" w:color="auto"/>
              <w:right w:val="single" w:sz="4" w:space="0" w:color="auto"/>
            </w:tcBorders>
            <w:shd w:val="clear" w:color="auto" w:fill="auto"/>
            <w:noWrap/>
            <w:vAlign w:val="center"/>
            <w:hideMark/>
          </w:tcPr>
          <w:p w14:paraId="5E145420" w14:textId="77777777" w:rsidR="00F102F6" w:rsidRPr="00602351" w:rsidRDefault="00F102F6" w:rsidP="002622DC">
            <w:pPr>
              <w:pStyle w:val="tabteksts"/>
              <w:tabs>
                <w:tab w:val="decimal" w:pos="436"/>
              </w:tabs>
              <w:jc w:val="right"/>
            </w:pPr>
            <w:r w:rsidRPr="00602351">
              <w:t>1,7</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CEC3D05" w14:textId="77777777" w:rsidR="00F102F6" w:rsidRPr="00602351" w:rsidRDefault="00F102F6" w:rsidP="002622DC">
            <w:pPr>
              <w:pStyle w:val="tabteksts"/>
              <w:tabs>
                <w:tab w:val="decimal" w:pos="436"/>
              </w:tabs>
              <w:jc w:val="right"/>
            </w:pPr>
            <w:r w:rsidRPr="00602351">
              <w:t>1,6</w:t>
            </w:r>
          </w:p>
        </w:tc>
        <w:tc>
          <w:tcPr>
            <w:tcW w:w="1007" w:type="dxa"/>
            <w:tcBorders>
              <w:top w:val="nil"/>
              <w:left w:val="nil"/>
              <w:bottom w:val="single" w:sz="4" w:space="0" w:color="auto"/>
              <w:right w:val="single" w:sz="4" w:space="0" w:color="auto"/>
            </w:tcBorders>
            <w:shd w:val="clear" w:color="auto" w:fill="auto"/>
            <w:noWrap/>
            <w:vAlign w:val="center"/>
            <w:hideMark/>
          </w:tcPr>
          <w:p w14:paraId="1DEDCA27" w14:textId="77777777" w:rsidR="00F102F6" w:rsidRPr="00602351" w:rsidRDefault="00F102F6" w:rsidP="002622DC">
            <w:pPr>
              <w:pStyle w:val="tabteksts"/>
              <w:tabs>
                <w:tab w:val="decimal" w:pos="436"/>
              </w:tabs>
              <w:jc w:val="right"/>
            </w:pPr>
            <w:r w:rsidRPr="00602351">
              <w:t>1,2</w:t>
            </w:r>
          </w:p>
        </w:tc>
        <w:tc>
          <w:tcPr>
            <w:tcW w:w="1007" w:type="dxa"/>
            <w:tcBorders>
              <w:top w:val="nil"/>
              <w:left w:val="nil"/>
              <w:bottom w:val="single" w:sz="4" w:space="0" w:color="auto"/>
              <w:right w:val="single" w:sz="4" w:space="0" w:color="auto"/>
            </w:tcBorders>
            <w:shd w:val="clear" w:color="auto" w:fill="auto"/>
            <w:noWrap/>
            <w:vAlign w:val="center"/>
            <w:hideMark/>
          </w:tcPr>
          <w:p w14:paraId="4670EBC5" w14:textId="77777777" w:rsidR="00F102F6" w:rsidRPr="00602351" w:rsidRDefault="00F102F6" w:rsidP="002622DC">
            <w:pPr>
              <w:pStyle w:val="tabteksts"/>
              <w:tabs>
                <w:tab w:val="decimal" w:pos="436"/>
              </w:tabs>
              <w:jc w:val="right"/>
            </w:pPr>
            <w:r w:rsidRPr="00602351">
              <w:t>1,2</w:t>
            </w:r>
          </w:p>
        </w:tc>
        <w:tc>
          <w:tcPr>
            <w:tcW w:w="1007" w:type="dxa"/>
            <w:tcBorders>
              <w:top w:val="nil"/>
              <w:left w:val="single" w:sz="4" w:space="0" w:color="auto"/>
              <w:bottom w:val="single" w:sz="4" w:space="0" w:color="auto"/>
              <w:right w:val="double" w:sz="6" w:space="0" w:color="auto"/>
            </w:tcBorders>
            <w:shd w:val="clear" w:color="auto" w:fill="auto"/>
            <w:noWrap/>
            <w:vAlign w:val="center"/>
            <w:hideMark/>
          </w:tcPr>
          <w:p w14:paraId="7511C7D8" w14:textId="77777777" w:rsidR="00F102F6" w:rsidRPr="00602351" w:rsidRDefault="00F102F6" w:rsidP="002622DC">
            <w:pPr>
              <w:pStyle w:val="tabteksts"/>
              <w:tabs>
                <w:tab w:val="decimal" w:pos="436"/>
              </w:tabs>
              <w:jc w:val="right"/>
            </w:pPr>
            <w:r w:rsidRPr="00602351">
              <w:t>1,1</w:t>
            </w:r>
          </w:p>
        </w:tc>
      </w:tr>
      <w:tr w:rsidR="00F102F6" w:rsidRPr="0057741E" w14:paraId="321D88BB" w14:textId="77777777" w:rsidTr="001D3936">
        <w:trPr>
          <w:trHeight w:val="63"/>
          <w:jc w:val="center"/>
        </w:trPr>
        <w:tc>
          <w:tcPr>
            <w:tcW w:w="330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895F2C1"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4. Vienreizēji un citi īslaicīgi pasākumi</w:t>
            </w:r>
          </w:p>
        </w:tc>
        <w:tc>
          <w:tcPr>
            <w:tcW w:w="840" w:type="dxa"/>
            <w:tcBorders>
              <w:top w:val="single" w:sz="4" w:space="0" w:color="auto"/>
              <w:left w:val="nil"/>
              <w:bottom w:val="single" w:sz="4" w:space="0" w:color="auto"/>
              <w:right w:val="double" w:sz="6" w:space="0" w:color="auto"/>
            </w:tcBorders>
            <w:shd w:val="clear" w:color="auto" w:fill="auto"/>
            <w:noWrap/>
            <w:vAlign w:val="bottom"/>
            <w:hideMark/>
          </w:tcPr>
          <w:p w14:paraId="6B8EAD2D"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single" w:sz="4" w:space="0" w:color="auto"/>
            </w:tcBorders>
            <w:shd w:val="clear" w:color="auto" w:fill="auto"/>
            <w:noWrap/>
            <w:vAlign w:val="center"/>
            <w:hideMark/>
          </w:tcPr>
          <w:p w14:paraId="5B969A19" w14:textId="6FA7BBDF" w:rsidR="00F102F6" w:rsidRDefault="00F102F6" w:rsidP="002622DC">
            <w:pPr>
              <w:pStyle w:val="tabteksts"/>
              <w:tabs>
                <w:tab w:val="decimal" w:pos="436"/>
              </w:tabs>
              <w:jc w:val="right"/>
            </w:pP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BA28993" w14:textId="10DF4277" w:rsidR="00F102F6" w:rsidRDefault="00F102F6" w:rsidP="002622DC">
            <w:pPr>
              <w:pStyle w:val="tabteksts"/>
              <w:tabs>
                <w:tab w:val="decimal" w:pos="436"/>
              </w:tabs>
              <w:jc w:val="right"/>
            </w:pPr>
          </w:p>
        </w:tc>
        <w:tc>
          <w:tcPr>
            <w:tcW w:w="1007" w:type="dxa"/>
            <w:tcBorders>
              <w:top w:val="nil"/>
              <w:left w:val="nil"/>
              <w:bottom w:val="single" w:sz="4" w:space="0" w:color="auto"/>
              <w:right w:val="single" w:sz="4" w:space="0" w:color="auto"/>
            </w:tcBorders>
            <w:shd w:val="clear" w:color="auto" w:fill="auto"/>
            <w:noWrap/>
            <w:vAlign w:val="center"/>
            <w:hideMark/>
          </w:tcPr>
          <w:p w14:paraId="658493BB" w14:textId="60058ACC" w:rsidR="00F102F6" w:rsidRDefault="00F102F6" w:rsidP="002622DC">
            <w:pPr>
              <w:pStyle w:val="tabteksts"/>
              <w:tabs>
                <w:tab w:val="decimal" w:pos="436"/>
              </w:tabs>
              <w:jc w:val="right"/>
            </w:pPr>
          </w:p>
        </w:tc>
        <w:tc>
          <w:tcPr>
            <w:tcW w:w="1007" w:type="dxa"/>
            <w:tcBorders>
              <w:top w:val="nil"/>
              <w:left w:val="nil"/>
              <w:bottom w:val="single" w:sz="4" w:space="0" w:color="auto"/>
              <w:right w:val="single" w:sz="4" w:space="0" w:color="auto"/>
            </w:tcBorders>
            <w:shd w:val="clear" w:color="auto" w:fill="auto"/>
            <w:noWrap/>
            <w:vAlign w:val="center"/>
            <w:hideMark/>
          </w:tcPr>
          <w:p w14:paraId="2A246A24" w14:textId="4FAA9D75" w:rsidR="00F102F6" w:rsidRDefault="00F102F6" w:rsidP="002622DC">
            <w:pPr>
              <w:pStyle w:val="tabteksts"/>
              <w:tabs>
                <w:tab w:val="decimal" w:pos="436"/>
              </w:tabs>
              <w:jc w:val="right"/>
            </w:pPr>
          </w:p>
        </w:tc>
        <w:tc>
          <w:tcPr>
            <w:tcW w:w="1007" w:type="dxa"/>
            <w:tcBorders>
              <w:top w:val="nil"/>
              <w:left w:val="single" w:sz="4" w:space="0" w:color="auto"/>
              <w:bottom w:val="single" w:sz="4" w:space="0" w:color="auto"/>
              <w:right w:val="double" w:sz="6" w:space="0" w:color="auto"/>
            </w:tcBorders>
            <w:shd w:val="clear" w:color="auto" w:fill="auto"/>
            <w:noWrap/>
            <w:vAlign w:val="center"/>
            <w:hideMark/>
          </w:tcPr>
          <w:p w14:paraId="5208AE8F" w14:textId="5F677A2D" w:rsidR="00F102F6" w:rsidRDefault="00F102F6" w:rsidP="002622DC">
            <w:pPr>
              <w:pStyle w:val="tabteksts"/>
              <w:tabs>
                <w:tab w:val="decimal" w:pos="436"/>
              </w:tabs>
              <w:jc w:val="right"/>
            </w:pPr>
          </w:p>
        </w:tc>
      </w:tr>
      <w:tr w:rsidR="00F102F6" w:rsidRPr="0057741E" w14:paraId="6AF13ED1"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32132D2D"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5. Potenciālā IKP pieaugums (%)</w:t>
            </w:r>
          </w:p>
        </w:tc>
        <w:tc>
          <w:tcPr>
            <w:tcW w:w="840" w:type="dxa"/>
            <w:tcBorders>
              <w:top w:val="nil"/>
              <w:left w:val="nil"/>
              <w:bottom w:val="single" w:sz="4" w:space="0" w:color="auto"/>
              <w:right w:val="double" w:sz="6" w:space="0" w:color="auto"/>
            </w:tcBorders>
            <w:shd w:val="clear" w:color="auto" w:fill="auto"/>
            <w:noWrap/>
            <w:vAlign w:val="bottom"/>
            <w:hideMark/>
          </w:tcPr>
          <w:p w14:paraId="24B8D684"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nil"/>
              <w:right w:val="single" w:sz="4" w:space="0" w:color="auto"/>
            </w:tcBorders>
            <w:shd w:val="clear" w:color="auto" w:fill="auto"/>
            <w:noWrap/>
            <w:vAlign w:val="center"/>
          </w:tcPr>
          <w:p w14:paraId="620A3E26" w14:textId="77777777" w:rsidR="00F102F6" w:rsidRPr="00602351" w:rsidRDefault="00F102F6" w:rsidP="002622DC">
            <w:pPr>
              <w:pStyle w:val="tabteksts"/>
              <w:tabs>
                <w:tab w:val="decimal" w:pos="436"/>
              </w:tabs>
              <w:jc w:val="right"/>
            </w:pPr>
            <w:r w:rsidRPr="00602351">
              <w:t>2,5</w:t>
            </w:r>
          </w:p>
        </w:tc>
        <w:tc>
          <w:tcPr>
            <w:tcW w:w="1007" w:type="dxa"/>
            <w:tcBorders>
              <w:top w:val="nil"/>
              <w:left w:val="single" w:sz="4" w:space="0" w:color="auto"/>
              <w:bottom w:val="single" w:sz="4" w:space="0" w:color="auto"/>
              <w:right w:val="single" w:sz="4" w:space="0" w:color="auto"/>
            </w:tcBorders>
            <w:shd w:val="clear" w:color="auto" w:fill="auto"/>
            <w:noWrap/>
            <w:vAlign w:val="center"/>
          </w:tcPr>
          <w:p w14:paraId="3DFF1A7C" w14:textId="77777777" w:rsidR="00F102F6" w:rsidRPr="00602351" w:rsidRDefault="00F102F6" w:rsidP="002622DC">
            <w:pPr>
              <w:pStyle w:val="tabteksts"/>
              <w:tabs>
                <w:tab w:val="decimal" w:pos="436"/>
              </w:tabs>
              <w:jc w:val="right"/>
            </w:pPr>
            <w:r w:rsidRPr="00602351">
              <w:t>3,3</w:t>
            </w:r>
          </w:p>
        </w:tc>
        <w:tc>
          <w:tcPr>
            <w:tcW w:w="1007" w:type="dxa"/>
            <w:tcBorders>
              <w:top w:val="nil"/>
              <w:left w:val="nil"/>
              <w:bottom w:val="single" w:sz="4" w:space="0" w:color="auto"/>
              <w:right w:val="single" w:sz="4" w:space="0" w:color="auto"/>
            </w:tcBorders>
            <w:shd w:val="clear" w:color="auto" w:fill="auto"/>
            <w:noWrap/>
            <w:vAlign w:val="center"/>
          </w:tcPr>
          <w:p w14:paraId="7EA7E959" w14:textId="77777777" w:rsidR="00F102F6" w:rsidRPr="00602351" w:rsidRDefault="00F102F6" w:rsidP="002622DC">
            <w:pPr>
              <w:pStyle w:val="tabteksts"/>
              <w:tabs>
                <w:tab w:val="decimal" w:pos="436"/>
              </w:tabs>
              <w:jc w:val="right"/>
            </w:pPr>
            <w:r w:rsidRPr="00602351">
              <w:t>3,8</w:t>
            </w:r>
          </w:p>
        </w:tc>
        <w:tc>
          <w:tcPr>
            <w:tcW w:w="1007" w:type="dxa"/>
            <w:tcBorders>
              <w:top w:val="nil"/>
              <w:left w:val="nil"/>
              <w:bottom w:val="single" w:sz="4" w:space="0" w:color="auto"/>
              <w:right w:val="single" w:sz="4" w:space="0" w:color="auto"/>
            </w:tcBorders>
            <w:shd w:val="clear" w:color="auto" w:fill="auto"/>
            <w:noWrap/>
            <w:vAlign w:val="center"/>
          </w:tcPr>
          <w:p w14:paraId="0AB00787" w14:textId="77777777" w:rsidR="00F102F6" w:rsidRPr="00602351" w:rsidRDefault="00F102F6" w:rsidP="002622DC">
            <w:pPr>
              <w:pStyle w:val="tabteksts"/>
              <w:tabs>
                <w:tab w:val="decimal" w:pos="436"/>
              </w:tabs>
              <w:jc w:val="right"/>
            </w:pPr>
            <w:r w:rsidRPr="00602351">
              <w:t>4,1</w:t>
            </w:r>
          </w:p>
        </w:tc>
        <w:tc>
          <w:tcPr>
            <w:tcW w:w="1007" w:type="dxa"/>
            <w:tcBorders>
              <w:top w:val="nil"/>
              <w:left w:val="single" w:sz="4" w:space="0" w:color="auto"/>
              <w:bottom w:val="single" w:sz="4" w:space="0" w:color="auto"/>
              <w:right w:val="double" w:sz="6" w:space="0" w:color="auto"/>
            </w:tcBorders>
            <w:shd w:val="clear" w:color="auto" w:fill="auto"/>
            <w:noWrap/>
            <w:vAlign w:val="center"/>
          </w:tcPr>
          <w:p w14:paraId="1E1D73D4" w14:textId="77777777" w:rsidR="00F102F6" w:rsidRPr="00602351" w:rsidRDefault="00F102F6" w:rsidP="002622DC">
            <w:pPr>
              <w:pStyle w:val="tabteksts"/>
              <w:tabs>
                <w:tab w:val="decimal" w:pos="436"/>
              </w:tabs>
              <w:jc w:val="right"/>
            </w:pPr>
            <w:r w:rsidRPr="00602351">
              <w:t>4,2</w:t>
            </w:r>
          </w:p>
        </w:tc>
      </w:tr>
      <w:tr w:rsidR="00F102F6" w:rsidRPr="00B177B8" w14:paraId="31F4AEA4" w14:textId="77777777" w:rsidTr="001D3936">
        <w:trPr>
          <w:trHeight w:val="63"/>
          <w:jc w:val="center"/>
        </w:trPr>
        <w:tc>
          <w:tcPr>
            <w:tcW w:w="3305" w:type="dxa"/>
            <w:tcBorders>
              <w:top w:val="nil"/>
              <w:left w:val="double" w:sz="6" w:space="0" w:color="auto"/>
              <w:bottom w:val="nil"/>
              <w:right w:val="single" w:sz="4" w:space="0" w:color="auto"/>
            </w:tcBorders>
            <w:shd w:val="clear" w:color="auto" w:fill="auto"/>
            <w:noWrap/>
            <w:vAlign w:val="bottom"/>
            <w:hideMark/>
          </w:tcPr>
          <w:p w14:paraId="4403B79C" w14:textId="77777777" w:rsidR="00F102F6" w:rsidRPr="00B177B8" w:rsidRDefault="00F102F6" w:rsidP="002622DC">
            <w:pPr>
              <w:spacing w:after="0"/>
              <w:ind w:firstLineChars="100" w:firstLine="200"/>
              <w:jc w:val="left"/>
              <w:rPr>
                <w:color w:val="000000"/>
                <w:sz w:val="20"/>
                <w:lang w:eastAsia="lv-LV"/>
              </w:rPr>
            </w:pPr>
            <w:r w:rsidRPr="00B177B8">
              <w:rPr>
                <w:color w:val="000000"/>
                <w:sz w:val="20"/>
                <w:lang w:eastAsia="lv-LV"/>
              </w:rPr>
              <w:t>ieguldījums:</w:t>
            </w:r>
          </w:p>
        </w:tc>
        <w:tc>
          <w:tcPr>
            <w:tcW w:w="840" w:type="dxa"/>
            <w:tcBorders>
              <w:top w:val="nil"/>
              <w:left w:val="nil"/>
              <w:bottom w:val="nil"/>
              <w:right w:val="double" w:sz="6" w:space="0" w:color="auto"/>
            </w:tcBorders>
            <w:shd w:val="clear" w:color="auto" w:fill="auto"/>
            <w:noWrap/>
            <w:vAlign w:val="bottom"/>
            <w:hideMark/>
          </w:tcPr>
          <w:p w14:paraId="5DA7B3DC"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single" w:sz="4" w:space="0" w:color="auto"/>
              <w:left w:val="double" w:sz="6" w:space="0" w:color="auto"/>
              <w:bottom w:val="nil"/>
              <w:right w:val="single" w:sz="4" w:space="0" w:color="auto"/>
            </w:tcBorders>
            <w:shd w:val="clear" w:color="auto" w:fill="auto"/>
            <w:noWrap/>
            <w:vAlign w:val="center"/>
            <w:hideMark/>
          </w:tcPr>
          <w:p w14:paraId="05ABF71C" w14:textId="1FC70709" w:rsidR="00F102F6" w:rsidRPr="00602351" w:rsidRDefault="00F102F6" w:rsidP="002622DC">
            <w:pPr>
              <w:pStyle w:val="tabteksts"/>
              <w:tabs>
                <w:tab w:val="decimal" w:pos="436"/>
              </w:tabs>
              <w:jc w:val="right"/>
            </w:pPr>
          </w:p>
        </w:tc>
        <w:tc>
          <w:tcPr>
            <w:tcW w:w="1007" w:type="dxa"/>
            <w:tcBorders>
              <w:top w:val="single" w:sz="4" w:space="0" w:color="auto"/>
              <w:left w:val="nil"/>
              <w:bottom w:val="nil"/>
              <w:right w:val="single" w:sz="4" w:space="0" w:color="auto"/>
            </w:tcBorders>
            <w:shd w:val="clear" w:color="auto" w:fill="auto"/>
            <w:noWrap/>
            <w:vAlign w:val="center"/>
            <w:hideMark/>
          </w:tcPr>
          <w:p w14:paraId="3133AE23" w14:textId="3165B352" w:rsidR="00F102F6" w:rsidRPr="00602351" w:rsidRDefault="00F102F6" w:rsidP="002622DC">
            <w:pPr>
              <w:pStyle w:val="tabteksts"/>
              <w:tabs>
                <w:tab w:val="decimal" w:pos="436"/>
              </w:tabs>
              <w:jc w:val="right"/>
            </w:pPr>
          </w:p>
        </w:tc>
        <w:tc>
          <w:tcPr>
            <w:tcW w:w="1007" w:type="dxa"/>
            <w:tcBorders>
              <w:top w:val="single" w:sz="4" w:space="0" w:color="auto"/>
              <w:left w:val="nil"/>
              <w:bottom w:val="nil"/>
              <w:right w:val="single" w:sz="4" w:space="0" w:color="auto"/>
            </w:tcBorders>
            <w:shd w:val="clear" w:color="auto" w:fill="auto"/>
            <w:noWrap/>
            <w:vAlign w:val="center"/>
            <w:hideMark/>
          </w:tcPr>
          <w:p w14:paraId="26AC3AB3" w14:textId="259D1C78" w:rsidR="00F102F6" w:rsidRPr="00602351" w:rsidRDefault="00F102F6" w:rsidP="002622DC">
            <w:pPr>
              <w:pStyle w:val="tabteksts"/>
              <w:tabs>
                <w:tab w:val="decimal" w:pos="436"/>
              </w:tabs>
              <w:jc w:val="right"/>
            </w:pPr>
          </w:p>
        </w:tc>
        <w:tc>
          <w:tcPr>
            <w:tcW w:w="1007" w:type="dxa"/>
            <w:tcBorders>
              <w:top w:val="single" w:sz="4" w:space="0" w:color="auto"/>
              <w:left w:val="nil"/>
              <w:bottom w:val="nil"/>
              <w:right w:val="single" w:sz="4" w:space="0" w:color="auto"/>
            </w:tcBorders>
            <w:shd w:val="clear" w:color="auto" w:fill="auto"/>
            <w:noWrap/>
            <w:vAlign w:val="center"/>
            <w:hideMark/>
          </w:tcPr>
          <w:p w14:paraId="3854B188" w14:textId="1759EC9B" w:rsidR="00F102F6" w:rsidRPr="00602351" w:rsidRDefault="00F102F6" w:rsidP="002622DC">
            <w:pPr>
              <w:pStyle w:val="tabteksts"/>
              <w:tabs>
                <w:tab w:val="decimal" w:pos="436"/>
              </w:tabs>
              <w:jc w:val="right"/>
            </w:pPr>
          </w:p>
        </w:tc>
        <w:tc>
          <w:tcPr>
            <w:tcW w:w="1007" w:type="dxa"/>
            <w:tcBorders>
              <w:top w:val="nil"/>
              <w:left w:val="nil"/>
              <w:bottom w:val="nil"/>
              <w:right w:val="double" w:sz="6" w:space="0" w:color="auto"/>
            </w:tcBorders>
            <w:shd w:val="clear" w:color="auto" w:fill="auto"/>
            <w:noWrap/>
            <w:vAlign w:val="center"/>
            <w:hideMark/>
          </w:tcPr>
          <w:p w14:paraId="242B7358" w14:textId="6FD6B4F2" w:rsidR="00F102F6" w:rsidRPr="00602351" w:rsidRDefault="00F102F6" w:rsidP="002622DC">
            <w:pPr>
              <w:pStyle w:val="tabteksts"/>
              <w:tabs>
                <w:tab w:val="decimal" w:pos="436"/>
              </w:tabs>
              <w:jc w:val="right"/>
            </w:pPr>
          </w:p>
        </w:tc>
      </w:tr>
      <w:tr w:rsidR="00F102F6" w:rsidRPr="00B177B8" w14:paraId="5D5B45C9" w14:textId="77777777" w:rsidTr="001D3936">
        <w:trPr>
          <w:trHeight w:val="63"/>
          <w:jc w:val="center"/>
        </w:trPr>
        <w:tc>
          <w:tcPr>
            <w:tcW w:w="3305" w:type="dxa"/>
            <w:tcBorders>
              <w:top w:val="nil"/>
              <w:left w:val="double" w:sz="6" w:space="0" w:color="auto"/>
              <w:bottom w:val="nil"/>
              <w:right w:val="single" w:sz="4" w:space="0" w:color="auto"/>
            </w:tcBorders>
            <w:shd w:val="clear" w:color="auto" w:fill="auto"/>
            <w:noWrap/>
            <w:vAlign w:val="bottom"/>
            <w:hideMark/>
          </w:tcPr>
          <w:p w14:paraId="12DCA1D9" w14:textId="77777777" w:rsidR="00F102F6" w:rsidRPr="00B177B8" w:rsidRDefault="00F102F6" w:rsidP="002622DC">
            <w:pPr>
              <w:spacing w:after="0"/>
              <w:ind w:firstLineChars="200" w:firstLine="400"/>
              <w:jc w:val="left"/>
              <w:rPr>
                <w:color w:val="000000"/>
                <w:sz w:val="20"/>
                <w:lang w:eastAsia="lv-LV"/>
              </w:rPr>
            </w:pPr>
            <w:r w:rsidRPr="00B177B8">
              <w:rPr>
                <w:color w:val="000000"/>
                <w:sz w:val="20"/>
                <w:lang w:eastAsia="lv-LV"/>
              </w:rPr>
              <w:t xml:space="preserve"> - nodarbinātības</w:t>
            </w:r>
          </w:p>
        </w:tc>
        <w:tc>
          <w:tcPr>
            <w:tcW w:w="840" w:type="dxa"/>
            <w:tcBorders>
              <w:top w:val="nil"/>
              <w:left w:val="nil"/>
              <w:bottom w:val="nil"/>
              <w:right w:val="double" w:sz="4" w:space="0" w:color="auto"/>
            </w:tcBorders>
            <w:shd w:val="clear" w:color="auto" w:fill="auto"/>
            <w:noWrap/>
            <w:vAlign w:val="bottom"/>
            <w:hideMark/>
          </w:tcPr>
          <w:p w14:paraId="3539B442"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nil"/>
              <w:right w:val="single" w:sz="4" w:space="0" w:color="auto"/>
            </w:tcBorders>
            <w:shd w:val="clear" w:color="auto" w:fill="auto"/>
            <w:noWrap/>
            <w:vAlign w:val="center"/>
          </w:tcPr>
          <w:p w14:paraId="01C52B30" w14:textId="77777777" w:rsidR="00F102F6" w:rsidRDefault="00F102F6" w:rsidP="002622DC">
            <w:pPr>
              <w:pStyle w:val="tabteksts"/>
              <w:tabs>
                <w:tab w:val="decimal" w:pos="436"/>
              </w:tabs>
              <w:jc w:val="right"/>
            </w:pPr>
            <w:r>
              <w:t>-0,2</w:t>
            </w:r>
          </w:p>
        </w:tc>
        <w:tc>
          <w:tcPr>
            <w:tcW w:w="1007" w:type="dxa"/>
            <w:tcBorders>
              <w:top w:val="nil"/>
              <w:left w:val="nil"/>
              <w:bottom w:val="nil"/>
              <w:right w:val="single" w:sz="4" w:space="0" w:color="auto"/>
            </w:tcBorders>
            <w:shd w:val="clear" w:color="auto" w:fill="auto"/>
            <w:noWrap/>
            <w:vAlign w:val="center"/>
          </w:tcPr>
          <w:p w14:paraId="04167070" w14:textId="77777777" w:rsidR="00F102F6" w:rsidRDefault="00F102F6" w:rsidP="002622DC">
            <w:pPr>
              <w:pStyle w:val="tabteksts"/>
              <w:tabs>
                <w:tab w:val="decimal" w:pos="436"/>
              </w:tabs>
              <w:jc w:val="right"/>
            </w:pPr>
            <w:r>
              <w:t>0,1</w:t>
            </w:r>
          </w:p>
        </w:tc>
        <w:tc>
          <w:tcPr>
            <w:tcW w:w="1007" w:type="dxa"/>
            <w:tcBorders>
              <w:top w:val="nil"/>
              <w:left w:val="nil"/>
              <w:bottom w:val="nil"/>
              <w:right w:val="single" w:sz="4" w:space="0" w:color="auto"/>
            </w:tcBorders>
            <w:shd w:val="clear" w:color="auto" w:fill="auto"/>
            <w:noWrap/>
            <w:vAlign w:val="center"/>
          </w:tcPr>
          <w:p w14:paraId="6BE41B4E" w14:textId="77777777" w:rsidR="00F102F6" w:rsidRDefault="00F102F6" w:rsidP="002622DC">
            <w:pPr>
              <w:pStyle w:val="tabteksts"/>
              <w:tabs>
                <w:tab w:val="decimal" w:pos="436"/>
              </w:tabs>
              <w:jc w:val="right"/>
            </w:pPr>
            <w:r>
              <w:t>0,4</w:t>
            </w:r>
          </w:p>
        </w:tc>
        <w:tc>
          <w:tcPr>
            <w:tcW w:w="1007" w:type="dxa"/>
            <w:tcBorders>
              <w:top w:val="nil"/>
              <w:left w:val="nil"/>
              <w:bottom w:val="nil"/>
              <w:right w:val="single" w:sz="4" w:space="0" w:color="auto"/>
            </w:tcBorders>
            <w:shd w:val="clear" w:color="auto" w:fill="auto"/>
            <w:noWrap/>
            <w:vAlign w:val="center"/>
          </w:tcPr>
          <w:p w14:paraId="28F86D06" w14:textId="77777777" w:rsidR="00F102F6" w:rsidRDefault="00F102F6" w:rsidP="002622DC">
            <w:pPr>
              <w:pStyle w:val="tabteksts"/>
              <w:tabs>
                <w:tab w:val="decimal" w:pos="436"/>
              </w:tabs>
              <w:jc w:val="right"/>
            </w:pPr>
            <w:r>
              <w:t>0,5</w:t>
            </w:r>
          </w:p>
        </w:tc>
        <w:tc>
          <w:tcPr>
            <w:tcW w:w="1007" w:type="dxa"/>
            <w:tcBorders>
              <w:top w:val="nil"/>
              <w:left w:val="nil"/>
              <w:bottom w:val="nil"/>
              <w:right w:val="double" w:sz="6" w:space="0" w:color="auto"/>
            </w:tcBorders>
            <w:shd w:val="clear" w:color="auto" w:fill="auto"/>
            <w:noWrap/>
            <w:vAlign w:val="center"/>
          </w:tcPr>
          <w:p w14:paraId="5D7B46E2" w14:textId="77777777" w:rsidR="00F102F6" w:rsidRDefault="00F102F6" w:rsidP="002622DC">
            <w:pPr>
              <w:pStyle w:val="tabteksts"/>
              <w:tabs>
                <w:tab w:val="decimal" w:pos="436"/>
              </w:tabs>
              <w:jc w:val="right"/>
            </w:pPr>
            <w:r>
              <w:t>0,5</w:t>
            </w:r>
          </w:p>
        </w:tc>
      </w:tr>
      <w:tr w:rsidR="00F102F6" w:rsidRPr="00B177B8" w14:paraId="5E637924" w14:textId="77777777" w:rsidTr="001D3936">
        <w:trPr>
          <w:trHeight w:val="63"/>
          <w:jc w:val="center"/>
        </w:trPr>
        <w:tc>
          <w:tcPr>
            <w:tcW w:w="3305" w:type="dxa"/>
            <w:tcBorders>
              <w:top w:val="nil"/>
              <w:left w:val="double" w:sz="6" w:space="0" w:color="auto"/>
              <w:bottom w:val="nil"/>
              <w:right w:val="single" w:sz="4" w:space="0" w:color="auto"/>
            </w:tcBorders>
            <w:shd w:val="clear" w:color="auto" w:fill="auto"/>
            <w:noWrap/>
            <w:vAlign w:val="bottom"/>
            <w:hideMark/>
          </w:tcPr>
          <w:p w14:paraId="11910943" w14:textId="77777777" w:rsidR="00F102F6" w:rsidRPr="00B177B8" w:rsidRDefault="00F102F6" w:rsidP="002622DC">
            <w:pPr>
              <w:spacing w:after="0"/>
              <w:ind w:firstLineChars="200" w:firstLine="400"/>
              <w:jc w:val="left"/>
              <w:rPr>
                <w:color w:val="000000"/>
                <w:sz w:val="20"/>
                <w:lang w:eastAsia="lv-LV"/>
              </w:rPr>
            </w:pPr>
            <w:r w:rsidRPr="00B177B8">
              <w:rPr>
                <w:color w:val="000000"/>
                <w:sz w:val="20"/>
                <w:lang w:eastAsia="lv-LV"/>
              </w:rPr>
              <w:t xml:space="preserve"> - kapitāla</w:t>
            </w:r>
          </w:p>
        </w:tc>
        <w:tc>
          <w:tcPr>
            <w:tcW w:w="840" w:type="dxa"/>
            <w:tcBorders>
              <w:top w:val="nil"/>
              <w:left w:val="nil"/>
              <w:bottom w:val="nil"/>
              <w:right w:val="double" w:sz="4" w:space="0" w:color="auto"/>
            </w:tcBorders>
            <w:shd w:val="clear" w:color="auto" w:fill="auto"/>
            <w:noWrap/>
            <w:vAlign w:val="bottom"/>
            <w:hideMark/>
          </w:tcPr>
          <w:p w14:paraId="041D0FA2"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nil"/>
              <w:right w:val="single" w:sz="4" w:space="0" w:color="auto"/>
            </w:tcBorders>
            <w:shd w:val="clear" w:color="auto" w:fill="auto"/>
            <w:noWrap/>
            <w:vAlign w:val="center"/>
          </w:tcPr>
          <w:p w14:paraId="69ED677B" w14:textId="77777777" w:rsidR="00F102F6" w:rsidRDefault="00F102F6" w:rsidP="002622DC">
            <w:pPr>
              <w:pStyle w:val="tabteksts"/>
              <w:tabs>
                <w:tab w:val="decimal" w:pos="436"/>
              </w:tabs>
              <w:jc w:val="right"/>
            </w:pPr>
            <w:r>
              <w:t>0,9</w:t>
            </w:r>
          </w:p>
        </w:tc>
        <w:tc>
          <w:tcPr>
            <w:tcW w:w="1007" w:type="dxa"/>
            <w:tcBorders>
              <w:top w:val="nil"/>
              <w:left w:val="nil"/>
              <w:bottom w:val="nil"/>
              <w:right w:val="single" w:sz="4" w:space="0" w:color="auto"/>
            </w:tcBorders>
            <w:shd w:val="clear" w:color="auto" w:fill="auto"/>
            <w:noWrap/>
            <w:vAlign w:val="center"/>
          </w:tcPr>
          <w:p w14:paraId="53A7CB46" w14:textId="77777777" w:rsidR="00F102F6" w:rsidRDefault="00F102F6" w:rsidP="002622DC">
            <w:pPr>
              <w:pStyle w:val="tabteksts"/>
              <w:tabs>
                <w:tab w:val="decimal" w:pos="436"/>
              </w:tabs>
              <w:jc w:val="right"/>
            </w:pPr>
            <w:r>
              <w:t>0,9</w:t>
            </w:r>
          </w:p>
        </w:tc>
        <w:tc>
          <w:tcPr>
            <w:tcW w:w="1007" w:type="dxa"/>
            <w:tcBorders>
              <w:top w:val="nil"/>
              <w:left w:val="nil"/>
              <w:bottom w:val="nil"/>
              <w:right w:val="single" w:sz="4" w:space="0" w:color="auto"/>
            </w:tcBorders>
            <w:shd w:val="clear" w:color="auto" w:fill="auto"/>
            <w:noWrap/>
            <w:vAlign w:val="center"/>
          </w:tcPr>
          <w:p w14:paraId="672E245A" w14:textId="77777777" w:rsidR="00F102F6" w:rsidRDefault="00F102F6" w:rsidP="002622DC">
            <w:pPr>
              <w:pStyle w:val="tabteksts"/>
              <w:tabs>
                <w:tab w:val="decimal" w:pos="436"/>
              </w:tabs>
              <w:jc w:val="right"/>
            </w:pPr>
            <w:r>
              <w:t>1,0</w:t>
            </w:r>
          </w:p>
        </w:tc>
        <w:tc>
          <w:tcPr>
            <w:tcW w:w="1007" w:type="dxa"/>
            <w:tcBorders>
              <w:top w:val="nil"/>
              <w:left w:val="nil"/>
              <w:bottom w:val="nil"/>
              <w:right w:val="single" w:sz="4" w:space="0" w:color="auto"/>
            </w:tcBorders>
            <w:shd w:val="clear" w:color="auto" w:fill="auto"/>
            <w:noWrap/>
            <w:vAlign w:val="center"/>
          </w:tcPr>
          <w:p w14:paraId="70358E6C" w14:textId="77777777" w:rsidR="00F102F6" w:rsidRDefault="00F102F6" w:rsidP="002622DC">
            <w:pPr>
              <w:pStyle w:val="tabteksts"/>
              <w:tabs>
                <w:tab w:val="decimal" w:pos="436"/>
              </w:tabs>
              <w:jc w:val="right"/>
            </w:pPr>
            <w:r>
              <w:t>1,1</w:t>
            </w:r>
          </w:p>
        </w:tc>
        <w:tc>
          <w:tcPr>
            <w:tcW w:w="1007" w:type="dxa"/>
            <w:tcBorders>
              <w:top w:val="nil"/>
              <w:left w:val="nil"/>
              <w:bottom w:val="nil"/>
              <w:right w:val="double" w:sz="6" w:space="0" w:color="auto"/>
            </w:tcBorders>
            <w:shd w:val="clear" w:color="auto" w:fill="auto"/>
            <w:noWrap/>
            <w:vAlign w:val="center"/>
          </w:tcPr>
          <w:p w14:paraId="51A5BD7E" w14:textId="77777777" w:rsidR="00F102F6" w:rsidRDefault="00F102F6" w:rsidP="002622DC">
            <w:pPr>
              <w:pStyle w:val="tabteksts"/>
              <w:tabs>
                <w:tab w:val="decimal" w:pos="436"/>
              </w:tabs>
              <w:jc w:val="right"/>
            </w:pPr>
            <w:r>
              <w:t>1,1</w:t>
            </w:r>
          </w:p>
        </w:tc>
      </w:tr>
      <w:tr w:rsidR="00F102F6" w:rsidRPr="00B177B8" w14:paraId="45B90660"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292B4946" w14:textId="77777777" w:rsidR="00F102F6" w:rsidRPr="00B177B8" w:rsidRDefault="00F102F6" w:rsidP="002622DC">
            <w:pPr>
              <w:spacing w:after="0"/>
              <w:ind w:firstLineChars="200" w:firstLine="400"/>
              <w:jc w:val="left"/>
              <w:rPr>
                <w:color w:val="000000"/>
                <w:sz w:val="20"/>
                <w:lang w:eastAsia="lv-LV"/>
              </w:rPr>
            </w:pPr>
            <w:r w:rsidRPr="00B177B8">
              <w:rPr>
                <w:color w:val="000000"/>
                <w:sz w:val="20"/>
                <w:lang w:eastAsia="lv-LV"/>
              </w:rPr>
              <w:t xml:space="preserve"> - kopējās ražošanas faktoru produktivitāte </w:t>
            </w:r>
          </w:p>
        </w:tc>
        <w:tc>
          <w:tcPr>
            <w:tcW w:w="840" w:type="dxa"/>
            <w:tcBorders>
              <w:top w:val="nil"/>
              <w:left w:val="nil"/>
              <w:bottom w:val="single" w:sz="4" w:space="0" w:color="auto"/>
              <w:right w:val="double" w:sz="4" w:space="0" w:color="auto"/>
            </w:tcBorders>
            <w:shd w:val="clear" w:color="auto" w:fill="auto"/>
            <w:noWrap/>
            <w:vAlign w:val="bottom"/>
            <w:hideMark/>
          </w:tcPr>
          <w:p w14:paraId="7CA6CB2F"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single" w:sz="4" w:space="0" w:color="auto"/>
            </w:tcBorders>
            <w:shd w:val="clear" w:color="auto" w:fill="auto"/>
            <w:noWrap/>
            <w:vAlign w:val="center"/>
          </w:tcPr>
          <w:p w14:paraId="25CDB23A" w14:textId="77777777" w:rsidR="00F102F6" w:rsidRDefault="00F102F6" w:rsidP="002622DC">
            <w:pPr>
              <w:pStyle w:val="tabteksts"/>
              <w:tabs>
                <w:tab w:val="decimal" w:pos="436"/>
              </w:tabs>
              <w:jc w:val="right"/>
            </w:pPr>
            <w:r>
              <w:t>1,8</w:t>
            </w:r>
          </w:p>
        </w:tc>
        <w:tc>
          <w:tcPr>
            <w:tcW w:w="1007" w:type="dxa"/>
            <w:tcBorders>
              <w:top w:val="nil"/>
              <w:left w:val="nil"/>
              <w:bottom w:val="nil"/>
              <w:right w:val="single" w:sz="4" w:space="0" w:color="auto"/>
            </w:tcBorders>
            <w:shd w:val="clear" w:color="auto" w:fill="auto"/>
            <w:noWrap/>
            <w:vAlign w:val="center"/>
          </w:tcPr>
          <w:p w14:paraId="5F3B2120" w14:textId="77777777" w:rsidR="00F102F6" w:rsidRDefault="00F102F6" w:rsidP="002622DC">
            <w:pPr>
              <w:pStyle w:val="tabteksts"/>
              <w:tabs>
                <w:tab w:val="decimal" w:pos="436"/>
              </w:tabs>
              <w:jc w:val="right"/>
            </w:pPr>
            <w:r>
              <w:t>2,2</w:t>
            </w:r>
          </w:p>
        </w:tc>
        <w:tc>
          <w:tcPr>
            <w:tcW w:w="1007" w:type="dxa"/>
            <w:tcBorders>
              <w:top w:val="nil"/>
              <w:left w:val="nil"/>
              <w:bottom w:val="nil"/>
              <w:right w:val="single" w:sz="4" w:space="0" w:color="auto"/>
            </w:tcBorders>
            <w:shd w:val="clear" w:color="auto" w:fill="auto"/>
            <w:noWrap/>
            <w:vAlign w:val="center"/>
          </w:tcPr>
          <w:p w14:paraId="7A72C275" w14:textId="77777777" w:rsidR="00F102F6" w:rsidRDefault="00F102F6" w:rsidP="002622DC">
            <w:pPr>
              <w:pStyle w:val="tabteksts"/>
              <w:tabs>
                <w:tab w:val="decimal" w:pos="436"/>
              </w:tabs>
              <w:jc w:val="right"/>
            </w:pPr>
            <w:r>
              <w:t>2,4</w:t>
            </w:r>
          </w:p>
        </w:tc>
        <w:tc>
          <w:tcPr>
            <w:tcW w:w="1007" w:type="dxa"/>
            <w:tcBorders>
              <w:top w:val="nil"/>
              <w:left w:val="nil"/>
              <w:bottom w:val="nil"/>
              <w:right w:val="single" w:sz="4" w:space="0" w:color="auto"/>
            </w:tcBorders>
            <w:shd w:val="clear" w:color="auto" w:fill="auto"/>
            <w:noWrap/>
            <w:vAlign w:val="center"/>
          </w:tcPr>
          <w:p w14:paraId="1F9AE9AF" w14:textId="77777777" w:rsidR="00F102F6" w:rsidRDefault="00F102F6" w:rsidP="002622DC">
            <w:pPr>
              <w:pStyle w:val="tabteksts"/>
              <w:tabs>
                <w:tab w:val="decimal" w:pos="436"/>
              </w:tabs>
              <w:jc w:val="right"/>
            </w:pPr>
            <w:r>
              <w:t>2,5</w:t>
            </w:r>
          </w:p>
        </w:tc>
        <w:tc>
          <w:tcPr>
            <w:tcW w:w="1007" w:type="dxa"/>
            <w:tcBorders>
              <w:top w:val="nil"/>
              <w:left w:val="nil"/>
              <w:bottom w:val="nil"/>
              <w:right w:val="double" w:sz="6" w:space="0" w:color="auto"/>
            </w:tcBorders>
            <w:shd w:val="clear" w:color="auto" w:fill="auto"/>
            <w:noWrap/>
            <w:vAlign w:val="center"/>
          </w:tcPr>
          <w:p w14:paraId="150396B3" w14:textId="77777777" w:rsidR="00F102F6" w:rsidRDefault="00F102F6" w:rsidP="002622DC">
            <w:pPr>
              <w:pStyle w:val="tabteksts"/>
              <w:tabs>
                <w:tab w:val="decimal" w:pos="436"/>
              </w:tabs>
              <w:jc w:val="right"/>
            </w:pPr>
            <w:r>
              <w:t>2,5</w:t>
            </w:r>
          </w:p>
        </w:tc>
      </w:tr>
      <w:tr w:rsidR="00F102F6" w:rsidRPr="00B177B8" w14:paraId="741EE292"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vAlign w:val="bottom"/>
            <w:hideMark/>
          </w:tcPr>
          <w:p w14:paraId="6636774D"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6. Starpība starp faktisko un potenciālo IKP (% no potenciālā IKP)</w:t>
            </w:r>
          </w:p>
        </w:tc>
        <w:tc>
          <w:tcPr>
            <w:tcW w:w="840" w:type="dxa"/>
            <w:tcBorders>
              <w:top w:val="nil"/>
              <w:left w:val="nil"/>
              <w:bottom w:val="single" w:sz="4" w:space="0" w:color="auto"/>
              <w:right w:val="double" w:sz="4" w:space="0" w:color="auto"/>
            </w:tcBorders>
            <w:shd w:val="clear" w:color="auto" w:fill="auto"/>
            <w:noWrap/>
            <w:vAlign w:val="center"/>
            <w:hideMark/>
          </w:tcPr>
          <w:p w14:paraId="528BAA6D" w14:textId="77777777" w:rsidR="00F102F6" w:rsidRPr="00B177B8" w:rsidRDefault="00F102F6" w:rsidP="002622DC">
            <w:pPr>
              <w:spacing w:after="0"/>
              <w:ind w:firstLine="0"/>
              <w:jc w:val="righ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single" w:sz="4" w:space="0" w:color="auto"/>
            </w:tcBorders>
            <w:shd w:val="clear" w:color="auto" w:fill="auto"/>
            <w:noWrap/>
            <w:vAlign w:val="center"/>
          </w:tcPr>
          <w:p w14:paraId="5315EF30" w14:textId="77777777" w:rsidR="00F102F6" w:rsidRPr="00602351" w:rsidRDefault="00F102F6" w:rsidP="002622DC">
            <w:pPr>
              <w:pStyle w:val="tabteksts"/>
              <w:tabs>
                <w:tab w:val="decimal" w:pos="436"/>
              </w:tabs>
              <w:jc w:val="right"/>
            </w:pPr>
            <w:r w:rsidRPr="00602351">
              <w:t>-0,1</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5EB3E" w14:textId="77777777" w:rsidR="00F102F6" w:rsidRPr="00602351" w:rsidRDefault="00F102F6" w:rsidP="002622DC">
            <w:pPr>
              <w:pStyle w:val="tabteksts"/>
              <w:tabs>
                <w:tab w:val="decimal" w:pos="436"/>
              </w:tabs>
              <w:jc w:val="right"/>
            </w:pPr>
            <w:r w:rsidRPr="00602351">
              <w:t>0,6</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2B9E6518" w14:textId="77777777" w:rsidR="00F102F6" w:rsidRPr="00602351" w:rsidRDefault="00F102F6" w:rsidP="002622DC">
            <w:pPr>
              <w:pStyle w:val="tabteksts"/>
              <w:tabs>
                <w:tab w:val="decimal" w:pos="436"/>
              </w:tabs>
              <w:jc w:val="right"/>
            </w:pPr>
            <w:r w:rsidRPr="00602351">
              <w:t>0,7</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76990CB4" w14:textId="77777777" w:rsidR="00F102F6" w:rsidRPr="00602351" w:rsidRDefault="00F102F6" w:rsidP="002622DC">
            <w:pPr>
              <w:pStyle w:val="tabteksts"/>
              <w:tabs>
                <w:tab w:val="decimal" w:pos="436"/>
              </w:tabs>
              <w:jc w:val="right"/>
            </w:pPr>
            <w:r w:rsidRPr="00602351">
              <w:t>0,6</w:t>
            </w:r>
          </w:p>
        </w:tc>
        <w:tc>
          <w:tcPr>
            <w:tcW w:w="1007"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8893E10" w14:textId="77777777" w:rsidR="00F102F6" w:rsidRPr="00602351" w:rsidRDefault="00F102F6" w:rsidP="002622DC">
            <w:pPr>
              <w:pStyle w:val="tabteksts"/>
              <w:tabs>
                <w:tab w:val="decimal" w:pos="436"/>
              </w:tabs>
              <w:jc w:val="right"/>
            </w:pPr>
            <w:r w:rsidRPr="00602351">
              <w:t>0,3</w:t>
            </w:r>
          </w:p>
        </w:tc>
      </w:tr>
      <w:tr w:rsidR="00F102F6" w:rsidRPr="00A15780" w14:paraId="184B786B"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5FE6F76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7. Budžeta bilances cikliskā komponente</w:t>
            </w:r>
          </w:p>
        </w:tc>
        <w:tc>
          <w:tcPr>
            <w:tcW w:w="840" w:type="dxa"/>
            <w:tcBorders>
              <w:top w:val="nil"/>
              <w:left w:val="nil"/>
              <w:bottom w:val="single" w:sz="4" w:space="0" w:color="auto"/>
              <w:right w:val="double" w:sz="6" w:space="0" w:color="auto"/>
            </w:tcBorders>
            <w:shd w:val="clear" w:color="auto" w:fill="auto"/>
            <w:noWrap/>
            <w:vAlign w:val="bottom"/>
            <w:hideMark/>
          </w:tcPr>
          <w:p w14:paraId="3AAEB1C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single" w:sz="4" w:space="0" w:color="auto"/>
            </w:tcBorders>
            <w:shd w:val="clear" w:color="auto" w:fill="auto"/>
            <w:noWrap/>
            <w:vAlign w:val="center"/>
            <w:hideMark/>
          </w:tcPr>
          <w:p w14:paraId="5AE77E21" w14:textId="77777777" w:rsidR="00F102F6" w:rsidRPr="00602351" w:rsidRDefault="00F102F6" w:rsidP="002622DC">
            <w:pPr>
              <w:pStyle w:val="tabteksts"/>
              <w:tabs>
                <w:tab w:val="decimal" w:pos="436"/>
              </w:tabs>
              <w:jc w:val="right"/>
            </w:pPr>
            <w:r w:rsidRPr="00602351">
              <w:t>0,0</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DDE9977" w14:textId="77777777" w:rsidR="00F102F6" w:rsidRPr="00602351" w:rsidRDefault="00F102F6" w:rsidP="002622DC">
            <w:pPr>
              <w:pStyle w:val="tabteksts"/>
              <w:tabs>
                <w:tab w:val="decimal" w:pos="436"/>
              </w:tabs>
              <w:jc w:val="right"/>
            </w:pPr>
            <w:r w:rsidRPr="00602351">
              <w:t>0,2</w:t>
            </w:r>
          </w:p>
        </w:tc>
        <w:tc>
          <w:tcPr>
            <w:tcW w:w="1007" w:type="dxa"/>
            <w:tcBorders>
              <w:top w:val="nil"/>
              <w:left w:val="nil"/>
              <w:bottom w:val="single" w:sz="4" w:space="0" w:color="auto"/>
              <w:right w:val="single" w:sz="4" w:space="0" w:color="auto"/>
            </w:tcBorders>
            <w:shd w:val="clear" w:color="auto" w:fill="auto"/>
            <w:noWrap/>
            <w:vAlign w:val="center"/>
            <w:hideMark/>
          </w:tcPr>
          <w:p w14:paraId="5FB2767F" w14:textId="77777777" w:rsidR="00F102F6" w:rsidRPr="00602351" w:rsidRDefault="00F102F6" w:rsidP="002622DC">
            <w:pPr>
              <w:pStyle w:val="tabteksts"/>
              <w:tabs>
                <w:tab w:val="decimal" w:pos="436"/>
              </w:tabs>
              <w:jc w:val="right"/>
            </w:pPr>
            <w:r w:rsidRPr="00602351">
              <w:t>0,2</w:t>
            </w:r>
          </w:p>
        </w:tc>
        <w:tc>
          <w:tcPr>
            <w:tcW w:w="1007" w:type="dxa"/>
            <w:tcBorders>
              <w:top w:val="nil"/>
              <w:left w:val="nil"/>
              <w:bottom w:val="single" w:sz="4" w:space="0" w:color="auto"/>
              <w:right w:val="single" w:sz="4" w:space="0" w:color="auto"/>
            </w:tcBorders>
            <w:shd w:val="clear" w:color="auto" w:fill="auto"/>
            <w:noWrap/>
            <w:vAlign w:val="center"/>
            <w:hideMark/>
          </w:tcPr>
          <w:p w14:paraId="5C78C12C" w14:textId="77777777" w:rsidR="00F102F6" w:rsidRPr="00602351" w:rsidRDefault="00F102F6" w:rsidP="002622DC">
            <w:pPr>
              <w:pStyle w:val="tabteksts"/>
              <w:tabs>
                <w:tab w:val="decimal" w:pos="436"/>
              </w:tabs>
              <w:jc w:val="right"/>
            </w:pPr>
            <w:r w:rsidRPr="00602351">
              <w:t>0,2</w:t>
            </w:r>
          </w:p>
        </w:tc>
        <w:tc>
          <w:tcPr>
            <w:tcW w:w="1007" w:type="dxa"/>
            <w:tcBorders>
              <w:top w:val="nil"/>
              <w:left w:val="single" w:sz="4" w:space="0" w:color="auto"/>
              <w:bottom w:val="single" w:sz="4" w:space="0" w:color="auto"/>
              <w:right w:val="double" w:sz="6" w:space="0" w:color="auto"/>
            </w:tcBorders>
            <w:shd w:val="clear" w:color="auto" w:fill="auto"/>
            <w:noWrap/>
            <w:vAlign w:val="center"/>
            <w:hideMark/>
          </w:tcPr>
          <w:p w14:paraId="1F97A96D" w14:textId="77777777" w:rsidR="00F102F6" w:rsidRPr="00602351" w:rsidRDefault="00F102F6" w:rsidP="002622DC">
            <w:pPr>
              <w:pStyle w:val="tabteksts"/>
              <w:tabs>
                <w:tab w:val="decimal" w:pos="436"/>
              </w:tabs>
              <w:jc w:val="right"/>
            </w:pPr>
            <w:r w:rsidRPr="00602351">
              <w:t>0,1</w:t>
            </w:r>
          </w:p>
        </w:tc>
      </w:tr>
      <w:tr w:rsidR="00F102F6" w:rsidRPr="00B177B8" w14:paraId="0E0CC65A"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22574EB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8. Cikliski koriģētā bilance (2-7)</w:t>
            </w:r>
          </w:p>
        </w:tc>
        <w:tc>
          <w:tcPr>
            <w:tcW w:w="840" w:type="dxa"/>
            <w:tcBorders>
              <w:top w:val="nil"/>
              <w:left w:val="nil"/>
              <w:bottom w:val="single" w:sz="4" w:space="0" w:color="auto"/>
              <w:right w:val="double" w:sz="6" w:space="0" w:color="auto"/>
            </w:tcBorders>
            <w:shd w:val="clear" w:color="auto" w:fill="auto"/>
            <w:noWrap/>
            <w:vAlign w:val="bottom"/>
            <w:hideMark/>
          </w:tcPr>
          <w:p w14:paraId="0A7415B5"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nil"/>
            </w:tcBorders>
            <w:shd w:val="clear" w:color="auto" w:fill="auto"/>
            <w:noWrap/>
            <w:vAlign w:val="center"/>
            <w:hideMark/>
          </w:tcPr>
          <w:p w14:paraId="227175F5" w14:textId="77777777" w:rsidR="00F102F6" w:rsidRPr="00602351" w:rsidRDefault="00F102F6" w:rsidP="002622DC">
            <w:pPr>
              <w:pStyle w:val="tabteksts"/>
              <w:tabs>
                <w:tab w:val="decimal" w:pos="436"/>
              </w:tabs>
              <w:jc w:val="right"/>
            </w:pPr>
            <w:r w:rsidRPr="00602351">
              <w:t>-0,9</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5C6EA21" w14:textId="77777777" w:rsidR="00F102F6" w:rsidRPr="00602351" w:rsidRDefault="00F102F6" w:rsidP="002622DC">
            <w:pPr>
              <w:pStyle w:val="tabteksts"/>
              <w:tabs>
                <w:tab w:val="decimal" w:pos="436"/>
              </w:tabs>
              <w:jc w:val="right"/>
            </w:pPr>
            <w:r w:rsidRPr="00602351">
              <w:t>-1,2</w:t>
            </w:r>
          </w:p>
        </w:tc>
        <w:tc>
          <w:tcPr>
            <w:tcW w:w="1007" w:type="dxa"/>
            <w:tcBorders>
              <w:top w:val="nil"/>
              <w:left w:val="nil"/>
              <w:bottom w:val="single" w:sz="4" w:space="0" w:color="auto"/>
              <w:right w:val="single" w:sz="4" w:space="0" w:color="auto"/>
            </w:tcBorders>
            <w:shd w:val="clear" w:color="auto" w:fill="auto"/>
            <w:noWrap/>
            <w:vAlign w:val="center"/>
            <w:hideMark/>
          </w:tcPr>
          <w:p w14:paraId="6B10E1AE" w14:textId="77777777" w:rsidR="00F102F6" w:rsidRPr="00602351" w:rsidRDefault="00F102F6" w:rsidP="002622DC">
            <w:pPr>
              <w:pStyle w:val="tabteksts"/>
              <w:tabs>
                <w:tab w:val="decimal" w:pos="436"/>
              </w:tabs>
              <w:jc w:val="right"/>
            </w:pPr>
            <w:r w:rsidRPr="00602351">
              <w:t>-1,0</w:t>
            </w:r>
          </w:p>
        </w:tc>
        <w:tc>
          <w:tcPr>
            <w:tcW w:w="1007" w:type="dxa"/>
            <w:tcBorders>
              <w:top w:val="nil"/>
              <w:left w:val="nil"/>
              <w:bottom w:val="single" w:sz="4" w:space="0" w:color="auto"/>
              <w:right w:val="single" w:sz="4" w:space="0" w:color="auto"/>
            </w:tcBorders>
            <w:shd w:val="clear" w:color="auto" w:fill="auto"/>
            <w:noWrap/>
            <w:vAlign w:val="center"/>
            <w:hideMark/>
          </w:tcPr>
          <w:p w14:paraId="01AECD6C" w14:textId="77777777" w:rsidR="00F102F6" w:rsidRPr="00602351" w:rsidRDefault="00F102F6" w:rsidP="002622DC">
            <w:pPr>
              <w:pStyle w:val="tabteksts"/>
              <w:tabs>
                <w:tab w:val="decimal" w:pos="436"/>
              </w:tabs>
              <w:jc w:val="right"/>
            </w:pPr>
            <w:r w:rsidRPr="00602351">
              <w:t>-0,9</w:t>
            </w:r>
          </w:p>
        </w:tc>
        <w:tc>
          <w:tcPr>
            <w:tcW w:w="1007" w:type="dxa"/>
            <w:tcBorders>
              <w:top w:val="nil"/>
              <w:left w:val="nil"/>
              <w:bottom w:val="single" w:sz="4" w:space="0" w:color="auto"/>
              <w:right w:val="double" w:sz="6" w:space="0" w:color="auto"/>
            </w:tcBorders>
            <w:shd w:val="clear" w:color="auto" w:fill="auto"/>
            <w:noWrap/>
            <w:vAlign w:val="center"/>
            <w:hideMark/>
          </w:tcPr>
          <w:p w14:paraId="2A0B496E" w14:textId="77777777" w:rsidR="00F102F6" w:rsidRPr="00602351" w:rsidRDefault="00F102F6" w:rsidP="002622DC">
            <w:pPr>
              <w:pStyle w:val="tabteksts"/>
              <w:tabs>
                <w:tab w:val="decimal" w:pos="436"/>
              </w:tabs>
              <w:jc w:val="right"/>
            </w:pPr>
            <w:r w:rsidRPr="00602351">
              <w:t>-0,8</w:t>
            </w:r>
          </w:p>
        </w:tc>
      </w:tr>
      <w:tr w:rsidR="00F102F6" w:rsidRPr="00B177B8" w14:paraId="09BDA7F0" w14:textId="77777777" w:rsidTr="001D3936">
        <w:trPr>
          <w:trHeight w:val="63"/>
          <w:jc w:val="center"/>
        </w:trPr>
        <w:tc>
          <w:tcPr>
            <w:tcW w:w="3305" w:type="dxa"/>
            <w:tcBorders>
              <w:top w:val="nil"/>
              <w:left w:val="double" w:sz="6" w:space="0" w:color="auto"/>
              <w:bottom w:val="single" w:sz="4" w:space="0" w:color="auto"/>
              <w:right w:val="single" w:sz="4" w:space="0" w:color="auto"/>
            </w:tcBorders>
            <w:shd w:val="clear" w:color="auto" w:fill="auto"/>
            <w:noWrap/>
            <w:vAlign w:val="bottom"/>
            <w:hideMark/>
          </w:tcPr>
          <w:p w14:paraId="1B221675"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9. Cikliski koriģētā primārā bilance (8+3)</w:t>
            </w:r>
          </w:p>
        </w:tc>
        <w:tc>
          <w:tcPr>
            <w:tcW w:w="840" w:type="dxa"/>
            <w:tcBorders>
              <w:top w:val="nil"/>
              <w:left w:val="nil"/>
              <w:bottom w:val="single" w:sz="4" w:space="0" w:color="auto"/>
              <w:right w:val="double" w:sz="6" w:space="0" w:color="auto"/>
            </w:tcBorders>
            <w:shd w:val="clear" w:color="auto" w:fill="auto"/>
            <w:noWrap/>
            <w:vAlign w:val="bottom"/>
            <w:hideMark/>
          </w:tcPr>
          <w:p w14:paraId="05C43CF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single" w:sz="4" w:space="0" w:color="auto"/>
              <w:right w:val="single" w:sz="4" w:space="0" w:color="auto"/>
            </w:tcBorders>
            <w:shd w:val="clear" w:color="auto" w:fill="auto"/>
            <w:noWrap/>
            <w:vAlign w:val="center"/>
            <w:hideMark/>
          </w:tcPr>
          <w:p w14:paraId="54641EAE" w14:textId="77777777" w:rsidR="00F102F6" w:rsidRPr="00602351" w:rsidRDefault="00F102F6" w:rsidP="002622DC">
            <w:pPr>
              <w:pStyle w:val="tabteksts"/>
              <w:tabs>
                <w:tab w:val="decimal" w:pos="436"/>
              </w:tabs>
              <w:jc w:val="right"/>
            </w:pPr>
            <w:r w:rsidRPr="00602351">
              <w:t>0,7</w:t>
            </w:r>
          </w:p>
        </w:tc>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FF9ED94" w14:textId="77777777" w:rsidR="00F102F6" w:rsidRPr="00602351" w:rsidRDefault="00F102F6" w:rsidP="002622DC">
            <w:pPr>
              <w:pStyle w:val="tabteksts"/>
              <w:tabs>
                <w:tab w:val="decimal" w:pos="436"/>
              </w:tabs>
              <w:jc w:val="right"/>
            </w:pPr>
            <w:r w:rsidRPr="00602351">
              <w:t>0,4</w:t>
            </w:r>
          </w:p>
        </w:tc>
        <w:tc>
          <w:tcPr>
            <w:tcW w:w="1007" w:type="dxa"/>
            <w:tcBorders>
              <w:top w:val="nil"/>
              <w:left w:val="nil"/>
              <w:bottom w:val="single" w:sz="4" w:space="0" w:color="auto"/>
              <w:right w:val="single" w:sz="4" w:space="0" w:color="auto"/>
            </w:tcBorders>
            <w:shd w:val="clear" w:color="auto" w:fill="auto"/>
            <w:noWrap/>
            <w:vAlign w:val="center"/>
            <w:hideMark/>
          </w:tcPr>
          <w:p w14:paraId="521BFD9D" w14:textId="77777777" w:rsidR="00F102F6" w:rsidRPr="00602351" w:rsidRDefault="00F102F6" w:rsidP="002622DC">
            <w:pPr>
              <w:pStyle w:val="tabteksts"/>
              <w:tabs>
                <w:tab w:val="decimal" w:pos="436"/>
              </w:tabs>
              <w:jc w:val="right"/>
            </w:pPr>
            <w:r w:rsidRPr="00602351">
              <w:t>0,2</w:t>
            </w:r>
          </w:p>
        </w:tc>
        <w:tc>
          <w:tcPr>
            <w:tcW w:w="1007" w:type="dxa"/>
            <w:tcBorders>
              <w:top w:val="nil"/>
              <w:left w:val="nil"/>
              <w:bottom w:val="single" w:sz="4" w:space="0" w:color="auto"/>
              <w:right w:val="single" w:sz="4" w:space="0" w:color="auto"/>
            </w:tcBorders>
            <w:shd w:val="clear" w:color="auto" w:fill="auto"/>
            <w:noWrap/>
            <w:vAlign w:val="center"/>
            <w:hideMark/>
          </w:tcPr>
          <w:p w14:paraId="16DD4861" w14:textId="77777777" w:rsidR="00F102F6" w:rsidRPr="00602351" w:rsidRDefault="00F102F6" w:rsidP="002622DC">
            <w:pPr>
              <w:pStyle w:val="tabteksts"/>
              <w:tabs>
                <w:tab w:val="decimal" w:pos="436"/>
              </w:tabs>
              <w:jc w:val="right"/>
            </w:pPr>
            <w:r w:rsidRPr="00602351">
              <w:t>0,3</w:t>
            </w:r>
          </w:p>
        </w:tc>
        <w:tc>
          <w:tcPr>
            <w:tcW w:w="1007" w:type="dxa"/>
            <w:tcBorders>
              <w:top w:val="nil"/>
              <w:left w:val="single" w:sz="4" w:space="0" w:color="auto"/>
              <w:bottom w:val="single" w:sz="4" w:space="0" w:color="auto"/>
              <w:right w:val="double" w:sz="6" w:space="0" w:color="auto"/>
            </w:tcBorders>
            <w:shd w:val="clear" w:color="auto" w:fill="auto"/>
            <w:noWrap/>
            <w:vAlign w:val="center"/>
            <w:hideMark/>
          </w:tcPr>
          <w:p w14:paraId="422E6AA2" w14:textId="77777777" w:rsidR="00F102F6" w:rsidRPr="00602351" w:rsidRDefault="00F102F6" w:rsidP="002622DC">
            <w:pPr>
              <w:pStyle w:val="tabteksts"/>
              <w:tabs>
                <w:tab w:val="decimal" w:pos="436"/>
              </w:tabs>
              <w:jc w:val="right"/>
            </w:pPr>
            <w:r w:rsidRPr="00602351">
              <w:t>0,3</w:t>
            </w:r>
          </w:p>
        </w:tc>
      </w:tr>
      <w:tr w:rsidR="00F102F6" w:rsidRPr="00B177B8" w14:paraId="365A8C4B" w14:textId="77777777" w:rsidTr="001D3936">
        <w:trPr>
          <w:trHeight w:val="63"/>
          <w:jc w:val="center"/>
        </w:trPr>
        <w:tc>
          <w:tcPr>
            <w:tcW w:w="3305" w:type="dxa"/>
            <w:tcBorders>
              <w:top w:val="nil"/>
              <w:left w:val="double" w:sz="6" w:space="0" w:color="auto"/>
              <w:bottom w:val="double" w:sz="6" w:space="0" w:color="auto"/>
              <w:right w:val="single" w:sz="4" w:space="0" w:color="auto"/>
            </w:tcBorders>
            <w:shd w:val="clear" w:color="auto" w:fill="auto"/>
            <w:noWrap/>
            <w:vAlign w:val="bottom"/>
            <w:hideMark/>
          </w:tcPr>
          <w:p w14:paraId="4BE068EB"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10. Strukturālā bilance (8-4)</w:t>
            </w:r>
          </w:p>
        </w:tc>
        <w:tc>
          <w:tcPr>
            <w:tcW w:w="840" w:type="dxa"/>
            <w:tcBorders>
              <w:top w:val="nil"/>
              <w:left w:val="nil"/>
              <w:bottom w:val="double" w:sz="6" w:space="0" w:color="auto"/>
              <w:right w:val="double" w:sz="6" w:space="0" w:color="auto"/>
            </w:tcBorders>
            <w:shd w:val="clear" w:color="auto" w:fill="auto"/>
            <w:noWrap/>
            <w:vAlign w:val="bottom"/>
            <w:hideMark/>
          </w:tcPr>
          <w:p w14:paraId="7B25EB31" w14:textId="77777777" w:rsidR="00F102F6" w:rsidRPr="00B177B8" w:rsidRDefault="00F102F6" w:rsidP="002622DC">
            <w:pPr>
              <w:spacing w:after="0"/>
              <w:ind w:firstLine="0"/>
              <w:jc w:val="left"/>
              <w:rPr>
                <w:color w:val="000000"/>
                <w:sz w:val="20"/>
                <w:lang w:eastAsia="lv-LV"/>
              </w:rPr>
            </w:pPr>
            <w:r w:rsidRPr="00B177B8">
              <w:rPr>
                <w:color w:val="000000"/>
                <w:sz w:val="20"/>
                <w:lang w:eastAsia="lv-LV"/>
              </w:rPr>
              <w:t> </w:t>
            </w:r>
          </w:p>
        </w:tc>
        <w:tc>
          <w:tcPr>
            <w:tcW w:w="767" w:type="dxa"/>
            <w:tcBorders>
              <w:top w:val="nil"/>
              <w:left w:val="double" w:sz="6" w:space="0" w:color="auto"/>
              <w:bottom w:val="double" w:sz="6" w:space="0" w:color="auto"/>
              <w:right w:val="single" w:sz="4" w:space="0" w:color="auto"/>
            </w:tcBorders>
            <w:shd w:val="clear" w:color="auto" w:fill="auto"/>
            <w:noWrap/>
            <w:vAlign w:val="center"/>
            <w:hideMark/>
          </w:tcPr>
          <w:p w14:paraId="78BC9F3F" w14:textId="77777777" w:rsidR="00F102F6" w:rsidRPr="00602351" w:rsidRDefault="00F102F6" w:rsidP="002622DC">
            <w:pPr>
              <w:pStyle w:val="tabteksts"/>
              <w:tabs>
                <w:tab w:val="decimal" w:pos="436"/>
              </w:tabs>
              <w:jc w:val="right"/>
            </w:pPr>
            <w:r w:rsidRPr="00602351">
              <w:t>-0,9</w:t>
            </w:r>
          </w:p>
        </w:tc>
        <w:tc>
          <w:tcPr>
            <w:tcW w:w="1007" w:type="dxa"/>
            <w:tcBorders>
              <w:top w:val="single" w:sz="4" w:space="0" w:color="auto"/>
              <w:left w:val="nil"/>
              <w:bottom w:val="double" w:sz="6" w:space="0" w:color="auto"/>
              <w:right w:val="single" w:sz="4" w:space="0" w:color="auto"/>
            </w:tcBorders>
            <w:shd w:val="clear" w:color="auto" w:fill="auto"/>
            <w:noWrap/>
            <w:vAlign w:val="center"/>
            <w:hideMark/>
          </w:tcPr>
          <w:p w14:paraId="77363C2E" w14:textId="77777777" w:rsidR="00F102F6" w:rsidRPr="00602351" w:rsidRDefault="00F102F6" w:rsidP="002622DC">
            <w:pPr>
              <w:pStyle w:val="tabteksts"/>
              <w:tabs>
                <w:tab w:val="decimal" w:pos="436"/>
              </w:tabs>
              <w:jc w:val="right"/>
            </w:pPr>
            <w:r w:rsidRPr="00602351">
              <w:t>-1,2</w:t>
            </w:r>
          </w:p>
        </w:tc>
        <w:tc>
          <w:tcPr>
            <w:tcW w:w="1007" w:type="dxa"/>
            <w:tcBorders>
              <w:top w:val="single" w:sz="4" w:space="0" w:color="auto"/>
              <w:left w:val="nil"/>
              <w:bottom w:val="double" w:sz="6" w:space="0" w:color="auto"/>
              <w:right w:val="single" w:sz="4" w:space="0" w:color="auto"/>
            </w:tcBorders>
            <w:shd w:val="clear" w:color="auto" w:fill="auto"/>
            <w:noWrap/>
            <w:vAlign w:val="center"/>
            <w:hideMark/>
          </w:tcPr>
          <w:p w14:paraId="76AF9A22" w14:textId="77777777" w:rsidR="00F102F6" w:rsidRPr="00602351" w:rsidRDefault="00F102F6" w:rsidP="002622DC">
            <w:pPr>
              <w:pStyle w:val="tabteksts"/>
              <w:tabs>
                <w:tab w:val="decimal" w:pos="436"/>
              </w:tabs>
              <w:jc w:val="right"/>
            </w:pPr>
            <w:r w:rsidRPr="00602351">
              <w:t>-1,0</w:t>
            </w:r>
          </w:p>
        </w:tc>
        <w:tc>
          <w:tcPr>
            <w:tcW w:w="1007" w:type="dxa"/>
            <w:tcBorders>
              <w:top w:val="single" w:sz="4" w:space="0" w:color="auto"/>
              <w:left w:val="nil"/>
              <w:bottom w:val="double" w:sz="6" w:space="0" w:color="auto"/>
              <w:right w:val="single" w:sz="4" w:space="0" w:color="auto"/>
            </w:tcBorders>
            <w:shd w:val="clear" w:color="auto" w:fill="auto"/>
            <w:noWrap/>
            <w:vAlign w:val="center"/>
            <w:hideMark/>
          </w:tcPr>
          <w:p w14:paraId="49B8FA12" w14:textId="77777777" w:rsidR="00F102F6" w:rsidRPr="00602351" w:rsidRDefault="00F102F6" w:rsidP="002622DC">
            <w:pPr>
              <w:pStyle w:val="tabteksts"/>
              <w:tabs>
                <w:tab w:val="decimal" w:pos="436"/>
              </w:tabs>
              <w:jc w:val="right"/>
            </w:pPr>
            <w:r w:rsidRPr="00602351">
              <w:t>-0,9</w:t>
            </w:r>
          </w:p>
        </w:tc>
        <w:tc>
          <w:tcPr>
            <w:tcW w:w="1007" w:type="dxa"/>
            <w:tcBorders>
              <w:top w:val="nil"/>
              <w:left w:val="nil"/>
              <w:bottom w:val="double" w:sz="6" w:space="0" w:color="auto"/>
              <w:right w:val="double" w:sz="6" w:space="0" w:color="auto"/>
            </w:tcBorders>
            <w:shd w:val="clear" w:color="auto" w:fill="auto"/>
            <w:noWrap/>
            <w:vAlign w:val="center"/>
            <w:hideMark/>
          </w:tcPr>
          <w:p w14:paraId="585E57C9" w14:textId="77777777" w:rsidR="00F102F6" w:rsidRPr="00602351" w:rsidRDefault="00F102F6" w:rsidP="002622DC">
            <w:pPr>
              <w:pStyle w:val="tabteksts"/>
              <w:tabs>
                <w:tab w:val="decimal" w:pos="436"/>
              </w:tabs>
              <w:jc w:val="right"/>
            </w:pPr>
            <w:r w:rsidRPr="00602351">
              <w:t>-0,8</w:t>
            </w:r>
          </w:p>
        </w:tc>
      </w:tr>
    </w:tbl>
    <w:p w14:paraId="549E4D15" w14:textId="77777777" w:rsidR="00F102F6" w:rsidRDefault="00F102F6" w:rsidP="006B5F7D">
      <w:pPr>
        <w:pStyle w:val="T"/>
        <w:ind w:left="0"/>
        <w:rPr>
          <w:rFonts w:ascii="Times New Roman" w:hAnsi="Times New Roman"/>
          <w:color w:val="000000"/>
          <w:szCs w:val="24"/>
        </w:rPr>
      </w:pPr>
    </w:p>
    <w:p w14:paraId="61AEEA0F" w14:textId="77777777" w:rsidR="009126BE" w:rsidRDefault="009126BE" w:rsidP="009126BE">
      <w:pPr>
        <w:pStyle w:val="T"/>
        <w:ind w:left="0"/>
        <w:rPr>
          <w:rFonts w:ascii="Times New Roman" w:hAnsi="Times New Roman"/>
          <w:color w:val="000000"/>
          <w:szCs w:val="24"/>
        </w:rPr>
      </w:pPr>
    </w:p>
    <w:p w14:paraId="714EB29A" w14:textId="67B73B47" w:rsidR="00C15091" w:rsidRDefault="009126BE" w:rsidP="009126BE">
      <w:pPr>
        <w:pStyle w:val="T"/>
        <w:ind w:left="0"/>
        <w:rPr>
          <w:rFonts w:ascii="Times New Roman" w:hAnsi="Times New Roman"/>
          <w:color w:val="000000"/>
          <w:szCs w:val="24"/>
        </w:rPr>
      </w:pPr>
      <w:r w:rsidRPr="001946E0">
        <w:rPr>
          <w:rFonts w:ascii="Times New Roman" w:hAnsi="Times New Roman"/>
          <w:color w:val="000000"/>
          <w:szCs w:val="24"/>
        </w:rPr>
        <w:t>6. tabula. Salīdzinājum</w:t>
      </w:r>
      <w:r>
        <w:rPr>
          <w:rFonts w:ascii="Times New Roman" w:hAnsi="Times New Roman"/>
          <w:color w:val="000000"/>
          <w:szCs w:val="24"/>
        </w:rPr>
        <w:t xml:space="preserve">s ar </w:t>
      </w:r>
      <w:r w:rsidRPr="001946E0">
        <w:rPr>
          <w:rFonts w:ascii="Times New Roman" w:hAnsi="Times New Roman"/>
          <w:color w:val="000000"/>
          <w:szCs w:val="24"/>
        </w:rPr>
        <w:t xml:space="preserve">Konverģences programmas </w:t>
      </w:r>
      <w:r w:rsidR="00582AB5">
        <w:rPr>
          <w:rFonts w:ascii="Times New Roman" w:hAnsi="Times New Roman"/>
          <w:color w:val="000000"/>
          <w:szCs w:val="24"/>
        </w:rPr>
        <w:t>2013</w:t>
      </w:r>
      <w:r w:rsidR="00582AB5" w:rsidRPr="001946E0">
        <w:rPr>
          <w:rFonts w:ascii="Times New Roman" w:hAnsi="Times New Roman"/>
          <w:color w:val="000000"/>
          <w:szCs w:val="24"/>
        </w:rPr>
        <w:t>.</w:t>
      </w:r>
      <w:r w:rsidR="00582AB5">
        <w:rPr>
          <w:rFonts w:ascii="Times New Roman" w:hAnsi="Times New Roman"/>
          <w:color w:val="000000"/>
          <w:szCs w:val="24"/>
        </w:rPr>
        <w:t>-2016.</w:t>
      </w:r>
      <w:r w:rsidR="00582AB5" w:rsidRPr="001946E0">
        <w:rPr>
          <w:rFonts w:ascii="Times New Roman" w:hAnsi="Times New Roman"/>
          <w:color w:val="000000"/>
          <w:szCs w:val="24"/>
        </w:rPr>
        <w:t>gada</w:t>
      </w:r>
      <w:r w:rsidR="00582AB5">
        <w:rPr>
          <w:rFonts w:ascii="Times New Roman" w:hAnsi="Times New Roman"/>
          <w:color w:val="000000"/>
          <w:szCs w:val="24"/>
        </w:rPr>
        <w:t>m</w:t>
      </w:r>
      <w:r w:rsidR="00582AB5" w:rsidRPr="001946E0">
        <w:rPr>
          <w:rFonts w:ascii="Times New Roman" w:hAnsi="Times New Roman"/>
          <w:color w:val="000000"/>
          <w:szCs w:val="24"/>
        </w:rPr>
        <w:t xml:space="preserve"> </w:t>
      </w:r>
      <w:r w:rsidRPr="001946E0">
        <w:rPr>
          <w:rFonts w:ascii="Times New Roman" w:hAnsi="Times New Roman"/>
          <w:color w:val="000000"/>
          <w:szCs w:val="24"/>
        </w:rPr>
        <w:t>prognozēm</w:t>
      </w:r>
    </w:p>
    <w:tbl>
      <w:tblPr>
        <w:tblW w:w="88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73"/>
        <w:gridCol w:w="992"/>
        <w:gridCol w:w="674"/>
        <w:gridCol w:w="885"/>
        <w:gridCol w:w="851"/>
        <w:gridCol w:w="850"/>
        <w:gridCol w:w="851"/>
      </w:tblGrid>
      <w:tr w:rsidR="00C15091" w:rsidRPr="002C538F" w14:paraId="1ABC338F" w14:textId="77777777" w:rsidTr="0011050B">
        <w:trPr>
          <w:jc w:val="center"/>
        </w:trPr>
        <w:tc>
          <w:tcPr>
            <w:tcW w:w="3773" w:type="dxa"/>
          </w:tcPr>
          <w:p w14:paraId="3F487796" w14:textId="77777777" w:rsidR="00C15091" w:rsidRPr="004D0B40" w:rsidRDefault="00C15091" w:rsidP="002622DC">
            <w:pPr>
              <w:pStyle w:val="tabteksts"/>
              <w:jc w:val="center"/>
            </w:pPr>
          </w:p>
        </w:tc>
        <w:tc>
          <w:tcPr>
            <w:tcW w:w="992" w:type="dxa"/>
          </w:tcPr>
          <w:p w14:paraId="5A207DDF" w14:textId="77777777" w:rsidR="00C15091" w:rsidRPr="002C538F" w:rsidRDefault="00C15091" w:rsidP="002622DC">
            <w:pPr>
              <w:pStyle w:val="tabteksts"/>
              <w:jc w:val="center"/>
            </w:pPr>
            <w:r w:rsidRPr="002C538F">
              <w:t>EKS kods</w:t>
            </w:r>
          </w:p>
        </w:tc>
        <w:tc>
          <w:tcPr>
            <w:tcW w:w="674" w:type="dxa"/>
          </w:tcPr>
          <w:p w14:paraId="2B89BFAF" w14:textId="77777777" w:rsidR="00C15091" w:rsidRPr="002C538F" w:rsidRDefault="00C15091" w:rsidP="002622DC">
            <w:pPr>
              <w:pStyle w:val="tabteksts"/>
              <w:jc w:val="center"/>
              <w:rPr>
                <w:b/>
              </w:rPr>
            </w:pPr>
            <w:r w:rsidRPr="002C538F">
              <w:rPr>
                <w:b/>
              </w:rPr>
              <w:t>2013</w:t>
            </w:r>
          </w:p>
        </w:tc>
        <w:tc>
          <w:tcPr>
            <w:tcW w:w="885" w:type="dxa"/>
          </w:tcPr>
          <w:p w14:paraId="5E8B7716" w14:textId="77777777" w:rsidR="00C15091" w:rsidRPr="002C538F" w:rsidRDefault="00C15091" w:rsidP="002622DC">
            <w:pPr>
              <w:pStyle w:val="tabteksts"/>
              <w:jc w:val="center"/>
              <w:rPr>
                <w:b/>
              </w:rPr>
            </w:pPr>
            <w:r w:rsidRPr="002C538F">
              <w:rPr>
                <w:b/>
              </w:rPr>
              <w:t>2014</w:t>
            </w:r>
          </w:p>
        </w:tc>
        <w:tc>
          <w:tcPr>
            <w:tcW w:w="851" w:type="dxa"/>
          </w:tcPr>
          <w:p w14:paraId="27647104" w14:textId="77777777" w:rsidR="00C15091" w:rsidRPr="002C538F" w:rsidRDefault="00C15091" w:rsidP="002622DC">
            <w:pPr>
              <w:pStyle w:val="tabteksts"/>
              <w:jc w:val="center"/>
              <w:rPr>
                <w:b/>
              </w:rPr>
            </w:pPr>
            <w:r w:rsidRPr="002C538F">
              <w:rPr>
                <w:b/>
              </w:rPr>
              <w:t>2015</w:t>
            </w:r>
          </w:p>
        </w:tc>
        <w:tc>
          <w:tcPr>
            <w:tcW w:w="850" w:type="dxa"/>
          </w:tcPr>
          <w:p w14:paraId="5350811E" w14:textId="77777777" w:rsidR="00C15091" w:rsidRPr="002C538F" w:rsidRDefault="00C15091" w:rsidP="002622DC">
            <w:pPr>
              <w:pStyle w:val="tabteksts"/>
              <w:jc w:val="center"/>
              <w:rPr>
                <w:b/>
              </w:rPr>
            </w:pPr>
            <w:r w:rsidRPr="002C538F">
              <w:rPr>
                <w:b/>
              </w:rPr>
              <w:t>2016</w:t>
            </w:r>
          </w:p>
        </w:tc>
        <w:tc>
          <w:tcPr>
            <w:tcW w:w="851" w:type="dxa"/>
          </w:tcPr>
          <w:p w14:paraId="52762D7F" w14:textId="77777777" w:rsidR="00C15091" w:rsidRPr="002C538F" w:rsidRDefault="00C15091" w:rsidP="002622DC">
            <w:pPr>
              <w:pStyle w:val="tabteksts"/>
              <w:jc w:val="center"/>
              <w:rPr>
                <w:b/>
              </w:rPr>
            </w:pPr>
            <w:r w:rsidRPr="002C538F">
              <w:rPr>
                <w:b/>
              </w:rPr>
              <w:t>2017</w:t>
            </w:r>
          </w:p>
        </w:tc>
      </w:tr>
      <w:tr w:rsidR="00C15091" w:rsidRPr="002C538F" w14:paraId="597257B5" w14:textId="77777777" w:rsidTr="0011050B">
        <w:trPr>
          <w:jc w:val="center"/>
        </w:trPr>
        <w:tc>
          <w:tcPr>
            <w:tcW w:w="3773" w:type="dxa"/>
            <w:vAlign w:val="center"/>
          </w:tcPr>
          <w:p w14:paraId="4112C74C" w14:textId="77777777" w:rsidR="00C15091" w:rsidRPr="002C538F" w:rsidRDefault="00C15091" w:rsidP="002622DC">
            <w:pPr>
              <w:pStyle w:val="tabteksts"/>
              <w:rPr>
                <w:snapToGrid w:val="0"/>
              </w:rPr>
            </w:pPr>
            <w:r w:rsidRPr="002C538F">
              <w:rPr>
                <w:b/>
              </w:rPr>
              <w:t>IKP pieaugums (%)</w:t>
            </w:r>
          </w:p>
        </w:tc>
        <w:tc>
          <w:tcPr>
            <w:tcW w:w="992" w:type="dxa"/>
            <w:vAlign w:val="center"/>
          </w:tcPr>
          <w:p w14:paraId="087479FE" w14:textId="77777777" w:rsidR="00C15091" w:rsidRPr="002C538F" w:rsidRDefault="00C15091" w:rsidP="002622DC">
            <w:pPr>
              <w:pStyle w:val="tabteksts"/>
            </w:pPr>
            <w:r w:rsidRPr="002C538F">
              <w:t>B1g</w:t>
            </w:r>
          </w:p>
        </w:tc>
        <w:tc>
          <w:tcPr>
            <w:tcW w:w="674" w:type="dxa"/>
          </w:tcPr>
          <w:p w14:paraId="7778AE68" w14:textId="77777777" w:rsidR="00C15091" w:rsidRPr="004D0B40" w:rsidRDefault="00C15091" w:rsidP="002622DC">
            <w:pPr>
              <w:pStyle w:val="tabteksts"/>
              <w:jc w:val="center"/>
            </w:pPr>
          </w:p>
        </w:tc>
        <w:tc>
          <w:tcPr>
            <w:tcW w:w="885" w:type="dxa"/>
          </w:tcPr>
          <w:p w14:paraId="6BC7C144" w14:textId="77777777" w:rsidR="00C15091" w:rsidRPr="004D0B40" w:rsidRDefault="00C15091" w:rsidP="002622DC">
            <w:pPr>
              <w:pStyle w:val="tabteksts"/>
              <w:jc w:val="center"/>
            </w:pPr>
          </w:p>
        </w:tc>
        <w:tc>
          <w:tcPr>
            <w:tcW w:w="851" w:type="dxa"/>
          </w:tcPr>
          <w:p w14:paraId="694E46B6" w14:textId="77777777" w:rsidR="00C15091" w:rsidRPr="004D0B40" w:rsidRDefault="00C15091" w:rsidP="002622DC">
            <w:pPr>
              <w:pStyle w:val="tabteksts"/>
              <w:jc w:val="center"/>
            </w:pPr>
          </w:p>
        </w:tc>
        <w:tc>
          <w:tcPr>
            <w:tcW w:w="850" w:type="dxa"/>
          </w:tcPr>
          <w:p w14:paraId="7AFB9B71" w14:textId="77777777" w:rsidR="00C15091" w:rsidRPr="004D0B40" w:rsidRDefault="00C15091" w:rsidP="002622DC">
            <w:pPr>
              <w:pStyle w:val="tabteksts"/>
              <w:jc w:val="center"/>
              <w:rPr>
                <w:rFonts w:eastAsia="Arial Unicode MS"/>
              </w:rPr>
            </w:pPr>
          </w:p>
        </w:tc>
        <w:tc>
          <w:tcPr>
            <w:tcW w:w="851" w:type="dxa"/>
          </w:tcPr>
          <w:p w14:paraId="21872A66" w14:textId="77777777" w:rsidR="00C15091" w:rsidRPr="004D0B40" w:rsidRDefault="00C15091" w:rsidP="002622DC">
            <w:pPr>
              <w:pStyle w:val="tabteksts"/>
              <w:jc w:val="center"/>
            </w:pPr>
          </w:p>
        </w:tc>
      </w:tr>
      <w:tr w:rsidR="00C15091" w:rsidRPr="002C538F" w14:paraId="42DC7407" w14:textId="77777777" w:rsidTr="0011050B">
        <w:trPr>
          <w:jc w:val="center"/>
        </w:trPr>
        <w:tc>
          <w:tcPr>
            <w:tcW w:w="3773" w:type="dxa"/>
            <w:vAlign w:val="center"/>
          </w:tcPr>
          <w:p w14:paraId="129B8DA1" w14:textId="77777777" w:rsidR="00C15091" w:rsidRPr="002C538F" w:rsidRDefault="00C15091" w:rsidP="002622DC">
            <w:pPr>
              <w:pStyle w:val="tabteksts"/>
              <w:jc w:val="right"/>
            </w:pPr>
            <w:r w:rsidRPr="002C538F">
              <w:t>2013. gads</w:t>
            </w:r>
          </w:p>
        </w:tc>
        <w:tc>
          <w:tcPr>
            <w:tcW w:w="992" w:type="dxa"/>
            <w:vAlign w:val="center"/>
          </w:tcPr>
          <w:p w14:paraId="749508EA" w14:textId="77777777" w:rsidR="00C15091" w:rsidRPr="002C538F" w:rsidRDefault="00C15091" w:rsidP="002622DC">
            <w:pPr>
              <w:pStyle w:val="tabteksts"/>
              <w:jc w:val="center"/>
            </w:pPr>
          </w:p>
        </w:tc>
        <w:tc>
          <w:tcPr>
            <w:tcW w:w="674" w:type="dxa"/>
          </w:tcPr>
          <w:p w14:paraId="1483F864" w14:textId="77777777" w:rsidR="00C15091" w:rsidRPr="002C538F" w:rsidRDefault="00C15091" w:rsidP="002622DC">
            <w:pPr>
              <w:spacing w:after="0"/>
              <w:ind w:firstLine="0"/>
              <w:jc w:val="right"/>
              <w:rPr>
                <w:color w:val="000000"/>
                <w:sz w:val="20"/>
              </w:rPr>
            </w:pPr>
            <w:r w:rsidRPr="002C538F">
              <w:rPr>
                <w:color w:val="000000"/>
                <w:sz w:val="20"/>
              </w:rPr>
              <w:t>4,0</w:t>
            </w:r>
          </w:p>
        </w:tc>
        <w:tc>
          <w:tcPr>
            <w:tcW w:w="885" w:type="dxa"/>
          </w:tcPr>
          <w:p w14:paraId="25DCBFB7"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1" w:type="dxa"/>
          </w:tcPr>
          <w:p w14:paraId="20B3897A"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0" w:type="dxa"/>
          </w:tcPr>
          <w:p w14:paraId="22ADD76D"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1" w:type="dxa"/>
          </w:tcPr>
          <w:p w14:paraId="022E3CBB" w14:textId="77777777" w:rsidR="00C15091" w:rsidRPr="002C538F" w:rsidRDefault="00C15091" w:rsidP="002622DC">
            <w:pPr>
              <w:spacing w:after="0"/>
              <w:jc w:val="right"/>
              <w:rPr>
                <w:rFonts w:eastAsia="Arial Unicode MS"/>
              </w:rPr>
            </w:pPr>
            <w:r w:rsidRPr="002C538F">
              <w:rPr>
                <w:color w:val="000000"/>
                <w:sz w:val="20"/>
              </w:rPr>
              <w:t>-</w:t>
            </w:r>
          </w:p>
        </w:tc>
      </w:tr>
      <w:tr w:rsidR="00C15091" w:rsidRPr="002C538F" w14:paraId="297E71C9" w14:textId="77777777" w:rsidTr="0011050B">
        <w:trPr>
          <w:jc w:val="center"/>
        </w:trPr>
        <w:tc>
          <w:tcPr>
            <w:tcW w:w="3773" w:type="dxa"/>
            <w:vAlign w:val="center"/>
          </w:tcPr>
          <w:p w14:paraId="1E5BFCD3" w14:textId="77777777" w:rsidR="00C15091" w:rsidRPr="002C538F" w:rsidRDefault="00C15091" w:rsidP="002622DC">
            <w:pPr>
              <w:pStyle w:val="tabteksts"/>
              <w:jc w:val="right"/>
            </w:pPr>
            <w:r w:rsidRPr="002C538F">
              <w:t>2014. gads</w:t>
            </w:r>
          </w:p>
        </w:tc>
        <w:tc>
          <w:tcPr>
            <w:tcW w:w="992" w:type="dxa"/>
            <w:vAlign w:val="center"/>
          </w:tcPr>
          <w:p w14:paraId="49FEF1AF" w14:textId="77777777" w:rsidR="00C15091" w:rsidRPr="002C538F" w:rsidRDefault="00C15091" w:rsidP="002622DC">
            <w:pPr>
              <w:pStyle w:val="tabteksts"/>
              <w:jc w:val="center"/>
            </w:pPr>
          </w:p>
        </w:tc>
        <w:tc>
          <w:tcPr>
            <w:tcW w:w="674" w:type="dxa"/>
          </w:tcPr>
          <w:p w14:paraId="548AA7E8" w14:textId="77777777" w:rsidR="00C15091" w:rsidRPr="002C538F" w:rsidRDefault="00C15091" w:rsidP="002622DC">
            <w:pPr>
              <w:spacing w:after="0"/>
              <w:ind w:firstLine="0"/>
              <w:jc w:val="right"/>
              <w:rPr>
                <w:color w:val="000000"/>
                <w:sz w:val="20"/>
              </w:rPr>
            </w:pPr>
            <w:r w:rsidRPr="002C538F">
              <w:rPr>
                <w:color w:val="000000"/>
                <w:sz w:val="20"/>
              </w:rPr>
              <w:t>4,1</w:t>
            </w:r>
          </w:p>
        </w:tc>
        <w:tc>
          <w:tcPr>
            <w:tcW w:w="885" w:type="dxa"/>
          </w:tcPr>
          <w:p w14:paraId="6658473F"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1" w:type="dxa"/>
          </w:tcPr>
          <w:p w14:paraId="63B21F2A"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0" w:type="dxa"/>
          </w:tcPr>
          <w:p w14:paraId="436281F2" w14:textId="77777777" w:rsidR="00C15091" w:rsidRPr="002C538F" w:rsidRDefault="00C15091" w:rsidP="002622DC">
            <w:pPr>
              <w:spacing w:after="0"/>
              <w:ind w:firstLine="0"/>
              <w:jc w:val="right"/>
              <w:rPr>
                <w:color w:val="000000"/>
                <w:sz w:val="20"/>
              </w:rPr>
            </w:pPr>
            <w:r w:rsidRPr="002C538F">
              <w:rPr>
                <w:color w:val="000000"/>
                <w:sz w:val="20"/>
              </w:rPr>
              <w:t>4,0</w:t>
            </w:r>
          </w:p>
        </w:tc>
        <w:tc>
          <w:tcPr>
            <w:tcW w:w="851" w:type="dxa"/>
          </w:tcPr>
          <w:p w14:paraId="35200C23" w14:textId="77777777" w:rsidR="00C15091" w:rsidRPr="002C538F" w:rsidRDefault="00C15091" w:rsidP="002622DC">
            <w:pPr>
              <w:spacing w:after="0"/>
              <w:ind w:firstLine="0"/>
              <w:jc w:val="right"/>
              <w:rPr>
                <w:color w:val="000000"/>
                <w:sz w:val="20"/>
              </w:rPr>
            </w:pPr>
            <w:r w:rsidRPr="002C538F">
              <w:rPr>
                <w:color w:val="000000"/>
                <w:sz w:val="20"/>
              </w:rPr>
              <w:t>4,0</w:t>
            </w:r>
          </w:p>
        </w:tc>
      </w:tr>
      <w:tr w:rsidR="00C15091" w:rsidRPr="002C538F" w14:paraId="6ADAAB35" w14:textId="77777777" w:rsidTr="0011050B">
        <w:trPr>
          <w:jc w:val="center"/>
        </w:trPr>
        <w:tc>
          <w:tcPr>
            <w:tcW w:w="3773" w:type="dxa"/>
            <w:vAlign w:val="center"/>
          </w:tcPr>
          <w:p w14:paraId="72DFE20A" w14:textId="77777777" w:rsidR="00C15091" w:rsidRPr="002C538F" w:rsidRDefault="00C15091" w:rsidP="002622DC">
            <w:pPr>
              <w:pStyle w:val="tabteksts"/>
              <w:jc w:val="right"/>
              <w:rPr>
                <w:snapToGrid w:val="0"/>
              </w:rPr>
            </w:pPr>
            <w:r w:rsidRPr="002C538F">
              <w:rPr>
                <w:snapToGrid w:val="0"/>
              </w:rPr>
              <w:t>Izmaiņas</w:t>
            </w:r>
          </w:p>
        </w:tc>
        <w:tc>
          <w:tcPr>
            <w:tcW w:w="992" w:type="dxa"/>
            <w:vAlign w:val="center"/>
          </w:tcPr>
          <w:p w14:paraId="11EF986A" w14:textId="77777777" w:rsidR="00C15091" w:rsidRPr="002C538F" w:rsidRDefault="00C15091" w:rsidP="002622DC">
            <w:pPr>
              <w:pStyle w:val="tabteksts"/>
              <w:jc w:val="center"/>
            </w:pPr>
          </w:p>
        </w:tc>
        <w:tc>
          <w:tcPr>
            <w:tcW w:w="674" w:type="dxa"/>
          </w:tcPr>
          <w:p w14:paraId="2FB6DADF" w14:textId="77777777" w:rsidR="00C15091" w:rsidRPr="002C538F" w:rsidRDefault="00C15091" w:rsidP="002622DC">
            <w:pPr>
              <w:spacing w:after="0"/>
              <w:ind w:firstLine="0"/>
              <w:jc w:val="right"/>
              <w:rPr>
                <w:color w:val="000000"/>
                <w:sz w:val="20"/>
              </w:rPr>
            </w:pPr>
            <w:r w:rsidRPr="002C538F">
              <w:rPr>
                <w:color w:val="000000"/>
                <w:sz w:val="20"/>
              </w:rPr>
              <w:t>0,1</w:t>
            </w:r>
          </w:p>
        </w:tc>
        <w:tc>
          <w:tcPr>
            <w:tcW w:w="885" w:type="dxa"/>
          </w:tcPr>
          <w:p w14:paraId="14F777FA" w14:textId="77777777" w:rsidR="00C15091" w:rsidRPr="002C538F" w:rsidRDefault="00C15091" w:rsidP="002622DC">
            <w:pPr>
              <w:spacing w:after="0"/>
              <w:ind w:firstLine="0"/>
              <w:jc w:val="right"/>
              <w:rPr>
                <w:color w:val="000000"/>
                <w:sz w:val="20"/>
              </w:rPr>
            </w:pPr>
            <w:r w:rsidRPr="002C538F">
              <w:rPr>
                <w:color w:val="000000"/>
                <w:sz w:val="20"/>
              </w:rPr>
              <w:t>0,0</w:t>
            </w:r>
          </w:p>
        </w:tc>
        <w:tc>
          <w:tcPr>
            <w:tcW w:w="851" w:type="dxa"/>
          </w:tcPr>
          <w:p w14:paraId="74C278ED" w14:textId="77777777" w:rsidR="00C15091" w:rsidRPr="002C538F" w:rsidRDefault="00C15091" w:rsidP="002622DC">
            <w:pPr>
              <w:spacing w:after="0"/>
              <w:ind w:firstLine="0"/>
              <w:jc w:val="right"/>
              <w:rPr>
                <w:color w:val="000000"/>
                <w:sz w:val="20"/>
              </w:rPr>
            </w:pPr>
            <w:r w:rsidRPr="002C538F">
              <w:rPr>
                <w:color w:val="000000"/>
                <w:sz w:val="20"/>
              </w:rPr>
              <w:t>0,0</w:t>
            </w:r>
          </w:p>
        </w:tc>
        <w:tc>
          <w:tcPr>
            <w:tcW w:w="850" w:type="dxa"/>
          </w:tcPr>
          <w:p w14:paraId="63A60465" w14:textId="77777777" w:rsidR="00C15091" w:rsidRPr="002C538F" w:rsidRDefault="00C15091" w:rsidP="002622DC">
            <w:pPr>
              <w:spacing w:after="0"/>
              <w:ind w:firstLine="0"/>
              <w:jc w:val="right"/>
              <w:rPr>
                <w:color w:val="000000"/>
                <w:sz w:val="20"/>
              </w:rPr>
            </w:pPr>
            <w:r w:rsidRPr="002C538F">
              <w:rPr>
                <w:color w:val="000000"/>
                <w:sz w:val="20"/>
              </w:rPr>
              <w:t>0,0</w:t>
            </w:r>
          </w:p>
        </w:tc>
        <w:tc>
          <w:tcPr>
            <w:tcW w:w="851" w:type="dxa"/>
          </w:tcPr>
          <w:p w14:paraId="730390E6" w14:textId="77777777" w:rsidR="00C15091" w:rsidRPr="002C538F" w:rsidRDefault="00C15091" w:rsidP="002622DC">
            <w:pPr>
              <w:spacing w:after="0"/>
              <w:jc w:val="right"/>
              <w:rPr>
                <w:color w:val="000000"/>
                <w:sz w:val="20"/>
              </w:rPr>
            </w:pPr>
            <w:r w:rsidRPr="002C538F">
              <w:rPr>
                <w:color w:val="000000"/>
                <w:sz w:val="20"/>
              </w:rPr>
              <w:t>-</w:t>
            </w:r>
          </w:p>
        </w:tc>
      </w:tr>
      <w:tr w:rsidR="00C15091" w:rsidRPr="002C538F" w14:paraId="06D3DD34" w14:textId="77777777" w:rsidTr="0011050B">
        <w:trPr>
          <w:jc w:val="center"/>
        </w:trPr>
        <w:tc>
          <w:tcPr>
            <w:tcW w:w="3773" w:type="dxa"/>
            <w:vAlign w:val="center"/>
          </w:tcPr>
          <w:p w14:paraId="61E70092" w14:textId="77777777" w:rsidR="00C15091" w:rsidRPr="002C538F" w:rsidRDefault="00C15091" w:rsidP="002622DC">
            <w:pPr>
              <w:pStyle w:val="tabteksts"/>
              <w:rPr>
                <w:snapToGrid w:val="0"/>
              </w:rPr>
            </w:pPr>
            <w:r w:rsidRPr="002C538F">
              <w:rPr>
                <w:b/>
              </w:rPr>
              <w:t>Faktiskā budžeta bilance</w:t>
            </w:r>
            <w:r>
              <w:rPr>
                <w:b/>
              </w:rPr>
              <w:t xml:space="preserve"> </w:t>
            </w:r>
            <w:r w:rsidRPr="002C538F">
              <w:rPr>
                <w:b/>
              </w:rPr>
              <w:t>(% no IKP)</w:t>
            </w:r>
          </w:p>
        </w:tc>
        <w:tc>
          <w:tcPr>
            <w:tcW w:w="992" w:type="dxa"/>
            <w:vAlign w:val="center"/>
          </w:tcPr>
          <w:p w14:paraId="760DC5AA" w14:textId="77777777" w:rsidR="00C15091" w:rsidRPr="002C538F" w:rsidRDefault="00C15091" w:rsidP="002622DC">
            <w:pPr>
              <w:pStyle w:val="tabteksts"/>
            </w:pPr>
            <w:r w:rsidRPr="002C538F">
              <w:t>B.9</w:t>
            </w:r>
          </w:p>
        </w:tc>
        <w:tc>
          <w:tcPr>
            <w:tcW w:w="674" w:type="dxa"/>
          </w:tcPr>
          <w:p w14:paraId="096508CA" w14:textId="77777777" w:rsidR="00C15091" w:rsidRPr="004D0B40" w:rsidRDefault="00C15091" w:rsidP="002622DC">
            <w:pPr>
              <w:pStyle w:val="tabteksts"/>
              <w:tabs>
                <w:tab w:val="decimal" w:pos="330"/>
              </w:tabs>
              <w:jc w:val="right"/>
            </w:pPr>
          </w:p>
        </w:tc>
        <w:tc>
          <w:tcPr>
            <w:tcW w:w="885" w:type="dxa"/>
          </w:tcPr>
          <w:p w14:paraId="040EF4F1" w14:textId="77777777" w:rsidR="00C15091" w:rsidRPr="004D0B40" w:rsidRDefault="00C15091" w:rsidP="002622DC">
            <w:pPr>
              <w:pStyle w:val="tabteksts"/>
              <w:tabs>
                <w:tab w:val="decimal" w:pos="330"/>
              </w:tabs>
              <w:jc w:val="right"/>
            </w:pPr>
          </w:p>
        </w:tc>
        <w:tc>
          <w:tcPr>
            <w:tcW w:w="851" w:type="dxa"/>
          </w:tcPr>
          <w:p w14:paraId="4CD786EF" w14:textId="77777777" w:rsidR="00C15091" w:rsidRPr="004D0B40" w:rsidRDefault="00C15091" w:rsidP="002622DC">
            <w:pPr>
              <w:pStyle w:val="tabteksts"/>
              <w:tabs>
                <w:tab w:val="decimal" w:pos="330"/>
              </w:tabs>
              <w:jc w:val="right"/>
            </w:pPr>
          </w:p>
        </w:tc>
        <w:tc>
          <w:tcPr>
            <w:tcW w:w="850" w:type="dxa"/>
          </w:tcPr>
          <w:p w14:paraId="0360604F" w14:textId="77777777" w:rsidR="00C15091" w:rsidRPr="004D0B40" w:rsidRDefault="00C15091" w:rsidP="002622DC">
            <w:pPr>
              <w:pStyle w:val="tabteksts"/>
              <w:tabs>
                <w:tab w:val="decimal" w:pos="330"/>
              </w:tabs>
              <w:jc w:val="right"/>
              <w:rPr>
                <w:rFonts w:eastAsia="Arial Unicode MS"/>
              </w:rPr>
            </w:pPr>
          </w:p>
        </w:tc>
        <w:tc>
          <w:tcPr>
            <w:tcW w:w="851" w:type="dxa"/>
          </w:tcPr>
          <w:p w14:paraId="235B763E" w14:textId="77777777" w:rsidR="00C15091" w:rsidRPr="004D0B40" w:rsidRDefault="00C15091" w:rsidP="002622DC">
            <w:pPr>
              <w:pStyle w:val="tabteksts"/>
              <w:tabs>
                <w:tab w:val="decimal" w:pos="330"/>
              </w:tabs>
              <w:jc w:val="right"/>
            </w:pPr>
          </w:p>
        </w:tc>
      </w:tr>
      <w:tr w:rsidR="00C15091" w:rsidRPr="002C538F" w14:paraId="7CB67D30" w14:textId="77777777" w:rsidTr="0011050B">
        <w:trPr>
          <w:jc w:val="center"/>
        </w:trPr>
        <w:tc>
          <w:tcPr>
            <w:tcW w:w="3773" w:type="dxa"/>
            <w:vAlign w:val="center"/>
          </w:tcPr>
          <w:p w14:paraId="08D9BB9B" w14:textId="77777777" w:rsidR="00C15091" w:rsidRPr="002C538F" w:rsidRDefault="00C15091" w:rsidP="002622DC">
            <w:pPr>
              <w:pStyle w:val="tabteksts"/>
              <w:jc w:val="right"/>
            </w:pPr>
            <w:r w:rsidRPr="002C538F">
              <w:t>2013. gads</w:t>
            </w:r>
          </w:p>
        </w:tc>
        <w:tc>
          <w:tcPr>
            <w:tcW w:w="992" w:type="dxa"/>
            <w:vAlign w:val="center"/>
          </w:tcPr>
          <w:p w14:paraId="23FEE720" w14:textId="77777777" w:rsidR="00C15091" w:rsidRPr="004D0B40" w:rsidRDefault="00C15091" w:rsidP="002622DC">
            <w:pPr>
              <w:pStyle w:val="tabteksts"/>
            </w:pPr>
          </w:p>
        </w:tc>
        <w:tc>
          <w:tcPr>
            <w:tcW w:w="674" w:type="dxa"/>
          </w:tcPr>
          <w:p w14:paraId="04F58AD9" w14:textId="77777777" w:rsidR="00C15091" w:rsidRPr="002C538F" w:rsidRDefault="00C15091" w:rsidP="002622DC">
            <w:pPr>
              <w:spacing w:after="0"/>
              <w:ind w:firstLine="0"/>
              <w:jc w:val="right"/>
              <w:rPr>
                <w:rFonts w:eastAsia="Arial Unicode MS"/>
                <w:sz w:val="20"/>
              </w:rPr>
            </w:pPr>
            <w:r w:rsidRPr="002C538F">
              <w:rPr>
                <w:rFonts w:eastAsia="Arial Unicode MS"/>
                <w:sz w:val="20"/>
              </w:rPr>
              <w:t>-1,1</w:t>
            </w:r>
          </w:p>
        </w:tc>
        <w:tc>
          <w:tcPr>
            <w:tcW w:w="885" w:type="dxa"/>
          </w:tcPr>
          <w:p w14:paraId="5ADC609A" w14:textId="77777777" w:rsidR="00C15091" w:rsidRPr="002C538F" w:rsidRDefault="00C15091" w:rsidP="002622DC">
            <w:pPr>
              <w:spacing w:after="0"/>
              <w:ind w:firstLine="0"/>
              <w:jc w:val="right"/>
              <w:rPr>
                <w:rFonts w:eastAsia="Arial Unicode MS"/>
                <w:sz w:val="20"/>
              </w:rPr>
            </w:pPr>
            <w:r w:rsidRPr="002C538F">
              <w:rPr>
                <w:rFonts w:eastAsia="Arial Unicode MS"/>
                <w:sz w:val="20"/>
              </w:rPr>
              <w:t>-0,9</w:t>
            </w:r>
          </w:p>
        </w:tc>
        <w:tc>
          <w:tcPr>
            <w:tcW w:w="851" w:type="dxa"/>
          </w:tcPr>
          <w:p w14:paraId="5372CF82" w14:textId="77777777" w:rsidR="00C15091" w:rsidRPr="002C538F" w:rsidRDefault="00C15091" w:rsidP="002622DC">
            <w:pPr>
              <w:spacing w:after="0"/>
              <w:ind w:firstLine="0"/>
              <w:jc w:val="right"/>
              <w:rPr>
                <w:rFonts w:eastAsia="Arial Unicode MS"/>
                <w:sz w:val="20"/>
              </w:rPr>
            </w:pPr>
            <w:r w:rsidRPr="002C538F">
              <w:rPr>
                <w:rFonts w:eastAsia="Arial Unicode MS"/>
                <w:sz w:val="20"/>
              </w:rPr>
              <w:t>-0,9</w:t>
            </w:r>
          </w:p>
        </w:tc>
        <w:tc>
          <w:tcPr>
            <w:tcW w:w="850" w:type="dxa"/>
          </w:tcPr>
          <w:p w14:paraId="768F86B7" w14:textId="77777777" w:rsidR="00C15091" w:rsidRPr="002C538F" w:rsidRDefault="00C15091" w:rsidP="002622DC">
            <w:pPr>
              <w:spacing w:after="0"/>
              <w:ind w:firstLine="0"/>
              <w:jc w:val="right"/>
              <w:rPr>
                <w:rFonts w:eastAsia="Arial Unicode MS"/>
                <w:sz w:val="20"/>
              </w:rPr>
            </w:pPr>
            <w:r w:rsidRPr="002C538F">
              <w:rPr>
                <w:rFonts w:eastAsia="Arial Unicode MS"/>
                <w:sz w:val="20"/>
              </w:rPr>
              <w:t>-0,9</w:t>
            </w:r>
          </w:p>
        </w:tc>
        <w:tc>
          <w:tcPr>
            <w:tcW w:w="851" w:type="dxa"/>
          </w:tcPr>
          <w:p w14:paraId="7B30082C" w14:textId="77777777" w:rsidR="00C15091" w:rsidRPr="004D0B40" w:rsidRDefault="00C15091" w:rsidP="002622DC">
            <w:pPr>
              <w:pStyle w:val="tabteksts"/>
              <w:jc w:val="right"/>
              <w:rPr>
                <w:rFonts w:eastAsia="Arial Unicode MS"/>
              </w:rPr>
            </w:pPr>
            <w:r w:rsidRPr="002C538F">
              <w:rPr>
                <w:rFonts w:eastAsia="Arial Unicode MS"/>
              </w:rPr>
              <w:t>-</w:t>
            </w:r>
          </w:p>
        </w:tc>
      </w:tr>
      <w:tr w:rsidR="00C15091" w:rsidRPr="002C538F" w14:paraId="79B0AAAE" w14:textId="77777777" w:rsidTr="0011050B">
        <w:trPr>
          <w:jc w:val="center"/>
        </w:trPr>
        <w:tc>
          <w:tcPr>
            <w:tcW w:w="3773" w:type="dxa"/>
            <w:vAlign w:val="center"/>
          </w:tcPr>
          <w:p w14:paraId="7FED885B" w14:textId="77777777" w:rsidR="00C15091" w:rsidRPr="002C538F" w:rsidRDefault="00C15091" w:rsidP="002622DC">
            <w:pPr>
              <w:pStyle w:val="tabteksts"/>
              <w:jc w:val="right"/>
            </w:pPr>
            <w:r w:rsidRPr="002C538F">
              <w:t>2014. gads</w:t>
            </w:r>
          </w:p>
        </w:tc>
        <w:tc>
          <w:tcPr>
            <w:tcW w:w="992" w:type="dxa"/>
            <w:vAlign w:val="center"/>
          </w:tcPr>
          <w:p w14:paraId="5694F6E1" w14:textId="77777777" w:rsidR="00C15091" w:rsidRPr="004D0B40" w:rsidRDefault="00C15091" w:rsidP="002622DC">
            <w:pPr>
              <w:pStyle w:val="tabteksts"/>
            </w:pPr>
          </w:p>
        </w:tc>
        <w:tc>
          <w:tcPr>
            <w:tcW w:w="674" w:type="dxa"/>
          </w:tcPr>
          <w:p w14:paraId="2BCFFE44" w14:textId="77777777" w:rsidR="00C15091" w:rsidRPr="002C538F" w:rsidRDefault="00C15091" w:rsidP="002622DC">
            <w:pPr>
              <w:pStyle w:val="tabteksts"/>
              <w:jc w:val="right"/>
              <w:rPr>
                <w:rFonts w:eastAsia="Arial Unicode MS"/>
              </w:rPr>
            </w:pPr>
            <w:r w:rsidRPr="002C538F">
              <w:rPr>
                <w:rFonts w:eastAsia="Arial Unicode MS"/>
              </w:rPr>
              <w:t>-1,0</w:t>
            </w:r>
          </w:p>
        </w:tc>
        <w:tc>
          <w:tcPr>
            <w:tcW w:w="885" w:type="dxa"/>
            <w:shd w:val="clear" w:color="auto" w:fill="auto"/>
          </w:tcPr>
          <w:p w14:paraId="655A3916" w14:textId="77777777" w:rsidR="00C15091" w:rsidRPr="002C538F" w:rsidRDefault="00C15091" w:rsidP="002622DC">
            <w:pPr>
              <w:spacing w:after="0"/>
              <w:ind w:firstLine="0"/>
              <w:jc w:val="right"/>
              <w:rPr>
                <w:rFonts w:eastAsia="Arial Unicode MS"/>
                <w:sz w:val="20"/>
              </w:rPr>
            </w:pPr>
            <w:r w:rsidRPr="002C538F">
              <w:rPr>
                <w:rFonts w:eastAsia="Arial Unicode MS"/>
                <w:sz w:val="20"/>
              </w:rPr>
              <w:t>-1,0</w:t>
            </w:r>
          </w:p>
        </w:tc>
        <w:tc>
          <w:tcPr>
            <w:tcW w:w="851" w:type="dxa"/>
            <w:shd w:val="clear" w:color="auto" w:fill="auto"/>
          </w:tcPr>
          <w:p w14:paraId="514CFEA5" w14:textId="77777777" w:rsidR="00C15091" w:rsidRPr="002C538F" w:rsidRDefault="00C15091" w:rsidP="002622DC">
            <w:pPr>
              <w:spacing w:after="0"/>
              <w:ind w:firstLine="0"/>
              <w:jc w:val="right"/>
              <w:rPr>
                <w:rFonts w:eastAsia="Arial Unicode MS"/>
                <w:sz w:val="20"/>
              </w:rPr>
            </w:pPr>
            <w:r w:rsidRPr="002C538F">
              <w:rPr>
                <w:rFonts w:eastAsia="Arial Unicode MS"/>
                <w:sz w:val="20"/>
              </w:rPr>
              <w:t>-0,8</w:t>
            </w:r>
          </w:p>
        </w:tc>
        <w:tc>
          <w:tcPr>
            <w:tcW w:w="850" w:type="dxa"/>
            <w:shd w:val="clear" w:color="auto" w:fill="auto"/>
          </w:tcPr>
          <w:p w14:paraId="11D1F13C" w14:textId="77777777" w:rsidR="00C15091" w:rsidRPr="002C538F" w:rsidRDefault="00C15091" w:rsidP="002622DC">
            <w:pPr>
              <w:spacing w:after="0"/>
              <w:ind w:firstLine="0"/>
              <w:jc w:val="right"/>
              <w:rPr>
                <w:rFonts w:eastAsia="Arial Unicode MS"/>
                <w:sz w:val="20"/>
              </w:rPr>
            </w:pPr>
            <w:r w:rsidRPr="002C538F">
              <w:rPr>
                <w:rFonts w:eastAsia="Arial Unicode MS"/>
                <w:sz w:val="20"/>
              </w:rPr>
              <w:t>-0,7</w:t>
            </w:r>
          </w:p>
        </w:tc>
        <w:tc>
          <w:tcPr>
            <w:tcW w:w="851" w:type="dxa"/>
            <w:shd w:val="clear" w:color="auto" w:fill="auto"/>
          </w:tcPr>
          <w:p w14:paraId="3E2056D9" w14:textId="77777777" w:rsidR="00C15091" w:rsidRPr="002C538F" w:rsidRDefault="00C15091" w:rsidP="002622DC">
            <w:pPr>
              <w:spacing w:after="0"/>
              <w:ind w:firstLine="0"/>
              <w:jc w:val="right"/>
              <w:rPr>
                <w:rFonts w:eastAsia="Arial Unicode MS"/>
                <w:sz w:val="20"/>
              </w:rPr>
            </w:pPr>
            <w:r w:rsidRPr="002C538F">
              <w:rPr>
                <w:rFonts w:eastAsia="Arial Unicode MS"/>
                <w:sz w:val="20"/>
              </w:rPr>
              <w:t>-0,</w:t>
            </w:r>
            <w:r>
              <w:rPr>
                <w:rFonts w:eastAsia="Arial Unicode MS"/>
                <w:sz w:val="20"/>
              </w:rPr>
              <w:t>7</w:t>
            </w:r>
          </w:p>
        </w:tc>
      </w:tr>
      <w:tr w:rsidR="00C15091" w:rsidRPr="002C538F" w14:paraId="0D0B08F3" w14:textId="77777777" w:rsidTr="0011050B">
        <w:trPr>
          <w:jc w:val="center"/>
        </w:trPr>
        <w:tc>
          <w:tcPr>
            <w:tcW w:w="3773" w:type="dxa"/>
          </w:tcPr>
          <w:p w14:paraId="0990CBFA" w14:textId="77777777" w:rsidR="00C15091" w:rsidRPr="002C538F" w:rsidRDefault="00C15091" w:rsidP="002622DC">
            <w:pPr>
              <w:pStyle w:val="tabteksts"/>
              <w:jc w:val="right"/>
              <w:rPr>
                <w:snapToGrid w:val="0"/>
              </w:rPr>
            </w:pPr>
            <w:r w:rsidRPr="002C538F">
              <w:rPr>
                <w:snapToGrid w:val="0"/>
              </w:rPr>
              <w:t>Izmaiņas</w:t>
            </w:r>
          </w:p>
        </w:tc>
        <w:tc>
          <w:tcPr>
            <w:tcW w:w="992" w:type="dxa"/>
          </w:tcPr>
          <w:p w14:paraId="12EDE58D" w14:textId="77777777" w:rsidR="00C15091" w:rsidRPr="004D0B40" w:rsidRDefault="00C15091" w:rsidP="002622DC">
            <w:pPr>
              <w:pStyle w:val="tabteksts"/>
            </w:pPr>
          </w:p>
        </w:tc>
        <w:tc>
          <w:tcPr>
            <w:tcW w:w="674" w:type="dxa"/>
          </w:tcPr>
          <w:p w14:paraId="4B8C20BF" w14:textId="77777777" w:rsidR="00C15091" w:rsidRPr="002C538F" w:rsidRDefault="00C15091" w:rsidP="002622DC">
            <w:pPr>
              <w:pStyle w:val="tabteksts"/>
              <w:jc w:val="right"/>
              <w:rPr>
                <w:rFonts w:eastAsia="Arial Unicode MS"/>
              </w:rPr>
            </w:pPr>
            <w:r w:rsidRPr="002C538F">
              <w:rPr>
                <w:rFonts w:eastAsia="Arial Unicode MS"/>
              </w:rPr>
              <w:t>0,1</w:t>
            </w:r>
          </w:p>
        </w:tc>
        <w:tc>
          <w:tcPr>
            <w:tcW w:w="885" w:type="dxa"/>
          </w:tcPr>
          <w:p w14:paraId="59D12703" w14:textId="77777777" w:rsidR="00C15091" w:rsidRPr="002C538F" w:rsidRDefault="00C15091" w:rsidP="002622DC">
            <w:pPr>
              <w:pStyle w:val="tabteksts"/>
              <w:jc w:val="right"/>
              <w:rPr>
                <w:rFonts w:eastAsia="Arial Unicode MS"/>
              </w:rPr>
            </w:pPr>
            <w:r w:rsidRPr="002C538F">
              <w:rPr>
                <w:rFonts w:eastAsia="Arial Unicode MS"/>
              </w:rPr>
              <w:t>-0,1</w:t>
            </w:r>
          </w:p>
        </w:tc>
        <w:tc>
          <w:tcPr>
            <w:tcW w:w="851" w:type="dxa"/>
          </w:tcPr>
          <w:p w14:paraId="47D27FF2" w14:textId="77777777" w:rsidR="00C15091" w:rsidRPr="002C538F" w:rsidRDefault="00C15091" w:rsidP="002622DC">
            <w:pPr>
              <w:pStyle w:val="tabteksts"/>
              <w:jc w:val="right"/>
              <w:rPr>
                <w:rFonts w:eastAsia="Arial Unicode MS"/>
              </w:rPr>
            </w:pPr>
            <w:r w:rsidRPr="002C538F">
              <w:rPr>
                <w:rFonts w:eastAsia="Arial Unicode MS"/>
              </w:rPr>
              <w:t>0,1</w:t>
            </w:r>
          </w:p>
        </w:tc>
        <w:tc>
          <w:tcPr>
            <w:tcW w:w="850" w:type="dxa"/>
          </w:tcPr>
          <w:p w14:paraId="7183494B" w14:textId="77777777" w:rsidR="00C15091" w:rsidRPr="002C538F" w:rsidRDefault="00C15091" w:rsidP="002622DC">
            <w:pPr>
              <w:pStyle w:val="tabteksts"/>
              <w:jc w:val="right"/>
              <w:rPr>
                <w:rFonts w:eastAsia="Arial Unicode MS"/>
              </w:rPr>
            </w:pPr>
            <w:r w:rsidRPr="002C538F">
              <w:rPr>
                <w:rFonts w:eastAsia="Arial Unicode MS"/>
              </w:rPr>
              <w:t>0,2</w:t>
            </w:r>
          </w:p>
        </w:tc>
        <w:tc>
          <w:tcPr>
            <w:tcW w:w="851" w:type="dxa"/>
          </w:tcPr>
          <w:p w14:paraId="549FAF0B" w14:textId="77777777" w:rsidR="00C15091" w:rsidRPr="002C538F" w:rsidRDefault="00C15091" w:rsidP="002622DC">
            <w:pPr>
              <w:pStyle w:val="tabteksts"/>
              <w:jc w:val="right"/>
              <w:rPr>
                <w:rFonts w:eastAsia="Arial Unicode MS"/>
              </w:rPr>
            </w:pPr>
            <w:r w:rsidRPr="002C538F">
              <w:rPr>
                <w:rFonts w:eastAsia="Arial Unicode MS"/>
              </w:rPr>
              <w:t>-</w:t>
            </w:r>
          </w:p>
        </w:tc>
      </w:tr>
      <w:tr w:rsidR="00C15091" w:rsidRPr="002C538F" w14:paraId="28CBF29B" w14:textId="77777777" w:rsidTr="0011050B">
        <w:trPr>
          <w:jc w:val="center"/>
        </w:trPr>
        <w:tc>
          <w:tcPr>
            <w:tcW w:w="3773" w:type="dxa"/>
          </w:tcPr>
          <w:p w14:paraId="7B62FE7B" w14:textId="77777777" w:rsidR="00C15091" w:rsidRPr="002C538F" w:rsidRDefault="00C15091" w:rsidP="002622DC">
            <w:pPr>
              <w:pStyle w:val="tabteksts"/>
              <w:rPr>
                <w:snapToGrid w:val="0"/>
              </w:rPr>
            </w:pPr>
            <w:r w:rsidRPr="002C538F">
              <w:rPr>
                <w:b/>
              </w:rPr>
              <w:t>Vispārējās valdības kopējais parāds (% no IKP)</w:t>
            </w:r>
          </w:p>
        </w:tc>
        <w:tc>
          <w:tcPr>
            <w:tcW w:w="992" w:type="dxa"/>
          </w:tcPr>
          <w:p w14:paraId="1FC9BB55" w14:textId="77777777" w:rsidR="00C15091" w:rsidRPr="004D0B40" w:rsidRDefault="00C15091" w:rsidP="002622DC">
            <w:pPr>
              <w:pStyle w:val="tabteksts"/>
            </w:pPr>
          </w:p>
        </w:tc>
        <w:tc>
          <w:tcPr>
            <w:tcW w:w="674" w:type="dxa"/>
          </w:tcPr>
          <w:p w14:paraId="19246F18" w14:textId="77777777" w:rsidR="00C15091" w:rsidRPr="004D0B40" w:rsidRDefault="00C15091" w:rsidP="002622DC">
            <w:pPr>
              <w:pStyle w:val="tabteksts"/>
              <w:tabs>
                <w:tab w:val="decimal" w:pos="330"/>
              </w:tabs>
              <w:jc w:val="right"/>
            </w:pPr>
          </w:p>
        </w:tc>
        <w:tc>
          <w:tcPr>
            <w:tcW w:w="885" w:type="dxa"/>
          </w:tcPr>
          <w:p w14:paraId="25C69C93" w14:textId="77777777" w:rsidR="00C15091" w:rsidRPr="004D0B40" w:rsidRDefault="00C15091" w:rsidP="002622DC">
            <w:pPr>
              <w:pStyle w:val="tabteksts"/>
              <w:tabs>
                <w:tab w:val="decimal" w:pos="330"/>
              </w:tabs>
              <w:jc w:val="right"/>
            </w:pPr>
          </w:p>
        </w:tc>
        <w:tc>
          <w:tcPr>
            <w:tcW w:w="851" w:type="dxa"/>
          </w:tcPr>
          <w:p w14:paraId="4F71775D" w14:textId="77777777" w:rsidR="00C15091" w:rsidRPr="004D0B40" w:rsidRDefault="00C15091" w:rsidP="002622DC">
            <w:pPr>
              <w:pStyle w:val="tabteksts"/>
              <w:tabs>
                <w:tab w:val="decimal" w:pos="330"/>
              </w:tabs>
              <w:jc w:val="right"/>
            </w:pPr>
          </w:p>
        </w:tc>
        <w:tc>
          <w:tcPr>
            <w:tcW w:w="850" w:type="dxa"/>
          </w:tcPr>
          <w:p w14:paraId="4EFCFAF5" w14:textId="77777777" w:rsidR="00C15091" w:rsidRPr="004D0B40" w:rsidRDefault="00C15091" w:rsidP="002622DC">
            <w:pPr>
              <w:pStyle w:val="tabteksts"/>
              <w:tabs>
                <w:tab w:val="decimal" w:pos="330"/>
              </w:tabs>
              <w:jc w:val="right"/>
              <w:rPr>
                <w:rFonts w:eastAsia="Arial Unicode MS"/>
              </w:rPr>
            </w:pPr>
          </w:p>
        </w:tc>
        <w:tc>
          <w:tcPr>
            <w:tcW w:w="851" w:type="dxa"/>
          </w:tcPr>
          <w:p w14:paraId="5A34707B" w14:textId="77777777" w:rsidR="00C15091" w:rsidRPr="004D0B40" w:rsidRDefault="00C15091" w:rsidP="002622DC">
            <w:pPr>
              <w:pStyle w:val="tabteksts"/>
              <w:jc w:val="right"/>
            </w:pPr>
          </w:p>
        </w:tc>
      </w:tr>
      <w:tr w:rsidR="00C15091" w:rsidRPr="002C538F" w14:paraId="528F0E0A" w14:textId="77777777" w:rsidTr="0011050B">
        <w:trPr>
          <w:jc w:val="center"/>
        </w:trPr>
        <w:tc>
          <w:tcPr>
            <w:tcW w:w="3773" w:type="dxa"/>
          </w:tcPr>
          <w:p w14:paraId="3326E892" w14:textId="77777777" w:rsidR="00C15091" w:rsidRPr="002C538F" w:rsidRDefault="00C15091" w:rsidP="002622DC">
            <w:pPr>
              <w:pStyle w:val="tabteksts"/>
              <w:jc w:val="right"/>
            </w:pPr>
            <w:r w:rsidRPr="002C538F">
              <w:t>2013. gads</w:t>
            </w:r>
          </w:p>
        </w:tc>
        <w:tc>
          <w:tcPr>
            <w:tcW w:w="992" w:type="dxa"/>
          </w:tcPr>
          <w:p w14:paraId="76B4EEB8" w14:textId="77777777" w:rsidR="00C15091" w:rsidRPr="004D0B40" w:rsidRDefault="00C15091" w:rsidP="002622DC">
            <w:pPr>
              <w:pStyle w:val="tabteksts"/>
            </w:pPr>
          </w:p>
        </w:tc>
        <w:tc>
          <w:tcPr>
            <w:tcW w:w="674" w:type="dxa"/>
          </w:tcPr>
          <w:p w14:paraId="16370634" w14:textId="1AE8A26D" w:rsidR="00C15091" w:rsidRPr="004D0B40" w:rsidRDefault="00C15091" w:rsidP="002622DC">
            <w:pPr>
              <w:spacing w:after="0"/>
              <w:ind w:firstLine="0"/>
              <w:jc w:val="right"/>
              <w:rPr>
                <w:sz w:val="20"/>
              </w:rPr>
            </w:pPr>
            <w:r w:rsidRPr="002C538F">
              <w:rPr>
                <w:sz w:val="20"/>
              </w:rPr>
              <w:t>44,5</w:t>
            </w:r>
          </w:p>
        </w:tc>
        <w:tc>
          <w:tcPr>
            <w:tcW w:w="885" w:type="dxa"/>
          </w:tcPr>
          <w:p w14:paraId="57F5A805" w14:textId="69ABE279" w:rsidR="00C15091" w:rsidRPr="004D0B40" w:rsidRDefault="00C15091" w:rsidP="002622DC">
            <w:pPr>
              <w:spacing w:after="0"/>
              <w:ind w:firstLine="0"/>
              <w:jc w:val="right"/>
              <w:rPr>
                <w:sz w:val="20"/>
              </w:rPr>
            </w:pPr>
            <w:r w:rsidRPr="002C538F">
              <w:rPr>
                <w:sz w:val="20"/>
              </w:rPr>
              <w:t>41,0</w:t>
            </w:r>
          </w:p>
        </w:tc>
        <w:tc>
          <w:tcPr>
            <w:tcW w:w="851" w:type="dxa"/>
          </w:tcPr>
          <w:p w14:paraId="063BAB53" w14:textId="021C229D" w:rsidR="00C15091" w:rsidRPr="004D0B40" w:rsidRDefault="00C15091" w:rsidP="002622DC">
            <w:pPr>
              <w:spacing w:after="0"/>
              <w:ind w:firstLine="0"/>
              <w:jc w:val="right"/>
              <w:rPr>
                <w:sz w:val="20"/>
              </w:rPr>
            </w:pPr>
            <w:r w:rsidRPr="002C538F">
              <w:rPr>
                <w:sz w:val="20"/>
              </w:rPr>
              <w:t>36,4</w:t>
            </w:r>
          </w:p>
        </w:tc>
        <w:tc>
          <w:tcPr>
            <w:tcW w:w="850" w:type="dxa"/>
          </w:tcPr>
          <w:p w14:paraId="3A284B05" w14:textId="77777777" w:rsidR="00C15091" w:rsidRPr="004D0B40" w:rsidRDefault="00C15091" w:rsidP="002622DC">
            <w:pPr>
              <w:spacing w:after="0"/>
              <w:ind w:firstLine="0"/>
              <w:jc w:val="right"/>
              <w:rPr>
                <w:sz w:val="20"/>
              </w:rPr>
            </w:pPr>
            <w:r w:rsidRPr="002C538F">
              <w:rPr>
                <w:sz w:val="20"/>
              </w:rPr>
              <w:t>34,6</w:t>
            </w:r>
          </w:p>
        </w:tc>
        <w:tc>
          <w:tcPr>
            <w:tcW w:w="851" w:type="dxa"/>
          </w:tcPr>
          <w:p w14:paraId="36D2DDAD" w14:textId="77777777" w:rsidR="00C15091" w:rsidRPr="004D0B40" w:rsidRDefault="00C15091" w:rsidP="002622DC">
            <w:pPr>
              <w:pStyle w:val="tabteksts"/>
              <w:tabs>
                <w:tab w:val="decimal" w:pos="330"/>
              </w:tabs>
              <w:jc w:val="right"/>
            </w:pPr>
            <w:r w:rsidRPr="002C538F">
              <w:rPr>
                <w:rFonts w:eastAsia="Arial Unicode MS"/>
              </w:rPr>
              <w:t>-</w:t>
            </w:r>
          </w:p>
        </w:tc>
      </w:tr>
      <w:tr w:rsidR="00C15091" w:rsidRPr="002C538F" w14:paraId="48B8F12B" w14:textId="77777777" w:rsidTr="0011050B">
        <w:trPr>
          <w:trHeight w:val="70"/>
          <w:jc w:val="center"/>
        </w:trPr>
        <w:tc>
          <w:tcPr>
            <w:tcW w:w="3773" w:type="dxa"/>
          </w:tcPr>
          <w:p w14:paraId="551A6774" w14:textId="77777777" w:rsidR="00C15091" w:rsidRPr="002C538F" w:rsidRDefault="00C15091" w:rsidP="002622DC">
            <w:pPr>
              <w:pStyle w:val="tabteksts"/>
              <w:jc w:val="right"/>
            </w:pPr>
            <w:r w:rsidRPr="002C538F">
              <w:t>2014. gads</w:t>
            </w:r>
          </w:p>
        </w:tc>
        <w:tc>
          <w:tcPr>
            <w:tcW w:w="992" w:type="dxa"/>
          </w:tcPr>
          <w:p w14:paraId="70FFB477" w14:textId="77777777" w:rsidR="00C15091" w:rsidRPr="004D0B40" w:rsidRDefault="00C15091" w:rsidP="002622DC">
            <w:pPr>
              <w:pStyle w:val="tabteksts"/>
            </w:pPr>
          </w:p>
        </w:tc>
        <w:tc>
          <w:tcPr>
            <w:tcW w:w="674" w:type="dxa"/>
          </w:tcPr>
          <w:p w14:paraId="1CBB2594" w14:textId="77777777" w:rsidR="00C15091" w:rsidRPr="004D0B40" w:rsidRDefault="00C15091" w:rsidP="002622DC">
            <w:pPr>
              <w:pStyle w:val="tabteksts"/>
              <w:jc w:val="right"/>
            </w:pPr>
            <w:r>
              <w:t>38,1</w:t>
            </w:r>
          </w:p>
        </w:tc>
        <w:tc>
          <w:tcPr>
            <w:tcW w:w="885" w:type="dxa"/>
          </w:tcPr>
          <w:p w14:paraId="529D6B6B" w14:textId="0C688EAC" w:rsidR="00C15091" w:rsidRPr="004D0B40" w:rsidRDefault="00C15091" w:rsidP="002622DC">
            <w:pPr>
              <w:pStyle w:val="tabteksts"/>
              <w:jc w:val="right"/>
            </w:pPr>
            <w:r>
              <w:t>38,8</w:t>
            </w:r>
          </w:p>
        </w:tc>
        <w:tc>
          <w:tcPr>
            <w:tcW w:w="851" w:type="dxa"/>
          </w:tcPr>
          <w:p w14:paraId="7C2EBABD" w14:textId="2236015B" w:rsidR="00C15091" w:rsidRPr="004D0B40" w:rsidRDefault="00C15091" w:rsidP="002622DC">
            <w:pPr>
              <w:pStyle w:val="tabteksts"/>
              <w:jc w:val="right"/>
            </w:pPr>
            <w:r>
              <w:t>32,9</w:t>
            </w:r>
          </w:p>
        </w:tc>
        <w:tc>
          <w:tcPr>
            <w:tcW w:w="850" w:type="dxa"/>
          </w:tcPr>
          <w:p w14:paraId="27BEE0D1" w14:textId="0CDEB241" w:rsidR="00C15091" w:rsidRPr="004D0B40" w:rsidRDefault="00C15091" w:rsidP="002622DC">
            <w:pPr>
              <w:pStyle w:val="tabteksts"/>
              <w:jc w:val="right"/>
            </w:pPr>
            <w:r>
              <w:t>34,2</w:t>
            </w:r>
          </w:p>
        </w:tc>
        <w:tc>
          <w:tcPr>
            <w:tcW w:w="851" w:type="dxa"/>
          </w:tcPr>
          <w:p w14:paraId="60C38B04" w14:textId="77777777" w:rsidR="00C15091" w:rsidRPr="004D0B40" w:rsidRDefault="00C15091" w:rsidP="002622DC">
            <w:pPr>
              <w:pStyle w:val="tabteksts"/>
              <w:jc w:val="right"/>
            </w:pPr>
            <w:r>
              <w:t>31,3</w:t>
            </w:r>
          </w:p>
        </w:tc>
      </w:tr>
      <w:tr w:rsidR="00C15091" w:rsidRPr="00E94B9D" w14:paraId="197EE655" w14:textId="77777777" w:rsidTr="0011050B">
        <w:trPr>
          <w:jc w:val="center"/>
        </w:trPr>
        <w:tc>
          <w:tcPr>
            <w:tcW w:w="3773" w:type="dxa"/>
          </w:tcPr>
          <w:p w14:paraId="7A08DADB" w14:textId="77777777" w:rsidR="00C15091" w:rsidRPr="002C538F" w:rsidRDefault="00C15091" w:rsidP="002622DC">
            <w:pPr>
              <w:pStyle w:val="tabteksts"/>
              <w:jc w:val="right"/>
              <w:rPr>
                <w:snapToGrid w:val="0"/>
              </w:rPr>
            </w:pPr>
            <w:r w:rsidRPr="002C538F">
              <w:rPr>
                <w:snapToGrid w:val="0"/>
              </w:rPr>
              <w:t>Izmaiņas</w:t>
            </w:r>
          </w:p>
        </w:tc>
        <w:tc>
          <w:tcPr>
            <w:tcW w:w="992" w:type="dxa"/>
          </w:tcPr>
          <w:p w14:paraId="40C0F467" w14:textId="77777777" w:rsidR="00C15091" w:rsidRPr="004D0B40" w:rsidRDefault="00C15091" w:rsidP="002622DC">
            <w:pPr>
              <w:pStyle w:val="tabteksts"/>
            </w:pPr>
          </w:p>
        </w:tc>
        <w:tc>
          <w:tcPr>
            <w:tcW w:w="674" w:type="dxa"/>
          </w:tcPr>
          <w:p w14:paraId="456CDC2C" w14:textId="77777777" w:rsidR="00C15091" w:rsidRPr="004D0B40" w:rsidRDefault="00C15091" w:rsidP="002622DC">
            <w:pPr>
              <w:pStyle w:val="tabteksts"/>
              <w:tabs>
                <w:tab w:val="decimal" w:pos="330"/>
              </w:tabs>
              <w:jc w:val="right"/>
            </w:pPr>
            <w:r w:rsidRPr="00D53831">
              <w:t>-6,4</w:t>
            </w:r>
          </w:p>
        </w:tc>
        <w:tc>
          <w:tcPr>
            <w:tcW w:w="885" w:type="dxa"/>
          </w:tcPr>
          <w:p w14:paraId="7C476C22" w14:textId="77777777" w:rsidR="00C15091" w:rsidRPr="004D0B40" w:rsidRDefault="00C15091" w:rsidP="002622DC">
            <w:pPr>
              <w:pStyle w:val="tabteksts"/>
              <w:tabs>
                <w:tab w:val="decimal" w:pos="330"/>
              </w:tabs>
              <w:jc w:val="right"/>
            </w:pPr>
            <w:r w:rsidRPr="00D53831">
              <w:t>-2,2</w:t>
            </w:r>
          </w:p>
        </w:tc>
        <w:tc>
          <w:tcPr>
            <w:tcW w:w="851" w:type="dxa"/>
          </w:tcPr>
          <w:p w14:paraId="5B0C409F" w14:textId="77777777" w:rsidR="00C15091" w:rsidRPr="004D0B40" w:rsidRDefault="00C15091" w:rsidP="002622DC">
            <w:pPr>
              <w:pStyle w:val="tabteksts"/>
              <w:tabs>
                <w:tab w:val="decimal" w:pos="330"/>
              </w:tabs>
              <w:jc w:val="right"/>
            </w:pPr>
            <w:r w:rsidRPr="00D53831">
              <w:t>-3,5</w:t>
            </w:r>
          </w:p>
        </w:tc>
        <w:tc>
          <w:tcPr>
            <w:tcW w:w="850" w:type="dxa"/>
          </w:tcPr>
          <w:p w14:paraId="0017FFBD" w14:textId="77777777" w:rsidR="00C15091" w:rsidRPr="004D0B40" w:rsidRDefault="00C15091" w:rsidP="002622DC">
            <w:pPr>
              <w:pStyle w:val="tabteksts"/>
              <w:tabs>
                <w:tab w:val="decimal" w:pos="330"/>
              </w:tabs>
              <w:jc w:val="right"/>
            </w:pPr>
            <w:r w:rsidRPr="00D53831">
              <w:t>-0,4</w:t>
            </w:r>
          </w:p>
        </w:tc>
        <w:tc>
          <w:tcPr>
            <w:tcW w:w="851" w:type="dxa"/>
          </w:tcPr>
          <w:p w14:paraId="33BA9F52" w14:textId="77777777" w:rsidR="00C15091" w:rsidRPr="004D0B40" w:rsidRDefault="00C15091" w:rsidP="002622DC">
            <w:pPr>
              <w:pStyle w:val="tabteksts"/>
              <w:tabs>
                <w:tab w:val="decimal" w:pos="330"/>
              </w:tabs>
              <w:jc w:val="right"/>
            </w:pPr>
            <w:r w:rsidRPr="00D53831">
              <w:t>-</w:t>
            </w:r>
          </w:p>
        </w:tc>
      </w:tr>
    </w:tbl>
    <w:p w14:paraId="26DA7B9E" w14:textId="19895612" w:rsidR="006B5F7D" w:rsidRPr="00BF3425" w:rsidRDefault="006B5F7D" w:rsidP="001D3936">
      <w:pPr>
        <w:spacing w:after="0"/>
        <w:ind w:firstLine="0"/>
        <w:jc w:val="left"/>
        <w:rPr>
          <w:b/>
          <w:szCs w:val="24"/>
        </w:rPr>
      </w:pPr>
      <w:r>
        <w:rPr>
          <w:b/>
          <w:szCs w:val="24"/>
        </w:rPr>
        <w:br w:type="page"/>
      </w:r>
      <w:r w:rsidRPr="00BF3425">
        <w:rPr>
          <w:b/>
          <w:szCs w:val="24"/>
        </w:rPr>
        <w:t>7. tabula. Publisko finanšu ilgtspēja</w:t>
      </w:r>
      <w:r w:rsidRPr="00BF3425">
        <w:rPr>
          <w:szCs w:val="24"/>
        </w:rPr>
        <w:t xml:space="preserve"> </w:t>
      </w:r>
      <w:r w:rsidR="00327E5B">
        <w:rPr>
          <w:rStyle w:val="FootnoteReference"/>
          <w:szCs w:val="24"/>
        </w:rPr>
        <w:footnoteReference w:id="19"/>
      </w:r>
    </w:p>
    <w:p w14:paraId="26C531F8" w14:textId="77777777" w:rsidR="006B5F7D" w:rsidRPr="00BF3425" w:rsidRDefault="006B5F7D" w:rsidP="006B5F7D">
      <w:pPr>
        <w:spacing w:after="0"/>
        <w:ind w:left="1440" w:firstLine="0"/>
        <w:rPr>
          <w:b/>
          <w:szCs w:val="24"/>
        </w:rPr>
      </w:pPr>
    </w:p>
    <w:tbl>
      <w:tblPr>
        <w:tblW w:w="0" w:type="auto"/>
        <w:tblLayout w:type="fixed"/>
        <w:tblCellMar>
          <w:left w:w="0" w:type="dxa"/>
          <w:right w:w="0" w:type="dxa"/>
        </w:tblCellMar>
        <w:tblLook w:val="0000" w:firstRow="0" w:lastRow="0" w:firstColumn="0" w:lastColumn="0" w:noHBand="0" w:noVBand="0"/>
      </w:tblPr>
      <w:tblGrid>
        <w:gridCol w:w="3840"/>
        <w:gridCol w:w="754"/>
        <w:gridCol w:w="754"/>
        <w:gridCol w:w="754"/>
        <w:gridCol w:w="754"/>
        <w:gridCol w:w="754"/>
        <w:gridCol w:w="754"/>
      </w:tblGrid>
      <w:tr w:rsidR="00F102F6" w:rsidRPr="00BF3425" w14:paraId="3ADA6C64" w14:textId="77777777" w:rsidTr="00C15091">
        <w:trPr>
          <w:tblHeader/>
        </w:trPr>
        <w:tc>
          <w:tcPr>
            <w:tcW w:w="3840" w:type="dxa"/>
            <w:tcBorders>
              <w:top w:val="double" w:sz="6" w:space="0" w:color="auto"/>
              <w:left w:val="double" w:sz="6" w:space="0" w:color="auto"/>
              <w:bottom w:val="double" w:sz="6" w:space="0" w:color="auto"/>
              <w:right w:val="double" w:sz="6" w:space="0" w:color="auto"/>
            </w:tcBorders>
            <w:vAlign w:val="bottom"/>
          </w:tcPr>
          <w:p w14:paraId="61622D50" w14:textId="77777777" w:rsidR="00F102F6" w:rsidRPr="00BF3425" w:rsidRDefault="00F102F6" w:rsidP="00C15091">
            <w:pPr>
              <w:pStyle w:val="tabteksts"/>
            </w:pPr>
            <w:r w:rsidRPr="00BF3425">
              <w:t>% no IKP</w:t>
            </w:r>
          </w:p>
        </w:tc>
        <w:tc>
          <w:tcPr>
            <w:tcW w:w="754" w:type="dxa"/>
            <w:tcBorders>
              <w:top w:val="double" w:sz="6" w:space="0" w:color="auto"/>
              <w:left w:val="nil"/>
              <w:bottom w:val="double" w:sz="6" w:space="0" w:color="auto"/>
              <w:right w:val="single" w:sz="4" w:space="0" w:color="auto"/>
            </w:tcBorders>
            <w:vAlign w:val="bottom"/>
          </w:tcPr>
          <w:p w14:paraId="0E715226" w14:textId="77777777" w:rsidR="00F102F6" w:rsidRPr="00BF3425" w:rsidRDefault="00F102F6" w:rsidP="00C15091">
            <w:pPr>
              <w:pStyle w:val="tabteksts"/>
              <w:jc w:val="center"/>
              <w:rPr>
                <w:b/>
              </w:rPr>
            </w:pPr>
            <w:r w:rsidRPr="00BF3425">
              <w:rPr>
                <w:b/>
              </w:rPr>
              <w:t>2010</w:t>
            </w:r>
          </w:p>
        </w:tc>
        <w:tc>
          <w:tcPr>
            <w:tcW w:w="754" w:type="dxa"/>
            <w:tcBorders>
              <w:top w:val="double" w:sz="6" w:space="0" w:color="auto"/>
              <w:left w:val="single" w:sz="4" w:space="0" w:color="auto"/>
              <w:bottom w:val="double" w:sz="6" w:space="0" w:color="auto"/>
              <w:right w:val="single" w:sz="4" w:space="0" w:color="auto"/>
            </w:tcBorders>
            <w:vAlign w:val="bottom"/>
          </w:tcPr>
          <w:p w14:paraId="2C69277D" w14:textId="77777777" w:rsidR="00F102F6" w:rsidRPr="00BF3425" w:rsidRDefault="00F102F6" w:rsidP="00C15091">
            <w:pPr>
              <w:pStyle w:val="tabteksts"/>
              <w:jc w:val="center"/>
              <w:rPr>
                <w:b/>
              </w:rPr>
            </w:pPr>
            <w:r w:rsidRPr="00BF3425">
              <w:rPr>
                <w:b/>
              </w:rPr>
              <w:t>2020</w:t>
            </w:r>
          </w:p>
        </w:tc>
        <w:tc>
          <w:tcPr>
            <w:tcW w:w="754" w:type="dxa"/>
            <w:tcBorders>
              <w:top w:val="double" w:sz="6" w:space="0" w:color="auto"/>
              <w:left w:val="nil"/>
              <w:bottom w:val="double" w:sz="6" w:space="0" w:color="auto"/>
              <w:right w:val="single" w:sz="4" w:space="0" w:color="auto"/>
            </w:tcBorders>
            <w:vAlign w:val="bottom"/>
          </w:tcPr>
          <w:p w14:paraId="591CBC47" w14:textId="77777777" w:rsidR="00F102F6" w:rsidRPr="00BF3425" w:rsidRDefault="00F102F6" w:rsidP="00C15091">
            <w:pPr>
              <w:pStyle w:val="tabteksts"/>
              <w:jc w:val="center"/>
              <w:rPr>
                <w:b/>
              </w:rPr>
            </w:pPr>
            <w:r w:rsidRPr="00BF3425">
              <w:rPr>
                <w:b/>
              </w:rPr>
              <w:t>2030</w:t>
            </w:r>
          </w:p>
        </w:tc>
        <w:tc>
          <w:tcPr>
            <w:tcW w:w="754" w:type="dxa"/>
            <w:tcBorders>
              <w:top w:val="double" w:sz="6" w:space="0" w:color="auto"/>
              <w:left w:val="nil"/>
              <w:bottom w:val="double" w:sz="6" w:space="0" w:color="auto"/>
              <w:right w:val="single" w:sz="4" w:space="0" w:color="auto"/>
            </w:tcBorders>
            <w:vAlign w:val="bottom"/>
          </w:tcPr>
          <w:p w14:paraId="3E6FCFC7" w14:textId="77777777" w:rsidR="00F102F6" w:rsidRPr="00BF3425" w:rsidRDefault="00F102F6" w:rsidP="00C15091">
            <w:pPr>
              <w:pStyle w:val="tabteksts"/>
              <w:jc w:val="center"/>
              <w:rPr>
                <w:b/>
              </w:rPr>
            </w:pPr>
            <w:r w:rsidRPr="00BF3425">
              <w:rPr>
                <w:b/>
              </w:rPr>
              <w:t>2040</w:t>
            </w:r>
          </w:p>
        </w:tc>
        <w:tc>
          <w:tcPr>
            <w:tcW w:w="754" w:type="dxa"/>
            <w:tcBorders>
              <w:top w:val="double" w:sz="6" w:space="0" w:color="auto"/>
              <w:left w:val="nil"/>
              <w:bottom w:val="double" w:sz="6" w:space="0" w:color="auto"/>
              <w:right w:val="single" w:sz="4" w:space="0" w:color="auto"/>
            </w:tcBorders>
          </w:tcPr>
          <w:p w14:paraId="6282D2EB" w14:textId="77777777" w:rsidR="00F102F6" w:rsidRPr="00BF3425" w:rsidRDefault="00F102F6" w:rsidP="00C15091">
            <w:pPr>
              <w:pStyle w:val="tabteksts"/>
              <w:jc w:val="center"/>
              <w:rPr>
                <w:b/>
              </w:rPr>
            </w:pPr>
            <w:r w:rsidRPr="00BF3425">
              <w:rPr>
                <w:b/>
              </w:rPr>
              <w:t>2050</w:t>
            </w:r>
          </w:p>
        </w:tc>
        <w:tc>
          <w:tcPr>
            <w:tcW w:w="754" w:type="dxa"/>
            <w:tcBorders>
              <w:top w:val="double" w:sz="6" w:space="0" w:color="auto"/>
              <w:left w:val="single" w:sz="4" w:space="0" w:color="auto"/>
              <w:bottom w:val="double" w:sz="6" w:space="0" w:color="auto"/>
              <w:right w:val="double" w:sz="6" w:space="0" w:color="auto"/>
            </w:tcBorders>
            <w:vAlign w:val="bottom"/>
          </w:tcPr>
          <w:p w14:paraId="4FE2621A" w14:textId="77777777" w:rsidR="00F102F6" w:rsidRPr="00BF3425" w:rsidRDefault="00F102F6" w:rsidP="00C15091">
            <w:pPr>
              <w:pStyle w:val="tabteksts"/>
              <w:jc w:val="center"/>
              <w:rPr>
                <w:b/>
              </w:rPr>
            </w:pPr>
            <w:r w:rsidRPr="00BF3425">
              <w:rPr>
                <w:b/>
              </w:rPr>
              <w:t>2060</w:t>
            </w:r>
          </w:p>
        </w:tc>
      </w:tr>
      <w:tr w:rsidR="00F102F6" w:rsidRPr="00BF3425" w14:paraId="529C69DB" w14:textId="77777777" w:rsidTr="002622DC">
        <w:tc>
          <w:tcPr>
            <w:tcW w:w="3840" w:type="dxa"/>
            <w:tcBorders>
              <w:top w:val="double" w:sz="6" w:space="0" w:color="auto"/>
              <w:left w:val="double" w:sz="6" w:space="0" w:color="auto"/>
              <w:bottom w:val="single" w:sz="4" w:space="0" w:color="auto"/>
              <w:right w:val="double" w:sz="6" w:space="0" w:color="auto"/>
            </w:tcBorders>
            <w:vAlign w:val="bottom"/>
          </w:tcPr>
          <w:p w14:paraId="687D1636" w14:textId="77777777" w:rsidR="00F102F6" w:rsidRPr="00BF3425" w:rsidRDefault="00F102F6" w:rsidP="00C15091">
            <w:pPr>
              <w:pStyle w:val="tabteksts"/>
            </w:pPr>
            <w:r w:rsidRPr="00BF3425">
              <w:t>Kopējie izdevumi</w:t>
            </w:r>
          </w:p>
        </w:tc>
        <w:tc>
          <w:tcPr>
            <w:tcW w:w="754" w:type="dxa"/>
            <w:tcBorders>
              <w:top w:val="double" w:sz="6" w:space="0" w:color="auto"/>
              <w:left w:val="nil"/>
              <w:bottom w:val="single" w:sz="4" w:space="0" w:color="auto"/>
              <w:right w:val="single" w:sz="4" w:space="0" w:color="auto"/>
            </w:tcBorders>
          </w:tcPr>
          <w:p w14:paraId="21CA0650" w14:textId="77777777" w:rsidR="00F102F6" w:rsidRPr="00BF3425" w:rsidRDefault="00F102F6" w:rsidP="002622DC">
            <w:pPr>
              <w:pStyle w:val="tabteksts"/>
              <w:tabs>
                <w:tab w:val="decimal" w:pos="436"/>
              </w:tabs>
              <w:jc w:val="right"/>
            </w:pPr>
          </w:p>
        </w:tc>
        <w:tc>
          <w:tcPr>
            <w:tcW w:w="754" w:type="dxa"/>
            <w:tcBorders>
              <w:top w:val="double" w:sz="6" w:space="0" w:color="auto"/>
              <w:left w:val="single" w:sz="4" w:space="0" w:color="auto"/>
              <w:bottom w:val="single" w:sz="4" w:space="0" w:color="auto"/>
              <w:right w:val="single" w:sz="4" w:space="0" w:color="auto"/>
            </w:tcBorders>
          </w:tcPr>
          <w:p w14:paraId="5E60E5BB" w14:textId="77777777" w:rsidR="00F102F6" w:rsidRPr="00BF3425" w:rsidRDefault="00F102F6" w:rsidP="002622DC">
            <w:pPr>
              <w:pStyle w:val="tabteksts"/>
              <w:tabs>
                <w:tab w:val="decimal" w:pos="436"/>
              </w:tabs>
              <w:jc w:val="right"/>
            </w:pPr>
          </w:p>
        </w:tc>
        <w:tc>
          <w:tcPr>
            <w:tcW w:w="754" w:type="dxa"/>
            <w:tcBorders>
              <w:top w:val="double" w:sz="6" w:space="0" w:color="auto"/>
              <w:left w:val="nil"/>
              <w:bottom w:val="single" w:sz="4" w:space="0" w:color="auto"/>
              <w:right w:val="single" w:sz="4" w:space="0" w:color="auto"/>
            </w:tcBorders>
          </w:tcPr>
          <w:p w14:paraId="465A1964" w14:textId="77777777" w:rsidR="00F102F6" w:rsidRPr="00BF3425" w:rsidRDefault="00F102F6" w:rsidP="002622DC">
            <w:pPr>
              <w:pStyle w:val="tabteksts"/>
              <w:tabs>
                <w:tab w:val="decimal" w:pos="436"/>
              </w:tabs>
              <w:jc w:val="right"/>
            </w:pPr>
          </w:p>
        </w:tc>
        <w:tc>
          <w:tcPr>
            <w:tcW w:w="754" w:type="dxa"/>
            <w:tcBorders>
              <w:top w:val="double" w:sz="6" w:space="0" w:color="auto"/>
              <w:left w:val="nil"/>
              <w:bottom w:val="single" w:sz="4" w:space="0" w:color="auto"/>
              <w:right w:val="single" w:sz="4" w:space="0" w:color="auto"/>
            </w:tcBorders>
          </w:tcPr>
          <w:p w14:paraId="098CDEBC" w14:textId="77777777" w:rsidR="00F102F6" w:rsidRPr="00BF3425" w:rsidRDefault="00F102F6" w:rsidP="002622DC">
            <w:pPr>
              <w:pStyle w:val="tabteksts"/>
              <w:tabs>
                <w:tab w:val="decimal" w:pos="436"/>
              </w:tabs>
              <w:jc w:val="right"/>
            </w:pPr>
          </w:p>
        </w:tc>
        <w:tc>
          <w:tcPr>
            <w:tcW w:w="754" w:type="dxa"/>
            <w:tcBorders>
              <w:top w:val="double" w:sz="6" w:space="0" w:color="auto"/>
              <w:left w:val="nil"/>
              <w:bottom w:val="single" w:sz="4" w:space="0" w:color="auto"/>
              <w:right w:val="single" w:sz="4" w:space="0" w:color="auto"/>
            </w:tcBorders>
          </w:tcPr>
          <w:p w14:paraId="7C4977C2" w14:textId="77777777" w:rsidR="00F102F6" w:rsidRPr="00BF3425" w:rsidRDefault="00F102F6" w:rsidP="002622DC">
            <w:pPr>
              <w:pStyle w:val="tabteksts"/>
              <w:tabs>
                <w:tab w:val="decimal" w:pos="436"/>
              </w:tabs>
              <w:jc w:val="right"/>
            </w:pPr>
          </w:p>
        </w:tc>
        <w:tc>
          <w:tcPr>
            <w:tcW w:w="754" w:type="dxa"/>
            <w:tcBorders>
              <w:top w:val="double" w:sz="6" w:space="0" w:color="auto"/>
              <w:left w:val="single" w:sz="4" w:space="0" w:color="auto"/>
              <w:bottom w:val="single" w:sz="4" w:space="0" w:color="auto"/>
              <w:right w:val="double" w:sz="6" w:space="0" w:color="auto"/>
            </w:tcBorders>
          </w:tcPr>
          <w:p w14:paraId="298446CA" w14:textId="77777777" w:rsidR="00F102F6" w:rsidRPr="00BF3425" w:rsidRDefault="00F102F6" w:rsidP="002622DC">
            <w:pPr>
              <w:pStyle w:val="tabteksts"/>
              <w:tabs>
                <w:tab w:val="decimal" w:pos="436"/>
              </w:tabs>
              <w:jc w:val="right"/>
            </w:pPr>
          </w:p>
        </w:tc>
      </w:tr>
      <w:tr w:rsidR="00F102F6" w:rsidRPr="00BF3425" w14:paraId="6ABDD07A"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595D26B" w14:textId="77777777" w:rsidR="00F102F6" w:rsidRPr="00BF3425" w:rsidRDefault="00F102F6" w:rsidP="00C15091">
            <w:pPr>
              <w:pStyle w:val="tabteksts"/>
              <w:rPr>
                <w:noProof/>
              </w:rPr>
            </w:pPr>
            <w:r w:rsidRPr="00BF3425">
              <w:rPr>
                <w:noProof/>
              </w:rPr>
              <w:t>t.sk. ar vecumu saistītie izdevumi</w:t>
            </w:r>
          </w:p>
        </w:tc>
        <w:tc>
          <w:tcPr>
            <w:tcW w:w="754" w:type="dxa"/>
            <w:tcBorders>
              <w:top w:val="single" w:sz="4" w:space="0" w:color="auto"/>
              <w:left w:val="nil"/>
              <w:bottom w:val="single" w:sz="4" w:space="0" w:color="auto"/>
              <w:right w:val="single" w:sz="4" w:space="0" w:color="auto"/>
            </w:tcBorders>
          </w:tcPr>
          <w:p w14:paraId="6FB6473B" w14:textId="77777777" w:rsidR="00F102F6" w:rsidRPr="00BF3425" w:rsidRDefault="00F102F6" w:rsidP="002622DC">
            <w:pPr>
              <w:pStyle w:val="tabteksts"/>
              <w:tabs>
                <w:tab w:val="decimal" w:pos="436"/>
              </w:tabs>
              <w:jc w:val="right"/>
            </w:pPr>
            <w:r w:rsidRPr="00BF3425">
              <w:t>18,5</w:t>
            </w:r>
          </w:p>
        </w:tc>
        <w:tc>
          <w:tcPr>
            <w:tcW w:w="754" w:type="dxa"/>
            <w:tcBorders>
              <w:top w:val="single" w:sz="4" w:space="0" w:color="auto"/>
              <w:left w:val="single" w:sz="4" w:space="0" w:color="auto"/>
              <w:bottom w:val="single" w:sz="4" w:space="0" w:color="auto"/>
              <w:right w:val="single" w:sz="4" w:space="0" w:color="auto"/>
            </w:tcBorders>
          </w:tcPr>
          <w:p w14:paraId="3ED7A602" w14:textId="77777777" w:rsidR="00F102F6" w:rsidRPr="00BF3425" w:rsidRDefault="00F102F6" w:rsidP="002622DC">
            <w:pPr>
              <w:pStyle w:val="tabteksts"/>
              <w:tabs>
                <w:tab w:val="decimal" w:pos="436"/>
              </w:tabs>
              <w:jc w:val="right"/>
            </w:pPr>
            <w:r w:rsidRPr="00BF3425">
              <w:t>15,4</w:t>
            </w:r>
          </w:p>
        </w:tc>
        <w:tc>
          <w:tcPr>
            <w:tcW w:w="754" w:type="dxa"/>
            <w:tcBorders>
              <w:top w:val="single" w:sz="4" w:space="0" w:color="auto"/>
              <w:left w:val="nil"/>
              <w:bottom w:val="single" w:sz="4" w:space="0" w:color="auto"/>
              <w:right w:val="single" w:sz="4" w:space="0" w:color="auto"/>
            </w:tcBorders>
          </w:tcPr>
          <w:p w14:paraId="72087310" w14:textId="77777777" w:rsidR="00F102F6" w:rsidRPr="00BF3425" w:rsidRDefault="00F102F6" w:rsidP="002622DC">
            <w:pPr>
              <w:pStyle w:val="tabteksts"/>
              <w:tabs>
                <w:tab w:val="decimal" w:pos="436"/>
              </w:tabs>
              <w:jc w:val="right"/>
            </w:pPr>
            <w:r w:rsidRPr="00BF3425">
              <w:t>14,4</w:t>
            </w:r>
          </w:p>
        </w:tc>
        <w:tc>
          <w:tcPr>
            <w:tcW w:w="754" w:type="dxa"/>
            <w:tcBorders>
              <w:top w:val="single" w:sz="4" w:space="0" w:color="auto"/>
              <w:left w:val="nil"/>
              <w:bottom w:val="single" w:sz="4" w:space="0" w:color="auto"/>
              <w:right w:val="single" w:sz="4" w:space="0" w:color="auto"/>
            </w:tcBorders>
          </w:tcPr>
          <w:p w14:paraId="493332EF" w14:textId="77777777" w:rsidR="00F102F6" w:rsidRPr="00BF3425" w:rsidRDefault="00F102F6" w:rsidP="002622DC">
            <w:pPr>
              <w:pStyle w:val="tabteksts"/>
              <w:tabs>
                <w:tab w:val="decimal" w:pos="436"/>
              </w:tabs>
              <w:jc w:val="right"/>
            </w:pPr>
            <w:r w:rsidRPr="00BF3425">
              <w:t>14,4</w:t>
            </w:r>
          </w:p>
        </w:tc>
        <w:tc>
          <w:tcPr>
            <w:tcW w:w="754" w:type="dxa"/>
            <w:tcBorders>
              <w:top w:val="single" w:sz="4" w:space="0" w:color="auto"/>
              <w:left w:val="nil"/>
              <w:bottom w:val="single" w:sz="4" w:space="0" w:color="auto"/>
              <w:right w:val="single" w:sz="4" w:space="0" w:color="auto"/>
            </w:tcBorders>
          </w:tcPr>
          <w:p w14:paraId="4C35DA0F" w14:textId="77777777" w:rsidR="00F102F6" w:rsidRPr="00BF3425" w:rsidRDefault="00F102F6" w:rsidP="002622DC">
            <w:pPr>
              <w:pStyle w:val="tabteksts"/>
              <w:tabs>
                <w:tab w:val="decimal" w:pos="436"/>
              </w:tabs>
              <w:jc w:val="right"/>
            </w:pPr>
            <w:r w:rsidRPr="00BF3425">
              <w:t>14,9</w:t>
            </w:r>
          </w:p>
        </w:tc>
        <w:tc>
          <w:tcPr>
            <w:tcW w:w="754" w:type="dxa"/>
            <w:tcBorders>
              <w:top w:val="single" w:sz="4" w:space="0" w:color="auto"/>
              <w:left w:val="single" w:sz="4" w:space="0" w:color="auto"/>
              <w:bottom w:val="single" w:sz="4" w:space="0" w:color="auto"/>
              <w:right w:val="double" w:sz="6" w:space="0" w:color="auto"/>
            </w:tcBorders>
          </w:tcPr>
          <w:p w14:paraId="48FB461E" w14:textId="77777777" w:rsidR="00F102F6" w:rsidRPr="00BF3425" w:rsidRDefault="00F102F6" w:rsidP="002622DC">
            <w:pPr>
              <w:pStyle w:val="tabteksts"/>
              <w:tabs>
                <w:tab w:val="decimal" w:pos="436"/>
              </w:tabs>
              <w:jc w:val="right"/>
            </w:pPr>
            <w:r w:rsidRPr="00BF3425">
              <w:t>15,1</w:t>
            </w:r>
          </w:p>
        </w:tc>
      </w:tr>
      <w:tr w:rsidR="00F102F6" w:rsidRPr="00A15780" w14:paraId="08F5EB02"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0EF3C186" w14:textId="77777777" w:rsidR="00F102F6" w:rsidRPr="00A15780" w:rsidRDefault="00F102F6" w:rsidP="00C15091">
            <w:pPr>
              <w:pStyle w:val="tabteksts"/>
              <w:rPr>
                <w:noProof/>
              </w:rPr>
            </w:pPr>
            <w:r w:rsidRPr="00A15780">
              <w:rPr>
                <w:noProof/>
              </w:rPr>
              <w:t>Pensiju izdevumi</w:t>
            </w:r>
          </w:p>
        </w:tc>
        <w:tc>
          <w:tcPr>
            <w:tcW w:w="754" w:type="dxa"/>
            <w:tcBorders>
              <w:top w:val="single" w:sz="4" w:space="0" w:color="auto"/>
              <w:left w:val="nil"/>
              <w:bottom w:val="single" w:sz="4" w:space="0" w:color="auto"/>
              <w:right w:val="single" w:sz="4" w:space="0" w:color="auto"/>
            </w:tcBorders>
          </w:tcPr>
          <w:p w14:paraId="3853E60E" w14:textId="77777777" w:rsidR="00F102F6" w:rsidRPr="00A15780" w:rsidRDefault="00F102F6" w:rsidP="002622DC">
            <w:pPr>
              <w:pStyle w:val="tabteksts"/>
              <w:tabs>
                <w:tab w:val="decimal" w:pos="436"/>
              </w:tabs>
              <w:jc w:val="right"/>
            </w:pPr>
            <w:r w:rsidRPr="00A15780">
              <w:t>9,7</w:t>
            </w:r>
          </w:p>
        </w:tc>
        <w:tc>
          <w:tcPr>
            <w:tcW w:w="754" w:type="dxa"/>
            <w:tcBorders>
              <w:top w:val="single" w:sz="4" w:space="0" w:color="auto"/>
              <w:left w:val="single" w:sz="4" w:space="0" w:color="auto"/>
              <w:bottom w:val="single" w:sz="4" w:space="0" w:color="auto"/>
              <w:right w:val="single" w:sz="4" w:space="0" w:color="auto"/>
            </w:tcBorders>
          </w:tcPr>
          <w:p w14:paraId="05AD7FA8" w14:textId="77777777" w:rsidR="00F102F6" w:rsidRPr="00A15780" w:rsidRDefault="00F102F6" w:rsidP="002622DC">
            <w:pPr>
              <w:pStyle w:val="tabteksts"/>
              <w:tabs>
                <w:tab w:val="decimal" w:pos="436"/>
              </w:tabs>
              <w:jc w:val="right"/>
            </w:pPr>
            <w:r w:rsidRPr="00A15780">
              <w:t>6,8</w:t>
            </w:r>
          </w:p>
        </w:tc>
        <w:tc>
          <w:tcPr>
            <w:tcW w:w="754" w:type="dxa"/>
            <w:tcBorders>
              <w:top w:val="single" w:sz="4" w:space="0" w:color="auto"/>
              <w:left w:val="nil"/>
              <w:bottom w:val="single" w:sz="4" w:space="0" w:color="auto"/>
              <w:right w:val="single" w:sz="4" w:space="0" w:color="auto"/>
            </w:tcBorders>
          </w:tcPr>
          <w:p w14:paraId="6C06F7F7" w14:textId="77777777" w:rsidR="00F102F6" w:rsidRPr="00A15780" w:rsidRDefault="00F102F6" w:rsidP="002622DC">
            <w:pPr>
              <w:pStyle w:val="tabteksts"/>
              <w:tabs>
                <w:tab w:val="decimal" w:pos="436"/>
              </w:tabs>
              <w:jc w:val="right"/>
            </w:pPr>
            <w:r w:rsidRPr="00A15780">
              <w:t>6,0</w:t>
            </w:r>
          </w:p>
        </w:tc>
        <w:tc>
          <w:tcPr>
            <w:tcW w:w="754" w:type="dxa"/>
            <w:tcBorders>
              <w:top w:val="single" w:sz="4" w:space="0" w:color="auto"/>
              <w:left w:val="nil"/>
              <w:bottom w:val="single" w:sz="4" w:space="0" w:color="auto"/>
              <w:right w:val="single" w:sz="4" w:space="0" w:color="auto"/>
            </w:tcBorders>
          </w:tcPr>
          <w:p w14:paraId="6263B7D0" w14:textId="77777777" w:rsidR="00F102F6" w:rsidRPr="00A15780" w:rsidRDefault="00F102F6" w:rsidP="002622DC">
            <w:pPr>
              <w:pStyle w:val="tabteksts"/>
              <w:tabs>
                <w:tab w:val="decimal" w:pos="436"/>
              </w:tabs>
              <w:jc w:val="right"/>
            </w:pPr>
            <w:r w:rsidRPr="00A15780">
              <w:t>6,1</w:t>
            </w:r>
          </w:p>
        </w:tc>
        <w:tc>
          <w:tcPr>
            <w:tcW w:w="754" w:type="dxa"/>
            <w:tcBorders>
              <w:top w:val="single" w:sz="4" w:space="0" w:color="auto"/>
              <w:left w:val="nil"/>
              <w:bottom w:val="single" w:sz="4" w:space="0" w:color="auto"/>
              <w:right w:val="single" w:sz="4" w:space="0" w:color="auto"/>
            </w:tcBorders>
          </w:tcPr>
          <w:p w14:paraId="268F94C9" w14:textId="77777777" w:rsidR="00F102F6" w:rsidRPr="00A15780" w:rsidRDefault="00F102F6" w:rsidP="002622DC">
            <w:pPr>
              <w:pStyle w:val="tabteksts"/>
              <w:tabs>
                <w:tab w:val="decimal" w:pos="436"/>
              </w:tabs>
              <w:jc w:val="right"/>
            </w:pPr>
            <w:r w:rsidRPr="00A15780">
              <w:t>6,2</w:t>
            </w:r>
          </w:p>
        </w:tc>
        <w:tc>
          <w:tcPr>
            <w:tcW w:w="754" w:type="dxa"/>
            <w:tcBorders>
              <w:top w:val="single" w:sz="4" w:space="0" w:color="auto"/>
              <w:left w:val="single" w:sz="4" w:space="0" w:color="auto"/>
              <w:bottom w:val="single" w:sz="4" w:space="0" w:color="auto"/>
              <w:right w:val="double" w:sz="6" w:space="0" w:color="auto"/>
            </w:tcBorders>
          </w:tcPr>
          <w:p w14:paraId="6D4B9DE9" w14:textId="77777777" w:rsidR="00F102F6" w:rsidRPr="00A15780" w:rsidRDefault="00F102F6" w:rsidP="002622DC">
            <w:pPr>
              <w:pStyle w:val="tabteksts"/>
              <w:tabs>
                <w:tab w:val="decimal" w:pos="436"/>
              </w:tabs>
              <w:jc w:val="right"/>
            </w:pPr>
            <w:r w:rsidRPr="00A15780">
              <w:t>6,0</w:t>
            </w:r>
          </w:p>
        </w:tc>
      </w:tr>
      <w:tr w:rsidR="00F102F6" w:rsidRPr="00A15780" w14:paraId="3426F8AD"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D456CD6" w14:textId="77777777" w:rsidR="00F102F6" w:rsidRPr="00A15780" w:rsidRDefault="00F102F6" w:rsidP="00C15091">
            <w:pPr>
              <w:pStyle w:val="tabteksts"/>
              <w:rPr>
                <w:noProof/>
              </w:rPr>
            </w:pPr>
            <w:r w:rsidRPr="00A15780">
              <w:rPr>
                <w:noProof/>
              </w:rPr>
              <w:t>Sociālās apdrošināšanas pensijas</w:t>
            </w:r>
          </w:p>
        </w:tc>
        <w:tc>
          <w:tcPr>
            <w:tcW w:w="754" w:type="dxa"/>
            <w:tcBorders>
              <w:top w:val="single" w:sz="4" w:space="0" w:color="auto"/>
              <w:left w:val="nil"/>
              <w:bottom w:val="single" w:sz="4" w:space="0" w:color="auto"/>
              <w:right w:val="single" w:sz="4" w:space="0" w:color="auto"/>
            </w:tcBorders>
          </w:tcPr>
          <w:p w14:paraId="4B6D4806" w14:textId="77777777" w:rsidR="00F102F6" w:rsidRPr="00A15780" w:rsidRDefault="00F102F6" w:rsidP="002622DC">
            <w:pPr>
              <w:pStyle w:val="tabteksts"/>
              <w:tabs>
                <w:tab w:val="decimal" w:pos="436"/>
              </w:tabs>
              <w:jc w:val="right"/>
            </w:pPr>
            <w:r w:rsidRPr="00A15780">
              <w:t>9,7</w:t>
            </w:r>
          </w:p>
        </w:tc>
        <w:tc>
          <w:tcPr>
            <w:tcW w:w="754" w:type="dxa"/>
            <w:tcBorders>
              <w:top w:val="single" w:sz="4" w:space="0" w:color="auto"/>
              <w:left w:val="single" w:sz="4" w:space="0" w:color="auto"/>
              <w:bottom w:val="single" w:sz="4" w:space="0" w:color="auto"/>
              <w:right w:val="single" w:sz="4" w:space="0" w:color="auto"/>
            </w:tcBorders>
          </w:tcPr>
          <w:p w14:paraId="3A70F8CE" w14:textId="77777777" w:rsidR="00F102F6" w:rsidRPr="00A15780" w:rsidRDefault="00F102F6" w:rsidP="002622DC">
            <w:pPr>
              <w:pStyle w:val="tabteksts"/>
              <w:tabs>
                <w:tab w:val="decimal" w:pos="436"/>
              </w:tabs>
              <w:jc w:val="right"/>
            </w:pPr>
            <w:r w:rsidRPr="00A15780">
              <w:t>6,8</w:t>
            </w:r>
          </w:p>
        </w:tc>
        <w:tc>
          <w:tcPr>
            <w:tcW w:w="754" w:type="dxa"/>
            <w:tcBorders>
              <w:top w:val="single" w:sz="4" w:space="0" w:color="auto"/>
              <w:left w:val="nil"/>
              <w:bottom w:val="single" w:sz="4" w:space="0" w:color="auto"/>
              <w:right w:val="single" w:sz="4" w:space="0" w:color="auto"/>
            </w:tcBorders>
          </w:tcPr>
          <w:p w14:paraId="1B05BC86" w14:textId="77777777" w:rsidR="00F102F6" w:rsidRPr="00A15780" w:rsidRDefault="00F102F6" w:rsidP="002622DC">
            <w:pPr>
              <w:pStyle w:val="tabteksts"/>
              <w:tabs>
                <w:tab w:val="decimal" w:pos="436"/>
              </w:tabs>
              <w:jc w:val="right"/>
            </w:pPr>
            <w:r w:rsidRPr="00A15780">
              <w:t>6,0</w:t>
            </w:r>
          </w:p>
        </w:tc>
        <w:tc>
          <w:tcPr>
            <w:tcW w:w="754" w:type="dxa"/>
            <w:tcBorders>
              <w:top w:val="single" w:sz="4" w:space="0" w:color="auto"/>
              <w:left w:val="nil"/>
              <w:bottom w:val="single" w:sz="4" w:space="0" w:color="auto"/>
              <w:right w:val="single" w:sz="4" w:space="0" w:color="auto"/>
            </w:tcBorders>
          </w:tcPr>
          <w:p w14:paraId="461E114F" w14:textId="77777777" w:rsidR="00F102F6" w:rsidRPr="00A15780" w:rsidRDefault="00F102F6" w:rsidP="002622DC">
            <w:pPr>
              <w:pStyle w:val="tabteksts"/>
              <w:tabs>
                <w:tab w:val="decimal" w:pos="436"/>
              </w:tabs>
              <w:jc w:val="right"/>
            </w:pPr>
            <w:r w:rsidRPr="00A15780">
              <w:t>6,1</w:t>
            </w:r>
          </w:p>
        </w:tc>
        <w:tc>
          <w:tcPr>
            <w:tcW w:w="754" w:type="dxa"/>
            <w:tcBorders>
              <w:top w:val="single" w:sz="4" w:space="0" w:color="auto"/>
              <w:left w:val="nil"/>
              <w:bottom w:val="single" w:sz="4" w:space="0" w:color="auto"/>
              <w:right w:val="single" w:sz="4" w:space="0" w:color="auto"/>
            </w:tcBorders>
          </w:tcPr>
          <w:p w14:paraId="0A8AD91F" w14:textId="77777777" w:rsidR="00F102F6" w:rsidRPr="00A15780" w:rsidRDefault="00F102F6" w:rsidP="002622DC">
            <w:pPr>
              <w:pStyle w:val="tabteksts"/>
              <w:tabs>
                <w:tab w:val="decimal" w:pos="436"/>
              </w:tabs>
              <w:jc w:val="right"/>
            </w:pPr>
            <w:r w:rsidRPr="00A15780">
              <w:t>6,2</w:t>
            </w:r>
          </w:p>
        </w:tc>
        <w:tc>
          <w:tcPr>
            <w:tcW w:w="754" w:type="dxa"/>
            <w:tcBorders>
              <w:top w:val="single" w:sz="4" w:space="0" w:color="auto"/>
              <w:left w:val="single" w:sz="4" w:space="0" w:color="auto"/>
              <w:bottom w:val="single" w:sz="4" w:space="0" w:color="auto"/>
              <w:right w:val="double" w:sz="6" w:space="0" w:color="auto"/>
            </w:tcBorders>
          </w:tcPr>
          <w:p w14:paraId="0BB83070" w14:textId="77777777" w:rsidR="00F102F6" w:rsidRPr="00A15780" w:rsidRDefault="00F102F6" w:rsidP="002622DC">
            <w:pPr>
              <w:pStyle w:val="tabteksts"/>
              <w:tabs>
                <w:tab w:val="decimal" w:pos="436"/>
              </w:tabs>
              <w:jc w:val="right"/>
            </w:pPr>
            <w:r w:rsidRPr="00A15780">
              <w:t>6,0</w:t>
            </w:r>
          </w:p>
        </w:tc>
      </w:tr>
      <w:tr w:rsidR="00F102F6" w:rsidRPr="00A15780" w14:paraId="2D9D7A72"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61EE355" w14:textId="77777777" w:rsidR="00F102F6" w:rsidRPr="00A15780" w:rsidRDefault="00F102F6" w:rsidP="00C15091">
            <w:pPr>
              <w:pStyle w:val="tabteksts"/>
              <w:ind w:left="720"/>
              <w:rPr>
                <w:noProof/>
              </w:rPr>
            </w:pPr>
            <w:r w:rsidRPr="00A15780">
              <w:rPr>
                <w:noProof/>
              </w:rPr>
              <w:t>Vecuma un priekšlaicīgās pensijas</w:t>
            </w:r>
          </w:p>
        </w:tc>
        <w:tc>
          <w:tcPr>
            <w:tcW w:w="754" w:type="dxa"/>
            <w:tcBorders>
              <w:top w:val="single" w:sz="4" w:space="0" w:color="auto"/>
              <w:left w:val="nil"/>
              <w:bottom w:val="single" w:sz="4" w:space="0" w:color="auto"/>
              <w:right w:val="single" w:sz="4" w:space="0" w:color="auto"/>
            </w:tcBorders>
          </w:tcPr>
          <w:p w14:paraId="7A040F97" w14:textId="77777777" w:rsidR="00F102F6" w:rsidRPr="00A15780" w:rsidRDefault="00F102F6" w:rsidP="002622DC">
            <w:pPr>
              <w:pStyle w:val="tabteksts"/>
              <w:tabs>
                <w:tab w:val="decimal" w:pos="436"/>
              </w:tabs>
              <w:jc w:val="right"/>
            </w:pPr>
            <w:r w:rsidRPr="00A15780">
              <w:t>8,7</w:t>
            </w:r>
          </w:p>
        </w:tc>
        <w:tc>
          <w:tcPr>
            <w:tcW w:w="754" w:type="dxa"/>
            <w:tcBorders>
              <w:top w:val="single" w:sz="4" w:space="0" w:color="auto"/>
              <w:left w:val="single" w:sz="4" w:space="0" w:color="auto"/>
              <w:bottom w:val="single" w:sz="4" w:space="0" w:color="auto"/>
              <w:right w:val="single" w:sz="4" w:space="0" w:color="auto"/>
            </w:tcBorders>
          </w:tcPr>
          <w:p w14:paraId="08D6FA49" w14:textId="77777777" w:rsidR="00F102F6" w:rsidRPr="00A15780" w:rsidRDefault="00F102F6" w:rsidP="002622DC">
            <w:pPr>
              <w:pStyle w:val="tabteksts"/>
              <w:tabs>
                <w:tab w:val="decimal" w:pos="436"/>
              </w:tabs>
              <w:jc w:val="right"/>
            </w:pPr>
            <w:r w:rsidRPr="00A15780">
              <w:t>6,1</w:t>
            </w:r>
          </w:p>
        </w:tc>
        <w:tc>
          <w:tcPr>
            <w:tcW w:w="754" w:type="dxa"/>
            <w:tcBorders>
              <w:top w:val="single" w:sz="4" w:space="0" w:color="auto"/>
              <w:left w:val="nil"/>
              <w:bottom w:val="single" w:sz="4" w:space="0" w:color="auto"/>
              <w:right w:val="single" w:sz="4" w:space="0" w:color="auto"/>
            </w:tcBorders>
          </w:tcPr>
          <w:p w14:paraId="3A4C81AF" w14:textId="77777777" w:rsidR="00F102F6" w:rsidRPr="00A15780" w:rsidRDefault="00F102F6" w:rsidP="002622DC">
            <w:pPr>
              <w:pStyle w:val="tabteksts"/>
              <w:tabs>
                <w:tab w:val="decimal" w:pos="436"/>
              </w:tabs>
              <w:jc w:val="right"/>
            </w:pPr>
            <w:r w:rsidRPr="00A15780">
              <w:t>5,4</w:t>
            </w:r>
          </w:p>
        </w:tc>
        <w:tc>
          <w:tcPr>
            <w:tcW w:w="754" w:type="dxa"/>
            <w:tcBorders>
              <w:top w:val="single" w:sz="4" w:space="0" w:color="auto"/>
              <w:left w:val="nil"/>
              <w:bottom w:val="single" w:sz="4" w:space="0" w:color="auto"/>
              <w:right w:val="single" w:sz="4" w:space="0" w:color="auto"/>
            </w:tcBorders>
          </w:tcPr>
          <w:p w14:paraId="2417F523" w14:textId="77777777" w:rsidR="00F102F6" w:rsidRPr="00A15780" w:rsidRDefault="00F102F6" w:rsidP="002622DC">
            <w:pPr>
              <w:pStyle w:val="tabteksts"/>
              <w:tabs>
                <w:tab w:val="decimal" w:pos="436"/>
              </w:tabs>
              <w:jc w:val="right"/>
            </w:pPr>
            <w:r w:rsidRPr="00A15780">
              <w:t>5,6</w:t>
            </w:r>
          </w:p>
        </w:tc>
        <w:tc>
          <w:tcPr>
            <w:tcW w:w="754" w:type="dxa"/>
            <w:tcBorders>
              <w:top w:val="single" w:sz="4" w:space="0" w:color="auto"/>
              <w:left w:val="nil"/>
              <w:bottom w:val="single" w:sz="4" w:space="0" w:color="auto"/>
              <w:right w:val="single" w:sz="4" w:space="0" w:color="auto"/>
            </w:tcBorders>
          </w:tcPr>
          <w:p w14:paraId="4623FC08" w14:textId="77777777" w:rsidR="00F102F6" w:rsidRPr="00A15780" w:rsidRDefault="00F102F6" w:rsidP="002622DC">
            <w:pPr>
              <w:pStyle w:val="tabteksts"/>
              <w:tabs>
                <w:tab w:val="decimal" w:pos="436"/>
              </w:tabs>
              <w:jc w:val="right"/>
            </w:pPr>
            <w:r w:rsidRPr="00A15780">
              <w:t>5,8</w:t>
            </w:r>
          </w:p>
        </w:tc>
        <w:tc>
          <w:tcPr>
            <w:tcW w:w="754" w:type="dxa"/>
            <w:tcBorders>
              <w:top w:val="single" w:sz="4" w:space="0" w:color="auto"/>
              <w:left w:val="single" w:sz="4" w:space="0" w:color="auto"/>
              <w:bottom w:val="single" w:sz="4" w:space="0" w:color="auto"/>
              <w:right w:val="double" w:sz="6" w:space="0" w:color="auto"/>
            </w:tcBorders>
          </w:tcPr>
          <w:p w14:paraId="6D88A136" w14:textId="77777777" w:rsidR="00F102F6" w:rsidRPr="00A15780" w:rsidRDefault="00F102F6" w:rsidP="002622DC">
            <w:pPr>
              <w:pStyle w:val="tabteksts"/>
              <w:tabs>
                <w:tab w:val="decimal" w:pos="436"/>
              </w:tabs>
              <w:jc w:val="right"/>
            </w:pPr>
            <w:r w:rsidRPr="00A15780">
              <w:t>5,6</w:t>
            </w:r>
          </w:p>
        </w:tc>
      </w:tr>
      <w:tr w:rsidR="00F102F6" w:rsidRPr="00A15780" w14:paraId="10AD17F4"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0D6F3B90" w14:textId="77777777" w:rsidR="00F102F6" w:rsidRPr="00A15780" w:rsidRDefault="00F102F6" w:rsidP="00C15091">
            <w:pPr>
              <w:pStyle w:val="tabteksts"/>
              <w:ind w:left="720"/>
              <w:rPr>
                <w:noProof/>
              </w:rPr>
            </w:pPr>
            <w:r w:rsidRPr="00A15780">
              <w:rPr>
                <w:noProof/>
              </w:rPr>
              <w:t>Citas pensijas (invaliditātes, apgādnieka zaudējuma)</w:t>
            </w:r>
          </w:p>
        </w:tc>
        <w:tc>
          <w:tcPr>
            <w:tcW w:w="754" w:type="dxa"/>
            <w:tcBorders>
              <w:top w:val="single" w:sz="4" w:space="0" w:color="auto"/>
              <w:left w:val="nil"/>
              <w:bottom w:val="single" w:sz="4" w:space="0" w:color="auto"/>
              <w:right w:val="single" w:sz="4" w:space="0" w:color="auto"/>
            </w:tcBorders>
          </w:tcPr>
          <w:p w14:paraId="7F4CB61C" w14:textId="77777777" w:rsidR="00F102F6" w:rsidRPr="00A15780" w:rsidRDefault="00F102F6" w:rsidP="002622DC">
            <w:pPr>
              <w:pStyle w:val="tabteksts"/>
              <w:tabs>
                <w:tab w:val="decimal" w:pos="436"/>
              </w:tabs>
              <w:jc w:val="right"/>
            </w:pPr>
            <w:r w:rsidRPr="00A15780">
              <w:t>1,0</w:t>
            </w:r>
          </w:p>
        </w:tc>
        <w:tc>
          <w:tcPr>
            <w:tcW w:w="754" w:type="dxa"/>
            <w:tcBorders>
              <w:top w:val="single" w:sz="4" w:space="0" w:color="auto"/>
              <w:left w:val="single" w:sz="4" w:space="0" w:color="auto"/>
              <w:bottom w:val="single" w:sz="4" w:space="0" w:color="auto"/>
              <w:right w:val="single" w:sz="4" w:space="0" w:color="auto"/>
            </w:tcBorders>
          </w:tcPr>
          <w:p w14:paraId="3CF35638" w14:textId="77777777" w:rsidR="00F102F6" w:rsidRPr="00A15780" w:rsidRDefault="00F102F6" w:rsidP="002622DC">
            <w:pPr>
              <w:pStyle w:val="tabteksts"/>
              <w:tabs>
                <w:tab w:val="decimal" w:pos="436"/>
              </w:tabs>
              <w:jc w:val="right"/>
            </w:pPr>
            <w:r w:rsidRPr="00A15780">
              <w:t>0,7</w:t>
            </w:r>
          </w:p>
        </w:tc>
        <w:tc>
          <w:tcPr>
            <w:tcW w:w="754" w:type="dxa"/>
            <w:tcBorders>
              <w:top w:val="single" w:sz="4" w:space="0" w:color="auto"/>
              <w:left w:val="nil"/>
              <w:bottom w:val="single" w:sz="4" w:space="0" w:color="auto"/>
              <w:right w:val="single" w:sz="4" w:space="0" w:color="auto"/>
            </w:tcBorders>
          </w:tcPr>
          <w:p w14:paraId="5E3F7A88" w14:textId="77777777" w:rsidR="00F102F6" w:rsidRPr="00A15780" w:rsidRDefault="00F102F6" w:rsidP="002622DC">
            <w:pPr>
              <w:pStyle w:val="tabteksts"/>
              <w:tabs>
                <w:tab w:val="decimal" w:pos="436"/>
              </w:tabs>
              <w:jc w:val="right"/>
            </w:pPr>
            <w:r w:rsidRPr="00A15780">
              <w:t>0,6</w:t>
            </w:r>
          </w:p>
        </w:tc>
        <w:tc>
          <w:tcPr>
            <w:tcW w:w="754" w:type="dxa"/>
            <w:tcBorders>
              <w:top w:val="single" w:sz="4" w:space="0" w:color="auto"/>
              <w:left w:val="nil"/>
              <w:bottom w:val="single" w:sz="4" w:space="0" w:color="auto"/>
              <w:right w:val="single" w:sz="4" w:space="0" w:color="auto"/>
            </w:tcBorders>
          </w:tcPr>
          <w:p w14:paraId="444CAB97" w14:textId="77777777" w:rsidR="00F102F6" w:rsidRPr="00A15780" w:rsidRDefault="00F102F6" w:rsidP="002622DC">
            <w:pPr>
              <w:pStyle w:val="tabteksts"/>
              <w:tabs>
                <w:tab w:val="decimal" w:pos="436"/>
              </w:tabs>
              <w:jc w:val="right"/>
            </w:pPr>
            <w:r w:rsidRPr="00A15780">
              <w:t>0,5</w:t>
            </w:r>
          </w:p>
        </w:tc>
        <w:tc>
          <w:tcPr>
            <w:tcW w:w="754" w:type="dxa"/>
            <w:tcBorders>
              <w:top w:val="single" w:sz="4" w:space="0" w:color="auto"/>
              <w:left w:val="nil"/>
              <w:bottom w:val="single" w:sz="4" w:space="0" w:color="auto"/>
              <w:right w:val="single" w:sz="4" w:space="0" w:color="auto"/>
            </w:tcBorders>
          </w:tcPr>
          <w:p w14:paraId="4C5FA72E" w14:textId="77777777" w:rsidR="00F102F6" w:rsidRPr="00A15780" w:rsidRDefault="00F102F6" w:rsidP="002622DC">
            <w:pPr>
              <w:pStyle w:val="tabteksts"/>
              <w:tabs>
                <w:tab w:val="decimal" w:pos="436"/>
              </w:tabs>
              <w:jc w:val="right"/>
            </w:pPr>
            <w:r w:rsidRPr="00A15780">
              <w:t>0,5</w:t>
            </w:r>
          </w:p>
        </w:tc>
        <w:tc>
          <w:tcPr>
            <w:tcW w:w="754" w:type="dxa"/>
            <w:tcBorders>
              <w:top w:val="single" w:sz="4" w:space="0" w:color="auto"/>
              <w:left w:val="single" w:sz="4" w:space="0" w:color="auto"/>
              <w:bottom w:val="single" w:sz="4" w:space="0" w:color="auto"/>
              <w:right w:val="double" w:sz="6" w:space="0" w:color="auto"/>
            </w:tcBorders>
          </w:tcPr>
          <w:p w14:paraId="0C9D7C10" w14:textId="77777777" w:rsidR="00F102F6" w:rsidRPr="00A15780" w:rsidRDefault="00F102F6" w:rsidP="002622DC">
            <w:pPr>
              <w:pStyle w:val="tabteksts"/>
              <w:tabs>
                <w:tab w:val="decimal" w:pos="436"/>
              </w:tabs>
              <w:jc w:val="right"/>
            </w:pPr>
            <w:r w:rsidRPr="00A15780">
              <w:t>0,4</w:t>
            </w:r>
          </w:p>
        </w:tc>
      </w:tr>
      <w:tr w:rsidR="00F102F6" w:rsidRPr="00A15780" w14:paraId="7E87DFF2"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B7CB093" w14:textId="77777777" w:rsidR="00F102F6" w:rsidRPr="00A15780" w:rsidRDefault="00F102F6" w:rsidP="00C15091">
            <w:pPr>
              <w:pStyle w:val="tabteksts"/>
              <w:rPr>
                <w:noProof/>
              </w:rPr>
            </w:pPr>
            <w:r w:rsidRPr="00A15780">
              <w:rPr>
                <w:noProof/>
              </w:rPr>
              <w:t>Arodpensijas (ja vispārējā valdībā)</w:t>
            </w:r>
          </w:p>
        </w:tc>
        <w:tc>
          <w:tcPr>
            <w:tcW w:w="754" w:type="dxa"/>
            <w:tcBorders>
              <w:top w:val="single" w:sz="4" w:space="0" w:color="auto"/>
              <w:left w:val="nil"/>
              <w:bottom w:val="single" w:sz="4" w:space="0" w:color="auto"/>
              <w:right w:val="single" w:sz="4" w:space="0" w:color="auto"/>
            </w:tcBorders>
          </w:tcPr>
          <w:p w14:paraId="598ED570" w14:textId="77777777" w:rsidR="00F102F6" w:rsidRPr="00A15780"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579F01F4" w14:textId="77777777" w:rsidR="00F102F6" w:rsidRPr="00A15780"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0A1AC66F" w14:textId="77777777" w:rsidR="00F102F6" w:rsidRPr="00A15780"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03B4D2B" w14:textId="77777777" w:rsidR="00F102F6" w:rsidRPr="00A15780"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3E0C30FB" w14:textId="77777777" w:rsidR="00F102F6" w:rsidRPr="00A15780"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74BFD629" w14:textId="77777777" w:rsidR="00F102F6" w:rsidRPr="00A15780" w:rsidRDefault="00F102F6" w:rsidP="002622DC">
            <w:pPr>
              <w:pStyle w:val="tabteksts"/>
              <w:tabs>
                <w:tab w:val="decimal" w:pos="436"/>
              </w:tabs>
              <w:jc w:val="right"/>
            </w:pPr>
          </w:p>
        </w:tc>
      </w:tr>
      <w:tr w:rsidR="00F102F6" w:rsidRPr="00A15780" w14:paraId="6AB568B7"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3DA74D43" w14:textId="77777777" w:rsidR="00F102F6" w:rsidRPr="00A15780" w:rsidRDefault="00F102F6" w:rsidP="00C15091">
            <w:pPr>
              <w:pStyle w:val="tabteksts"/>
              <w:rPr>
                <w:noProof/>
              </w:rPr>
            </w:pPr>
            <w:r w:rsidRPr="00A15780">
              <w:rPr>
                <w:noProof/>
              </w:rPr>
              <w:t>Veselības aprūpes izdevumi</w:t>
            </w:r>
          </w:p>
        </w:tc>
        <w:tc>
          <w:tcPr>
            <w:tcW w:w="754" w:type="dxa"/>
            <w:tcBorders>
              <w:top w:val="single" w:sz="4" w:space="0" w:color="auto"/>
              <w:left w:val="nil"/>
              <w:bottom w:val="single" w:sz="4" w:space="0" w:color="auto"/>
              <w:right w:val="single" w:sz="4" w:space="0" w:color="auto"/>
            </w:tcBorders>
          </w:tcPr>
          <w:p w14:paraId="564BD10A" w14:textId="77777777" w:rsidR="00F102F6" w:rsidRPr="00A15780" w:rsidRDefault="00F102F6" w:rsidP="002622DC">
            <w:pPr>
              <w:pStyle w:val="tabteksts"/>
              <w:tabs>
                <w:tab w:val="decimal" w:pos="436"/>
              </w:tabs>
              <w:jc w:val="right"/>
            </w:pPr>
            <w:r w:rsidRPr="00A15780">
              <w:t>3,7</w:t>
            </w:r>
          </w:p>
        </w:tc>
        <w:tc>
          <w:tcPr>
            <w:tcW w:w="754" w:type="dxa"/>
            <w:tcBorders>
              <w:top w:val="single" w:sz="4" w:space="0" w:color="auto"/>
              <w:left w:val="single" w:sz="4" w:space="0" w:color="auto"/>
              <w:bottom w:val="single" w:sz="4" w:space="0" w:color="auto"/>
              <w:right w:val="single" w:sz="4" w:space="0" w:color="auto"/>
            </w:tcBorders>
          </w:tcPr>
          <w:p w14:paraId="359F5456" w14:textId="77777777" w:rsidR="00F102F6" w:rsidRPr="00A15780" w:rsidRDefault="00F102F6" w:rsidP="002622DC">
            <w:pPr>
              <w:pStyle w:val="tabteksts"/>
              <w:tabs>
                <w:tab w:val="decimal" w:pos="436"/>
              </w:tabs>
              <w:jc w:val="right"/>
            </w:pPr>
            <w:r w:rsidRPr="00A15780">
              <w:t>3,9</w:t>
            </w:r>
          </w:p>
        </w:tc>
        <w:tc>
          <w:tcPr>
            <w:tcW w:w="754" w:type="dxa"/>
            <w:tcBorders>
              <w:top w:val="single" w:sz="4" w:space="0" w:color="auto"/>
              <w:left w:val="nil"/>
              <w:bottom w:val="single" w:sz="4" w:space="0" w:color="auto"/>
              <w:right w:val="single" w:sz="4" w:space="0" w:color="auto"/>
            </w:tcBorders>
          </w:tcPr>
          <w:p w14:paraId="3C7329B4" w14:textId="77777777" w:rsidR="00F102F6" w:rsidRPr="00A15780" w:rsidRDefault="00F102F6" w:rsidP="002622DC">
            <w:pPr>
              <w:pStyle w:val="tabteksts"/>
              <w:tabs>
                <w:tab w:val="decimal" w:pos="436"/>
              </w:tabs>
              <w:jc w:val="right"/>
            </w:pPr>
            <w:r w:rsidRPr="00A15780">
              <w:t>4,1</w:t>
            </w:r>
          </w:p>
        </w:tc>
        <w:tc>
          <w:tcPr>
            <w:tcW w:w="754" w:type="dxa"/>
            <w:tcBorders>
              <w:top w:val="single" w:sz="4" w:space="0" w:color="auto"/>
              <w:left w:val="nil"/>
              <w:bottom w:val="single" w:sz="4" w:space="0" w:color="auto"/>
              <w:right w:val="single" w:sz="4" w:space="0" w:color="auto"/>
            </w:tcBorders>
          </w:tcPr>
          <w:p w14:paraId="2913BCA7" w14:textId="77777777" w:rsidR="00F102F6" w:rsidRPr="00A15780" w:rsidRDefault="00F102F6" w:rsidP="002622DC">
            <w:pPr>
              <w:pStyle w:val="tabteksts"/>
              <w:tabs>
                <w:tab w:val="decimal" w:pos="436"/>
              </w:tabs>
              <w:jc w:val="right"/>
            </w:pPr>
            <w:r w:rsidRPr="00A15780">
              <w:t>4,3</w:t>
            </w:r>
          </w:p>
        </w:tc>
        <w:tc>
          <w:tcPr>
            <w:tcW w:w="754" w:type="dxa"/>
            <w:tcBorders>
              <w:top w:val="single" w:sz="4" w:space="0" w:color="auto"/>
              <w:left w:val="nil"/>
              <w:bottom w:val="single" w:sz="4" w:space="0" w:color="auto"/>
              <w:right w:val="single" w:sz="4" w:space="0" w:color="auto"/>
            </w:tcBorders>
          </w:tcPr>
          <w:p w14:paraId="75391979" w14:textId="77777777" w:rsidR="00F102F6" w:rsidRPr="00A15780" w:rsidRDefault="00F102F6" w:rsidP="002622DC">
            <w:pPr>
              <w:pStyle w:val="tabteksts"/>
              <w:tabs>
                <w:tab w:val="decimal" w:pos="436"/>
              </w:tabs>
              <w:jc w:val="right"/>
            </w:pPr>
            <w:r w:rsidRPr="00A15780">
              <w:t>4,4</w:t>
            </w:r>
          </w:p>
        </w:tc>
        <w:tc>
          <w:tcPr>
            <w:tcW w:w="754" w:type="dxa"/>
            <w:tcBorders>
              <w:top w:val="single" w:sz="4" w:space="0" w:color="auto"/>
              <w:left w:val="single" w:sz="4" w:space="0" w:color="auto"/>
              <w:bottom w:val="single" w:sz="4" w:space="0" w:color="auto"/>
              <w:right w:val="double" w:sz="6" w:space="0" w:color="auto"/>
            </w:tcBorders>
          </w:tcPr>
          <w:p w14:paraId="2A9329C0" w14:textId="77777777" w:rsidR="00F102F6" w:rsidRPr="00A15780" w:rsidRDefault="00F102F6" w:rsidP="002622DC">
            <w:pPr>
              <w:pStyle w:val="tabteksts"/>
              <w:tabs>
                <w:tab w:val="decimal" w:pos="436"/>
              </w:tabs>
              <w:jc w:val="right"/>
            </w:pPr>
            <w:r w:rsidRPr="00A15780">
              <w:t>4,4</w:t>
            </w:r>
          </w:p>
        </w:tc>
      </w:tr>
      <w:tr w:rsidR="00F102F6" w:rsidRPr="00A15780" w14:paraId="2C93A299"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4C7F16A3" w14:textId="77777777" w:rsidR="00F102F6" w:rsidRPr="00A15780" w:rsidRDefault="00F102F6" w:rsidP="00C15091">
            <w:pPr>
              <w:pStyle w:val="tabteksts"/>
              <w:rPr>
                <w:noProof/>
              </w:rPr>
            </w:pPr>
            <w:r w:rsidRPr="00A15780">
              <w:rPr>
                <w:noProof/>
              </w:rPr>
              <w:t>Ilgstošās aprūpes izdevumi</w:t>
            </w:r>
          </w:p>
        </w:tc>
        <w:tc>
          <w:tcPr>
            <w:tcW w:w="754" w:type="dxa"/>
            <w:tcBorders>
              <w:top w:val="single" w:sz="4" w:space="0" w:color="auto"/>
              <w:left w:val="nil"/>
              <w:bottom w:val="single" w:sz="4" w:space="0" w:color="auto"/>
              <w:right w:val="single" w:sz="4" w:space="0" w:color="auto"/>
            </w:tcBorders>
          </w:tcPr>
          <w:p w14:paraId="4294431B" w14:textId="77777777" w:rsidR="00F102F6" w:rsidRPr="00A15780" w:rsidRDefault="00F102F6" w:rsidP="002622DC">
            <w:pPr>
              <w:pStyle w:val="tabteksts"/>
              <w:tabs>
                <w:tab w:val="decimal" w:pos="436"/>
              </w:tabs>
              <w:jc w:val="right"/>
            </w:pPr>
            <w:r w:rsidRPr="00A15780">
              <w:t>0,7</w:t>
            </w:r>
          </w:p>
        </w:tc>
        <w:tc>
          <w:tcPr>
            <w:tcW w:w="754" w:type="dxa"/>
            <w:tcBorders>
              <w:top w:val="single" w:sz="4" w:space="0" w:color="auto"/>
              <w:left w:val="single" w:sz="4" w:space="0" w:color="auto"/>
              <w:bottom w:val="single" w:sz="4" w:space="0" w:color="auto"/>
              <w:right w:val="single" w:sz="4" w:space="0" w:color="auto"/>
            </w:tcBorders>
          </w:tcPr>
          <w:p w14:paraId="4CDF3F1F" w14:textId="77777777" w:rsidR="00F102F6" w:rsidRPr="00A15780" w:rsidRDefault="00F102F6" w:rsidP="002622DC">
            <w:pPr>
              <w:pStyle w:val="tabteksts"/>
              <w:tabs>
                <w:tab w:val="decimal" w:pos="436"/>
              </w:tabs>
              <w:jc w:val="right"/>
            </w:pPr>
            <w:r w:rsidRPr="00A15780">
              <w:t>0,7</w:t>
            </w:r>
          </w:p>
        </w:tc>
        <w:tc>
          <w:tcPr>
            <w:tcW w:w="754" w:type="dxa"/>
            <w:tcBorders>
              <w:top w:val="single" w:sz="4" w:space="0" w:color="auto"/>
              <w:left w:val="nil"/>
              <w:bottom w:val="single" w:sz="4" w:space="0" w:color="auto"/>
              <w:right w:val="single" w:sz="4" w:space="0" w:color="auto"/>
            </w:tcBorders>
          </w:tcPr>
          <w:p w14:paraId="2B8559B6" w14:textId="77777777" w:rsidR="00F102F6" w:rsidRPr="00A15780" w:rsidRDefault="00F102F6" w:rsidP="002622DC">
            <w:pPr>
              <w:pStyle w:val="tabteksts"/>
              <w:tabs>
                <w:tab w:val="decimal" w:pos="436"/>
              </w:tabs>
              <w:jc w:val="right"/>
            </w:pPr>
            <w:r w:rsidRPr="00A15780">
              <w:t>0,7</w:t>
            </w:r>
          </w:p>
        </w:tc>
        <w:tc>
          <w:tcPr>
            <w:tcW w:w="754" w:type="dxa"/>
            <w:tcBorders>
              <w:top w:val="single" w:sz="4" w:space="0" w:color="auto"/>
              <w:left w:val="nil"/>
              <w:bottom w:val="single" w:sz="4" w:space="0" w:color="auto"/>
              <w:right w:val="single" w:sz="4" w:space="0" w:color="auto"/>
            </w:tcBorders>
          </w:tcPr>
          <w:p w14:paraId="35CF5F9A" w14:textId="77777777" w:rsidR="00F102F6" w:rsidRPr="00A15780" w:rsidRDefault="00F102F6" w:rsidP="002622DC">
            <w:pPr>
              <w:pStyle w:val="tabteksts"/>
              <w:tabs>
                <w:tab w:val="decimal" w:pos="436"/>
              </w:tabs>
              <w:jc w:val="right"/>
            </w:pPr>
            <w:r w:rsidRPr="00A15780">
              <w:t>0,8</w:t>
            </w:r>
          </w:p>
        </w:tc>
        <w:tc>
          <w:tcPr>
            <w:tcW w:w="754" w:type="dxa"/>
            <w:tcBorders>
              <w:top w:val="single" w:sz="4" w:space="0" w:color="auto"/>
              <w:left w:val="nil"/>
              <w:bottom w:val="single" w:sz="4" w:space="0" w:color="auto"/>
              <w:right w:val="single" w:sz="4" w:space="0" w:color="auto"/>
            </w:tcBorders>
          </w:tcPr>
          <w:p w14:paraId="6F937188" w14:textId="77777777" w:rsidR="00F102F6" w:rsidRPr="00A15780" w:rsidRDefault="00F102F6" w:rsidP="002622DC">
            <w:pPr>
              <w:pStyle w:val="tabteksts"/>
              <w:tabs>
                <w:tab w:val="decimal" w:pos="436"/>
              </w:tabs>
              <w:jc w:val="right"/>
            </w:pPr>
            <w:r w:rsidRPr="00A15780">
              <w:t>0,9</w:t>
            </w:r>
          </w:p>
        </w:tc>
        <w:tc>
          <w:tcPr>
            <w:tcW w:w="754" w:type="dxa"/>
            <w:tcBorders>
              <w:top w:val="single" w:sz="4" w:space="0" w:color="auto"/>
              <w:left w:val="single" w:sz="4" w:space="0" w:color="auto"/>
              <w:bottom w:val="single" w:sz="4" w:space="0" w:color="auto"/>
              <w:right w:val="double" w:sz="6" w:space="0" w:color="auto"/>
            </w:tcBorders>
          </w:tcPr>
          <w:p w14:paraId="06775F67" w14:textId="77777777" w:rsidR="00F102F6" w:rsidRPr="00A15780" w:rsidRDefault="00F102F6" w:rsidP="002622DC">
            <w:pPr>
              <w:pStyle w:val="tabteksts"/>
              <w:tabs>
                <w:tab w:val="decimal" w:pos="436"/>
              </w:tabs>
              <w:jc w:val="right"/>
            </w:pPr>
            <w:r w:rsidRPr="00A15780">
              <w:t>1,0</w:t>
            </w:r>
          </w:p>
        </w:tc>
      </w:tr>
      <w:tr w:rsidR="00F102F6" w:rsidRPr="00A15780" w14:paraId="34178C6F"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36D1998E" w14:textId="77777777" w:rsidR="00F102F6" w:rsidRPr="00A15780" w:rsidRDefault="00F102F6" w:rsidP="00C15091">
            <w:pPr>
              <w:pStyle w:val="tabteksts"/>
              <w:rPr>
                <w:noProof/>
              </w:rPr>
            </w:pPr>
            <w:r w:rsidRPr="00A15780">
              <w:rPr>
                <w:noProof/>
              </w:rPr>
              <w:t>Izglītības izdevumi</w:t>
            </w:r>
          </w:p>
        </w:tc>
        <w:tc>
          <w:tcPr>
            <w:tcW w:w="754" w:type="dxa"/>
            <w:tcBorders>
              <w:top w:val="single" w:sz="4" w:space="0" w:color="auto"/>
              <w:left w:val="nil"/>
              <w:bottom w:val="single" w:sz="4" w:space="0" w:color="auto"/>
              <w:right w:val="single" w:sz="4" w:space="0" w:color="auto"/>
            </w:tcBorders>
          </w:tcPr>
          <w:p w14:paraId="21FCAB7D" w14:textId="77777777" w:rsidR="00F102F6" w:rsidRPr="00A15780" w:rsidRDefault="00F102F6" w:rsidP="002622DC">
            <w:pPr>
              <w:pStyle w:val="tabteksts"/>
              <w:tabs>
                <w:tab w:val="decimal" w:pos="436"/>
              </w:tabs>
              <w:jc w:val="right"/>
            </w:pPr>
            <w:r w:rsidRPr="00A15780">
              <w:t>4,4</w:t>
            </w:r>
          </w:p>
        </w:tc>
        <w:tc>
          <w:tcPr>
            <w:tcW w:w="754" w:type="dxa"/>
            <w:tcBorders>
              <w:top w:val="single" w:sz="4" w:space="0" w:color="auto"/>
              <w:left w:val="single" w:sz="4" w:space="0" w:color="auto"/>
              <w:bottom w:val="single" w:sz="4" w:space="0" w:color="auto"/>
              <w:right w:val="single" w:sz="4" w:space="0" w:color="auto"/>
            </w:tcBorders>
          </w:tcPr>
          <w:p w14:paraId="754B9826" w14:textId="77777777" w:rsidR="00F102F6" w:rsidRPr="00A15780" w:rsidRDefault="00F102F6" w:rsidP="002622DC">
            <w:pPr>
              <w:pStyle w:val="tabteksts"/>
              <w:tabs>
                <w:tab w:val="decimal" w:pos="436"/>
              </w:tabs>
              <w:jc w:val="right"/>
            </w:pPr>
            <w:r w:rsidRPr="00A15780">
              <w:t>4,0</w:t>
            </w:r>
          </w:p>
        </w:tc>
        <w:tc>
          <w:tcPr>
            <w:tcW w:w="754" w:type="dxa"/>
            <w:tcBorders>
              <w:top w:val="single" w:sz="4" w:space="0" w:color="auto"/>
              <w:left w:val="nil"/>
              <w:bottom w:val="single" w:sz="4" w:space="0" w:color="auto"/>
              <w:right w:val="single" w:sz="4" w:space="0" w:color="auto"/>
            </w:tcBorders>
          </w:tcPr>
          <w:p w14:paraId="7018DD6B" w14:textId="77777777" w:rsidR="00F102F6" w:rsidRPr="00A15780" w:rsidRDefault="00F102F6" w:rsidP="002622DC">
            <w:pPr>
              <w:pStyle w:val="tabteksts"/>
              <w:tabs>
                <w:tab w:val="decimal" w:pos="436"/>
              </w:tabs>
              <w:jc w:val="right"/>
            </w:pPr>
            <w:r w:rsidRPr="00A15780">
              <w:t>3,6</w:t>
            </w:r>
          </w:p>
        </w:tc>
        <w:tc>
          <w:tcPr>
            <w:tcW w:w="754" w:type="dxa"/>
            <w:tcBorders>
              <w:top w:val="single" w:sz="4" w:space="0" w:color="auto"/>
              <w:left w:val="nil"/>
              <w:bottom w:val="single" w:sz="4" w:space="0" w:color="auto"/>
              <w:right w:val="single" w:sz="4" w:space="0" w:color="auto"/>
            </w:tcBorders>
          </w:tcPr>
          <w:p w14:paraId="04F33634" w14:textId="77777777" w:rsidR="00F102F6" w:rsidRPr="00A15780" w:rsidRDefault="00F102F6" w:rsidP="002622DC">
            <w:pPr>
              <w:pStyle w:val="tabteksts"/>
              <w:tabs>
                <w:tab w:val="decimal" w:pos="436"/>
              </w:tabs>
              <w:jc w:val="right"/>
            </w:pPr>
            <w:r w:rsidRPr="00A15780">
              <w:t>3,2</w:t>
            </w:r>
          </w:p>
        </w:tc>
        <w:tc>
          <w:tcPr>
            <w:tcW w:w="754" w:type="dxa"/>
            <w:tcBorders>
              <w:top w:val="single" w:sz="4" w:space="0" w:color="auto"/>
              <w:left w:val="nil"/>
              <w:bottom w:val="single" w:sz="4" w:space="0" w:color="auto"/>
              <w:right w:val="single" w:sz="4" w:space="0" w:color="auto"/>
            </w:tcBorders>
          </w:tcPr>
          <w:p w14:paraId="017324C3" w14:textId="77777777" w:rsidR="00F102F6" w:rsidRPr="00A15780" w:rsidRDefault="00F102F6" w:rsidP="002622DC">
            <w:pPr>
              <w:pStyle w:val="tabteksts"/>
              <w:tabs>
                <w:tab w:val="decimal" w:pos="436"/>
              </w:tabs>
              <w:jc w:val="right"/>
            </w:pPr>
            <w:r w:rsidRPr="00A15780">
              <w:t>3,4</w:t>
            </w:r>
          </w:p>
        </w:tc>
        <w:tc>
          <w:tcPr>
            <w:tcW w:w="754" w:type="dxa"/>
            <w:tcBorders>
              <w:top w:val="single" w:sz="4" w:space="0" w:color="auto"/>
              <w:left w:val="single" w:sz="4" w:space="0" w:color="auto"/>
              <w:bottom w:val="single" w:sz="4" w:space="0" w:color="auto"/>
              <w:right w:val="double" w:sz="6" w:space="0" w:color="auto"/>
            </w:tcBorders>
          </w:tcPr>
          <w:p w14:paraId="39560556" w14:textId="77777777" w:rsidR="00F102F6" w:rsidRPr="00A15780" w:rsidRDefault="00F102F6" w:rsidP="002622DC">
            <w:pPr>
              <w:pStyle w:val="tabteksts"/>
              <w:tabs>
                <w:tab w:val="decimal" w:pos="436"/>
              </w:tabs>
              <w:jc w:val="right"/>
            </w:pPr>
            <w:r w:rsidRPr="00A15780">
              <w:t>3,7</w:t>
            </w:r>
          </w:p>
        </w:tc>
      </w:tr>
      <w:tr w:rsidR="00F102F6" w:rsidRPr="00BF3425" w14:paraId="4C0511B8"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06735B9D" w14:textId="77777777" w:rsidR="00F102F6" w:rsidRPr="00BF3425" w:rsidRDefault="00F102F6" w:rsidP="00C15091">
            <w:pPr>
              <w:pStyle w:val="tabteksts"/>
              <w:rPr>
                <w:noProof/>
              </w:rPr>
            </w:pPr>
            <w:r w:rsidRPr="00BF3425">
              <w:rPr>
                <w:noProof/>
              </w:rPr>
              <w:t>Citi ar vecumu saistītie izdevumi</w:t>
            </w:r>
          </w:p>
        </w:tc>
        <w:tc>
          <w:tcPr>
            <w:tcW w:w="754" w:type="dxa"/>
            <w:tcBorders>
              <w:top w:val="single" w:sz="4" w:space="0" w:color="auto"/>
              <w:left w:val="nil"/>
              <w:bottom w:val="single" w:sz="4" w:space="0" w:color="auto"/>
              <w:right w:val="single" w:sz="4" w:space="0" w:color="auto"/>
            </w:tcBorders>
          </w:tcPr>
          <w:p w14:paraId="128E4EFC"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7878CED1"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DA32DBF"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081EE21D"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23D53154"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44D21F3C" w14:textId="77777777" w:rsidR="00F102F6" w:rsidRPr="00BF3425" w:rsidRDefault="00F102F6" w:rsidP="002622DC">
            <w:pPr>
              <w:pStyle w:val="tabteksts"/>
              <w:tabs>
                <w:tab w:val="decimal" w:pos="436"/>
              </w:tabs>
              <w:jc w:val="right"/>
            </w:pPr>
          </w:p>
        </w:tc>
      </w:tr>
      <w:tr w:rsidR="00F102F6" w:rsidRPr="00BF3425" w14:paraId="4902C0CF"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7985A046" w14:textId="77777777" w:rsidR="00F102F6" w:rsidRPr="00BF3425" w:rsidRDefault="00F102F6" w:rsidP="00C15091">
            <w:pPr>
              <w:pStyle w:val="tabteksts"/>
              <w:rPr>
                <w:noProof/>
              </w:rPr>
            </w:pPr>
            <w:r w:rsidRPr="00BF3425">
              <w:rPr>
                <w:noProof/>
              </w:rPr>
              <w:t>Procentu izdevumi</w:t>
            </w:r>
          </w:p>
        </w:tc>
        <w:tc>
          <w:tcPr>
            <w:tcW w:w="754" w:type="dxa"/>
            <w:tcBorders>
              <w:top w:val="single" w:sz="4" w:space="0" w:color="auto"/>
              <w:left w:val="nil"/>
              <w:bottom w:val="single" w:sz="4" w:space="0" w:color="auto"/>
              <w:right w:val="single" w:sz="4" w:space="0" w:color="auto"/>
            </w:tcBorders>
          </w:tcPr>
          <w:p w14:paraId="166294DE"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5EF5D0CE"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1758459B"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30730BD3"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8996030"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3F0BF6AA" w14:textId="77777777" w:rsidR="00F102F6" w:rsidRPr="00BF3425" w:rsidRDefault="00F102F6" w:rsidP="002622DC">
            <w:pPr>
              <w:pStyle w:val="tabteksts"/>
              <w:tabs>
                <w:tab w:val="decimal" w:pos="436"/>
              </w:tabs>
              <w:jc w:val="right"/>
            </w:pPr>
          </w:p>
        </w:tc>
      </w:tr>
      <w:tr w:rsidR="00F102F6" w:rsidRPr="00BF3425" w14:paraId="3570C69B"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09AB9201" w14:textId="77777777" w:rsidR="00F102F6" w:rsidRPr="00BF3425" w:rsidRDefault="00F102F6" w:rsidP="00C15091">
            <w:pPr>
              <w:pStyle w:val="tabteksts"/>
              <w:rPr>
                <w:noProof/>
              </w:rPr>
            </w:pPr>
            <w:r w:rsidRPr="00BF3425">
              <w:rPr>
                <w:noProof/>
              </w:rPr>
              <w:t>Kopējie ieņēmumi</w:t>
            </w:r>
          </w:p>
        </w:tc>
        <w:tc>
          <w:tcPr>
            <w:tcW w:w="754" w:type="dxa"/>
            <w:tcBorders>
              <w:top w:val="single" w:sz="4" w:space="0" w:color="auto"/>
              <w:left w:val="nil"/>
              <w:bottom w:val="single" w:sz="4" w:space="0" w:color="auto"/>
              <w:right w:val="single" w:sz="4" w:space="0" w:color="auto"/>
            </w:tcBorders>
          </w:tcPr>
          <w:p w14:paraId="160CEACF"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0898D4C1"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6A26A383"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675BC9A8"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7540F8B"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7EE51558" w14:textId="77777777" w:rsidR="00F102F6" w:rsidRPr="00BF3425" w:rsidRDefault="00F102F6" w:rsidP="002622DC">
            <w:pPr>
              <w:pStyle w:val="tabteksts"/>
              <w:tabs>
                <w:tab w:val="decimal" w:pos="436"/>
              </w:tabs>
              <w:jc w:val="right"/>
            </w:pPr>
          </w:p>
        </w:tc>
      </w:tr>
      <w:tr w:rsidR="00F102F6" w:rsidRPr="00BF3425" w14:paraId="71BC3972"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4280090B" w14:textId="77777777" w:rsidR="00F102F6" w:rsidRPr="00BF3425" w:rsidRDefault="00F102F6" w:rsidP="00C15091">
            <w:pPr>
              <w:pStyle w:val="tabteksts"/>
              <w:rPr>
                <w:noProof/>
              </w:rPr>
            </w:pPr>
            <w:r w:rsidRPr="00BF3425">
              <w:rPr>
                <w:noProof/>
              </w:rPr>
              <w:t>t.sk.: īpašuma ieņēmumi</w:t>
            </w:r>
          </w:p>
        </w:tc>
        <w:tc>
          <w:tcPr>
            <w:tcW w:w="754" w:type="dxa"/>
            <w:tcBorders>
              <w:top w:val="single" w:sz="4" w:space="0" w:color="auto"/>
              <w:left w:val="nil"/>
              <w:bottom w:val="single" w:sz="4" w:space="0" w:color="auto"/>
              <w:right w:val="single" w:sz="4" w:space="0" w:color="auto"/>
            </w:tcBorders>
          </w:tcPr>
          <w:p w14:paraId="44E7B194"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079458A8"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6119C8FF"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3540BFAB"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1005E595"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4D452C2B" w14:textId="77777777" w:rsidR="00F102F6" w:rsidRPr="00BF3425" w:rsidRDefault="00F102F6" w:rsidP="002622DC">
            <w:pPr>
              <w:pStyle w:val="tabteksts"/>
              <w:tabs>
                <w:tab w:val="decimal" w:pos="436"/>
              </w:tabs>
              <w:jc w:val="right"/>
            </w:pPr>
          </w:p>
        </w:tc>
      </w:tr>
      <w:tr w:rsidR="00F102F6" w:rsidRPr="00BF3425" w14:paraId="22FE2999"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CF4C3B9" w14:textId="77777777" w:rsidR="00F102F6" w:rsidRPr="00BF3425" w:rsidRDefault="00F102F6" w:rsidP="00C15091">
            <w:pPr>
              <w:pStyle w:val="tabteksts"/>
              <w:rPr>
                <w:noProof/>
              </w:rPr>
            </w:pPr>
            <w:r w:rsidRPr="00BF3425">
              <w:rPr>
                <w:noProof/>
              </w:rPr>
              <w:t>t.sk.: pensiju iemaksas</w:t>
            </w:r>
            <w:r w:rsidRPr="00BF3425">
              <w:rPr>
                <w:rStyle w:val="FootnoteReference"/>
                <w:noProof/>
              </w:rPr>
              <w:footnoteReference w:id="20"/>
            </w:r>
          </w:p>
        </w:tc>
        <w:tc>
          <w:tcPr>
            <w:tcW w:w="754" w:type="dxa"/>
            <w:tcBorders>
              <w:top w:val="single" w:sz="4" w:space="0" w:color="auto"/>
              <w:left w:val="nil"/>
              <w:bottom w:val="single" w:sz="4" w:space="0" w:color="auto"/>
              <w:right w:val="single" w:sz="4" w:space="0" w:color="auto"/>
            </w:tcBorders>
          </w:tcPr>
          <w:p w14:paraId="35056D0B" w14:textId="77777777" w:rsidR="00F102F6" w:rsidRPr="00BF3425" w:rsidRDefault="00F102F6" w:rsidP="002622DC">
            <w:pPr>
              <w:pStyle w:val="tabteksts"/>
              <w:tabs>
                <w:tab w:val="decimal" w:pos="436"/>
              </w:tabs>
              <w:jc w:val="right"/>
            </w:pPr>
            <w:r w:rsidRPr="00BF3425">
              <w:t>6,9</w:t>
            </w:r>
          </w:p>
        </w:tc>
        <w:tc>
          <w:tcPr>
            <w:tcW w:w="754" w:type="dxa"/>
            <w:tcBorders>
              <w:top w:val="single" w:sz="4" w:space="0" w:color="auto"/>
              <w:left w:val="single" w:sz="4" w:space="0" w:color="auto"/>
              <w:bottom w:val="single" w:sz="4" w:space="0" w:color="auto"/>
              <w:right w:val="single" w:sz="4" w:space="0" w:color="auto"/>
            </w:tcBorders>
          </w:tcPr>
          <w:p w14:paraId="2C351ADC" w14:textId="77777777" w:rsidR="00F102F6" w:rsidRPr="00BF3425" w:rsidRDefault="00F102F6" w:rsidP="002622DC">
            <w:pPr>
              <w:pStyle w:val="tabteksts"/>
              <w:tabs>
                <w:tab w:val="decimal" w:pos="436"/>
              </w:tabs>
              <w:jc w:val="right"/>
            </w:pPr>
            <w:r w:rsidRPr="00BF3425">
              <w:t>8,9</w:t>
            </w:r>
          </w:p>
        </w:tc>
        <w:tc>
          <w:tcPr>
            <w:tcW w:w="754" w:type="dxa"/>
            <w:tcBorders>
              <w:top w:val="single" w:sz="4" w:space="0" w:color="auto"/>
              <w:left w:val="nil"/>
              <w:bottom w:val="single" w:sz="4" w:space="0" w:color="auto"/>
              <w:right w:val="single" w:sz="4" w:space="0" w:color="auto"/>
            </w:tcBorders>
          </w:tcPr>
          <w:p w14:paraId="0C5437ED" w14:textId="77777777" w:rsidR="00F102F6" w:rsidRPr="00BF3425" w:rsidRDefault="00F102F6" w:rsidP="002622DC">
            <w:pPr>
              <w:pStyle w:val="tabteksts"/>
              <w:tabs>
                <w:tab w:val="decimal" w:pos="436"/>
              </w:tabs>
              <w:jc w:val="right"/>
            </w:pPr>
            <w:r w:rsidRPr="00BF3425">
              <w:t>8,9</w:t>
            </w:r>
          </w:p>
        </w:tc>
        <w:tc>
          <w:tcPr>
            <w:tcW w:w="754" w:type="dxa"/>
            <w:tcBorders>
              <w:top w:val="single" w:sz="4" w:space="0" w:color="auto"/>
              <w:left w:val="nil"/>
              <w:bottom w:val="single" w:sz="4" w:space="0" w:color="auto"/>
              <w:right w:val="single" w:sz="4" w:space="0" w:color="auto"/>
            </w:tcBorders>
          </w:tcPr>
          <w:p w14:paraId="15F235F3" w14:textId="77777777" w:rsidR="00F102F6" w:rsidRPr="00BF3425" w:rsidRDefault="00F102F6" w:rsidP="002622DC">
            <w:pPr>
              <w:pStyle w:val="tabteksts"/>
              <w:tabs>
                <w:tab w:val="decimal" w:pos="436"/>
              </w:tabs>
              <w:jc w:val="right"/>
            </w:pPr>
            <w:r w:rsidRPr="00BF3425">
              <w:t>9,1</w:t>
            </w:r>
          </w:p>
        </w:tc>
        <w:tc>
          <w:tcPr>
            <w:tcW w:w="754" w:type="dxa"/>
            <w:tcBorders>
              <w:top w:val="single" w:sz="4" w:space="0" w:color="auto"/>
              <w:left w:val="nil"/>
              <w:bottom w:val="single" w:sz="4" w:space="0" w:color="auto"/>
              <w:right w:val="single" w:sz="4" w:space="0" w:color="auto"/>
            </w:tcBorders>
          </w:tcPr>
          <w:p w14:paraId="080C5D42" w14:textId="77777777" w:rsidR="00F102F6" w:rsidRPr="00BF3425" w:rsidRDefault="00F102F6" w:rsidP="002622DC">
            <w:pPr>
              <w:pStyle w:val="tabteksts"/>
              <w:tabs>
                <w:tab w:val="decimal" w:pos="436"/>
              </w:tabs>
              <w:jc w:val="right"/>
            </w:pPr>
            <w:r w:rsidRPr="00BF3425">
              <w:t>9,0</w:t>
            </w:r>
          </w:p>
        </w:tc>
        <w:tc>
          <w:tcPr>
            <w:tcW w:w="754" w:type="dxa"/>
            <w:tcBorders>
              <w:top w:val="single" w:sz="4" w:space="0" w:color="auto"/>
              <w:left w:val="single" w:sz="4" w:space="0" w:color="auto"/>
              <w:bottom w:val="single" w:sz="4" w:space="0" w:color="auto"/>
              <w:right w:val="double" w:sz="6" w:space="0" w:color="auto"/>
            </w:tcBorders>
          </w:tcPr>
          <w:p w14:paraId="5D62665F" w14:textId="77777777" w:rsidR="00F102F6" w:rsidRPr="00BF3425" w:rsidRDefault="00F102F6" w:rsidP="002622DC">
            <w:pPr>
              <w:pStyle w:val="tabteksts"/>
              <w:tabs>
                <w:tab w:val="decimal" w:pos="436"/>
              </w:tabs>
              <w:jc w:val="right"/>
            </w:pPr>
            <w:r w:rsidRPr="00BF3425">
              <w:t>8,9</w:t>
            </w:r>
          </w:p>
        </w:tc>
      </w:tr>
      <w:tr w:rsidR="00F102F6" w:rsidRPr="00BF3425" w14:paraId="1E7E159D"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0B8E9951" w14:textId="77777777" w:rsidR="00F102F6" w:rsidRPr="00BF3425" w:rsidRDefault="00F102F6" w:rsidP="00C15091">
            <w:pPr>
              <w:pStyle w:val="tabteksts"/>
              <w:rPr>
                <w:noProof/>
              </w:rPr>
            </w:pPr>
            <w:r w:rsidRPr="00BF3425">
              <w:rPr>
                <w:noProof/>
              </w:rPr>
              <w:t>Pensiju rezerves fondu aktīvi</w:t>
            </w:r>
          </w:p>
        </w:tc>
        <w:tc>
          <w:tcPr>
            <w:tcW w:w="754" w:type="dxa"/>
            <w:tcBorders>
              <w:top w:val="single" w:sz="4" w:space="0" w:color="auto"/>
              <w:left w:val="nil"/>
              <w:bottom w:val="single" w:sz="4" w:space="0" w:color="auto"/>
              <w:right w:val="single" w:sz="4" w:space="0" w:color="auto"/>
            </w:tcBorders>
          </w:tcPr>
          <w:p w14:paraId="789C7DE2"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26962F8E"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6AAB1627"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07DBF84"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332913A1"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49E2D7D0" w14:textId="77777777" w:rsidR="00F102F6" w:rsidRPr="00BF3425" w:rsidRDefault="00F102F6" w:rsidP="002622DC">
            <w:pPr>
              <w:pStyle w:val="tabteksts"/>
              <w:tabs>
                <w:tab w:val="decimal" w:pos="436"/>
              </w:tabs>
              <w:jc w:val="right"/>
            </w:pPr>
          </w:p>
        </w:tc>
      </w:tr>
      <w:tr w:rsidR="00F102F6" w:rsidRPr="00BF3425" w14:paraId="6BCE9E18"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660FF3B6" w14:textId="77777777" w:rsidR="00F102F6" w:rsidRPr="00BF3425" w:rsidRDefault="00F102F6" w:rsidP="00C15091">
            <w:pPr>
              <w:pStyle w:val="tabteksts"/>
              <w:rPr>
                <w:noProof/>
              </w:rPr>
            </w:pPr>
            <w:r w:rsidRPr="00BF3425">
              <w:rPr>
                <w:noProof/>
              </w:rPr>
              <w:t>t.sk. konsolidētie valsts pensiju fondu aktīvi (ne valdības saistības)</w:t>
            </w:r>
          </w:p>
        </w:tc>
        <w:tc>
          <w:tcPr>
            <w:tcW w:w="754" w:type="dxa"/>
            <w:tcBorders>
              <w:top w:val="single" w:sz="4" w:space="0" w:color="auto"/>
              <w:left w:val="nil"/>
              <w:bottom w:val="single" w:sz="4" w:space="0" w:color="auto"/>
              <w:right w:val="single" w:sz="4" w:space="0" w:color="auto"/>
            </w:tcBorders>
          </w:tcPr>
          <w:p w14:paraId="0D05787E"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single" w:sz="4" w:space="0" w:color="auto"/>
            </w:tcBorders>
          </w:tcPr>
          <w:p w14:paraId="25EC386A"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723D0EA6"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2B67F5D6" w14:textId="77777777" w:rsidR="00F102F6" w:rsidRPr="00BF3425" w:rsidRDefault="00F102F6" w:rsidP="002622DC">
            <w:pPr>
              <w:pStyle w:val="tabteksts"/>
              <w:tabs>
                <w:tab w:val="decimal" w:pos="436"/>
              </w:tabs>
              <w:jc w:val="right"/>
            </w:pPr>
          </w:p>
        </w:tc>
        <w:tc>
          <w:tcPr>
            <w:tcW w:w="754" w:type="dxa"/>
            <w:tcBorders>
              <w:top w:val="single" w:sz="4" w:space="0" w:color="auto"/>
              <w:left w:val="nil"/>
              <w:bottom w:val="single" w:sz="4" w:space="0" w:color="auto"/>
              <w:right w:val="single" w:sz="4" w:space="0" w:color="auto"/>
            </w:tcBorders>
          </w:tcPr>
          <w:p w14:paraId="4E4ECC36" w14:textId="77777777" w:rsidR="00F102F6" w:rsidRPr="00BF3425" w:rsidRDefault="00F102F6" w:rsidP="002622DC">
            <w:pPr>
              <w:pStyle w:val="tabteksts"/>
              <w:tabs>
                <w:tab w:val="decimal" w:pos="436"/>
              </w:tabs>
              <w:jc w:val="right"/>
            </w:pPr>
          </w:p>
        </w:tc>
        <w:tc>
          <w:tcPr>
            <w:tcW w:w="754" w:type="dxa"/>
            <w:tcBorders>
              <w:top w:val="single" w:sz="4" w:space="0" w:color="auto"/>
              <w:left w:val="single" w:sz="4" w:space="0" w:color="auto"/>
              <w:bottom w:val="single" w:sz="4" w:space="0" w:color="auto"/>
              <w:right w:val="double" w:sz="6" w:space="0" w:color="auto"/>
            </w:tcBorders>
          </w:tcPr>
          <w:p w14:paraId="3FFD19AB" w14:textId="77777777" w:rsidR="00F102F6" w:rsidRPr="00BF3425" w:rsidRDefault="00F102F6" w:rsidP="002622DC">
            <w:pPr>
              <w:pStyle w:val="tabteksts"/>
              <w:tabs>
                <w:tab w:val="decimal" w:pos="436"/>
              </w:tabs>
              <w:jc w:val="right"/>
            </w:pPr>
          </w:p>
        </w:tc>
      </w:tr>
      <w:tr w:rsidR="00F102F6" w:rsidRPr="00BF3425" w14:paraId="096CAA93"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7093EAEA" w14:textId="77777777" w:rsidR="00F102F6" w:rsidRPr="00BF3425" w:rsidRDefault="00F102F6" w:rsidP="00C15091">
            <w:pPr>
              <w:pStyle w:val="tabteksts"/>
              <w:rPr>
                <w:noProof/>
              </w:rPr>
            </w:pPr>
            <w:r w:rsidRPr="00BF3425">
              <w:rPr>
                <w:noProof/>
              </w:rPr>
              <w:t>Pensiju iemaksas valsts fondēto pensiju shēmā</w:t>
            </w:r>
          </w:p>
        </w:tc>
        <w:tc>
          <w:tcPr>
            <w:tcW w:w="754" w:type="dxa"/>
            <w:tcBorders>
              <w:top w:val="single" w:sz="4" w:space="0" w:color="auto"/>
              <w:left w:val="nil"/>
              <w:bottom w:val="single" w:sz="4" w:space="0" w:color="auto"/>
              <w:right w:val="single" w:sz="4" w:space="0" w:color="auto"/>
            </w:tcBorders>
          </w:tcPr>
          <w:p w14:paraId="75A7F7EF" w14:textId="77777777" w:rsidR="00F102F6" w:rsidRPr="00BF3425" w:rsidRDefault="00F102F6" w:rsidP="002622DC">
            <w:pPr>
              <w:pStyle w:val="tabteksts"/>
              <w:tabs>
                <w:tab w:val="decimal" w:pos="436"/>
              </w:tabs>
              <w:jc w:val="right"/>
            </w:pPr>
            <w:r w:rsidRPr="00BF3425">
              <w:t>0,5</w:t>
            </w:r>
          </w:p>
        </w:tc>
        <w:tc>
          <w:tcPr>
            <w:tcW w:w="754" w:type="dxa"/>
            <w:tcBorders>
              <w:top w:val="single" w:sz="4" w:space="0" w:color="auto"/>
              <w:left w:val="single" w:sz="4" w:space="0" w:color="auto"/>
              <w:bottom w:val="single" w:sz="4" w:space="0" w:color="auto"/>
              <w:right w:val="single" w:sz="4" w:space="0" w:color="auto"/>
            </w:tcBorders>
          </w:tcPr>
          <w:p w14:paraId="47DF7F70" w14:textId="77777777" w:rsidR="00F102F6" w:rsidRPr="00BF3425" w:rsidRDefault="00F102F6" w:rsidP="002622DC">
            <w:pPr>
              <w:pStyle w:val="tabteksts"/>
              <w:tabs>
                <w:tab w:val="decimal" w:pos="436"/>
              </w:tabs>
              <w:jc w:val="right"/>
            </w:pPr>
            <w:r w:rsidRPr="00BF3425">
              <w:t>1,6</w:t>
            </w:r>
          </w:p>
        </w:tc>
        <w:tc>
          <w:tcPr>
            <w:tcW w:w="754" w:type="dxa"/>
            <w:tcBorders>
              <w:top w:val="single" w:sz="4" w:space="0" w:color="auto"/>
              <w:left w:val="nil"/>
              <w:bottom w:val="single" w:sz="4" w:space="0" w:color="auto"/>
              <w:right w:val="single" w:sz="4" w:space="0" w:color="auto"/>
            </w:tcBorders>
          </w:tcPr>
          <w:p w14:paraId="6428D004" w14:textId="77777777" w:rsidR="00F102F6" w:rsidRPr="00BF3425" w:rsidRDefault="00F102F6" w:rsidP="002622DC">
            <w:pPr>
              <w:pStyle w:val="tabteksts"/>
              <w:tabs>
                <w:tab w:val="decimal" w:pos="436"/>
              </w:tabs>
              <w:jc w:val="right"/>
            </w:pPr>
            <w:r w:rsidRPr="00BF3425">
              <w:t>1,7</w:t>
            </w:r>
          </w:p>
        </w:tc>
        <w:tc>
          <w:tcPr>
            <w:tcW w:w="754" w:type="dxa"/>
            <w:tcBorders>
              <w:top w:val="single" w:sz="4" w:space="0" w:color="auto"/>
              <w:left w:val="nil"/>
              <w:bottom w:val="single" w:sz="4" w:space="0" w:color="auto"/>
              <w:right w:val="single" w:sz="4" w:space="0" w:color="auto"/>
            </w:tcBorders>
          </w:tcPr>
          <w:p w14:paraId="0CC10B9D" w14:textId="77777777" w:rsidR="00F102F6" w:rsidRPr="00BF3425" w:rsidRDefault="00F102F6" w:rsidP="002622DC">
            <w:pPr>
              <w:pStyle w:val="tabteksts"/>
              <w:tabs>
                <w:tab w:val="decimal" w:pos="436"/>
              </w:tabs>
              <w:jc w:val="right"/>
            </w:pPr>
            <w:r w:rsidRPr="00BF3425">
              <w:t>1,7</w:t>
            </w:r>
          </w:p>
        </w:tc>
        <w:tc>
          <w:tcPr>
            <w:tcW w:w="754" w:type="dxa"/>
            <w:tcBorders>
              <w:top w:val="single" w:sz="4" w:space="0" w:color="auto"/>
              <w:left w:val="nil"/>
              <w:bottom w:val="single" w:sz="4" w:space="0" w:color="auto"/>
              <w:right w:val="single" w:sz="4" w:space="0" w:color="auto"/>
            </w:tcBorders>
          </w:tcPr>
          <w:p w14:paraId="64E73790" w14:textId="77777777" w:rsidR="00F102F6" w:rsidRPr="00BF3425" w:rsidRDefault="00F102F6" w:rsidP="002622DC">
            <w:pPr>
              <w:pStyle w:val="tabteksts"/>
              <w:tabs>
                <w:tab w:val="decimal" w:pos="436"/>
              </w:tabs>
              <w:jc w:val="right"/>
            </w:pPr>
            <w:r w:rsidRPr="00BF3425">
              <w:t>1,7</w:t>
            </w:r>
          </w:p>
        </w:tc>
        <w:tc>
          <w:tcPr>
            <w:tcW w:w="754" w:type="dxa"/>
            <w:tcBorders>
              <w:top w:val="single" w:sz="4" w:space="0" w:color="auto"/>
              <w:left w:val="single" w:sz="4" w:space="0" w:color="auto"/>
              <w:bottom w:val="single" w:sz="4" w:space="0" w:color="auto"/>
              <w:right w:val="double" w:sz="6" w:space="0" w:color="auto"/>
            </w:tcBorders>
          </w:tcPr>
          <w:p w14:paraId="154B6BA1" w14:textId="77777777" w:rsidR="00F102F6" w:rsidRPr="00BF3425" w:rsidRDefault="00F102F6" w:rsidP="002622DC">
            <w:pPr>
              <w:pStyle w:val="tabteksts"/>
              <w:tabs>
                <w:tab w:val="decimal" w:pos="436"/>
              </w:tabs>
              <w:jc w:val="right"/>
            </w:pPr>
            <w:r w:rsidRPr="00BF3425">
              <w:t>1,8</w:t>
            </w:r>
          </w:p>
        </w:tc>
      </w:tr>
      <w:tr w:rsidR="00F102F6" w:rsidRPr="00BF3425" w14:paraId="0AA23069" w14:textId="77777777" w:rsidTr="002622DC">
        <w:tc>
          <w:tcPr>
            <w:tcW w:w="3840" w:type="dxa"/>
            <w:tcBorders>
              <w:top w:val="single" w:sz="4" w:space="0" w:color="auto"/>
              <w:left w:val="double" w:sz="6" w:space="0" w:color="auto"/>
              <w:bottom w:val="double" w:sz="6" w:space="0" w:color="auto"/>
              <w:right w:val="double" w:sz="6" w:space="0" w:color="auto"/>
            </w:tcBorders>
            <w:vAlign w:val="bottom"/>
          </w:tcPr>
          <w:p w14:paraId="28D88DE3" w14:textId="77777777" w:rsidR="00F102F6" w:rsidRPr="00BF3425" w:rsidRDefault="00F102F6" w:rsidP="00C15091">
            <w:pPr>
              <w:pStyle w:val="tabteksts"/>
              <w:rPr>
                <w:noProof/>
              </w:rPr>
            </w:pPr>
            <w:r w:rsidRPr="00BF3425">
              <w:rPr>
                <w:noProof/>
              </w:rPr>
              <w:t>Pensiju izdevumi no valsts fondēto pensiju shēmas</w:t>
            </w:r>
          </w:p>
        </w:tc>
        <w:tc>
          <w:tcPr>
            <w:tcW w:w="754" w:type="dxa"/>
            <w:tcBorders>
              <w:top w:val="single" w:sz="4" w:space="0" w:color="auto"/>
              <w:left w:val="nil"/>
              <w:bottom w:val="double" w:sz="6" w:space="0" w:color="auto"/>
              <w:right w:val="single" w:sz="4" w:space="0" w:color="auto"/>
            </w:tcBorders>
          </w:tcPr>
          <w:p w14:paraId="16C8180E" w14:textId="77777777" w:rsidR="00F102F6" w:rsidRPr="00BF3425" w:rsidRDefault="00F102F6" w:rsidP="002622DC">
            <w:pPr>
              <w:pStyle w:val="tabteksts"/>
              <w:tabs>
                <w:tab w:val="decimal" w:pos="423"/>
              </w:tabs>
              <w:jc w:val="right"/>
            </w:pPr>
            <w:r w:rsidRPr="00BF3425">
              <w:t>0,0</w:t>
            </w:r>
          </w:p>
        </w:tc>
        <w:tc>
          <w:tcPr>
            <w:tcW w:w="754" w:type="dxa"/>
            <w:tcBorders>
              <w:top w:val="single" w:sz="4" w:space="0" w:color="auto"/>
              <w:left w:val="single" w:sz="4" w:space="0" w:color="auto"/>
              <w:bottom w:val="double" w:sz="6" w:space="0" w:color="auto"/>
              <w:right w:val="single" w:sz="4" w:space="0" w:color="auto"/>
            </w:tcBorders>
          </w:tcPr>
          <w:p w14:paraId="154F9BB8" w14:textId="77777777" w:rsidR="00F102F6" w:rsidRPr="00BF3425" w:rsidRDefault="00F102F6" w:rsidP="002622DC">
            <w:pPr>
              <w:pStyle w:val="tabteksts"/>
              <w:tabs>
                <w:tab w:val="decimal" w:pos="423"/>
              </w:tabs>
              <w:jc w:val="right"/>
            </w:pPr>
            <w:r w:rsidRPr="00BF3425">
              <w:t>0,1</w:t>
            </w:r>
          </w:p>
        </w:tc>
        <w:tc>
          <w:tcPr>
            <w:tcW w:w="754" w:type="dxa"/>
            <w:tcBorders>
              <w:top w:val="single" w:sz="4" w:space="0" w:color="auto"/>
              <w:left w:val="nil"/>
              <w:bottom w:val="double" w:sz="6" w:space="0" w:color="auto"/>
              <w:right w:val="single" w:sz="4" w:space="0" w:color="auto"/>
            </w:tcBorders>
          </w:tcPr>
          <w:p w14:paraId="2A159206" w14:textId="77777777" w:rsidR="00F102F6" w:rsidRPr="00BF3425" w:rsidRDefault="00F102F6" w:rsidP="002622DC">
            <w:pPr>
              <w:pStyle w:val="tabteksts"/>
              <w:tabs>
                <w:tab w:val="decimal" w:pos="423"/>
              </w:tabs>
              <w:jc w:val="right"/>
            </w:pPr>
            <w:r w:rsidRPr="00BF3425">
              <w:t>0,3</w:t>
            </w:r>
          </w:p>
        </w:tc>
        <w:tc>
          <w:tcPr>
            <w:tcW w:w="754" w:type="dxa"/>
            <w:tcBorders>
              <w:top w:val="single" w:sz="4" w:space="0" w:color="auto"/>
              <w:left w:val="nil"/>
              <w:bottom w:val="double" w:sz="6" w:space="0" w:color="auto"/>
              <w:right w:val="single" w:sz="4" w:space="0" w:color="auto"/>
            </w:tcBorders>
          </w:tcPr>
          <w:p w14:paraId="188FC227" w14:textId="77777777" w:rsidR="00F102F6" w:rsidRPr="00BF3425" w:rsidRDefault="00F102F6" w:rsidP="002622DC">
            <w:pPr>
              <w:pStyle w:val="tabteksts"/>
              <w:tabs>
                <w:tab w:val="decimal" w:pos="423"/>
              </w:tabs>
              <w:jc w:val="right"/>
            </w:pPr>
            <w:r w:rsidRPr="00BF3425">
              <w:t>0,8</w:t>
            </w:r>
          </w:p>
        </w:tc>
        <w:tc>
          <w:tcPr>
            <w:tcW w:w="754" w:type="dxa"/>
            <w:tcBorders>
              <w:top w:val="single" w:sz="4" w:space="0" w:color="auto"/>
              <w:left w:val="nil"/>
              <w:bottom w:val="double" w:sz="6" w:space="0" w:color="auto"/>
              <w:right w:val="single" w:sz="4" w:space="0" w:color="auto"/>
            </w:tcBorders>
          </w:tcPr>
          <w:p w14:paraId="5E182111" w14:textId="77777777" w:rsidR="00F102F6" w:rsidRPr="00BF3425" w:rsidRDefault="00F102F6" w:rsidP="002622DC">
            <w:pPr>
              <w:pStyle w:val="tabteksts"/>
              <w:tabs>
                <w:tab w:val="decimal" w:pos="423"/>
              </w:tabs>
              <w:jc w:val="right"/>
            </w:pPr>
            <w:r w:rsidRPr="00BF3425">
              <w:t>1,8</w:t>
            </w:r>
          </w:p>
        </w:tc>
        <w:tc>
          <w:tcPr>
            <w:tcW w:w="754" w:type="dxa"/>
            <w:tcBorders>
              <w:top w:val="single" w:sz="4" w:space="0" w:color="auto"/>
              <w:left w:val="single" w:sz="4" w:space="0" w:color="auto"/>
              <w:bottom w:val="double" w:sz="6" w:space="0" w:color="auto"/>
              <w:right w:val="double" w:sz="6" w:space="0" w:color="auto"/>
            </w:tcBorders>
          </w:tcPr>
          <w:p w14:paraId="5EB96D47" w14:textId="77777777" w:rsidR="00F102F6" w:rsidRPr="00BF3425" w:rsidRDefault="00F102F6" w:rsidP="002622DC">
            <w:pPr>
              <w:pStyle w:val="tabteksts"/>
              <w:tabs>
                <w:tab w:val="decimal" w:pos="423"/>
              </w:tabs>
              <w:jc w:val="right"/>
            </w:pPr>
            <w:r w:rsidRPr="00BF3425">
              <w:t>2,9</w:t>
            </w:r>
          </w:p>
        </w:tc>
      </w:tr>
      <w:tr w:rsidR="00F102F6" w:rsidRPr="00BF3425" w14:paraId="1A3A7AC3" w14:textId="77777777" w:rsidTr="002622DC">
        <w:tc>
          <w:tcPr>
            <w:tcW w:w="3840" w:type="dxa"/>
            <w:tcBorders>
              <w:top w:val="double" w:sz="6" w:space="0" w:color="auto"/>
              <w:left w:val="double" w:sz="6" w:space="0" w:color="auto"/>
              <w:bottom w:val="single" w:sz="4" w:space="0" w:color="auto"/>
              <w:right w:val="double" w:sz="6" w:space="0" w:color="auto"/>
            </w:tcBorders>
            <w:vAlign w:val="bottom"/>
          </w:tcPr>
          <w:p w14:paraId="0B27EA0A" w14:textId="77777777" w:rsidR="00F102F6" w:rsidRPr="00BF3425" w:rsidRDefault="00F102F6" w:rsidP="00C15091">
            <w:pPr>
              <w:pStyle w:val="tabteksts"/>
              <w:rPr>
                <w:noProof/>
              </w:rPr>
            </w:pPr>
            <w:r w:rsidRPr="00BF3425">
              <w:rPr>
                <w:noProof/>
              </w:rPr>
              <w:t>Darba produktivitātes pieaugums (stundā)</w:t>
            </w:r>
          </w:p>
        </w:tc>
        <w:tc>
          <w:tcPr>
            <w:tcW w:w="754" w:type="dxa"/>
            <w:tcBorders>
              <w:top w:val="double" w:sz="6" w:space="0" w:color="auto"/>
              <w:left w:val="single" w:sz="4" w:space="0" w:color="auto"/>
              <w:bottom w:val="single" w:sz="4" w:space="0" w:color="auto"/>
              <w:right w:val="single" w:sz="4" w:space="0" w:color="auto"/>
            </w:tcBorders>
          </w:tcPr>
          <w:p w14:paraId="154A3676" w14:textId="77777777" w:rsidR="00F102F6" w:rsidRPr="00BF3425" w:rsidRDefault="00F102F6" w:rsidP="002622DC">
            <w:pPr>
              <w:pStyle w:val="tabteksts"/>
              <w:tabs>
                <w:tab w:val="decimal" w:pos="436"/>
              </w:tabs>
              <w:jc w:val="right"/>
            </w:pPr>
            <w:r w:rsidRPr="00BF3425">
              <w:t>5,4</w:t>
            </w:r>
          </w:p>
        </w:tc>
        <w:tc>
          <w:tcPr>
            <w:tcW w:w="754" w:type="dxa"/>
            <w:tcBorders>
              <w:top w:val="double" w:sz="6" w:space="0" w:color="auto"/>
              <w:left w:val="single" w:sz="4" w:space="0" w:color="auto"/>
              <w:bottom w:val="single" w:sz="4" w:space="0" w:color="auto"/>
              <w:right w:val="single" w:sz="4" w:space="0" w:color="auto"/>
            </w:tcBorders>
          </w:tcPr>
          <w:p w14:paraId="5B180284" w14:textId="77777777" w:rsidR="00F102F6" w:rsidRPr="00BF3425" w:rsidRDefault="00F102F6" w:rsidP="002622DC">
            <w:pPr>
              <w:pStyle w:val="tabteksts"/>
              <w:tabs>
                <w:tab w:val="decimal" w:pos="436"/>
              </w:tabs>
              <w:jc w:val="right"/>
            </w:pPr>
            <w:r w:rsidRPr="00BF3425">
              <w:t>1,9</w:t>
            </w:r>
          </w:p>
        </w:tc>
        <w:tc>
          <w:tcPr>
            <w:tcW w:w="754" w:type="dxa"/>
            <w:tcBorders>
              <w:top w:val="double" w:sz="6" w:space="0" w:color="auto"/>
              <w:left w:val="single" w:sz="4" w:space="0" w:color="auto"/>
              <w:bottom w:val="single" w:sz="4" w:space="0" w:color="auto"/>
              <w:right w:val="single" w:sz="4" w:space="0" w:color="auto"/>
            </w:tcBorders>
          </w:tcPr>
          <w:p w14:paraId="43255DE4" w14:textId="77777777" w:rsidR="00F102F6" w:rsidRPr="00BF3425" w:rsidRDefault="00F102F6" w:rsidP="002622DC">
            <w:pPr>
              <w:pStyle w:val="tabteksts"/>
              <w:tabs>
                <w:tab w:val="decimal" w:pos="436"/>
              </w:tabs>
              <w:jc w:val="right"/>
            </w:pPr>
            <w:r w:rsidRPr="00BF3425">
              <w:t>2,3</w:t>
            </w:r>
          </w:p>
        </w:tc>
        <w:tc>
          <w:tcPr>
            <w:tcW w:w="754" w:type="dxa"/>
            <w:tcBorders>
              <w:top w:val="double" w:sz="6" w:space="0" w:color="auto"/>
              <w:left w:val="single" w:sz="4" w:space="0" w:color="auto"/>
              <w:bottom w:val="single" w:sz="4" w:space="0" w:color="auto"/>
              <w:right w:val="single" w:sz="4" w:space="0" w:color="auto"/>
            </w:tcBorders>
          </w:tcPr>
          <w:p w14:paraId="0B8FC8CD" w14:textId="77777777" w:rsidR="00F102F6" w:rsidRPr="00BF3425" w:rsidRDefault="00F102F6" w:rsidP="002622DC">
            <w:pPr>
              <w:pStyle w:val="tabteksts"/>
              <w:tabs>
                <w:tab w:val="decimal" w:pos="436"/>
              </w:tabs>
              <w:jc w:val="right"/>
            </w:pPr>
            <w:r w:rsidRPr="00BF3425">
              <w:t>2,3</w:t>
            </w:r>
          </w:p>
        </w:tc>
        <w:tc>
          <w:tcPr>
            <w:tcW w:w="754" w:type="dxa"/>
            <w:tcBorders>
              <w:top w:val="double" w:sz="6" w:space="0" w:color="auto"/>
              <w:left w:val="single" w:sz="4" w:space="0" w:color="auto"/>
              <w:bottom w:val="single" w:sz="4" w:space="0" w:color="auto"/>
              <w:right w:val="single" w:sz="4" w:space="0" w:color="auto"/>
            </w:tcBorders>
          </w:tcPr>
          <w:p w14:paraId="26171333" w14:textId="77777777" w:rsidR="00F102F6" w:rsidRPr="00BF3425" w:rsidRDefault="00F102F6" w:rsidP="002622DC">
            <w:pPr>
              <w:pStyle w:val="tabteksts"/>
              <w:tabs>
                <w:tab w:val="decimal" w:pos="436"/>
              </w:tabs>
              <w:jc w:val="right"/>
            </w:pPr>
            <w:r w:rsidRPr="00BF3425">
              <w:t>1,9</w:t>
            </w:r>
          </w:p>
        </w:tc>
        <w:tc>
          <w:tcPr>
            <w:tcW w:w="754" w:type="dxa"/>
            <w:tcBorders>
              <w:top w:val="double" w:sz="6" w:space="0" w:color="auto"/>
              <w:left w:val="single" w:sz="4" w:space="0" w:color="auto"/>
              <w:bottom w:val="single" w:sz="4" w:space="0" w:color="auto"/>
              <w:right w:val="double" w:sz="6" w:space="0" w:color="auto"/>
            </w:tcBorders>
          </w:tcPr>
          <w:p w14:paraId="5E48643E" w14:textId="77777777" w:rsidR="00F102F6" w:rsidRPr="00BF3425" w:rsidRDefault="00F102F6" w:rsidP="002622DC">
            <w:pPr>
              <w:pStyle w:val="tabteksts"/>
              <w:tabs>
                <w:tab w:val="decimal" w:pos="436"/>
              </w:tabs>
              <w:jc w:val="right"/>
            </w:pPr>
            <w:r w:rsidRPr="00BF3425">
              <w:t>1,5</w:t>
            </w:r>
          </w:p>
        </w:tc>
      </w:tr>
      <w:tr w:rsidR="00F102F6" w:rsidRPr="00BF3425" w14:paraId="5165F1B7"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0845551" w14:textId="77777777" w:rsidR="00F102F6" w:rsidRPr="00BF3425" w:rsidRDefault="00F102F6" w:rsidP="00C15091">
            <w:pPr>
              <w:pStyle w:val="tabteksts"/>
            </w:pPr>
            <w:r w:rsidRPr="00BF3425">
              <w:t>IKP pieaugums, salīdzināmās cenās</w:t>
            </w:r>
          </w:p>
        </w:tc>
        <w:tc>
          <w:tcPr>
            <w:tcW w:w="754" w:type="dxa"/>
            <w:tcBorders>
              <w:top w:val="single" w:sz="4" w:space="0" w:color="auto"/>
              <w:left w:val="single" w:sz="4" w:space="0" w:color="auto"/>
              <w:bottom w:val="single" w:sz="4" w:space="0" w:color="auto"/>
              <w:right w:val="single" w:sz="4" w:space="0" w:color="auto"/>
            </w:tcBorders>
          </w:tcPr>
          <w:p w14:paraId="7FC9F364" w14:textId="77777777" w:rsidR="00F102F6" w:rsidRPr="00BF3425" w:rsidRDefault="00F102F6" w:rsidP="002622DC">
            <w:pPr>
              <w:pStyle w:val="tabteksts"/>
              <w:tabs>
                <w:tab w:val="decimal" w:pos="436"/>
              </w:tabs>
              <w:jc w:val="right"/>
            </w:pPr>
            <w:r w:rsidRPr="00BF3425">
              <w:t>-0,3</w:t>
            </w:r>
          </w:p>
        </w:tc>
        <w:tc>
          <w:tcPr>
            <w:tcW w:w="754" w:type="dxa"/>
            <w:tcBorders>
              <w:top w:val="single" w:sz="4" w:space="0" w:color="auto"/>
              <w:left w:val="single" w:sz="4" w:space="0" w:color="auto"/>
              <w:bottom w:val="single" w:sz="4" w:space="0" w:color="auto"/>
              <w:right w:val="single" w:sz="4" w:space="0" w:color="auto"/>
            </w:tcBorders>
          </w:tcPr>
          <w:p w14:paraId="018B43E9" w14:textId="77777777" w:rsidR="00F102F6" w:rsidRPr="00BF3425" w:rsidRDefault="00F102F6" w:rsidP="002622DC">
            <w:pPr>
              <w:pStyle w:val="tabteksts"/>
              <w:tabs>
                <w:tab w:val="decimal" w:pos="436"/>
              </w:tabs>
              <w:jc w:val="right"/>
            </w:pPr>
            <w:r w:rsidRPr="00BF3425">
              <w:t>2,1</w:t>
            </w:r>
          </w:p>
        </w:tc>
        <w:tc>
          <w:tcPr>
            <w:tcW w:w="754" w:type="dxa"/>
            <w:tcBorders>
              <w:top w:val="single" w:sz="4" w:space="0" w:color="auto"/>
              <w:left w:val="single" w:sz="4" w:space="0" w:color="auto"/>
              <w:bottom w:val="single" w:sz="4" w:space="0" w:color="auto"/>
              <w:right w:val="single" w:sz="4" w:space="0" w:color="auto"/>
            </w:tcBorders>
          </w:tcPr>
          <w:p w14:paraId="56B8E96E" w14:textId="77777777" w:rsidR="00F102F6" w:rsidRPr="00BF3425" w:rsidRDefault="00F102F6" w:rsidP="002622DC">
            <w:pPr>
              <w:pStyle w:val="tabteksts"/>
              <w:tabs>
                <w:tab w:val="decimal" w:pos="436"/>
              </w:tabs>
              <w:jc w:val="right"/>
            </w:pPr>
            <w:r w:rsidRPr="00BF3425">
              <w:t>2,1</w:t>
            </w:r>
          </w:p>
        </w:tc>
        <w:tc>
          <w:tcPr>
            <w:tcW w:w="754" w:type="dxa"/>
            <w:tcBorders>
              <w:top w:val="single" w:sz="4" w:space="0" w:color="auto"/>
              <w:left w:val="single" w:sz="4" w:space="0" w:color="auto"/>
              <w:bottom w:val="single" w:sz="4" w:space="0" w:color="auto"/>
              <w:right w:val="single" w:sz="4" w:space="0" w:color="auto"/>
            </w:tcBorders>
          </w:tcPr>
          <w:p w14:paraId="0EE00C1D" w14:textId="77777777" w:rsidR="00F102F6" w:rsidRPr="00BF3425" w:rsidRDefault="00F102F6" w:rsidP="002622DC">
            <w:pPr>
              <w:pStyle w:val="tabteksts"/>
              <w:tabs>
                <w:tab w:val="decimal" w:pos="436"/>
              </w:tabs>
              <w:jc w:val="right"/>
            </w:pPr>
            <w:r w:rsidRPr="00BF3425">
              <w:t>1,4</w:t>
            </w:r>
          </w:p>
        </w:tc>
        <w:tc>
          <w:tcPr>
            <w:tcW w:w="754" w:type="dxa"/>
            <w:tcBorders>
              <w:top w:val="single" w:sz="4" w:space="0" w:color="auto"/>
              <w:left w:val="single" w:sz="4" w:space="0" w:color="auto"/>
              <w:bottom w:val="single" w:sz="4" w:space="0" w:color="auto"/>
              <w:right w:val="single" w:sz="4" w:space="0" w:color="auto"/>
            </w:tcBorders>
          </w:tcPr>
          <w:p w14:paraId="443D69BC" w14:textId="77777777" w:rsidR="00F102F6" w:rsidRPr="00BF3425" w:rsidRDefault="00F102F6" w:rsidP="002622DC">
            <w:pPr>
              <w:pStyle w:val="tabteksts"/>
              <w:tabs>
                <w:tab w:val="decimal" w:pos="436"/>
              </w:tabs>
              <w:jc w:val="right"/>
            </w:pPr>
            <w:r w:rsidRPr="00BF3425">
              <w:t>0,3</w:t>
            </w:r>
          </w:p>
        </w:tc>
        <w:tc>
          <w:tcPr>
            <w:tcW w:w="754" w:type="dxa"/>
            <w:tcBorders>
              <w:top w:val="single" w:sz="4" w:space="0" w:color="auto"/>
              <w:left w:val="single" w:sz="4" w:space="0" w:color="auto"/>
              <w:bottom w:val="single" w:sz="4" w:space="0" w:color="auto"/>
              <w:right w:val="double" w:sz="6" w:space="0" w:color="auto"/>
            </w:tcBorders>
          </w:tcPr>
          <w:p w14:paraId="030E29CB" w14:textId="77777777" w:rsidR="00F102F6" w:rsidRPr="00BF3425" w:rsidRDefault="00F102F6" w:rsidP="002622DC">
            <w:pPr>
              <w:pStyle w:val="tabteksts"/>
              <w:tabs>
                <w:tab w:val="decimal" w:pos="436"/>
              </w:tabs>
              <w:jc w:val="right"/>
            </w:pPr>
            <w:r w:rsidRPr="00BF3425">
              <w:t>0,5</w:t>
            </w:r>
          </w:p>
        </w:tc>
      </w:tr>
      <w:tr w:rsidR="00F102F6" w:rsidRPr="00BF3425" w14:paraId="06620F69"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4EF6D053" w14:textId="77777777" w:rsidR="00F102F6" w:rsidRPr="00BF3425" w:rsidRDefault="00F102F6" w:rsidP="00C15091">
            <w:pPr>
              <w:pStyle w:val="tabteksts"/>
            </w:pPr>
            <w:r w:rsidRPr="00BF3425">
              <w:t>Līdzdalības līmenis, vīrieši (20-64)</w:t>
            </w:r>
          </w:p>
        </w:tc>
        <w:tc>
          <w:tcPr>
            <w:tcW w:w="754" w:type="dxa"/>
            <w:tcBorders>
              <w:top w:val="single" w:sz="4" w:space="0" w:color="auto"/>
              <w:left w:val="single" w:sz="4" w:space="0" w:color="auto"/>
              <w:bottom w:val="single" w:sz="4" w:space="0" w:color="auto"/>
              <w:right w:val="single" w:sz="4" w:space="0" w:color="auto"/>
            </w:tcBorders>
          </w:tcPr>
          <w:p w14:paraId="6DA2DEA2" w14:textId="77777777" w:rsidR="00F102F6" w:rsidRPr="00BF3425" w:rsidRDefault="00F102F6" w:rsidP="002622DC">
            <w:pPr>
              <w:pStyle w:val="tabteksts"/>
              <w:tabs>
                <w:tab w:val="decimal" w:pos="436"/>
              </w:tabs>
              <w:jc w:val="right"/>
            </w:pPr>
            <w:r w:rsidRPr="00BF3425">
              <w:t>83,2</w:t>
            </w:r>
          </w:p>
        </w:tc>
        <w:tc>
          <w:tcPr>
            <w:tcW w:w="754" w:type="dxa"/>
            <w:tcBorders>
              <w:top w:val="single" w:sz="4" w:space="0" w:color="auto"/>
              <w:left w:val="single" w:sz="4" w:space="0" w:color="auto"/>
              <w:bottom w:val="single" w:sz="4" w:space="0" w:color="auto"/>
              <w:right w:val="single" w:sz="4" w:space="0" w:color="auto"/>
            </w:tcBorders>
          </w:tcPr>
          <w:p w14:paraId="1C43EEEE" w14:textId="77777777" w:rsidR="00F102F6" w:rsidRPr="00BF3425" w:rsidRDefault="00F102F6" w:rsidP="002622DC">
            <w:pPr>
              <w:pStyle w:val="tabteksts"/>
              <w:tabs>
                <w:tab w:val="decimal" w:pos="436"/>
              </w:tabs>
              <w:jc w:val="right"/>
            </w:pPr>
            <w:r w:rsidRPr="00BF3425">
              <w:t>86,2</w:t>
            </w:r>
          </w:p>
        </w:tc>
        <w:tc>
          <w:tcPr>
            <w:tcW w:w="754" w:type="dxa"/>
            <w:tcBorders>
              <w:top w:val="single" w:sz="4" w:space="0" w:color="auto"/>
              <w:left w:val="single" w:sz="4" w:space="0" w:color="auto"/>
              <w:bottom w:val="single" w:sz="4" w:space="0" w:color="auto"/>
              <w:right w:val="single" w:sz="4" w:space="0" w:color="auto"/>
            </w:tcBorders>
          </w:tcPr>
          <w:p w14:paraId="7531E086" w14:textId="77777777" w:rsidR="00F102F6" w:rsidRPr="00BF3425" w:rsidRDefault="00F102F6" w:rsidP="002622DC">
            <w:pPr>
              <w:pStyle w:val="tabteksts"/>
              <w:tabs>
                <w:tab w:val="decimal" w:pos="436"/>
              </w:tabs>
              <w:jc w:val="right"/>
            </w:pPr>
            <w:r w:rsidRPr="00BF3425">
              <w:t>87,1</w:t>
            </w:r>
          </w:p>
        </w:tc>
        <w:tc>
          <w:tcPr>
            <w:tcW w:w="754" w:type="dxa"/>
            <w:tcBorders>
              <w:top w:val="single" w:sz="4" w:space="0" w:color="auto"/>
              <w:left w:val="single" w:sz="4" w:space="0" w:color="auto"/>
              <w:bottom w:val="single" w:sz="4" w:space="0" w:color="auto"/>
              <w:right w:val="single" w:sz="4" w:space="0" w:color="auto"/>
            </w:tcBorders>
          </w:tcPr>
          <w:p w14:paraId="157F5A23" w14:textId="77777777" w:rsidR="00F102F6" w:rsidRPr="00BF3425" w:rsidRDefault="00F102F6" w:rsidP="002622DC">
            <w:pPr>
              <w:pStyle w:val="tabteksts"/>
              <w:tabs>
                <w:tab w:val="decimal" w:pos="436"/>
              </w:tabs>
              <w:jc w:val="right"/>
            </w:pPr>
            <w:r w:rsidRPr="00BF3425">
              <w:t>86,9</w:t>
            </w:r>
          </w:p>
        </w:tc>
        <w:tc>
          <w:tcPr>
            <w:tcW w:w="754" w:type="dxa"/>
            <w:tcBorders>
              <w:top w:val="single" w:sz="4" w:space="0" w:color="auto"/>
              <w:left w:val="single" w:sz="4" w:space="0" w:color="auto"/>
              <w:bottom w:val="single" w:sz="4" w:space="0" w:color="auto"/>
              <w:right w:val="single" w:sz="4" w:space="0" w:color="auto"/>
            </w:tcBorders>
          </w:tcPr>
          <w:p w14:paraId="51B1A218" w14:textId="77777777" w:rsidR="00F102F6" w:rsidRPr="00BF3425" w:rsidRDefault="00F102F6" w:rsidP="002622DC">
            <w:pPr>
              <w:pStyle w:val="tabteksts"/>
              <w:tabs>
                <w:tab w:val="decimal" w:pos="436"/>
              </w:tabs>
              <w:jc w:val="right"/>
            </w:pPr>
            <w:r w:rsidRPr="00BF3425">
              <w:t>85,6</w:t>
            </w:r>
          </w:p>
        </w:tc>
        <w:tc>
          <w:tcPr>
            <w:tcW w:w="754" w:type="dxa"/>
            <w:tcBorders>
              <w:top w:val="single" w:sz="4" w:space="0" w:color="auto"/>
              <w:left w:val="single" w:sz="4" w:space="0" w:color="auto"/>
              <w:bottom w:val="single" w:sz="4" w:space="0" w:color="auto"/>
              <w:right w:val="double" w:sz="6" w:space="0" w:color="auto"/>
            </w:tcBorders>
          </w:tcPr>
          <w:p w14:paraId="26A44118" w14:textId="77777777" w:rsidR="00F102F6" w:rsidRPr="00BF3425" w:rsidRDefault="00F102F6" w:rsidP="002622DC">
            <w:pPr>
              <w:pStyle w:val="tabteksts"/>
              <w:tabs>
                <w:tab w:val="decimal" w:pos="436"/>
              </w:tabs>
              <w:jc w:val="right"/>
            </w:pPr>
            <w:r w:rsidRPr="00BF3425">
              <w:t>87,2</w:t>
            </w:r>
          </w:p>
        </w:tc>
      </w:tr>
      <w:tr w:rsidR="00F102F6" w:rsidRPr="00BF3425" w14:paraId="003AACAC"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7AF5F2E0" w14:textId="77777777" w:rsidR="00F102F6" w:rsidRPr="00BF3425" w:rsidRDefault="00F102F6" w:rsidP="00C15091">
            <w:pPr>
              <w:pStyle w:val="tabteksts"/>
            </w:pPr>
            <w:r w:rsidRPr="00BF3425">
              <w:t>Līdzdalības līmenis, sievietes (20-64)</w:t>
            </w:r>
          </w:p>
        </w:tc>
        <w:tc>
          <w:tcPr>
            <w:tcW w:w="754" w:type="dxa"/>
            <w:tcBorders>
              <w:top w:val="single" w:sz="4" w:space="0" w:color="auto"/>
              <w:left w:val="single" w:sz="4" w:space="0" w:color="auto"/>
              <w:bottom w:val="single" w:sz="4" w:space="0" w:color="auto"/>
              <w:right w:val="single" w:sz="4" w:space="0" w:color="auto"/>
            </w:tcBorders>
          </w:tcPr>
          <w:p w14:paraId="4873835F" w14:textId="77777777" w:rsidR="00F102F6" w:rsidRPr="00BF3425" w:rsidRDefault="00F102F6" w:rsidP="002622DC">
            <w:pPr>
              <w:pStyle w:val="tabteksts"/>
              <w:tabs>
                <w:tab w:val="decimal" w:pos="436"/>
              </w:tabs>
              <w:jc w:val="right"/>
            </w:pPr>
            <w:r w:rsidRPr="00BF3425">
              <w:t>76,7</w:t>
            </w:r>
          </w:p>
        </w:tc>
        <w:tc>
          <w:tcPr>
            <w:tcW w:w="754" w:type="dxa"/>
            <w:tcBorders>
              <w:top w:val="single" w:sz="4" w:space="0" w:color="auto"/>
              <w:left w:val="single" w:sz="4" w:space="0" w:color="auto"/>
              <w:bottom w:val="single" w:sz="4" w:space="0" w:color="auto"/>
              <w:right w:val="single" w:sz="4" w:space="0" w:color="auto"/>
            </w:tcBorders>
          </w:tcPr>
          <w:p w14:paraId="1283A111" w14:textId="77777777" w:rsidR="00F102F6" w:rsidRPr="00BF3425" w:rsidRDefault="00F102F6" w:rsidP="002622DC">
            <w:pPr>
              <w:pStyle w:val="tabteksts"/>
              <w:tabs>
                <w:tab w:val="decimal" w:pos="436"/>
              </w:tabs>
              <w:jc w:val="right"/>
            </w:pPr>
            <w:r w:rsidRPr="00BF3425">
              <w:t>80,3</w:t>
            </w:r>
          </w:p>
        </w:tc>
        <w:tc>
          <w:tcPr>
            <w:tcW w:w="754" w:type="dxa"/>
            <w:tcBorders>
              <w:top w:val="single" w:sz="4" w:space="0" w:color="auto"/>
              <w:left w:val="single" w:sz="4" w:space="0" w:color="auto"/>
              <w:bottom w:val="single" w:sz="4" w:space="0" w:color="auto"/>
              <w:right w:val="single" w:sz="4" w:space="0" w:color="auto"/>
            </w:tcBorders>
          </w:tcPr>
          <w:p w14:paraId="5EC6BC93" w14:textId="77777777" w:rsidR="00F102F6" w:rsidRPr="00BF3425" w:rsidRDefault="00F102F6" w:rsidP="002622DC">
            <w:pPr>
              <w:pStyle w:val="tabteksts"/>
              <w:tabs>
                <w:tab w:val="decimal" w:pos="436"/>
              </w:tabs>
              <w:jc w:val="right"/>
            </w:pPr>
            <w:r w:rsidRPr="00BF3425">
              <w:t>82,3</w:t>
            </w:r>
          </w:p>
        </w:tc>
        <w:tc>
          <w:tcPr>
            <w:tcW w:w="754" w:type="dxa"/>
            <w:tcBorders>
              <w:top w:val="single" w:sz="4" w:space="0" w:color="auto"/>
              <w:left w:val="single" w:sz="4" w:space="0" w:color="auto"/>
              <w:bottom w:val="single" w:sz="4" w:space="0" w:color="auto"/>
              <w:right w:val="single" w:sz="4" w:space="0" w:color="auto"/>
            </w:tcBorders>
          </w:tcPr>
          <w:p w14:paraId="093D4479" w14:textId="77777777" w:rsidR="00F102F6" w:rsidRPr="00BF3425" w:rsidRDefault="00F102F6" w:rsidP="002622DC">
            <w:pPr>
              <w:pStyle w:val="tabteksts"/>
              <w:tabs>
                <w:tab w:val="decimal" w:pos="436"/>
              </w:tabs>
              <w:jc w:val="right"/>
            </w:pPr>
            <w:r w:rsidRPr="00BF3425">
              <w:t>82,5</w:t>
            </w:r>
          </w:p>
        </w:tc>
        <w:tc>
          <w:tcPr>
            <w:tcW w:w="754" w:type="dxa"/>
            <w:tcBorders>
              <w:top w:val="single" w:sz="4" w:space="0" w:color="auto"/>
              <w:left w:val="single" w:sz="4" w:space="0" w:color="auto"/>
              <w:bottom w:val="single" w:sz="4" w:space="0" w:color="auto"/>
              <w:right w:val="single" w:sz="4" w:space="0" w:color="auto"/>
            </w:tcBorders>
          </w:tcPr>
          <w:p w14:paraId="0E788D1C" w14:textId="77777777" w:rsidR="00F102F6" w:rsidRPr="00BF3425" w:rsidRDefault="00F102F6" w:rsidP="002622DC">
            <w:pPr>
              <w:pStyle w:val="tabteksts"/>
              <w:tabs>
                <w:tab w:val="decimal" w:pos="436"/>
              </w:tabs>
              <w:jc w:val="right"/>
            </w:pPr>
            <w:r w:rsidRPr="00BF3425">
              <w:t>81,9</w:t>
            </w:r>
          </w:p>
        </w:tc>
        <w:tc>
          <w:tcPr>
            <w:tcW w:w="754" w:type="dxa"/>
            <w:tcBorders>
              <w:top w:val="single" w:sz="4" w:space="0" w:color="auto"/>
              <w:left w:val="single" w:sz="4" w:space="0" w:color="auto"/>
              <w:bottom w:val="single" w:sz="4" w:space="0" w:color="auto"/>
              <w:right w:val="double" w:sz="6" w:space="0" w:color="auto"/>
            </w:tcBorders>
          </w:tcPr>
          <w:p w14:paraId="41CA12A9" w14:textId="77777777" w:rsidR="00F102F6" w:rsidRPr="00BF3425" w:rsidRDefault="00F102F6" w:rsidP="002622DC">
            <w:pPr>
              <w:pStyle w:val="tabteksts"/>
              <w:tabs>
                <w:tab w:val="decimal" w:pos="436"/>
              </w:tabs>
              <w:jc w:val="right"/>
            </w:pPr>
            <w:r w:rsidRPr="00BF3425">
              <w:t>83,7</w:t>
            </w:r>
          </w:p>
        </w:tc>
      </w:tr>
      <w:tr w:rsidR="00F102F6" w:rsidRPr="00BF3425" w14:paraId="6B7A6BF3"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65FEFCB4" w14:textId="77777777" w:rsidR="00F102F6" w:rsidRPr="00BF3425" w:rsidRDefault="00F102F6" w:rsidP="00C15091">
            <w:pPr>
              <w:pStyle w:val="tabteksts"/>
            </w:pPr>
            <w:r w:rsidRPr="00BF3425">
              <w:t>Līdzdalības līmenis, kopā (20-64)</w:t>
            </w:r>
          </w:p>
        </w:tc>
        <w:tc>
          <w:tcPr>
            <w:tcW w:w="754" w:type="dxa"/>
            <w:tcBorders>
              <w:top w:val="single" w:sz="4" w:space="0" w:color="auto"/>
              <w:left w:val="single" w:sz="4" w:space="0" w:color="auto"/>
              <w:bottom w:val="single" w:sz="4" w:space="0" w:color="auto"/>
              <w:right w:val="single" w:sz="4" w:space="0" w:color="auto"/>
            </w:tcBorders>
          </w:tcPr>
          <w:p w14:paraId="02316468" w14:textId="77777777" w:rsidR="00F102F6" w:rsidRPr="00BF3425" w:rsidRDefault="00F102F6" w:rsidP="002622DC">
            <w:pPr>
              <w:pStyle w:val="tabteksts"/>
              <w:tabs>
                <w:tab w:val="decimal" w:pos="436"/>
              </w:tabs>
              <w:jc w:val="right"/>
            </w:pPr>
            <w:r w:rsidRPr="00BF3425">
              <w:t>79,9</w:t>
            </w:r>
          </w:p>
        </w:tc>
        <w:tc>
          <w:tcPr>
            <w:tcW w:w="754" w:type="dxa"/>
            <w:tcBorders>
              <w:top w:val="single" w:sz="4" w:space="0" w:color="auto"/>
              <w:left w:val="single" w:sz="4" w:space="0" w:color="auto"/>
              <w:bottom w:val="single" w:sz="4" w:space="0" w:color="auto"/>
              <w:right w:val="single" w:sz="4" w:space="0" w:color="auto"/>
            </w:tcBorders>
          </w:tcPr>
          <w:p w14:paraId="3BE59192" w14:textId="77777777" w:rsidR="00F102F6" w:rsidRPr="00BF3425" w:rsidRDefault="00F102F6" w:rsidP="002622DC">
            <w:pPr>
              <w:pStyle w:val="tabteksts"/>
              <w:tabs>
                <w:tab w:val="decimal" w:pos="436"/>
              </w:tabs>
              <w:jc w:val="right"/>
            </w:pPr>
            <w:r w:rsidRPr="00BF3425">
              <w:t>83,2</w:t>
            </w:r>
          </w:p>
        </w:tc>
        <w:tc>
          <w:tcPr>
            <w:tcW w:w="754" w:type="dxa"/>
            <w:tcBorders>
              <w:top w:val="single" w:sz="4" w:space="0" w:color="auto"/>
              <w:left w:val="single" w:sz="4" w:space="0" w:color="auto"/>
              <w:bottom w:val="single" w:sz="4" w:space="0" w:color="auto"/>
              <w:right w:val="single" w:sz="4" w:space="0" w:color="auto"/>
            </w:tcBorders>
          </w:tcPr>
          <w:p w14:paraId="710E52D3" w14:textId="77777777" w:rsidR="00F102F6" w:rsidRPr="00BF3425" w:rsidRDefault="00F102F6" w:rsidP="002622DC">
            <w:pPr>
              <w:pStyle w:val="tabteksts"/>
              <w:tabs>
                <w:tab w:val="decimal" w:pos="436"/>
              </w:tabs>
              <w:jc w:val="right"/>
            </w:pPr>
            <w:r w:rsidRPr="00BF3425">
              <w:t>84,7</w:t>
            </w:r>
          </w:p>
        </w:tc>
        <w:tc>
          <w:tcPr>
            <w:tcW w:w="754" w:type="dxa"/>
            <w:tcBorders>
              <w:top w:val="single" w:sz="4" w:space="0" w:color="auto"/>
              <w:left w:val="single" w:sz="4" w:space="0" w:color="auto"/>
              <w:bottom w:val="single" w:sz="4" w:space="0" w:color="auto"/>
              <w:right w:val="single" w:sz="4" w:space="0" w:color="auto"/>
            </w:tcBorders>
          </w:tcPr>
          <w:p w14:paraId="4D8C4FC1" w14:textId="77777777" w:rsidR="00F102F6" w:rsidRPr="00BF3425" w:rsidRDefault="00F102F6" w:rsidP="002622DC">
            <w:pPr>
              <w:pStyle w:val="tabteksts"/>
              <w:tabs>
                <w:tab w:val="decimal" w:pos="436"/>
              </w:tabs>
              <w:jc w:val="right"/>
            </w:pPr>
            <w:r w:rsidRPr="00BF3425">
              <w:t>84,7</w:t>
            </w:r>
          </w:p>
        </w:tc>
        <w:tc>
          <w:tcPr>
            <w:tcW w:w="754" w:type="dxa"/>
            <w:tcBorders>
              <w:top w:val="single" w:sz="4" w:space="0" w:color="auto"/>
              <w:left w:val="single" w:sz="4" w:space="0" w:color="auto"/>
              <w:bottom w:val="single" w:sz="4" w:space="0" w:color="auto"/>
              <w:right w:val="single" w:sz="4" w:space="0" w:color="auto"/>
            </w:tcBorders>
          </w:tcPr>
          <w:p w14:paraId="1ADC768F" w14:textId="77777777" w:rsidR="00F102F6" w:rsidRPr="00BF3425" w:rsidRDefault="00F102F6" w:rsidP="002622DC">
            <w:pPr>
              <w:pStyle w:val="tabteksts"/>
              <w:tabs>
                <w:tab w:val="decimal" w:pos="436"/>
              </w:tabs>
              <w:jc w:val="right"/>
            </w:pPr>
            <w:r w:rsidRPr="00BF3425">
              <w:t>83,8</w:t>
            </w:r>
          </w:p>
        </w:tc>
        <w:tc>
          <w:tcPr>
            <w:tcW w:w="754" w:type="dxa"/>
            <w:tcBorders>
              <w:top w:val="single" w:sz="4" w:space="0" w:color="auto"/>
              <w:left w:val="single" w:sz="4" w:space="0" w:color="auto"/>
              <w:bottom w:val="single" w:sz="4" w:space="0" w:color="auto"/>
              <w:right w:val="double" w:sz="6" w:space="0" w:color="auto"/>
            </w:tcBorders>
          </w:tcPr>
          <w:p w14:paraId="16BCFE74" w14:textId="77777777" w:rsidR="00F102F6" w:rsidRPr="00BF3425" w:rsidRDefault="00F102F6" w:rsidP="002622DC">
            <w:pPr>
              <w:pStyle w:val="tabteksts"/>
              <w:tabs>
                <w:tab w:val="decimal" w:pos="436"/>
              </w:tabs>
              <w:jc w:val="right"/>
            </w:pPr>
            <w:r w:rsidRPr="00BF3425">
              <w:t>85,5</w:t>
            </w:r>
          </w:p>
        </w:tc>
      </w:tr>
      <w:tr w:rsidR="00F102F6" w:rsidRPr="00BF3425" w14:paraId="7E5562B7" w14:textId="77777777" w:rsidTr="002622DC">
        <w:tc>
          <w:tcPr>
            <w:tcW w:w="3840" w:type="dxa"/>
            <w:tcBorders>
              <w:top w:val="single" w:sz="4" w:space="0" w:color="auto"/>
              <w:left w:val="double" w:sz="6" w:space="0" w:color="auto"/>
              <w:bottom w:val="single" w:sz="4" w:space="0" w:color="auto"/>
              <w:right w:val="double" w:sz="6" w:space="0" w:color="auto"/>
            </w:tcBorders>
            <w:vAlign w:val="bottom"/>
          </w:tcPr>
          <w:p w14:paraId="528C31E0" w14:textId="77777777" w:rsidR="00F102F6" w:rsidRPr="00BF3425" w:rsidRDefault="00F102F6" w:rsidP="00C15091">
            <w:pPr>
              <w:pStyle w:val="tabteksts"/>
            </w:pPr>
            <w:r w:rsidRPr="00BF3425">
              <w:t>Bezdarba līmenis (20-64)</w:t>
            </w:r>
          </w:p>
        </w:tc>
        <w:tc>
          <w:tcPr>
            <w:tcW w:w="754" w:type="dxa"/>
            <w:tcBorders>
              <w:top w:val="single" w:sz="4" w:space="0" w:color="auto"/>
              <w:left w:val="single" w:sz="4" w:space="0" w:color="auto"/>
              <w:bottom w:val="single" w:sz="4" w:space="0" w:color="auto"/>
              <w:right w:val="single" w:sz="4" w:space="0" w:color="auto"/>
            </w:tcBorders>
          </w:tcPr>
          <w:p w14:paraId="67624E17" w14:textId="77777777" w:rsidR="00F102F6" w:rsidRPr="00BF3425" w:rsidRDefault="00F102F6" w:rsidP="002622DC">
            <w:pPr>
              <w:pStyle w:val="tabteksts"/>
              <w:tabs>
                <w:tab w:val="decimal" w:pos="436"/>
              </w:tabs>
              <w:jc w:val="right"/>
            </w:pPr>
            <w:r w:rsidRPr="00BF3425">
              <w:t>18,4</w:t>
            </w:r>
          </w:p>
        </w:tc>
        <w:tc>
          <w:tcPr>
            <w:tcW w:w="754" w:type="dxa"/>
            <w:tcBorders>
              <w:top w:val="single" w:sz="4" w:space="0" w:color="auto"/>
              <w:left w:val="single" w:sz="4" w:space="0" w:color="auto"/>
              <w:bottom w:val="single" w:sz="4" w:space="0" w:color="auto"/>
              <w:right w:val="single" w:sz="4" w:space="0" w:color="auto"/>
            </w:tcBorders>
          </w:tcPr>
          <w:p w14:paraId="415AC1E4" w14:textId="77777777" w:rsidR="00F102F6" w:rsidRPr="00BF3425" w:rsidRDefault="00F102F6" w:rsidP="002622DC">
            <w:pPr>
              <w:pStyle w:val="tabteksts"/>
              <w:tabs>
                <w:tab w:val="decimal" w:pos="436"/>
              </w:tabs>
              <w:jc w:val="right"/>
            </w:pPr>
            <w:r w:rsidRPr="00BF3425">
              <w:t>18,0</w:t>
            </w:r>
          </w:p>
        </w:tc>
        <w:tc>
          <w:tcPr>
            <w:tcW w:w="754" w:type="dxa"/>
            <w:tcBorders>
              <w:top w:val="single" w:sz="4" w:space="0" w:color="auto"/>
              <w:left w:val="single" w:sz="4" w:space="0" w:color="auto"/>
              <w:bottom w:val="single" w:sz="4" w:space="0" w:color="auto"/>
              <w:right w:val="single" w:sz="4" w:space="0" w:color="auto"/>
            </w:tcBorders>
          </w:tcPr>
          <w:p w14:paraId="51CD1321" w14:textId="77777777" w:rsidR="00F102F6" w:rsidRPr="00BF3425" w:rsidRDefault="00F102F6" w:rsidP="002622DC">
            <w:pPr>
              <w:pStyle w:val="tabteksts"/>
              <w:tabs>
                <w:tab w:val="decimal" w:pos="436"/>
              </w:tabs>
              <w:jc w:val="right"/>
            </w:pPr>
            <w:r w:rsidRPr="00BF3425">
              <w:t>8,6</w:t>
            </w:r>
          </w:p>
        </w:tc>
        <w:tc>
          <w:tcPr>
            <w:tcW w:w="754" w:type="dxa"/>
            <w:tcBorders>
              <w:top w:val="single" w:sz="4" w:space="0" w:color="auto"/>
              <w:left w:val="single" w:sz="4" w:space="0" w:color="auto"/>
              <w:bottom w:val="single" w:sz="4" w:space="0" w:color="auto"/>
              <w:right w:val="single" w:sz="4" w:space="0" w:color="auto"/>
            </w:tcBorders>
          </w:tcPr>
          <w:p w14:paraId="4363C7E2" w14:textId="77777777" w:rsidR="00F102F6" w:rsidRPr="00BF3425" w:rsidRDefault="00F102F6" w:rsidP="002622DC">
            <w:pPr>
              <w:pStyle w:val="tabteksts"/>
              <w:tabs>
                <w:tab w:val="decimal" w:pos="436"/>
              </w:tabs>
              <w:jc w:val="right"/>
            </w:pPr>
            <w:r w:rsidRPr="00BF3425">
              <w:t>7,5</w:t>
            </w:r>
          </w:p>
        </w:tc>
        <w:tc>
          <w:tcPr>
            <w:tcW w:w="754" w:type="dxa"/>
            <w:tcBorders>
              <w:top w:val="single" w:sz="4" w:space="0" w:color="auto"/>
              <w:left w:val="single" w:sz="4" w:space="0" w:color="auto"/>
              <w:bottom w:val="single" w:sz="4" w:space="0" w:color="auto"/>
              <w:right w:val="single" w:sz="4" w:space="0" w:color="auto"/>
            </w:tcBorders>
          </w:tcPr>
          <w:p w14:paraId="65F7FC58" w14:textId="77777777" w:rsidR="00F102F6" w:rsidRPr="00BF3425" w:rsidRDefault="00F102F6" w:rsidP="002622DC">
            <w:pPr>
              <w:pStyle w:val="tabteksts"/>
              <w:tabs>
                <w:tab w:val="decimal" w:pos="436"/>
              </w:tabs>
              <w:jc w:val="right"/>
            </w:pPr>
            <w:r w:rsidRPr="00BF3425">
              <w:t>7,2</w:t>
            </w:r>
          </w:p>
        </w:tc>
        <w:tc>
          <w:tcPr>
            <w:tcW w:w="754" w:type="dxa"/>
            <w:tcBorders>
              <w:top w:val="single" w:sz="4" w:space="0" w:color="auto"/>
              <w:left w:val="single" w:sz="4" w:space="0" w:color="auto"/>
              <w:bottom w:val="single" w:sz="4" w:space="0" w:color="auto"/>
              <w:right w:val="double" w:sz="6" w:space="0" w:color="auto"/>
            </w:tcBorders>
          </w:tcPr>
          <w:p w14:paraId="7598B49A" w14:textId="77777777" w:rsidR="00F102F6" w:rsidRPr="00BF3425" w:rsidRDefault="00F102F6" w:rsidP="002622DC">
            <w:pPr>
              <w:pStyle w:val="tabteksts"/>
              <w:tabs>
                <w:tab w:val="decimal" w:pos="436"/>
              </w:tabs>
              <w:jc w:val="right"/>
            </w:pPr>
            <w:r w:rsidRPr="00BF3425">
              <w:t>7,1</w:t>
            </w:r>
          </w:p>
        </w:tc>
      </w:tr>
      <w:tr w:rsidR="00F102F6" w:rsidRPr="00BF3425" w14:paraId="6CBD1738" w14:textId="77777777" w:rsidTr="002622DC">
        <w:tc>
          <w:tcPr>
            <w:tcW w:w="3840" w:type="dxa"/>
            <w:tcBorders>
              <w:top w:val="single" w:sz="4" w:space="0" w:color="auto"/>
              <w:left w:val="double" w:sz="6" w:space="0" w:color="auto"/>
              <w:bottom w:val="double" w:sz="6" w:space="0" w:color="auto"/>
              <w:right w:val="double" w:sz="6" w:space="0" w:color="auto"/>
            </w:tcBorders>
            <w:vAlign w:val="bottom"/>
          </w:tcPr>
          <w:p w14:paraId="2CB9008A" w14:textId="77777777" w:rsidR="00F102F6" w:rsidRPr="00BF3425" w:rsidRDefault="00F102F6" w:rsidP="00C15091">
            <w:pPr>
              <w:pStyle w:val="tabteksts"/>
            </w:pPr>
            <w:r w:rsidRPr="00BF3425">
              <w:t>Iedzīvotāji 65+ no kopējā iedzīvotāju skaita, %</w:t>
            </w:r>
          </w:p>
        </w:tc>
        <w:tc>
          <w:tcPr>
            <w:tcW w:w="754" w:type="dxa"/>
            <w:tcBorders>
              <w:top w:val="single" w:sz="4" w:space="0" w:color="auto"/>
              <w:left w:val="single" w:sz="4" w:space="0" w:color="auto"/>
              <w:bottom w:val="double" w:sz="6" w:space="0" w:color="auto"/>
              <w:right w:val="single" w:sz="4" w:space="0" w:color="auto"/>
            </w:tcBorders>
          </w:tcPr>
          <w:p w14:paraId="505683ED" w14:textId="77777777" w:rsidR="00F102F6" w:rsidRPr="00BF3425" w:rsidRDefault="00F102F6" w:rsidP="002622DC">
            <w:pPr>
              <w:pStyle w:val="tabteksts"/>
              <w:tabs>
                <w:tab w:val="decimal" w:pos="436"/>
              </w:tabs>
              <w:jc w:val="right"/>
            </w:pPr>
            <w:r w:rsidRPr="00BF3425">
              <w:t>17,3</w:t>
            </w:r>
          </w:p>
        </w:tc>
        <w:tc>
          <w:tcPr>
            <w:tcW w:w="754" w:type="dxa"/>
            <w:tcBorders>
              <w:top w:val="single" w:sz="4" w:space="0" w:color="auto"/>
              <w:left w:val="single" w:sz="4" w:space="0" w:color="auto"/>
              <w:bottom w:val="double" w:sz="6" w:space="0" w:color="auto"/>
              <w:right w:val="single" w:sz="4" w:space="0" w:color="auto"/>
            </w:tcBorders>
          </w:tcPr>
          <w:p w14:paraId="220FF41D" w14:textId="77777777" w:rsidR="00F102F6" w:rsidRPr="00BF3425" w:rsidRDefault="00F102F6" w:rsidP="002622DC">
            <w:pPr>
              <w:pStyle w:val="tabteksts"/>
              <w:tabs>
                <w:tab w:val="decimal" w:pos="436"/>
              </w:tabs>
              <w:jc w:val="right"/>
            </w:pPr>
            <w:r w:rsidRPr="00BF3425">
              <w:t>19,2</w:t>
            </w:r>
          </w:p>
        </w:tc>
        <w:tc>
          <w:tcPr>
            <w:tcW w:w="754" w:type="dxa"/>
            <w:tcBorders>
              <w:top w:val="single" w:sz="4" w:space="0" w:color="auto"/>
              <w:left w:val="single" w:sz="4" w:space="0" w:color="auto"/>
              <w:bottom w:val="double" w:sz="6" w:space="0" w:color="auto"/>
              <w:right w:val="single" w:sz="4" w:space="0" w:color="auto"/>
            </w:tcBorders>
          </w:tcPr>
          <w:p w14:paraId="5914CE48" w14:textId="77777777" w:rsidR="00F102F6" w:rsidRPr="00BF3425" w:rsidRDefault="00F102F6" w:rsidP="002622DC">
            <w:pPr>
              <w:pStyle w:val="tabteksts"/>
              <w:tabs>
                <w:tab w:val="decimal" w:pos="436"/>
              </w:tabs>
              <w:jc w:val="right"/>
            </w:pPr>
            <w:r w:rsidRPr="00BF3425">
              <w:t>23,2</w:t>
            </w:r>
          </w:p>
        </w:tc>
        <w:tc>
          <w:tcPr>
            <w:tcW w:w="754" w:type="dxa"/>
            <w:tcBorders>
              <w:top w:val="single" w:sz="4" w:space="0" w:color="auto"/>
              <w:left w:val="single" w:sz="4" w:space="0" w:color="auto"/>
              <w:bottom w:val="double" w:sz="6" w:space="0" w:color="auto"/>
              <w:right w:val="single" w:sz="4" w:space="0" w:color="auto"/>
            </w:tcBorders>
          </w:tcPr>
          <w:p w14:paraId="0E3A8084" w14:textId="77777777" w:rsidR="00F102F6" w:rsidRPr="00BF3425" w:rsidRDefault="00F102F6" w:rsidP="002622DC">
            <w:pPr>
              <w:pStyle w:val="tabteksts"/>
              <w:tabs>
                <w:tab w:val="decimal" w:pos="436"/>
              </w:tabs>
              <w:jc w:val="right"/>
            </w:pPr>
            <w:r w:rsidRPr="00BF3425">
              <w:t>26,8</w:t>
            </w:r>
          </w:p>
        </w:tc>
        <w:tc>
          <w:tcPr>
            <w:tcW w:w="754" w:type="dxa"/>
            <w:tcBorders>
              <w:top w:val="single" w:sz="4" w:space="0" w:color="auto"/>
              <w:left w:val="single" w:sz="4" w:space="0" w:color="auto"/>
              <w:bottom w:val="double" w:sz="6" w:space="0" w:color="auto"/>
              <w:right w:val="single" w:sz="4" w:space="0" w:color="auto"/>
            </w:tcBorders>
          </w:tcPr>
          <w:p w14:paraId="7561120E" w14:textId="77777777" w:rsidR="00F102F6" w:rsidRPr="00BF3425" w:rsidRDefault="00F102F6" w:rsidP="002622DC">
            <w:pPr>
              <w:pStyle w:val="tabteksts"/>
              <w:tabs>
                <w:tab w:val="decimal" w:pos="436"/>
              </w:tabs>
              <w:jc w:val="right"/>
            </w:pPr>
            <w:r w:rsidRPr="00BF3425">
              <w:t>31,2</w:t>
            </w:r>
          </w:p>
        </w:tc>
        <w:tc>
          <w:tcPr>
            <w:tcW w:w="754" w:type="dxa"/>
            <w:tcBorders>
              <w:top w:val="single" w:sz="4" w:space="0" w:color="auto"/>
              <w:left w:val="single" w:sz="4" w:space="0" w:color="auto"/>
              <w:bottom w:val="double" w:sz="6" w:space="0" w:color="auto"/>
              <w:right w:val="double" w:sz="6" w:space="0" w:color="auto"/>
            </w:tcBorders>
          </w:tcPr>
          <w:p w14:paraId="27FE9594" w14:textId="77777777" w:rsidR="00F102F6" w:rsidRPr="00BF3425" w:rsidRDefault="00F102F6" w:rsidP="002622DC">
            <w:pPr>
              <w:pStyle w:val="tabteksts"/>
              <w:tabs>
                <w:tab w:val="decimal" w:pos="436"/>
              </w:tabs>
              <w:jc w:val="right"/>
            </w:pPr>
            <w:r w:rsidRPr="00BF3425">
              <w:t>35,6</w:t>
            </w:r>
          </w:p>
        </w:tc>
      </w:tr>
    </w:tbl>
    <w:p w14:paraId="5815794F" w14:textId="2E10DA81" w:rsidR="00DB6F9B" w:rsidRDefault="00DB6F9B" w:rsidP="009126BE">
      <w:pPr>
        <w:ind w:firstLine="0"/>
      </w:pPr>
    </w:p>
    <w:tbl>
      <w:tblPr>
        <w:tblW w:w="0" w:type="auto"/>
        <w:tblInd w:w="78" w:type="dxa"/>
        <w:tblLayout w:type="fixed"/>
        <w:tblLook w:val="0000" w:firstRow="0" w:lastRow="0" w:firstColumn="0" w:lastColumn="0" w:noHBand="0" w:noVBand="0"/>
      </w:tblPr>
      <w:tblGrid>
        <w:gridCol w:w="6693"/>
        <w:gridCol w:w="1121"/>
      </w:tblGrid>
      <w:tr w:rsidR="00DB6F9B" w14:paraId="42CD7554" w14:textId="77777777" w:rsidTr="00D35753">
        <w:trPr>
          <w:trHeight w:val="305"/>
        </w:trPr>
        <w:tc>
          <w:tcPr>
            <w:tcW w:w="6693" w:type="dxa"/>
            <w:tcBorders>
              <w:top w:val="nil"/>
              <w:left w:val="nil"/>
              <w:bottom w:val="double" w:sz="4" w:space="0" w:color="auto"/>
              <w:right w:val="nil"/>
            </w:tcBorders>
          </w:tcPr>
          <w:p w14:paraId="545335E0" w14:textId="44B7B9F8" w:rsidR="00DB6F9B" w:rsidRDefault="009A6681" w:rsidP="00DB6F9B">
            <w:pPr>
              <w:autoSpaceDE w:val="0"/>
              <w:autoSpaceDN w:val="0"/>
              <w:adjustRightInd w:val="0"/>
              <w:spacing w:after="0"/>
              <w:ind w:firstLine="0"/>
              <w:jc w:val="left"/>
              <w:rPr>
                <w:rFonts w:eastAsia="Calibri"/>
                <w:b/>
                <w:bCs/>
                <w:color w:val="000000"/>
                <w:szCs w:val="24"/>
                <w:lang w:eastAsia="lv-LV"/>
              </w:rPr>
            </w:pPr>
            <w:r>
              <w:br w:type="page"/>
            </w:r>
            <w:r w:rsidR="00DB6F9B">
              <w:rPr>
                <w:rFonts w:eastAsia="Calibri"/>
                <w:b/>
                <w:bCs/>
                <w:color w:val="000000"/>
                <w:szCs w:val="24"/>
                <w:lang w:eastAsia="lv-LV"/>
              </w:rPr>
              <w:t>7a.tabula  Netiešās saistības</w:t>
            </w:r>
          </w:p>
          <w:p w14:paraId="0EC71935" w14:textId="77777777" w:rsidR="00DB6F9B" w:rsidRDefault="00DB6F9B" w:rsidP="00DB6F9B">
            <w:pPr>
              <w:autoSpaceDE w:val="0"/>
              <w:autoSpaceDN w:val="0"/>
              <w:adjustRightInd w:val="0"/>
              <w:spacing w:after="0"/>
              <w:ind w:firstLine="0"/>
              <w:jc w:val="left"/>
              <w:rPr>
                <w:rFonts w:eastAsia="Calibri"/>
                <w:b/>
                <w:bCs/>
                <w:color w:val="000000"/>
                <w:szCs w:val="24"/>
                <w:lang w:eastAsia="lv-LV"/>
              </w:rPr>
            </w:pPr>
          </w:p>
        </w:tc>
        <w:tc>
          <w:tcPr>
            <w:tcW w:w="1121" w:type="dxa"/>
            <w:tcBorders>
              <w:top w:val="nil"/>
              <w:left w:val="nil"/>
              <w:bottom w:val="double" w:sz="4" w:space="0" w:color="auto"/>
              <w:right w:val="nil"/>
            </w:tcBorders>
          </w:tcPr>
          <w:p w14:paraId="071EC738" w14:textId="77777777" w:rsidR="00DB6F9B" w:rsidRDefault="00DB6F9B">
            <w:pPr>
              <w:autoSpaceDE w:val="0"/>
              <w:autoSpaceDN w:val="0"/>
              <w:adjustRightInd w:val="0"/>
              <w:spacing w:after="0"/>
              <w:ind w:firstLine="0"/>
              <w:jc w:val="center"/>
              <w:rPr>
                <w:rFonts w:eastAsia="Calibri"/>
                <w:b/>
                <w:bCs/>
                <w:color w:val="000000"/>
                <w:szCs w:val="24"/>
                <w:lang w:eastAsia="lv-LV"/>
              </w:rPr>
            </w:pPr>
          </w:p>
        </w:tc>
      </w:tr>
      <w:tr w:rsidR="00DB6F9B" w14:paraId="76ACA5A4" w14:textId="77777777" w:rsidTr="00D35753">
        <w:trPr>
          <w:trHeight w:val="290"/>
        </w:trPr>
        <w:tc>
          <w:tcPr>
            <w:tcW w:w="6693" w:type="dxa"/>
            <w:tcBorders>
              <w:top w:val="double" w:sz="4" w:space="0" w:color="auto"/>
              <w:left w:val="double" w:sz="4" w:space="0" w:color="auto"/>
              <w:bottom w:val="single" w:sz="4" w:space="0" w:color="auto"/>
              <w:right w:val="nil"/>
            </w:tcBorders>
          </w:tcPr>
          <w:p w14:paraId="2D67EEA4" w14:textId="37609BFD" w:rsidR="00DB6F9B" w:rsidRPr="00DB6F9B" w:rsidRDefault="00DB6F9B" w:rsidP="00327E5B">
            <w:pPr>
              <w:autoSpaceDE w:val="0"/>
              <w:autoSpaceDN w:val="0"/>
              <w:adjustRightInd w:val="0"/>
              <w:spacing w:after="0"/>
              <w:ind w:firstLine="0"/>
              <w:jc w:val="left"/>
              <w:rPr>
                <w:rFonts w:eastAsia="Calibri"/>
                <w:color w:val="000000"/>
                <w:sz w:val="20"/>
                <w:lang w:eastAsia="lv-LV"/>
              </w:rPr>
            </w:pPr>
            <w:proofErr w:type="spellStart"/>
            <w:r w:rsidRPr="00DB6F9B">
              <w:rPr>
                <w:rFonts w:eastAsia="Calibri"/>
                <w:color w:val="000000"/>
                <w:sz w:val="20"/>
                <w:lang w:eastAsia="lv-LV"/>
              </w:rPr>
              <w:t>milj</w:t>
            </w:r>
            <w:proofErr w:type="spellEnd"/>
            <w:r w:rsidRPr="00DB6F9B">
              <w:rPr>
                <w:rFonts w:eastAsia="Calibri"/>
                <w:color w:val="000000"/>
                <w:sz w:val="20"/>
                <w:lang w:eastAsia="lv-LV"/>
              </w:rPr>
              <w:t xml:space="preserve"> </w:t>
            </w:r>
            <w:proofErr w:type="spellStart"/>
            <w:r w:rsidR="00327E5B">
              <w:rPr>
                <w:rFonts w:eastAsia="Calibri"/>
                <w:i/>
                <w:color w:val="000000"/>
                <w:sz w:val="20"/>
                <w:lang w:eastAsia="lv-LV"/>
              </w:rPr>
              <w:t>euro</w:t>
            </w:r>
            <w:proofErr w:type="spellEnd"/>
          </w:p>
        </w:tc>
        <w:tc>
          <w:tcPr>
            <w:tcW w:w="1121" w:type="dxa"/>
            <w:tcBorders>
              <w:top w:val="double" w:sz="4" w:space="0" w:color="auto"/>
              <w:left w:val="single" w:sz="6" w:space="0" w:color="auto"/>
              <w:bottom w:val="single" w:sz="4" w:space="0" w:color="auto"/>
              <w:right w:val="double" w:sz="4" w:space="0" w:color="auto"/>
            </w:tcBorders>
          </w:tcPr>
          <w:p w14:paraId="073AD290" w14:textId="77777777" w:rsidR="00DB6F9B" w:rsidRPr="00DB6F9B" w:rsidRDefault="00DB6F9B">
            <w:pPr>
              <w:autoSpaceDE w:val="0"/>
              <w:autoSpaceDN w:val="0"/>
              <w:adjustRightInd w:val="0"/>
              <w:spacing w:after="0"/>
              <w:ind w:firstLine="0"/>
              <w:jc w:val="center"/>
              <w:rPr>
                <w:rFonts w:eastAsia="Calibri"/>
                <w:b/>
                <w:bCs/>
                <w:color w:val="000000"/>
                <w:sz w:val="20"/>
                <w:lang w:eastAsia="lv-LV"/>
              </w:rPr>
            </w:pPr>
            <w:r w:rsidRPr="00DB6F9B">
              <w:rPr>
                <w:rFonts w:eastAsia="Calibri"/>
                <w:b/>
                <w:bCs/>
                <w:color w:val="000000"/>
                <w:sz w:val="20"/>
                <w:lang w:eastAsia="lv-LV"/>
              </w:rPr>
              <w:t>2013</w:t>
            </w:r>
          </w:p>
        </w:tc>
      </w:tr>
      <w:tr w:rsidR="00DB6F9B" w14:paraId="1E2F2546" w14:textId="77777777" w:rsidTr="00D35753">
        <w:trPr>
          <w:trHeight w:val="319"/>
        </w:trPr>
        <w:tc>
          <w:tcPr>
            <w:tcW w:w="6693" w:type="dxa"/>
            <w:tcBorders>
              <w:top w:val="single" w:sz="4" w:space="0" w:color="auto"/>
              <w:left w:val="double" w:sz="4" w:space="0" w:color="auto"/>
              <w:bottom w:val="single" w:sz="12" w:space="0" w:color="auto"/>
              <w:right w:val="nil"/>
            </w:tcBorders>
          </w:tcPr>
          <w:p w14:paraId="4AE4F549" w14:textId="5AD2FCDE" w:rsidR="00DB6F9B" w:rsidRPr="00DB6F9B" w:rsidRDefault="00DB6F9B" w:rsidP="00D35753">
            <w:pPr>
              <w:spacing w:after="0"/>
              <w:ind w:firstLine="0"/>
              <w:jc w:val="left"/>
              <w:rPr>
                <w:rFonts w:eastAsia="Calibri"/>
                <w:b/>
                <w:bCs/>
                <w:color w:val="000000"/>
                <w:sz w:val="20"/>
                <w:lang w:eastAsia="lv-LV"/>
              </w:rPr>
            </w:pPr>
            <w:r w:rsidRPr="00DB6F9B">
              <w:rPr>
                <w:b/>
                <w:bCs/>
                <w:color w:val="000000"/>
                <w:sz w:val="20"/>
                <w:lang w:eastAsia="lv-LV"/>
              </w:rPr>
              <w:t xml:space="preserve">Valsts un pašvaldību garantijas </w:t>
            </w:r>
            <w:r w:rsidR="00327E5B">
              <w:rPr>
                <w:rFonts w:eastAsia="Calibri"/>
                <w:b/>
                <w:bCs/>
                <w:color w:val="000000"/>
                <w:sz w:val="20"/>
                <w:lang w:eastAsia="lv-LV"/>
              </w:rPr>
              <w:t>(</w:t>
            </w:r>
            <w:proofErr w:type="spellStart"/>
            <w:r w:rsidR="00327E5B">
              <w:rPr>
                <w:rFonts w:eastAsia="Calibri"/>
                <w:b/>
                <w:bCs/>
                <w:color w:val="000000"/>
                <w:sz w:val="20"/>
                <w:lang w:eastAsia="lv-LV"/>
              </w:rPr>
              <w:t>Public</w:t>
            </w:r>
            <w:proofErr w:type="spellEnd"/>
            <w:r w:rsidR="00327E5B">
              <w:rPr>
                <w:rFonts w:eastAsia="Calibri"/>
                <w:b/>
                <w:bCs/>
                <w:color w:val="000000"/>
                <w:sz w:val="20"/>
                <w:lang w:eastAsia="lv-LV"/>
              </w:rPr>
              <w:t xml:space="preserve"> </w:t>
            </w:r>
            <w:proofErr w:type="spellStart"/>
            <w:r w:rsidR="00327E5B">
              <w:rPr>
                <w:rFonts w:eastAsia="Calibri"/>
                <w:b/>
                <w:bCs/>
                <w:color w:val="000000"/>
                <w:sz w:val="20"/>
                <w:lang w:eastAsia="lv-LV"/>
              </w:rPr>
              <w:t>guarantees</w:t>
            </w:r>
            <w:proofErr w:type="spellEnd"/>
            <w:r w:rsidR="00327E5B">
              <w:rPr>
                <w:rFonts w:eastAsia="Calibri"/>
                <w:b/>
                <w:bCs/>
                <w:color w:val="000000"/>
                <w:sz w:val="20"/>
                <w:lang w:eastAsia="lv-LV"/>
              </w:rPr>
              <w:t>)</w:t>
            </w:r>
            <w:r w:rsidR="00327E5B">
              <w:rPr>
                <w:rStyle w:val="FootnoteReference"/>
                <w:rFonts w:eastAsia="Calibri"/>
                <w:b/>
                <w:bCs/>
                <w:color w:val="000000"/>
                <w:lang w:eastAsia="lv-LV"/>
              </w:rPr>
              <w:footnoteReference w:id="21"/>
            </w:r>
          </w:p>
        </w:tc>
        <w:tc>
          <w:tcPr>
            <w:tcW w:w="1121" w:type="dxa"/>
            <w:tcBorders>
              <w:top w:val="single" w:sz="4" w:space="0" w:color="auto"/>
              <w:left w:val="single" w:sz="6" w:space="0" w:color="auto"/>
              <w:bottom w:val="single" w:sz="12" w:space="0" w:color="auto"/>
              <w:right w:val="double" w:sz="4" w:space="0" w:color="auto"/>
            </w:tcBorders>
            <w:vAlign w:val="center"/>
          </w:tcPr>
          <w:p w14:paraId="4CA2D76C"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537,9</w:t>
            </w:r>
          </w:p>
        </w:tc>
      </w:tr>
      <w:tr w:rsidR="00DB6F9B" w14:paraId="15B5CB38" w14:textId="77777777" w:rsidTr="00D35753">
        <w:trPr>
          <w:trHeight w:val="358"/>
        </w:trPr>
        <w:tc>
          <w:tcPr>
            <w:tcW w:w="6693" w:type="dxa"/>
            <w:tcBorders>
              <w:top w:val="nil"/>
              <w:left w:val="double" w:sz="4" w:space="0" w:color="auto"/>
              <w:bottom w:val="single" w:sz="12" w:space="0" w:color="auto"/>
              <w:right w:val="nil"/>
            </w:tcBorders>
          </w:tcPr>
          <w:p w14:paraId="11B5BC82" w14:textId="6B3BB75F" w:rsidR="00DB6F9B" w:rsidRPr="00DB6F9B" w:rsidRDefault="00DB6F9B" w:rsidP="00D35753">
            <w:pPr>
              <w:spacing w:after="0"/>
              <w:ind w:firstLine="0"/>
              <w:jc w:val="left"/>
              <w:rPr>
                <w:rFonts w:eastAsia="Calibri"/>
                <w:i/>
                <w:iCs/>
                <w:color w:val="000000"/>
                <w:sz w:val="20"/>
                <w:lang w:eastAsia="lv-LV"/>
              </w:rPr>
            </w:pPr>
            <w:r w:rsidRPr="00DB6F9B">
              <w:rPr>
                <w:i/>
                <w:iCs/>
                <w:color w:val="000000"/>
                <w:sz w:val="20"/>
                <w:lang w:eastAsia="lv-LV"/>
              </w:rPr>
              <w:t xml:space="preserve">No kurām saistītas ar finanšu sektoru </w:t>
            </w:r>
            <w:r w:rsidRPr="00DB6F9B">
              <w:rPr>
                <w:rFonts w:eastAsia="Calibri"/>
                <w:i/>
                <w:iCs/>
                <w:color w:val="000000"/>
                <w:sz w:val="20"/>
                <w:lang w:eastAsia="lv-LV"/>
              </w:rPr>
              <w:t>(</w:t>
            </w:r>
            <w:proofErr w:type="spellStart"/>
            <w:r w:rsidRPr="00DB6F9B">
              <w:rPr>
                <w:rFonts w:eastAsia="Calibri"/>
                <w:i/>
                <w:iCs/>
                <w:color w:val="000000"/>
                <w:sz w:val="20"/>
                <w:lang w:eastAsia="lv-LV"/>
              </w:rPr>
              <w:t>Of</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which</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linked</w:t>
            </w:r>
            <w:proofErr w:type="spellEnd"/>
            <w:r w:rsidRPr="00DB6F9B">
              <w:rPr>
                <w:rFonts w:eastAsia="Calibri"/>
                <w:i/>
                <w:iCs/>
                <w:color w:val="000000"/>
                <w:sz w:val="20"/>
                <w:lang w:eastAsia="lv-LV"/>
              </w:rPr>
              <w:t xml:space="preserve"> to </w:t>
            </w:r>
            <w:proofErr w:type="spellStart"/>
            <w:r w:rsidRPr="00DB6F9B">
              <w:rPr>
                <w:rFonts w:eastAsia="Calibri"/>
                <w:i/>
                <w:iCs/>
                <w:color w:val="000000"/>
                <w:sz w:val="20"/>
                <w:lang w:eastAsia="lv-LV"/>
              </w:rPr>
              <w:t>the</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financial</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sector</w:t>
            </w:r>
            <w:proofErr w:type="spellEnd"/>
            <w:r w:rsidRPr="00DB6F9B">
              <w:rPr>
                <w:rFonts w:eastAsia="Calibri"/>
                <w:i/>
                <w:iCs/>
                <w:color w:val="000000"/>
                <w:sz w:val="20"/>
                <w:lang w:eastAsia="lv-LV"/>
              </w:rPr>
              <w:t>)</w:t>
            </w:r>
          </w:p>
        </w:tc>
        <w:tc>
          <w:tcPr>
            <w:tcW w:w="1121" w:type="dxa"/>
            <w:tcBorders>
              <w:top w:val="nil"/>
              <w:left w:val="single" w:sz="6" w:space="0" w:color="auto"/>
              <w:bottom w:val="single" w:sz="12" w:space="0" w:color="auto"/>
              <w:right w:val="double" w:sz="4" w:space="0" w:color="auto"/>
            </w:tcBorders>
            <w:vAlign w:val="center"/>
          </w:tcPr>
          <w:p w14:paraId="040D850C"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241,0</w:t>
            </w:r>
          </w:p>
        </w:tc>
      </w:tr>
      <w:tr w:rsidR="00DB6F9B" w14:paraId="7EE800B8" w14:textId="77777777" w:rsidTr="00D35753">
        <w:trPr>
          <w:trHeight w:val="319"/>
        </w:trPr>
        <w:tc>
          <w:tcPr>
            <w:tcW w:w="6693" w:type="dxa"/>
            <w:tcBorders>
              <w:top w:val="nil"/>
              <w:left w:val="double" w:sz="4" w:space="0" w:color="auto"/>
              <w:bottom w:val="nil"/>
              <w:right w:val="nil"/>
            </w:tcBorders>
          </w:tcPr>
          <w:p w14:paraId="7A41DD1C" w14:textId="77777777" w:rsidR="00DB6F9B" w:rsidRPr="00DB6F9B" w:rsidRDefault="00DB6F9B">
            <w:pPr>
              <w:autoSpaceDE w:val="0"/>
              <w:autoSpaceDN w:val="0"/>
              <w:adjustRightInd w:val="0"/>
              <w:spacing w:after="0"/>
              <w:ind w:firstLine="0"/>
              <w:jc w:val="right"/>
              <w:rPr>
                <w:rFonts w:eastAsia="Calibri"/>
                <w:i/>
                <w:iCs/>
                <w:color w:val="000000"/>
                <w:sz w:val="20"/>
                <w:lang w:eastAsia="lv-LV"/>
              </w:rPr>
            </w:pPr>
          </w:p>
        </w:tc>
        <w:tc>
          <w:tcPr>
            <w:tcW w:w="1121" w:type="dxa"/>
            <w:tcBorders>
              <w:top w:val="nil"/>
              <w:left w:val="nil"/>
              <w:bottom w:val="nil"/>
              <w:right w:val="double" w:sz="4" w:space="0" w:color="auto"/>
            </w:tcBorders>
            <w:vAlign w:val="center"/>
          </w:tcPr>
          <w:p w14:paraId="4BCC7D19"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p>
        </w:tc>
      </w:tr>
      <w:tr w:rsidR="00DB6F9B" w14:paraId="02FA61B6" w14:textId="77777777" w:rsidTr="00D35753">
        <w:trPr>
          <w:trHeight w:val="186"/>
        </w:trPr>
        <w:tc>
          <w:tcPr>
            <w:tcW w:w="6693" w:type="dxa"/>
            <w:tcBorders>
              <w:top w:val="single" w:sz="12" w:space="0" w:color="auto"/>
              <w:left w:val="double" w:sz="4" w:space="0" w:color="auto"/>
              <w:bottom w:val="nil"/>
              <w:right w:val="nil"/>
            </w:tcBorders>
          </w:tcPr>
          <w:p w14:paraId="25708E7A" w14:textId="7314367D" w:rsidR="00DB6F9B" w:rsidRPr="00DB6F9B" w:rsidRDefault="00DB6F9B" w:rsidP="00DB6F9B">
            <w:pPr>
              <w:autoSpaceDE w:val="0"/>
              <w:autoSpaceDN w:val="0"/>
              <w:adjustRightInd w:val="0"/>
              <w:spacing w:after="0"/>
              <w:ind w:firstLine="0"/>
              <w:jc w:val="left"/>
              <w:rPr>
                <w:rFonts w:eastAsia="Calibri"/>
                <w:color w:val="000000"/>
                <w:sz w:val="20"/>
                <w:lang w:eastAsia="lv-LV"/>
              </w:rPr>
            </w:pPr>
            <w:r w:rsidRPr="00DB6F9B">
              <w:rPr>
                <w:rFonts w:eastAsia="Calibri"/>
                <w:color w:val="000000"/>
                <w:sz w:val="20"/>
                <w:lang w:eastAsia="lv-LV"/>
              </w:rPr>
              <w:t>% no IKP</w:t>
            </w:r>
          </w:p>
        </w:tc>
        <w:tc>
          <w:tcPr>
            <w:tcW w:w="1121" w:type="dxa"/>
            <w:tcBorders>
              <w:top w:val="single" w:sz="12" w:space="0" w:color="auto"/>
              <w:left w:val="single" w:sz="6" w:space="0" w:color="auto"/>
              <w:bottom w:val="nil"/>
              <w:right w:val="double" w:sz="4" w:space="0" w:color="auto"/>
            </w:tcBorders>
            <w:vAlign w:val="center"/>
          </w:tcPr>
          <w:p w14:paraId="6A16AD11"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2013</w:t>
            </w:r>
          </w:p>
        </w:tc>
      </w:tr>
      <w:tr w:rsidR="00DB6F9B" w14:paraId="7D9CBB8F" w14:textId="77777777" w:rsidTr="00D35753">
        <w:trPr>
          <w:trHeight w:val="53"/>
        </w:trPr>
        <w:tc>
          <w:tcPr>
            <w:tcW w:w="6693" w:type="dxa"/>
            <w:tcBorders>
              <w:top w:val="nil"/>
              <w:left w:val="double" w:sz="4" w:space="0" w:color="auto"/>
              <w:bottom w:val="single" w:sz="12" w:space="0" w:color="auto"/>
              <w:right w:val="nil"/>
            </w:tcBorders>
          </w:tcPr>
          <w:p w14:paraId="5A83323F" w14:textId="77777777" w:rsidR="00DB6F9B" w:rsidRPr="00D35753" w:rsidRDefault="00DB6F9B">
            <w:pPr>
              <w:autoSpaceDE w:val="0"/>
              <w:autoSpaceDN w:val="0"/>
              <w:adjustRightInd w:val="0"/>
              <w:spacing w:after="0"/>
              <w:ind w:firstLine="0"/>
              <w:jc w:val="right"/>
              <w:rPr>
                <w:rFonts w:eastAsia="Calibri"/>
                <w:color w:val="000000"/>
                <w:sz w:val="10"/>
                <w:lang w:eastAsia="lv-LV"/>
              </w:rPr>
            </w:pPr>
          </w:p>
        </w:tc>
        <w:tc>
          <w:tcPr>
            <w:tcW w:w="1121" w:type="dxa"/>
            <w:tcBorders>
              <w:top w:val="nil"/>
              <w:left w:val="single" w:sz="6" w:space="0" w:color="auto"/>
              <w:bottom w:val="single" w:sz="12" w:space="0" w:color="auto"/>
              <w:right w:val="double" w:sz="4" w:space="0" w:color="auto"/>
            </w:tcBorders>
            <w:vAlign w:val="center"/>
          </w:tcPr>
          <w:p w14:paraId="762B7E64" w14:textId="77777777" w:rsidR="00DB6F9B" w:rsidRPr="00D35753" w:rsidRDefault="00DB6F9B" w:rsidP="002622DC">
            <w:pPr>
              <w:autoSpaceDE w:val="0"/>
              <w:autoSpaceDN w:val="0"/>
              <w:adjustRightInd w:val="0"/>
              <w:spacing w:after="0"/>
              <w:ind w:firstLine="0"/>
              <w:jc w:val="right"/>
              <w:rPr>
                <w:rFonts w:eastAsia="Calibri"/>
                <w:b/>
                <w:bCs/>
                <w:color w:val="000000"/>
                <w:sz w:val="12"/>
                <w:lang w:eastAsia="lv-LV"/>
              </w:rPr>
            </w:pPr>
          </w:p>
        </w:tc>
      </w:tr>
      <w:tr w:rsidR="00DB6F9B" w14:paraId="2225D90E" w14:textId="77777777" w:rsidTr="00D35753">
        <w:trPr>
          <w:trHeight w:val="319"/>
        </w:trPr>
        <w:tc>
          <w:tcPr>
            <w:tcW w:w="6693" w:type="dxa"/>
            <w:tcBorders>
              <w:top w:val="nil"/>
              <w:left w:val="double" w:sz="4" w:space="0" w:color="auto"/>
              <w:bottom w:val="single" w:sz="4" w:space="0" w:color="auto"/>
              <w:right w:val="nil"/>
            </w:tcBorders>
          </w:tcPr>
          <w:p w14:paraId="00D45942" w14:textId="2C5694EF" w:rsidR="00DB6F9B" w:rsidRPr="00DB6F9B" w:rsidRDefault="00DB6F9B" w:rsidP="00D35753">
            <w:pPr>
              <w:spacing w:after="0"/>
              <w:ind w:firstLine="0"/>
              <w:jc w:val="left"/>
              <w:rPr>
                <w:rFonts w:eastAsia="Calibri"/>
                <w:b/>
                <w:bCs/>
                <w:color w:val="000000"/>
                <w:sz w:val="20"/>
                <w:lang w:eastAsia="lv-LV"/>
              </w:rPr>
            </w:pPr>
            <w:r w:rsidRPr="00DB6F9B">
              <w:rPr>
                <w:b/>
                <w:bCs/>
                <w:color w:val="000000"/>
                <w:sz w:val="20"/>
                <w:lang w:eastAsia="lv-LV"/>
              </w:rPr>
              <w:t xml:space="preserve">Valsts un pašvaldību garantijas </w:t>
            </w:r>
            <w:r w:rsidRPr="00DB6F9B">
              <w:rPr>
                <w:rFonts w:eastAsia="Calibri"/>
                <w:b/>
                <w:bCs/>
                <w:color w:val="000000"/>
                <w:sz w:val="20"/>
                <w:lang w:eastAsia="lv-LV"/>
              </w:rPr>
              <w:t>(</w:t>
            </w:r>
            <w:proofErr w:type="spellStart"/>
            <w:r w:rsidRPr="00DB6F9B">
              <w:rPr>
                <w:rFonts w:eastAsia="Calibri"/>
                <w:b/>
                <w:bCs/>
                <w:color w:val="000000"/>
                <w:sz w:val="20"/>
                <w:lang w:eastAsia="lv-LV"/>
              </w:rPr>
              <w:t>Public</w:t>
            </w:r>
            <w:proofErr w:type="spellEnd"/>
            <w:r w:rsidRPr="00DB6F9B">
              <w:rPr>
                <w:rFonts w:eastAsia="Calibri"/>
                <w:b/>
                <w:bCs/>
                <w:color w:val="000000"/>
                <w:sz w:val="20"/>
                <w:lang w:eastAsia="lv-LV"/>
              </w:rPr>
              <w:t xml:space="preserve"> </w:t>
            </w:r>
            <w:proofErr w:type="spellStart"/>
            <w:r w:rsidRPr="00DB6F9B">
              <w:rPr>
                <w:rFonts w:eastAsia="Calibri"/>
                <w:b/>
                <w:bCs/>
                <w:color w:val="000000"/>
                <w:sz w:val="20"/>
                <w:lang w:eastAsia="lv-LV"/>
              </w:rPr>
              <w:t>guarantees</w:t>
            </w:r>
            <w:proofErr w:type="spellEnd"/>
            <w:r w:rsidRPr="00DB6F9B">
              <w:rPr>
                <w:rFonts w:eastAsia="Calibri"/>
                <w:b/>
                <w:bCs/>
                <w:color w:val="000000"/>
                <w:sz w:val="20"/>
                <w:lang w:eastAsia="lv-LV"/>
              </w:rPr>
              <w:t>) *</w:t>
            </w:r>
          </w:p>
        </w:tc>
        <w:tc>
          <w:tcPr>
            <w:tcW w:w="1121" w:type="dxa"/>
            <w:tcBorders>
              <w:top w:val="nil"/>
              <w:left w:val="single" w:sz="6" w:space="0" w:color="auto"/>
              <w:bottom w:val="single" w:sz="4" w:space="0" w:color="auto"/>
              <w:right w:val="double" w:sz="4" w:space="0" w:color="auto"/>
            </w:tcBorders>
            <w:vAlign w:val="center"/>
          </w:tcPr>
          <w:p w14:paraId="6D70F9A3"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2,3%</w:t>
            </w:r>
          </w:p>
        </w:tc>
      </w:tr>
      <w:tr w:rsidR="00DB6F9B" w14:paraId="7617C981" w14:textId="77777777" w:rsidTr="00D35753">
        <w:trPr>
          <w:trHeight w:val="133"/>
        </w:trPr>
        <w:tc>
          <w:tcPr>
            <w:tcW w:w="6693" w:type="dxa"/>
            <w:tcBorders>
              <w:top w:val="single" w:sz="4" w:space="0" w:color="auto"/>
              <w:left w:val="double" w:sz="4" w:space="0" w:color="auto"/>
              <w:bottom w:val="single" w:sz="12" w:space="0" w:color="auto"/>
              <w:right w:val="nil"/>
            </w:tcBorders>
          </w:tcPr>
          <w:p w14:paraId="2104B040" w14:textId="109C57F7" w:rsidR="00DB6F9B" w:rsidRPr="00DB6F9B" w:rsidRDefault="00DB6F9B" w:rsidP="00D35753">
            <w:pPr>
              <w:spacing w:after="0"/>
              <w:ind w:firstLine="0"/>
              <w:jc w:val="left"/>
              <w:rPr>
                <w:rFonts w:eastAsia="Calibri"/>
                <w:i/>
                <w:iCs/>
                <w:color w:val="000000"/>
                <w:sz w:val="20"/>
                <w:lang w:eastAsia="lv-LV"/>
              </w:rPr>
            </w:pPr>
            <w:r w:rsidRPr="00DB6F9B">
              <w:rPr>
                <w:i/>
                <w:iCs/>
                <w:color w:val="000000"/>
                <w:sz w:val="20"/>
                <w:lang w:eastAsia="lv-LV"/>
              </w:rPr>
              <w:t xml:space="preserve">No kurām saistītas ar finanšu sektoru </w:t>
            </w:r>
            <w:r w:rsidRPr="00DB6F9B">
              <w:rPr>
                <w:rFonts w:eastAsia="Calibri"/>
                <w:i/>
                <w:iCs/>
                <w:color w:val="000000"/>
                <w:sz w:val="20"/>
                <w:lang w:eastAsia="lv-LV"/>
              </w:rPr>
              <w:t>(</w:t>
            </w:r>
            <w:proofErr w:type="spellStart"/>
            <w:r w:rsidRPr="00DB6F9B">
              <w:rPr>
                <w:rFonts w:eastAsia="Calibri"/>
                <w:i/>
                <w:iCs/>
                <w:color w:val="000000"/>
                <w:sz w:val="20"/>
                <w:lang w:eastAsia="lv-LV"/>
              </w:rPr>
              <w:t>Of</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which</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linked</w:t>
            </w:r>
            <w:proofErr w:type="spellEnd"/>
            <w:r w:rsidRPr="00DB6F9B">
              <w:rPr>
                <w:rFonts w:eastAsia="Calibri"/>
                <w:i/>
                <w:iCs/>
                <w:color w:val="000000"/>
                <w:sz w:val="20"/>
                <w:lang w:eastAsia="lv-LV"/>
              </w:rPr>
              <w:t xml:space="preserve"> to </w:t>
            </w:r>
            <w:proofErr w:type="spellStart"/>
            <w:r w:rsidRPr="00DB6F9B">
              <w:rPr>
                <w:rFonts w:eastAsia="Calibri"/>
                <w:i/>
                <w:iCs/>
                <w:color w:val="000000"/>
                <w:sz w:val="20"/>
                <w:lang w:eastAsia="lv-LV"/>
              </w:rPr>
              <w:t>the</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financial</w:t>
            </w:r>
            <w:proofErr w:type="spellEnd"/>
            <w:r w:rsidRPr="00DB6F9B">
              <w:rPr>
                <w:rFonts w:eastAsia="Calibri"/>
                <w:i/>
                <w:iCs/>
                <w:color w:val="000000"/>
                <w:sz w:val="20"/>
                <w:lang w:eastAsia="lv-LV"/>
              </w:rPr>
              <w:t xml:space="preserve"> </w:t>
            </w:r>
            <w:proofErr w:type="spellStart"/>
            <w:r w:rsidRPr="00DB6F9B">
              <w:rPr>
                <w:rFonts w:eastAsia="Calibri"/>
                <w:i/>
                <w:iCs/>
                <w:color w:val="000000"/>
                <w:sz w:val="20"/>
                <w:lang w:eastAsia="lv-LV"/>
              </w:rPr>
              <w:t>sector</w:t>
            </w:r>
            <w:proofErr w:type="spellEnd"/>
            <w:r w:rsidRPr="00DB6F9B">
              <w:rPr>
                <w:rFonts w:eastAsia="Calibri"/>
                <w:i/>
                <w:iCs/>
                <w:color w:val="000000"/>
                <w:sz w:val="20"/>
                <w:lang w:eastAsia="lv-LV"/>
              </w:rPr>
              <w:t>)</w:t>
            </w:r>
          </w:p>
        </w:tc>
        <w:tc>
          <w:tcPr>
            <w:tcW w:w="1121" w:type="dxa"/>
            <w:tcBorders>
              <w:top w:val="single" w:sz="4" w:space="0" w:color="auto"/>
              <w:left w:val="single" w:sz="6" w:space="0" w:color="auto"/>
              <w:bottom w:val="single" w:sz="12" w:space="0" w:color="auto"/>
              <w:right w:val="double" w:sz="4" w:space="0" w:color="auto"/>
            </w:tcBorders>
            <w:vAlign w:val="center"/>
          </w:tcPr>
          <w:p w14:paraId="4BEA49A3"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1,0%</w:t>
            </w:r>
          </w:p>
        </w:tc>
      </w:tr>
      <w:tr w:rsidR="00DB6F9B" w14:paraId="237680FB" w14:textId="77777777" w:rsidTr="00D35753">
        <w:trPr>
          <w:trHeight w:val="305"/>
        </w:trPr>
        <w:tc>
          <w:tcPr>
            <w:tcW w:w="6693" w:type="dxa"/>
            <w:tcBorders>
              <w:top w:val="nil"/>
              <w:left w:val="double" w:sz="4" w:space="0" w:color="auto"/>
              <w:bottom w:val="nil"/>
              <w:right w:val="nil"/>
            </w:tcBorders>
          </w:tcPr>
          <w:p w14:paraId="099A4B29" w14:textId="77777777" w:rsidR="00DB6F9B" w:rsidRPr="00DB6F9B" w:rsidRDefault="00DB6F9B">
            <w:pPr>
              <w:autoSpaceDE w:val="0"/>
              <w:autoSpaceDN w:val="0"/>
              <w:adjustRightInd w:val="0"/>
              <w:spacing w:after="0"/>
              <w:ind w:firstLine="0"/>
              <w:jc w:val="right"/>
              <w:rPr>
                <w:rFonts w:ascii="Arial" w:eastAsia="Calibri" w:hAnsi="Arial" w:cs="Arial"/>
                <w:color w:val="000000"/>
                <w:sz w:val="20"/>
                <w:lang w:eastAsia="lv-LV"/>
              </w:rPr>
            </w:pPr>
          </w:p>
        </w:tc>
        <w:tc>
          <w:tcPr>
            <w:tcW w:w="1121" w:type="dxa"/>
            <w:tcBorders>
              <w:top w:val="nil"/>
              <w:left w:val="nil"/>
              <w:bottom w:val="nil"/>
              <w:right w:val="double" w:sz="4" w:space="0" w:color="auto"/>
            </w:tcBorders>
            <w:vAlign w:val="center"/>
          </w:tcPr>
          <w:p w14:paraId="7F420994" w14:textId="77777777" w:rsidR="00DB6F9B" w:rsidRPr="00DB6F9B" w:rsidRDefault="00DB6F9B" w:rsidP="002622DC">
            <w:pPr>
              <w:autoSpaceDE w:val="0"/>
              <w:autoSpaceDN w:val="0"/>
              <w:adjustRightInd w:val="0"/>
              <w:spacing w:after="0"/>
              <w:ind w:firstLine="0"/>
              <w:jc w:val="right"/>
              <w:rPr>
                <w:rFonts w:ascii="Arial" w:eastAsia="Calibri" w:hAnsi="Arial" w:cs="Arial"/>
                <w:color w:val="000000"/>
                <w:sz w:val="20"/>
                <w:lang w:eastAsia="lv-LV"/>
              </w:rPr>
            </w:pPr>
          </w:p>
        </w:tc>
      </w:tr>
      <w:tr w:rsidR="00DB6F9B" w14:paraId="3902A425" w14:textId="77777777" w:rsidTr="00D35753">
        <w:trPr>
          <w:trHeight w:val="319"/>
        </w:trPr>
        <w:tc>
          <w:tcPr>
            <w:tcW w:w="6693" w:type="dxa"/>
            <w:tcBorders>
              <w:top w:val="single" w:sz="12" w:space="0" w:color="auto"/>
              <w:left w:val="double" w:sz="4" w:space="0" w:color="auto"/>
              <w:bottom w:val="double" w:sz="4" w:space="0" w:color="auto"/>
              <w:right w:val="nil"/>
            </w:tcBorders>
          </w:tcPr>
          <w:p w14:paraId="143EEDBC" w14:textId="77777777" w:rsidR="00DB6F9B" w:rsidRPr="00DB6F9B" w:rsidRDefault="00DB6F9B">
            <w:pPr>
              <w:autoSpaceDE w:val="0"/>
              <w:autoSpaceDN w:val="0"/>
              <w:adjustRightInd w:val="0"/>
              <w:spacing w:after="0"/>
              <w:ind w:firstLine="0"/>
              <w:jc w:val="left"/>
              <w:rPr>
                <w:rFonts w:eastAsia="Calibri"/>
                <w:b/>
                <w:bCs/>
                <w:color w:val="000000"/>
                <w:sz w:val="20"/>
                <w:lang w:eastAsia="lv-LV"/>
              </w:rPr>
            </w:pPr>
            <w:r w:rsidRPr="00DB6F9B">
              <w:rPr>
                <w:rFonts w:eastAsia="Calibri"/>
                <w:b/>
                <w:bCs/>
                <w:color w:val="000000"/>
                <w:sz w:val="20"/>
                <w:lang w:eastAsia="lv-LV"/>
              </w:rPr>
              <w:t>GDP</w:t>
            </w:r>
          </w:p>
        </w:tc>
        <w:tc>
          <w:tcPr>
            <w:tcW w:w="1121" w:type="dxa"/>
            <w:tcBorders>
              <w:top w:val="single" w:sz="12" w:space="0" w:color="auto"/>
              <w:left w:val="single" w:sz="6" w:space="0" w:color="auto"/>
              <w:bottom w:val="double" w:sz="4" w:space="0" w:color="auto"/>
              <w:right w:val="double" w:sz="4" w:space="0" w:color="auto"/>
            </w:tcBorders>
            <w:vAlign w:val="center"/>
          </w:tcPr>
          <w:p w14:paraId="4D3302E3" w14:textId="77777777" w:rsidR="00DB6F9B" w:rsidRPr="00DB6F9B" w:rsidRDefault="00DB6F9B" w:rsidP="002622DC">
            <w:pPr>
              <w:autoSpaceDE w:val="0"/>
              <w:autoSpaceDN w:val="0"/>
              <w:adjustRightInd w:val="0"/>
              <w:spacing w:after="0"/>
              <w:ind w:firstLine="0"/>
              <w:jc w:val="right"/>
              <w:rPr>
                <w:rFonts w:eastAsia="Calibri"/>
                <w:b/>
                <w:bCs/>
                <w:color w:val="000000"/>
                <w:sz w:val="20"/>
                <w:lang w:eastAsia="lv-LV"/>
              </w:rPr>
            </w:pPr>
            <w:r w:rsidRPr="00DB6F9B">
              <w:rPr>
                <w:rFonts w:eastAsia="Calibri"/>
                <w:b/>
                <w:bCs/>
                <w:color w:val="000000"/>
                <w:sz w:val="20"/>
                <w:lang w:eastAsia="lv-LV"/>
              </w:rPr>
              <w:t>23 315,5</w:t>
            </w:r>
          </w:p>
        </w:tc>
      </w:tr>
      <w:tr w:rsidR="00DB6F9B" w14:paraId="339AA529" w14:textId="77777777" w:rsidTr="00D35753">
        <w:trPr>
          <w:trHeight w:val="247"/>
        </w:trPr>
        <w:tc>
          <w:tcPr>
            <w:tcW w:w="6693" w:type="dxa"/>
            <w:tcBorders>
              <w:top w:val="double" w:sz="4" w:space="0" w:color="auto"/>
              <w:left w:val="nil"/>
              <w:bottom w:val="nil"/>
              <w:right w:val="nil"/>
            </w:tcBorders>
          </w:tcPr>
          <w:p w14:paraId="355FE593" w14:textId="77777777" w:rsidR="00DB6F9B" w:rsidRDefault="00DB6F9B">
            <w:pPr>
              <w:autoSpaceDE w:val="0"/>
              <w:autoSpaceDN w:val="0"/>
              <w:adjustRightInd w:val="0"/>
              <w:spacing w:after="0"/>
              <w:ind w:firstLine="0"/>
              <w:jc w:val="right"/>
              <w:rPr>
                <w:rFonts w:ascii="Arial" w:eastAsia="Calibri" w:hAnsi="Arial" w:cs="Arial"/>
                <w:color w:val="000000"/>
                <w:sz w:val="20"/>
                <w:lang w:eastAsia="lv-LV"/>
              </w:rPr>
            </w:pPr>
          </w:p>
        </w:tc>
        <w:tc>
          <w:tcPr>
            <w:tcW w:w="1121" w:type="dxa"/>
            <w:tcBorders>
              <w:top w:val="double" w:sz="4" w:space="0" w:color="auto"/>
              <w:left w:val="nil"/>
              <w:bottom w:val="nil"/>
              <w:right w:val="nil"/>
            </w:tcBorders>
          </w:tcPr>
          <w:p w14:paraId="3AF712D7" w14:textId="77777777" w:rsidR="00DB6F9B" w:rsidRDefault="00DB6F9B">
            <w:pPr>
              <w:autoSpaceDE w:val="0"/>
              <w:autoSpaceDN w:val="0"/>
              <w:adjustRightInd w:val="0"/>
              <w:spacing w:after="0"/>
              <w:ind w:firstLine="0"/>
              <w:jc w:val="right"/>
              <w:rPr>
                <w:rFonts w:ascii="Arial" w:eastAsia="Calibri" w:hAnsi="Arial" w:cs="Arial"/>
                <w:color w:val="000000"/>
                <w:sz w:val="20"/>
                <w:lang w:eastAsia="lv-LV"/>
              </w:rPr>
            </w:pPr>
          </w:p>
        </w:tc>
      </w:tr>
      <w:tr w:rsidR="00DB6F9B" w14:paraId="1827E045" w14:textId="77777777" w:rsidTr="00D35753">
        <w:trPr>
          <w:trHeight w:val="247"/>
        </w:trPr>
        <w:tc>
          <w:tcPr>
            <w:tcW w:w="7814" w:type="dxa"/>
            <w:gridSpan w:val="2"/>
            <w:tcBorders>
              <w:top w:val="nil"/>
              <w:left w:val="nil"/>
              <w:bottom w:val="nil"/>
              <w:right w:val="nil"/>
            </w:tcBorders>
          </w:tcPr>
          <w:p w14:paraId="4EBEF4AE" w14:textId="4A9DC0CB" w:rsidR="00DB6F9B" w:rsidRDefault="00DB6F9B" w:rsidP="00327E5B">
            <w:pPr>
              <w:autoSpaceDE w:val="0"/>
              <w:autoSpaceDN w:val="0"/>
              <w:adjustRightInd w:val="0"/>
              <w:spacing w:after="0"/>
              <w:ind w:firstLine="0"/>
              <w:jc w:val="left"/>
              <w:rPr>
                <w:rFonts w:eastAsia="Calibri"/>
                <w:color w:val="000000"/>
                <w:sz w:val="20"/>
                <w:lang w:eastAsia="lv-LV"/>
              </w:rPr>
            </w:pPr>
          </w:p>
        </w:tc>
      </w:tr>
    </w:tbl>
    <w:p w14:paraId="2602049A" w14:textId="77777777" w:rsidR="009126BE" w:rsidRPr="001946E0" w:rsidRDefault="009126BE" w:rsidP="009126BE">
      <w:pPr>
        <w:pStyle w:val="T"/>
        <w:ind w:left="0"/>
        <w:rPr>
          <w:rFonts w:ascii="Times New Roman" w:hAnsi="Times New Roman"/>
          <w:color w:val="000000"/>
          <w:szCs w:val="24"/>
        </w:rPr>
      </w:pPr>
      <w:r w:rsidRPr="001946E0">
        <w:rPr>
          <w:rFonts w:ascii="Times New Roman" w:hAnsi="Times New Roman"/>
          <w:color w:val="000000"/>
          <w:szCs w:val="24"/>
        </w:rPr>
        <w:t>8. tabula. Ārējās vides pamata pieņēmumi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689"/>
        <w:gridCol w:w="917"/>
        <w:gridCol w:w="917"/>
        <w:gridCol w:w="857"/>
        <w:gridCol w:w="976"/>
        <w:gridCol w:w="920"/>
      </w:tblGrid>
      <w:tr w:rsidR="009126BE" w:rsidRPr="00F96291" w14:paraId="20B1DB33" w14:textId="77777777" w:rsidTr="009126BE">
        <w:tc>
          <w:tcPr>
            <w:tcW w:w="3689" w:type="dxa"/>
            <w:tcBorders>
              <w:bottom w:val="double" w:sz="4" w:space="0" w:color="auto"/>
            </w:tcBorders>
            <w:tcMar>
              <w:top w:w="0" w:type="dxa"/>
              <w:left w:w="108" w:type="dxa"/>
              <w:bottom w:w="0" w:type="dxa"/>
              <w:right w:w="108" w:type="dxa"/>
            </w:tcMar>
            <w:vAlign w:val="center"/>
          </w:tcPr>
          <w:p w14:paraId="36773E0B" w14:textId="77777777" w:rsidR="009126BE" w:rsidRPr="00F96291" w:rsidRDefault="009126BE" w:rsidP="00FF28D4">
            <w:pPr>
              <w:spacing w:after="0"/>
              <w:ind w:firstLine="0"/>
              <w:jc w:val="left"/>
              <w:rPr>
                <w:rFonts w:eastAsia="Calibri"/>
                <w:color w:val="000000"/>
                <w:sz w:val="20"/>
              </w:rPr>
            </w:pPr>
          </w:p>
        </w:tc>
        <w:tc>
          <w:tcPr>
            <w:tcW w:w="917" w:type="dxa"/>
            <w:tcBorders>
              <w:bottom w:val="double" w:sz="4" w:space="0" w:color="auto"/>
            </w:tcBorders>
            <w:tcMar>
              <w:top w:w="0" w:type="dxa"/>
              <w:left w:w="108" w:type="dxa"/>
              <w:bottom w:w="0" w:type="dxa"/>
              <w:right w:w="108" w:type="dxa"/>
            </w:tcMar>
            <w:vAlign w:val="center"/>
            <w:hideMark/>
          </w:tcPr>
          <w:p w14:paraId="17940B62" w14:textId="77777777" w:rsidR="009126BE" w:rsidRPr="002D72BF" w:rsidRDefault="009126BE" w:rsidP="00FF28D4">
            <w:pPr>
              <w:spacing w:after="0"/>
              <w:ind w:firstLine="0"/>
              <w:jc w:val="center"/>
              <w:rPr>
                <w:b/>
                <w:color w:val="000000"/>
                <w:sz w:val="20"/>
              </w:rPr>
            </w:pPr>
            <w:r w:rsidRPr="002D72BF">
              <w:rPr>
                <w:b/>
                <w:color w:val="000000"/>
                <w:sz w:val="20"/>
              </w:rPr>
              <w:t>2013</w:t>
            </w:r>
          </w:p>
        </w:tc>
        <w:tc>
          <w:tcPr>
            <w:tcW w:w="917" w:type="dxa"/>
            <w:tcBorders>
              <w:bottom w:val="double" w:sz="4" w:space="0" w:color="auto"/>
            </w:tcBorders>
            <w:tcMar>
              <w:top w:w="0" w:type="dxa"/>
              <w:left w:w="108" w:type="dxa"/>
              <w:bottom w:w="0" w:type="dxa"/>
              <w:right w:w="108" w:type="dxa"/>
            </w:tcMar>
            <w:vAlign w:val="center"/>
            <w:hideMark/>
          </w:tcPr>
          <w:p w14:paraId="25856AD9" w14:textId="77777777" w:rsidR="009126BE" w:rsidRPr="002D72BF" w:rsidRDefault="009126BE" w:rsidP="00FF28D4">
            <w:pPr>
              <w:spacing w:after="0"/>
              <w:ind w:firstLine="0"/>
              <w:jc w:val="center"/>
              <w:rPr>
                <w:b/>
                <w:color w:val="000000"/>
                <w:sz w:val="20"/>
              </w:rPr>
            </w:pPr>
            <w:r w:rsidRPr="002D72BF">
              <w:rPr>
                <w:b/>
                <w:color w:val="000000"/>
                <w:sz w:val="20"/>
              </w:rPr>
              <w:t>2014</w:t>
            </w:r>
          </w:p>
        </w:tc>
        <w:tc>
          <w:tcPr>
            <w:tcW w:w="857" w:type="dxa"/>
            <w:tcBorders>
              <w:bottom w:val="double" w:sz="4" w:space="0" w:color="auto"/>
            </w:tcBorders>
            <w:tcMar>
              <w:top w:w="0" w:type="dxa"/>
              <w:left w:w="108" w:type="dxa"/>
              <w:bottom w:w="0" w:type="dxa"/>
              <w:right w:w="108" w:type="dxa"/>
            </w:tcMar>
            <w:vAlign w:val="center"/>
            <w:hideMark/>
          </w:tcPr>
          <w:p w14:paraId="0A60BBCF" w14:textId="77777777" w:rsidR="009126BE" w:rsidRPr="002D72BF" w:rsidRDefault="009126BE" w:rsidP="00FF28D4">
            <w:pPr>
              <w:spacing w:after="0"/>
              <w:ind w:firstLine="0"/>
              <w:jc w:val="center"/>
              <w:rPr>
                <w:b/>
                <w:color w:val="000000"/>
                <w:sz w:val="20"/>
              </w:rPr>
            </w:pPr>
            <w:r w:rsidRPr="002D72BF">
              <w:rPr>
                <w:b/>
                <w:color w:val="000000"/>
                <w:sz w:val="20"/>
              </w:rPr>
              <w:t>2015</w:t>
            </w:r>
          </w:p>
        </w:tc>
        <w:tc>
          <w:tcPr>
            <w:tcW w:w="976" w:type="dxa"/>
            <w:tcBorders>
              <w:bottom w:val="double" w:sz="4" w:space="0" w:color="auto"/>
            </w:tcBorders>
            <w:tcMar>
              <w:top w:w="0" w:type="dxa"/>
              <w:left w:w="108" w:type="dxa"/>
              <w:bottom w:w="0" w:type="dxa"/>
              <w:right w:w="108" w:type="dxa"/>
            </w:tcMar>
            <w:vAlign w:val="center"/>
            <w:hideMark/>
          </w:tcPr>
          <w:p w14:paraId="3C11B7C9" w14:textId="77777777" w:rsidR="009126BE" w:rsidRPr="002D72BF" w:rsidRDefault="009126BE" w:rsidP="00FF28D4">
            <w:pPr>
              <w:spacing w:after="0"/>
              <w:ind w:firstLine="0"/>
              <w:jc w:val="center"/>
              <w:rPr>
                <w:b/>
                <w:color w:val="000000"/>
                <w:sz w:val="20"/>
              </w:rPr>
            </w:pPr>
            <w:r w:rsidRPr="002D72BF">
              <w:rPr>
                <w:b/>
                <w:color w:val="000000"/>
                <w:sz w:val="20"/>
              </w:rPr>
              <w:t>2016</w:t>
            </w:r>
          </w:p>
        </w:tc>
        <w:tc>
          <w:tcPr>
            <w:tcW w:w="920" w:type="dxa"/>
            <w:tcBorders>
              <w:bottom w:val="double" w:sz="4" w:space="0" w:color="auto"/>
            </w:tcBorders>
            <w:tcMar>
              <w:top w:w="0" w:type="dxa"/>
              <w:left w:w="108" w:type="dxa"/>
              <w:bottom w:w="0" w:type="dxa"/>
              <w:right w:w="108" w:type="dxa"/>
            </w:tcMar>
            <w:vAlign w:val="center"/>
            <w:hideMark/>
          </w:tcPr>
          <w:p w14:paraId="0EC46DB8" w14:textId="77777777" w:rsidR="009126BE" w:rsidRPr="002D72BF" w:rsidRDefault="009126BE" w:rsidP="00FF28D4">
            <w:pPr>
              <w:spacing w:after="0"/>
              <w:ind w:firstLine="0"/>
              <w:jc w:val="center"/>
              <w:rPr>
                <w:b/>
                <w:color w:val="000000"/>
                <w:sz w:val="20"/>
              </w:rPr>
            </w:pPr>
            <w:r>
              <w:rPr>
                <w:b/>
                <w:color w:val="000000"/>
                <w:sz w:val="20"/>
              </w:rPr>
              <w:t>2017</w:t>
            </w:r>
          </w:p>
        </w:tc>
      </w:tr>
      <w:tr w:rsidR="009126BE" w:rsidRPr="00F96291" w14:paraId="1713A65D" w14:textId="77777777" w:rsidTr="002622DC">
        <w:tc>
          <w:tcPr>
            <w:tcW w:w="3689" w:type="dxa"/>
            <w:tcBorders>
              <w:bottom w:val="single" w:sz="8" w:space="0" w:color="auto"/>
            </w:tcBorders>
            <w:tcMar>
              <w:top w:w="0" w:type="dxa"/>
              <w:left w:w="108" w:type="dxa"/>
              <w:bottom w:w="0" w:type="dxa"/>
              <w:right w:w="108" w:type="dxa"/>
            </w:tcMar>
            <w:vAlign w:val="center"/>
            <w:hideMark/>
          </w:tcPr>
          <w:p w14:paraId="62330592" w14:textId="0508F6D2"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 xml:space="preserve">Īstermiņa procentu </w:t>
            </w:r>
            <w:r w:rsidRPr="006F7828">
              <w:rPr>
                <w:rFonts w:eastAsia="Calibri"/>
                <w:color w:val="000000"/>
                <w:sz w:val="20"/>
                <w:lang w:eastAsia="lv-LV"/>
              </w:rPr>
              <w:t xml:space="preserve">likme </w:t>
            </w:r>
            <w:proofErr w:type="spellStart"/>
            <w:r w:rsidR="006F7828" w:rsidRPr="006F7828">
              <w:rPr>
                <w:i/>
                <w:color w:val="000000"/>
                <w:sz w:val="20"/>
              </w:rPr>
              <w:t>euro</w:t>
            </w:r>
            <w:proofErr w:type="spellEnd"/>
            <w:r w:rsidR="006F7828" w:rsidRPr="006F7828">
              <w:rPr>
                <w:i/>
                <w:color w:val="000000"/>
                <w:sz w:val="20"/>
              </w:rPr>
              <w:t xml:space="preserve"> </w:t>
            </w:r>
            <w:r w:rsidR="006F7828" w:rsidRPr="006F7828">
              <w:rPr>
                <w:color w:val="000000"/>
                <w:sz w:val="20"/>
              </w:rPr>
              <w:t>zonā</w:t>
            </w:r>
            <w:r w:rsidR="006F7828">
              <w:rPr>
                <w:color w:val="000000"/>
                <w:szCs w:val="24"/>
              </w:rPr>
              <w:t xml:space="preserve"> </w:t>
            </w:r>
            <w:r w:rsidRPr="00F96291">
              <w:rPr>
                <w:rFonts w:eastAsia="Calibri"/>
                <w:color w:val="000000"/>
                <w:sz w:val="20"/>
                <w:lang w:eastAsia="lv-LV"/>
              </w:rPr>
              <w:t>(gada vidējā)</w:t>
            </w:r>
          </w:p>
        </w:tc>
        <w:tc>
          <w:tcPr>
            <w:tcW w:w="917" w:type="dxa"/>
            <w:tcBorders>
              <w:bottom w:val="single" w:sz="8" w:space="0" w:color="auto"/>
              <w:right w:val="single" w:sz="8" w:space="0" w:color="auto"/>
            </w:tcBorders>
            <w:tcMar>
              <w:top w:w="0" w:type="dxa"/>
              <w:left w:w="108" w:type="dxa"/>
              <w:bottom w:w="0" w:type="dxa"/>
              <w:right w:w="108" w:type="dxa"/>
            </w:tcMar>
            <w:vAlign w:val="center"/>
          </w:tcPr>
          <w:p w14:paraId="5A69AE45" w14:textId="77777777" w:rsidR="009126BE" w:rsidRPr="00F96291" w:rsidRDefault="009126BE" w:rsidP="002622DC">
            <w:pPr>
              <w:spacing w:after="0" w:line="360" w:lineRule="auto"/>
              <w:ind w:firstLine="0"/>
              <w:jc w:val="right"/>
              <w:rPr>
                <w:rFonts w:eastAsia="Calibri"/>
                <w:color w:val="000000"/>
                <w:sz w:val="20"/>
              </w:rPr>
            </w:pPr>
          </w:p>
        </w:tc>
        <w:tc>
          <w:tcPr>
            <w:tcW w:w="917"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34F6D0D"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0,3</w:t>
            </w:r>
          </w:p>
        </w:tc>
        <w:tc>
          <w:tcPr>
            <w:tcW w:w="857"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9175959"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0,4</w:t>
            </w:r>
          </w:p>
        </w:tc>
        <w:tc>
          <w:tcPr>
            <w:tcW w:w="976"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CB8C10"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0,4</w:t>
            </w:r>
          </w:p>
        </w:tc>
        <w:tc>
          <w:tcPr>
            <w:tcW w:w="920" w:type="dxa"/>
            <w:tcBorders>
              <w:left w:val="single" w:sz="8" w:space="0" w:color="auto"/>
              <w:bottom w:val="single" w:sz="8" w:space="0" w:color="auto"/>
            </w:tcBorders>
            <w:tcMar>
              <w:top w:w="0" w:type="dxa"/>
              <w:left w:w="108" w:type="dxa"/>
              <w:bottom w:w="0" w:type="dxa"/>
              <w:right w:w="108" w:type="dxa"/>
            </w:tcMar>
            <w:vAlign w:val="center"/>
          </w:tcPr>
          <w:p w14:paraId="4EC92EC2"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0,4</w:t>
            </w:r>
          </w:p>
        </w:tc>
      </w:tr>
      <w:tr w:rsidR="009126BE" w:rsidRPr="00F96291" w14:paraId="4471F6E6"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67E2081D" w14:textId="26587DB1"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 xml:space="preserve">Ilgtermiņa procentu likme </w:t>
            </w:r>
            <w:proofErr w:type="spellStart"/>
            <w:r w:rsidR="006F7828" w:rsidRPr="006F7828">
              <w:rPr>
                <w:i/>
                <w:color w:val="000000"/>
                <w:sz w:val="20"/>
                <w:szCs w:val="24"/>
              </w:rPr>
              <w:t>euro</w:t>
            </w:r>
            <w:proofErr w:type="spellEnd"/>
            <w:r w:rsidR="006F7828" w:rsidRPr="006F7828">
              <w:rPr>
                <w:i/>
                <w:color w:val="000000"/>
                <w:sz w:val="20"/>
                <w:szCs w:val="24"/>
              </w:rPr>
              <w:t xml:space="preserve"> </w:t>
            </w:r>
            <w:r w:rsidR="006F7828" w:rsidRPr="006F7828">
              <w:rPr>
                <w:color w:val="000000"/>
                <w:sz w:val="20"/>
                <w:szCs w:val="24"/>
              </w:rPr>
              <w:t xml:space="preserve">zonā </w:t>
            </w:r>
            <w:r w:rsidRPr="00F96291">
              <w:rPr>
                <w:rFonts w:eastAsia="Calibri"/>
                <w:color w:val="000000"/>
                <w:sz w:val="20"/>
                <w:lang w:eastAsia="lv-LV"/>
              </w:rPr>
              <w:t>(gada vidējā)</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655E2191" w14:textId="77777777" w:rsidR="009126BE" w:rsidRPr="00F96291" w:rsidRDefault="009126BE" w:rsidP="002622DC">
            <w:pPr>
              <w:spacing w:after="0" w:line="360" w:lineRule="auto"/>
              <w:ind w:firstLine="0"/>
              <w:jc w:val="right"/>
              <w:rPr>
                <w:rFonts w:eastAsia="Calibri"/>
                <w:color w:val="000000"/>
                <w:sz w:val="20"/>
              </w:rPr>
            </w:pP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3A9A21"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1,8</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37D7C0"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2,1</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5CD2F1"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2,1</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37153A7F"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2,1</w:t>
            </w:r>
          </w:p>
        </w:tc>
      </w:tr>
      <w:tr w:rsidR="009126BE" w:rsidRPr="00F96291" w14:paraId="1B692737"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6319AA72"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USD/EUR kurss (gada vidējais)</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6AACCFE5"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1,33</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B08765"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1,36</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46E331"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1,36</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869CCE"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1,36</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2A3A58B0"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1,36</w:t>
            </w:r>
          </w:p>
        </w:tc>
      </w:tr>
      <w:tr w:rsidR="009126BE" w:rsidRPr="00F96291" w14:paraId="7ACE4D84"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2C122334"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Nominālais efektīvais maiņas kurss ES</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4EDD3A89"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8,2</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1B7FE6"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066422"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-0,1</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3C546C"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777FBEF9"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w:t>
            </w:r>
          </w:p>
        </w:tc>
      </w:tr>
      <w:tr w:rsidR="009126BE" w:rsidRPr="00F96291" w14:paraId="7D1E0AC8"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5780B2EB"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Pasaules IKP, izņemot ES, pieaugums salīdzināmās cenās, %</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7F5CC5D9"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3,6</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1F05ED"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4,1</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3324BF"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4,4</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159072"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4,4</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2953562F"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4,4</w:t>
            </w:r>
          </w:p>
        </w:tc>
      </w:tr>
      <w:tr w:rsidR="009126BE" w:rsidRPr="00F96291" w14:paraId="5DBE2940" w14:textId="77777777" w:rsidTr="002622DC">
        <w:trPr>
          <w:trHeight w:val="189"/>
        </w:trPr>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0490A654"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ES IKP pieaugums salīdzināmās cenās, %</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3C4987CF"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0,1</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EBD8E1"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1,5</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EC10EB"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2,0</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51F7D6"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2,0</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2B9DBF3C"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2,0</w:t>
            </w:r>
          </w:p>
        </w:tc>
      </w:tr>
      <w:tr w:rsidR="009126BE" w:rsidRPr="00F96291" w14:paraId="24EE93B2"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63416EE3" w14:textId="77777777" w:rsidR="009126BE" w:rsidRPr="00F96291" w:rsidRDefault="009126BE" w:rsidP="00FF28D4">
            <w:pPr>
              <w:spacing w:after="0"/>
              <w:ind w:firstLine="0"/>
              <w:jc w:val="left"/>
              <w:rPr>
                <w:rFonts w:eastAsia="Calibri"/>
                <w:color w:val="000000"/>
                <w:sz w:val="20"/>
                <w:lang w:eastAsia="lv-LV"/>
              </w:rPr>
            </w:pPr>
            <w:r w:rsidRPr="00F96291">
              <w:rPr>
                <w:rFonts w:eastAsia="Calibri"/>
                <w:color w:val="000000"/>
                <w:sz w:val="20"/>
                <w:lang w:eastAsia="lv-LV"/>
              </w:rPr>
              <w:t>Pasaules preču un pakalpojumu tirdzniecības apjomu izmaiņas ES eksporta tirgos, izslēdzot ES, %</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6047F738"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3,4</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E409BE"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5,6</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56952B"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A54F9C"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32EC0E55"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r>
      <w:tr w:rsidR="009126BE" w:rsidRPr="00F96291" w14:paraId="74FE5B8D" w14:textId="77777777" w:rsidTr="002622DC">
        <w:tc>
          <w:tcPr>
            <w:tcW w:w="3689" w:type="dxa"/>
            <w:tcBorders>
              <w:top w:val="single" w:sz="8" w:space="0" w:color="auto"/>
              <w:bottom w:val="single" w:sz="8" w:space="0" w:color="auto"/>
            </w:tcBorders>
            <w:tcMar>
              <w:top w:w="0" w:type="dxa"/>
              <w:left w:w="108" w:type="dxa"/>
              <w:bottom w:w="0" w:type="dxa"/>
              <w:right w:w="108" w:type="dxa"/>
            </w:tcMar>
            <w:vAlign w:val="center"/>
            <w:hideMark/>
          </w:tcPr>
          <w:p w14:paraId="6FA4CBB5"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Pasaules preču un pakalpojumu importa apjomu izmaiņas, izslēdzot ES, %</w:t>
            </w:r>
          </w:p>
        </w:tc>
        <w:tc>
          <w:tcPr>
            <w:tcW w:w="917"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14:paraId="2027D9DD"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3,4</w:t>
            </w:r>
          </w:p>
        </w:tc>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DDB78C"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5,6</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D73B8B"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c>
          <w:tcPr>
            <w:tcW w:w="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141A7C"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c>
          <w:tcPr>
            <w:tcW w:w="920"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7D4902D3"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6,0</w:t>
            </w:r>
          </w:p>
        </w:tc>
      </w:tr>
      <w:tr w:rsidR="009126BE" w:rsidRPr="00F96291" w14:paraId="426860AA" w14:textId="77777777" w:rsidTr="002622DC">
        <w:tc>
          <w:tcPr>
            <w:tcW w:w="3689" w:type="dxa"/>
            <w:tcBorders>
              <w:top w:val="single" w:sz="8" w:space="0" w:color="auto"/>
            </w:tcBorders>
            <w:tcMar>
              <w:top w:w="0" w:type="dxa"/>
              <w:left w:w="108" w:type="dxa"/>
              <w:bottom w:w="0" w:type="dxa"/>
              <w:right w:w="108" w:type="dxa"/>
            </w:tcMar>
            <w:vAlign w:val="center"/>
            <w:hideMark/>
          </w:tcPr>
          <w:p w14:paraId="5D0B16A6" w14:textId="77777777" w:rsidR="009126BE" w:rsidRPr="00F96291" w:rsidRDefault="009126BE" w:rsidP="00FF28D4">
            <w:pPr>
              <w:spacing w:after="0"/>
              <w:ind w:firstLine="0"/>
              <w:jc w:val="left"/>
              <w:rPr>
                <w:rFonts w:eastAsia="Calibri"/>
                <w:color w:val="000000"/>
                <w:sz w:val="20"/>
              </w:rPr>
            </w:pPr>
            <w:r w:rsidRPr="00F96291">
              <w:rPr>
                <w:rFonts w:eastAsia="Calibri"/>
                <w:color w:val="000000"/>
                <w:sz w:val="20"/>
                <w:lang w:eastAsia="lv-LV"/>
              </w:rPr>
              <w:t>Naftas cena (</w:t>
            </w:r>
            <w:proofErr w:type="spellStart"/>
            <w:r w:rsidRPr="00F96291">
              <w:rPr>
                <w:rFonts w:eastAsia="Calibri"/>
                <w:color w:val="000000"/>
                <w:sz w:val="20"/>
                <w:lang w:eastAsia="lv-LV"/>
              </w:rPr>
              <w:t>Brent</w:t>
            </w:r>
            <w:proofErr w:type="spellEnd"/>
            <w:r w:rsidRPr="00F96291">
              <w:rPr>
                <w:rFonts w:eastAsia="Calibri"/>
                <w:color w:val="000000"/>
                <w:sz w:val="20"/>
                <w:lang w:eastAsia="lv-LV"/>
              </w:rPr>
              <w:t>, USD par barelu)</w:t>
            </w:r>
          </w:p>
        </w:tc>
        <w:tc>
          <w:tcPr>
            <w:tcW w:w="917" w:type="dxa"/>
            <w:tcBorders>
              <w:top w:val="single" w:sz="8" w:space="0" w:color="auto"/>
              <w:right w:val="single" w:sz="8" w:space="0" w:color="auto"/>
            </w:tcBorders>
            <w:tcMar>
              <w:top w:w="0" w:type="dxa"/>
              <w:left w:w="108" w:type="dxa"/>
              <w:bottom w:w="0" w:type="dxa"/>
              <w:right w:w="108" w:type="dxa"/>
            </w:tcMar>
            <w:vAlign w:val="center"/>
          </w:tcPr>
          <w:p w14:paraId="0D70C3D6"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108,8</w:t>
            </w:r>
          </w:p>
        </w:tc>
        <w:tc>
          <w:tcPr>
            <w:tcW w:w="917"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A15A0F0" w14:textId="77777777" w:rsidR="009126BE" w:rsidRPr="00F96291" w:rsidRDefault="009126BE" w:rsidP="002622DC">
            <w:pPr>
              <w:spacing w:after="0" w:line="360" w:lineRule="auto"/>
              <w:ind w:firstLine="0"/>
              <w:jc w:val="right"/>
              <w:rPr>
                <w:rFonts w:eastAsia="Calibri"/>
                <w:color w:val="000000"/>
                <w:sz w:val="20"/>
              </w:rPr>
            </w:pPr>
            <w:r>
              <w:rPr>
                <w:rFonts w:eastAsia="Calibri"/>
                <w:color w:val="000000"/>
                <w:sz w:val="20"/>
              </w:rPr>
              <w:t>104,1</w:t>
            </w:r>
          </w:p>
        </w:tc>
        <w:tc>
          <w:tcPr>
            <w:tcW w:w="857"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ACBF9DE" w14:textId="77777777" w:rsidR="009126BE" w:rsidRPr="00F96291" w:rsidRDefault="009126BE" w:rsidP="002622DC">
            <w:pPr>
              <w:spacing w:after="0" w:line="360" w:lineRule="auto"/>
              <w:ind w:firstLine="0"/>
              <w:jc w:val="right"/>
              <w:rPr>
                <w:rFonts w:eastAsia="Calibri"/>
                <w:color w:val="000000"/>
                <w:sz w:val="20"/>
              </w:rPr>
            </w:pPr>
            <w:r w:rsidRPr="00490540">
              <w:rPr>
                <w:rFonts w:eastAsia="Calibri"/>
                <w:color w:val="000000"/>
                <w:sz w:val="20"/>
              </w:rPr>
              <w:t>99</w:t>
            </w:r>
            <w:r>
              <w:rPr>
                <w:rFonts w:eastAsia="Calibri"/>
                <w:color w:val="000000"/>
                <w:sz w:val="20"/>
              </w:rPr>
              <w:t>,</w:t>
            </w:r>
            <w:r w:rsidRPr="00490540">
              <w:rPr>
                <w:rFonts w:eastAsia="Calibri"/>
                <w:color w:val="000000"/>
                <w:sz w:val="20"/>
              </w:rPr>
              <w:t>6</w:t>
            </w:r>
          </w:p>
        </w:tc>
        <w:tc>
          <w:tcPr>
            <w:tcW w:w="976"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E3D9BF5" w14:textId="77777777" w:rsidR="009126BE" w:rsidRPr="00F96291" w:rsidRDefault="009126BE" w:rsidP="002622DC">
            <w:pPr>
              <w:spacing w:after="0" w:line="360" w:lineRule="auto"/>
              <w:ind w:firstLine="0"/>
              <w:jc w:val="right"/>
              <w:rPr>
                <w:rFonts w:eastAsia="Calibri"/>
                <w:color w:val="000000"/>
                <w:sz w:val="20"/>
              </w:rPr>
            </w:pPr>
            <w:r w:rsidRPr="00490540">
              <w:rPr>
                <w:rFonts w:eastAsia="Calibri"/>
                <w:color w:val="000000"/>
                <w:sz w:val="20"/>
              </w:rPr>
              <w:t>99</w:t>
            </w:r>
            <w:r>
              <w:rPr>
                <w:rFonts w:eastAsia="Calibri"/>
                <w:color w:val="000000"/>
                <w:sz w:val="20"/>
              </w:rPr>
              <w:t>,</w:t>
            </w:r>
            <w:r w:rsidRPr="00490540">
              <w:rPr>
                <w:rFonts w:eastAsia="Calibri"/>
                <w:color w:val="000000"/>
                <w:sz w:val="20"/>
              </w:rPr>
              <w:t>6</w:t>
            </w:r>
          </w:p>
        </w:tc>
        <w:tc>
          <w:tcPr>
            <w:tcW w:w="920" w:type="dxa"/>
            <w:tcBorders>
              <w:top w:val="single" w:sz="8" w:space="0" w:color="auto"/>
              <w:left w:val="single" w:sz="8" w:space="0" w:color="auto"/>
            </w:tcBorders>
            <w:tcMar>
              <w:top w:w="0" w:type="dxa"/>
              <w:left w:w="108" w:type="dxa"/>
              <w:bottom w:w="0" w:type="dxa"/>
              <w:right w:w="108" w:type="dxa"/>
            </w:tcMar>
            <w:vAlign w:val="center"/>
          </w:tcPr>
          <w:p w14:paraId="0C94C579" w14:textId="77777777" w:rsidR="009126BE" w:rsidRPr="00F96291" w:rsidRDefault="009126BE" w:rsidP="002622DC">
            <w:pPr>
              <w:spacing w:after="0" w:line="360" w:lineRule="auto"/>
              <w:ind w:firstLine="0"/>
              <w:jc w:val="right"/>
              <w:rPr>
                <w:rFonts w:eastAsia="Calibri"/>
                <w:color w:val="000000"/>
                <w:sz w:val="20"/>
              </w:rPr>
            </w:pPr>
            <w:r w:rsidRPr="00490540">
              <w:rPr>
                <w:rFonts w:eastAsia="Calibri"/>
                <w:color w:val="000000"/>
                <w:sz w:val="20"/>
              </w:rPr>
              <w:t>99</w:t>
            </w:r>
            <w:r>
              <w:rPr>
                <w:rFonts w:eastAsia="Calibri"/>
                <w:color w:val="000000"/>
                <w:sz w:val="20"/>
              </w:rPr>
              <w:t>,</w:t>
            </w:r>
            <w:r w:rsidRPr="00490540">
              <w:rPr>
                <w:rFonts w:eastAsia="Calibri"/>
                <w:color w:val="000000"/>
                <w:sz w:val="20"/>
              </w:rPr>
              <w:t>6</w:t>
            </w:r>
          </w:p>
        </w:tc>
      </w:tr>
    </w:tbl>
    <w:p w14:paraId="39512BF4" w14:textId="77777777" w:rsidR="009126BE" w:rsidRPr="001946E0" w:rsidRDefault="009126BE" w:rsidP="009126BE">
      <w:pPr>
        <w:pStyle w:val="T"/>
        <w:rPr>
          <w:rFonts w:ascii="Times New Roman" w:hAnsi="Times New Roman"/>
          <w:b w:val="0"/>
          <w:color w:val="000000"/>
        </w:rPr>
      </w:pPr>
    </w:p>
    <w:p w14:paraId="64A4EC16" w14:textId="77777777" w:rsidR="009126BE" w:rsidRPr="00DB6F9B" w:rsidRDefault="009126BE" w:rsidP="009126BE">
      <w:pPr>
        <w:ind w:firstLine="0"/>
      </w:pPr>
    </w:p>
    <w:sectPr w:rsidR="009126BE" w:rsidRPr="00DB6F9B" w:rsidSect="00433760">
      <w:footerReference w:type="default" r:id="rId67"/>
      <w:pgSz w:w="11906" w:h="16838"/>
      <w:pgMar w:top="1418" w:right="1134" w:bottom="709" w:left="1701" w:header="90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9743" w14:textId="77777777" w:rsidR="00582AB5" w:rsidRDefault="00582AB5" w:rsidP="000F6956">
      <w:pPr>
        <w:spacing w:after="0"/>
      </w:pPr>
      <w:r>
        <w:separator/>
      </w:r>
    </w:p>
    <w:p w14:paraId="127199CB" w14:textId="77777777" w:rsidR="00582AB5" w:rsidRDefault="00582AB5"/>
  </w:endnote>
  <w:endnote w:type="continuationSeparator" w:id="0">
    <w:p w14:paraId="615A368C" w14:textId="77777777" w:rsidR="00582AB5" w:rsidRDefault="00582AB5" w:rsidP="000F6956">
      <w:pPr>
        <w:spacing w:after="0"/>
      </w:pPr>
      <w:r>
        <w:continuationSeparator/>
      </w:r>
    </w:p>
    <w:p w14:paraId="5CEB9251" w14:textId="77777777" w:rsidR="00582AB5" w:rsidRDefault="00582AB5"/>
  </w:endnote>
  <w:endnote w:type="continuationNotice" w:id="1">
    <w:p w14:paraId="78FF5046" w14:textId="77777777" w:rsidR="00582AB5" w:rsidRDefault="00582AB5">
      <w:pPr>
        <w:spacing w:after="0"/>
      </w:pPr>
    </w:p>
    <w:p w14:paraId="75B786A9" w14:textId="77777777" w:rsidR="00582AB5" w:rsidRDefault="0058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FF34" w14:textId="12891B7D" w:rsidR="00582AB5" w:rsidRPr="00E2547E" w:rsidRDefault="00582AB5" w:rsidP="00FF3965">
    <w:pPr>
      <w:pStyle w:val="Footer"/>
      <w:ind w:firstLine="0"/>
      <w:rPr>
        <w:sz w:val="20"/>
        <w:lang w:val="lv-LV"/>
      </w:rPr>
    </w:pPr>
    <w:r w:rsidRPr="00E2547E">
      <w:rPr>
        <w:sz w:val="20"/>
        <w:lang w:val="lv-LV"/>
      </w:rPr>
      <w:t>FMZino_</w:t>
    </w:r>
    <w:r>
      <w:rPr>
        <w:sz w:val="20"/>
        <w:lang w:val="lv-LV"/>
      </w:rPr>
      <w:t>250414_SP; Latvijas Stabilitātes programma 2014.-2017.gadam</w:t>
    </w:r>
  </w:p>
  <w:p w14:paraId="17403839" w14:textId="77777777" w:rsidR="00582AB5" w:rsidRDefault="0058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04393"/>
      <w:docPartObj>
        <w:docPartGallery w:val="Page Numbers (Bottom of Page)"/>
        <w:docPartUnique/>
      </w:docPartObj>
    </w:sdtPr>
    <w:sdtContent>
      <w:p w14:paraId="3AE4E048" w14:textId="30F03891" w:rsidR="00582AB5" w:rsidRPr="00C10C13" w:rsidRDefault="00582AB5" w:rsidP="00AA06D5">
        <w:pPr>
          <w:pStyle w:val="Footer"/>
          <w:spacing w:after="0"/>
          <w:ind w:firstLine="0"/>
          <w:rPr>
            <w:sz w:val="20"/>
            <w:lang w:val="lv-LV"/>
          </w:rPr>
        </w:pPr>
        <w:r w:rsidRPr="00E2547E">
          <w:rPr>
            <w:sz w:val="20"/>
            <w:lang w:val="lv-LV"/>
          </w:rPr>
          <w:t>FMZino_</w:t>
        </w:r>
        <w:r>
          <w:rPr>
            <w:sz w:val="20"/>
            <w:lang w:val="lv-LV"/>
          </w:rPr>
          <w:t>250414_SP; Latvijas Stabilitātes programma 2014.-2017.gadam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536E" w14:textId="77777777" w:rsidR="00582AB5" w:rsidRDefault="00582AB5" w:rsidP="000F6956">
      <w:pPr>
        <w:spacing w:after="0"/>
      </w:pPr>
      <w:r>
        <w:separator/>
      </w:r>
    </w:p>
    <w:p w14:paraId="0DE46460" w14:textId="77777777" w:rsidR="00582AB5" w:rsidRDefault="00582AB5"/>
  </w:footnote>
  <w:footnote w:type="continuationSeparator" w:id="0">
    <w:p w14:paraId="1EA60A7A" w14:textId="77777777" w:rsidR="00582AB5" w:rsidRDefault="00582AB5" w:rsidP="000F6956">
      <w:pPr>
        <w:spacing w:after="0"/>
      </w:pPr>
      <w:r>
        <w:continuationSeparator/>
      </w:r>
    </w:p>
    <w:p w14:paraId="62ECB180" w14:textId="77777777" w:rsidR="00582AB5" w:rsidRDefault="00582AB5"/>
  </w:footnote>
  <w:footnote w:type="continuationNotice" w:id="1">
    <w:p w14:paraId="33A6D74B" w14:textId="77777777" w:rsidR="00582AB5" w:rsidRDefault="00582AB5">
      <w:pPr>
        <w:spacing w:after="0"/>
      </w:pPr>
    </w:p>
    <w:p w14:paraId="229E15EA" w14:textId="77777777" w:rsidR="00582AB5" w:rsidRDefault="00582AB5"/>
  </w:footnote>
  <w:footnote w:id="2">
    <w:p w14:paraId="09A4FD6A" w14:textId="5E6242C3" w:rsidR="00582AB5" w:rsidRPr="00A579BF" w:rsidRDefault="00582AB5" w:rsidP="00CB2E4C">
      <w:pPr>
        <w:pStyle w:val="FootnoteText"/>
      </w:pPr>
      <w:r w:rsidRPr="00A579BF">
        <w:rPr>
          <w:rStyle w:val="FootnoteReference"/>
          <w:rFonts w:ascii="Times New Roman" w:hAnsi="Times New Roman"/>
        </w:rPr>
        <w:footnoteRef/>
      </w:r>
      <w:r w:rsidRPr="00A579BF">
        <w:t xml:space="preserve"> Datu avots: </w:t>
      </w:r>
      <w:proofErr w:type="spellStart"/>
      <w:r w:rsidRPr="00A579BF">
        <w:t>World</w:t>
      </w:r>
      <w:proofErr w:type="spellEnd"/>
      <w:r w:rsidRPr="00A579BF">
        <w:t xml:space="preserve"> </w:t>
      </w:r>
      <w:proofErr w:type="spellStart"/>
      <w:r w:rsidRPr="00A579BF">
        <w:t>Economic</w:t>
      </w:r>
      <w:proofErr w:type="spellEnd"/>
      <w:r w:rsidRPr="00A579BF">
        <w:t xml:space="preserve"> Outlook </w:t>
      </w:r>
      <w:proofErr w:type="spellStart"/>
      <w:r w:rsidRPr="00A579BF">
        <w:t>Update</w:t>
      </w:r>
      <w:proofErr w:type="spellEnd"/>
      <w:r w:rsidRPr="00A579BF">
        <w:t xml:space="preserve">, </w:t>
      </w:r>
      <w:proofErr w:type="spellStart"/>
      <w:r w:rsidRPr="00A579BF">
        <w:t>April</w:t>
      </w:r>
      <w:proofErr w:type="spellEnd"/>
      <w:r w:rsidRPr="00A579BF">
        <w:t xml:space="preserve"> 8, 2014, </w:t>
      </w:r>
      <w:proofErr w:type="spellStart"/>
      <w:r w:rsidRPr="00A579BF">
        <w:t>International</w:t>
      </w:r>
      <w:proofErr w:type="spellEnd"/>
      <w:r w:rsidRPr="00A579BF">
        <w:t xml:space="preserve"> </w:t>
      </w:r>
      <w:proofErr w:type="spellStart"/>
      <w:r w:rsidRPr="00A579BF">
        <w:t>Monetary</w:t>
      </w:r>
      <w:proofErr w:type="spellEnd"/>
      <w:r w:rsidRPr="00A579BF">
        <w:t xml:space="preserve"> </w:t>
      </w:r>
      <w:proofErr w:type="spellStart"/>
      <w:r w:rsidRPr="00A579BF">
        <w:t>Fund</w:t>
      </w:r>
      <w:proofErr w:type="spellEnd"/>
      <w:r w:rsidRPr="00A579BF">
        <w:t>.</w:t>
      </w:r>
    </w:p>
  </w:footnote>
  <w:footnote w:id="3">
    <w:p w14:paraId="54FB2781" w14:textId="77777777" w:rsidR="00582AB5" w:rsidRDefault="00582AB5" w:rsidP="00CB2E4C">
      <w:pPr>
        <w:pStyle w:val="FootnoteText"/>
        <w:jc w:val="both"/>
      </w:pPr>
      <w:r w:rsidRPr="00A579BF">
        <w:rPr>
          <w:rStyle w:val="FootnoteReference"/>
          <w:rFonts w:ascii="Times New Roman" w:hAnsi="Times New Roman"/>
        </w:rPr>
        <w:footnoteRef/>
      </w:r>
      <w:r w:rsidRPr="00A579BF">
        <w:t xml:space="preserve"> </w:t>
      </w:r>
      <w:proofErr w:type="spellStart"/>
      <w:r w:rsidRPr="00A579BF">
        <w:t>Agregētā</w:t>
      </w:r>
      <w:proofErr w:type="spellEnd"/>
      <w:r w:rsidRPr="00A579BF">
        <w:t xml:space="preserve"> partnervalstu (Igaunija, Lietuva, Krievija, Vācija, Polija, Zviedrija) vidējā izaugsme, svērta ar  vidējo</w:t>
      </w:r>
      <w:r>
        <w:t xml:space="preserve"> eksporta īpatsvaru 2013. gadā.</w:t>
      </w:r>
    </w:p>
    <w:p w14:paraId="199A7432" w14:textId="422751AF" w:rsidR="00582AB5" w:rsidRPr="00A579BF" w:rsidRDefault="00582AB5" w:rsidP="000F2A7B">
      <w:pPr>
        <w:pStyle w:val="FootnoteText"/>
        <w:ind w:firstLine="0"/>
        <w:jc w:val="both"/>
      </w:pPr>
      <w:r w:rsidRPr="00A579BF">
        <w:t xml:space="preserve">Datu avots: </w:t>
      </w:r>
      <w:proofErr w:type="spellStart"/>
      <w:r w:rsidRPr="00A579BF">
        <w:t>European</w:t>
      </w:r>
      <w:proofErr w:type="spellEnd"/>
      <w:r w:rsidRPr="00A579BF">
        <w:t xml:space="preserve"> </w:t>
      </w:r>
      <w:proofErr w:type="spellStart"/>
      <w:r w:rsidRPr="00A579BF">
        <w:t>economic</w:t>
      </w:r>
      <w:proofErr w:type="spellEnd"/>
      <w:r w:rsidRPr="00A579BF">
        <w:t xml:space="preserve"> </w:t>
      </w:r>
      <w:proofErr w:type="spellStart"/>
      <w:r w:rsidRPr="00A579BF">
        <w:t>forecast</w:t>
      </w:r>
      <w:proofErr w:type="spellEnd"/>
      <w:r w:rsidRPr="00A579BF">
        <w:t xml:space="preserve"> - </w:t>
      </w:r>
      <w:proofErr w:type="spellStart"/>
      <w:r w:rsidRPr="00A579BF">
        <w:t>winter</w:t>
      </w:r>
      <w:proofErr w:type="spellEnd"/>
      <w:r w:rsidRPr="00A579BF">
        <w:t xml:space="preserve"> 2013, </w:t>
      </w:r>
      <w:proofErr w:type="spellStart"/>
      <w:r w:rsidRPr="00A579BF">
        <w:t>European</w:t>
      </w:r>
      <w:proofErr w:type="spellEnd"/>
      <w:r w:rsidRPr="00A579BF">
        <w:t xml:space="preserve"> </w:t>
      </w:r>
      <w:proofErr w:type="spellStart"/>
      <w:r w:rsidRPr="00A579BF">
        <w:t>Commission</w:t>
      </w:r>
      <w:proofErr w:type="spellEnd"/>
      <w:r w:rsidRPr="00A579BF">
        <w:t xml:space="preserve">. </w:t>
      </w:r>
    </w:p>
    <w:p w14:paraId="55686DD7" w14:textId="77777777" w:rsidR="00582AB5" w:rsidRPr="00A579BF" w:rsidRDefault="00582AB5" w:rsidP="00CB2E4C">
      <w:pPr>
        <w:pStyle w:val="FootnoteText"/>
      </w:pPr>
    </w:p>
  </w:footnote>
  <w:footnote w:id="4">
    <w:p w14:paraId="53BA1DBB" w14:textId="77777777" w:rsidR="00582AB5" w:rsidRPr="00A579BF" w:rsidRDefault="00582AB5" w:rsidP="006B5F7D">
      <w:pPr>
        <w:pStyle w:val="FootnoteText"/>
        <w:jc w:val="both"/>
        <w:rPr>
          <w:lang w:val="lv-LV"/>
        </w:rPr>
      </w:pPr>
      <w:r w:rsidRPr="00A579BF">
        <w:rPr>
          <w:rStyle w:val="FootnoteReference"/>
          <w:rFonts w:ascii="Times New Roman" w:hAnsi="Times New Roman"/>
        </w:rPr>
        <w:footnoteRef/>
      </w:r>
      <w:r w:rsidRPr="00A579BF">
        <w:t xml:space="preserve"> </w:t>
      </w:r>
      <w:r w:rsidRPr="00A579BF">
        <w:tab/>
        <w:t xml:space="preserve">Datu avots: 2014. gada aprīļa </w:t>
      </w:r>
      <w:r w:rsidRPr="00A579BF">
        <w:rPr>
          <w:lang w:val="lv-LV"/>
        </w:rPr>
        <w:t>vispārējās valdības</w:t>
      </w:r>
      <w:r w:rsidRPr="00A579BF">
        <w:t xml:space="preserve"> budžeta deficīta un parāda notifikācija</w:t>
      </w:r>
      <w:r w:rsidRPr="00A579BF">
        <w:rPr>
          <w:lang w:val="lv-LV"/>
        </w:rPr>
        <w:t>.</w:t>
      </w:r>
    </w:p>
  </w:footnote>
  <w:footnote w:id="5">
    <w:p w14:paraId="505414DC" w14:textId="2ABA923B" w:rsidR="00582AB5" w:rsidRPr="00A579BF" w:rsidRDefault="00582AB5" w:rsidP="006B5F7D">
      <w:pPr>
        <w:pStyle w:val="FootnoteText"/>
        <w:jc w:val="both"/>
        <w:rPr>
          <w:lang w:val="lv-LV"/>
        </w:rPr>
      </w:pPr>
      <w:r w:rsidRPr="00A579BF">
        <w:rPr>
          <w:rStyle w:val="FootnoteReference"/>
          <w:rFonts w:ascii="Times New Roman" w:hAnsi="Times New Roman"/>
        </w:rPr>
        <w:footnoteRef/>
      </w:r>
      <w:r w:rsidRPr="00A579BF">
        <w:t xml:space="preserve"> </w:t>
      </w:r>
      <w:r w:rsidRPr="00A579BF">
        <w:tab/>
      </w:r>
      <w:r w:rsidRPr="00A579BF">
        <w:rPr>
          <w:lang w:val="lv-LV"/>
        </w:rPr>
        <w:t xml:space="preserve">Vispārējās valdības sektora dalījums </w:t>
      </w:r>
      <w:proofErr w:type="spellStart"/>
      <w:r w:rsidRPr="00A579BF">
        <w:rPr>
          <w:lang w:val="lv-LV"/>
        </w:rPr>
        <w:t>apakšsektoros</w:t>
      </w:r>
      <w:proofErr w:type="spellEnd"/>
      <w:r w:rsidRPr="00A579BF">
        <w:rPr>
          <w:lang w:val="lv-LV"/>
        </w:rPr>
        <w:t xml:space="preserve"> definēts </w:t>
      </w:r>
      <w:r w:rsidRPr="00A579BF">
        <w:rPr>
          <w:lang w:val="lv-LV" w:eastAsia="lv-LV"/>
        </w:rPr>
        <w:t>saskaņā ar Eiropas nacionālo un reģionālo kontu sistēmu ES. Nacionālajā budžeta metodoloģijā ar centrālo valdību tiek saprasts valsts pamatbudžets, no valsts budžeta daļēji finansēto atvasināto publisko personu budžeti un budžeta nefinansēto iestāžu budžeti (ieskaitot valsts finansētus komersantus); sociālās nodrošināšanas fondi – valsts sociālās apdrošināšanas speciālais budžets un vietējā valdība – pašvaldību budžeti (ieskaitot pašvaldību finansētus komersantus).</w:t>
      </w:r>
      <w:r w:rsidRPr="00A579BF">
        <w:rPr>
          <w:color w:val="0D3051"/>
        </w:rPr>
        <w:t xml:space="preserve"> </w:t>
      </w:r>
    </w:p>
  </w:footnote>
  <w:footnote w:id="6">
    <w:p w14:paraId="44B12F3D" w14:textId="77777777" w:rsidR="00582AB5" w:rsidRPr="00A579BF" w:rsidRDefault="00582AB5" w:rsidP="006B5F7D">
      <w:pPr>
        <w:pStyle w:val="FootnoteText"/>
        <w:jc w:val="both"/>
        <w:rPr>
          <w:lang w:val="lv-LV"/>
        </w:rPr>
      </w:pPr>
      <w:r w:rsidRPr="00A579BF">
        <w:rPr>
          <w:rStyle w:val="FootnoteReference"/>
          <w:rFonts w:ascii="Times New Roman" w:hAnsi="Times New Roman"/>
        </w:rPr>
        <w:footnoteRef/>
      </w:r>
      <w:r w:rsidRPr="00A579BF">
        <w:t xml:space="preserve"> </w:t>
      </w:r>
      <w:r w:rsidRPr="00A579BF">
        <w:tab/>
        <w:t xml:space="preserve">Datu avots: 2014. gada aprīļa </w:t>
      </w:r>
      <w:r w:rsidRPr="00A579BF">
        <w:rPr>
          <w:lang w:val="lv-LV"/>
        </w:rPr>
        <w:t>vispārējās valdības</w:t>
      </w:r>
      <w:r w:rsidRPr="00A579BF">
        <w:t xml:space="preserve"> budžeta deficīta un parāda notifikācija</w:t>
      </w:r>
      <w:r w:rsidRPr="00A579BF">
        <w:rPr>
          <w:lang w:val="lv-LV"/>
        </w:rPr>
        <w:t>.</w:t>
      </w:r>
    </w:p>
  </w:footnote>
  <w:footnote w:id="7">
    <w:p w14:paraId="351174D2" w14:textId="21C10CE5" w:rsidR="00582AB5" w:rsidRPr="00A579BF" w:rsidRDefault="00582AB5" w:rsidP="00C10C13">
      <w:pPr>
        <w:pStyle w:val="FootnoteText"/>
        <w:ind w:left="142" w:hanging="142"/>
        <w:jc w:val="both"/>
        <w:rPr>
          <w:lang w:val="lv-LV"/>
        </w:rPr>
      </w:pPr>
      <w:r w:rsidRPr="00A579BF">
        <w:rPr>
          <w:rStyle w:val="FootnoteReference"/>
          <w:rFonts w:ascii="Times New Roman" w:hAnsi="Times New Roman"/>
        </w:rPr>
        <w:footnoteRef/>
      </w:r>
      <w:r w:rsidRPr="00A579BF">
        <w:t xml:space="preserve"> </w:t>
      </w:r>
      <w:r w:rsidRPr="00A579BF">
        <w:rPr>
          <w:lang w:val="lv-LV"/>
        </w:rPr>
        <w:t xml:space="preserve">Stabilitātes un izaugsmes pakts nosaka maksimāli iespējamo strukturālo deficītu, lai nodrošinātu, ka nepastāv risks, ka nominālais deficīts varētu pārsniegt Māstrihtas kritēriju 3% robežu, jeb tā saucamā </w:t>
      </w:r>
      <w:r w:rsidRPr="00A579BF">
        <w:t>drošības rezerve attiecībā pret deficīta atsauces vērtību</w:t>
      </w:r>
      <w:r w:rsidRPr="00A579BF">
        <w:rPr>
          <w:lang w:val="lv-LV"/>
        </w:rPr>
        <w:t xml:space="preserve">. Šī drošības rezerve katrai dalībvalstij ir specifiska un Latvijai tā ir 1,8% no IKP. Saskaņā ar </w:t>
      </w:r>
      <w:r w:rsidRPr="00A579BF">
        <w:t>Regul</w:t>
      </w:r>
      <w:r w:rsidRPr="00A579BF">
        <w:rPr>
          <w:lang w:val="lv-LV"/>
        </w:rPr>
        <w:t>u</w:t>
      </w:r>
      <w:r w:rsidRPr="00A579BF">
        <w:t xml:space="preserve"> </w:t>
      </w:r>
      <w:r w:rsidRPr="00A579BF">
        <w:rPr>
          <w:lang w:val="lv-LV"/>
        </w:rPr>
        <w:t>N</w:t>
      </w:r>
      <w:r w:rsidRPr="00A579BF">
        <w:t>r. 1175/2011</w:t>
      </w:r>
      <w:r w:rsidRPr="00A579BF">
        <w:rPr>
          <w:lang w:val="lv-LV"/>
        </w:rPr>
        <w:t>, jebkura atkāpe nedrīkst būt tik liela, lai pārsniegtu šo drošības rezervi, tātad Latvijai jebkura kumulatīvā atkāpe no VTM nedrīkst pieļaut strukturālo deficītu, kas būtu lielāks par 1,8% no IKP.</w:t>
      </w:r>
    </w:p>
  </w:footnote>
  <w:footnote w:id="8">
    <w:p w14:paraId="0C93352C" w14:textId="6273FEE0" w:rsidR="00582AB5" w:rsidRPr="00A579BF" w:rsidRDefault="00582AB5">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 xml:space="preserve">Nodokļu slogs </w:t>
      </w:r>
      <w:r w:rsidRPr="00A579BF">
        <w:rPr>
          <w:rFonts w:eastAsia="Calibri"/>
        </w:rPr>
        <w:t>(D.2+D.5+D.61+D.91-D.995</w:t>
      </w:r>
      <w:r w:rsidRPr="00A579BF">
        <w:rPr>
          <w:rFonts w:eastAsia="Calibri"/>
          <w:lang w:val="lv-LV"/>
        </w:rPr>
        <w:t xml:space="preserve">, </w:t>
      </w:r>
      <w:r w:rsidRPr="00A579BF">
        <w:rPr>
          <w:lang w:val="lv-LV"/>
        </w:rPr>
        <w:t xml:space="preserve">ieskaitot ES budžetā iekasēto nodokļu daļu). </w:t>
      </w:r>
      <w:r w:rsidRPr="00A579BF">
        <w:rPr>
          <w:rFonts w:eastAsia="Calibri"/>
        </w:rPr>
        <w:t xml:space="preserve">Datu avots – </w:t>
      </w:r>
      <w:proofErr w:type="spellStart"/>
      <w:r w:rsidRPr="00A579BF">
        <w:rPr>
          <w:rFonts w:eastAsia="Calibri"/>
        </w:rPr>
        <w:t>Eurostat</w:t>
      </w:r>
      <w:proofErr w:type="spellEnd"/>
      <w:r w:rsidRPr="00A579BF">
        <w:rPr>
          <w:rFonts w:eastAsia="Calibri"/>
        </w:rPr>
        <w:t xml:space="preserve"> līdz 2012.gadam un Latvijas Stabilitātes programma 2014.-2017.gadam</w:t>
      </w:r>
    </w:p>
  </w:footnote>
  <w:footnote w:id="9">
    <w:p w14:paraId="7BB48BC4" w14:textId="77777777" w:rsidR="00582AB5" w:rsidRPr="00A579BF" w:rsidRDefault="00582AB5" w:rsidP="00585C80">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 xml:space="preserve">    1) </w:t>
      </w:r>
      <w:r w:rsidRPr="00A579BF">
        <w:rPr>
          <w:noProof/>
          <w:lang w:val="lv-LV"/>
        </w:rPr>
        <w:t>Vienreizēji un citi īslaicīgi</w:t>
      </w:r>
      <w:r w:rsidRPr="00A579BF">
        <w:t xml:space="preserve"> pasākumi</w:t>
      </w:r>
      <w:r w:rsidRPr="00A579BF">
        <w:rPr>
          <w:lang w:val="lv-LV"/>
        </w:rPr>
        <w:t xml:space="preserve"> (</w:t>
      </w:r>
      <w:proofErr w:type="spellStart"/>
      <w:r w:rsidRPr="00A579BF">
        <w:rPr>
          <w:i/>
          <w:noProof/>
          <w:lang w:val="lv-LV"/>
        </w:rPr>
        <w:t>one-off</w:t>
      </w:r>
      <w:proofErr w:type="spellEnd"/>
      <w:r w:rsidRPr="00A579BF">
        <w:rPr>
          <w:lang w:val="lv-LV"/>
        </w:rPr>
        <w:t>)</w:t>
      </w:r>
      <w:r w:rsidRPr="00A579BF">
        <w:t>: valdības ieguldījumi AS Parex bank</w:t>
      </w:r>
      <w:r w:rsidRPr="00A579BF">
        <w:rPr>
          <w:lang w:val="lv-LV"/>
        </w:rPr>
        <w:t>ā</w:t>
      </w:r>
      <w:r w:rsidRPr="00A579BF">
        <w:t xml:space="preserve"> (2009. gadā</w:t>
      </w:r>
      <w:r w:rsidRPr="00A579BF">
        <w:rPr>
          <w:lang w:val="lv-LV"/>
        </w:rPr>
        <w:t xml:space="preserve"> 0,9% no IKP, 2010.gadā 1,7% no IKP, 2011.gadā 0,2% no IKP) un 2012.gadā </w:t>
      </w:r>
      <w:r w:rsidRPr="00A579BF">
        <w:t xml:space="preserve">finanšu korekcija par aktīvu pārvērtēšanu saistībā ar AS </w:t>
      </w:r>
      <w:proofErr w:type="spellStart"/>
      <w:r w:rsidRPr="00A579BF">
        <w:t>Reverta</w:t>
      </w:r>
      <w:proofErr w:type="spellEnd"/>
      <w:r w:rsidRPr="00A579BF">
        <w:t xml:space="preserve"> iekļaušanu vispārējās valdības sektorā </w:t>
      </w:r>
      <w:r w:rsidRPr="00A579BF">
        <w:rPr>
          <w:lang w:val="lv-LV"/>
        </w:rPr>
        <w:t>0,5% no IKP.</w:t>
      </w:r>
    </w:p>
    <w:p w14:paraId="346D76BF" w14:textId="19D22DFB" w:rsidR="00582AB5" w:rsidRPr="00A579BF" w:rsidRDefault="00582AB5" w:rsidP="0037075E">
      <w:pPr>
        <w:pStyle w:val="FootnoteText"/>
        <w:ind w:hanging="56"/>
        <w:jc w:val="both"/>
        <w:rPr>
          <w:noProof/>
          <w:lang w:val="en-GB"/>
        </w:rPr>
      </w:pPr>
      <w:r w:rsidRPr="00A579BF">
        <w:rPr>
          <w:lang w:val="lv-LV"/>
        </w:rPr>
        <w:t xml:space="preserve">2) </w:t>
      </w:r>
      <w:r w:rsidRPr="00A579BF">
        <w:t>Budžeta bilances cikliskās komponentes aprēķinā izmantota budžeta pus-elast</w:t>
      </w:r>
      <w:r w:rsidRPr="00A579BF">
        <w:rPr>
          <w:lang w:val="lv-LV"/>
        </w:rPr>
        <w:t>ība</w:t>
      </w:r>
      <w:r w:rsidRPr="00A579BF">
        <w:t xml:space="preserve"> 0,31 (Datu avots: </w:t>
      </w:r>
      <w:r w:rsidRPr="00A579BF">
        <w:rPr>
          <w:noProof/>
          <w:lang w:val="en-GB"/>
        </w:rPr>
        <w:t>The cyclically-adjusted budget balance used in the EU fiscal framework: an update, Economic Papers 478, March 2013).</w:t>
      </w:r>
    </w:p>
  </w:footnote>
  <w:footnote w:id="10">
    <w:p w14:paraId="779B0D0B" w14:textId="77777777" w:rsidR="00582AB5" w:rsidRPr="00A579BF" w:rsidRDefault="00582AB5" w:rsidP="00D4599E">
      <w:pPr>
        <w:pStyle w:val="FootnoteText"/>
        <w:rPr>
          <w:lang w:val="lv-LV"/>
        </w:rPr>
      </w:pPr>
      <w:r w:rsidRPr="00A579BF">
        <w:rPr>
          <w:rStyle w:val="FootnoteReference"/>
          <w:rFonts w:ascii="Times New Roman" w:hAnsi="Times New Roman"/>
        </w:rPr>
        <w:footnoteRef/>
      </w:r>
      <w:r w:rsidRPr="00A579BF">
        <w:t xml:space="preserve"> Inform</w:t>
      </w:r>
      <w:r w:rsidRPr="00A579BF">
        <w:rPr>
          <w:lang w:val="lv-LV"/>
        </w:rPr>
        <w:t xml:space="preserve">ācija no </w:t>
      </w:r>
      <w:proofErr w:type="spellStart"/>
      <w:r w:rsidRPr="00A579BF">
        <w:rPr>
          <w:lang w:val="lv-LV"/>
        </w:rPr>
        <w:t>Eurostat</w:t>
      </w:r>
      <w:proofErr w:type="spellEnd"/>
      <w:r w:rsidRPr="00A579BF">
        <w:rPr>
          <w:lang w:val="lv-LV"/>
        </w:rPr>
        <w:t xml:space="preserve"> datubāzes </w:t>
      </w:r>
    </w:p>
  </w:footnote>
  <w:footnote w:id="11">
    <w:p w14:paraId="1CF7D13D" w14:textId="5683A99A" w:rsidR="00582AB5" w:rsidRPr="00A579BF" w:rsidRDefault="00582AB5">
      <w:pPr>
        <w:pStyle w:val="FootnoteText"/>
        <w:rPr>
          <w:lang w:val="lv-LV"/>
        </w:rPr>
      </w:pPr>
      <w:r w:rsidRPr="00A579BF">
        <w:rPr>
          <w:rStyle w:val="FootnoteReference"/>
          <w:rFonts w:ascii="Times New Roman" w:hAnsi="Times New Roman"/>
        </w:rPr>
        <w:footnoteRef/>
      </w:r>
      <w:r w:rsidRPr="00A579BF">
        <w:t xml:space="preserve"> Šajā sadaļā atspoguļotie nodokļi un to izmaiņas salīdzināti ar likumā “Par vidēja termiņa budžeta ietvaru 2014., 2015. un 2016.gadam” ietvertajām prognozēm</w:t>
      </w:r>
    </w:p>
  </w:footnote>
  <w:footnote w:id="12">
    <w:p w14:paraId="12506785" w14:textId="77777777" w:rsidR="00582AB5" w:rsidRPr="00A579BF" w:rsidRDefault="00582AB5" w:rsidP="00D4599E">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 xml:space="preserve">ar 2009.gada 1.janvāri </w:t>
      </w:r>
      <w:r w:rsidRPr="00A579BF">
        <w:t>no 18 % uz 21 %</w:t>
      </w:r>
      <w:r w:rsidRPr="00A579BF">
        <w:rPr>
          <w:lang w:val="lv-LV"/>
        </w:rPr>
        <w:t>;</w:t>
      </w:r>
    </w:p>
    <w:p w14:paraId="31A00AFF" w14:textId="16F4C0C1" w:rsidR="00582AB5" w:rsidRPr="00A579BF" w:rsidRDefault="00582AB5" w:rsidP="00D4599E">
      <w:pPr>
        <w:pStyle w:val="FootnoteText"/>
        <w:rPr>
          <w:lang w:val="lv-LV"/>
        </w:rPr>
      </w:pPr>
      <w:r w:rsidRPr="00A579BF">
        <w:rPr>
          <w:lang w:val="lv-LV"/>
        </w:rPr>
        <w:t xml:space="preserve">  </w:t>
      </w:r>
      <w:r w:rsidR="0011050B">
        <w:rPr>
          <w:lang w:val="lv-LV"/>
        </w:rPr>
        <w:t xml:space="preserve"> </w:t>
      </w:r>
      <w:r w:rsidRPr="00A579BF">
        <w:rPr>
          <w:lang w:val="lv-LV"/>
        </w:rPr>
        <w:t>ar 2011.gada 1.janvāri no 21 % uz 22 %</w:t>
      </w:r>
    </w:p>
  </w:footnote>
  <w:footnote w:id="13">
    <w:p w14:paraId="63D29C85" w14:textId="77777777" w:rsidR="00582AB5" w:rsidRPr="00A579BF" w:rsidRDefault="00582AB5" w:rsidP="00D4599E">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šeit un turpmākajās nodokļu politikas izmaiņu ietekmes tabulās atspoguļota ieviešanas gada ietekme</w:t>
      </w:r>
    </w:p>
  </w:footnote>
  <w:footnote w:id="14">
    <w:p w14:paraId="311FF02C" w14:textId="77777777" w:rsidR="00582AB5" w:rsidRPr="00A579BF" w:rsidRDefault="00582AB5" w:rsidP="00454C7B">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Salīdzinot ar likumu “Par vidēja termiņa budžeta ietvaru 2014., 2015. un 2016.gadam”, kas paredzēja, ka IIN likme 2014.gadā būs 22% un 2015. un 2016.gadā 20%</w:t>
      </w:r>
    </w:p>
  </w:footnote>
  <w:footnote w:id="15">
    <w:p w14:paraId="21CB89E3" w14:textId="77777777" w:rsidR="00582AB5" w:rsidRPr="00A579BF" w:rsidRDefault="00582AB5" w:rsidP="00D4599E">
      <w:pPr>
        <w:pStyle w:val="FootnoteText"/>
      </w:pPr>
      <w:r w:rsidRPr="00A579BF">
        <w:rPr>
          <w:rStyle w:val="FootnoteReference"/>
          <w:rFonts w:ascii="Times New Roman" w:hAnsi="Times New Roman"/>
        </w:rPr>
        <w:footnoteRef/>
      </w:r>
      <w:r w:rsidRPr="00A579BF">
        <w:t xml:space="preserve"> Neskaitot iemaksas valsts </w:t>
      </w:r>
      <w:proofErr w:type="spellStart"/>
      <w:r w:rsidRPr="00A579BF">
        <w:t>fondēto</w:t>
      </w:r>
      <w:proofErr w:type="spellEnd"/>
      <w:r w:rsidRPr="00A579BF">
        <w:t xml:space="preserve"> pensiju shēmā.</w:t>
      </w:r>
    </w:p>
  </w:footnote>
  <w:footnote w:id="16">
    <w:p w14:paraId="18758EB4" w14:textId="0F74345F" w:rsidR="00582AB5" w:rsidRPr="00A579BF" w:rsidRDefault="00582AB5" w:rsidP="00D4599E">
      <w:pPr>
        <w:spacing w:after="0"/>
        <w:ind w:firstLine="0"/>
        <w:rPr>
          <w:sz w:val="20"/>
        </w:rPr>
      </w:pPr>
      <w:r w:rsidRPr="00A579BF">
        <w:rPr>
          <w:rStyle w:val="FootnoteReference"/>
          <w:rFonts w:ascii="Times New Roman" w:hAnsi="Times New Roman"/>
        </w:rPr>
        <w:footnoteRef/>
      </w:r>
      <w:r w:rsidRPr="00A579BF">
        <w:rPr>
          <w:sz w:val="20"/>
        </w:rPr>
        <w:t>S</w:t>
      </w:r>
      <w:r w:rsidRPr="00A579BF">
        <w:rPr>
          <w:iCs/>
          <w:sz w:val="20"/>
        </w:rPr>
        <w:t>askaņā ar</w:t>
      </w:r>
      <w:r w:rsidRPr="00A579BF">
        <w:rPr>
          <w:sz w:val="20"/>
        </w:rPr>
        <w:t xml:space="preserve"> EKS metodoloģiju, sociālās apdrošināšanas iemaksas, kas tiek novirzītas valsts </w:t>
      </w:r>
      <w:proofErr w:type="spellStart"/>
      <w:r w:rsidRPr="00A579BF">
        <w:rPr>
          <w:sz w:val="20"/>
        </w:rPr>
        <w:t>fondēto</w:t>
      </w:r>
      <w:proofErr w:type="spellEnd"/>
      <w:r w:rsidRPr="00A579BF">
        <w:rPr>
          <w:sz w:val="20"/>
        </w:rPr>
        <w:t xml:space="preserve"> pensiju shēmā, netiek uzskaitītas kā vispārējās valdības budžeta ieņēmumi.</w:t>
      </w:r>
    </w:p>
  </w:footnote>
  <w:footnote w:id="17">
    <w:p w14:paraId="70F03C92" w14:textId="77777777" w:rsidR="00582AB5" w:rsidRPr="00A579BF" w:rsidRDefault="00582AB5" w:rsidP="00D4599E">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Iekļautas visas pozīcijas, kurām tika paaugstināta likme</w:t>
      </w:r>
    </w:p>
  </w:footnote>
  <w:footnote w:id="18">
    <w:p w14:paraId="2851237A" w14:textId="540FB2C0" w:rsidR="00582AB5" w:rsidRPr="00A579BF" w:rsidRDefault="00582AB5" w:rsidP="00F102F6">
      <w:pPr>
        <w:pStyle w:val="FootnoteText"/>
        <w:rPr>
          <w:lang w:val="lv-LV"/>
        </w:rPr>
      </w:pPr>
      <w:r w:rsidRPr="00A579BF">
        <w:rPr>
          <w:rStyle w:val="FootnoteReference"/>
          <w:rFonts w:ascii="Times New Roman" w:hAnsi="Times New Roman"/>
        </w:rPr>
        <w:footnoteRef/>
      </w:r>
      <w:r w:rsidRPr="00A579BF">
        <w:t xml:space="preserve"> </w:t>
      </w:r>
      <w:r w:rsidRPr="00A579BF">
        <w:rPr>
          <w:lang w:val="lv-LV"/>
        </w:rPr>
        <w:t>Ieskaitot ES budžetā iekasēto nodokļu daļu.</w:t>
      </w:r>
    </w:p>
  </w:footnote>
  <w:footnote w:id="19">
    <w:p w14:paraId="76F95E85" w14:textId="54CA7D28" w:rsidR="00327E5B" w:rsidRPr="00327E5B" w:rsidRDefault="00327E5B" w:rsidP="00327E5B">
      <w:pPr>
        <w:spacing w:after="0"/>
        <w:ind w:firstLine="0"/>
        <w:rPr>
          <w:sz w:val="20"/>
        </w:rPr>
      </w:pPr>
      <w:r>
        <w:rPr>
          <w:rStyle w:val="FootnoteReference"/>
        </w:rPr>
        <w:footnoteRef/>
      </w:r>
      <w:r>
        <w:t xml:space="preserve"> </w:t>
      </w:r>
      <w:r>
        <w:rPr>
          <w:sz w:val="20"/>
        </w:rPr>
        <w:t xml:space="preserve">Datu avots: </w:t>
      </w:r>
      <w:r w:rsidRPr="00BF3425">
        <w:rPr>
          <w:sz w:val="20"/>
        </w:rPr>
        <w:t>AWG</w:t>
      </w:r>
    </w:p>
  </w:footnote>
  <w:footnote w:id="20">
    <w:p w14:paraId="2D30B1FC" w14:textId="77777777" w:rsidR="00582AB5" w:rsidRPr="00A579BF" w:rsidRDefault="00582AB5" w:rsidP="00F102F6">
      <w:pPr>
        <w:pStyle w:val="FootnoteText"/>
      </w:pPr>
      <w:r w:rsidRPr="00A579BF">
        <w:rPr>
          <w:rStyle w:val="FootnoteReference"/>
          <w:rFonts w:ascii="Times New Roman" w:hAnsi="Times New Roman"/>
        </w:rPr>
        <w:footnoteRef/>
      </w:r>
      <w:r w:rsidRPr="00A579BF">
        <w:t xml:space="preserve"> Ieskaitot iemaksas valsts </w:t>
      </w:r>
      <w:proofErr w:type="spellStart"/>
      <w:r w:rsidRPr="00A579BF">
        <w:t>fondēto</w:t>
      </w:r>
      <w:proofErr w:type="spellEnd"/>
      <w:r w:rsidRPr="00A579BF">
        <w:t xml:space="preserve"> pensiju shēmā.</w:t>
      </w:r>
    </w:p>
  </w:footnote>
  <w:footnote w:id="21">
    <w:p w14:paraId="61FCF35C" w14:textId="20FA04FD" w:rsidR="00327E5B" w:rsidRPr="00327E5B" w:rsidRDefault="00327E5B">
      <w:pPr>
        <w:pStyle w:val="FootnoteText"/>
        <w:rPr>
          <w:lang w:val="lv-LV"/>
        </w:rPr>
      </w:pPr>
      <w:r>
        <w:rPr>
          <w:rStyle w:val="FootnoteReference"/>
        </w:rPr>
        <w:footnoteRef/>
      </w:r>
      <w:r>
        <w:t xml:space="preserve"> </w:t>
      </w:r>
      <w:r>
        <w:rPr>
          <w:rFonts w:eastAsia="Calibri"/>
          <w:lang w:eastAsia="lv-LV"/>
        </w:rPr>
        <w:t>centrālās valdības un pašvaldību garantijas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334B" w14:textId="77777777" w:rsidR="00582AB5" w:rsidRDefault="00582A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551B0F8" w14:textId="77777777" w:rsidR="00582AB5" w:rsidRDefault="0058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25049"/>
      <w:docPartObj>
        <w:docPartGallery w:val="Page Numbers (Top of Page)"/>
        <w:docPartUnique/>
      </w:docPartObj>
    </w:sdtPr>
    <w:sdtEndPr>
      <w:rPr>
        <w:noProof/>
      </w:rPr>
    </w:sdtEndPr>
    <w:sdtContent>
      <w:p w14:paraId="509E8486" w14:textId="24C1A92F" w:rsidR="00582AB5" w:rsidRDefault="00582AB5" w:rsidP="002926A6">
        <w:pPr>
          <w:pStyle w:val="Header"/>
          <w:jc w:val="right"/>
        </w:pPr>
        <w:r>
          <w:fldChar w:fldCharType="begin"/>
        </w:r>
        <w:r>
          <w:instrText xml:space="preserve"> PAGE   \* MERGEFORMAT </w:instrText>
        </w:r>
        <w:r>
          <w:fldChar w:fldCharType="separate"/>
        </w:r>
        <w:r w:rsidR="0064793B">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BDAF" w14:textId="0A22EDB7" w:rsidR="00582AB5" w:rsidRPr="0000191C" w:rsidRDefault="00582AB5" w:rsidP="000F6956">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5C2"/>
    <w:multiLevelType w:val="hybridMultilevel"/>
    <w:tmpl w:val="DF487D6E"/>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1">
    <w:nsid w:val="071675E1"/>
    <w:multiLevelType w:val="hybridMultilevel"/>
    <w:tmpl w:val="17F4376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0E62742B"/>
    <w:multiLevelType w:val="hybridMultilevel"/>
    <w:tmpl w:val="C32E419E"/>
    <w:lvl w:ilvl="0" w:tplc="E2FA3DD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D2518"/>
    <w:multiLevelType w:val="hybridMultilevel"/>
    <w:tmpl w:val="69D46C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B5EC2"/>
    <w:multiLevelType w:val="hybridMultilevel"/>
    <w:tmpl w:val="1DC431BC"/>
    <w:lvl w:ilvl="0" w:tplc="28CC62F2">
      <w:start w:val="3"/>
      <w:numFmt w:val="bullet"/>
      <w:lvlText w:val="-"/>
      <w:lvlJc w:val="left"/>
      <w:pPr>
        <w:ind w:left="1440" w:hanging="360"/>
      </w:pPr>
      <w:rPr>
        <w:rFonts w:ascii="Times New Roman" w:eastAsiaTheme="minorHAnsi"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ACD5137"/>
    <w:multiLevelType w:val="hybridMultilevel"/>
    <w:tmpl w:val="E9282F2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B094D2C"/>
    <w:multiLevelType w:val="hybridMultilevel"/>
    <w:tmpl w:val="C5049FF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BE13504"/>
    <w:multiLevelType w:val="hybridMultilevel"/>
    <w:tmpl w:val="55B69F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206C0590"/>
    <w:multiLevelType w:val="hybridMultilevel"/>
    <w:tmpl w:val="ECB8D1E4"/>
    <w:lvl w:ilvl="0" w:tplc="1E7C0136">
      <w:start w:val="5"/>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9474156"/>
    <w:multiLevelType w:val="hybridMultilevel"/>
    <w:tmpl w:val="584E2314"/>
    <w:lvl w:ilvl="0" w:tplc="04260003">
      <w:start w:val="1"/>
      <w:numFmt w:val="bullet"/>
      <w:lvlText w:val="o"/>
      <w:lvlJc w:val="left"/>
      <w:pPr>
        <w:ind w:left="1996" w:hanging="360"/>
      </w:pPr>
      <w:rPr>
        <w:rFonts w:ascii="Courier New" w:hAnsi="Courier New" w:cs="Courier New" w:hint="default"/>
      </w:rPr>
    </w:lvl>
    <w:lvl w:ilvl="1" w:tplc="04260005">
      <w:start w:val="1"/>
      <w:numFmt w:val="bullet"/>
      <w:lvlText w:val=""/>
      <w:lvlJc w:val="left"/>
      <w:pPr>
        <w:ind w:left="2716" w:hanging="360"/>
      </w:pPr>
      <w:rPr>
        <w:rFonts w:ascii="Wingdings" w:hAnsi="Wingdings" w:hint="default"/>
      </w:rPr>
    </w:lvl>
    <w:lvl w:ilvl="2" w:tplc="04260005">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1">
    <w:nsid w:val="2B353FE5"/>
    <w:multiLevelType w:val="hybridMultilevel"/>
    <w:tmpl w:val="E6303AD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2CF916BF"/>
    <w:multiLevelType w:val="hybridMultilevel"/>
    <w:tmpl w:val="A9B2B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48A5FA1"/>
    <w:multiLevelType w:val="hybridMultilevel"/>
    <w:tmpl w:val="EBE8E8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5964F1"/>
    <w:multiLevelType w:val="hybridMultilevel"/>
    <w:tmpl w:val="5FF233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7CA7A20"/>
    <w:multiLevelType w:val="hybridMultilevel"/>
    <w:tmpl w:val="BE6E204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38D0339F"/>
    <w:multiLevelType w:val="hybridMultilevel"/>
    <w:tmpl w:val="9EE8A9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9424E38"/>
    <w:multiLevelType w:val="hybridMultilevel"/>
    <w:tmpl w:val="E544EE0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398C6302"/>
    <w:multiLevelType w:val="hybridMultilevel"/>
    <w:tmpl w:val="449C73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3A7850BE"/>
    <w:multiLevelType w:val="hybridMultilevel"/>
    <w:tmpl w:val="8BC80D9C"/>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226867"/>
    <w:multiLevelType w:val="multilevel"/>
    <w:tmpl w:val="C8086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01F297F"/>
    <w:multiLevelType w:val="hybridMultilevel"/>
    <w:tmpl w:val="C42201C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42917DAA"/>
    <w:multiLevelType w:val="hybridMultilevel"/>
    <w:tmpl w:val="4AA068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465908B0"/>
    <w:multiLevelType w:val="hybridMultilevel"/>
    <w:tmpl w:val="E0942F3C"/>
    <w:lvl w:ilvl="0" w:tplc="0A88643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9737A83"/>
    <w:multiLevelType w:val="hybridMultilevel"/>
    <w:tmpl w:val="914EF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9A74835"/>
    <w:multiLevelType w:val="hybridMultilevel"/>
    <w:tmpl w:val="DE12E5E8"/>
    <w:lvl w:ilvl="0" w:tplc="28CC62F2">
      <w:start w:val="3"/>
      <w:numFmt w:val="bullet"/>
      <w:lvlText w:val="-"/>
      <w:lvlJc w:val="left"/>
      <w:pPr>
        <w:ind w:left="1440" w:hanging="360"/>
      </w:pPr>
      <w:rPr>
        <w:rFonts w:ascii="Times New Roman" w:eastAsiaTheme="minorHAnsi"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B486024"/>
    <w:multiLevelType w:val="hybridMultilevel"/>
    <w:tmpl w:val="17BCF3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4D5C0195"/>
    <w:multiLevelType w:val="hybridMultilevel"/>
    <w:tmpl w:val="E29874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51520714"/>
    <w:multiLevelType w:val="hybridMultilevel"/>
    <w:tmpl w:val="8B34B55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0">
    <w:nsid w:val="579D5D38"/>
    <w:multiLevelType w:val="hybridMultilevel"/>
    <w:tmpl w:val="CB5AD24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nsid w:val="57A519EF"/>
    <w:multiLevelType w:val="hybridMultilevel"/>
    <w:tmpl w:val="B026561E"/>
    <w:lvl w:ilvl="0" w:tplc="7B12064A">
      <w:start w:val="201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nsid w:val="5F4D6973"/>
    <w:multiLevelType w:val="hybridMultilevel"/>
    <w:tmpl w:val="41BACF8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nsid w:val="602A7808"/>
    <w:multiLevelType w:val="hybridMultilevel"/>
    <w:tmpl w:val="4B36DD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C76F07"/>
    <w:multiLevelType w:val="hybridMultilevel"/>
    <w:tmpl w:val="75D6F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16706F0"/>
    <w:multiLevelType w:val="hybridMultilevel"/>
    <w:tmpl w:val="CE72658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63AD2281"/>
    <w:multiLevelType w:val="hybridMultilevel"/>
    <w:tmpl w:val="DDCEAA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81708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DF4DC5"/>
    <w:multiLevelType w:val="hybridMultilevel"/>
    <w:tmpl w:val="6CD22B86"/>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6AEF141C"/>
    <w:multiLevelType w:val="hybridMultilevel"/>
    <w:tmpl w:val="6C50982C"/>
    <w:lvl w:ilvl="0" w:tplc="AAEA8012">
      <w:start w:val="1"/>
      <w:numFmt w:val="bullet"/>
      <w:lvlText w:val="-"/>
      <w:lvlJc w:val="left"/>
      <w:pPr>
        <w:ind w:left="1437" w:hanging="360"/>
      </w:pPr>
      <w:rPr>
        <w:rFonts w:ascii="Calibri" w:eastAsia="Calibri" w:hAnsi="Calibri" w:cs="Calibri"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40">
    <w:nsid w:val="6CBF1BAB"/>
    <w:multiLevelType w:val="hybridMultilevel"/>
    <w:tmpl w:val="601C97F6"/>
    <w:lvl w:ilvl="0" w:tplc="6310C99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27E2080"/>
    <w:multiLevelType w:val="hybridMultilevel"/>
    <w:tmpl w:val="031A4C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7B815D79"/>
    <w:multiLevelType w:val="hybridMultilevel"/>
    <w:tmpl w:val="555CFF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CF63CEB"/>
    <w:multiLevelType w:val="hybridMultilevel"/>
    <w:tmpl w:val="64F4442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7D4B7CFA"/>
    <w:multiLevelType w:val="hybridMultilevel"/>
    <w:tmpl w:val="CDCEF3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7F2C2186"/>
    <w:multiLevelType w:val="hybridMultilevel"/>
    <w:tmpl w:val="A802CC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4"/>
  </w:num>
  <w:num w:numId="3">
    <w:abstractNumId w:val="36"/>
  </w:num>
  <w:num w:numId="4">
    <w:abstractNumId w:val="22"/>
  </w:num>
  <w:num w:numId="5">
    <w:abstractNumId w:val="2"/>
  </w:num>
  <w:num w:numId="6">
    <w:abstractNumId w:val="29"/>
  </w:num>
  <w:num w:numId="7">
    <w:abstractNumId w:val="14"/>
  </w:num>
  <w:num w:numId="8">
    <w:abstractNumId w:val="17"/>
  </w:num>
  <w:num w:numId="9">
    <w:abstractNumId w:val="15"/>
  </w:num>
  <w:num w:numId="10">
    <w:abstractNumId w:val="12"/>
  </w:num>
  <w:num w:numId="11">
    <w:abstractNumId w:val="35"/>
  </w:num>
  <w:num w:numId="12">
    <w:abstractNumId w:val="0"/>
  </w:num>
  <w:num w:numId="13">
    <w:abstractNumId w:val="16"/>
  </w:num>
  <w:num w:numId="14">
    <w:abstractNumId w:val="37"/>
  </w:num>
  <w:num w:numId="15">
    <w:abstractNumId w:val="39"/>
  </w:num>
  <w:num w:numId="16">
    <w:abstractNumId w:val="24"/>
  </w:num>
  <w:num w:numId="17">
    <w:abstractNumId w:val="31"/>
  </w:num>
  <w:num w:numId="18">
    <w:abstractNumId w:val="38"/>
  </w:num>
  <w:num w:numId="19">
    <w:abstractNumId w:val="1"/>
  </w:num>
  <w:num w:numId="20">
    <w:abstractNumId w:val="3"/>
  </w:num>
  <w:num w:numId="21">
    <w:abstractNumId w:val="28"/>
  </w:num>
  <w:num w:numId="22">
    <w:abstractNumId w:val="11"/>
  </w:num>
  <w:num w:numId="23">
    <w:abstractNumId w:val="45"/>
  </w:num>
  <w:num w:numId="24">
    <w:abstractNumId w:val="42"/>
  </w:num>
  <w:num w:numId="25">
    <w:abstractNumId w:val="33"/>
  </w:num>
  <w:num w:numId="26">
    <w:abstractNumId w:val="19"/>
  </w:num>
  <w:num w:numId="27">
    <w:abstractNumId w:val="7"/>
  </w:num>
  <w:num w:numId="28">
    <w:abstractNumId w:val="13"/>
  </w:num>
  <w:num w:numId="29">
    <w:abstractNumId w:val="32"/>
  </w:num>
  <w:num w:numId="30">
    <w:abstractNumId w:val="6"/>
  </w:num>
  <w:num w:numId="31">
    <w:abstractNumId w:val="21"/>
  </w:num>
  <w:num w:numId="32">
    <w:abstractNumId w:val="5"/>
  </w:num>
  <w:num w:numId="33">
    <w:abstractNumId w:val="26"/>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0"/>
  </w:num>
  <w:num w:numId="38">
    <w:abstractNumId w:val="10"/>
  </w:num>
  <w:num w:numId="39">
    <w:abstractNumId w:val="41"/>
  </w:num>
  <w:num w:numId="40">
    <w:abstractNumId w:val="25"/>
  </w:num>
  <w:num w:numId="41">
    <w:abstractNumId w:val="8"/>
  </w:num>
  <w:num w:numId="42">
    <w:abstractNumId w:val="34"/>
  </w:num>
  <w:num w:numId="43">
    <w:abstractNumId w:val="18"/>
  </w:num>
  <w:num w:numId="44">
    <w:abstractNumId w:val="23"/>
  </w:num>
  <w:num w:numId="45">
    <w:abstractNumId w:val="44"/>
  </w:num>
  <w:num w:numId="4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oNotTrackMoves/>
  <w:defaultTabStop w:val="720"/>
  <w:characterSpacingControl w:val="doNotCompress"/>
  <w:hdrShapeDefaults>
    <o:shapedefaults v:ext="edit" spidmax="36865"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6956"/>
    <w:rsid w:val="00000D13"/>
    <w:rsid w:val="0000191C"/>
    <w:rsid w:val="00002315"/>
    <w:rsid w:val="0000329C"/>
    <w:rsid w:val="00003474"/>
    <w:rsid w:val="00004A73"/>
    <w:rsid w:val="00004D93"/>
    <w:rsid w:val="000052FA"/>
    <w:rsid w:val="000061A5"/>
    <w:rsid w:val="00006A6D"/>
    <w:rsid w:val="00006DD2"/>
    <w:rsid w:val="00011568"/>
    <w:rsid w:val="00012824"/>
    <w:rsid w:val="00012DE8"/>
    <w:rsid w:val="00014041"/>
    <w:rsid w:val="0001749E"/>
    <w:rsid w:val="00021FE1"/>
    <w:rsid w:val="000233FD"/>
    <w:rsid w:val="00023C3E"/>
    <w:rsid w:val="00024F65"/>
    <w:rsid w:val="0002544F"/>
    <w:rsid w:val="00025D7F"/>
    <w:rsid w:val="00027681"/>
    <w:rsid w:val="0003226C"/>
    <w:rsid w:val="00032491"/>
    <w:rsid w:val="00035496"/>
    <w:rsid w:val="000357A3"/>
    <w:rsid w:val="00037D77"/>
    <w:rsid w:val="00040F36"/>
    <w:rsid w:val="00042FC7"/>
    <w:rsid w:val="000437CE"/>
    <w:rsid w:val="00043D23"/>
    <w:rsid w:val="0004418B"/>
    <w:rsid w:val="00044688"/>
    <w:rsid w:val="00045692"/>
    <w:rsid w:val="000461AC"/>
    <w:rsid w:val="000467C2"/>
    <w:rsid w:val="000521E5"/>
    <w:rsid w:val="0005315E"/>
    <w:rsid w:val="000548BF"/>
    <w:rsid w:val="00055140"/>
    <w:rsid w:val="000634FF"/>
    <w:rsid w:val="00063DE4"/>
    <w:rsid w:val="000673A8"/>
    <w:rsid w:val="00067454"/>
    <w:rsid w:val="0006756D"/>
    <w:rsid w:val="000676ED"/>
    <w:rsid w:val="00067A5D"/>
    <w:rsid w:val="000705E3"/>
    <w:rsid w:val="00075C71"/>
    <w:rsid w:val="00076DE6"/>
    <w:rsid w:val="0007787A"/>
    <w:rsid w:val="00081B36"/>
    <w:rsid w:val="0008285F"/>
    <w:rsid w:val="000833EE"/>
    <w:rsid w:val="00084FF5"/>
    <w:rsid w:val="00085372"/>
    <w:rsid w:val="000855EA"/>
    <w:rsid w:val="00085D9A"/>
    <w:rsid w:val="00085F95"/>
    <w:rsid w:val="00087808"/>
    <w:rsid w:val="00087ECA"/>
    <w:rsid w:val="000901B5"/>
    <w:rsid w:val="00092708"/>
    <w:rsid w:val="00092BBA"/>
    <w:rsid w:val="00096D57"/>
    <w:rsid w:val="00097545"/>
    <w:rsid w:val="00097E66"/>
    <w:rsid w:val="000A0699"/>
    <w:rsid w:val="000A1A54"/>
    <w:rsid w:val="000A5529"/>
    <w:rsid w:val="000A691D"/>
    <w:rsid w:val="000A6FF8"/>
    <w:rsid w:val="000A7E91"/>
    <w:rsid w:val="000B328C"/>
    <w:rsid w:val="000B7045"/>
    <w:rsid w:val="000C03FB"/>
    <w:rsid w:val="000C2A69"/>
    <w:rsid w:val="000C515F"/>
    <w:rsid w:val="000C51ED"/>
    <w:rsid w:val="000D2D1F"/>
    <w:rsid w:val="000D4427"/>
    <w:rsid w:val="000D6A66"/>
    <w:rsid w:val="000D6DBE"/>
    <w:rsid w:val="000D730A"/>
    <w:rsid w:val="000E07CF"/>
    <w:rsid w:val="000E13CE"/>
    <w:rsid w:val="000E281E"/>
    <w:rsid w:val="000E31A2"/>
    <w:rsid w:val="000E42F5"/>
    <w:rsid w:val="000E49D3"/>
    <w:rsid w:val="000E5433"/>
    <w:rsid w:val="000E754C"/>
    <w:rsid w:val="000F02ED"/>
    <w:rsid w:val="000F04E2"/>
    <w:rsid w:val="000F1311"/>
    <w:rsid w:val="000F1429"/>
    <w:rsid w:val="000F240F"/>
    <w:rsid w:val="000F2A7B"/>
    <w:rsid w:val="000F2C16"/>
    <w:rsid w:val="000F5417"/>
    <w:rsid w:val="000F57F7"/>
    <w:rsid w:val="000F5C3B"/>
    <w:rsid w:val="000F6956"/>
    <w:rsid w:val="000F69C9"/>
    <w:rsid w:val="00102F37"/>
    <w:rsid w:val="001034C5"/>
    <w:rsid w:val="0010615E"/>
    <w:rsid w:val="00107299"/>
    <w:rsid w:val="0011050B"/>
    <w:rsid w:val="00111103"/>
    <w:rsid w:val="00111F8F"/>
    <w:rsid w:val="0011298C"/>
    <w:rsid w:val="00112D09"/>
    <w:rsid w:val="00113E0D"/>
    <w:rsid w:val="00117618"/>
    <w:rsid w:val="00120262"/>
    <w:rsid w:val="0012103D"/>
    <w:rsid w:val="00121CC8"/>
    <w:rsid w:val="00123163"/>
    <w:rsid w:val="00126B21"/>
    <w:rsid w:val="001273EB"/>
    <w:rsid w:val="001314F1"/>
    <w:rsid w:val="0013257F"/>
    <w:rsid w:val="001329C2"/>
    <w:rsid w:val="00133159"/>
    <w:rsid w:val="00133517"/>
    <w:rsid w:val="00133C11"/>
    <w:rsid w:val="00134081"/>
    <w:rsid w:val="0013431E"/>
    <w:rsid w:val="001367D7"/>
    <w:rsid w:val="001372AB"/>
    <w:rsid w:val="00137860"/>
    <w:rsid w:val="001412EF"/>
    <w:rsid w:val="0014252C"/>
    <w:rsid w:val="001429E2"/>
    <w:rsid w:val="001431B2"/>
    <w:rsid w:val="00146EA3"/>
    <w:rsid w:val="001507D4"/>
    <w:rsid w:val="00151D76"/>
    <w:rsid w:val="00151FC8"/>
    <w:rsid w:val="0015337F"/>
    <w:rsid w:val="00154514"/>
    <w:rsid w:val="00154DB0"/>
    <w:rsid w:val="00157E57"/>
    <w:rsid w:val="0016351E"/>
    <w:rsid w:val="00163B37"/>
    <w:rsid w:val="0016508C"/>
    <w:rsid w:val="00166699"/>
    <w:rsid w:val="00166AE2"/>
    <w:rsid w:val="00167825"/>
    <w:rsid w:val="00173466"/>
    <w:rsid w:val="00174F89"/>
    <w:rsid w:val="0017780F"/>
    <w:rsid w:val="00185D29"/>
    <w:rsid w:val="00185EE1"/>
    <w:rsid w:val="00186AF9"/>
    <w:rsid w:val="001878FE"/>
    <w:rsid w:val="00187D66"/>
    <w:rsid w:val="00190C6F"/>
    <w:rsid w:val="00191889"/>
    <w:rsid w:val="0019363C"/>
    <w:rsid w:val="00193AA6"/>
    <w:rsid w:val="00193D91"/>
    <w:rsid w:val="00195423"/>
    <w:rsid w:val="001A11D2"/>
    <w:rsid w:val="001A18CC"/>
    <w:rsid w:val="001A2704"/>
    <w:rsid w:val="001A4C59"/>
    <w:rsid w:val="001A537A"/>
    <w:rsid w:val="001A77E7"/>
    <w:rsid w:val="001B130F"/>
    <w:rsid w:val="001B1A50"/>
    <w:rsid w:val="001B20A9"/>
    <w:rsid w:val="001B3555"/>
    <w:rsid w:val="001B41A6"/>
    <w:rsid w:val="001B47DC"/>
    <w:rsid w:val="001B50EF"/>
    <w:rsid w:val="001B5A43"/>
    <w:rsid w:val="001B6A4A"/>
    <w:rsid w:val="001C28CF"/>
    <w:rsid w:val="001C3C00"/>
    <w:rsid w:val="001C4719"/>
    <w:rsid w:val="001C47DC"/>
    <w:rsid w:val="001C497F"/>
    <w:rsid w:val="001C7411"/>
    <w:rsid w:val="001D1AD7"/>
    <w:rsid w:val="001D2E43"/>
    <w:rsid w:val="001D3936"/>
    <w:rsid w:val="001D4221"/>
    <w:rsid w:val="001D4739"/>
    <w:rsid w:val="001D56AF"/>
    <w:rsid w:val="001D5CC2"/>
    <w:rsid w:val="001D635A"/>
    <w:rsid w:val="001D7D04"/>
    <w:rsid w:val="001E1359"/>
    <w:rsid w:val="001E1E2D"/>
    <w:rsid w:val="001E1F67"/>
    <w:rsid w:val="001E4A65"/>
    <w:rsid w:val="001E5EF4"/>
    <w:rsid w:val="001E62C1"/>
    <w:rsid w:val="001E6929"/>
    <w:rsid w:val="001E6AFE"/>
    <w:rsid w:val="001E6B86"/>
    <w:rsid w:val="001E7F5F"/>
    <w:rsid w:val="001F0444"/>
    <w:rsid w:val="001F04CA"/>
    <w:rsid w:val="001F1CC8"/>
    <w:rsid w:val="001F23F6"/>
    <w:rsid w:val="001F40C1"/>
    <w:rsid w:val="00202216"/>
    <w:rsid w:val="00203D1A"/>
    <w:rsid w:val="002048B4"/>
    <w:rsid w:val="00205F98"/>
    <w:rsid w:val="0020691E"/>
    <w:rsid w:val="002123CA"/>
    <w:rsid w:val="00215062"/>
    <w:rsid w:val="002202E5"/>
    <w:rsid w:val="00224E7E"/>
    <w:rsid w:val="00225205"/>
    <w:rsid w:val="00225345"/>
    <w:rsid w:val="00225EF9"/>
    <w:rsid w:val="00225EFF"/>
    <w:rsid w:val="00227C3B"/>
    <w:rsid w:val="00231542"/>
    <w:rsid w:val="00233A74"/>
    <w:rsid w:val="002340E1"/>
    <w:rsid w:val="0023518A"/>
    <w:rsid w:val="00236099"/>
    <w:rsid w:val="002362D9"/>
    <w:rsid w:val="0023718E"/>
    <w:rsid w:val="00237378"/>
    <w:rsid w:val="002405FE"/>
    <w:rsid w:val="00241A3D"/>
    <w:rsid w:val="002422CE"/>
    <w:rsid w:val="00242409"/>
    <w:rsid w:val="00245AD2"/>
    <w:rsid w:val="00247851"/>
    <w:rsid w:val="00247A00"/>
    <w:rsid w:val="002500C6"/>
    <w:rsid w:val="00251CD7"/>
    <w:rsid w:val="002522F2"/>
    <w:rsid w:val="00252717"/>
    <w:rsid w:val="00252A22"/>
    <w:rsid w:val="00252A61"/>
    <w:rsid w:val="00252D30"/>
    <w:rsid w:val="0025316E"/>
    <w:rsid w:val="00253FAD"/>
    <w:rsid w:val="00255BA9"/>
    <w:rsid w:val="002622DC"/>
    <w:rsid w:val="002651B4"/>
    <w:rsid w:val="00265290"/>
    <w:rsid w:val="00266356"/>
    <w:rsid w:val="00267CD3"/>
    <w:rsid w:val="00272043"/>
    <w:rsid w:val="0027236C"/>
    <w:rsid w:val="002738FA"/>
    <w:rsid w:val="00274146"/>
    <w:rsid w:val="002807F8"/>
    <w:rsid w:val="002829DA"/>
    <w:rsid w:val="00283B8B"/>
    <w:rsid w:val="002926A6"/>
    <w:rsid w:val="0029395A"/>
    <w:rsid w:val="00293D4D"/>
    <w:rsid w:val="0029434D"/>
    <w:rsid w:val="0029439E"/>
    <w:rsid w:val="00294420"/>
    <w:rsid w:val="00296E94"/>
    <w:rsid w:val="00296F8E"/>
    <w:rsid w:val="002A03FF"/>
    <w:rsid w:val="002A1F83"/>
    <w:rsid w:val="002A3F2F"/>
    <w:rsid w:val="002A406D"/>
    <w:rsid w:val="002A4DE0"/>
    <w:rsid w:val="002A63FE"/>
    <w:rsid w:val="002A7C9A"/>
    <w:rsid w:val="002B0FF8"/>
    <w:rsid w:val="002B225F"/>
    <w:rsid w:val="002B244F"/>
    <w:rsid w:val="002B3045"/>
    <w:rsid w:val="002B402C"/>
    <w:rsid w:val="002B43EF"/>
    <w:rsid w:val="002C0396"/>
    <w:rsid w:val="002C0523"/>
    <w:rsid w:val="002C1C16"/>
    <w:rsid w:val="002C2179"/>
    <w:rsid w:val="002C25E4"/>
    <w:rsid w:val="002C4465"/>
    <w:rsid w:val="002C5A20"/>
    <w:rsid w:val="002D0A34"/>
    <w:rsid w:val="002D1987"/>
    <w:rsid w:val="002D3003"/>
    <w:rsid w:val="002D356E"/>
    <w:rsid w:val="002D4C4A"/>
    <w:rsid w:val="002D5EB9"/>
    <w:rsid w:val="002D62B9"/>
    <w:rsid w:val="002D6C72"/>
    <w:rsid w:val="002D6F2B"/>
    <w:rsid w:val="002D72BF"/>
    <w:rsid w:val="002D7837"/>
    <w:rsid w:val="002E102C"/>
    <w:rsid w:val="002E1381"/>
    <w:rsid w:val="002E20C1"/>
    <w:rsid w:val="002E27DC"/>
    <w:rsid w:val="002E357B"/>
    <w:rsid w:val="002E370C"/>
    <w:rsid w:val="002E5CBB"/>
    <w:rsid w:val="002F2067"/>
    <w:rsid w:val="002F29B6"/>
    <w:rsid w:val="002F36E1"/>
    <w:rsid w:val="002F3EC6"/>
    <w:rsid w:val="002F56D0"/>
    <w:rsid w:val="002F656C"/>
    <w:rsid w:val="002F77FD"/>
    <w:rsid w:val="0030350B"/>
    <w:rsid w:val="00303C4C"/>
    <w:rsid w:val="00304205"/>
    <w:rsid w:val="00304735"/>
    <w:rsid w:val="0030767E"/>
    <w:rsid w:val="00310713"/>
    <w:rsid w:val="00311BF6"/>
    <w:rsid w:val="003148B4"/>
    <w:rsid w:val="00314BED"/>
    <w:rsid w:val="003150E1"/>
    <w:rsid w:val="003156ED"/>
    <w:rsid w:val="00316611"/>
    <w:rsid w:val="00316FDE"/>
    <w:rsid w:val="00320B19"/>
    <w:rsid w:val="0032204D"/>
    <w:rsid w:val="003229BD"/>
    <w:rsid w:val="0032415C"/>
    <w:rsid w:val="00325A52"/>
    <w:rsid w:val="00327E5B"/>
    <w:rsid w:val="003322D4"/>
    <w:rsid w:val="003324D5"/>
    <w:rsid w:val="00335209"/>
    <w:rsid w:val="00335AF5"/>
    <w:rsid w:val="00335F62"/>
    <w:rsid w:val="00336495"/>
    <w:rsid w:val="00337AD4"/>
    <w:rsid w:val="0034003C"/>
    <w:rsid w:val="00340C17"/>
    <w:rsid w:val="00340E24"/>
    <w:rsid w:val="00341E48"/>
    <w:rsid w:val="00341ED5"/>
    <w:rsid w:val="00342941"/>
    <w:rsid w:val="00345E0D"/>
    <w:rsid w:val="00347F77"/>
    <w:rsid w:val="00350C95"/>
    <w:rsid w:val="0035118C"/>
    <w:rsid w:val="00353A2C"/>
    <w:rsid w:val="0035548E"/>
    <w:rsid w:val="00357357"/>
    <w:rsid w:val="0035776A"/>
    <w:rsid w:val="00360FF6"/>
    <w:rsid w:val="00366472"/>
    <w:rsid w:val="0037075E"/>
    <w:rsid w:val="003708F5"/>
    <w:rsid w:val="00372D8A"/>
    <w:rsid w:val="00372FDF"/>
    <w:rsid w:val="00376953"/>
    <w:rsid w:val="00377FB2"/>
    <w:rsid w:val="0038002F"/>
    <w:rsid w:val="003805AC"/>
    <w:rsid w:val="00383397"/>
    <w:rsid w:val="00383DBE"/>
    <w:rsid w:val="00384B13"/>
    <w:rsid w:val="00384FF6"/>
    <w:rsid w:val="00387E6A"/>
    <w:rsid w:val="00391811"/>
    <w:rsid w:val="00391B7D"/>
    <w:rsid w:val="003941BE"/>
    <w:rsid w:val="003942F8"/>
    <w:rsid w:val="00394924"/>
    <w:rsid w:val="00395614"/>
    <w:rsid w:val="00395DFF"/>
    <w:rsid w:val="0039733F"/>
    <w:rsid w:val="00397EDD"/>
    <w:rsid w:val="003A1ACE"/>
    <w:rsid w:val="003A1F5B"/>
    <w:rsid w:val="003A2E39"/>
    <w:rsid w:val="003A374E"/>
    <w:rsid w:val="003A443A"/>
    <w:rsid w:val="003A4878"/>
    <w:rsid w:val="003A579F"/>
    <w:rsid w:val="003A5CE4"/>
    <w:rsid w:val="003A5DC4"/>
    <w:rsid w:val="003A6E78"/>
    <w:rsid w:val="003B097A"/>
    <w:rsid w:val="003B0A25"/>
    <w:rsid w:val="003B0CEE"/>
    <w:rsid w:val="003B3EB1"/>
    <w:rsid w:val="003B4B8C"/>
    <w:rsid w:val="003B5657"/>
    <w:rsid w:val="003B5C07"/>
    <w:rsid w:val="003B7650"/>
    <w:rsid w:val="003C07E4"/>
    <w:rsid w:val="003C0BB7"/>
    <w:rsid w:val="003C1B28"/>
    <w:rsid w:val="003C3CBF"/>
    <w:rsid w:val="003C425C"/>
    <w:rsid w:val="003C560C"/>
    <w:rsid w:val="003C6FA6"/>
    <w:rsid w:val="003D351D"/>
    <w:rsid w:val="003D37AE"/>
    <w:rsid w:val="003D4464"/>
    <w:rsid w:val="003D4A06"/>
    <w:rsid w:val="003D4AF8"/>
    <w:rsid w:val="003D4CDB"/>
    <w:rsid w:val="003D5A3E"/>
    <w:rsid w:val="003D703E"/>
    <w:rsid w:val="003E011A"/>
    <w:rsid w:val="003E2290"/>
    <w:rsid w:val="003E2421"/>
    <w:rsid w:val="003E43B7"/>
    <w:rsid w:val="003E50FB"/>
    <w:rsid w:val="003E52AE"/>
    <w:rsid w:val="003E5B5A"/>
    <w:rsid w:val="003E6294"/>
    <w:rsid w:val="003F0BAB"/>
    <w:rsid w:val="003F1283"/>
    <w:rsid w:val="003F2358"/>
    <w:rsid w:val="003F2FAA"/>
    <w:rsid w:val="003F4D64"/>
    <w:rsid w:val="003F4DE5"/>
    <w:rsid w:val="003F58BD"/>
    <w:rsid w:val="003F5998"/>
    <w:rsid w:val="003F61A1"/>
    <w:rsid w:val="003F7493"/>
    <w:rsid w:val="003F7938"/>
    <w:rsid w:val="00400CF5"/>
    <w:rsid w:val="00400D5C"/>
    <w:rsid w:val="004019EE"/>
    <w:rsid w:val="0040603C"/>
    <w:rsid w:val="00407459"/>
    <w:rsid w:val="004103B1"/>
    <w:rsid w:val="00411849"/>
    <w:rsid w:val="004132A0"/>
    <w:rsid w:val="0041373B"/>
    <w:rsid w:val="004146B6"/>
    <w:rsid w:val="00414BFC"/>
    <w:rsid w:val="00414CC1"/>
    <w:rsid w:val="00415018"/>
    <w:rsid w:val="0041664E"/>
    <w:rsid w:val="00417399"/>
    <w:rsid w:val="004203C2"/>
    <w:rsid w:val="00421E54"/>
    <w:rsid w:val="0042200D"/>
    <w:rsid w:val="004221AB"/>
    <w:rsid w:val="00422474"/>
    <w:rsid w:val="004244A7"/>
    <w:rsid w:val="00426797"/>
    <w:rsid w:val="00431321"/>
    <w:rsid w:val="00433760"/>
    <w:rsid w:val="004347CA"/>
    <w:rsid w:val="004355B1"/>
    <w:rsid w:val="00435998"/>
    <w:rsid w:val="00435DD0"/>
    <w:rsid w:val="004367BC"/>
    <w:rsid w:val="00437B7B"/>
    <w:rsid w:val="00440077"/>
    <w:rsid w:val="004408D8"/>
    <w:rsid w:val="00440E4D"/>
    <w:rsid w:val="00441EBB"/>
    <w:rsid w:val="00441F7C"/>
    <w:rsid w:val="0044226E"/>
    <w:rsid w:val="00442BBD"/>
    <w:rsid w:val="004438CE"/>
    <w:rsid w:val="00443A2C"/>
    <w:rsid w:val="00444865"/>
    <w:rsid w:val="00444878"/>
    <w:rsid w:val="004452FB"/>
    <w:rsid w:val="00445D0B"/>
    <w:rsid w:val="00446ACC"/>
    <w:rsid w:val="0045002A"/>
    <w:rsid w:val="00451419"/>
    <w:rsid w:val="0045177E"/>
    <w:rsid w:val="00452291"/>
    <w:rsid w:val="004522C7"/>
    <w:rsid w:val="00453F11"/>
    <w:rsid w:val="00454C7B"/>
    <w:rsid w:val="00455264"/>
    <w:rsid w:val="00455D18"/>
    <w:rsid w:val="00455D6C"/>
    <w:rsid w:val="00456278"/>
    <w:rsid w:val="0046152E"/>
    <w:rsid w:val="00461850"/>
    <w:rsid w:val="00465E81"/>
    <w:rsid w:val="00467FEC"/>
    <w:rsid w:val="004703E4"/>
    <w:rsid w:val="004706D1"/>
    <w:rsid w:val="004728AA"/>
    <w:rsid w:val="00476CBC"/>
    <w:rsid w:val="00480875"/>
    <w:rsid w:val="00480A1F"/>
    <w:rsid w:val="00481E4F"/>
    <w:rsid w:val="00482E85"/>
    <w:rsid w:val="004839C7"/>
    <w:rsid w:val="00485817"/>
    <w:rsid w:val="00485897"/>
    <w:rsid w:val="004919CB"/>
    <w:rsid w:val="004928AE"/>
    <w:rsid w:val="00492C6E"/>
    <w:rsid w:val="00493D3E"/>
    <w:rsid w:val="00494A60"/>
    <w:rsid w:val="00496285"/>
    <w:rsid w:val="00496FE3"/>
    <w:rsid w:val="004975DD"/>
    <w:rsid w:val="00497A78"/>
    <w:rsid w:val="004A04CA"/>
    <w:rsid w:val="004A1034"/>
    <w:rsid w:val="004A1312"/>
    <w:rsid w:val="004A2B1E"/>
    <w:rsid w:val="004A2F21"/>
    <w:rsid w:val="004A36FB"/>
    <w:rsid w:val="004A3F07"/>
    <w:rsid w:val="004A4A4E"/>
    <w:rsid w:val="004A4DD3"/>
    <w:rsid w:val="004A4E17"/>
    <w:rsid w:val="004A6332"/>
    <w:rsid w:val="004A6F50"/>
    <w:rsid w:val="004A7065"/>
    <w:rsid w:val="004B05F4"/>
    <w:rsid w:val="004B0C3D"/>
    <w:rsid w:val="004B1CAD"/>
    <w:rsid w:val="004B4BD3"/>
    <w:rsid w:val="004B53F8"/>
    <w:rsid w:val="004B5CC1"/>
    <w:rsid w:val="004B74A0"/>
    <w:rsid w:val="004B7734"/>
    <w:rsid w:val="004B791B"/>
    <w:rsid w:val="004B7928"/>
    <w:rsid w:val="004B7D62"/>
    <w:rsid w:val="004B7F3A"/>
    <w:rsid w:val="004C5245"/>
    <w:rsid w:val="004C662B"/>
    <w:rsid w:val="004C797A"/>
    <w:rsid w:val="004C7B0D"/>
    <w:rsid w:val="004D0E25"/>
    <w:rsid w:val="004D284F"/>
    <w:rsid w:val="004D48FF"/>
    <w:rsid w:val="004D59A7"/>
    <w:rsid w:val="004D5F5B"/>
    <w:rsid w:val="004D6B57"/>
    <w:rsid w:val="004E09E3"/>
    <w:rsid w:val="004E10E4"/>
    <w:rsid w:val="004E357B"/>
    <w:rsid w:val="004E427D"/>
    <w:rsid w:val="004E49F3"/>
    <w:rsid w:val="004E4FFF"/>
    <w:rsid w:val="004E730D"/>
    <w:rsid w:val="004E7826"/>
    <w:rsid w:val="004F21FA"/>
    <w:rsid w:val="004F30BF"/>
    <w:rsid w:val="005005E6"/>
    <w:rsid w:val="005022A9"/>
    <w:rsid w:val="00503A43"/>
    <w:rsid w:val="00503D60"/>
    <w:rsid w:val="0050416B"/>
    <w:rsid w:val="00505EA0"/>
    <w:rsid w:val="00505F15"/>
    <w:rsid w:val="0050658A"/>
    <w:rsid w:val="00511E8A"/>
    <w:rsid w:val="00512E99"/>
    <w:rsid w:val="005133CA"/>
    <w:rsid w:val="0051389D"/>
    <w:rsid w:val="00514688"/>
    <w:rsid w:val="0051562C"/>
    <w:rsid w:val="0051638B"/>
    <w:rsid w:val="00516F58"/>
    <w:rsid w:val="00520A56"/>
    <w:rsid w:val="00521AD6"/>
    <w:rsid w:val="00522095"/>
    <w:rsid w:val="00522E49"/>
    <w:rsid w:val="005231AC"/>
    <w:rsid w:val="00525064"/>
    <w:rsid w:val="00527070"/>
    <w:rsid w:val="00527605"/>
    <w:rsid w:val="005309B3"/>
    <w:rsid w:val="00530F34"/>
    <w:rsid w:val="005342B6"/>
    <w:rsid w:val="005345D4"/>
    <w:rsid w:val="00536393"/>
    <w:rsid w:val="00536442"/>
    <w:rsid w:val="0053737E"/>
    <w:rsid w:val="00537974"/>
    <w:rsid w:val="00540E4B"/>
    <w:rsid w:val="00543A72"/>
    <w:rsid w:val="00545F0F"/>
    <w:rsid w:val="0054794A"/>
    <w:rsid w:val="00547D49"/>
    <w:rsid w:val="005525BC"/>
    <w:rsid w:val="005547D5"/>
    <w:rsid w:val="00555D34"/>
    <w:rsid w:val="00561037"/>
    <w:rsid w:val="00561179"/>
    <w:rsid w:val="00562B24"/>
    <w:rsid w:val="00563329"/>
    <w:rsid w:val="00563C1B"/>
    <w:rsid w:val="0056412B"/>
    <w:rsid w:val="005656B0"/>
    <w:rsid w:val="00566DD6"/>
    <w:rsid w:val="00567155"/>
    <w:rsid w:val="0056719E"/>
    <w:rsid w:val="00567B2F"/>
    <w:rsid w:val="0057152C"/>
    <w:rsid w:val="005723C3"/>
    <w:rsid w:val="005752E1"/>
    <w:rsid w:val="005777AD"/>
    <w:rsid w:val="005812C7"/>
    <w:rsid w:val="00582AB5"/>
    <w:rsid w:val="00585C80"/>
    <w:rsid w:val="00586AC4"/>
    <w:rsid w:val="00586EFF"/>
    <w:rsid w:val="005873A8"/>
    <w:rsid w:val="005901D6"/>
    <w:rsid w:val="00590C56"/>
    <w:rsid w:val="005933E2"/>
    <w:rsid w:val="005A06FA"/>
    <w:rsid w:val="005A28AF"/>
    <w:rsid w:val="005A28E3"/>
    <w:rsid w:val="005A3511"/>
    <w:rsid w:val="005A3B98"/>
    <w:rsid w:val="005A3DFC"/>
    <w:rsid w:val="005A4670"/>
    <w:rsid w:val="005A5201"/>
    <w:rsid w:val="005A585C"/>
    <w:rsid w:val="005A73BB"/>
    <w:rsid w:val="005B0839"/>
    <w:rsid w:val="005B0FA5"/>
    <w:rsid w:val="005B1936"/>
    <w:rsid w:val="005B41A0"/>
    <w:rsid w:val="005B59D0"/>
    <w:rsid w:val="005B721C"/>
    <w:rsid w:val="005C038C"/>
    <w:rsid w:val="005C3ECE"/>
    <w:rsid w:val="005C6BF4"/>
    <w:rsid w:val="005D147B"/>
    <w:rsid w:val="005D22CF"/>
    <w:rsid w:val="005D37B4"/>
    <w:rsid w:val="005D381E"/>
    <w:rsid w:val="005D3B4C"/>
    <w:rsid w:val="005D3DB3"/>
    <w:rsid w:val="005D4FB8"/>
    <w:rsid w:val="005D6CAC"/>
    <w:rsid w:val="005E067E"/>
    <w:rsid w:val="005E1DC7"/>
    <w:rsid w:val="005E208F"/>
    <w:rsid w:val="005E45EB"/>
    <w:rsid w:val="005E4DEE"/>
    <w:rsid w:val="005F00E5"/>
    <w:rsid w:val="005F0CAC"/>
    <w:rsid w:val="005F1F38"/>
    <w:rsid w:val="005F2D55"/>
    <w:rsid w:val="005F323B"/>
    <w:rsid w:val="005F3EF1"/>
    <w:rsid w:val="005F5245"/>
    <w:rsid w:val="005F52AA"/>
    <w:rsid w:val="005F533F"/>
    <w:rsid w:val="005F6867"/>
    <w:rsid w:val="005F68C8"/>
    <w:rsid w:val="005F6A39"/>
    <w:rsid w:val="005F72BD"/>
    <w:rsid w:val="005F7723"/>
    <w:rsid w:val="0060230F"/>
    <w:rsid w:val="006034EF"/>
    <w:rsid w:val="0060396D"/>
    <w:rsid w:val="0060508C"/>
    <w:rsid w:val="00605C0C"/>
    <w:rsid w:val="00607A2A"/>
    <w:rsid w:val="00607C1B"/>
    <w:rsid w:val="0061181E"/>
    <w:rsid w:val="00612AB9"/>
    <w:rsid w:val="0061326C"/>
    <w:rsid w:val="0061353D"/>
    <w:rsid w:val="00613A06"/>
    <w:rsid w:val="00614215"/>
    <w:rsid w:val="0061488E"/>
    <w:rsid w:val="00625189"/>
    <w:rsid w:val="00626EF9"/>
    <w:rsid w:val="006274B8"/>
    <w:rsid w:val="00627EFB"/>
    <w:rsid w:val="006305BC"/>
    <w:rsid w:val="00631057"/>
    <w:rsid w:val="00632759"/>
    <w:rsid w:val="0063302C"/>
    <w:rsid w:val="006336DE"/>
    <w:rsid w:val="00633BDF"/>
    <w:rsid w:val="00633F49"/>
    <w:rsid w:val="00634888"/>
    <w:rsid w:val="006407DD"/>
    <w:rsid w:val="00640A54"/>
    <w:rsid w:val="00642049"/>
    <w:rsid w:val="0064793B"/>
    <w:rsid w:val="00650549"/>
    <w:rsid w:val="006524E5"/>
    <w:rsid w:val="00653C0D"/>
    <w:rsid w:val="00654239"/>
    <w:rsid w:val="006543CE"/>
    <w:rsid w:val="006546CA"/>
    <w:rsid w:val="00656706"/>
    <w:rsid w:val="00656D23"/>
    <w:rsid w:val="00656DA8"/>
    <w:rsid w:val="00657524"/>
    <w:rsid w:val="00660F2A"/>
    <w:rsid w:val="00661CCE"/>
    <w:rsid w:val="006629D8"/>
    <w:rsid w:val="00663425"/>
    <w:rsid w:val="0066394A"/>
    <w:rsid w:val="00663E9A"/>
    <w:rsid w:val="00663F66"/>
    <w:rsid w:val="006647B8"/>
    <w:rsid w:val="0066765F"/>
    <w:rsid w:val="006677FA"/>
    <w:rsid w:val="0067268A"/>
    <w:rsid w:val="006726FB"/>
    <w:rsid w:val="006742EB"/>
    <w:rsid w:val="00674AAE"/>
    <w:rsid w:val="00675C88"/>
    <w:rsid w:val="00676C5C"/>
    <w:rsid w:val="0067750A"/>
    <w:rsid w:val="00681608"/>
    <w:rsid w:val="00682334"/>
    <w:rsid w:val="006828B2"/>
    <w:rsid w:val="00683ED2"/>
    <w:rsid w:val="00684A97"/>
    <w:rsid w:val="00685AC3"/>
    <w:rsid w:val="00685EE6"/>
    <w:rsid w:val="00686162"/>
    <w:rsid w:val="00687CE6"/>
    <w:rsid w:val="006927E5"/>
    <w:rsid w:val="006946D4"/>
    <w:rsid w:val="006962E5"/>
    <w:rsid w:val="00697B40"/>
    <w:rsid w:val="006A0CF6"/>
    <w:rsid w:val="006A12C3"/>
    <w:rsid w:val="006A332D"/>
    <w:rsid w:val="006A3BD9"/>
    <w:rsid w:val="006A4289"/>
    <w:rsid w:val="006A57AD"/>
    <w:rsid w:val="006A59F6"/>
    <w:rsid w:val="006A7CAA"/>
    <w:rsid w:val="006B277F"/>
    <w:rsid w:val="006B3258"/>
    <w:rsid w:val="006B50C9"/>
    <w:rsid w:val="006B5F7D"/>
    <w:rsid w:val="006B61F4"/>
    <w:rsid w:val="006C23A2"/>
    <w:rsid w:val="006C3B0C"/>
    <w:rsid w:val="006C5D67"/>
    <w:rsid w:val="006C6703"/>
    <w:rsid w:val="006D000E"/>
    <w:rsid w:val="006D1007"/>
    <w:rsid w:val="006D15C5"/>
    <w:rsid w:val="006D1EFA"/>
    <w:rsid w:val="006D6C1C"/>
    <w:rsid w:val="006D76AC"/>
    <w:rsid w:val="006E231D"/>
    <w:rsid w:val="006E2A97"/>
    <w:rsid w:val="006E4793"/>
    <w:rsid w:val="006E543B"/>
    <w:rsid w:val="006E67C1"/>
    <w:rsid w:val="006E7094"/>
    <w:rsid w:val="006E7576"/>
    <w:rsid w:val="006F0333"/>
    <w:rsid w:val="006F125F"/>
    <w:rsid w:val="006F4BA6"/>
    <w:rsid w:val="006F69AF"/>
    <w:rsid w:val="006F6F42"/>
    <w:rsid w:val="006F72DA"/>
    <w:rsid w:val="006F7828"/>
    <w:rsid w:val="006F7A5B"/>
    <w:rsid w:val="00700BC8"/>
    <w:rsid w:val="00701569"/>
    <w:rsid w:val="00701AE3"/>
    <w:rsid w:val="00701D88"/>
    <w:rsid w:val="00702D7B"/>
    <w:rsid w:val="00702D82"/>
    <w:rsid w:val="00703119"/>
    <w:rsid w:val="0070395C"/>
    <w:rsid w:val="00703FA7"/>
    <w:rsid w:val="007043C5"/>
    <w:rsid w:val="007058C2"/>
    <w:rsid w:val="00706595"/>
    <w:rsid w:val="00706D8C"/>
    <w:rsid w:val="00707106"/>
    <w:rsid w:val="0071166F"/>
    <w:rsid w:val="00713D75"/>
    <w:rsid w:val="00714457"/>
    <w:rsid w:val="00714DFE"/>
    <w:rsid w:val="007155E8"/>
    <w:rsid w:val="00716656"/>
    <w:rsid w:val="00716F6D"/>
    <w:rsid w:val="0071769F"/>
    <w:rsid w:val="0072157F"/>
    <w:rsid w:val="00722D9C"/>
    <w:rsid w:val="00723451"/>
    <w:rsid w:val="0072579B"/>
    <w:rsid w:val="007262D3"/>
    <w:rsid w:val="00726490"/>
    <w:rsid w:val="00726845"/>
    <w:rsid w:val="00726ADD"/>
    <w:rsid w:val="00731718"/>
    <w:rsid w:val="00733057"/>
    <w:rsid w:val="0073420E"/>
    <w:rsid w:val="00734486"/>
    <w:rsid w:val="00734E20"/>
    <w:rsid w:val="00736129"/>
    <w:rsid w:val="00736FAB"/>
    <w:rsid w:val="007405E0"/>
    <w:rsid w:val="00740E24"/>
    <w:rsid w:val="0074103C"/>
    <w:rsid w:val="00742A72"/>
    <w:rsid w:val="00746628"/>
    <w:rsid w:val="007467C3"/>
    <w:rsid w:val="00746854"/>
    <w:rsid w:val="00746BF3"/>
    <w:rsid w:val="00750035"/>
    <w:rsid w:val="0075015A"/>
    <w:rsid w:val="007538E3"/>
    <w:rsid w:val="00755718"/>
    <w:rsid w:val="00756EDE"/>
    <w:rsid w:val="00756F4A"/>
    <w:rsid w:val="00762843"/>
    <w:rsid w:val="00762950"/>
    <w:rsid w:val="007633E9"/>
    <w:rsid w:val="007636E6"/>
    <w:rsid w:val="0076500C"/>
    <w:rsid w:val="00767D4B"/>
    <w:rsid w:val="00772159"/>
    <w:rsid w:val="00773A85"/>
    <w:rsid w:val="00775DB3"/>
    <w:rsid w:val="007772AE"/>
    <w:rsid w:val="00777544"/>
    <w:rsid w:val="007828F0"/>
    <w:rsid w:val="007836C3"/>
    <w:rsid w:val="0078456C"/>
    <w:rsid w:val="00785274"/>
    <w:rsid w:val="00787EB1"/>
    <w:rsid w:val="007900B4"/>
    <w:rsid w:val="00790245"/>
    <w:rsid w:val="00791342"/>
    <w:rsid w:val="00791FF6"/>
    <w:rsid w:val="0079339C"/>
    <w:rsid w:val="007935DE"/>
    <w:rsid w:val="00794462"/>
    <w:rsid w:val="00795AAE"/>
    <w:rsid w:val="00796934"/>
    <w:rsid w:val="007A15BC"/>
    <w:rsid w:val="007A23F7"/>
    <w:rsid w:val="007A5949"/>
    <w:rsid w:val="007A647F"/>
    <w:rsid w:val="007A7565"/>
    <w:rsid w:val="007B18BE"/>
    <w:rsid w:val="007B1CA7"/>
    <w:rsid w:val="007B3D92"/>
    <w:rsid w:val="007B5CA5"/>
    <w:rsid w:val="007B65DE"/>
    <w:rsid w:val="007B6715"/>
    <w:rsid w:val="007B781C"/>
    <w:rsid w:val="007C02DC"/>
    <w:rsid w:val="007C097B"/>
    <w:rsid w:val="007C306E"/>
    <w:rsid w:val="007C39C3"/>
    <w:rsid w:val="007C4C76"/>
    <w:rsid w:val="007C5AAA"/>
    <w:rsid w:val="007D0CDA"/>
    <w:rsid w:val="007D2CA0"/>
    <w:rsid w:val="007D3A43"/>
    <w:rsid w:val="007D4AB7"/>
    <w:rsid w:val="007D55C3"/>
    <w:rsid w:val="007D72A1"/>
    <w:rsid w:val="007D7784"/>
    <w:rsid w:val="007E0A0D"/>
    <w:rsid w:val="007E0A14"/>
    <w:rsid w:val="007E2319"/>
    <w:rsid w:val="007E6B49"/>
    <w:rsid w:val="007E6F21"/>
    <w:rsid w:val="007E6FAF"/>
    <w:rsid w:val="007E7161"/>
    <w:rsid w:val="007F02D1"/>
    <w:rsid w:val="007F0410"/>
    <w:rsid w:val="007F1224"/>
    <w:rsid w:val="007F14CE"/>
    <w:rsid w:val="007F1AA1"/>
    <w:rsid w:val="007F24B8"/>
    <w:rsid w:val="007F2930"/>
    <w:rsid w:val="007F4E13"/>
    <w:rsid w:val="007F58BB"/>
    <w:rsid w:val="007F6C2D"/>
    <w:rsid w:val="00802962"/>
    <w:rsid w:val="00802B26"/>
    <w:rsid w:val="00804E6F"/>
    <w:rsid w:val="00805511"/>
    <w:rsid w:val="0080554D"/>
    <w:rsid w:val="00805E6B"/>
    <w:rsid w:val="00806431"/>
    <w:rsid w:val="00810A77"/>
    <w:rsid w:val="00811142"/>
    <w:rsid w:val="008118BE"/>
    <w:rsid w:val="008119DB"/>
    <w:rsid w:val="0081255B"/>
    <w:rsid w:val="00813106"/>
    <w:rsid w:val="008136C7"/>
    <w:rsid w:val="0081392F"/>
    <w:rsid w:val="00815200"/>
    <w:rsid w:val="008154B9"/>
    <w:rsid w:val="008206BE"/>
    <w:rsid w:val="00820DAC"/>
    <w:rsid w:val="00821D69"/>
    <w:rsid w:val="0082305C"/>
    <w:rsid w:val="00825D21"/>
    <w:rsid w:val="00826206"/>
    <w:rsid w:val="00826553"/>
    <w:rsid w:val="00831253"/>
    <w:rsid w:val="00835840"/>
    <w:rsid w:val="00836C86"/>
    <w:rsid w:val="00840984"/>
    <w:rsid w:val="008430CE"/>
    <w:rsid w:val="008467C8"/>
    <w:rsid w:val="008503E0"/>
    <w:rsid w:val="00850F59"/>
    <w:rsid w:val="008518DC"/>
    <w:rsid w:val="00851BFF"/>
    <w:rsid w:val="00853F43"/>
    <w:rsid w:val="008561F3"/>
    <w:rsid w:val="008570AF"/>
    <w:rsid w:val="00860760"/>
    <w:rsid w:val="0086085C"/>
    <w:rsid w:val="00861E1F"/>
    <w:rsid w:val="00862D21"/>
    <w:rsid w:val="00862E91"/>
    <w:rsid w:val="00864520"/>
    <w:rsid w:val="00865197"/>
    <w:rsid w:val="00865FD2"/>
    <w:rsid w:val="008676B0"/>
    <w:rsid w:val="00867953"/>
    <w:rsid w:val="00867C8A"/>
    <w:rsid w:val="00867CF6"/>
    <w:rsid w:val="00870D85"/>
    <w:rsid w:val="00871351"/>
    <w:rsid w:val="00873033"/>
    <w:rsid w:val="00876C88"/>
    <w:rsid w:val="0087768C"/>
    <w:rsid w:val="00877BCB"/>
    <w:rsid w:val="0088146B"/>
    <w:rsid w:val="00881707"/>
    <w:rsid w:val="00881BC4"/>
    <w:rsid w:val="00883348"/>
    <w:rsid w:val="00885DDF"/>
    <w:rsid w:val="00890CDD"/>
    <w:rsid w:val="00891E71"/>
    <w:rsid w:val="00892667"/>
    <w:rsid w:val="00895C1A"/>
    <w:rsid w:val="008A2BD6"/>
    <w:rsid w:val="008A6828"/>
    <w:rsid w:val="008A6F3E"/>
    <w:rsid w:val="008A7114"/>
    <w:rsid w:val="008B0459"/>
    <w:rsid w:val="008B0B29"/>
    <w:rsid w:val="008B2071"/>
    <w:rsid w:val="008B3132"/>
    <w:rsid w:val="008B3313"/>
    <w:rsid w:val="008B4591"/>
    <w:rsid w:val="008B4A73"/>
    <w:rsid w:val="008B4FFF"/>
    <w:rsid w:val="008B5077"/>
    <w:rsid w:val="008B5538"/>
    <w:rsid w:val="008B7A6C"/>
    <w:rsid w:val="008C1488"/>
    <w:rsid w:val="008C2AD4"/>
    <w:rsid w:val="008C3A47"/>
    <w:rsid w:val="008C4DBF"/>
    <w:rsid w:val="008C6EF2"/>
    <w:rsid w:val="008C7917"/>
    <w:rsid w:val="008C7F19"/>
    <w:rsid w:val="008D0C3A"/>
    <w:rsid w:val="008D3540"/>
    <w:rsid w:val="008D3A67"/>
    <w:rsid w:val="008D4374"/>
    <w:rsid w:val="008D4E83"/>
    <w:rsid w:val="008D6457"/>
    <w:rsid w:val="008E1F30"/>
    <w:rsid w:val="008E211B"/>
    <w:rsid w:val="008E2E83"/>
    <w:rsid w:val="008E348B"/>
    <w:rsid w:val="008E5577"/>
    <w:rsid w:val="008E6578"/>
    <w:rsid w:val="008F088E"/>
    <w:rsid w:val="008F144E"/>
    <w:rsid w:val="008F2FBD"/>
    <w:rsid w:val="008F58D7"/>
    <w:rsid w:val="008F59B6"/>
    <w:rsid w:val="008F6419"/>
    <w:rsid w:val="008F7956"/>
    <w:rsid w:val="009005DC"/>
    <w:rsid w:val="00900F58"/>
    <w:rsid w:val="00900FDC"/>
    <w:rsid w:val="00901F3F"/>
    <w:rsid w:val="009041A6"/>
    <w:rsid w:val="009048B4"/>
    <w:rsid w:val="00904AF3"/>
    <w:rsid w:val="00905D34"/>
    <w:rsid w:val="00905DA5"/>
    <w:rsid w:val="0090733A"/>
    <w:rsid w:val="009106AC"/>
    <w:rsid w:val="00910CEF"/>
    <w:rsid w:val="009126BE"/>
    <w:rsid w:val="00914541"/>
    <w:rsid w:val="009145FF"/>
    <w:rsid w:val="009147B3"/>
    <w:rsid w:val="00914CEF"/>
    <w:rsid w:val="00914FB8"/>
    <w:rsid w:val="00915D5E"/>
    <w:rsid w:val="00915ED9"/>
    <w:rsid w:val="00921889"/>
    <w:rsid w:val="00921908"/>
    <w:rsid w:val="009226E4"/>
    <w:rsid w:val="009249AC"/>
    <w:rsid w:val="00924FAF"/>
    <w:rsid w:val="00926426"/>
    <w:rsid w:val="009270AB"/>
    <w:rsid w:val="00930CE7"/>
    <w:rsid w:val="00931AFE"/>
    <w:rsid w:val="00931CA3"/>
    <w:rsid w:val="00932115"/>
    <w:rsid w:val="00934965"/>
    <w:rsid w:val="00937AC6"/>
    <w:rsid w:val="00941DD2"/>
    <w:rsid w:val="00945BAD"/>
    <w:rsid w:val="00946391"/>
    <w:rsid w:val="0094753B"/>
    <w:rsid w:val="00950861"/>
    <w:rsid w:val="009519D0"/>
    <w:rsid w:val="00951B9C"/>
    <w:rsid w:val="00954E40"/>
    <w:rsid w:val="00955652"/>
    <w:rsid w:val="00956ECC"/>
    <w:rsid w:val="00960C3C"/>
    <w:rsid w:val="0096190F"/>
    <w:rsid w:val="009621E6"/>
    <w:rsid w:val="009630F5"/>
    <w:rsid w:val="00963935"/>
    <w:rsid w:val="0096456A"/>
    <w:rsid w:val="00965D20"/>
    <w:rsid w:val="00967DAF"/>
    <w:rsid w:val="00970020"/>
    <w:rsid w:val="009717FA"/>
    <w:rsid w:val="00972D8E"/>
    <w:rsid w:val="0097509C"/>
    <w:rsid w:val="00975353"/>
    <w:rsid w:val="00976140"/>
    <w:rsid w:val="00976BDC"/>
    <w:rsid w:val="00980148"/>
    <w:rsid w:val="00983DB9"/>
    <w:rsid w:val="00984AE5"/>
    <w:rsid w:val="009856BE"/>
    <w:rsid w:val="0098775C"/>
    <w:rsid w:val="00990217"/>
    <w:rsid w:val="0099095C"/>
    <w:rsid w:val="00990E4C"/>
    <w:rsid w:val="00992F7D"/>
    <w:rsid w:val="00994F51"/>
    <w:rsid w:val="0099576B"/>
    <w:rsid w:val="009A0D21"/>
    <w:rsid w:val="009A14DF"/>
    <w:rsid w:val="009A5500"/>
    <w:rsid w:val="009A6681"/>
    <w:rsid w:val="009B0788"/>
    <w:rsid w:val="009B258E"/>
    <w:rsid w:val="009B6686"/>
    <w:rsid w:val="009B6CDF"/>
    <w:rsid w:val="009B79BA"/>
    <w:rsid w:val="009C1845"/>
    <w:rsid w:val="009C27C0"/>
    <w:rsid w:val="009C610B"/>
    <w:rsid w:val="009C610D"/>
    <w:rsid w:val="009D0EDE"/>
    <w:rsid w:val="009D201B"/>
    <w:rsid w:val="009D4B21"/>
    <w:rsid w:val="009E23F8"/>
    <w:rsid w:val="009E2671"/>
    <w:rsid w:val="009E2A7E"/>
    <w:rsid w:val="009E4416"/>
    <w:rsid w:val="009E46BF"/>
    <w:rsid w:val="009E5C1A"/>
    <w:rsid w:val="009E5DBD"/>
    <w:rsid w:val="009E65F7"/>
    <w:rsid w:val="009F07ED"/>
    <w:rsid w:val="009F370B"/>
    <w:rsid w:val="009F49AA"/>
    <w:rsid w:val="009F6FA1"/>
    <w:rsid w:val="00A013CB"/>
    <w:rsid w:val="00A0175C"/>
    <w:rsid w:val="00A04CDD"/>
    <w:rsid w:val="00A04FB5"/>
    <w:rsid w:val="00A05B4D"/>
    <w:rsid w:val="00A05D85"/>
    <w:rsid w:val="00A06AAE"/>
    <w:rsid w:val="00A10A2A"/>
    <w:rsid w:val="00A11559"/>
    <w:rsid w:val="00A14B1D"/>
    <w:rsid w:val="00A14EFF"/>
    <w:rsid w:val="00A17EC8"/>
    <w:rsid w:val="00A2034E"/>
    <w:rsid w:val="00A223AA"/>
    <w:rsid w:val="00A22CB2"/>
    <w:rsid w:val="00A24809"/>
    <w:rsid w:val="00A25539"/>
    <w:rsid w:val="00A26586"/>
    <w:rsid w:val="00A30405"/>
    <w:rsid w:val="00A30F99"/>
    <w:rsid w:val="00A31583"/>
    <w:rsid w:val="00A32D68"/>
    <w:rsid w:val="00A3303F"/>
    <w:rsid w:val="00A340F1"/>
    <w:rsid w:val="00A3460C"/>
    <w:rsid w:val="00A34AEB"/>
    <w:rsid w:val="00A4048C"/>
    <w:rsid w:val="00A41B12"/>
    <w:rsid w:val="00A427BF"/>
    <w:rsid w:val="00A43D43"/>
    <w:rsid w:val="00A45F60"/>
    <w:rsid w:val="00A466D6"/>
    <w:rsid w:val="00A476CF"/>
    <w:rsid w:val="00A508D2"/>
    <w:rsid w:val="00A51D1B"/>
    <w:rsid w:val="00A52180"/>
    <w:rsid w:val="00A52537"/>
    <w:rsid w:val="00A52624"/>
    <w:rsid w:val="00A56A02"/>
    <w:rsid w:val="00A56F8E"/>
    <w:rsid w:val="00A579BF"/>
    <w:rsid w:val="00A609E1"/>
    <w:rsid w:val="00A60B6E"/>
    <w:rsid w:val="00A610F9"/>
    <w:rsid w:val="00A652BA"/>
    <w:rsid w:val="00A6537C"/>
    <w:rsid w:val="00A7045E"/>
    <w:rsid w:val="00A70F97"/>
    <w:rsid w:val="00A71277"/>
    <w:rsid w:val="00A746E9"/>
    <w:rsid w:val="00A7556C"/>
    <w:rsid w:val="00A774AE"/>
    <w:rsid w:val="00A80EC0"/>
    <w:rsid w:val="00A817C0"/>
    <w:rsid w:val="00A8204F"/>
    <w:rsid w:val="00A82596"/>
    <w:rsid w:val="00A829A3"/>
    <w:rsid w:val="00A82FAE"/>
    <w:rsid w:val="00A83777"/>
    <w:rsid w:val="00A83AEC"/>
    <w:rsid w:val="00A83FEC"/>
    <w:rsid w:val="00A84569"/>
    <w:rsid w:val="00A84DBE"/>
    <w:rsid w:val="00A85582"/>
    <w:rsid w:val="00A86DD8"/>
    <w:rsid w:val="00A9119C"/>
    <w:rsid w:val="00A93A7C"/>
    <w:rsid w:val="00A95005"/>
    <w:rsid w:val="00AA03BA"/>
    <w:rsid w:val="00AA03E8"/>
    <w:rsid w:val="00AA06D5"/>
    <w:rsid w:val="00AA2082"/>
    <w:rsid w:val="00AA303F"/>
    <w:rsid w:val="00AA3795"/>
    <w:rsid w:val="00AA6363"/>
    <w:rsid w:val="00AA6960"/>
    <w:rsid w:val="00AA7885"/>
    <w:rsid w:val="00AA7C05"/>
    <w:rsid w:val="00AA7CFB"/>
    <w:rsid w:val="00AA7F1B"/>
    <w:rsid w:val="00AB0752"/>
    <w:rsid w:val="00AB08D1"/>
    <w:rsid w:val="00AB0ACA"/>
    <w:rsid w:val="00AB20D0"/>
    <w:rsid w:val="00AB33D1"/>
    <w:rsid w:val="00AB3854"/>
    <w:rsid w:val="00AB447C"/>
    <w:rsid w:val="00AB524A"/>
    <w:rsid w:val="00AB5D6E"/>
    <w:rsid w:val="00AB6336"/>
    <w:rsid w:val="00AB7333"/>
    <w:rsid w:val="00AC104C"/>
    <w:rsid w:val="00AC1A6A"/>
    <w:rsid w:val="00AC5072"/>
    <w:rsid w:val="00AC5FBB"/>
    <w:rsid w:val="00AD336E"/>
    <w:rsid w:val="00AD4445"/>
    <w:rsid w:val="00AE4202"/>
    <w:rsid w:val="00AE5D86"/>
    <w:rsid w:val="00AE62E3"/>
    <w:rsid w:val="00AE7331"/>
    <w:rsid w:val="00AF1E4C"/>
    <w:rsid w:val="00AF25DC"/>
    <w:rsid w:val="00AF3795"/>
    <w:rsid w:val="00AF399D"/>
    <w:rsid w:val="00AF4111"/>
    <w:rsid w:val="00AF5CCD"/>
    <w:rsid w:val="00B00335"/>
    <w:rsid w:val="00B00D59"/>
    <w:rsid w:val="00B0328D"/>
    <w:rsid w:val="00B03EEA"/>
    <w:rsid w:val="00B0436A"/>
    <w:rsid w:val="00B10680"/>
    <w:rsid w:val="00B142BA"/>
    <w:rsid w:val="00B1534C"/>
    <w:rsid w:val="00B1559E"/>
    <w:rsid w:val="00B1645A"/>
    <w:rsid w:val="00B20C50"/>
    <w:rsid w:val="00B22328"/>
    <w:rsid w:val="00B24674"/>
    <w:rsid w:val="00B2709E"/>
    <w:rsid w:val="00B27B60"/>
    <w:rsid w:val="00B27CB2"/>
    <w:rsid w:val="00B302B9"/>
    <w:rsid w:val="00B31AF3"/>
    <w:rsid w:val="00B3280C"/>
    <w:rsid w:val="00B32E99"/>
    <w:rsid w:val="00B34600"/>
    <w:rsid w:val="00B3486B"/>
    <w:rsid w:val="00B35038"/>
    <w:rsid w:val="00B3518F"/>
    <w:rsid w:val="00B40B13"/>
    <w:rsid w:val="00B41B03"/>
    <w:rsid w:val="00B42486"/>
    <w:rsid w:val="00B4266D"/>
    <w:rsid w:val="00B440F5"/>
    <w:rsid w:val="00B45263"/>
    <w:rsid w:val="00B4692F"/>
    <w:rsid w:val="00B47FC3"/>
    <w:rsid w:val="00B505CA"/>
    <w:rsid w:val="00B512DE"/>
    <w:rsid w:val="00B51348"/>
    <w:rsid w:val="00B519F4"/>
    <w:rsid w:val="00B52595"/>
    <w:rsid w:val="00B54B48"/>
    <w:rsid w:val="00B54EAE"/>
    <w:rsid w:val="00B61CAE"/>
    <w:rsid w:val="00B63ACD"/>
    <w:rsid w:val="00B64633"/>
    <w:rsid w:val="00B64D6D"/>
    <w:rsid w:val="00B73111"/>
    <w:rsid w:val="00B7550A"/>
    <w:rsid w:val="00B75885"/>
    <w:rsid w:val="00B77238"/>
    <w:rsid w:val="00B77823"/>
    <w:rsid w:val="00B83E5F"/>
    <w:rsid w:val="00B848E0"/>
    <w:rsid w:val="00B85602"/>
    <w:rsid w:val="00B86F46"/>
    <w:rsid w:val="00B87EFC"/>
    <w:rsid w:val="00B928D5"/>
    <w:rsid w:val="00B92934"/>
    <w:rsid w:val="00B94E39"/>
    <w:rsid w:val="00B974CA"/>
    <w:rsid w:val="00B97CD4"/>
    <w:rsid w:val="00B97D61"/>
    <w:rsid w:val="00BA0F46"/>
    <w:rsid w:val="00BA1002"/>
    <w:rsid w:val="00BA2841"/>
    <w:rsid w:val="00BA3176"/>
    <w:rsid w:val="00BA413A"/>
    <w:rsid w:val="00BA4477"/>
    <w:rsid w:val="00BA5107"/>
    <w:rsid w:val="00BA5E30"/>
    <w:rsid w:val="00BA61F9"/>
    <w:rsid w:val="00BA7696"/>
    <w:rsid w:val="00BB08CC"/>
    <w:rsid w:val="00BB0C27"/>
    <w:rsid w:val="00BB0D91"/>
    <w:rsid w:val="00BB111B"/>
    <w:rsid w:val="00BB2708"/>
    <w:rsid w:val="00BB2B9B"/>
    <w:rsid w:val="00BB58C9"/>
    <w:rsid w:val="00BC012C"/>
    <w:rsid w:val="00BC1070"/>
    <w:rsid w:val="00BC1661"/>
    <w:rsid w:val="00BC1B00"/>
    <w:rsid w:val="00BC6143"/>
    <w:rsid w:val="00BC6C6F"/>
    <w:rsid w:val="00BC75CD"/>
    <w:rsid w:val="00BD0C67"/>
    <w:rsid w:val="00BD166C"/>
    <w:rsid w:val="00BD2783"/>
    <w:rsid w:val="00BD33D0"/>
    <w:rsid w:val="00BD4AFA"/>
    <w:rsid w:val="00BD6F38"/>
    <w:rsid w:val="00BD71A1"/>
    <w:rsid w:val="00BD74BB"/>
    <w:rsid w:val="00BE08C1"/>
    <w:rsid w:val="00BE0A51"/>
    <w:rsid w:val="00BE4866"/>
    <w:rsid w:val="00BE5D7D"/>
    <w:rsid w:val="00BE6035"/>
    <w:rsid w:val="00BE6ABA"/>
    <w:rsid w:val="00BE6EC3"/>
    <w:rsid w:val="00BE7E35"/>
    <w:rsid w:val="00BF0BB7"/>
    <w:rsid w:val="00BF0F4F"/>
    <w:rsid w:val="00BF442C"/>
    <w:rsid w:val="00BF5B35"/>
    <w:rsid w:val="00C01A6C"/>
    <w:rsid w:val="00C02635"/>
    <w:rsid w:val="00C035E8"/>
    <w:rsid w:val="00C04DE7"/>
    <w:rsid w:val="00C0630C"/>
    <w:rsid w:val="00C06862"/>
    <w:rsid w:val="00C0704C"/>
    <w:rsid w:val="00C070E9"/>
    <w:rsid w:val="00C10C13"/>
    <w:rsid w:val="00C11157"/>
    <w:rsid w:val="00C11B49"/>
    <w:rsid w:val="00C12290"/>
    <w:rsid w:val="00C1232D"/>
    <w:rsid w:val="00C14B27"/>
    <w:rsid w:val="00C15091"/>
    <w:rsid w:val="00C1532A"/>
    <w:rsid w:val="00C15C74"/>
    <w:rsid w:val="00C16524"/>
    <w:rsid w:val="00C1672F"/>
    <w:rsid w:val="00C2021D"/>
    <w:rsid w:val="00C20249"/>
    <w:rsid w:val="00C20617"/>
    <w:rsid w:val="00C20DCD"/>
    <w:rsid w:val="00C2226E"/>
    <w:rsid w:val="00C22685"/>
    <w:rsid w:val="00C26CC6"/>
    <w:rsid w:val="00C271D5"/>
    <w:rsid w:val="00C30BF3"/>
    <w:rsid w:val="00C33BAD"/>
    <w:rsid w:val="00C34D48"/>
    <w:rsid w:val="00C34E2D"/>
    <w:rsid w:val="00C40413"/>
    <w:rsid w:val="00C406C8"/>
    <w:rsid w:val="00C41372"/>
    <w:rsid w:val="00C41C14"/>
    <w:rsid w:val="00C45907"/>
    <w:rsid w:val="00C516D5"/>
    <w:rsid w:val="00C52379"/>
    <w:rsid w:val="00C529CF"/>
    <w:rsid w:val="00C52F5F"/>
    <w:rsid w:val="00C53CDD"/>
    <w:rsid w:val="00C5432B"/>
    <w:rsid w:val="00C54ADC"/>
    <w:rsid w:val="00C5794C"/>
    <w:rsid w:val="00C62401"/>
    <w:rsid w:val="00C63635"/>
    <w:rsid w:val="00C64C0A"/>
    <w:rsid w:val="00C64E72"/>
    <w:rsid w:val="00C66EEE"/>
    <w:rsid w:val="00C70940"/>
    <w:rsid w:val="00C72330"/>
    <w:rsid w:val="00C73D54"/>
    <w:rsid w:val="00C740F1"/>
    <w:rsid w:val="00C752F0"/>
    <w:rsid w:val="00C7620F"/>
    <w:rsid w:val="00C76829"/>
    <w:rsid w:val="00C775E3"/>
    <w:rsid w:val="00C81678"/>
    <w:rsid w:val="00C82D6F"/>
    <w:rsid w:val="00C84F40"/>
    <w:rsid w:val="00C90BBB"/>
    <w:rsid w:val="00C91547"/>
    <w:rsid w:val="00C91AD2"/>
    <w:rsid w:val="00C939AE"/>
    <w:rsid w:val="00C96A47"/>
    <w:rsid w:val="00C96AAD"/>
    <w:rsid w:val="00CA04B5"/>
    <w:rsid w:val="00CA0663"/>
    <w:rsid w:val="00CA07E1"/>
    <w:rsid w:val="00CA1192"/>
    <w:rsid w:val="00CA1480"/>
    <w:rsid w:val="00CA17C6"/>
    <w:rsid w:val="00CA2552"/>
    <w:rsid w:val="00CA7FD8"/>
    <w:rsid w:val="00CB040F"/>
    <w:rsid w:val="00CB1845"/>
    <w:rsid w:val="00CB2E4C"/>
    <w:rsid w:val="00CB49CA"/>
    <w:rsid w:val="00CB5077"/>
    <w:rsid w:val="00CB5F52"/>
    <w:rsid w:val="00CB7B03"/>
    <w:rsid w:val="00CB7D73"/>
    <w:rsid w:val="00CC1A7F"/>
    <w:rsid w:val="00CC363A"/>
    <w:rsid w:val="00CC3F9B"/>
    <w:rsid w:val="00CC5508"/>
    <w:rsid w:val="00CC74C7"/>
    <w:rsid w:val="00CC74F0"/>
    <w:rsid w:val="00CC76D9"/>
    <w:rsid w:val="00CD2C2E"/>
    <w:rsid w:val="00CD301B"/>
    <w:rsid w:val="00CD4EA0"/>
    <w:rsid w:val="00CD6E41"/>
    <w:rsid w:val="00CD7122"/>
    <w:rsid w:val="00CE0674"/>
    <w:rsid w:val="00CE19FF"/>
    <w:rsid w:val="00CE3BA2"/>
    <w:rsid w:val="00CE4990"/>
    <w:rsid w:val="00CE67E9"/>
    <w:rsid w:val="00CF0FBB"/>
    <w:rsid w:val="00CF147C"/>
    <w:rsid w:val="00CF3050"/>
    <w:rsid w:val="00CF3D7A"/>
    <w:rsid w:val="00CF47BB"/>
    <w:rsid w:val="00CF7798"/>
    <w:rsid w:val="00D01375"/>
    <w:rsid w:val="00D03B2F"/>
    <w:rsid w:val="00D05128"/>
    <w:rsid w:val="00D052F6"/>
    <w:rsid w:val="00D056AD"/>
    <w:rsid w:val="00D0670D"/>
    <w:rsid w:val="00D117D0"/>
    <w:rsid w:val="00D12341"/>
    <w:rsid w:val="00D1359D"/>
    <w:rsid w:val="00D17A16"/>
    <w:rsid w:val="00D2120C"/>
    <w:rsid w:val="00D212AE"/>
    <w:rsid w:val="00D2216C"/>
    <w:rsid w:val="00D22825"/>
    <w:rsid w:val="00D2307B"/>
    <w:rsid w:val="00D2441D"/>
    <w:rsid w:val="00D252A8"/>
    <w:rsid w:val="00D27F7C"/>
    <w:rsid w:val="00D30A4A"/>
    <w:rsid w:val="00D32CD3"/>
    <w:rsid w:val="00D35753"/>
    <w:rsid w:val="00D3627A"/>
    <w:rsid w:val="00D36888"/>
    <w:rsid w:val="00D37D9B"/>
    <w:rsid w:val="00D4023B"/>
    <w:rsid w:val="00D4517C"/>
    <w:rsid w:val="00D4557C"/>
    <w:rsid w:val="00D4599E"/>
    <w:rsid w:val="00D46112"/>
    <w:rsid w:val="00D51114"/>
    <w:rsid w:val="00D51A9D"/>
    <w:rsid w:val="00D52C6A"/>
    <w:rsid w:val="00D53C4A"/>
    <w:rsid w:val="00D553F9"/>
    <w:rsid w:val="00D55669"/>
    <w:rsid w:val="00D55888"/>
    <w:rsid w:val="00D57E75"/>
    <w:rsid w:val="00D6049F"/>
    <w:rsid w:val="00D60D56"/>
    <w:rsid w:val="00D615DF"/>
    <w:rsid w:val="00D61CDB"/>
    <w:rsid w:val="00D62F0A"/>
    <w:rsid w:val="00D633B0"/>
    <w:rsid w:val="00D63519"/>
    <w:rsid w:val="00D63ED5"/>
    <w:rsid w:val="00D65320"/>
    <w:rsid w:val="00D65345"/>
    <w:rsid w:val="00D66164"/>
    <w:rsid w:val="00D676A3"/>
    <w:rsid w:val="00D701F0"/>
    <w:rsid w:val="00D72A55"/>
    <w:rsid w:val="00D73066"/>
    <w:rsid w:val="00D73A01"/>
    <w:rsid w:val="00D75D10"/>
    <w:rsid w:val="00D75F7F"/>
    <w:rsid w:val="00D76D84"/>
    <w:rsid w:val="00D77BA7"/>
    <w:rsid w:val="00D81FD3"/>
    <w:rsid w:val="00D8211E"/>
    <w:rsid w:val="00D82C46"/>
    <w:rsid w:val="00D838DD"/>
    <w:rsid w:val="00D83AC8"/>
    <w:rsid w:val="00D8478E"/>
    <w:rsid w:val="00D84D32"/>
    <w:rsid w:val="00D86378"/>
    <w:rsid w:val="00D866EF"/>
    <w:rsid w:val="00D9028A"/>
    <w:rsid w:val="00D914E3"/>
    <w:rsid w:val="00D92194"/>
    <w:rsid w:val="00D9246B"/>
    <w:rsid w:val="00D9247B"/>
    <w:rsid w:val="00D92F20"/>
    <w:rsid w:val="00D9397F"/>
    <w:rsid w:val="00D93B48"/>
    <w:rsid w:val="00D94DE6"/>
    <w:rsid w:val="00D94FB9"/>
    <w:rsid w:val="00DA0568"/>
    <w:rsid w:val="00DA1C08"/>
    <w:rsid w:val="00DA2735"/>
    <w:rsid w:val="00DA2CF2"/>
    <w:rsid w:val="00DA405B"/>
    <w:rsid w:val="00DA4BDE"/>
    <w:rsid w:val="00DB1922"/>
    <w:rsid w:val="00DB2A0B"/>
    <w:rsid w:val="00DB2F87"/>
    <w:rsid w:val="00DB385C"/>
    <w:rsid w:val="00DB4AEE"/>
    <w:rsid w:val="00DB55B3"/>
    <w:rsid w:val="00DB6F9B"/>
    <w:rsid w:val="00DB75D2"/>
    <w:rsid w:val="00DB7CAB"/>
    <w:rsid w:val="00DC2EC0"/>
    <w:rsid w:val="00DC4544"/>
    <w:rsid w:val="00DC57DE"/>
    <w:rsid w:val="00DC5F28"/>
    <w:rsid w:val="00DC7E37"/>
    <w:rsid w:val="00DD0BAB"/>
    <w:rsid w:val="00DD2120"/>
    <w:rsid w:val="00DD375D"/>
    <w:rsid w:val="00DD5619"/>
    <w:rsid w:val="00DD6AAA"/>
    <w:rsid w:val="00DD7206"/>
    <w:rsid w:val="00DE0BC3"/>
    <w:rsid w:val="00DE1265"/>
    <w:rsid w:val="00DE6832"/>
    <w:rsid w:val="00DE6E4F"/>
    <w:rsid w:val="00DE7DCB"/>
    <w:rsid w:val="00DF31D4"/>
    <w:rsid w:val="00DF346D"/>
    <w:rsid w:val="00DF3C6F"/>
    <w:rsid w:val="00DF5B08"/>
    <w:rsid w:val="00DF5F16"/>
    <w:rsid w:val="00DF6139"/>
    <w:rsid w:val="00E00849"/>
    <w:rsid w:val="00E00D23"/>
    <w:rsid w:val="00E020EE"/>
    <w:rsid w:val="00E028A1"/>
    <w:rsid w:val="00E0315E"/>
    <w:rsid w:val="00E03406"/>
    <w:rsid w:val="00E069FA"/>
    <w:rsid w:val="00E07B04"/>
    <w:rsid w:val="00E1182C"/>
    <w:rsid w:val="00E126D1"/>
    <w:rsid w:val="00E13318"/>
    <w:rsid w:val="00E15916"/>
    <w:rsid w:val="00E175FA"/>
    <w:rsid w:val="00E22700"/>
    <w:rsid w:val="00E22B98"/>
    <w:rsid w:val="00E235C2"/>
    <w:rsid w:val="00E23D50"/>
    <w:rsid w:val="00E2547E"/>
    <w:rsid w:val="00E25E80"/>
    <w:rsid w:val="00E27EA6"/>
    <w:rsid w:val="00E3034D"/>
    <w:rsid w:val="00E30DE7"/>
    <w:rsid w:val="00E31268"/>
    <w:rsid w:val="00E314B4"/>
    <w:rsid w:val="00E32D66"/>
    <w:rsid w:val="00E32FFE"/>
    <w:rsid w:val="00E331E7"/>
    <w:rsid w:val="00E35EA6"/>
    <w:rsid w:val="00E36D67"/>
    <w:rsid w:val="00E36F1C"/>
    <w:rsid w:val="00E40563"/>
    <w:rsid w:val="00E409D4"/>
    <w:rsid w:val="00E42CA4"/>
    <w:rsid w:val="00E442AF"/>
    <w:rsid w:val="00E44E49"/>
    <w:rsid w:val="00E44F32"/>
    <w:rsid w:val="00E45463"/>
    <w:rsid w:val="00E45D3C"/>
    <w:rsid w:val="00E47ACE"/>
    <w:rsid w:val="00E506F0"/>
    <w:rsid w:val="00E52A3B"/>
    <w:rsid w:val="00E5326A"/>
    <w:rsid w:val="00E546E2"/>
    <w:rsid w:val="00E54AB9"/>
    <w:rsid w:val="00E5623B"/>
    <w:rsid w:val="00E56F6C"/>
    <w:rsid w:val="00E6169C"/>
    <w:rsid w:val="00E61A2C"/>
    <w:rsid w:val="00E61A4F"/>
    <w:rsid w:val="00E62395"/>
    <w:rsid w:val="00E64825"/>
    <w:rsid w:val="00E64B2F"/>
    <w:rsid w:val="00E64EAD"/>
    <w:rsid w:val="00E65E0E"/>
    <w:rsid w:val="00E670B4"/>
    <w:rsid w:val="00E67A8F"/>
    <w:rsid w:val="00E67DA7"/>
    <w:rsid w:val="00E67FD8"/>
    <w:rsid w:val="00E71F8C"/>
    <w:rsid w:val="00E72E3B"/>
    <w:rsid w:val="00E75036"/>
    <w:rsid w:val="00E75EE6"/>
    <w:rsid w:val="00E8266C"/>
    <w:rsid w:val="00E84490"/>
    <w:rsid w:val="00E84A4F"/>
    <w:rsid w:val="00E85469"/>
    <w:rsid w:val="00E85A8F"/>
    <w:rsid w:val="00E90A49"/>
    <w:rsid w:val="00E90BE6"/>
    <w:rsid w:val="00E910F9"/>
    <w:rsid w:val="00E9197F"/>
    <w:rsid w:val="00E939C4"/>
    <w:rsid w:val="00E93D1A"/>
    <w:rsid w:val="00E948E8"/>
    <w:rsid w:val="00E96987"/>
    <w:rsid w:val="00E9723A"/>
    <w:rsid w:val="00EA0A2F"/>
    <w:rsid w:val="00EA1AD8"/>
    <w:rsid w:val="00EA25A4"/>
    <w:rsid w:val="00EA6C2F"/>
    <w:rsid w:val="00EA762F"/>
    <w:rsid w:val="00EB15F3"/>
    <w:rsid w:val="00EB2C59"/>
    <w:rsid w:val="00EB3E19"/>
    <w:rsid w:val="00EB5008"/>
    <w:rsid w:val="00EB6A0A"/>
    <w:rsid w:val="00EB6C31"/>
    <w:rsid w:val="00EB7304"/>
    <w:rsid w:val="00EB745F"/>
    <w:rsid w:val="00EB7761"/>
    <w:rsid w:val="00EB77D1"/>
    <w:rsid w:val="00EC0132"/>
    <w:rsid w:val="00EC078F"/>
    <w:rsid w:val="00EC2DF4"/>
    <w:rsid w:val="00EC4FDB"/>
    <w:rsid w:val="00EC5D24"/>
    <w:rsid w:val="00EC7C50"/>
    <w:rsid w:val="00ED1255"/>
    <w:rsid w:val="00ED22F4"/>
    <w:rsid w:val="00ED4264"/>
    <w:rsid w:val="00ED4A83"/>
    <w:rsid w:val="00ED53FA"/>
    <w:rsid w:val="00ED59CD"/>
    <w:rsid w:val="00EE10B7"/>
    <w:rsid w:val="00EE140F"/>
    <w:rsid w:val="00EE1B6A"/>
    <w:rsid w:val="00EE2C8C"/>
    <w:rsid w:val="00EE2D7B"/>
    <w:rsid w:val="00EF0059"/>
    <w:rsid w:val="00EF0A4C"/>
    <w:rsid w:val="00EF0D6A"/>
    <w:rsid w:val="00EF1CE4"/>
    <w:rsid w:val="00EF1E01"/>
    <w:rsid w:val="00EF38FE"/>
    <w:rsid w:val="00EF4A72"/>
    <w:rsid w:val="00EF6369"/>
    <w:rsid w:val="00EF6BF3"/>
    <w:rsid w:val="00F01BFC"/>
    <w:rsid w:val="00F03CED"/>
    <w:rsid w:val="00F04AC5"/>
    <w:rsid w:val="00F05C88"/>
    <w:rsid w:val="00F0680E"/>
    <w:rsid w:val="00F070D2"/>
    <w:rsid w:val="00F102F6"/>
    <w:rsid w:val="00F103CF"/>
    <w:rsid w:val="00F1097B"/>
    <w:rsid w:val="00F11E09"/>
    <w:rsid w:val="00F1296A"/>
    <w:rsid w:val="00F12F43"/>
    <w:rsid w:val="00F138D9"/>
    <w:rsid w:val="00F14A0E"/>
    <w:rsid w:val="00F14F71"/>
    <w:rsid w:val="00F16157"/>
    <w:rsid w:val="00F16621"/>
    <w:rsid w:val="00F21B76"/>
    <w:rsid w:val="00F2208D"/>
    <w:rsid w:val="00F229C1"/>
    <w:rsid w:val="00F242E9"/>
    <w:rsid w:val="00F24DB6"/>
    <w:rsid w:val="00F27493"/>
    <w:rsid w:val="00F27B53"/>
    <w:rsid w:val="00F3052A"/>
    <w:rsid w:val="00F30F70"/>
    <w:rsid w:val="00F31971"/>
    <w:rsid w:val="00F327A1"/>
    <w:rsid w:val="00F32EB3"/>
    <w:rsid w:val="00F33194"/>
    <w:rsid w:val="00F33841"/>
    <w:rsid w:val="00F33ECF"/>
    <w:rsid w:val="00F34072"/>
    <w:rsid w:val="00F35291"/>
    <w:rsid w:val="00F3620B"/>
    <w:rsid w:val="00F375DE"/>
    <w:rsid w:val="00F37E17"/>
    <w:rsid w:val="00F43705"/>
    <w:rsid w:val="00F43B3E"/>
    <w:rsid w:val="00F440B3"/>
    <w:rsid w:val="00F442F7"/>
    <w:rsid w:val="00F451DD"/>
    <w:rsid w:val="00F4600B"/>
    <w:rsid w:val="00F46473"/>
    <w:rsid w:val="00F46EE0"/>
    <w:rsid w:val="00F473B9"/>
    <w:rsid w:val="00F47A50"/>
    <w:rsid w:val="00F51C19"/>
    <w:rsid w:val="00F54936"/>
    <w:rsid w:val="00F55E50"/>
    <w:rsid w:val="00F57830"/>
    <w:rsid w:val="00F57914"/>
    <w:rsid w:val="00F57CC9"/>
    <w:rsid w:val="00F6387B"/>
    <w:rsid w:val="00F63D89"/>
    <w:rsid w:val="00F65292"/>
    <w:rsid w:val="00F65D3B"/>
    <w:rsid w:val="00F667BA"/>
    <w:rsid w:val="00F67A14"/>
    <w:rsid w:val="00F70344"/>
    <w:rsid w:val="00F74CD4"/>
    <w:rsid w:val="00F76139"/>
    <w:rsid w:val="00F768F3"/>
    <w:rsid w:val="00F77DCB"/>
    <w:rsid w:val="00F82AFD"/>
    <w:rsid w:val="00F82F1A"/>
    <w:rsid w:val="00F82FC8"/>
    <w:rsid w:val="00F8608C"/>
    <w:rsid w:val="00F90754"/>
    <w:rsid w:val="00F90CC1"/>
    <w:rsid w:val="00F93ADA"/>
    <w:rsid w:val="00F94435"/>
    <w:rsid w:val="00F95DC6"/>
    <w:rsid w:val="00F96291"/>
    <w:rsid w:val="00F964AB"/>
    <w:rsid w:val="00F96EB2"/>
    <w:rsid w:val="00F9712B"/>
    <w:rsid w:val="00FA09C0"/>
    <w:rsid w:val="00FA0F20"/>
    <w:rsid w:val="00FA1355"/>
    <w:rsid w:val="00FA2F3D"/>
    <w:rsid w:val="00FA2FB9"/>
    <w:rsid w:val="00FA39EE"/>
    <w:rsid w:val="00FA4C50"/>
    <w:rsid w:val="00FA4EA4"/>
    <w:rsid w:val="00FA54F2"/>
    <w:rsid w:val="00FA587D"/>
    <w:rsid w:val="00FA5B2A"/>
    <w:rsid w:val="00FB0ADF"/>
    <w:rsid w:val="00FB0DD8"/>
    <w:rsid w:val="00FB1D03"/>
    <w:rsid w:val="00FB25E9"/>
    <w:rsid w:val="00FC12F6"/>
    <w:rsid w:val="00FC4650"/>
    <w:rsid w:val="00FC51A7"/>
    <w:rsid w:val="00FC64E5"/>
    <w:rsid w:val="00FC727E"/>
    <w:rsid w:val="00FC7B05"/>
    <w:rsid w:val="00FD04DD"/>
    <w:rsid w:val="00FD059E"/>
    <w:rsid w:val="00FD1BFE"/>
    <w:rsid w:val="00FD3D26"/>
    <w:rsid w:val="00FD4302"/>
    <w:rsid w:val="00FD6767"/>
    <w:rsid w:val="00FD7E85"/>
    <w:rsid w:val="00FE0B2D"/>
    <w:rsid w:val="00FE0E5F"/>
    <w:rsid w:val="00FE4B0D"/>
    <w:rsid w:val="00FE51AD"/>
    <w:rsid w:val="00FF00CA"/>
    <w:rsid w:val="00FF28D4"/>
    <w:rsid w:val="00FF3378"/>
    <w:rsid w:val="00FF3965"/>
    <w:rsid w:val="00FF4282"/>
    <w:rsid w:val="00FF45AC"/>
    <w:rsid w:val="00FF5AA6"/>
    <w:rsid w:val="00FF642B"/>
    <w:rsid w:val="00FF6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5626D79"/>
  <w15:docId w15:val="{C7D6C91D-DEDC-433D-8354-DDB2CFCE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
    <w:basedOn w:val="Normal"/>
    <w:link w:val="FootnoteTextChar"/>
    <w:uiPriority w:val="99"/>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
    <w:uiPriority w:val="99"/>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link w:val="ListParagraph"/>
    <w:uiPriority w:val="34"/>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2"/>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semiHidden/>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7E0A0D"/>
    <w:pPr>
      <w:tabs>
        <w:tab w:val="left" w:pos="284"/>
        <w:tab w:val="right" w:leader="dot" w:pos="9072"/>
      </w:tabs>
      <w:spacing w:after="0"/>
      <w:ind w:left="284" w:right="991" w:hanging="284"/>
    </w:p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character" w:customStyle="1" w:styleId="NoSpacingChar">
    <w:name w:val="No Spacing Char"/>
    <w:basedOn w:val="DefaultParagraphFont"/>
    <w:link w:val="NoSpacing"/>
    <w:uiPriority w:val="1"/>
    <w:rsid w:val="00FA587D"/>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openxmlformats.org/officeDocument/2006/relationships/chart" Target="charts/chart2.xml"/><Relationship Id="rId63" Type="http://schemas.openxmlformats.org/officeDocument/2006/relationships/image" Target="media/image6.png"/><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footer" Target="footer1.xml"/><Relationship Id="rId58" Type="http://schemas.openxmlformats.org/officeDocument/2006/relationships/chart" Target="charts/chart3.xml"/><Relationship Id="rId66"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image" Target="media/image1.emf"/><Relationship Id="rId57" Type="http://schemas.openxmlformats.org/officeDocument/2006/relationships/image" Target="media/image3.emf"/><Relationship Id="rId61" Type="http://schemas.openxmlformats.org/officeDocument/2006/relationships/chart" Target="charts/chart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3.xml"/><Relationship Id="rId60" Type="http://schemas.openxmlformats.org/officeDocument/2006/relationships/image" Target="media/image4.emf"/><Relationship Id="rId65"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image" Target="media/image2.emf"/><Relationship Id="rId64" Type="http://schemas.openxmlformats.org/officeDocument/2006/relationships/chart" Target="charts/chart6.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chart" Target="charts/chart4.xm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hart" Target="charts/chart1.xml"/><Relationship Id="rId6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3"/>
          <c:order val="3"/>
          <c:tx>
            <c:strRef>
              <c:f>'Parnervalstu svērtā izaugsme'!$J$9</c:f>
              <c:strCache>
                <c:ptCount val="1"/>
                <c:pt idx="0">
                  <c:v>ES</c:v>
                </c:pt>
              </c:strCache>
            </c:strRef>
          </c:tx>
          <c:spPr>
            <a:solidFill>
              <a:srgbClr val="FFC000"/>
            </a:solidFill>
            <a:ln>
              <a:noFill/>
            </a:ln>
            <a:effectLst/>
          </c:spPr>
          <c:invertIfNegative val="0"/>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izaugsme'!$M$10:$M$23</c:f>
              <c:numCache>
                <c:formatCode>General</c:formatCode>
                <c:ptCount val="14"/>
                <c:pt idx="12" formatCode="#,##0.0">
                  <c:v>1.6</c:v>
                </c:pt>
                <c:pt idx="13" formatCode="#,##0.0">
                  <c:v>1.8</c:v>
                </c:pt>
              </c:numCache>
            </c:numRef>
          </c:val>
        </c:ser>
        <c:ser>
          <c:idx val="4"/>
          <c:order val="4"/>
          <c:tx>
            <c:strRef>
              <c:f>'Parnervalstu svērtā izaugsme'!$C$9</c:f>
              <c:strCache>
                <c:ptCount val="1"/>
                <c:pt idx="0">
                  <c:v>Latvija</c:v>
                </c:pt>
              </c:strCache>
            </c:strRef>
          </c:tx>
          <c:spPr>
            <a:solidFill>
              <a:srgbClr val="C00000"/>
            </a:solidFill>
            <a:ln>
              <a:noFill/>
            </a:ln>
            <a:effectLst/>
          </c:spPr>
          <c:invertIfNegative val="0"/>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izaugsme'!$L$10:$L$23</c:f>
              <c:numCache>
                <c:formatCode>General</c:formatCode>
                <c:ptCount val="14"/>
                <c:pt idx="0">
                  <c:v>0</c:v>
                </c:pt>
                <c:pt idx="12" formatCode="#,##0.0">
                  <c:v>4</c:v>
                </c:pt>
                <c:pt idx="13" formatCode="#,##0.0">
                  <c:v>4</c:v>
                </c:pt>
              </c:numCache>
            </c:numRef>
          </c:val>
        </c:ser>
        <c:ser>
          <c:idx val="5"/>
          <c:order val="5"/>
          <c:tx>
            <c:strRef>
              <c:f>'Parnervalstu svērtā izaugsme'!$R$16</c:f>
              <c:strCache>
                <c:ptCount val="1"/>
              </c:strCache>
            </c:strRef>
          </c:tx>
          <c:spPr>
            <a:solidFill>
              <a:schemeClr val="accent5"/>
            </a:solidFill>
            <a:ln>
              <a:noFill/>
            </a:ln>
            <a:effectLst/>
          </c:spPr>
          <c:invertIfNegative val="0"/>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izaugsme'!$N$10:$N$23</c:f>
              <c:numCache>
                <c:formatCode>General</c:formatCode>
                <c:ptCount val="14"/>
                <c:pt idx="12" formatCode="#,##0.0">
                  <c:v>2.470503034930962</c:v>
                </c:pt>
                <c:pt idx="13" formatCode="#,##0.0">
                  <c:v>2.8799352842984489</c:v>
                </c:pt>
              </c:numCache>
            </c:numRef>
          </c:val>
        </c:ser>
        <c:dLbls>
          <c:showLegendKey val="0"/>
          <c:showVal val="0"/>
          <c:showCatName val="0"/>
          <c:showSerName val="0"/>
          <c:showPercent val="0"/>
          <c:showBubbleSize val="0"/>
        </c:dLbls>
        <c:gapWidth val="150"/>
        <c:axId val="218917568"/>
        <c:axId val="218917960"/>
      </c:barChart>
      <c:lineChart>
        <c:grouping val="standard"/>
        <c:varyColors val="0"/>
        <c:ser>
          <c:idx val="0"/>
          <c:order val="0"/>
          <c:tx>
            <c:strRef>
              <c:f>'Parnervalstu svērtā izaugsme'!$J$9</c:f>
              <c:strCache>
                <c:ptCount val="1"/>
                <c:pt idx="0">
                  <c:v>ES</c:v>
                </c:pt>
              </c:strCache>
            </c:strRef>
          </c:tx>
          <c:spPr>
            <a:ln w="28575" cap="rnd">
              <a:solidFill>
                <a:srgbClr val="FFC000"/>
              </a:solidFill>
              <a:round/>
            </a:ln>
            <a:effectLst/>
          </c:spPr>
          <c:marker>
            <c:symbol val="none"/>
          </c:marker>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izaugsme'!$J$10:$J$21</c:f>
              <c:numCache>
                <c:formatCode>#,##0.0</c:formatCode>
                <c:ptCount val="12"/>
                <c:pt idx="0">
                  <c:v>2.7</c:v>
                </c:pt>
                <c:pt idx="1">
                  <c:v>1.9</c:v>
                </c:pt>
                <c:pt idx="2">
                  <c:v>1.5</c:v>
                </c:pt>
                <c:pt idx="3">
                  <c:v>0.6</c:v>
                </c:pt>
                <c:pt idx="4">
                  <c:v>0.7</c:v>
                </c:pt>
                <c:pt idx="5">
                  <c:v>-0.7</c:v>
                </c:pt>
                <c:pt idx="6">
                  <c:v>-0.6</c:v>
                </c:pt>
                <c:pt idx="7">
                  <c:v>-0.9</c:v>
                </c:pt>
                <c:pt idx="8">
                  <c:v>-1.4</c:v>
                </c:pt>
                <c:pt idx="9">
                  <c:v>-0.1</c:v>
                </c:pt>
                <c:pt idx="10">
                  <c:v>0.4</c:v>
                </c:pt>
                <c:pt idx="11">
                  <c:v>1.1000000000000001</c:v>
                </c:pt>
              </c:numCache>
            </c:numRef>
          </c:val>
          <c:smooth val="0"/>
        </c:ser>
        <c:ser>
          <c:idx val="1"/>
          <c:order val="1"/>
          <c:tx>
            <c:strRef>
              <c:f>'Parnervalstu svērtā izaugsme'!$K$9</c:f>
              <c:strCache>
                <c:ptCount val="1"/>
                <c:pt idx="0">
                  <c:v>Partnervalstis*</c:v>
                </c:pt>
              </c:strCache>
            </c:strRef>
          </c:tx>
          <c:spPr>
            <a:ln w="28575" cap="rnd">
              <a:solidFill>
                <a:schemeClr val="accent5"/>
              </a:solidFill>
              <a:round/>
            </a:ln>
            <a:effectLst/>
          </c:spPr>
          <c:marker>
            <c:symbol val="none"/>
          </c:marker>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izaugsme'!$K$10:$K$21</c:f>
              <c:numCache>
                <c:formatCode>#,##0.0</c:formatCode>
                <c:ptCount val="12"/>
                <c:pt idx="0">
                  <c:v>6.4420288948123732</c:v>
                </c:pt>
                <c:pt idx="1">
                  <c:v>5.8837373781154678</c:v>
                </c:pt>
                <c:pt idx="2">
                  <c:v>6.2322883656040675</c:v>
                </c:pt>
                <c:pt idx="3">
                  <c:v>4.3798270051410766</c:v>
                </c:pt>
                <c:pt idx="4">
                  <c:v>3.8141426411229142</c:v>
                </c:pt>
                <c:pt idx="5">
                  <c:v>2.1771629331680886</c:v>
                </c:pt>
                <c:pt idx="6">
                  <c:v>2.9591776171745425</c:v>
                </c:pt>
                <c:pt idx="7">
                  <c:v>2.7247871615030874</c:v>
                </c:pt>
                <c:pt idx="8">
                  <c:v>1.4929889415296727</c:v>
                </c:pt>
                <c:pt idx="9">
                  <c:v>1.8507288941435509</c:v>
                </c:pt>
                <c:pt idx="10">
                  <c:v>1.4110336664964203</c:v>
                </c:pt>
                <c:pt idx="11">
                  <c:v>1.7936756734860964</c:v>
                </c:pt>
              </c:numCache>
            </c:numRef>
          </c:val>
          <c:smooth val="0"/>
        </c:ser>
        <c:ser>
          <c:idx val="2"/>
          <c:order val="2"/>
          <c:tx>
            <c:strRef>
              <c:f>'Parnervalstu svērtā izaugsme'!$C$9</c:f>
              <c:strCache>
                <c:ptCount val="1"/>
                <c:pt idx="0">
                  <c:v>Latvija</c:v>
                </c:pt>
              </c:strCache>
            </c:strRef>
          </c:tx>
          <c:spPr>
            <a:ln w="28575" cap="rnd">
              <a:solidFill>
                <a:srgbClr val="C00000"/>
              </a:solidFill>
              <a:round/>
            </a:ln>
            <a:effectLst/>
          </c:spPr>
          <c:marker>
            <c:symbol val="none"/>
          </c:marker>
          <c:cat>
            <c:multiLvlStrRef>
              <c:f>'Parnervalstu svērtā izaugsme'!$A$10:$B$23</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lvl>
                <c:lvl>
                  <c:pt idx="0">
                    <c:v>2011</c:v>
                  </c:pt>
                  <c:pt idx="4">
                    <c:v>2012</c:v>
                  </c:pt>
                  <c:pt idx="8">
                    <c:v>2013</c:v>
                  </c:pt>
                  <c:pt idx="12">
                    <c:v>2014</c:v>
                  </c:pt>
                  <c:pt idx="13">
                    <c:v>2015</c:v>
                  </c:pt>
                </c:lvl>
              </c:multiLvlStrCache>
            </c:multiLvlStrRef>
          </c:cat>
          <c:val>
            <c:numRef>
              <c:f>'Parnervalstu svērtā izaugsme'!$C$10:$C$21</c:f>
              <c:numCache>
                <c:formatCode>#,##0.0</c:formatCode>
                <c:ptCount val="12"/>
                <c:pt idx="0">
                  <c:v>2.7</c:v>
                </c:pt>
                <c:pt idx="1">
                  <c:v>5.8</c:v>
                </c:pt>
                <c:pt idx="2">
                  <c:v>7.3</c:v>
                </c:pt>
                <c:pt idx="3">
                  <c:v>5.0999999999999996</c:v>
                </c:pt>
                <c:pt idx="4">
                  <c:v>7.1</c:v>
                </c:pt>
                <c:pt idx="5">
                  <c:v>4.9000000000000004</c:v>
                </c:pt>
                <c:pt idx="6">
                  <c:v>4.5999999999999996</c:v>
                </c:pt>
                <c:pt idx="7">
                  <c:v>4.5999999999999996</c:v>
                </c:pt>
                <c:pt idx="8">
                  <c:v>3.8</c:v>
                </c:pt>
                <c:pt idx="9">
                  <c:v>4.3</c:v>
                </c:pt>
                <c:pt idx="10">
                  <c:v>4.5</c:v>
                </c:pt>
                <c:pt idx="11">
                  <c:v>3.6</c:v>
                </c:pt>
              </c:numCache>
            </c:numRef>
          </c:val>
          <c:smooth val="0"/>
        </c:ser>
        <c:dLbls>
          <c:showLegendKey val="0"/>
          <c:showVal val="0"/>
          <c:showCatName val="0"/>
          <c:showSerName val="0"/>
          <c:showPercent val="0"/>
          <c:showBubbleSize val="0"/>
        </c:dLbls>
        <c:marker val="1"/>
        <c:smooth val="0"/>
        <c:axId val="218917568"/>
        <c:axId val="218917960"/>
      </c:lineChart>
      <c:catAx>
        <c:axId val="218917568"/>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8917960"/>
        <c:crosses val="autoZero"/>
        <c:auto val="1"/>
        <c:lblAlgn val="ctr"/>
        <c:lblOffset val="100"/>
        <c:noMultiLvlLbl val="0"/>
      </c:catAx>
      <c:valAx>
        <c:axId val="218917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891756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BySource!$L$1</c:f>
              <c:strCache>
                <c:ptCount val="1"/>
                <c:pt idx="0">
                  <c:v>Pamatinflācija</c:v>
                </c:pt>
              </c:strCache>
            </c:strRef>
          </c:tx>
          <c:spPr>
            <a:solidFill>
              <a:schemeClr val="accent1"/>
            </a:solidFill>
            <a:ln>
              <a:solidFill>
                <a:schemeClr val="tx1"/>
              </a:solidFill>
            </a:ln>
          </c:spPr>
          <c:invertIfNegative val="0"/>
          <c:cat>
            <c:multiLvlStrRef>
              <c:f>BySource!$A$74:$B$124</c:f>
              <c:multiLvlStrCache>
                <c:ptCount val="5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lvl>
                <c:lvl>
                  <c:pt idx="0">
                    <c:v>2010</c:v>
                  </c:pt>
                  <c:pt idx="12">
                    <c:v>2011</c:v>
                  </c:pt>
                  <c:pt idx="24">
                    <c:v>2012</c:v>
                  </c:pt>
                  <c:pt idx="36">
                    <c:v>2013</c:v>
                  </c:pt>
                  <c:pt idx="48">
                    <c:v>2014</c:v>
                  </c:pt>
                </c:lvl>
              </c:multiLvlStrCache>
            </c:multiLvlStrRef>
          </c:cat>
          <c:val>
            <c:numRef>
              <c:f>BySource!$L$74:$L$124</c:f>
              <c:numCache>
                <c:formatCode>0.0</c:formatCode>
                <c:ptCount val="51"/>
                <c:pt idx="0">
                  <c:v>-2.9802448303148794</c:v>
                </c:pt>
                <c:pt idx="1">
                  <c:v>-2.85455261123515</c:v>
                </c:pt>
                <c:pt idx="2">
                  <c:v>-3.055245446830535</c:v>
                </c:pt>
                <c:pt idx="3">
                  <c:v>-2.8617262718477137</c:v>
                </c:pt>
                <c:pt idx="4">
                  <c:v>-2.6603293144512099</c:v>
                </c:pt>
                <c:pt idx="5">
                  <c:v>-2.2316592300921223</c:v>
                </c:pt>
                <c:pt idx="6">
                  <c:v>-2.0631131818482977</c:v>
                </c:pt>
                <c:pt idx="7">
                  <c:v>-1.9073599291272509</c:v>
                </c:pt>
                <c:pt idx="8">
                  <c:v>-1.3556496561248843</c:v>
                </c:pt>
                <c:pt idx="9">
                  <c:v>-0.84851190249570452</c:v>
                </c:pt>
                <c:pt idx="10">
                  <c:v>-0.2588905148681136</c:v>
                </c:pt>
                <c:pt idx="11">
                  <c:v>-0.18327623555566597</c:v>
                </c:pt>
                <c:pt idx="12">
                  <c:v>-0.23221569906666106</c:v>
                </c:pt>
                <c:pt idx="13">
                  <c:v>0.16795475336256693</c:v>
                </c:pt>
                <c:pt idx="14">
                  <c:v>0.44278884920387007</c:v>
                </c:pt>
                <c:pt idx="15" formatCode="#,##0.0">
                  <c:v>0.81758930354354042</c:v>
                </c:pt>
                <c:pt idx="16" formatCode="#,##0.0">
                  <c:v>1.1538504176328621</c:v>
                </c:pt>
                <c:pt idx="17" formatCode="#,##0.0">
                  <c:v>1.1430112377119528</c:v>
                </c:pt>
                <c:pt idx="18" formatCode="#,##0.0">
                  <c:v>0.83605353700602669</c:v>
                </c:pt>
                <c:pt idx="19" formatCode="#,##0.0">
                  <c:v>1.2310116803752664</c:v>
                </c:pt>
                <c:pt idx="20" formatCode="#,##0.0">
                  <c:v>0.90949947868702985</c:v>
                </c:pt>
                <c:pt idx="21" formatCode="#,##0.0">
                  <c:v>0.58318986093315961</c:v>
                </c:pt>
                <c:pt idx="22" formatCode="#,##0.0">
                  <c:v>0.32144784070706667</c:v>
                </c:pt>
                <c:pt idx="23" formatCode="#,##0.0">
                  <c:v>0.8953919297645081</c:v>
                </c:pt>
                <c:pt idx="24" formatCode="#,##0.0">
                  <c:v>1.1025399286447484</c:v>
                </c:pt>
                <c:pt idx="25" formatCode="#,##0.0">
                  <c:v>0.75283553879838938</c:v>
                </c:pt>
                <c:pt idx="26" formatCode="#,##0.0">
                  <c:v>0.70006534667926335</c:v>
                </c:pt>
                <c:pt idx="27" formatCode="#,##0.0">
                  <c:v>0.75882155483669722</c:v>
                </c:pt>
                <c:pt idx="28" formatCode="#,##0.0">
                  <c:v>0.5042807887152726</c:v>
                </c:pt>
                <c:pt idx="29" formatCode="#,##0.0">
                  <c:v>0.5250149278475813</c:v>
                </c:pt>
                <c:pt idx="30" formatCode="#,##0.0">
                  <c:v>0.94604690603242114</c:v>
                </c:pt>
                <c:pt idx="31" formatCode="#,##0.0">
                  <c:v>0.5178965405778726</c:v>
                </c:pt>
                <c:pt idx="32" formatCode="#,##0.0">
                  <c:v>0.45100236309289266</c:v>
                </c:pt>
                <c:pt idx="33" formatCode="#,##0.0">
                  <c:v>0.22329785833336249</c:v>
                </c:pt>
                <c:pt idx="34" formatCode="#,##0.0">
                  <c:v>0.49238466897748123</c:v>
                </c:pt>
                <c:pt idx="35" formatCode="#,##0.0">
                  <c:v>0.27910727214423348</c:v>
                </c:pt>
                <c:pt idx="36" formatCode="#,##0.0">
                  <c:v>0.14873482477826305</c:v>
                </c:pt>
                <c:pt idx="37" formatCode="#,##0.0">
                  <c:v>0.35009855900909903</c:v>
                </c:pt>
                <c:pt idx="38" formatCode="#,##0.0">
                  <c:v>0.48363274612721102</c:v>
                </c:pt>
                <c:pt idx="39" formatCode="#,##0.0">
                  <c:v>0.16224681267014152</c:v>
                </c:pt>
                <c:pt idx="40" formatCode="#,##0.0">
                  <c:v>0.15835916426449675</c:v>
                </c:pt>
                <c:pt idx="41" formatCode="#,##0.0">
                  <c:v>0.17541545444146373</c:v>
                </c:pt>
                <c:pt idx="42" formatCode="#,##0.0">
                  <c:v>-5.3226889141087218E-2</c:v>
                </c:pt>
                <c:pt idx="43" formatCode="#,##0.0">
                  <c:v>-2.9177576201974635E-2</c:v>
                </c:pt>
                <c:pt idx="44" formatCode="#,##0.0">
                  <c:v>0.14581285857661022</c:v>
                </c:pt>
                <c:pt idx="45" formatCode="#,##0.0">
                  <c:v>0.5488233147039856</c:v>
                </c:pt>
                <c:pt idx="46" formatCode="#,##0.0">
                  <c:v>9.4562309743944001E-2</c:v>
                </c:pt>
                <c:pt idx="47" formatCode="#,##0.0">
                  <c:v>5.3931978934110641E-2</c:v>
                </c:pt>
                <c:pt idx="48" formatCode="#,##0.0">
                  <c:v>0.4771548895917781</c:v>
                </c:pt>
                <c:pt idx="49" formatCode="#,##0.0">
                  <c:v>0.51192775628832643</c:v>
                </c:pt>
                <c:pt idx="50" formatCode="#,##0.0">
                  <c:v>0.35846950744706274</c:v>
                </c:pt>
              </c:numCache>
            </c:numRef>
          </c:val>
        </c:ser>
        <c:ser>
          <c:idx val="2"/>
          <c:order val="1"/>
          <c:tx>
            <c:strRef>
              <c:f>BySource!$D$1</c:f>
              <c:strCache>
                <c:ptCount val="1"/>
                <c:pt idx="0">
                  <c:v>Nodokļi</c:v>
                </c:pt>
              </c:strCache>
            </c:strRef>
          </c:tx>
          <c:spPr>
            <a:solidFill>
              <a:schemeClr val="accent3"/>
            </a:solidFill>
            <a:ln>
              <a:solidFill>
                <a:schemeClr val="tx1"/>
              </a:solidFill>
            </a:ln>
          </c:spPr>
          <c:invertIfNegative val="0"/>
          <c:cat>
            <c:multiLvlStrRef>
              <c:f>BySource!$A$74:$B$124</c:f>
              <c:multiLvlStrCache>
                <c:ptCount val="5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lvl>
                <c:lvl>
                  <c:pt idx="0">
                    <c:v>2010</c:v>
                  </c:pt>
                  <c:pt idx="12">
                    <c:v>2011</c:v>
                  </c:pt>
                  <c:pt idx="24">
                    <c:v>2012</c:v>
                  </c:pt>
                  <c:pt idx="36">
                    <c:v>2013</c:v>
                  </c:pt>
                  <c:pt idx="48">
                    <c:v>2014</c:v>
                  </c:pt>
                </c:lvl>
              </c:multiLvlStrCache>
            </c:multiLvlStrRef>
          </c:cat>
          <c:val>
            <c:numRef>
              <c:f>BySource!$D$74:$D$124</c:f>
              <c:numCache>
                <c:formatCode>#,##0.0</c:formatCode>
                <c:ptCount val="51"/>
                <c:pt idx="0">
                  <c:v>1.4743955481212208</c:v>
                </c:pt>
                <c:pt idx="1">
                  <c:v>0.12840434537499945</c:v>
                </c:pt>
                <c:pt idx="2">
                  <c:v>0.15885303590536015</c:v>
                </c:pt>
                <c:pt idx="3">
                  <c:v>0.15362501038491683</c:v>
                </c:pt>
                <c:pt idx="4">
                  <c:v>2.7061284682328157E-2</c:v>
                </c:pt>
                <c:pt idx="5">
                  <c:v>2.7672212634721749E-2</c:v>
                </c:pt>
                <c:pt idx="6">
                  <c:v>-9.7781351703163377E-2</c:v>
                </c:pt>
                <c:pt idx="7">
                  <c:v>-5.427839908889176E-3</c:v>
                </c:pt>
                <c:pt idx="8">
                  <c:v>-4.5275491913576715E-2</c:v>
                </c:pt>
                <c:pt idx="9">
                  <c:v>-3.5471102465312043E-2</c:v>
                </c:pt>
                <c:pt idx="10">
                  <c:v>-5.650216282049314E-2</c:v>
                </c:pt>
                <c:pt idx="11">
                  <c:v>-7.4933278874866893E-2</c:v>
                </c:pt>
                <c:pt idx="12">
                  <c:v>1.2304159339607379</c:v>
                </c:pt>
                <c:pt idx="13">
                  <c:v>1.1814441802687536</c:v>
                </c:pt>
                <c:pt idx="14">
                  <c:v>1.2282632800507454</c:v>
                </c:pt>
                <c:pt idx="15">
                  <c:v>1.2582139240150614</c:v>
                </c:pt>
                <c:pt idx="16">
                  <c:v>1.3815608807900004</c:v>
                </c:pt>
                <c:pt idx="17">
                  <c:v>1.5489923608996037</c:v>
                </c:pt>
                <c:pt idx="18">
                  <c:v>1.7224995425278999</c:v>
                </c:pt>
                <c:pt idx="19">
                  <c:v>1.7346736635327265</c:v>
                </c:pt>
                <c:pt idx="20">
                  <c:v>1.7678932970511152</c:v>
                </c:pt>
                <c:pt idx="21">
                  <c:v>1.7582145591458653</c:v>
                </c:pt>
                <c:pt idx="22">
                  <c:v>1.7525143152246292</c:v>
                </c:pt>
                <c:pt idx="23">
                  <c:v>1.759879651758256</c:v>
                </c:pt>
                <c:pt idx="24">
                  <c:v>0.45790177568316714</c:v>
                </c:pt>
                <c:pt idx="25">
                  <c:v>0.47421735595629677</c:v>
                </c:pt>
                <c:pt idx="26">
                  <c:v>0.48589108472161247</c:v>
                </c:pt>
                <c:pt idx="27">
                  <c:v>0.45332701566038747</c:v>
                </c:pt>
                <c:pt idx="28">
                  <c:v>0.45839335112942692</c:v>
                </c:pt>
                <c:pt idx="29">
                  <c:v>0.28794871077664208</c:v>
                </c:pt>
                <c:pt idx="30">
                  <c:v>-0.57943527856882948</c:v>
                </c:pt>
                <c:pt idx="31">
                  <c:v>-0.58251325406908361</c:v>
                </c:pt>
                <c:pt idx="32">
                  <c:v>-0.57893973701053092</c:v>
                </c:pt>
                <c:pt idx="33">
                  <c:v>-0.58161935690854705</c:v>
                </c:pt>
                <c:pt idx="34">
                  <c:v>-0.4466238437497827</c:v>
                </c:pt>
                <c:pt idx="35">
                  <c:v>-0.65247459257919971</c:v>
                </c:pt>
                <c:pt idx="36">
                  <c:v>-0.5733946089227171</c:v>
                </c:pt>
                <c:pt idx="37">
                  <c:v>-0.57936295049318964</c:v>
                </c:pt>
                <c:pt idx="38">
                  <c:v>-0.62686317339248898</c:v>
                </c:pt>
                <c:pt idx="39">
                  <c:v>-0.62308100188387394</c:v>
                </c:pt>
                <c:pt idx="40">
                  <c:v>-0.57056152760039947</c:v>
                </c:pt>
                <c:pt idx="41">
                  <c:v>-0.56980619320539105</c:v>
                </c:pt>
                <c:pt idx="42">
                  <c:v>5.5124878739420957E-2</c:v>
                </c:pt>
                <c:pt idx="43">
                  <c:v>5.3038196191046438E-2</c:v>
                </c:pt>
                <c:pt idx="44">
                  <c:v>5.2307315329991333E-2</c:v>
                </c:pt>
                <c:pt idx="45">
                  <c:v>6.0488734943564548E-2</c:v>
                </c:pt>
                <c:pt idx="46">
                  <c:v>-6.3255390162519909E-2</c:v>
                </c:pt>
                <c:pt idx="47">
                  <c:v>0.12584630972898303</c:v>
                </c:pt>
                <c:pt idx="48" formatCode="0.0">
                  <c:v>0.15061955041055786</c:v>
                </c:pt>
                <c:pt idx="49" formatCode="0.0">
                  <c:v>0.1538970823339314</c:v>
                </c:pt>
                <c:pt idx="50" formatCode="0.0">
                  <c:v>0</c:v>
                </c:pt>
              </c:numCache>
            </c:numRef>
          </c:val>
        </c:ser>
        <c:ser>
          <c:idx val="1"/>
          <c:order val="2"/>
          <c:tx>
            <c:strRef>
              <c:f>BySource!$N$1</c:f>
              <c:strCache>
                <c:ptCount val="1"/>
                <c:pt idx="0">
                  <c:v>Importētā inflācija</c:v>
                </c:pt>
              </c:strCache>
            </c:strRef>
          </c:tx>
          <c:spPr>
            <a:solidFill>
              <a:srgbClr val="C00000"/>
            </a:solidFill>
            <a:ln>
              <a:solidFill>
                <a:schemeClr val="tx1"/>
              </a:solidFill>
            </a:ln>
          </c:spPr>
          <c:invertIfNegative val="0"/>
          <c:cat>
            <c:multiLvlStrRef>
              <c:f>BySource!$A$74:$B$124</c:f>
              <c:multiLvlStrCache>
                <c:ptCount val="5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lvl>
                <c:lvl>
                  <c:pt idx="0">
                    <c:v>2010</c:v>
                  </c:pt>
                  <c:pt idx="12">
                    <c:v>2011</c:v>
                  </c:pt>
                  <c:pt idx="24">
                    <c:v>2012</c:v>
                  </c:pt>
                  <c:pt idx="36">
                    <c:v>2013</c:v>
                  </c:pt>
                  <c:pt idx="48">
                    <c:v>2014</c:v>
                  </c:pt>
                </c:lvl>
              </c:multiLvlStrCache>
            </c:multiLvlStrRef>
          </c:cat>
          <c:val>
            <c:numRef>
              <c:f>BySource!$N$74:$N$124</c:f>
              <c:numCache>
                <c:formatCode>0.0</c:formatCode>
                <c:ptCount val="51"/>
                <c:pt idx="0">
                  <c:v>-1.630039219548487</c:v>
                </c:pt>
                <c:pt idx="1">
                  <c:v>-1.4692540329904304</c:v>
                </c:pt>
                <c:pt idx="2">
                  <c:v>-1.0600296074234516</c:v>
                </c:pt>
                <c:pt idx="3">
                  <c:v>-5.3693905395663835E-2</c:v>
                </c:pt>
                <c:pt idx="4">
                  <c:v>0.31979203208236112</c:v>
                </c:pt>
                <c:pt idx="5">
                  <c:v>0.8659998155958436</c:v>
                </c:pt>
                <c:pt idx="6">
                  <c:v>1.5757570262372458</c:v>
                </c:pt>
                <c:pt idx="7">
                  <c:v>1.6762413468007782</c:v>
                </c:pt>
                <c:pt idx="8">
                  <c:v>1.8751397301368589</c:v>
                </c:pt>
                <c:pt idx="9">
                  <c:v>1.8934841926094594</c:v>
                </c:pt>
                <c:pt idx="10">
                  <c:v>2.2281242975331832</c:v>
                </c:pt>
                <c:pt idx="11">
                  <c:v>2.7807320369530517</c:v>
                </c:pt>
                <c:pt idx="12">
                  <c:v>2.658874105633501</c:v>
                </c:pt>
                <c:pt idx="13">
                  <c:v>2.6697972271365256</c:v>
                </c:pt>
                <c:pt idx="14">
                  <c:v>2.5677538408946354</c:v>
                </c:pt>
                <c:pt idx="15" formatCode="#,##0.0">
                  <c:v>2.4212381925597288</c:v>
                </c:pt>
                <c:pt idx="16" formatCode="#,##0.0">
                  <c:v>2.4379457175629398</c:v>
                </c:pt>
                <c:pt idx="17" formatCode="#,##0.0">
                  <c:v>2.0839397976148444</c:v>
                </c:pt>
                <c:pt idx="18" formatCode="#,##0.0">
                  <c:v>1.7380920058103817</c:v>
                </c:pt>
                <c:pt idx="19" formatCode="#,##0.0">
                  <c:v>1.717183654313708</c:v>
                </c:pt>
                <c:pt idx="20" formatCode="#,##0.0">
                  <c:v>1.9243771357662824</c:v>
                </c:pt>
                <c:pt idx="21" formatCode="#,##0.0">
                  <c:v>2.067766655758712</c:v>
                </c:pt>
                <c:pt idx="22" formatCode="#,##0.0">
                  <c:v>2.0902607179685848</c:v>
                </c:pt>
                <c:pt idx="23" formatCode="#,##0.0">
                  <c:v>1.3869076803401574</c:v>
                </c:pt>
                <c:pt idx="24" formatCode="#,##0.0">
                  <c:v>2.0062470813389672</c:v>
                </c:pt>
                <c:pt idx="25" formatCode="#,##0.0">
                  <c:v>2.1974535572139926</c:v>
                </c:pt>
                <c:pt idx="26" formatCode="#,##0.0">
                  <c:v>2.1048501173589189</c:v>
                </c:pt>
                <c:pt idx="27" formatCode="#,##0.0">
                  <c:v>1.5433733004427075</c:v>
                </c:pt>
                <c:pt idx="28" formatCode="#,##0.0">
                  <c:v>1.2651821553327776</c:v>
                </c:pt>
                <c:pt idx="29" formatCode="#,##0.0">
                  <c:v>1.0917982661376746</c:v>
                </c:pt>
                <c:pt idx="30" formatCode="#,##0.0">
                  <c:v>1.3135800244550915</c:v>
                </c:pt>
                <c:pt idx="31" formatCode="#,##0.0">
                  <c:v>1.8026642526108247</c:v>
                </c:pt>
                <c:pt idx="32" formatCode="#,##0.0">
                  <c:v>1.9511209329014036</c:v>
                </c:pt>
                <c:pt idx="33" formatCode="#,##0.0">
                  <c:v>1.962455642947267</c:v>
                </c:pt>
                <c:pt idx="34" formatCode="#,##0.0">
                  <c:v>1.5212827935121953</c:v>
                </c:pt>
                <c:pt idx="35" formatCode="#,##0.0">
                  <c:v>1.9240053433714785</c:v>
                </c:pt>
                <c:pt idx="36" formatCode="#,##0.0">
                  <c:v>1.024659784144454</c:v>
                </c:pt>
                <c:pt idx="37" formatCode="#,##0.0">
                  <c:v>0.52926439148409055</c:v>
                </c:pt>
                <c:pt idx="38" formatCode="#,##0.0">
                  <c:v>0.36522603047099567</c:v>
                </c:pt>
                <c:pt idx="39" formatCode="#,##0.0">
                  <c:v>6.0834189213732404E-2</c:v>
                </c:pt>
                <c:pt idx="40" formatCode="#,##0.0">
                  <c:v>0.30562268708034035</c:v>
                </c:pt>
                <c:pt idx="41" formatCode="#,##0.0">
                  <c:v>0.56644238223728949</c:v>
                </c:pt>
                <c:pt idx="42" formatCode="#,##0.0">
                  <c:v>0.33430344745057006</c:v>
                </c:pt>
                <c:pt idx="43" formatCode="#,##0.0">
                  <c:v>-0.24872504366326789</c:v>
                </c:pt>
                <c:pt idx="44" formatCode="#,##0.0">
                  <c:v>-0.58599540994250832</c:v>
                </c:pt>
                <c:pt idx="45" formatCode="#,##0.0">
                  <c:v>-0.66269111021102334</c:v>
                </c:pt>
                <c:pt idx="46" formatCode="#,##0.0">
                  <c:v>-0.47526678390652227</c:v>
                </c:pt>
                <c:pt idx="47" formatCode="#,##0.0">
                  <c:v>-0.57027653418009483</c:v>
                </c:pt>
                <c:pt idx="48" formatCode="#,##0.0">
                  <c:v>-0.24525966510093838</c:v>
                </c:pt>
                <c:pt idx="49" formatCode="#,##0.0">
                  <c:v>-0.15585278137210662</c:v>
                </c:pt>
                <c:pt idx="50" formatCode="#,##0.0">
                  <c:v>-3.4195749671767084E-2</c:v>
                </c:pt>
              </c:numCache>
            </c:numRef>
          </c:val>
        </c:ser>
        <c:dLbls>
          <c:showLegendKey val="0"/>
          <c:showVal val="0"/>
          <c:showCatName val="0"/>
          <c:showSerName val="0"/>
          <c:showPercent val="0"/>
          <c:showBubbleSize val="0"/>
        </c:dLbls>
        <c:gapWidth val="22"/>
        <c:overlap val="100"/>
        <c:axId val="218918744"/>
        <c:axId val="218919136"/>
      </c:barChart>
      <c:lineChart>
        <c:grouping val="standard"/>
        <c:varyColors val="0"/>
        <c:ser>
          <c:idx val="3"/>
          <c:order val="3"/>
          <c:tx>
            <c:strRef>
              <c:f>BySource!$C$1</c:f>
              <c:strCache>
                <c:ptCount val="1"/>
                <c:pt idx="0">
                  <c:v>PCI</c:v>
                </c:pt>
              </c:strCache>
            </c:strRef>
          </c:tx>
          <c:spPr>
            <a:ln w="19050">
              <a:solidFill>
                <a:schemeClr val="tx1"/>
              </a:solidFill>
              <a:prstDash val="dash"/>
            </a:ln>
            <a:effectLst>
              <a:glow rad="25400">
                <a:schemeClr val="tx1">
                  <a:alpha val="40000"/>
                </a:schemeClr>
              </a:glow>
              <a:outerShdw blurRad="50800" dist="38100" dir="2700000" algn="tl" rotWithShape="0">
                <a:prstClr val="black">
                  <a:alpha val="40000"/>
                </a:prstClr>
              </a:outerShdw>
            </a:effectLst>
          </c:spPr>
          <c:marker>
            <c:symbol val="none"/>
          </c:marker>
          <c:val>
            <c:numRef>
              <c:f>BySource!$C$74:$C$124</c:f>
              <c:numCache>
                <c:formatCode>#,##0.0</c:formatCode>
                <c:ptCount val="51"/>
                <c:pt idx="0">
                  <c:v>-3.1358885017421456</c:v>
                </c:pt>
                <c:pt idx="1">
                  <c:v>-4.1954022988505812</c:v>
                </c:pt>
                <c:pt idx="2">
                  <c:v>-3.9564220183486265</c:v>
                </c:pt>
                <c:pt idx="3">
                  <c:v>-2.7617951668584606</c:v>
                </c:pt>
                <c:pt idx="4">
                  <c:v>-2.3134759976865205</c:v>
                </c:pt>
                <c:pt idx="5">
                  <c:v>-1.3379872018615568</c:v>
                </c:pt>
                <c:pt idx="6">
                  <c:v>-0.5851375073142151</c:v>
                </c:pt>
                <c:pt idx="7">
                  <c:v>-0.23654642223536193</c:v>
                </c:pt>
                <c:pt idx="8">
                  <c:v>0.47421458209839784</c:v>
                </c:pt>
                <c:pt idx="9">
                  <c:v>1.0095011876484428</c:v>
                </c:pt>
                <c:pt idx="10">
                  <c:v>1.9127316198445765</c:v>
                </c:pt>
                <c:pt idx="11">
                  <c:v>2.522522522522519</c:v>
                </c:pt>
                <c:pt idx="12">
                  <c:v>3.6570743405275774</c:v>
                </c:pt>
                <c:pt idx="13">
                  <c:v>4.0191961607678461</c:v>
                </c:pt>
                <c:pt idx="14">
                  <c:v>4.2388059701492509</c:v>
                </c:pt>
                <c:pt idx="15">
                  <c:v>4.4970414201183306</c:v>
                </c:pt>
                <c:pt idx="16">
                  <c:v>4.973357015985802</c:v>
                </c:pt>
                <c:pt idx="17">
                  <c:v>4.7759433962264008</c:v>
                </c:pt>
                <c:pt idx="18">
                  <c:v>4.2966450853443083</c:v>
                </c:pt>
                <c:pt idx="19">
                  <c:v>4.6828689982217009</c:v>
                </c:pt>
                <c:pt idx="20">
                  <c:v>4.6017699115044275</c:v>
                </c:pt>
                <c:pt idx="21">
                  <c:v>4.4091710758377367</c:v>
                </c:pt>
                <c:pt idx="22">
                  <c:v>4.1642228739002807</c:v>
                </c:pt>
                <c:pt idx="23">
                  <c:v>4.0421792618629215</c:v>
                </c:pt>
                <c:pt idx="24">
                  <c:v>3.5666887856668827</c:v>
                </c:pt>
                <c:pt idx="25">
                  <c:v>3.4245064519686785</c:v>
                </c:pt>
                <c:pt idx="26">
                  <c:v>3.2908065487597948</c:v>
                </c:pt>
                <c:pt idx="27">
                  <c:v>2.7555218709397922</c:v>
                </c:pt>
                <c:pt idx="28">
                  <c:v>2.2278562951774772</c:v>
                </c:pt>
                <c:pt idx="29">
                  <c:v>1.904761904761898</c:v>
                </c:pt>
                <c:pt idx="30">
                  <c:v>1.6801916519186832</c:v>
                </c:pt>
                <c:pt idx="31">
                  <c:v>1.7380475391196137</c:v>
                </c:pt>
                <c:pt idx="32">
                  <c:v>1.8231835589837653</c:v>
                </c:pt>
                <c:pt idx="33">
                  <c:v>1.6041341443720825</c:v>
                </c:pt>
                <c:pt idx="34">
                  <c:v>1.567043618739894</c:v>
                </c:pt>
                <c:pt idx="35">
                  <c:v>1.5506380229365124</c:v>
                </c:pt>
                <c:pt idx="36">
                  <c:v>0.6</c:v>
                </c:pt>
                <c:pt idx="37">
                  <c:v>0.3</c:v>
                </c:pt>
                <c:pt idx="38">
                  <c:v>0.22199560320571768</c:v>
                </c:pt>
                <c:pt idx="39">
                  <c:v>-0.4</c:v>
                </c:pt>
                <c:pt idx="40">
                  <c:v>-0.10657967625556233</c:v>
                </c:pt>
                <c:pt idx="41">
                  <c:v>0.1720516434733621</c:v>
                </c:pt>
                <c:pt idx="42">
                  <c:v>0.33620143704890382</c:v>
                </c:pt>
                <c:pt idx="43">
                  <c:v>-0.2248644236741961</c:v>
                </c:pt>
                <c:pt idx="44">
                  <c:v>-0.38787523603590679</c:v>
                </c:pt>
                <c:pt idx="45">
                  <c:v>-5.3379060563473191E-2</c:v>
                </c:pt>
                <c:pt idx="46">
                  <c:v>-0.44395986432509815</c:v>
                </c:pt>
                <c:pt idx="47">
                  <c:v>-0.39049824551700107</c:v>
                </c:pt>
                <c:pt idx="48" formatCode="0.0">
                  <c:v>0.38251477490139757</c:v>
                </c:pt>
                <c:pt idx="49" formatCode="0.0">
                  <c:v>0.50997205725015116</c:v>
                </c:pt>
                <c:pt idx="50" formatCode="0.0">
                  <c:v>0.32427375777529566</c:v>
                </c:pt>
              </c:numCache>
            </c:numRef>
          </c:val>
          <c:smooth val="0"/>
        </c:ser>
        <c:dLbls>
          <c:showLegendKey val="0"/>
          <c:showVal val="0"/>
          <c:showCatName val="0"/>
          <c:showSerName val="0"/>
          <c:showPercent val="0"/>
          <c:showBubbleSize val="0"/>
        </c:dLbls>
        <c:marker val="1"/>
        <c:smooth val="0"/>
        <c:axId val="218918744"/>
        <c:axId val="218919136"/>
      </c:lineChart>
      <c:catAx>
        <c:axId val="218918744"/>
        <c:scaling>
          <c:orientation val="minMax"/>
        </c:scaling>
        <c:delete val="0"/>
        <c:axPos val="b"/>
        <c:numFmt formatCode="General" sourceLinked="0"/>
        <c:majorTickMark val="out"/>
        <c:minorTickMark val="none"/>
        <c:tickLblPos val="low"/>
        <c:spPr>
          <a:ln>
            <a:solidFill>
              <a:schemeClr val="tx1"/>
            </a:solidFill>
          </a:ln>
        </c:spPr>
        <c:txPr>
          <a:bodyPr/>
          <a:lstStyle/>
          <a:p>
            <a:pPr>
              <a:defRPr b="1"/>
            </a:pPr>
            <a:endParaRPr lang="lv-LV"/>
          </a:p>
        </c:txPr>
        <c:crossAx val="218919136"/>
        <c:crosses val="autoZero"/>
        <c:auto val="1"/>
        <c:lblAlgn val="ctr"/>
        <c:lblOffset val="100"/>
        <c:noMultiLvlLbl val="0"/>
      </c:catAx>
      <c:valAx>
        <c:axId val="218919136"/>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txPr>
          <a:bodyPr/>
          <a:lstStyle/>
          <a:p>
            <a:pPr>
              <a:defRPr b="1"/>
            </a:pPr>
            <a:endParaRPr lang="lv-LV"/>
          </a:p>
        </c:txPr>
        <c:crossAx val="218918744"/>
        <c:crosses val="autoZero"/>
        <c:crossBetween val="between"/>
      </c:valAx>
      <c:spPr>
        <a:noFill/>
      </c:spPr>
    </c:plotArea>
    <c:legend>
      <c:legendPos val="b"/>
      <c:layout/>
      <c:overlay val="0"/>
      <c:txPr>
        <a:bodyPr/>
        <a:lstStyle/>
        <a:p>
          <a:pPr>
            <a:defRPr b="1"/>
          </a:pPr>
          <a:endParaRPr lang="lv-LV"/>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850182459586913E-2"/>
          <c:y val="6.1217445551909611E-2"/>
          <c:w val="0.68326212297233335"/>
          <c:h val="0.84846182733804099"/>
        </c:manualLayout>
      </c:layout>
      <c:barChart>
        <c:barDir val="col"/>
        <c:grouping val="clustered"/>
        <c:varyColors val="0"/>
        <c:ser>
          <c:idx val="3"/>
          <c:order val="0"/>
          <c:tx>
            <c:strRef>
              <c:f>Sheet1!$A$6</c:f>
              <c:strCache>
                <c:ptCount val="1"/>
                <c:pt idx="0">
                  <c:v>Vispārējās valdības ieņēmumi</c:v>
                </c:pt>
              </c:strCache>
            </c:strRef>
          </c:tx>
          <c:spPr>
            <a:solidFill>
              <a:srgbClr val="A5A5A5"/>
            </a:solidFill>
            <a:ln>
              <a:noFill/>
            </a:ln>
            <a:effectLst/>
          </c:spPr>
          <c:invertIfNegative val="0"/>
          <c:cat>
            <c:strRef>
              <c:f>Sheet1!$B$1:$H$1</c:f>
              <c:strCache>
                <c:ptCount val="7"/>
                <c:pt idx="0">
                  <c:v>2007</c:v>
                </c:pt>
                <c:pt idx="1">
                  <c:v>2008</c:v>
                </c:pt>
                <c:pt idx="2">
                  <c:v>2009</c:v>
                </c:pt>
                <c:pt idx="3">
                  <c:v>2010</c:v>
                </c:pt>
                <c:pt idx="4">
                  <c:v>2011</c:v>
                </c:pt>
                <c:pt idx="5">
                  <c:v>2012</c:v>
                </c:pt>
                <c:pt idx="6">
                  <c:v>2013</c:v>
                </c:pt>
              </c:strCache>
            </c:strRef>
          </c:cat>
          <c:val>
            <c:numRef>
              <c:f>Sheet1!$B$6:$H$6</c:f>
              <c:numCache>
                <c:formatCode>0.0%</c:formatCode>
                <c:ptCount val="7"/>
                <c:pt idx="0">
                  <c:v>0.35299624641736765</c:v>
                </c:pt>
                <c:pt idx="1">
                  <c:v>0.34688903693433226</c:v>
                </c:pt>
                <c:pt idx="2">
                  <c:v>0.34520691259964398</c:v>
                </c:pt>
                <c:pt idx="3">
                  <c:v>0.35293944003089617</c:v>
                </c:pt>
                <c:pt idx="4">
                  <c:v>0.3485973076952037</c:v>
                </c:pt>
                <c:pt idx="5">
                  <c:v>0.35084098585523055</c:v>
                </c:pt>
                <c:pt idx="6">
                  <c:v>0.35145740299140499</c:v>
                </c:pt>
              </c:numCache>
            </c:numRef>
          </c:val>
        </c:ser>
        <c:ser>
          <c:idx val="0"/>
          <c:order val="1"/>
          <c:tx>
            <c:strRef>
              <c:f>Sheet1!$A$7</c:f>
              <c:strCache>
                <c:ptCount val="1"/>
                <c:pt idx="0">
                  <c:v>Vispārējās valdības izdevumi</c:v>
                </c:pt>
              </c:strCache>
            </c:strRef>
          </c:tx>
          <c:spPr>
            <a:solidFill>
              <a:srgbClr val="ED7D31"/>
            </a:solidFill>
            <a:ln>
              <a:noFill/>
            </a:ln>
            <a:effectLst/>
          </c:spPr>
          <c:invertIfNegative val="0"/>
          <c:cat>
            <c:strRef>
              <c:f>Sheet1!$B$1:$H$1</c:f>
              <c:strCache>
                <c:ptCount val="7"/>
                <c:pt idx="0">
                  <c:v>2007</c:v>
                </c:pt>
                <c:pt idx="1">
                  <c:v>2008</c:v>
                </c:pt>
                <c:pt idx="2">
                  <c:v>2009</c:v>
                </c:pt>
                <c:pt idx="3">
                  <c:v>2010</c:v>
                </c:pt>
                <c:pt idx="4">
                  <c:v>2011</c:v>
                </c:pt>
                <c:pt idx="5">
                  <c:v>2012</c:v>
                </c:pt>
                <c:pt idx="6">
                  <c:v>2013</c:v>
                </c:pt>
              </c:strCache>
            </c:strRef>
          </c:cat>
          <c:val>
            <c:numRef>
              <c:f>Sheet1!$B$7:$H$7</c:f>
              <c:numCache>
                <c:formatCode>0.0%</c:formatCode>
                <c:ptCount val="7"/>
                <c:pt idx="0">
                  <c:v>0.3595404850316446</c:v>
                </c:pt>
                <c:pt idx="1">
                  <c:v>0.39069896206871396</c:v>
                </c:pt>
                <c:pt idx="2">
                  <c:v>0.4367643710814989</c:v>
                </c:pt>
                <c:pt idx="3">
                  <c:v>0.43456472386687028</c:v>
                </c:pt>
                <c:pt idx="4">
                  <c:v>0.38384786492751261</c:v>
                </c:pt>
                <c:pt idx="5">
                  <c:v>0.36413629974630496</c:v>
                </c:pt>
                <c:pt idx="6">
                  <c:v>0.36105727394352477</c:v>
                </c:pt>
              </c:numCache>
            </c:numRef>
          </c:val>
        </c:ser>
        <c:dLbls>
          <c:showLegendKey val="0"/>
          <c:showVal val="0"/>
          <c:showCatName val="0"/>
          <c:showSerName val="0"/>
          <c:showPercent val="0"/>
          <c:showBubbleSize val="0"/>
        </c:dLbls>
        <c:gapWidth val="150"/>
        <c:axId val="218919920"/>
        <c:axId val="218920312"/>
      </c:barChart>
      <c:lineChart>
        <c:grouping val="standard"/>
        <c:varyColors val="0"/>
        <c:ser>
          <c:idx val="1"/>
          <c:order val="2"/>
          <c:tx>
            <c:strRef>
              <c:f>Sheet1!$A$8</c:f>
              <c:strCache>
                <c:ptCount val="1"/>
                <c:pt idx="0">
                  <c:v>Vispārējās valdības budžeta bilance</c:v>
                </c:pt>
              </c:strCache>
            </c:strRef>
          </c:tx>
          <c:spPr>
            <a:ln w="28575" cap="rnd">
              <a:solidFill>
                <a:srgbClr val="5B9BD5">
                  <a:lumMod val="50000"/>
                </a:srgbClr>
              </a:solidFill>
              <a:round/>
            </a:ln>
            <a:effectLst/>
          </c:spPr>
          <c:marker>
            <c:symbol val="none"/>
          </c:marker>
          <c:cat>
            <c:strRef>
              <c:f>Sheet1!$B$1:$H$1</c:f>
              <c:strCache>
                <c:ptCount val="7"/>
                <c:pt idx="0">
                  <c:v>2007</c:v>
                </c:pt>
                <c:pt idx="1">
                  <c:v>2008</c:v>
                </c:pt>
                <c:pt idx="2">
                  <c:v>2009</c:v>
                </c:pt>
                <c:pt idx="3">
                  <c:v>2010</c:v>
                </c:pt>
                <c:pt idx="4">
                  <c:v>2011</c:v>
                </c:pt>
                <c:pt idx="5">
                  <c:v>2012</c:v>
                </c:pt>
                <c:pt idx="6">
                  <c:v>2013</c:v>
                </c:pt>
              </c:strCache>
            </c:strRef>
          </c:cat>
          <c:val>
            <c:numRef>
              <c:f>Sheet1!$B$8:$H$8</c:f>
              <c:numCache>
                <c:formatCode>0.0%</c:formatCode>
                <c:ptCount val="7"/>
                <c:pt idx="0">
                  <c:v>-6.5442386142768646E-3</c:v>
                </c:pt>
                <c:pt idx="1">
                  <c:v>-4.3809925134381714E-2</c:v>
                </c:pt>
                <c:pt idx="2">
                  <c:v>-9.155743551278768E-2</c:v>
                </c:pt>
                <c:pt idx="3">
                  <c:v>-8.1625283085356187E-2</c:v>
                </c:pt>
                <c:pt idx="4">
                  <c:v>-3.5250551599895708E-2</c:v>
                </c:pt>
                <c:pt idx="5">
                  <c:v>-1.3295334845260525E-2</c:v>
                </c:pt>
                <c:pt idx="6">
                  <c:v>-9.5998885547236672E-3</c:v>
                </c:pt>
              </c:numCache>
            </c:numRef>
          </c:val>
          <c:smooth val="0"/>
        </c:ser>
        <c:dLbls>
          <c:showLegendKey val="0"/>
          <c:showVal val="0"/>
          <c:showCatName val="0"/>
          <c:showSerName val="0"/>
          <c:showPercent val="0"/>
          <c:showBubbleSize val="0"/>
        </c:dLbls>
        <c:marker val="1"/>
        <c:smooth val="0"/>
        <c:axId val="218919920"/>
        <c:axId val="218920312"/>
      </c:lineChart>
      <c:catAx>
        <c:axId val="2189199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8920312"/>
        <c:crossesAt val="0"/>
        <c:auto val="1"/>
        <c:lblAlgn val="ctr"/>
        <c:lblOffset val="100"/>
        <c:noMultiLvlLbl val="0"/>
      </c:catAx>
      <c:valAx>
        <c:axId val="218920312"/>
        <c:scaling>
          <c:orientation val="minMax"/>
          <c:max val="0.5"/>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8919920"/>
        <c:crosses val="autoZero"/>
        <c:crossBetween val="between"/>
        <c:majorUnit val="0.1"/>
      </c:valAx>
      <c:spPr>
        <a:noFill/>
        <a:ln>
          <a:noFill/>
        </a:ln>
        <a:effectLst/>
      </c:spPr>
    </c:plotArea>
    <c:legend>
      <c:legendPos val="b"/>
      <c:layout>
        <c:manualLayout>
          <c:xMode val="edge"/>
          <c:yMode val="edge"/>
          <c:x val="0.76206918807280244"/>
          <c:y val="0.15888684360115657"/>
          <c:w val="0.23568650230196636"/>
          <c:h val="0.585705285666500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81871006414214E-2"/>
          <c:y val="2.9943190434529022E-2"/>
          <c:w val="0.62572613431089108"/>
          <c:h val="0.87130890673841654"/>
        </c:manualLayout>
      </c:layout>
      <c:barChart>
        <c:barDir val="col"/>
        <c:grouping val="stacked"/>
        <c:varyColors val="0"/>
        <c:ser>
          <c:idx val="1"/>
          <c:order val="1"/>
          <c:tx>
            <c:strRef>
              <c:f>Sheet1!$A$3</c:f>
              <c:strCache>
                <c:ptCount val="1"/>
                <c:pt idx="0">
                  <c:v>Centrālā valdība</c:v>
                </c:pt>
              </c:strCache>
            </c:strRef>
          </c:tx>
          <c:spPr>
            <a:solidFill>
              <a:schemeClr val="accent2"/>
            </a:solidFill>
            <a:ln>
              <a:noFill/>
            </a:ln>
            <a:effectLst/>
          </c:spPr>
          <c:invertIfNegative val="0"/>
          <c:cat>
            <c:strRef>
              <c:f>Sheet1!$B$1:$H$1</c:f>
              <c:strCache>
                <c:ptCount val="7"/>
                <c:pt idx="0">
                  <c:v>2007</c:v>
                </c:pt>
                <c:pt idx="1">
                  <c:v>2008</c:v>
                </c:pt>
                <c:pt idx="2">
                  <c:v>2009</c:v>
                </c:pt>
                <c:pt idx="3">
                  <c:v>2010</c:v>
                </c:pt>
                <c:pt idx="4">
                  <c:v>2011</c:v>
                </c:pt>
                <c:pt idx="5">
                  <c:v>2012</c:v>
                </c:pt>
                <c:pt idx="6">
                  <c:v>2013</c:v>
                </c:pt>
              </c:strCache>
            </c:strRef>
          </c:cat>
          <c:val>
            <c:numRef>
              <c:f>Sheet1!$B$3:$H$3</c:f>
              <c:numCache>
                <c:formatCode>#,##0.000</c:formatCode>
                <c:ptCount val="7"/>
                <c:pt idx="0">
                  <c:v>-526.03700000000003</c:v>
                </c:pt>
                <c:pt idx="1">
                  <c:v>-1036.174</c:v>
                </c:pt>
                <c:pt idx="2">
                  <c:v>-1045.9000000000001</c:v>
                </c:pt>
                <c:pt idx="3">
                  <c:v>-971.21100000000001</c:v>
                </c:pt>
                <c:pt idx="4">
                  <c:v>-421.12900000000002</c:v>
                </c:pt>
                <c:pt idx="5">
                  <c:v>-190.29599999999999</c:v>
                </c:pt>
                <c:pt idx="6">
                  <c:v>-29.591000000000001</c:v>
                </c:pt>
              </c:numCache>
            </c:numRef>
          </c:val>
        </c:ser>
        <c:ser>
          <c:idx val="2"/>
          <c:order val="2"/>
          <c:tx>
            <c:strRef>
              <c:f>Sheet1!$A$4</c:f>
              <c:strCache>
                <c:ptCount val="1"/>
                <c:pt idx="0">
                  <c:v>Vietējā valdība</c:v>
                </c:pt>
              </c:strCache>
            </c:strRef>
          </c:tx>
          <c:spPr>
            <a:solidFill>
              <a:schemeClr val="accent3"/>
            </a:solidFill>
            <a:ln>
              <a:noFill/>
            </a:ln>
            <a:effectLst/>
          </c:spPr>
          <c:invertIfNegative val="0"/>
          <c:cat>
            <c:strRef>
              <c:f>Sheet1!$B$1:$H$1</c:f>
              <c:strCache>
                <c:ptCount val="7"/>
                <c:pt idx="0">
                  <c:v>2007</c:v>
                </c:pt>
                <c:pt idx="1">
                  <c:v>2008</c:v>
                </c:pt>
                <c:pt idx="2">
                  <c:v>2009</c:v>
                </c:pt>
                <c:pt idx="3">
                  <c:v>2010</c:v>
                </c:pt>
                <c:pt idx="4">
                  <c:v>2011</c:v>
                </c:pt>
                <c:pt idx="5">
                  <c:v>2012</c:v>
                </c:pt>
                <c:pt idx="6">
                  <c:v>2013</c:v>
                </c:pt>
              </c:strCache>
            </c:strRef>
          </c:cat>
          <c:val>
            <c:numRef>
              <c:f>Sheet1!$B$4:$H$4</c:f>
              <c:numCache>
                <c:formatCode>#,##0.000</c:formatCode>
                <c:ptCount val="7"/>
                <c:pt idx="0">
                  <c:v>-145.17099999999999</c:v>
                </c:pt>
                <c:pt idx="1">
                  <c:v>-289.666</c:v>
                </c:pt>
                <c:pt idx="2">
                  <c:v>-322.30500000000001</c:v>
                </c:pt>
                <c:pt idx="3">
                  <c:v>-61.53</c:v>
                </c:pt>
                <c:pt idx="4">
                  <c:v>-114.54900000000001</c:v>
                </c:pt>
                <c:pt idx="5">
                  <c:v>-61.686</c:v>
                </c:pt>
                <c:pt idx="6">
                  <c:v>-121.91</c:v>
                </c:pt>
              </c:numCache>
            </c:numRef>
          </c:val>
        </c:ser>
        <c:ser>
          <c:idx val="3"/>
          <c:order val="3"/>
          <c:tx>
            <c:strRef>
              <c:f>Sheet1!$A$5</c:f>
              <c:strCache>
                <c:ptCount val="1"/>
                <c:pt idx="0">
                  <c:v>Sociālās nodrošināšanas fondi</c:v>
                </c:pt>
              </c:strCache>
            </c:strRef>
          </c:tx>
          <c:spPr>
            <a:solidFill>
              <a:schemeClr val="accent4"/>
            </a:solidFill>
            <a:ln>
              <a:noFill/>
            </a:ln>
            <a:effectLst/>
          </c:spPr>
          <c:invertIfNegative val="0"/>
          <c:cat>
            <c:strRef>
              <c:f>Sheet1!$B$1:$H$1</c:f>
              <c:strCache>
                <c:ptCount val="7"/>
                <c:pt idx="0">
                  <c:v>2007</c:v>
                </c:pt>
                <c:pt idx="1">
                  <c:v>2008</c:v>
                </c:pt>
                <c:pt idx="2">
                  <c:v>2009</c:v>
                </c:pt>
                <c:pt idx="3">
                  <c:v>2010</c:v>
                </c:pt>
                <c:pt idx="4">
                  <c:v>2011</c:v>
                </c:pt>
                <c:pt idx="5">
                  <c:v>2012</c:v>
                </c:pt>
                <c:pt idx="6">
                  <c:v>2013</c:v>
                </c:pt>
              </c:strCache>
            </c:strRef>
          </c:cat>
          <c:val>
            <c:numRef>
              <c:f>Sheet1!$B$5:$H$5</c:f>
              <c:numCache>
                <c:formatCode>#,##0.000</c:formatCode>
                <c:ptCount val="7"/>
                <c:pt idx="0">
                  <c:v>534.13499999999999</c:v>
                </c:pt>
                <c:pt idx="1">
                  <c:v>323.18700000000001</c:v>
                </c:pt>
                <c:pt idx="2">
                  <c:v>-334.541</c:v>
                </c:pt>
                <c:pt idx="3">
                  <c:v>-452.03800000000001</c:v>
                </c:pt>
                <c:pt idx="4">
                  <c:v>-180.32499999999999</c:v>
                </c:pt>
                <c:pt idx="5">
                  <c:v>-41.613999999999997</c:v>
                </c:pt>
                <c:pt idx="6">
                  <c:v>-72.325000000000003</c:v>
                </c:pt>
              </c:numCache>
            </c:numRef>
          </c:val>
        </c:ser>
        <c:dLbls>
          <c:showLegendKey val="0"/>
          <c:showVal val="0"/>
          <c:showCatName val="0"/>
          <c:showSerName val="0"/>
          <c:showPercent val="0"/>
          <c:showBubbleSize val="0"/>
        </c:dLbls>
        <c:gapWidth val="150"/>
        <c:overlap val="100"/>
        <c:axId val="252046800"/>
        <c:axId val="252047192"/>
      </c:barChart>
      <c:lineChart>
        <c:grouping val="standard"/>
        <c:varyColors val="0"/>
        <c:ser>
          <c:idx val="0"/>
          <c:order val="0"/>
          <c:tx>
            <c:strRef>
              <c:f>Sheet1!$A$2</c:f>
              <c:strCache>
                <c:ptCount val="1"/>
                <c:pt idx="0">
                  <c:v>Vispārējās valdības budžeta bilance</c:v>
                </c:pt>
              </c:strCache>
            </c:strRef>
          </c:tx>
          <c:spPr>
            <a:ln w="28575" cap="rnd">
              <a:solidFill>
                <a:srgbClr val="5B9BD5">
                  <a:lumMod val="50000"/>
                </a:srgbClr>
              </a:solidFill>
              <a:round/>
            </a:ln>
            <a:effectLst/>
          </c:spPr>
          <c:marker>
            <c:symbol val="none"/>
          </c:marker>
          <c:cat>
            <c:strRef>
              <c:f>Sheet1!$B$1:$H$1</c:f>
              <c:strCache>
                <c:ptCount val="7"/>
                <c:pt idx="0">
                  <c:v>2007</c:v>
                </c:pt>
                <c:pt idx="1">
                  <c:v>2008</c:v>
                </c:pt>
                <c:pt idx="2">
                  <c:v>2009</c:v>
                </c:pt>
                <c:pt idx="3">
                  <c:v>2010</c:v>
                </c:pt>
                <c:pt idx="4">
                  <c:v>2011</c:v>
                </c:pt>
                <c:pt idx="5">
                  <c:v>2012</c:v>
                </c:pt>
                <c:pt idx="6">
                  <c:v>2013</c:v>
                </c:pt>
              </c:strCache>
            </c:strRef>
          </c:cat>
          <c:val>
            <c:numRef>
              <c:f>Sheet1!$B$2:$H$2</c:f>
              <c:numCache>
                <c:formatCode>#,##0.000</c:formatCode>
                <c:ptCount val="7"/>
                <c:pt idx="0">
                  <c:v>-137.07300000000009</c:v>
                </c:pt>
                <c:pt idx="1">
                  <c:v>-1002.6529999999999</c:v>
                </c:pt>
                <c:pt idx="2">
                  <c:v>-1702.7460000000001</c:v>
                </c:pt>
                <c:pt idx="3">
                  <c:v>-1484.779</c:v>
                </c:pt>
                <c:pt idx="4">
                  <c:v>-716.00299999999993</c:v>
                </c:pt>
                <c:pt idx="5">
                  <c:v>-293.596</c:v>
                </c:pt>
                <c:pt idx="6">
                  <c:v>-223.82600000000002</c:v>
                </c:pt>
              </c:numCache>
            </c:numRef>
          </c:val>
          <c:smooth val="0"/>
        </c:ser>
        <c:dLbls>
          <c:showLegendKey val="0"/>
          <c:showVal val="0"/>
          <c:showCatName val="0"/>
          <c:showSerName val="0"/>
          <c:showPercent val="0"/>
          <c:showBubbleSize val="0"/>
        </c:dLbls>
        <c:marker val="1"/>
        <c:smooth val="0"/>
        <c:axId val="252046800"/>
        <c:axId val="252047192"/>
      </c:lineChart>
      <c:catAx>
        <c:axId val="252046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2047192"/>
        <c:crossesAt val="0"/>
        <c:auto val="1"/>
        <c:lblAlgn val="ctr"/>
        <c:lblOffset val="100"/>
        <c:noMultiLvlLbl val="0"/>
      </c:catAx>
      <c:valAx>
        <c:axId val="252047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2046800"/>
        <c:crosses val="autoZero"/>
        <c:crossBetween val="between"/>
      </c:valAx>
      <c:spPr>
        <a:noFill/>
        <a:ln>
          <a:noFill/>
        </a:ln>
        <a:effectLst/>
      </c:spPr>
    </c:plotArea>
    <c:legend>
      <c:legendPos val="b"/>
      <c:layout>
        <c:manualLayout>
          <c:xMode val="edge"/>
          <c:yMode val="edge"/>
          <c:x val="0.71465561885033657"/>
          <c:y val="0.13864479879713526"/>
          <c:w val="0.2656664777337841"/>
          <c:h val="0.69050092984608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233814523184588E-2"/>
          <c:y val="9.2509742241590184E-2"/>
          <c:w val="0.69176608923884519"/>
          <c:h val="0.72625516870463203"/>
        </c:manualLayout>
      </c:layout>
      <c:barChart>
        <c:barDir val="col"/>
        <c:grouping val="stacked"/>
        <c:varyColors val="0"/>
        <c:ser>
          <c:idx val="0"/>
          <c:order val="0"/>
          <c:tx>
            <c:strRef>
              <c:f>Sheet1!$A$3</c:f>
              <c:strCache>
                <c:ptCount val="1"/>
                <c:pt idx="0">
                  <c:v>Strukturālā bilance</c:v>
                </c:pt>
              </c:strCache>
            </c:strRef>
          </c:tx>
          <c:spPr>
            <a:solidFill>
              <a:schemeClr val="accent1"/>
            </a:solidFill>
            <a:ln>
              <a:noFill/>
            </a:ln>
            <a:effectLst/>
          </c:spPr>
          <c:invertIfNegative val="0"/>
          <c:cat>
            <c:multiLvlStrRef>
              <c:f>Sheet1!$B$1:$L$2</c:f>
              <c:multiLvlStrCache>
                <c:ptCount val="11"/>
                <c:lvl>
                  <c:pt idx="0">
                    <c:v>2007</c:v>
                  </c:pt>
                  <c:pt idx="1">
                    <c:v>2008</c:v>
                  </c:pt>
                  <c:pt idx="2">
                    <c:v>2009</c:v>
                  </c:pt>
                  <c:pt idx="3">
                    <c:v>2010</c:v>
                  </c:pt>
                  <c:pt idx="4">
                    <c:v>2011</c:v>
                  </c:pt>
                  <c:pt idx="5">
                    <c:v>2012</c:v>
                  </c:pt>
                  <c:pt idx="6">
                    <c:v>2013</c:v>
                  </c:pt>
                  <c:pt idx="7">
                    <c:v>2014</c:v>
                  </c:pt>
                  <c:pt idx="8">
                    <c:v>2015</c:v>
                  </c:pt>
                  <c:pt idx="9">
                    <c:v>2016</c:v>
                  </c:pt>
                  <c:pt idx="10">
                    <c:v>2017</c:v>
                  </c:pt>
                </c:lvl>
                <c:lvl>
                  <c:pt idx="0">
                    <c:v>Fakts</c:v>
                  </c:pt>
                  <c:pt idx="7">
                    <c:v>Prognoze</c:v>
                  </c:pt>
                </c:lvl>
              </c:multiLvlStrCache>
            </c:multiLvlStrRef>
          </c:cat>
          <c:val>
            <c:numRef>
              <c:f>Sheet1!$B$3:$L$3</c:f>
              <c:numCache>
                <c:formatCode>#,##0.0_ ;\-#,##0.0\ </c:formatCode>
                <c:ptCount val="11"/>
                <c:pt idx="0">
                  <c:v>-3.756570036808899</c:v>
                </c:pt>
                <c:pt idx="1">
                  <c:v>-6.2684939106106619</c:v>
                </c:pt>
                <c:pt idx="2">
                  <c:v>-4.5322522780758643</c:v>
                </c:pt>
                <c:pt idx="3">
                  <c:v>-2.9451182144921342</c:v>
                </c:pt>
                <c:pt idx="4">
                  <c:v>-1.6422923782744929</c:v>
                </c:pt>
                <c:pt idx="5">
                  <c:v>-0.26746753511741128</c:v>
                </c:pt>
                <c:pt idx="6">
                  <c:v>-0.91746452234131115</c:v>
                </c:pt>
                <c:pt idx="7">
                  <c:v>-1.2174889880097013</c:v>
                </c:pt>
                <c:pt idx="8">
                  <c:v>-1.024</c:v>
                </c:pt>
                <c:pt idx="9">
                  <c:v>-0.862036114152684</c:v>
                </c:pt>
                <c:pt idx="10">
                  <c:v>-0.76</c:v>
                </c:pt>
              </c:numCache>
            </c:numRef>
          </c:val>
        </c:ser>
        <c:ser>
          <c:idx val="1"/>
          <c:order val="1"/>
          <c:tx>
            <c:strRef>
              <c:f>Sheet1!$A$4</c:f>
              <c:strCache>
                <c:ptCount val="1"/>
                <c:pt idx="0">
                  <c:v>Cikliskā komponente</c:v>
                </c:pt>
              </c:strCache>
            </c:strRef>
          </c:tx>
          <c:spPr>
            <a:solidFill>
              <a:schemeClr val="accent6"/>
            </a:solidFill>
            <a:ln>
              <a:noFill/>
            </a:ln>
            <a:effectLst/>
          </c:spPr>
          <c:invertIfNegative val="0"/>
          <c:cat>
            <c:multiLvlStrRef>
              <c:f>Sheet1!$B$1:$L$2</c:f>
              <c:multiLvlStrCache>
                <c:ptCount val="11"/>
                <c:lvl>
                  <c:pt idx="0">
                    <c:v>2007</c:v>
                  </c:pt>
                  <c:pt idx="1">
                    <c:v>2008</c:v>
                  </c:pt>
                  <c:pt idx="2">
                    <c:v>2009</c:v>
                  </c:pt>
                  <c:pt idx="3">
                    <c:v>2010</c:v>
                  </c:pt>
                  <c:pt idx="4">
                    <c:v>2011</c:v>
                  </c:pt>
                  <c:pt idx="5">
                    <c:v>2012</c:v>
                  </c:pt>
                  <c:pt idx="6">
                    <c:v>2013</c:v>
                  </c:pt>
                  <c:pt idx="7">
                    <c:v>2014</c:v>
                  </c:pt>
                  <c:pt idx="8">
                    <c:v>2015</c:v>
                  </c:pt>
                  <c:pt idx="9">
                    <c:v>2016</c:v>
                  </c:pt>
                  <c:pt idx="10">
                    <c:v>2017</c:v>
                  </c:pt>
                </c:lvl>
                <c:lvl>
                  <c:pt idx="0">
                    <c:v>Fakts</c:v>
                  </c:pt>
                  <c:pt idx="7">
                    <c:v>Prognoze</c:v>
                  </c:pt>
                </c:lvl>
              </c:multiLvlStrCache>
            </c:multiLvlStrRef>
          </c:cat>
          <c:val>
            <c:numRef>
              <c:f>Sheet1!$B$4:$L$4</c:f>
              <c:numCache>
                <c:formatCode>#,##0.0_ ;\-#,##0.0\ </c:formatCode>
                <c:ptCount val="11"/>
                <c:pt idx="0">
                  <c:v>3.1021461647582598</c:v>
                </c:pt>
                <c:pt idx="1">
                  <c:v>1.88750141440057</c:v>
                </c:pt>
                <c:pt idx="2">
                  <c:v>-3.7550983502749795</c:v>
                </c:pt>
                <c:pt idx="3">
                  <c:v>-3.5043987450816925</c:v>
                </c:pt>
                <c:pt idx="4">
                  <c:v>-1.6912479415777688</c:v>
                </c:pt>
                <c:pt idx="5">
                  <c:v>-0.53812426329353358</c:v>
                </c:pt>
                <c:pt idx="6">
                  <c:v>-4.2524856651413881E-2</c:v>
                </c:pt>
                <c:pt idx="7">
                  <c:v>0.18649506276330644</c:v>
                </c:pt>
                <c:pt idx="8">
                  <c:v>0.22041984698450634</c:v>
                </c:pt>
                <c:pt idx="9">
                  <c:v>0.17513932779764063</c:v>
                </c:pt>
                <c:pt idx="10">
                  <c:v>0.10767066526015125</c:v>
                </c:pt>
              </c:numCache>
            </c:numRef>
          </c:val>
        </c:ser>
        <c:ser>
          <c:idx val="2"/>
          <c:order val="2"/>
          <c:tx>
            <c:strRef>
              <c:f>Sheet1!$A$5</c:f>
              <c:strCache>
                <c:ptCount val="1"/>
                <c:pt idx="0">
                  <c:v>One-off</c:v>
                </c:pt>
              </c:strCache>
            </c:strRef>
          </c:tx>
          <c:spPr>
            <a:solidFill>
              <a:srgbClr val="FFC000"/>
            </a:solidFill>
            <a:ln>
              <a:noFill/>
            </a:ln>
            <a:effectLst/>
          </c:spPr>
          <c:invertIfNegative val="0"/>
          <c:cat>
            <c:multiLvlStrRef>
              <c:f>Sheet1!$B$1:$L$2</c:f>
              <c:multiLvlStrCache>
                <c:ptCount val="11"/>
                <c:lvl>
                  <c:pt idx="0">
                    <c:v>2007</c:v>
                  </c:pt>
                  <c:pt idx="1">
                    <c:v>2008</c:v>
                  </c:pt>
                  <c:pt idx="2">
                    <c:v>2009</c:v>
                  </c:pt>
                  <c:pt idx="3">
                    <c:v>2010</c:v>
                  </c:pt>
                  <c:pt idx="4">
                    <c:v>2011</c:v>
                  </c:pt>
                  <c:pt idx="5">
                    <c:v>2012</c:v>
                  </c:pt>
                  <c:pt idx="6">
                    <c:v>2013</c:v>
                  </c:pt>
                  <c:pt idx="7">
                    <c:v>2014</c:v>
                  </c:pt>
                  <c:pt idx="8">
                    <c:v>2015</c:v>
                  </c:pt>
                  <c:pt idx="9">
                    <c:v>2016</c:v>
                  </c:pt>
                  <c:pt idx="10">
                    <c:v>2017</c:v>
                  </c:pt>
                </c:lvl>
                <c:lvl>
                  <c:pt idx="0">
                    <c:v>Fakts</c:v>
                  </c:pt>
                  <c:pt idx="7">
                    <c:v>Prognoze</c:v>
                  </c:pt>
                </c:lvl>
              </c:multiLvlStrCache>
            </c:multiLvlStrRef>
          </c:cat>
          <c:val>
            <c:numRef>
              <c:f>Sheet1!$B$5:$L$5</c:f>
              <c:numCache>
                <c:formatCode>General</c:formatCode>
                <c:ptCount val="11"/>
                <c:pt idx="2" formatCode="#,##0.0_ ;\-#,##0.0\ ">
                  <c:v>-0.86839292785101196</c:v>
                </c:pt>
                <c:pt idx="3" formatCode="#,##0.0_ ;\-#,##0.0\ ">
                  <c:v>-1.7130114323172474</c:v>
                </c:pt>
                <c:pt idx="4" formatCode="#,##0.0_ ;\-#,##0.0\ ">
                  <c:v>-0.19151403760971378</c:v>
                </c:pt>
                <c:pt idx="5" formatCode="#,##0.0_ ;\-#,##0.0\ ">
                  <c:v>-0.52394050354441002</c:v>
                </c:pt>
              </c:numCache>
            </c:numRef>
          </c:val>
        </c:ser>
        <c:dLbls>
          <c:showLegendKey val="0"/>
          <c:showVal val="0"/>
          <c:showCatName val="0"/>
          <c:showSerName val="0"/>
          <c:showPercent val="0"/>
          <c:showBubbleSize val="0"/>
        </c:dLbls>
        <c:gapWidth val="150"/>
        <c:overlap val="100"/>
        <c:axId val="252048368"/>
        <c:axId val="252048760"/>
      </c:barChart>
      <c:lineChart>
        <c:grouping val="standard"/>
        <c:varyColors val="0"/>
        <c:ser>
          <c:idx val="3"/>
          <c:order val="3"/>
          <c:tx>
            <c:strRef>
              <c:f>Sheet1!$A$6</c:f>
              <c:strCache>
                <c:ptCount val="1"/>
                <c:pt idx="0">
                  <c:v>Vispārējās valdības budžeta bilance</c:v>
                </c:pt>
              </c:strCache>
            </c:strRef>
          </c:tx>
          <c:spPr>
            <a:ln w="28575" cap="rnd">
              <a:solidFill>
                <a:schemeClr val="accent1">
                  <a:lumMod val="50000"/>
                </a:schemeClr>
              </a:solidFill>
              <a:round/>
            </a:ln>
            <a:effectLst/>
          </c:spPr>
          <c:marker>
            <c:symbol val="none"/>
          </c:marker>
          <c:cat>
            <c:multiLvlStrRef>
              <c:f>Sheet1!$B$1:$L$2</c:f>
              <c:multiLvlStrCache>
                <c:ptCount val="11"/>
                <c:lvl>
                  <c:pt idx="0">
                    <c:v>2007</c:v>
                  </c:pt>
                  <c:pt idx="1">
                    <c:v>2008</c:v>
                  </c:pt>
                  <c:pt idx="2">
                    <c:v>2009</c:v>
                  </c:pt>
                  <c:pt idx="3">
                    <c:v>2010</c:v>
                  </c:pt>
                  <c:pt idx="4">
                    <c:v>2011</c:v>
                  </c:pt>
                  <c:pt idx="5">
                    <c:v>2012</c:v>
                  </c:pt>
                  <c:pt idx="6">
                    <c:v>2013</c:v>
                  </c:pt>
                  <c:pt idx="7">
                    <c:v>2014</c:v>
                  </c:pt>
                  <c:pt idx="8">
                    <c:v>2015</c:v>
                  </c:pt>
                  <c:pt idx="9">
                    <c:v>2016</c:v>
                  </c:pt>
                  <c:pt idx="10">
                    <c:v>2017</c:v>
                  </c:pt>
                </c:lvl>
                <c:lvl>
                  <c:pt idx="0">
                    <c:v>Fakts</c:v>
                  </c:pt>
                  <c:pt idx="7">
                    <c:v>Prognoze</c:v>
                  </c:pt>
                </c:lvl>
              </c:multiLvlStrCache>
            </c:multiLvlStrRef>
          </c:cat>
          <c:val>
            <c:numRef>
              <c:f>Sheet1!$B$6:$L$6</c:f>
              <c:numCache>
                <c:formatCode>#,##0.0_ ;\-#,##0.0\ </c:formatCode>
                <c:ptCount val="11"/>
                <c:pt idx="0">
                  <c:v>-0.65442387205063934</c:v>
                </c:pt>
                <c:pt idx="1">
                  <c:v>-4.3809924962100917</c:v>
                </c:pt>
                <c:pt idx="2">
                  <c:v>-9.1557435562018554</c:v>
                </c:pt>
                <c:pt idx="3">
                  <c:v>-8.1625283918910743</c:v>
                </c:pt>
                <c:pt idx="4">
                  <c:v>-3.5250543574619755</c:v>
                </c:pt>
                <c:pt idx="5">
                  <c:v>-1.3295323019553549</c:v>
                </c:pt>
                <c:pt idx="6">
                  <c:v>-0.95998937899272507</c:v>
                </c:pt>
                <c:pt idx="7">
                  <c:v>-1.0309939252463949</c:v>
                </c:pt>
                <c:pt idx="8">
                  <c:v>-0.80358015301549368</c:v>
                </c:pt>
                <c:pt idx="9">
                  <c:v>-0.68689678635504337</c:v>
                </c:pt>
                <c:pt idx="10">
                  <c:v>-0.65232933473984878</c:v>
                </c:pt>
              </c:numCache>
            </c:numRef>
          </c:val>
          <c:smooth val="0"/>
        </c:ser>
        <c:dLbls>
          <c:showLegendKey val="0"/>
          <c:showVal val="0"/>
          <c:showCatName val="0"/>
          <c:showSerName val="0"/>
          <c:showPercent val="0"/>
          <c:showBubbleSize val="0"/>
        </c:dLbls>
        <c:marker val="1"/>
        <c:smooth val="0"/>
        <c:axId val="252048368"/>
        <c:axId val="252048760"/>
      </c:lineChart>
      <c:catAx>
        <c:axId val="252048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2048760"/>
        <c:crosses val="autoZero"/>
        <c:auto val="1"/>
        <c:lblAlgn val="ctr"/>
        <c:lblOffset val="100"/>
        <c:noMultiLvlLbl val="0"/>
      </c:catAx>
      <c:valAx>
        <c:axId val="252048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2048368"/>
        <c:crosses val="autoZero"/>
        <c:crossBetween val="between"/>
      </c:valAx>
      <c:spPr>
        <a:noFill/>
        <a:ln>
          <a:noFill/>
        </a:ln>
        <a:effectLst/>
      </c:spPr>
    </c:plotArea>
    <c:legend>
      <c:legendPos val="b"/>
      <c:layout>
        <c:manualLayout>
          <c:xMode val="edge"/>
          <c:yMode val="edge"/>
          <c:x val="0.76881739155882955"/>
          <c:y val="0.1653383248556452"/>
          <c:w val="0.22241143971936547"/>
          <c:h val="0.640047389909594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2">
                <a:lumMod val="50000"/>
              </a:schemeClr>
            </a:solidFill>
          </c:spPr>
          <c:invertIfNegative val="0"/>
          <c:dPt>
            <c:idx val="7"/>
            <c:invertIfNegative val="0"/>
            <c:bubble3D val="0"/>
            <c:spPr>
              <a:solidFill>
                <a:schemeClr val="bg2">
                  <a:lumMod val="25000"/>
                </a:schemeClr>
              </a:solidFill>
            </c:spPr>
          </c:dPt>
          <c:dPt>
            <c:idx val="25"/>
            <c:invertIfNegative val="0"/>
            <c:bubble3D val="0"/>
            <c:spPr>
              <a:solidFill>
                <a:schemeClr val="bg2">
                  <a:lumMod val="50000"/>
                </a:schemeClr>
              </a:solidFill>
              <a:ln>
                <a:solidFill>
                  <a:schemeClr val="bg2">
                    <a:lumMod val="75000"/>
                  </a:schemeClr>
                </a:solidFill>
              </a:ln>
            </c:spPr>
          </c:dPt>
          <c:dPt>
            <c:idx val="26"/>
            <c:invertIfNegative val="0"/>
            <c:bubble3D val="0"/>
            <c:spPr>
              <a:solidFill>
                <a:schemeClr val="bg2">
                  <a:lumMod val="25000"/>
                </a:schemeClr>
              </a:solidFill>
            </c:spPr>
          </c:dPt>
          <c:dLbls>
            <c:dLbl>
              <c:idx val="7"/>
              <c:spPr/>
              <c:txPr>
                <a:bodyPr rot="-5400000" vert="horz"/>
                <a:lstStyle/>
                <a:p>
                  <a:pPr>
                    <a:defRPr sz="1050" b="1"/>
                  </a:pPr>
                  <a:endParaRPr lang="lv-LV"/>
                </a:p>
              </c:txPr>
              <c:showLegendKey val="0"/>
              <c:showVal val="1"/>
              <c:showCatName val="0"/>
              <c:showSerName val="0"/>
              <c:showPercent val="0"/>
              <c:showBubbleSize val="0"/>
            </c:dLbl>
            <c:dLbl>
              <c:idx val="25"/>
              <c:spPr/>
              <c:txPr>
                <a:bodyPr rot="-5400000" vert="horz"/>
                <a:lstStyle/>
                <a:p>
                  <a:pPr>
                    <a:defRPr sz="1050" b="0"/>
                  </a:pPr>
                  <a:endParaRPr lang="lv-LV"/>
                </a:p>
              </c:txPr>
              <c:showLegendKey val="0"/>
              <c:showVal val="1"/>
              <c:showCatName val="0"/>
              <c:showSerName val="0"/>
              <c:showPercent val="0"/>
              <c:showBubbleSize val="0"/>
            </c:dLbl>
            <c:dLbl>
              <c:idx val="26"/>
              <c:spPr>
                <a:noFill/>
                <a:ln>
                  <a:noFill/>
                </a:ln>
                <a:effectLst/>
              </c:spPr>
              <c:txPr>
                <a:bodyPr rot="-5400000" vert="horz"/>
                <a:lstStyle/>
                <a:p>
                  <a:pPr>
                    <a:defRPr sz="1050" b="1"/>
                  </a:pPr>
                  <a:endParaRPr lang="lv-LV"/>
                </a:p>
              </c:txPr>
              <c:showLegendKey val="0"/>
              <c:showVal val="1"/>
              <c:showCatName val="0"/>
              <c:showSerName val="0"/>
              <c:showPercent val="0"/>
              <c:showBubbleSize val="0"/>
            </c:dLbl>
            <c:spPr>
              <a:noFill/>
              <a:ln>
                <a:noFill/>
              </a:ln>
              <a:effectLst/>
            </c:spPr>
            <c:txPr>
              <a:bodyPr rot="-5400000" vert="horz"/>
              <a:lstStyle/>
              <a:p>
                <a:pPr>
                  <a:defRPr sz="105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ES!$L$2:$L$30</c:f>
              <c:strCache>
                <c:ptCount val="29"/>
                <c:pt idx="0">
                  <c:v>DK</c:v>
                </c:pt>
                <c:pt idx="1">
                  <c:v>BE</c:v>
                </c:pt>
                <c:pt idx="2">
                  <c:v>FR</c:v>
                </c:pt>
                <c:pt idx="3">
                  <c:v>SE</c:v>
                </c:pt>
                <c:pt idx="4">
                  <c:v>AT</c:v>
                </c:pt>
                <c:pt idx="5">
                  <c:v>IT</c:v>
                </c:pt>
                <c:pt idx="6">
                  <c:v>FI</c:v>
                </c:pt>
                <c:pt idx="7">
                  <c:v>EU-28</c:v>
                </c:pt>
                <c:pt idx="8">
                  <c:v>DE</c:v>
                </c:pt>
                <c:pt idx="9">
                  <c:v>LU</c:v>
                </c:pt>
                <c:pt idx="10">
                  <c:v>NE</c:v>
                </c:pt>
                <c:pt idx="11">
                  <c:v>HU</c:v>
                </c:pt>
                <c:pt idx="12">
                  <c:v>SI</c:v>
                </c:pt>
                <c:pt idx="13">
                  <c:v>UK</c:v>
                </c:pt>
                <c:pt idx="14">
                  <c:v>EL</c:v>
                </c:pt>
                <c:pt idx="15">
                  <c:v>HR</c:v>
                </c:pt>
                <c:pt idx="16">
                  <c:v>CZ</c:v>
                </c:pt>
                <c:pt idx="17">
                  <c:v>PT</c:v>
                </c:pt>
                <c:pt idx="18">
                  <c:v>CY</c:v>
                </c:pt>
                <c:pt idx="19">
                  <c:v>MT</c:v>
                </c:pt>
                <c:pt idx="20">
                  <c:v>ES</c:v>
                </c:pt>
                <c:pt idx="21">
                  <c:v>EE</c:v>
                </c:pt>
                <c:pt idx="22">
                  <c:v>PL</c:v>
                </c:pt>
                <c:pt idx="23">
                  <c:v>IE</c:v>
                </c:pt>
                <c:pt idx="24">
                  <c:v>SK</c:v>
                </c:pt>
                <c:pt idx="25">
                  <c:v>RO</c:v>
                </c:pt>
                <c:pt idx="26">
                  <c:v>LV</c:v>
                </c:pt>
                <c:pt idx="27">
                  <c:v>BG</c:v>
                </c:pt>
                <c:pt idx="28">
                  <c:v>LT</c:v>
                </c:pt>
              </c:strCache>
            </c:strRef>
          </c:cat>
          <c:val>
            <c:numRef>
              <c:f>ES!$M$2:$M$30</c:f>
              <c:numCache>
                <c:formatCode>General</c:formatCode>
                <c:ptCount val="29"/>
                <c:pt idx="0">
                  <c:v>49.1</c:v>
                </c:pt>
                <c:pt idx="1">
                  <c:v>48</c:v>
                </c:pt>
                <c:pt idx="2">
                  <c:v>47</c:v>
                </c:pt>
                <c:pt idx="3">
                  <c:v>44.8</c:v>
                </c:pt>
                <c:pt idx="4">
                  <c:v>44.8</c:v>
                </c:pt>
                <c:pt idx="5">
                  <c:v>44.3</c:v>
                </c:pt>
                <c:pt idx="6">
                  <c:v>44.2</c:v>
                </c:pt>
                <c:pt idx="7">
                  <c:v>40.6</c:v>
                </c:pt>
                <c:pt idx="8" formatCode="0.0">
                  <c:v>40.4</c:v>
                </c:pt>
                <c:pt idx="9" formatCode="0.0">
                  <c:v>40.299999999999997</c:v>
                </c:pt>
                <c:pt idx="10" formatCode="0.0">
                  <c:v>39.6</c:v>
                </c:pt>
                <c:pt idx="11">
                  <c:v>39.299999999999997</c:v>
                </c:pt>
                <c:pt idx="12">
                  <c:v>37.9</c:v>
                </c:pt>
                <c:pt idx="13">
                  <c:v>37.1</c:v>
                </c:pt>
                <c:pt idx="14">
                  <c:v>36.6</c:v>
                </c:pt>
                <c:pt idx="15">
                  <c:v>35.700000000000003</c:v>
                </c:pt>
                <c:pt idx="16">
                  <c:v>35</c:v>
                </c:pt>
                <c:pt idx="17">
                  <c:v>34.9</c:v>
                </c:pt>
                <c:pt idx="18">
                  <c:v>34.9</c:v>
                </c:pt>
                <c:pt idx="19">
                  <c:v>34.9</c:v>
                </c:pt>
                <c:pt idx="20">
                  <c:v>33.6</c:v>
                </c:pt>
                <c:pt idx="21">
                  <c:v>32.700000000000003</c:v>
                </c:pt>
                <c:pt idx="22">
                  <c:v>32.5</c:v>
                </c:pt>
                <c:pt idx="23">
                  <c:v>30.2</c:v>
                </c:pt>
                <c:pt idx="24">
                  <c:v>28.5</c:v>
                </c:pt>
                <c:pt idx="25">
                  <c:v>28.4</c:v>
                </c:pt>
                <c:pt idx="26">
                  <c:v>28.1</c:v>
                </c:pt>
                <c:pt idx="27">
                  <c:v>27.9</c:v>
                </c:pt>
                <c:pt idx="28">
                  <c:v>27.5</c:v>
                </c:pt>
              </c:numCache>
            </c:numRef>
          </c:val>
        </c:ser>
        <c:dLbls>
          <c:showLegendKey val="0"/>
          <c:showVal val="0"/>
          <c:showCatName val="0"/>
          <c:showSerName val="0"/>
          <c:showPercent val="0"/>
          <c:showBubbleSize val="0"/>
        </c:dLbls>
        <c:gapWidth val="150"/>
        <c:axId val="252049936"/>
        <c:axId val="252050328"/>
      </c:barChart>
      <c:catAx>
        <c:axId val="252049936"/>
        <c:scaling>
          <c:orientation val="minMax"/>
        </c:scaling>
        <c:delete val="0"/>
        <c:axPos val="b"/>
        <c:numFmt formatCode="General" sourceLinked="0"/>
        <c:majorTickMark val="out"/>
        <c:minorTickMark val="none"/>
        <c:tickLblPos val="nextTo"/>
        <c:txPr>
          <a:bodyPr/>
          <a:lstStyle/>
          <a:p>
            <a:pPr>
              <a:defRPr sz="700"/>
            </a:pPr>
            <a:endParaRPr lang="lv-LV"/>
          </a:p>
        </c:txPr>
        <c:crossAx val="252050328"/>
        <c:crosses val="autoZero"/>
        <c:auto val="1"/>
        <c:lblAlgn val="ctr"/>
        <c:lblOffset val="100"/>
        <c:noMultiLvlLbl val="0"/>
      </c:catAx>
      <c:valAx>
        <c:axId val="252050328"/>
        <c:scaling>
          <c:orientation val="minMax"/>
        </c:scaling>
        <c:delete val="0"/>
        <c:axPos val="l"/>
        <c:majorGridlines/>
        <c:numFmt formatCode="General" sourceLinked="1"/>
        <c:majorTickMark val="out"/>
        <c:minorTickMark val="none"/>
        <c:tickLblPos val="nextTo"/>
        <c:crossAx val="252049936"/>
        <c:crosses val="autoZero"/>
        <c:crossBetween val="between"/>
      </c:valAx>
    </c:plotArea>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0.83283</cdr:x>
      <cdr:y>0.03672</cdr:y>
    </cdr:from>
    <cdr:to>
      <cdr:x>0.83283</cdr:x>
      <cdr:y>0.69774</cdr:y>
    </cdr:to>
    <cdr:cxnSp macro="">
      <cdr:nvCxnSpPr>
        <cdr:cNvPr id="3" name="Straight Connector 2"/>
        <cdr:cNvCxnSpPr/>
      </cdr:nvCxnSpPr>
      <cdr:spPr>
        <a:xfrm xmlns:a="http://schemas.openxmlformats.org/drawingml/2006/main" flipV="1">
          <a:off x="5414063" y="108775"/>
          <a:ext cx="0" cy="1958123"/>
        </a:xfrm>
        <a:prstGeom xmlns:a="http://schemas.openxmlformats.org/drawingml/2006/main" prst="line">
          <a:avLst/>
        </a:prstGeom>
        <a:ln xmlns:a="http://schemas.openxmlformats.org/drawingml/2006/main" w="158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0.84508</cdr:x>
      <cdr:y>0.04277</cdr:y>
    </cdr:from>
    <cdr:to>
      <cdr:x>0.96044</cdr:x>
      <cdr:y>0.26236</cdr:y>
    </cdr:to>
    <cdr:sp macro="" textlink="">
      <cdr:nvSpPr>
        <cdr:cNvPr id="7" name="TextBox 6"/>
        <cdr:cNvSpPr txBox="1"/>
      </cdr:nvSpPr>
      <cdr:spPr>
        <a:xfrm xmlns:a="http://schemas.openxmlformats.org/drawingml/2006/main">
          <a:off x="5493695" y="126683"/>
          <a:ext cx="749944" cy="6504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900">
              <a:latin typeface="Arial" pitchFamily="34" charset="0"/>
              <a:cs typeface="Arial" pitchFamily="34" charset="0"/>
            </a:rPr>
            <a:t>prognoze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AB40-0C7F-44BC-B55B-D224CDAC269F}">
  <ds:schemaRefs>
    <ds:schemaRef ds:uri="http://schemas.openxmlformats.org/officeDocument/2006/bibliography"/>
  </ds:schemaRefs>
</ds:datastoreItem>
</file>

<file path=customXml/itemProps10.xml><?xml version="1.0" encoding="utf-8"?>
<ds:datastoreItem xmlns:ds="http://schemas.openxmlformats.org/officeDocument/2006/customXml" ds:itemID="{7D9AEC1D-4C31-4CDB-8624-A21BF5387105}">
  <ds:schemaRefs>
    <ds:schemaRef ds:uri="http://schemas.openxmlformats.org/officeDocument/2006/bibliography"/>
  </ds:schemaRefs>
</ds:datastoreItem>
</file>

<file path=customXml/itemProps11.xml><?xml version="1.0" encoding="utf-8"?>
<ds:datastoreItem xmlns:ds="http://schemas.openxmlformats.org/officeDocument/2006/customXml" ds:itemID="{EED331E6-83F7-4E91-9A31-0700076C7FBC}">
  <ds:schemaRefs>
    <ds:schemaRef ds:uri="http://schemas.openxmlformats.org/officeDocument/2006/bibliography"/>
  </ds:schemaRefs>
</ds:datastoreItem>
</file>

<file path=customXml/itemProps12.xml><?xml version="1.0" encoding="utf-8"?>
<ds:datastoreItem xmlns:ds="http://schemas.openxmlformats.org/officeDocument/2006/customXml" ds:itemID="{153A2591-06C2-4E80-96F8-4FC85AD31E9C}">
  <ds:schemaRefs>
    <ds:schemaRef ds:uri="http://schemas.openxmlformats.org/officeDocument/2006/bibliography"/>
  </ds:schemaRefs>
</ds:datastoreItem>
</file>

<file path=customXml/itemProps13.xml><?xml version="1.0" encoding="utf-8"?>
<ds:datastoreItem xmlns:ds="http://schemas.openxmlformats.org/officeDocument/2006/customXml" ds:itemID="{366B633C-A044-4B93-807D-D16F36E0ABBB}">
  <ds:schemaRefs>
    <ds:schemaRef ds:uri="http://schemas.openxmlformats.org/officeDocument/2006/bibliography"/>
  </ds:schemaRefs>
</ds:datastoreItem>
</file>

<file path=customXml/itemProps14.xml><?xml version="1.0" encoding="utf-8"?>
<ds:datastoreItem xmlns:ds="http://schemas.openxmlformats.org/officeDocument/2006/customXml" ds:itemID="{AD3B8104-4339-4B0E-98E5-1E7463E3719F}">
  <ds:schemaRefs>
    <ds:schemaRef ds:uri="http://schemas.openxmlformats.org/officeDocument/2006/bibliography"/>
  </ds:schemaRefs>
</ds:datastoreItem>
</file>

<file path=customXml/itemProps15.xml><?xml version="1.0" encoding="utf-8"?>
<ds:datastoreItem xmlns:ds="http://schemas.openxmlformats.org/officeDocument/2006/customXml" ds:itemID="{81D9D37A-D4E4-4352-BCD1-1B23C06ABD23}">
  <ds:schemaRefs>
    <ds:schemaRef ds:uri="http://schemas.openxmlformats.org/officeDocument/2006/bibliography"/>
  </ds:schemaRefs>
</ds:datastoreItem>
</file>

<file path=customXml/itemProps16.xml><?xml version="1.0" encoding="utf-8"?>
<ds:datastoreItem xmlns:ds="http://schemas.openxmlformats.org/officeDocument/2006/customXml" ds:itemID="{F2664C72-576E-464F-97E7-8DD49C527DE2}">
  <ds:schemaRefs>
    <ds:schemaRef ds:uri="http://schemas.openxmlformats.org/officeDocument/2006/bibliography"/>
  </ds:schemaRefs>
</ds:datastoreItem>
</file>

<file path=customXml/itemProps17.xml><?xml version="1.0" encoding="utf-8"?>
<ds:datastoreItem xmlns:ds="http://schemas.openxmlformats.org/officeDocument/2006/customXml" ds:itemID="{7458543F-BE6B-4D45-AAF2-477F701F7934}">
  <ds:schemaRefs>
    <ds:schemaRef ds:uri="http://schemas.openxmlformats.org/officeDocument/2006/bibliography"/>
  </ds:schemaRefs>
</ds:datastoreItem>
</file>

<file path=customXml/itemProps18.xml><?xml version="1.0" encoding="utf-8"?>
<ds:datastoreItem xmlns:ds="http://schemas.openxmlformats.org/officeDocument/2006/customXml" ds:itemID="{51DC2869-7D6F-4ECD-84E7-F6A52DAD9B08}">
  <ds:schemaRefs>
    <ds:schemaRef ds:uri="http://schemas.openxmlformats.org/officeDocument/2006/bibliography"/>
  </ds:schemaRefs>
</ds:datastoreItem>
</file>

<file path=customXml/itemProps19.xml><?xml version="1.0" encoding="utf-8"?>
<ds:datastoreItem xmlns:ds="http://schemas.openxmlformats.org/officeDocument/2006/customXml" ds:itemID="{DD9EBD80-C239-43CE-8E66-11BD5455A2BF}">
  <ds:schemaRefs>
    <ds:schemaRef ds:uri="http://schemas.openxmlformats.org/officeDocument/2006/bibliography"/>
  </ds:schemaRefs>
</ds:datastoreItem>
</file>

<file path=customXml/itemProps2.xml><?xml version="1.0" encoding="utf-8"?>
<ds:datastoreItem xmlns:ds="http://schemas.openxmlformats.org/officeDocument/2006/customXml" ds:itemID="{DEE326CB-357B-4F53-9E73-26435C9C6935}">
  <ds:schemaRefs>
    <ds:schemaRef ds:uri="http://schemas.openxmlformats.org/officeDocument/2006/bibliography"/>
  </ds:schemaRefs>
</ds:datastoreItem>
</file>

<file path=customXml/itemProps20.xml><?xml version="1.0" encoding="utf-8"?>
<ds:datastoreItem xmlns:ds="http://schemas.openxmlformats.org/officeDocument/2006/customXml" ds:itemID="{A39363FA-A3D6-461E-BBEC-B6522D45204B}">
  <ds:schemaRefs>
    <ds:schemaRef ds:uri="http://schemas.openxmlformats.org/officeDocument/2006/bibliography"/>
  </ds:schemaRefs>
</ds:datastoreItem>
</file>

<file path=customXml/itemProps21.xml><?xml version="1.0" encoding="utf-8"?>
<ds:datastoreItem xmlns:ds="http://schemas.openxmlformats.org/officeDocument/2006/customXml" ds:itemID="{2CE485F4-A70A-4EA5-A6E1-A8ACE3709554}">
  <ds:schemaRefs>
    <ds:schemaRef ds:uri="http://schemas.openxmlformats.org/officeDocument/2006/bibliography"/>
  </ds:schemaRefs>
</ds:datastoreItem>
</file>

<file path=customXml/itemProps22.xml><?xml version="1.0" encoding="utf-8"?>
<ds:datastoreItem xmlns:ds="http://schemas.openxmlformats.org/officeDocument/2006/customXml" ds:itemID="{0B2B683B-522B-4B40-8440-CE5C1CA62266}">
  <ds:schemaRefs>
    <ds:schemaRef ds:uri="http://schemas.openxmlformats.org/officeDocument/2006/bibliography"/>
  </ds:schemaRefs>
</ds:datastoreItem>
</file>

<file path=customXml/itemProps23.xml><?xml version="1.0" encoding="utf-8"?>
<ds:datastoreItem xmlns:ds="http://schemas.openxmlformats.org/officeDocument/2006/customXml" ds:itemID="{FA9EDDCA-E481-4951-AB77-8A4E1068AB0A}">
  <ds:schemaRefs>
    <ds:schemaRef ds:uri="http://schemas.openxmlformats.org/officeDocument/2006/bibliography"/>
  </ds:schemaRefs>
</ds:datastoreItem>
</file>

<file path=customXml/itemProps24.xml><?xml version="1.0" encoding="utf-8"?>
<ds:datastoreItem xmlns:ds="http://schemas.openxmlformats.org/officeDocument/2006/customXml" ds:itemID="{26BCCECC-14A7-4710-BFC2-AA559EF49E9E}">
  <ds:schemaRefs>
    <ds:schemaRef ds:uri="http://schemas.openxmlformats.org/officeDocument/2006/bibliography"/>
  </ds:schemaRefs>
</ds:datastoreItem>
</file>

<file path=customXml/itemProps25.xml><?xml version="1.0" encoding="utf-8"?>
<ds:datastoreItem xmlns:ds="http://schemas.openxmlformats.org/officeDocument/2006/customXml" ds:itemID="{8306D7B4-6EFB-4A7D-A99F-812053880ACF}">
  <ds:schemaRefs>
    <ds:schemaRef ds:uri="http://schemas.openxmlformats.org/officeDocument/2006/bibliography"/>
  </ds:schemaRefs>
</ds:datastoreItem>
</file>

<file path=customXml/itemProps26.xml><?xml version="1.0" encoding="utf-8"?>
<ds:datastoreItem xmlns:ds="http://schemas.openxmlformats.org/officeDocument/2006/customXml" ds:itemID="{95DC1E16-1D43-467F-B2F4-3A0C8A7892B9}">
  <ds:schemaRefs>
    <ds:schemaRef ds:uri="http://schemas.openxmlformats.org/officeDocument/2006/bibliography"/>
  </ds:schemaRefs>
</ds:datastoreItem>
</file>

<file path=customXml/itemProps27.xml><?xml version="1.0" encoding="utf-8"?>
<ds:datastoreItem xmlns:ds="http://schemas.openxmlformats.org/officeDocument/2006/customXml" ds:itemID="{F5EE34B4-E5B9-412F-AAC1-387182FB9D5C}">
  <ds:schemaRefs>
    <ds:schemaRef ds:uri="http://schemas.openxmlformats.org/officeDocument/2006/bibliography"/>
  </ds:schemaRefs>
</ds:datastoreItem>
</file>

<file path=customXml/itemProps28.xml><?xml version="1.0" encoding="utf-8"?>
<ds:datastoreItem xmlns:ds="http://schemas.openxmlformats.org/officeDocument/2006/customXml" ds:itemID="{1A6C2335-17FA-45C9-A0F4-4760CD72352E}">
  <ds:schemaRefs>
    <ds:schemaRef ds:uri="http://schemas.openxmlformats.org/officeDocument/2006/bibliography"/>
  </ds:schemaRefs>
</ds:datastoreItem>
</file>

<file path=customXml/itemProps29.xml><?xml version="1.0" encoding="utf-8"?>
<ds:datastoreItem xmlns:ds="http://schemas.openxmlformats.org/officeDocument/2006/customXml" ds:itemID="{DD4F9C30-10A5-46C2-A743-A0FEF1B7E5E4}">
  <ds:schemaRefs>
    <ds:schemaRef ds:uri="http://schemas.openxmlformats.org/officeDocument/2006/bibliography"/>
  </ds:schemaRefs>
</ds:datastoreItem>
</file>

<file path=customXml/itemProps3.xml><?xml version="1.0" encoding="utf-8"?>
<ds:datastoreItem xmlns:ds="http://schemas.openxmlformats.org/officeDocument/2006/customXml" ds:itemID="{A788FBF4-5BC2-4B78-B9B8-D6EB5951CB06}">
  <ds:schemaRefs>
    <ds:schemaRef ds:uri="http://schemas.openxmlformats.org/officeDocument/2006/bibliography"/>
  </ds:schemaRefs>
</ds:datastoreItem>
</file>

<file path=customXml/itemProps30.xml><?xml version="1.0" encoding="utf-8"?>
<ds:datastoreItem xmlns:ds="http://schemas.openxmlformats.org/officeDocument/2006/customXml" ds:itemID="{E6EA1AA3-4B8A-4721-B835-C9E616F63AAD}">
  <ds:schemaRefs>
    <ds:schemaRef ds:uri="http://schemas.openxmlformats.org/officeDocument/2006/bibliography"/>
  </ds:schemaRefs>
</ds:datastoreItem>
</file>

<file path=customXml/itemProps31.xml><?xml version="1.0" encoding="utf-8"?>
<ds:datastoreItem xmlns:ds="http://schemas.openxmlformats.org/officeDocument/2006/customXml" ds:itemID="{DC5E391D-7DFE-416C-B97D-AE71A4F94631}">
  <ds:schemaRefs>
    <ds:schemaRef ds:uri="http://schemas.openxmlformats.org/officeDocument/2006/bibliography"/>
  </ds:schemaRefs>
</ds:datastoreItem>
</file>

<file path=customXml/itemProps32.xml><?xml version="1.0" encoding="utf-8"?>
<ds:datastoreItem xmlns:ds="http://schemas.openxmlformats.org/officeDocument/2006/customXml" ds:itemID="{FC134D62-6645-432F-9176-C7680E9EFFF6}">
  <ds:schemaRefs>
    <ds:schemaRef ds:uri="http://schemas.openxmlformats.org/officeDocument/2006/bibliography"/>
  </ds:schemaRefs>
</ds:datastoreItem>
</file>

<file path=customXml/itemProps33.xml><?xml version="1.0" encoding="utf-8"?>
<ds:datastoreItem xmlns:ds="http://schemas.openxmlformats.org/officeDocument/2006/customXml" ds:itemID="{4B01EF4F-C0A0-4D81-AD78-C3AE2648ACCE}">
  <ds:schemaRefs>
    <ds:schemaRef ds:uri="http://schemas.openxmlformats.org/officeDocument/2006/bibliography"/>
  </ds:schemaRefs>
</ds:datastoreItem>
</file>

<file path=customXml/itemProps34.xml><?xml version="1.0" encoding="utf-8"?>
<ds:datastoreItem xmlns:ds="http://schemas.openxmlformats.org/officeDocument/2006/customXml" ds:itemID="{9D064DD2-A31E-4C9F-BD6F-B8AE82A4BDBA}">
  <ds:schemaRefs>
    <ds:schemaRef ds:uri="http://schemas.openxmlformats.org/officeDocument/2006/bibliography"/>
  </ds:schemaRefs>
</ds:datastoreItem>
</file>

<file path=customXml/itemProps35.xml><?xml version="1.0" encoding="utf-8"?>
<ds:datastoreItem xmlns:ds="http://schemas.openxmlformats.org/officeDocument/2006/customXml" ds:itemID="{94142F01-3D71-4DB8-95CD-2F591455E706}">
  <ds:schemaRefs>
    <ds:schemaRef ds:uri="http://schemas.openxmlformats.org/officeDocument/2006/bibliography"/>
  </ds:schemaRefs>
</ds:datastoreItem>
</file>

<file path=customXml/itemProps36.xml><?xml version="1.0" encoding="utf-8"?>
<ds:datastoreItem xmlns:ds="http://schemas.openxmlformats.org/officeDocument/2006/customXml" ds:itemID="{FD695230-63F3-4387-807C-AE90FD81EEE6}">
  <ds:schemaRefs>
    <ds:schemaRef ds:uri="http://schemas.openxmlformats.org/officeDocument/2006/bibliography"/>
  </ds:schemaRefs>
</ds:datastoreItem>
</file>

<file path=customXml/itemProps37.xml><?xml version="1.0" encoding="utf-8"?>
<ds:datastoreItem xmlns:ds="http://schemas.openxmlformats.org/officeDocument/2006/customXml" ds:itemID="{134B4446-9B03-430F-BCFE-DA746A0BE948}">
  <ds:schemaRefs>
    <ds:schemaRef ds:uri="http://schemas.openxmlformats.org/officeDocument/2006/bibliography"/>
  </ds:schemaRefs>
</ds:datastoreItem>
</file>

<file path=customXml/itemProps38.xml><?xml version="1.0" encoding="utf-8"?>
<ds:datastoreItem xmlns:ds="http://schemas.openxmlformats.org/officeDocument/2006/customXml" ds:itemID="{184FFFB4-FFE3-47FD-9EFC-E3AA16EBCFA1}">
  <ds:schemaRefs>
    <ds:schemaRef ds:uri="http://schemas.openxmlformats.org/officeDocument/2006/bibliography"/>
  </ds:schemaRefs>
</ds:datastoreItem>
</file>

<file path=customXml/itemProps39.xml><?xml version="1.0" encoding="utf-8"?>
<ds:datastoreItem xmlns:ds="http://schemas.openxmlformats.org/officeDocument/2006/customXml" ds:itemID="{533EEBEC-D29C-4DB6-928C-AB5C28F5E513}">
  <ds:schemaRefs>
    <ds:schemaRef ds:uri="http://schemas.openxmlformats.org/officeDocument/2006/bibliography"/>
  </ds:schemaRefs>
</ds:datastoreItem>
</file>

<file path=customXml/itemProps4.xml><?xml version="1.0" encoding="utf-8"?>
<ds:datastoreItem xmlns:ds="http://schemas.openxmlformats.org/officeDocument/2006/customXml" ds:itemID="{9EE92D67-3F27-487C-96E7-2666EEFC7AFA}">
  <ds:schemaRefs>
    <ds:schemaRef ds:uri="http://schemas.openxmlformats.org/officeDocument/2006/bibliography"/>
  </ds:schemaRefs>
</ds:datastoreItem>
</file>

<file path=customXml/itemProps40.xml><?xml version="1.0" encoding="utf-8"?>
<ds:datastoreItem xmlns:ds="http://schemas.openxmlformats.org/officeDocument/2006/customXml" ds:itemID="{FBCAB70F-F630-4E6D-9142-D8FBB3AFA290}">
  <ds:schemaRefs>
    <ds:schemaRef ds:uri="http://schemas.openxmlformats.org/officeDocument/2006/bibliography"/>
  </ds:schemaRefs>
</ds:datastoreItem>
</file>

<file path=customXml/itemProps41.xml><?xml version="1.0" encoding="utf-8"?>
<ds:datastoreItem xmlns:ds="http://schemas.openxmlformats.org/officeDocument/2006/customXml" ds:itemID="{1C2FFD06-4529-4F8B-A6CC-A611B95D2CE5}">
  <ds:schemaRefs>
    <ds:schemaRef ds:uri="http://schemas.openxmlformats.org/officeDocument/2006/bibliography"/>
  </ds:schemaRefs>
</ds:datastoreItem>
</file>

<file path=customXml/itemProps42.xml><?xml version="1.0" encoding="utf-8"?>
<ds:datastoreItem xmlns:ds="http://schemas.openxmlformats.org/officeDocument/2006/customXml" ds:itemID="{6C6AB492-0BB9-4E6F-9277-D3E489E05B31}">
  <ds:schemaRefs>
    <ds:schemaRef ds:uri="http://schemas.openxmlformats.org/officeDocument/2006/bibliography"/>
  </ds:schemaRefs>
</ds:datastoreItem>
</file>

<file path=customXml/itemProps5.xml><?xml version="1.0" encoding="utf-8"?>
<ds:datastoreItem xmlns:ds="http://schemas.openxmlformats.org/officeDocument/2006/customXml" ds:itemID="{5E6B58CD-B1BA-47B2-9E67-5A2131B7F851}">
  <ds:schemaRefs>
    <ds:schemaRef ds:uri="http://schemas.openxmlformats.org/officeDocument/2006/bibliography"/>
  </ds:schemaRefs>
</ds:datastoreItem>
</file>

<file path=customXml/itemProps6.xml><?xml version="1.0" encoding="utf-8"?>
<ds:datastoreItem xmlns:ds="http://schemas.openxmlformats.org/officeDocument/2006/customXml" ds:itemID="{91A8BC6B-F181-48F9-91F9-E5FD43A58D4C}">
  <ds:schemaRefs>
    <ds:schemaRef ds:uri="http://schemas.openxmlformats.org/officeDocument/2006/bibliography"/>
  </ds:schemaRefs>
</ds:datastoreItem>
</file>

<file path=customXml/itemProps7.xml><?xml version="1.0" encoding="utf-8"?>
<ds:datastoreItem xmlns:ds="http://schemas.openxmlformats.org/officeDocument/2006/customXml" ds:itemID="{C2420507-F5E3-490B-B2A8-6C54BCE85BCD}">
  <ds:schemaRefs>
    <ds:schemaRef ds:uri="http://schemas.openxmlformats.org/officeDocument/2006/bibliography"/>
  </ds:schemaRefs>
</ds:datastoreItem>
</file>

<file path=customXml/itemProps8.xml><?xml version="1.0" encoding="utf-8"?>
<ds:datastoreItem xmlns:ds="http://schemas.openxmlformats.org/officeDocument/2006/customXml" ds:itemID="{6659780C-144E-4820-8F3A-AA778017E4AF}">
  <ds:schemaRefs>
    <ds:schemaRef ds:uri="http://schemas.openxmlformats.org/officeDocument/2006/bibliography"/>
  </ds:schemaRefs>
</ds:datastoreItem>
</file>

<file path=customXml/itemProps9.xml><?xml version="1.0" encoding="utf-8"?>
<ds:datastoreItem xmlns:ds="http://schemas.openxmlformats.org/officeDocument/2006/customXml" ds:itemID="{ACAD1CA2-231A-4A0B-9CA7-64B18F4B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69</Pages>
  <Words>115612</Words>
  <Characters>65900</Characters>
  <Application>Microsoft Office Word</Application>
  <DocSecurity>0</DocSecurity>
  <Lines>549</Lines>
  <Paragraphs>362</Paragraphs>
  <ScaleCrop>false</ScaleCrop>
  <HeadingPairs>
    <vt:vector size="2" baseType="variant">
      <vt:variant>
        <vt:lpstr>Title</vt:lpstr>
      </vt:variant>
      <vt:variant>
        <vt:i4>1</vt:i4>
      </vt:variant>
    </vt:vector>
  </HeadingPairs>
  <TitlesOfParts>
    <vt:vector size="1" baseType="lpstr">
      <vt:lpstr>Latvijas Stabilitātes programma 2014. - 2017.gadam</vt:lpstr>
    </vt:vector>
  </TitlesOfParts>
  <Company>Finanšu ministrija</Company>
  <LinksUpToDate>false</LinksUpToDate>
  <CharactersWithSpaces>181150</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Stabilitātes programma 2014. - 2017.gadam</dc:title>
  <dc:subject>Programma</dc:subject>
  <dc:creator>Gerda Rubīna</dc:creator>
  <dc:description>67083911, gerda.rubina@fm.gov.lv</dc:description>
  <cp:lastModifiedBy>Gerda Rubīna</cp:lastModifiedBy>
  <cp:revision>196</cp:revision>
  <cp:lastPrinted>2014-04-24T11:20:00Z</cp:lastPrinted>
  <dcterms:created xsi:type="dcterms:W3CDTF">2013-04-24T14:14:00Z</dcterms:created>
  <dcterms:modified xsi:type="dcterms:W3CDTF">2014-04-24T11:28:00Z</dcterms:modified>
</cp:coreProperties>
</file>