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EAAFD" w14:textId="77777777" w:rsidR="00884164" w:rsidRPr="000C010A" w:rsidRDefault="00884164" w:rsidP="000C010A">
      <w:pPr>
        <w:pStyle w:val="ListParagraph"/>
        <w:spacing w:line="240" w:lineRule="auto"/>
        <w:ind w:left="0"/>
        <w:jc w:val="center"/>
        <w:rPr>
          <w:b/>
          <w:bCs/>
          <w:szCs w:val="28"/>
        </w:rPr>
      </w:pPr>
      <w:r w:rsidRPr="000C010A">
        <w:rPr>
          <w:b/>
          <w:bCs/>
          <w:szCs w:val="28"/>
        </w:rPr>
        <w:t xml:space="preserve">Informatīvais ziņojums </w:t>
      </w:r>
    </w:p>
    <w:p w14:paraId="47A25220" w14:textId="77777777" w:rsidR="00BE08AC" w:rsidRPr="000C010A" w:rsidRDefault="00BE08AC" w:rsidP="000C010A">
      <w:pPr>
        <w:pStyle w:val="ListParagraph"/>
        <w:spacing w:line="240" w:lineRule="auto"/>
        <w:ind w:left="0"/>
        <w:jc w:val="center"/>
        <w:rPr>
          <w:b/>
          <w:bCs/>
          <w:szCs w:val="28"/>
        </w:rPr>
      </w:pPr>
      <w:r w:rsidRPr="000C010A">
        <w:rPr>
          <w:b/>
          <w:bCs/>
          <w:szCs w:val="28"/>
        </w:rPr>
        <w:t>par Satiksmes ministrijas izvirzītajiem priekšlikumiem Krievijas ekonomisko sankciju</w:t>
      </w:r>
      <w:r w:rsidR="00884164" w:rsidRPr="000C010A">
        <w:rPr>
          <w:b/>
          <w:bCs/>
          <w:szCs w:val="28"/>
        </w:rPr>
        <w:t xml:space="preserve"> </w:t>
      </w:r>
      <w:r w:rsidRPr="000C010A">
        <w:rPr>
          <w:b/>
          <w:bCs/>
          <w:szCs w:val="28"/>
        </w:rPr>
        <w:t>negatīvo seku mazināšanai tranzīta un loģistikas jomā</w:t>
      </w:r>
    </w:p>
    <w:p w14:paraId="39356187" w14:textId="77777777" w:rsidR="00BE08AC" w:rsidRPr="00444B17" w:rsidRDefault="00BE08AC" w:rsidP="00842792">
      <w:pPr>
        <w:ind w:firstLine="709"/>
        <w:jc w:val="both"/>
        <w:rPr>
          <w:rStyle w:val="spelle"/>
          <w:rFonts w:cs="Times New Roman"/>
          <w:sz w:val="26"/>
          <w:szCs w:val="26"/>
        </w:rPr>
      </w:pPr>
    </w:p>
    <w:p w14:paraId="4FEB51F5" w14:textId="77777777" w:rsidR="00AB57A0" w:rsidRPr="00444B17" w:rsidRDefault="004B11A0" w:rsidP="00AC4F40">
      <w:pPr>
        <w:ind w:firstLine="720"/>
        <w:jc w:val="both"/>
        <w:rPr>
          <w:rStyle w:val="spelle"/>
          <w:rFonts w:cs="Times New Roman"/>
          <w:sz w:val="26"/>
          <w:szCs w:val="26"/>
        </w:rPr>
      </w:pPr>
      <w:r w:rsidRPr="00444B17">
        <w:rPr>
          <w:rStyle w:val="spelle"/>
          <w:rFonts w:cs="Times New Roman"/>
          <w:sz w:val="26"/>
          <w:szCs w:val="26"/>
        </w:rPr>
        <w:t xml:space="preserve">Ministru kabineta 2014.gada 26.augusta sēdē Satiksmes ministrija iesniedza izskatīšanai priekšlikumus tranzīta un loģistikas nozares konkurētspējas uzlabošanai. </w:t>
      </w:r>
      <w:r w:rsidR="00D925E5" w:rsidRPr="00444B17">
        <w:rPr>
          <w:rFonts w:cs="Times New Roman"/>
          <w:sz w:val="26"/>
          <w:szCs w:val="26"/>
        </w:rPr>
        <w:t>Saskaņā ar sēdes protokol</w:t>
      </w:r>
      <w:r w:rsidRPr="00444B17">
        <w:rPr>
          <w:rFonts w:cs="Times New Roman"/>
          <w:sz w:val="26"/>
          <w:szCs w:val="26"/>
        </w:rPr>
        <w:t>a</w:t>
      </w:r>
      <w:r w:rsidR="00D925E5" w:rsidRPr="00444B17">
        <w:rPr>
          <w:rFonts w:cs="Times New Roman"/>
          <w:sz w:val="26"/>
          <w:szCs w:val="26"/>
        </w:rPr>
        <w:t xml:space="preserve"> Nr.45 47.§ 6.punktu </w:t>
      </w:r>
      <w:r w:rsidR="00BE08AC" w:rsidRPr="00444B17">
        <w:rPr>
          <w:rStyle w:val="spelle"/>
          <w:rFonts w:cs="Times New Roman"/>
          <w:sz w:val="26"/>
          <w:szCs w:val="26"/>
        </w:rPr>
        <w:t xml:space="preserve">Finanšu ministrijai </w:t>
      </w:r>
      <w:r w:rsidR="00AB57A0" w:rsidRPr="00444B17">
        <w:rPr>
          <w:rStyle w:val="spelle"/>
          <w:rFonts w:cs="Times New Roman"/>
          <w:sz w:val="26"/>
          <w:szCs w:val="26"/>
        </w:rPr>
        <w:t xml:space="preserve">uzdots </w:t>
      </w:r>
      <w:r w:rsidR="00BE08AC" w:rsidRPr="00444B17">
        <w:rPr>
          <w:rStyle w:val="spelle"/>
          <w:rFonts w:cs="Times New Roman"/>
          <w:sz w:val="26"/>
          <w:szCs w:val="26"/>
        </w:rPr>
        <w:t>turpināt izvērtēt un ar iesaistītajām institūcijām un nozares nevalstiskajām organizācijām apspriest Satiksmes ministrijas izvirzītos priekšlikumus, par kuriem nav panākta vienošanās</w:t>
      </w:r>
      <w:r w:rsidR="00AB57A0" w:rsidRPr="00444B17">
        <w:rPr>
          <w:rStyle w:val="spelle"/>
          <w:rFonts w:cs="Times New Roman"/>
          <w:sz w:val="26"/>
          <w:szCs w:val="26"/>
        </w:rPr>
        <w:t>.</w:t>
      </w:r>
    </w:p>
    <w:p w14:paraId="11B3FCA6" w14:textId="77777777" w:rsidR="00C61912" w:rsidRPr="00444B17" w:rsidRDefault="004B11A0" w:rsidP="00AC4F40">
      <w:pPr>
        <w:ind w:firstLine="720"/>
        <w:jc w:val="both"/>
        <w:rPr>
          <w:rStyle w:val="spelle"/>
          <w:rFonts w:cs="Times New Roman"/>
          <w:sz w:val="26"/>
          <w:szCs w:val="26"/>
        </w:rPr>
      </w:pPr>
      <w:r w:rsidRPr="00444B17">
        <w:rPr>
          <w:rStyle w:val="spelle"/>
          <w:rFonts w:cs="Times New Roman"/>
          <w:sz w:val="26"/>
          <w:szCs w:val="26"/>
        </w:rPr>
        <w:t xml:space="preserve">Finanšu ministrija par Satiksmes ministrijas iesniegtajiem priekšlikumiem ir organizējusi tikšanās ar nevalstisko sektoru un Satiksmes ministriju, lai </w:t>
      </w:r>
      <w:r w:rsidR="00BB1203" w:rsidRPr="00444B17">
        <w:rPr>
          <w:rStyle w:val="spelle"/>
          <w:rFonts w:cs="Times New Roman"/>
          <w:sz w:val="26"/>
          <w:szCs w:val="26"/>
        </w:rPr>
        <w:t xml:space="preserve">pārrunātu un rastu risinājumus </w:t>
      </w:r>
      <w:proofErr w:type="spellStart"/>
      <w:r w:rsidR="00BB1203" w:rsidRPr="00444B17">
        <w:rPr>
          <w:rStyle w:val="spelle"/>
          <w:rFonts w:cs="Times New Roman"/>
          <w:sz w:val="26"/>
          <w:szCs w:val="26"/>
        </w:rPr>
        <w:t>problēmjautājumu</w:t>
      </w:r>
      <w:proofErr w:type="spellEnd"/>
      <w:r w:rsidR="00BB1203" w:rsidRPr="00444B17">
        <w:rPr>
          <w:rStyle w:val="spelle"/>
          <w:rFonts w:cs="Times New Roman"/>
          <w:sz w:val="26"/>
          <w:szCs w:val="26"/>
        </w:rPr>
        <w:t xml:space="preserve"> jomās, kurās ir iespējama tranzīta un loģistikas nozares konkurētspējas uzlabošana. </w:t>
      </w:r>
    </w:p>
    <w:p w14:paraId="40F01B36" w14:textId="77777777" w:rsidR="00D925E5" w:rsidRPr="00444B17" w:rsidRDefault="00C61912" w:rsidP="00AC4F40">
      <w:pPr>
        <w:ind w:firstLine="720"/>
        <w:jc w:val="both"/>
        <w:rPr>
          <w:rStyle w:val="spelle"/>
          <w:rFonts w:cs="Times New Roman"/>
          <w:sz w:val="26"/>
          <w:szCs w:val="26"/>
        </w:rPr>
      </w:pPr>
      <w:r w:rsidRPr="00444B17">
        <w:rPr>
          <w:rStyle w:val="spelle"/>
          <w:rFonts w:cs="Times New Roman"/>
          <w:sz w:val="26"/>
          <w:szCs w:val="26"/>
        </w:rPr>
        <w:t xml:space="preserve">Vienlaikus norādām, ka </w:t>
      </w:r>
      <w:r w:rsidR="004B11A0" w:rsidRPr="00444B17">
        <w:rPr>
          <w:rStyle w:val="spelle"/>
          <w:rFonts w:cs="Times New Roman"/>
          <w:sz w:val="26"/>
          <w:szCs w:val="26"/>
        </w:rPr>
        <w:t xml:space="preserve">vairāki priekšlikumi ir pilnīgi jauni, </w:t>
      </w:r>
      <w:r w:rsidRPr="00444B17">
        <w:rPr>
          <w:rStyle w:val="spelle"/>
          <w:rFonts w:cs="Times New Roman"/>
          <w:sz w:val="26"/>
          <w:szCs w:val="26"/>
        </w:rPr>
        <w:t xml:space="preserve">līdz ar to </w:t>
      </w:r>
      <w:r w:rsidR="004B11A0" w:rsidRPr="00444B17">
        <w:rPr>
          <w:rStyle w:val="spelle"/>
          <w:rFonts w:cs="Times New Roman"/>
          <w:sz w:val="26"/>
          <w:szCs w:val="26"/>
        </w:rPr>
        <w:t xml:space="preserve">Finanšu ministrija sniedz viedokli </w:t>
      </w:r>
      <w:r w:rsidR="004236E6" w:rsidRPr="00444B17">
        <w:rPr>
          <w:rStyle w:val="spelle"/>
          <w:rFonts w:cs="Times New Roman"/>
          <w:sz w:val="26"/>
          <w:szCs w:val="26"/>
        </w:rPr>
        <w:t>par katru no Satiksmes ministrijas sniegtajiem priekšlikumiem</w:t>
      </w:r>
      <w:r w:rsidR="00444B17" w:rsidRPr="00444B17">
        <w:rPr>
          <w:rStyle w:val="spelle"/>
          <w:rFonts w:cs="Times New Roman"/>
          <w:sz w:val="26"/>
          <w:szCs w:val="26"/>
        </w:rPr>
        <w:t xml:space="preserve"> atsevišķi</w:t>
      </w:r>
      <w:r w:rsidR="00BB1203" w:rsidRPr="00444B17">
        <w:rPr>
          <w:rStyle w:val="spelle"/>
          <w:rFonts w:cs="Times New Roman"/>
          <w:sz w:val="26"/>
          <w:szCs w:val="26"/>
        </w:rPr>
        <w:t>.</w:t>
      </w:r>
    </w:p>
    <w:p w14:paraId="1DB6135A" w14:textId="77777777" w:rsidR="00B04DD9" w:rsidRPr="00444B17" w:rsidRDefault="00B04DD9" w:rsidP="00AC4F40">
      <w:pPr>
        <w:ind w:firstLine="720"/>
        <w:jc w:val="both"/>
        <w:rPr>
          <w:rStyle w:val="spelle"/>
          <w:rFonts w:cs="Times New Roman"/>
          <w:sz w:val="26"/>
          <w:szCs w:val="26"/>
        </w:rPr>
      </w:pPr>
      <w:r>
        <w:rPr>
          <w:rStyle w:val="spelle"/>
          <w:rFonts w:cs="Times New Roman"/>
          <w:sz w:val="26"/>
          <w:szCs w:val="26"/>
        </w:rPr>
        <w:t>Bez tam vēršam uzmanību uz to, ka iesniegtajiem priekšlikumiem nav tiešas saistības ar Krievijas noteiktajām sankcijām un to sekām.</w:t>
      </w:r>
    </w:p>
    <w:p w14:paraId="5650B537" w14:textId="77777777" w:rsidR="00BB1203" w:rsidRPr="00444B17" w:rsidRDefault="00BB1203" w:rsidP="00AC4F40">
      <w:pPr>
        <w:ind w:firstLine="720"/>
        <w:jc w:val="both"/>
        <w:rPr>
          <w:rStyle w:val="spelle"/>
          <w:rFonts w:cs="Times New Roman"/>
          <w:sz w:val="26"/>
          <w:szCs w:val="26"/>
        </w:rPr>
      </w:pPr>
    </w:p>
    <w:p w14:paraId="7144ED92" w14:textId="77777777" w:rsidR="00D925E5" w:rsidRPr="00E93A1B" w:rsidRDefault="00D925E5" w:rsidP="00FA6ED9">
      <w:pPr>
        <w:pStyle w:val="ListParagraph"/>
        <w:numPr>
          <w:ilvl w:val="0"/>
          <w:numId w:val="15"/>
        </w:numPr>
        <w:spacing w:line="240" w:lineRule="auto"/>
        <w:ind w:left="284" w:hanging="284"/>
        <w:jc w:val="both"/>
        <w:rPr>
          <w:rStyle w:val="spelle"/>
          <w:rFonts w:cs="Times New Roman"/>
          <w:b/>
          <w:sz w:val="26"/>
          <w:szCs w:val="26"/>
        </w:rPr>
      </w:pPr>
      <w:r w:rsidRPr="00E93A1B">
        <w:rPr>
          <w:rStyle w:val="spelle"/>
          <w:rFonts w:cs="Times New Roman"/>
          <w:b/>
          <w:sz w:val="26"/>
          <w:szCs w:val="26"/>
        </w:rPr>
        <w:t>Fiskā</w:t>
      </w:r>
      <w:r w:rsidR="000C010A" w:rsidRPr="00E93A1B">
        <w:rPr>
          <w:rStyle w:val="spelle"/>
          <w:rFonts w:cs="Times New Roman"/>
          <w:b/>
          <w:sz w:val="26"/>
          <w:szCs w:val="26"/>
        </w:rPr>
        <w:t>lā pārstāvja darbības nosacījumu atvieglošana</w:t>
      </w:r>
    </w:p>
    <w:p w14:paraId="7C5AFE22" w14:textId="6EBF1314" w:rsidR="00D925E5" w:rsidRPr="00444B17" w:rsidRDefault="00896D69" w:rsidP="00AC4F40">
      <w:pPr>
        <w:pStyle w:val="ListParagraph"/>
        <w:spacing w:line="240" w:lineRule="auto"/>
        <w:ind w:left="0" w:firstLine="720"/>
        <w:jc w:val="both"/>
        <w:rPr>
          <w:rFonts w:cs="Times New Roman"/>
          <w:sz w:val="26"/>
          <w:szCs w:val="26"/>
        </w:rPr>
      </w:pPr>
      <w:r>
        <w:rPr>
          <w:rFonts w:cs="Times New Roman"/>
          <w:sz w:val="26"/>
          <w:szCs w:val="26"/>
        </w:rPr>
        <w:t>Piedāvātie</w:t>
      </w:r>
      <w:r w:rsidR="00D925E5" w:rsidRPr="00444B17">
        <w:rPr>
          <w:rFonts w:cs="Times New Roman"/>
          <w:sz w:val="26"/>
          <w:szCs w:val="26"/>
        </w:rPr>
        <w:t xml:space="preserve"> priekšlikumi </w:t>
      </w:r>
      <w:r>
        <w:rPr>
          <w:rFonts w:cs="Times New Roman"/>
          <w:sz w:val="26"/>
          <w:szCs w:val="26"/>
        </w:rPr>
        <w:t xml:space="preserve">ir </w:t>
      </w:r>
      <w:r w:rsidR="00D925E5" w:rsidRPr="00444B17">
        <w:rPr>
          <w:rFonts w:cs="Times New Roman"/>
          <w:sz w:val="26"/>
          <w:szCs w:val="26"/>
        </w:rPr>
        <w:t>vērtēti, lai izdarīt</w:t>
      </w:r>
      <w:r>
        <w:rPr>
          <w:rFonts w:cs="Times New Roman"/>
          <w:sz w:val="26"/>
          <w:szCs w:val="26"/>
        </w:rPr>
        <w:t>u</w:t>
      </w:r>
      <w:r w:rsidR="00D925E5" w:rsidRPr="00444B17">
        <w:rPr>
          <w:rFonts w:cs="Times New Roman"/>
          <w:sz w:val="26"/>
          <w:szCs w:val="26"/>
        </w:rPr>
        <w:t xml:space="preserve"> secinājumus par iespējamiem grozījumiem normatīvajos aktos pievienotās vērtības nodokļa (turpmāk - PVN) jomā, </w:t>
      </w:r>
      <w:r>
        <w:rPr>
          <w:rFonts w:cs="Times New Roman"/>
          <w:sz w:val="26"/>
          <w:szCs w:val="26"/>
        </w:rPr>
        <w:t xml:space="preserve">pilnveidojot </w:t>
      </w:r>
      <w:r w:rsidR="00D925E5" w:rsidRPr="00444B17">
        <w:rPr>
          <w:rFonts w:cs="Times New Roman"/>
          <w:sz w:val="26"/>
          <w:szCs w:val="26"/>
        </w:rPr>
        <w:t xml:space="preserve">regulējumu par fiskālā pārstāvja darbību Latvijā. </w:t>
      </w:r>
    </w:p>
    <w:p w14:paraId="49D4678C" w14:textId="77777777" w:rsidR="00D21B46" w:rsidRPr="00444B17" w:rsidRDefault="00D21B46" w:rsidP="003450C1">
      <w:pPr>
        <w:ind w:firstLine="720"/>
        <w:jc w:val="both"/>
        <w:rPr>
          <w:rFonts w:eastAsia="MS Mincho" w:cs="Times New Roman"/>
          <w:i/>
          <w:sz w:val="26"/>
          <w:szCs w:val="26"/>
        </w:rPr>
      </w:pPr>
    </w:p>
    <w:p w14:paraId="74952FD0" w14:textId="77777777" w:rsidR="00DE7AB2" w:rsidRPr="00444B17" w:rsidRDefault="00DE7AB2" w:rsidP="00E93A1B">
      <w:pPr>
        <w:jc w:val="both"/>
        <w:rPr>
          <w:rFonts w:eastAsia="MS Mincho" w:cs="Times New Roman"/>
          <w:b/>
          <w:i/>
          <w:sz w:val="26"/>
          <w:szCs w:val="26"/>
          <w:u w:val="single"/>
        </w:rPr>
      </w:pPr>
      <w:r w:rsidRPr="00444B17">
        <w:rPr>
          <w:rFonts w:eastAsia="MS Mincho" w:cs="Times New Roman"/>
          <w:b/>
          <w:i/>
          <w:sz w:val="26"/>
          <w:szCs w:val="26"/>
          <w:u w:val="single"/>
        </w:rPr>
        <w:t>Satiksmes ministrijas priekšlikums</w:t>
      </w:r>
    </w:p>
    <w:p w14:paraId="1A58231E" w14:textId="77777777" w:rsidR="007C2EEE" w:rsidRPr="00444B17" w:rsidRDefault="003450C1" w:rsidP="00AC4F40">
      <w:pPr>
        <w:ind w:firstLine="720"/>
        <w:jc w:val="both"/>
        <w:rPr>
          <w:rFonts w:eastAsia="MS Mincho" w:cs="Times New Roman"/>
          <w:b/>
          <w:sz w:val="26"/>
          <w:szCs w:val="26"/>
        </w:rPr>
      </w:pPr>
      <w:r w:rsidRPr="00444B17">
        <w:rPr>
          <w:rFonts w:eastAsia="MS Mincho" w:cs="Times New Roman"/>
          <w:b/>
          <w:sz w:val="26"/>
          <w:szCs w:val="26"/>
        </w:rPr>
        <w:t xml:space="preserve">a) Pārstāvēt citus Eiropas Savienības PVN maksātājus, kuri nav reģistrēti PVN reģistrā. </w:t>
      </w:r>
    </w:p>
    <w:p w14:paraId="424806BF" w14:textId="77777777" w:rsidR="003450C1" w:rsidRPr="00444B17" w:rsidRDefault="003450C1" w:rsidP="00AC4F40">
      <w:pPr>
        <w:ind w:firstLine="720"/>
        <w:jc w:val="both"/>
        <w:rPr>
          <w:rFonts w:eastAsia="MS Mincho" w:cs="Times New Roman"/>
          <w:b/>
          <w:sz w:val="26"/>
          <w:szCs w:val="26"/>
        </w:rPr>
      </w:pPr>
      <w:r w:rsidRPr="00444B17">
        <w:rPr>
          <w:rFonts w:eastAsia="MS Mincho" w:cs="Times New Roman"/>
          <w:b/>
          <w:sz w:val="26"/>
          <w:szCs w:val="26"/>
        </w:rPr>
        <w:t>Veikt grozījumus Pievienotās vēr</w:t>
      </w:r>
      <w:r w:rsidR="00831DCD" w:rsidRPr="00444B17">
        <w:rPr>
          <w:rFonts w:eastAsia="MS Mincho" w:cs="Times New Roman"/>
          <w:b/>
          <w:sz w:val="26"/>
          <w:szCs w:val="26"/>
        </w:rPr>
        <w:t>tības nodokļa likuma 1.panta 5.</w:t>
      </w:r>
      <w:r w:rsidR="00087330" w:rsidRPr="00444B17">
        <w:rPr>
          <w:rFonts w:eastAsia="MS Mincho" w:cs="Times New Roman"/>
          <w:b/>
          <w:sz w:val="26"/>
          <w:szCs w:val="26"/>
        </w:rPr>
        <w:t>punktā un</w:t>
      </w:r>
      <w:r w:rsidRPr="00444B17">
        <w:rPr>
          <w:rFonts w:eastAsia="MS Mincho" w:cs="Times New Roman"/>
          <w:b/>
          <w:sz w:val="26"/>
          <w:szCs w:val="26"/>
        </w:rPr>
        <w:t xml:space="preserve"> paredzēt, ka fiskālais pārstāvis var pārstāvēt arī citas dalībvalsts nereģistrētu nodokļu maksātāju.</w:t>
      </w:r>
    </w:p>
    <w:p w14:paraId="6037A6D9" w14:textId="77777777" w:rsidR="003450C1" w:rsidRPr="00444B17" w:rsidRDefault="003450C1" w:rsidP="00AC4F40">
      <w:pPr>
        <w:ind w:firstLine="720"/>
        <w:jc w:val="both"/>
        <w:rPr>
          <w:rFonts w:eastAsia="MS Mincho" w:cs="Times New Roman"/>
          <w:b/>
          <w:sz w:val="26"/>
          <w:szCs w:val="26"/>
        </w:rPr>
      </w:pPr>
    </w:p>
    <w:p w14:paraId="5208CE63" w14:textId="77777777" w:rsidR="00716943" w:rsidRPr="00444B17" w:rsidRDefault="003450C1" w:rsidP="00AC4F40">
      <w:pPr>
        <w:ind w:firstLine="720"/>
        <w:jc w:val="both"/>
        <w:rPr>
          <w:rFonts w:eastAsia="MS Mincho" w:cs="Times New Roman"/>
          <w:color w:val="000000" w:themeColor="text1"/>
          <w:sz w:val="26"/>
          <w:szCs w:val="26"/>
        </w:rPr>
      </w:pPr>
      <w:r w:rsidRPr="00444B17">
        <w:rPr>
          <w:rFonts w:eastAsia="MS Mincho" w:cs="Times New Roman"/>
          <w:color w:val="000000" w:themeColor="text1"/>
          <w:sz w:val="26"/>
          <w:szCs w:val="26"/>
        </w:rPr>
        <w:t>Finanšu ministrijas pārstāvji ir tikušies un uzklausījuši Latvijas Loģistikas asociā</w:t>
      </w:r>
      <w:r w:rsidR="007C2EEE" w:rsidRPr="00444B17">
        <w:rPr>
          <w:rFonts w:eastAsia="MS Mincho" w:cs="Times New Roman"/>
          <w:color w:val="000000" w:themeColor="text1"/>
          <w:sz w:val="26"/>
          <w:szCs w:val="26"/>
        </w:rPr>
        <w:t>cijas pārstāvjus un izvērtējuši</w:t>
      </w:r>
      <w:r w:rsidRPr="00444B17">
        <w:rPr>
          <w:rFonts w:eastAsia="MS Mincho" w:cs="Times New Roman"/>
          <w:color w:val="000000" w:themeColor="text1"/>
          <w:sz w:val="26"/>
          <w:szCs w:val="26"/>
        </w:rPr>
        <w:t xml:space="preserve"> Pievienotās v</w:t>
      </w:r>
      <w:r w:rsidR="00831DCD" w:rsidRPr="00444B17">
        <w:rPr>
          <w:rFonts w:eastAsia="MS Mincho" w:cs="Times New Roman"/>
          <w:color w:val="000000" w:themeColor="text1"/>
          <w:sz w:val="26"/>
          <w:szCs w:val="26"/>
        </w:rPr>
        <w:t>ērtības nodokļa likuma 1.panta 5.</w:t>
      </w:r>
      <w:r w:rsidRPr="00444B17">
        <w:rPr>
          <w:rFonts w:eastAsia="MS Mincho" w:cs="Times New Roman"/>
          <w:color w:val="000000" w:themeColor="text1"/>
          <w:sz w:val="26"/>
          <w:szCs w:val="26"/>
        </w:rPr>
        <w:t>punktu. Finanšu ministrijas ieskatā šādu priekšlikumu varētu atbalstīt, taču ir nepieciešams turpināt detalizētu diskusiju ar Valsts ieņēmumu dienesta pārstāvjiem, lai objektīvi izvērtēt</w:t>
      </w:r>
      <w:r w:rsidR="006E40B4" w:rsidRPr="00444B17">
        <w:rPr>
          <w:rFonts w:eastAsia="MS Mincho" w:cs="Times New Roman"/>
          <w:color w:val="000000" w:themeColor="text1"/>
          <w:sz w:val="26"/>
          <w:szCs w:val="26"/>
        </w:rPr>
        <w:t>u</w:t>
      </w:r>
      <w:r w:rsidRPr="00444B17">
        <w:rPr>
          <w:rFonts w:eastAsia="MS Mincho" w:cs="Times New Roman"/>
          <w:color w:val="000000" w:themeColor="text1"/>
          <w:sz w:val="26"/>
          <w:szCs w:val="26"/>
        </w:rPr>
        <w:t xml:space="preserve"> sekas, kas varētu iestāties šādi mainot tiesisko regulējumu Pievienotās vērtības nodokļa likumā. </w:t>
      </w:r>
    </w:p>
    <w:p w14:paraId="36E299F6" w14:textId="334BCFC4" w:rsidR="00C1775E" w:rsidRPr="00444B17" w:rsidRDefault="003450C1" w:rsidP="00AC4F40">
      <w:pPr>
        <w:ind w:firstLine="720"/>
        <w:jc w:val="both"/>
        <w:rPr>
          <w:rFonts w:cs="Times New Roman"/>
          <w:color w:val="000000" w:themeColor="text1"/>
          <w:sz w:val="26"/>
          <w:szCs w:val="26"/>
        </w:rPr>
      </w:pPr>
      <w:r w:rsidRPr="00444B17">
        <w:rPr>
          <w:rFonts w:eastAsia="Arial Unicode MS" w:cs="Times New Roman"/>
          <w:color w:val="000000" w:themeColor="text1"/>
          <w:sz w:val="26"/>
          <w:szCs w:val="26"/>
        </w:rPr>
        <w:t xml:space="preserve">Padomes 2006.gada 28.novembra direktīvas 2006/112/EK par kopējo PVN sistēmu (turpmāk – Direktīva 2006/112/EK) 204.pants paredz, ka, ja par PVN nomaksu atbildīgā persona ir PVN maksātājs, kas neveic uzņēmējdarbību </w:t>
      </w:r>
      <w:r w:rsidR="00087330" w:rsidRPr="00444B17">
        <w:rPr>
          <w:rFonts w:cs="Times New Roman"/>
          <w:color w:val="000000" w:themeColor="text1"/>
          <w:sz w:val="26"/>
          <w:szCs w:val="26"/>
        </w:rPr>
        <w:t xml:space="preserve">Eiropas Savienības </w:t>
      </w:r>
      <w:r w:rsidR="00847CA9" w:rsidRPr="00444B17">
        <w:rPr>
          <w:rFonts w:eastAsia="Arial Unicode MS" w:cs="Times New Roman"/>
          <w:color w:val="000000" w:themeColor="text1"/>
          <w:sz w:val="26"/>
          <w:szCs w:val="26"/>
        </w:rPr>
        <w:t xml:space="preserve">(turpmāk – ES) </w:t>
      </w:r>
      <w:r w:rsidRPr="00444B17">
        <w:rPr>
          <w:rFonts w:eastAsia="Arial Unicode MS" w:cs="Times New Roman"/>
          <w:color w:val="000000" w:themeColor="text1"/>
          <w:sz w:val="26"/>
          <w:szCs w:val="26"/>
        </w:rPr>
        <w:t xml:space="preserve">dalībvalstī, kurā maksājams PVN, tad </w:t>
      </w:r>
      <w:r w:rsidR="00847CA9" w:rsidRPr="00444B17">
        <w:rPr>
          <w:rFonts w:eastAsia="Arial Unicode MS" w:cs="Times New Roman"/>
          <w:color w:val="000000" w:themeColor="text1"/>
          <w:sz w:val="26"/>
          <w:szCs w:val="26"/>
        </w:rPr>
        <w:t xml:space="preserve">ES </w:t>
      </w:r>
      <w:r w:rsidRPr="00444B17">
        <w:rPr>
          <w:rFonts w:eastAsia="Arial Unicode MS" w:cs="Times New Roman"/>
          <w:color w:val="000000" w:themeColor="text1"/>
          <w:sz w:val="26"/>
          <w:szCs w:val="26"/>
        </w:rPr>
        <w:t>dalībvalstis var atļaut šai personai iecelt pārstāvi PVN jautājumos, kas atbildīgs par PVN nomaksu.</w:t>
      </w:r>
      <w:r w:rsidRPr="00444B17">
        <w:rPr>
          <w:rFonts w:cs="Times New Roman"/>
          <w:color w:val="000000" w:themeColor="text1"/>
          <w:sz w:val="26"/>
          <w:szCs w:val="26"/>
        </w:rPr>
        <w:t xml:space="preserve"> Tādējādi Finanšu ministrija uzskata, ka fiskālais pārstāvis varētu pārstāvēt citas </w:t>
      </w:r>
      <w:r w:rsidR="00847CA9" w:rsidRPr="00444B17">
        <w:rPr>
          <w:rFonts w:cs="Times New Roman"/>
          <w:color w:val="000000" w:themeColor="text1"/>
          <w:sz w:val="26"/>
          <w:szCs w:val="26"/>
        </w:rPr>
        <w:t xml:space="preserve">ES </w:t>
      </w:r>
      <w:r w:rsidRPr="00444B17">
        <w:rPr>
          <w:rFonts w:cs="Times New Roman"/>
          <w:color w:val="000000" w:themeColor="text1"/>
          <w:sz w:val="26"/>
          <w:szCs w:val="26"/>
        </w:rPr>
        <w:t xml:space="preserve">dalībvalsts </w:t>
      </w:r>
      <w:r w:rsidR="007F1CD0">
        <w:rPr>
          <w:rFonts w:cs="Times New Roman"/>
          <w:color w:val="000000" w:themeColor="text1"/>
          <w:sz w:val="26"/>
          <w:szCs w:val="26"/>
        </w:rPr>
        <w:t xml:space="preserve">nodokļu </w:t>
      </w:r>
      <w:r w:rsidRPr="00444B17">
        <w:rPr>
          <w:rFonts w:cs="Times New Roman"/>
          <w:color w:val="000000" w:themeColor="text1"/>
          <w:sz w:val="26"/>
          <w:szCs w:val="26"/>
        </w:rPr>
        <w:t xml:space="preserve">maksātāju, kurš nav reģistrēts citas dalībvalsts PVN maksātāju reģistrā. </w:t>
      </w:r>
    </w:p>
    <w:p w14:paraId="2E393EB8" w14:textId="0D8F0A6C" w:rsidR="003450C1" w:rsidRPr="00444B17" w:rsidRDefault="003450C1" w:rsidP="00AC4F40">
      <w:pPr>
        <w:ind w:firstLine="720"/>
        <w:jc w:val="both"/>
        <w:rPr>
          <w:rFonts w:cs="Times New Roman"/>
          <w:color w:val="000000" w:themeColor="text1"/>
          <w:sz w:val="26"/>
          <w:szCs w:val="26"/>
        </w:rPr>
      </w:pPr>
      <w:r w:rsidRPr="00444B17">
        <w:rPr>
          <w:rFonts w:cs="Times New Roman"/>
          <w:color w:val="000000" w:themeColor="text1"/>
          <w:sz w:val="26"/>
          <w:szCs w:val="26"/>
        </w:rPr>
        <w:lastRenderedPageBreak/>
        <w:t xml:space="preserve">Vienlaikus Finanšu ministrija atzīmē, ka par precēm, </w:t>
      </w:r>
      <w:r w:rsidR="00896D69" w:rsidRPr="00444B17">
        <w:rPr>
          <w:rFonts w:cs="Times New Roman"/>
          <w:color w:val="000000" w:themeColor="text1"/>
          <w:sz w:val="26"/>
          <w:szCs w:val="26"/>
        </w:rPr>
        <w:t>k</w:t>
      </w:r>
      <w:r w:rsidR="00896D69">
        <w:rPr>
          <w:rFonts w:cs="Times New Roman"/>
          <w:color w:val="000000" w:themeColor="text1"/>
          <w:sz w:val="26"/>
          <w:szCs w:val="26"/>
        </w:rPr>
        <w:t xml:space="preserve">uras </w:t>
      </w:r>
      <w:r w:rsidR="00E433E1">
        <w:rPr>
          <w:rFonts w:cs="Times New Roman"/>
          <w:color w:val="000000" w:themeColor="text1"/>
          <w:sz w:val="26"/>
          <w:szCs w:val="26"/>
        </w:rPr>
        <w:t xml:space="preserve">fiskālais pārstāvis </w:t>
      </w:r>
      <w:proofErr w:type="spellStart"/>
      <w:r w:rsidR="00E433E1">
        <w:rPr>
          <w:rFonts w:cs="Times New Roman"/>
          <w:color w:val="000000" w:themeColor="text1"/>
          <w:sz w:val="26"/>
          <w:szCs w:val="26"/>
        </w:rPr>
        <w:t>nosūta</w:t>
      </w:r>
      <w:proofErr w:type="spellEnd"/>
      <w:r w:rsidRPr="00444B17">
        <w:rPr>
          <w:rFonts w:cs="Times New Roman"/>
          <w:color w:val="000000" w:themeColor="text1"/>
          <w:sz w:val="26"/>
          <w:szCs w:val="26"/>
        </w:rPr>
        <w:t xml:space="preserve"> uz citu </w:t>
      </w:r>
      <w:r w:rsidR="00847CA9" w:rsidRPr="00444B17">
        <w:rPr>
          <w:rFonts w:cs="Times New Roman"/>
          <w:color w:val="000000" w:themeColor="text1"/>
          <w:sz w:val="26"/>
          <w:szCs w:val="26"/>
        </w:rPr>
        <w:t xml:space="preserve">ES </w:t>
      </w:r>
      <w:r w:rsidRPr="00444B17">
        <w:rPr>
          <w:rFonts w:cs="Times New Roman"/>
          <w:color w:val="000000" w:themeColor="text1"/>
          <w:sz w:val="26"/>
          <w:szCs w:val="26"/>
        </w:rPr>
        <w:t xml:space="preserve">dalībvalsti </w:t>
      </w:r>
      <w:r w:rsidR="00831DCD" w:rsidRPr="00444B17">
        <w:rPr>
          <w:rFonts w:cs="Times New Roman"/>
          <w:color w:val="000000" w:themeColor="text1"/>
          <w:sz w:val="26"/>
          <w:szCs w:val="26"/>
        </w:rPr>
        <w:t>saņēmējam</w:t>
      </w:r>
      <w:r w:rsidRPr="00444B17">
        <w:rPr>
          <w:rFonts w:cs="Times New Roman"/>
          <w:color w:val="000000" w:themeColor="text1"/>
          <w:sz w:val="26"/>
          <w:szCs w:val="26"/>
        </w:rPr>
        <w:t xml:space="preserve">, kurš nav reģistrēts citas </w:t>
      </w:r>
      <w:r w:rsidR="00847CA9" w:rsidRPr="00444B17">
        <w:rPr>
          <w:rFonts w:cs="Times New Roman"/>
          <w:color w:val="000000" w:themeColor="text1"/>
          <w:sz w:val="26"/>
          <w:szCs w:val="26"/>
        </w:rPr>
        <w:t xml:space="preserve">ES </w:t>
      </w:r>
      <w:r w:rsidRPr="00444B17">
        <w:rPr>
          <w:rFonts w:cs="Times New Roman"/>
          <w:color w:val="000000" w:themeColor="text1"/>
          <w:sz w:val="26"/>
          <w:szCs w:val="26"/>
        </w:rPr>
        <w:t>dalībvalsts PVN maksātāju reģistrā (tam nav PVN numura)</w:t>
      </w:r>
      <w:r w:rsidR="002136A0">
        <w:rPr>
          <w:rFonts w:cs="Times New Roman"/>
          <w:color w:val="000000" w:themeColor="text1"/>
          <w:sz w:val="26"/>
          <w:szCs w:val="26"/>
        </w:rPr>
        <w:t>,</w:t>
      </w:r>
      <w:r w:rsidRPr="00444B17">
        <w:rPr>
          <w:rFonts w:cs="Times New Roman"/>
          <w:color w:val="000000" w:themeColor="text1"/>
          <w:sz w:val="26"/>
          <w:szCs w:val="26"/>
        </w:rPr>
        <w:t xml:space="preserve"> PVN </w:t>
      </w:r>
      <w:r w:rsidR="00896D69">
        <w:rPr>
          <w:rFonts w:cs="Times New Roman"/>
          <w:color w:val="000000" w:themeColor="text1"/>
          <w:sz w:val="26"/>
          <w:szCs w:val="26"/>
        </w:rPr>
        <w:t>ir</w:t>
      </w:r>
      <w:r w:rsidR="00896D69" w:rsidRPr="00444B17">
        <w:rPr>
          <w:rFonts w:cs="Times New Roman"/>
          <w:color w:val="000000" w:themeColor="text1"/>
          <w:sz w:val="26"/>
          <w:szCs w:val="26"/>
        </w:rPr>
        <w:t xml:space="preserve"> </w:t>
      </w:r>
      <w:r w:rsidRPr="00444B17">
        <w:rPr>
          <w:rFonts w:cs="Times New Roman"/>
          <w:color w:val="000000" w:themeColor="text1"/>
          <w:sz w:val="26"/>
          <w:szCs w:val="26"/>
        </w:rPr>
        <w:t>jāmaksā Latvijas valsts budžetā.</w:t>
      </w:r>
    </w:p>
    <w:p w14:paraId="6527F634" w14:textId="77777777" w:rsidR="00D21B46" w:rsidRPr="00444B17" w:rsidRDefault="00D21B46" w:rsidP="00AC4F40">
      <w:pPr>
        <w:ind w:firstLine="720"/>
        <w:jc w:val="both"/>
        <w:rPr>
          <w:rFonts w:cs="Times New Roman"/>
          <w:color w:val="000000" w:themeColor="text1"/>
          <w:sz w:val="26"/>
          <w:szCs w:val="26"/>
        </w:rPr>
      </w:pPr>
    </w:p>
    <w:p w14:paraId="491D0F2B" w14:textId="77777777" w:rsidR="007C2EEE" w:rsidRPr="00444B17" w:rsidRDefault="007C2EEE" w:rsidP="007C2EEE">
      <w:pPr>
        <w:jc w:val="both"/>
        <w:rPr>
          <w:rFonts w:eastAsia="MS Mincho" w:cs="Times New Roman"/>
          <w:b/>
          <w:i/>
          <w:sz w:val="26"/>
          <w:szCs w:val="26"/>
          <w:u w:val="single"/>
        </w:rPr>
      </w:pPr>
      <w:r w:rsidRPr="00444B17">
        <w:rPr>
          <w:rFonts w:eastAsia="MS Mincho" w:cs="Times New Roman"/>
          <w:b/>
          <w:i/>
          <w:sz w:val="26"/>
          <w:szCs w:val="26"/>
          <w:u w:val="single"/>
        </w:rPr>
        <w:t>Satiksmes ministrijas priekšlikums</w:t>
      </w:r>
    </w:p>
    <w:p w14:paraId="7ADBBC22" w14:textId="77777777" w:rsidR="00D21B46" w:rsidRPr="00444B17" w:rsidRDefault="00D21B46" w:rsidP="00D21B46">
      <w:pPr>
        <w:ind w:firstLine="720"/>
        <w:jc w:val="both"/>
        <w:rPr>
          <w:rFonts w:eastAsia="MS Mincho" w:cs="Times New Roman"/>
          <w:b/>
          <w:sz w:val="26"/>
          <w:szCs w:val="26"/>
        </w:rPr>
      </w:pPr>
      <w:r w:rsidRPr="00444B17">
        <w:rPr>
          <w:rFonts w:eastAsia="MS Mincho" w:cs="Times New Roman"/>
          <w:b/>
          <w:sz w:val="26"/>
          <w:szCs w:val="26"/>
        </w:rPr>
        <w:t xml:space="preserve">b) Veikt ar PVN 0 procentu likmi apliekamas preču piegādes (pēc preču importēšanas) iekšzemē (Latvijā). </w:t>
      </w:r>
    </w:p>
    <w:p w14:paraId="5ACD6A8C" w14:textId="77777777" w:rsidR="00D21B46" w:rsidRPr="00444B17" w:rsidRDefault="00D21B46" w:rsidP="00D21B46">
      <w:pPr>
        <w:ind w:firstLine="720"/>
        <w:jc w:val="both"/>
        <w:rPr>
          <w:rFonts w:eastAsia="MS Mincho" w:cs="Times New Roman"/>
          <w:b/>
          <w:sz w:val="26"/>
          <w:szCs w:val="26"/>
        </w:rPr>
      </w:pPr>
      <w:r w:rsidRPr="00444B17">
        <w:rPr>
          <w:rFonts w:eastAsia="MS Mincho" w:cs="Times New Roman"/>
          <w:b/>
          <w:sz w:val="26"/>
          <w:szCs w:val="26"/>
        </w:rPr>
        <w:t>Veikt grozījumus PVN normatīvajos aktos un paredzēt iespēju Latvijā reģistrētam fiskālajam pārstāvim piemērot PVN 0 procentu likmi, veicot preču importu ar turpmāko šo preču piegādi iekšzemē.</w:t>
      </w:r>
    </w:p>
    <w:p w14:paraId="157D62FD" w14:textId="77777777" w:rsidR="00B40DD6" w:rsidRPr="00444B17" w:rsidRDefault="00B40DD6" w:rsidP="00B40DD6">
      <w:pPr>
        <w:ind w:firstLine="720"/>
        <w:jc w:val="both"/>
        <w:rPr>
          <w:rFonts w:eastAsia="MS Mincho" w:cs="Times New Roman"/>
          <w:sz w:val="26"/>
          <w:szCs w:val="26"/>
        </w:rPr>
      </w:pPr>
    </w:p>
    <w:p w14:paraId="064B4D7E" w14:textId="77777777" w:rsidR="00B40DD6" w:rsidRPr="00444B17" w:rsidRDefault="00B40DD6" w:rsidP="00AC4F40">
      <w:pPr>
        <w:ind w:firstLine="720"/>
        <w:jc w:val="both"/>
        <w:rPr>
          <w:rFonts w:eastAsia="Arial Unicode MS" w:cs="Times New Roman"/>
          <w:sz w:val="26"/>
          <w:szCs w:val="26"/>
        </w:rPr>
      </w:pPr>
      <w:r w:rsidRPr="00444B17">
        <w:rPr>
          <w:rFonts w:eastAsia="MS Mincho" w:cs="Times New Roman"/>
          <w:sz w:val="26"/>
          <w:szCs w:val="26"/>
        </w:rPr>
        <w:t xml:space="preserve">Finanšu ministrijas ieskatā šāds priekšlikums </w:t>
      </w:r>
      <w:r w:rsidRPr="002C72C1">
        <w:rPr>
          <w:rFonts w:eastAsia="MS Mincho" w:cs="Times New Roman"/>
          <w:sz w:val="26"/>
          <w:szCs w:val="26"/>
          <w:u w:val="single"/>
        </w:rPr>
        <w:t>nav atbalstāms</w:t>
      </w:r>
      <w:r w:rsidRPr="00444B17">
        <w:rPr>
          <w:rFonts w:eastAsia="MS Mincho" w:cs="Times New Roman"/>
          <w:sz w:val="26"/>
          <w:szCs w:val="26"/>
        </w:rPr>
        <w:t xml:space="preserve">, jo tas būtu pretrunā ar </w:t>
      </w:r>
      <w:r w:rsidRPr="00444B17">
        <w:rPr>
          <w:rFonts w:eastAsia="Arial Unicode MS" w:cs="Times New Roman"/>
          <w:sz w:val="26"/>
          <w:szCs w:val="26"/>
        </w:rPr>
        <w:t xml:space="preserve">Direktīvas 2006/112/EK 193.pantā noteikto, ka PVN maksā ikviens PVN maksātājs, kas veic preču piegādi vai pakalpojumu sniegšanu, par kuru uzliek PVN, izņemot gadījumus, kad saskaņā ar </w:t>
      </w:r>
      <w:hyperlink r:id="rId8" w:tooltip="32013L0043: REPLACED" w:history="1"/>
      <w:r w:rsidRPr="00444B17">
        <w:rPr>
          <w:rFonts w:eastAsia="Arial Unicode MS" w:cs="Times New Roman"/>
          <w:sz w:val="26"/>
          <w:szCs w:val="26"/>
        </w:rPr>
        <w:t>194. līdz 199.b</w:t>
      </w:r>
      <w:r w:rsidRPr="00444B17">
        <w:rPr>
          <w:rFonts w:eastAsia="Arial Unicode MS" w:cs="Times New Roman"/>
          <w:b/>
          <w:bCs/>
          <w:sz w:val="26"/>
          <w:szCs w:val="26"/>
        </w:rPr>
        <w:t xml:space="preserve"> </w:t>
      </w:r>
      <w:r w:rsidRPr="00444B17">
        <w:rPr>
          <w:rFonts w:eastAsia="Arial Unicode MS" w:cs="Times New Roman"/>
          <w:sz w:val="26"/>
          <w:szCs w:val="26"/>
        </w:rPr>
        <w:t>pantu un 202. pantu nodokli maksā kāda cita persona.</w:t>
      </w:r>
    </w:p>
    <w:p w14:paraId="11E89C7D" w14:textId="77777777" w:rsidR="00B40DD6" w:rsidRPr="00444B17" w:rsidRDefault="00B40DD6" w:rsidP="00AC4F40">
      <w:pPr>
        <w:ind w:firstLine="720"/>
        <w:jc w:val="both"/>
        <w:rPr>
          <w:rFonts w:cs="Times New Roman"/>
          <w:sz w:val="26"/>
          <w:szCs w:val="26"/>
        </w:rPr>
      </w:pPr>
      <w:r w:rsidRPr="00444B17">
        <w:rPr>
          <w:rFonts w:cs="Times New Roman"/>
          <w:sz w:val="26"/>
          <w:szCs w:val="26"/>
        </w:rPr>
        <w:t xml:space="preserve">Tā kā </w:t>
      </w:r>
      <w:r w:rsidRPr="00444B17">
        <w:rPr>
          <w:rFonts w:eastAsia="Arial Unicode MS" w:cs="Times New Roman"/>
          <w:sz w:val="26"/>
          <w:szCs w:val="26"/>
        </w:rPr>
        <w:t>Direktīva 2006/112/EK</w:t>
      </w:r>
      <w:r w:rsidRPr="00444B17">
        <w:rPr>
          <w:rFonts w:cs="Times New Roman"/>
          <w:sz w:val="26"/>
          <w:szCs w:val="26"/>
        </w:rPr>
        <w:t xml:space="preserve"> neparedz iespēju noteikt preču piegādēm iekšzemē PVN 0 % likmi, līdz ar to nevar  atbrīvot no PVN maksāšanas preču piegādes, kas veiktas iekšzemē pēc šo preču importa un attiecīgi grozījumi PVN jomu regulējošajos normatīvajos aktos netiks veikti.</w:t>
      </w:r>
    </w:p>
    <w:p w14:paraId="23C8265A" w14:textId="77777777" w:rsidR="00D925E5" w:rsidRPr="00444B17" w:rsidRDefault="00D925E5" w:rsidP="00AC4F40">
      <w:pPr>
        <w:pStyle w:val="ListParagraph"/>
        <w:spacing w:line="240" w:lineRule="auto"/>
        <w:ind w:left="0" w:firstLine="720"/>
        <w:jc w:val="both"/>
        <w:rPr>
          <w:rStyle w:val="spelle"/>
          <w:rFonts w:cs="Times New Roman"/>
          <w:sz w:val="26"/>
          <w:szCs w:val="26"/>
        </w:rPr>
      </w:pPr>
    </w:p>
    <w:p w14:paraId="50741459" w14:textId="77777777" w:rsidR="007C2EEE" w:rsidRPr="00444B17" w:rsidRDefault="007C2EEE" w:rsidP="007C2EEE">
      <w:pPr>
        <w:jc w:val="both"/>
        <w:rPr>
          <w:rFonts w:eastAsia="MS Mincho" w:cs="Times New Roman"/>
          <w:b/>
          <w:i/>
          <w:sz w:val="26"/>
          <w:szCs w:val="26"/>
          <w:u w:val="single"/>
        </w:rPr>
      </w:pPr>
      <w:r w:rsidRPr="00444B17">
        <w:rPr>
          <w:rFonts w:eastAsia="MS Mincho" w:cs="Times New Roman"/>
          <w:b/>
          <w:i/>
          <w:sz w:val="26"/>
          <w:szCs w:val="26"/>
          <w:u w:val="single"/>
        </w:rPr>
        <w:t>Satiksmes ministrijas priekšlikums</w:t>
      </w:r>
    </w:p>
    <w:p w14:paraId="103D8961" w14:textId="77777777" w:rsidR="00BC4578" w:rsidRPr="00444B17" w:rsidRDefault="008E1840" w:rsidP="008E1840">
      <w:pPr>
        <w:ind w:firstLine="720"/>
        <w:jc w:val="both"/>
        <w:rPr>
          <w:rFonts w:eastAsia="MS Mincho" w:cs="Times New Roman"/>
          <w:b/>
          <w:sz w:val="26"/>
          <w:szCs w:val="26"/>
        </w:rPr>
      </w:pPr>
      <w:r w:rsidRPr="00444B17">
        <w:rPr>
          <w:rFonts w:eastAsia="MS Mincho" w:cs="Times New Roman"/>
          <w:b/>
          <w:sz w:val="26"/>
          <w:szCs w:val="26"/>
        </w:rPr>
        <w:t xml:space="preserve">c) Konsolidēt kravas Eiropas Savienībā, veicot preču iegādi ES teritorijā, kā arī nosūtot to uz citu </w:t>
      </w:r>
      <w:r w:rsidR="00847CA9" w:rsidRPr="00444B17">
        <w:rPr>
          <w:rFonts w:eastAsia="MS Mincho" w:cs="Times New Roman"/>
          <w:b/>
          <w:sz w:val="26"/>
          <w:szCs w:val="26"/>
        </w:rPr>
        <w:t xml:space="preserve">ES </w:t>
      </w:r>
      <w:r w:rsidRPr="00444B17">
        <w:rPr>
          <w:rFonts w:eastAsia="MS Mincho" w:cs="Times New Roman"/>
          <w:b/>
          <w:sz w:val="26"/>
          <w:szCs w:val="26"/>
        </w:rPr>
        <w:t>dalībvalsti reģistrētam nodokļu maksātājam (ne tikai eksportēt no ES).</w:t>
      </w:r>
    </w:p>
    <w:p w14:paraId="23CC090F" w14:textId="77777777" w:rsidR="008E1840" w:rsidRPr="00444B17" w:rsidRDefault="008E1840" w:rsidP="008E1840">
      <w:pPr>
        <w:ind w:firstLine="720"/>
        <w:jc w:val="both"/>
        <w:rPr>
          <w:rFonts w:eastAsia="MS Mincho" w:cs="Times New Roman"/>
          <w:b/>
          <w:sz w:val="26"/>
          <w:szCs w:val="26"/>
        </w:rPr>
      </w:pPr>
      <w:r w:rsidRPr="00444B17">
        <w:rPr>
          <w:rFonts w:eastAsia="MS Mincho" w:cs="Times New Roman"/>
          <w:b/>
          <w:sz w:val="26"/>
          <w:szCs w:val="26"/>
        </w:rPr>
        <w:t xml:space="preserve">Veikt grozījumus PVN normatīvajos aktos un paredzēt iespēju Latvijā reģistrētam fiskālajam pārstāvim piemērot PVN 0 procentu likmi, veicot preču iegādi Eiropas Savienībā un nosūtot tās kravas konsolidācijas nolūkā citas </w:t>
      </w:r>
      <w:r w:rsidR="00847CA9" w:rsidRPr="00444B17">
        <w:rPr>
          <w:rFonts w:eastAsia="MS Mincho" w:cs="Times New Roman"/>
          <w:b/>
          <w:sz w:val="26"/>
          <w:szCs w:val="26"/>
        </w:rPr>
        <w:t xml:space="preserve">ES </w:t>
      </w:r>
      <w:r w:rsidRPr="00444B17">
        <w:rPr>
          <w:rFonts w:eastAsia="MS Mincho" w:cs="Times New Roman"/>
          <w:b/>
          <w:sz w:val="26"/>
          <w:szCs w:val="26"/>
        </w:rPr>
        <w:t>dalībvalsts reģistrētam nodokļu maksātājam.</w:t>
      </w:r>
    </w:p>
    <w:p w14:paraId="65844E7A" w14:textId="77777777" w:rsidR="008E1840" w:rsidRPr="00444B17" w:rsidRDefault="008E1840" w:rsidP="008E1840">
      <w:pPr>
        <w:ind w:firstLine="720"/>
        <w:jc w:val="both"/>
        <w:rPr>
          <w:rFonts w:eastAsia="MS Mincho" w:cs="Times New Roman"/>
          <w:i/>
          <w:sz w:val="26"/>
          <w:szCs w:val="26"/>
        </w:rPr>
      </w:pPr>
    </w:p>
    <w:p w14:paraId="1FC389D8" w14:textId="28AF2272" w:rsidR="00716943" w:rsidRPr="00444B17" w:rsidRDefault="00716943" w:rsidP="00716943">
      <w:pPr>
        <w:ind w:firstLine="720"/>
        <w:jc w:val="both"/>
        <w:rPr>
          <w:rFonts w:cs="Times New Roman"/>
          <w:sz w:val="26"/>
          <w:szCs w:val="26"/>
        </w:rPr>
      </w:pPr>
      <w:r w:rsidRPr="00444B17">
        <w:rPr>
          <w:rFonts w:eastAsia="MS Mincho" w:cs="Times New Roman"/>
          <w:sz w:val="26"/>
          <w:szCs w:val="26"/>
        </w:rPr>
        <w:t xml:space="preserve">Finanšu ministrijas ieskatā šādu priekšlikumu </w:t>
      </w:r>
      <w:r w:rsidRPr="002C72C1">
        <w:rPr>
          <w:rFonts w:eastAsia="MS Mincho" w:cs="Times New Roman"/>
          <w:sz w:val="26"/>
          <w:szCs w:val="26"/>
          <w:u w:val="single"/>
        </w:rPr>
        <w:t>varētu daļēji atbalstīt</w:t>
      </w:r>
      <w:r w:rsidRPr="00444B17">
        <w:rPr>
          <w:rFonts w:eastAsia="MS Mincho" w:cs="Times New Roman"/>
          <w:sz w:val="26"/>
          <w:szCs w:val="26"/>
        </w:rPr>
        <w:t xml:space="preserve"> kontekstā ar PVN likumā noteikto tiesisko regulējumu par preču iegādes </w:t>
      </w:r>
      <w:r w:rsidR="00847CA9" w:rsidRPr="00444B17">
        <w:rPr>
          <w:rFonts w:eastAsia="MS Mincho" w:cs="Times New Roman"/>
          <w:sz w:val="26"/>
          <w:szCs w:val="26"/>
        </w:rPr>
        <w:t>ES</w:t>
      </w:r>
      <w:r w:rsidRPr="00444B17">
        <w:rPr>
          <w:rFonts w:eastAsia="MS Mincho" w:cs="Times New Roman"/>
          <w:sz w:val="26"/>
          <w:szCs w:val="26"/>
        </w:rPr>
        <w:t xml:space="preserve"> teritorijā vietu</w:t>
      </w:r>
      <w:r w:rsidR="003849D3">
        <w:rPr>
          <w:rFonts w:eastAsia="MS Mincho" w:cs="Times New Roman"/>
          <w:sz w:val="26"/>
          <w:szCs w:val="26"/>
        </w:rPr>
        <w:t>.</w:t>
      </w:r>
      <w:r w:rsidRPr="00444B17">
        <w:rPr>
          <w:rFonts w:eastAsia="MS Mincho" w:cs="Times New Roman"/>
          <w:sz w:val="26"/>
          <w:szCs w:val="26"/>
        </w:rPr>
        <w:t xml:space="preserve"> </w:t>
      </w:r>
      <w:r w:rsidR="003849D3">
        <w:rPr>
          <w:rFonts w:cs="Times New Roman"/>
          <w:sz w:val="26"/>
          <w:szCs w:val="26"/>
        </w:rPr>
        <w:t xml:space="preserve"> Ja </w:t>
      </w:r>
      <w:r w:rsidRPr="00444B17">
        <w:rPr>
          <w:rFonts w:cs="Times New Roman"/>
          <w:sz w:val="26"/>
          <w:szCs w:val="26"/>
        </w:rPr>
        <w:t xml:space="preserve">preces no citas </w:t>
      </w:r>
      <w:r w:rsidR="00847CA9" w:rsidRPr="00444B17">
        <w:rPr>
          <w:rFonts w:cs="Times New Roman"/>
          <w:sz w:val="26"/>
          <w:szCs w:val="26"/>
        </w:rPr>
        <w:t xml:space="preserve">ES </w:t>
      </w:r>
      <w:r w:rsidRPr="00444B17">
        <w:rPr>
          <w:rFonts w:cs="Times New Roman"/>
          <w:sz w:val="26"/>
          <w:szCs w:val="26"/>
        </w:rPr>
        <w:t>dalībvalsts piegādāta</w:t>
      </w:r>
      <w:r w:rsidR="00F70478">
        <w:rPr>
          <w:rFonts w:cs="Times New Roman"/>
          <w:sz w:val="26"/>
          <w:szCs w:val="26"/>
        </w:rPr>
        <w:t>s</w:t>
      </w:r>
      <w:r w:rsidRPr="00444B17">
        <w:rPr>
          <w:rFonts w:cs="Times New Roman"/>
          <w:sz w:val="26"/>
          <w:szCs w:val="26"/>
        </w:rPr>
        <w:t xml:space="preserve"> Latvij</w:t>
      </w:r>
      <w:r w:rsidR="00F70478">
        <w:rPr>
          <w:rFonts w:cs="Times New Roman"/>
          <w:sz w:val="26"/>
          <w:szCs w:val="26"/>
        </w:rPr>
        <w:t>ā</w:t>
      </w:r>
      <w:r w:rsidRPr="00444B17">
        <w:rPr>
          <w:rFonts w:cs="Times New Roman"/>
          <w:sz w:val="26"/>
          <w:szCs w:val="26"/>
        </w:rPr>
        <w:t xml:space="preserve"> reģistrētam PVN maksātājam, tad atbilstoši </w:t>
      </w:r>
      <w:r w:rsidRPr="00444B17">
        <w:rPr>
          <w:rFonts w:eastAsia="Arial Unicode MS" w:cs="Times New Roman"/>
          <w:sz w:val="26"/>
          <w:szCs w:val="26"/>
        </w:rPr>
        <w:t xml:space="preserve">Direktīvā 2006/112/EK noteiktajam </w:t>
      </w:r>
      <w:r w:rsidRPr="00444B17">
        <w:rPr>
          <w:rFonts w:cs="Times New Roman"/>
          <w:sz w:val="26"/>
          <w:szCs w:val="26"/>
        </w:rPr>
        <w:t xml:space="preserve">notiek preču iegāde </w:t>
      </w:r>
      <w:r w:rsidR="00847CA9" w:rsidRPr="00444B17">
        <w:rPr>
          <w:rFonts w:cs="Times New Roman"/>
          <w:sz w:val="26"/>
          <w:szCs w:val="26"/>
        </w:rPr>
        <w:t>ES</w:t>
      </w:r>
      <w:r w:rsidRPr="00444B17">
        <w:rPr>
          <w:rFonts w:cs="Times New Roman"/>
          <w:sz w:val="26"/>
          <w:szCs w:val="26"/>
        </w:rPr>
        <w:t xml:space="preserve"> teritorijā. Līdz ar to fiskālajam pārstāvim būtu jāaprēķina PVN par Latvijā saņemtajām precēm, kuras pēc tam fiskālais pārstāvis var piegādāt uz citu </w:t>
      </w:r>
      <w:r w:rsidR="00847CA9" w:rsidRPr="00444B17">
        <w:rPr>
          <w:rFonts w:cs="Times New Roman"/>
          <w:sz w:val="26"/>
          <w:szCs w:val="26"/>
        </w:rPr>
        <w:t xml:space="preserve">ES </w:t>
      </w:r>
      <w:r w:rsidRPr="00444B17">
        <w:rPr>
          <w:rFonts w:cs="Times New Roman"/>
          <w:sz w:val="26"/>
          <w:szCs w:val="26"/>
        </w:rPr>
        <w:t>dalībvalsti. PVN par Latvijā saņemtajām  precēm fiskālajam pārstāvim būtu jāiemaksā valsts budžetā, norādot savā PVN deklarācijā kā aprēķināto PVN un atskaitīto priekšnodokli (reversā kārtībā).</w:t>
      </w:r>
    </w:p>
    <w:p w14:paraId="3284C843" w14:textId="77777777" w:rsidR="00E27F44" w:rsidRPr="00444B17" w:rsidRDefault="00E27F44" w:rsidP="00716943">
      <w:pPr>
        <w:ind w:firstLine="720"/>
        <w:jc w:val="both"/>
        <w:rPr>
          <w:rFonts w:cs="Times New Roman"/>
          <w:sz w:val="26"/>
          <w:szCs w:val="26"/>
        </w:rPr>
      </w:pPr>
    </w:p>
    <w:p w14:paraId="2B038C41" w14:textId="77777777" w:rsidR="007C2EEE" w:rsidRPr="00444B17" w:rsidRDefault="007C2EEE" w:rsidP="007C2EEE">
      <w:pPr>
        <w:jc w:val="both"/>
        <w:rPr>
          <w:rFonts w:eastAsia="MS Mincho" w:cs="Times New Roman"/>
          <w:b/>
          <w:i/>
          <w:sz w:val="26"/>
          <w:szCs w:val="26"/>
          <w:u w:val="single"/>
        </w:rPr>
      </w:pPr>
      <w:r w:rsidRPr="00444B17">
        <w:rPr>
          <w:rFonts w:eastAsia="MS Mincho" w:cs="Times New Roman"/>
          <w:b/>
          <w:i/>
          <w:sz w:val="26"/>
          <w:szCs w:val="26"/>
          <w:u w:val="single"/>
        </w:rPr>
        <w:t>Satiksmes ministrijas priekšlikums</w:t>
      </w:r>
    </w:p>
    <w:p w14:paraId="42287241" w14:textId="77777777" w:rsidR="00E27F44" w:rsidRPr="00444B17" w:rsidRDefault="00E27F44" w:rsidP="00AC4F40">
      <w:pPr>
        <w:ind w:firstLine="720"/>
        <w:jc w:val="both"/>
        <w:rPr>
          <w:rFonts w:eastAsia="MS Mincho" w:cs="Times New Roman"/>
          <w:b/>
          <w:sz w:val="26"/>
          <w:szCs w:val="26"/>
        </w:rPr>
      </w:pPr>
      <w:r w:rsidRPr="00444B17">
        <w:rPr>
          <w:rFonts w:eastAsia="MS Mincho" w:cs="Times New Roman"/>
          <w:b/>
          <w:sz w:val="26"/>
          <w:szCs w:val="26"/>
        </w:rPr>
        <w:t>d) Sagatavot un iesniegt tādu pašu PVN deklarāciju, kāda paredzēta reģistrētam nodokļu maksātājam.</w:t>
      </w:r>
    </w:p>
    <w:p w14:paraId="24B3FCE2" w14:textId="77777777" w:rsidR="00BC4578" w:rsidRPr="00444B17" w:rsidRDefault="00BC4578" w:rsidP="00AC4F40">
      <w:pPr>
        <w:ind w:firstLine="720"/>
        <w:jc w:val="both"/>
        <w:rPr>
          <w:rFonts w:eastAsia="MS Mincho" w:cs="Times New Roman"/>
          <w:b/>
          <w:sz w:val="26"/>
          <w:szCs w:val="26"/>
        </w:rPr>
      </w:pPr>
      <w:r w:rsidRPr="00444B17">
        <w:rPr>
          <w:rFonts w:eastAsia="MS Mincho" w:cs="Times New Roman"/>
          <w:b/>
          <w:sz w:val="26"/>
          <w:szCs w:val="26"/>
        </w:rPr>
        <w:t xml:space="preserve">Veikt grozījumus </w:t>
      </w:r>
      <w:r w:rsidR="0069451B" w:rsidRPr="00444B17">
        <w:rPr>
          <w:rFonts w:eastAsia="MS Mincho" w:cs="Times New Roman"/>
          <w:b/>
          <w:sz w:val="26"/>
          <w:szCs w:val="26"/>
        </w:rPr>
        <w:t>PVN</w:t>
      </w:r>
      <w:r w:rsidRPr="00444B17">
        <w:rPr>
          <w:rFonts w:eastAsia="MS Mincho" w:cs="Times New Roman"/>
          <w:b/>
          <w:sz w:val="26"/>
          <w:szCs w:val="26"/>
        </w:rPr>
        <w:t xml:space="preserve"> normatīvajos aktos un vienkāršot Latvijā reģistrēta fiskālā pārstāvja PVN deklarācijas saturu, iespēju robežās pielīdzinot to reģistrēta nodokļu maksātāja PVN deklarācijas veidlapai.</w:t>
      </w:r>
    </w:p>
    <w:p w14:paraId="27F938B4" w14:textId="77777777" w:rsidR="00E27F44" w:rsidRPr="00444B17" w:rsidRDefault="00E27F44" w:rsidP="00AC4F40">
      <w:pPr>
        <w:ind w:firstLine="720"/>
        <w:jc w:val="both"/>
        <w:rPr>
          <w:rFonts w:cs="Times New Roman"/>
          <w:sz w:val="26"/>
          <w:szCs w:val="26"/>
        </w:rPr>
      </w:pPr>
    </w:p>
    <w:p w14:paraId="1F0119A0" w14:textId="3D61985E" w:rsidR="00393AB5" w:rsidRPr="00444B17" w:rsidRDefault="00393AB5" w:rsidP="00AC4F40">
      <w:pPr>
        <w:ind w:firstLine="720"/>
        <w:jc w:val="both"/>
        <w:rPr>
          <w:rFonts w:cs="Times New Roman"/>
          <w:sz w:val="26"/>
          <w:szCs w:val="26"/>
        </w:rPr>
      </w:pPr>
      <w:r w:rsidRPr="00444B17">
        <w:rPr>
          <w:rFonts w:cs="Times New Roman"/>
          <w:sz w:val="26"/>
          <w:szCs w:val="26"/>
        </w:rPr>
        <w:lastRenderedPageBreak/>
        <w:t xml:space="preserve">Finanšu ministrijas ieskatā par šādu priekšlikumu </w:t>
      </w:r>
      <w:r w:rsidRPr="002C72C1">
        <w:rPr>
          <w:rFonts w:cs="Times New Roman"/>
          <w:sz w:val="26"/>
          <w:szCs w:val="26"/>
          <w:u w:val="single"/>
        </w:rPr>
        <w:t xml:space="preserve">ir jāturpina </w:t>
      </w:r>
      <w:r w:rsidR="00DA739E" w:rsidRPr="002C72C1">
        <w:rPr>
          <w:rFonts w:cs="Times New Roman"/>
          <w:sz w:val="26"/>
          <w:szCs w:val="26"/>
          <w:u w:val="single"/>
        </w:rPr>
        <w:t xml:space="preserve">konstruktīvi </w:t>
      </w:r>
      <w:r w:rsidRPr="002C72C1">
        <w:rPr>
          <w:rFonts w:cs="Times New Roman"/>
          <w:sz w:val="26"/>
          <w:szCs w:val="26"/>
          <w:u w:val="single"/>
        </w:rPr>
        <w:t>diskutēt</w:t>
      </w:r>
      <w:r w:rsidRPr="00444B17">
        <w:rPr>
          <w:rFonts w:cs="Times New Roman"/>
          <w:sz w:val="26"/>
          <w:szCs w:val="26"/>
        </w:rPr>
        <w:t xml:space="preserve"> ar </w:t>
      </w:r>
      <w:r w:rsidR="005A6DF6" w:rsidRPr="00444B17">
        <w:rPr>
          <w:rFonts w:cs="Times New Roman"/>
          <w:sz w:val="26"/>
          <w:szCs w:val="26"/>
        </w:rPr>
        <w:t xml:space="preserve">Valsts ieņēmumu dienesta </w:t>
      </w:r>
      <w:r w:rsidRPr="00444B17">
        <w:rPr>
          <w:rFonts w:cs="Times New Roman"/>
          <w:sz w:val="26"/>
          <w:szCs w:val="26"/>
        </w:rPr>
        <w:t xml:space="preserve">un </w:t>
      </w:r>
      <w:r w:rsidR="005628F9" w:rsidRPr="00444B17">
        <w:rPr>
          <w:rFonts w:cs="Times New Roman"/>
          <w:sz w:val="26"/>
          <w:szCs w:val="26"/>
        </w:rPr>
        <w:t>nevalstisk</w:t>
      </w:r>
      <w:r w:rsidR="005628F9">
        <w:rPr>
          <w:rFonts w:cs="Times New Roman"/>
          <w:sz w:val="26"/>
          <w:szCs w:val="26"/>
        </w:rPr>
        <w:t>ā</w:t>
      </w:r>
      <w:r w:rsidR="005628F9" w:rsidRPr="00444B17">
        <w:rPr>
          <w:rFonts w:cs="Times New Roman"/>
          <w:sz w:val="26"/>
          <w:szCs w:val="26"/>
        </w:rPr>
        <w:t xml:space="preserve"> sektor</w:t>
      </w:r>
      <w:r w:rsidR="005628F9">
        <w:rPr>
          <w:rFonts w:cs="Times New Roman"/>
          <w:sz w:val="26"/>
          <w:szCs w:val="26"/>
        </w:rPr>
        <w:t>a</w:t>
      </w:r>
      <w:r w:rsidR="005628F9" w:rsidRPr="00444B17">
        <w:rPr>
          <w:rFonts w:cs="Times New Roman"/>
          <w:sz w:val="26"/>
          <w:szCs w:val="26"/>
        </w:rPr>
        <w:t xml:space="preserve"> </w:t>
      </w:r>
      <w:r w:rsidRPr="00444B17">
        <w:rPr>
          <w:rFonts w:cs="Times New Roman"/>
          <w:sz w:val="26"/>
          <w:szCs w:val="26"/>
        </w:rPr>
        <w:t xml:space="preserve">pārstāvjiem, lai saprastu, kas tieši būtu precizējams PVN deklarācijā un vai tas atvieglos fiskālā pārstāvja darījumu deklarēšanu. </w:t>
      </w:r>
      <w:r w:rsidR="0069451B" w:rsidRPr="00444B17">
        <w:rPr>
          <w:rFonts w:cs="Times New Roman"/>
          <w:sz w:val="26"/>
          <w:szCs w:val="26"/>
        </w:rPr>
        <w:t xml:space="preserve">Turklāt Finanšu ministrija norāda, ka Pievienotās vērtības nodokļa likuma 134.panta piektā daļa nosaka, ka fiskālā pārstāvja pienākums ir nodrošināt detalizētu nosūtāmo vai saņemto preču uzskaiti, lai nodokļu administrācija varētu izsekot katrai preču kustībai. Tādējādi </w:t>
      </w:r>
      <w:r w:rsidRPr="00444B17">
        <w:rPr>
          <w:rFonts w:cs="Times New Roman"/>
          <w:sz w:val="26"/>
          <w:szCs w:val="26"/>
        </w:rPr>
        <w:t>šobrīd Pārskat</w:t>
      </w:r>
      <w:r w:rsidR="00DA739E">
        <w:rPr>
          <w:rFonts w:cs="Times New Roman"/>
          <w:sz w:val="26"/>
          <w:szCs w:val="26"/>
        </w:rPr>
        <w:t>ā</w:t>
      </w:r>
      <w:r w:rsidRPr="00444B17">
        <w:rPr>
          <w:rFonts w:cs="Times New Roman"/>
          <w:sz w:val="26"/>
          <w:szCs w:val="26"/>
        </w:rPr>
        <w:t xml:space="preserve"> par fiskālā pārstāvja veiktajiem darījumiem (PVN 6) ir iekļauta tikai tā informācija, kas dod iespēju izsekot preču kustībai. </w:t>
      </w:r>
    </w:p>
    <w:p w14:paraId="0840C680" w14:textId="77777777" w:rsidR="008E1840" w:rsidRPr="00444B17" w:rsidRDefault="008E1840" w:rsidP="00D925E5">
      <w:pPr>
        <w:pStyle w:val="ListParagraph"/>
        <w:ind w:left="0" w:firstLine="720"/>
        <w:jc w:val="both"/>
        <w:rPr>
          <w:rStyle w:val="spelle"/>
          <w:rFonts w:cs="Times New Roman"/>
          <w:sz w:val="26"/>
          <w:szCs w:val="26"/>
        </w:rPr>
      </w:pPr>
    </w:p>
    <w:p w14:paraId="380BD8E5" w14:textId="77777777" w:rsidR="007C2EEE" w:rsidRPr="00444B17" w:rsidRDefault="007C2EEE" w:rsidP="007C2EEE">
      <w:pPr>
        <w:jc w:val="both"/>
        <w:rPr>
          <w:rFonts w:eastAsia="MS Mincho" w:cs="Times New Roman"/>
          <w:b/>
          <w:i/>
          <w:sz w:val="26"/>
          <w:szCs w:val="26"/>
          <w:u w:val="single"/>
        </w:rPr>
      </w:pPr>
      <w:r w:rsidRPr="00444B17">
        <w:rPr>
          <w:rFonts w:eastAsia="MS Mincho" w:cs="Times New Roman"/>
          <w:b/>
          <w:i/>
          <w:sz w:val="26"/>
          <w:szCs w:val="26"/>
          <w:u w:val="single"/>
        </w:rPr>
        <w:t>Satiksmes ministrijas priekšlikums</w:t>
      </w:r>
    </w:p>
    <w:p w14:paraId="398C8C1A" w14:textId="77777777" w:rsidR="00C44DE1" w:rsidRPr="00444B17" w:rsidRDefault="00C44DE1" w:rsidP="00AC4F40">
      <w:pPr>
        <w:ind w:firstLine="720"/>
        <w:jc w:val="both"/>
        <w:rPr>
          <w:rFonts w:eastAsia="MS Mincho" w:cs="Times New Roman"/>
          <w:b/>
          <w:sz w:val="26"/>
          <w:szCs w:val="26"/>
        </w:rPr>
      </w:pPr>
      <w:r w:rsidRPr="00444B17">
        <w:rPr>
          <w:rFonts w:eastAsia="MS Mincho" w:cs="Times New Roman"/>
          <w:b/>
          <w:sz w:val="26"/>
          <w:szCs w:val="26"/>
        </w:rPr>
        <w:t>e) Atļauju fiskālā pārstāvja darbībai var saņemt vienīgi, ja komersants iesniedz galvojumu (minimālais galvojuma apjoms 284</w:t>
      </w:r>
      <w:r w:rsidR="004C6F58" w:rsidRPr="00444B17">
        <w:rPr>
          <w:rFonts w:eastAsia="MS Mincho" w:cs="Times New Roman"/>
          <w:b/>
          <w:sz w:val="26"/>
          <w:szCs w:val="26"/>
        </w:rPr>
        <w:t xml:space="preserve"> </w:t>
      </w:r>
      <w:r w:rsidRPr="00444B17">
        <w:rPr>
          <w:rFonts w:eastAsia="MS Mincho" w:cs="Times New Roman"/>
          <w:b/>
          <w:sz w:val="26"/>
          <w:szCs w:val="26"/>
        </w:rPr>
        <w:t xml:space="preserve">570 </w:t>
      </w:r>
      <w:proofErr w:type="spellStart"/>
      <w:r w:rsidRPr="00444B17">
        <w:rPr>
          <w:rFonts w:eastAsia="MS Mincho" w:cs="Times New Roman"/>
          <w:b/>
          <w:sz w:val="26"/>
          <w:szCs w:val="26"/>
        </w:rPr>
        <w:t>euro</w:t>
      </w:r>
      <w:proofErr w:type="spellEnd"/>
      <w:r w:rsidRPr="00444B17">
        <w:rPr>
          <w:rFonts w:eastAsia="MS Mincho" w:cs="Times New Roman"/>
          <w:b/>
          <w:sz w:val="26"/>
          <w:szCs w:val="26"/>
        </w:rPr>
        <w:t xml:space="preserve">) un uzņemas atbildību par PVN summas nomaksu līdzīgi kā pie preču muitas procedūrām. </w:t>
      </w:r>
    </w:p>
    <w:p w14:paraId="5FE7A326" w14:textId="77777777" w:rsidR="00A86C1B" w:rsidRPr="00444B17" w:rsidRDefault="00A86C1B" w:rsidP="00AC4F40">
      <w:pPr>
        <w:ind w:firstLine="720"/>
        <w:jc w:val="both"/>
        <w:rPr>
          <w:rFonts w:eastAsia="MS Mincho" w:cs="Times New Roman"/>
          <w:b/>
          <w:sz w:val="26"/>
          <w:szCs w:val="26"/>
        </w:rPr>
      </w:pPr>
      <w:r w:rsidRPr="00444B17">
        <w:rPr>
          <w:rFonts w:eastAsia="MS Mincho" w:cs="Times New Roman"/>
          <w:b/>
          <w:sz w:val="26"/>
          <w:szCs w:val="26"/>
        </w:rPr>
        <w:t>Grozīt Ministru kabineta 2013.</w:t>
      </w:r>
      <w:r w:rsidR="004C6F58" w:rsidRPr="00444B17">
        <w:rPr>
          <w:rFonts w:eastAsia="MS Mincho" w:cs="Times New Roman"/>
          <w:b/>
          <w:sz w:val="26"/>
          <w:szCs w:val="26"/>
        </w:rPr>
        <w:t xml:space="preserve">gada 3.janvāra </w:t>
      </w:r>
      <w:r w:rsidRPr="00444B17">
        <w:rPr>
          <w:rFonts w:eastAsia="MS Mincho" w:cs="Times New Roman"/>
          <w:b/>
          <w:sz w:val="26"/>
          <w:szCs w:val="26"/>
        </w:rPr>
        <w:t>noteikumu Nr.17 „Pievienotās vērtības nodokļa likumu normu piemērošanas kārtība un atsevišķās prasības pievienotās vērtības nodokļa maksāšanai un administrēšanai” 116. un 117.punktu un atvieglot prasības fiskālā pārstāvja darbībai nepieciešamā vispārējā galvojuma apjoma samazināšanai par 50 procentiem un atbrīvojuma piešķiršanai no galvojuma iesniegšanas personām, kuras atbilst šo noteikumu 116.1 un 117.1 noteiktajiem kritērijiem, bet kurām nav atzītā komersanta statusa.</w:t>
      </w:r>
    </w:p>
    <w:p w14:paraId="546AE39C" w14:textId="77777777" w:rsidR="00A86C1B" w:rsidRPr="00444B17" w:rsidRDefault="00A86C1B" w:rsidP="00AC4F40">
      <w:pPr>
        <w:ind w:firstLine="720"/>
        <w:jc w:val="both"/>
        <w:rPr>
          <w:rFonts w:eastAsia="MS Mincho" w:cs="Times New Roman"/>
          <w:b/>
          <w:sz w:val="26"/>
          <w:szCs w:val="26"/>
        </w:rPr>
      </w:pPr>
      <w:r w:rsidRPr="00444B17">
        <w:rPr>
          <w:rFonts w:eastAsia="MS Mincho" w:cs="Times New Roman"/>
          <w:b/>
          <w:sz w:val="26"/>
          <w:szCs w:val="26"/>
        </w:rPr>
        <w:t xml:space="preserve">Vienlaikus aicināt Finanšu ministriju sadarbībā ar tranzīta un loģistikas nozares uzņēmēju asociācijām izvērtēt iespējas atcelt normatīvajos aktos paredzēto prasību par galvojuma iesniegšanu fiskālā pārstāvja darbībai, izmantojot, citus </w:t>
      </w:r>
      <w:r w:rsidR="001B223B" w:rsidRPr="00444B17">
        <w:rPr>
          <w:rFonts w:eastAsia="MS Mincho" w:cs="Times New Roman"/>
          <w:b/>
          <w:sz w:val="26"/>
          <w:szCs w:val="26"/>
        </w:rPr>
        <w:t>PVN</w:t>
      </w:r>
      <w:r w:rsidRPr="00444B17">
        <w:rPr>
          <w:rFonts w:eastAsia="MS Mincho" w:cs="Times New Roman"/>
          <w:b/>
          <w:sz w:val="26"/>
          <w:szCs w:val="26"/>
        </w:rPr>
        <w:t xml:space="preserve"> tiesību aktos paredzētos nodokļu maksātāju kontroles instrumentus.</w:t>
      </w:r>
    </w:p>
    <w:p w14:paraId="23AACCB6" w14:textId="77777777" w:rsidR="00A86C1B" w:rsidRPr="00444B17" w:rsidRDefault="00A86C1B" w:rsidP="00AC4F40">
      <w:pPr>
        <w:ind w:firstLine="720"/>
        <w:jc w:val="both"/>
        <w:rPr>
          <w:rFonts w:eastAsia="MS Mincho" w:cs="Times New Roman"/>
          <w:i/>
          <w:sz w:val="26"/>
          <w:szCs w:val="26"/>
        </w:rPr>
      </w:pPr>
    </w:p>
    <w:p w14:paraId="6A7C3150" w14:textId="77777777" w:rsidR="00B20E12" w:rsidRPr="00444B17" w:rsidRDefault="00B20E12" w:rsidP="00AC4F40">
      <w:pPr>
        <w:ind w:firstLine="720"/>
        <w:contextualSpacing/>
        <w:jc w:val="both"/>
        <w:rPr>
          <w:rFonts w:cs="Times New Roman"/>
          <w:sz w:val="26"/>
          <w:szCs w:val="26"/>
        </w:rPr>
      </w:pPr>
      <w:r w:rsidRPr="00444B17">
        <w:rPr>
          <w:rFonts w:cs="Times New Roman"/>
          <w:sz w:val="26"/>
          <w:szCs w:val="26"/>
        </w:rPr>
        <w:t xml:space="preserve">Finanšu ministrijas ieskatā šāds priekšlikums </w:t>
      </w:r>
      <w:r w:rsidRPr="002C72C1">
        <w:rPr>
          <w:rFonts w:cs="Times New Roman"/>
          <w:sz w:val="26"/>
          <w:szCs w:val="26"/>
          <w:u w:val="single"/>
        </w:rPr>
        <w:t>nav atbalstāms</w:t>
      </w:r>
      <w:r w:rsidRPr="00444B17">
        <w:rPr>
          <w:rFonts w:cs="Times New Roman"/>
          <w:sz w:val="26"/>
          <w:szCs w:val="26"/>
        </w:rPr>
        <w:t>, jo Ministru kabineta 2013.gada 3.janvāra</w:t>
      </w:r>
      <w:r w:rsidR="003437CA" w:rsidRPr="00444B17">
        <w:rPr>
          <w:rFonts w:cs="Times New Roman"/>
          <w:sz w:val="26"/>
          <w:szCs w:val="26"/>
        </w:rPr>
        <w:t xml:space="preserve"> noteikumos</w:t>
      </w:r>
      <w:r w:rsidRPr="00444B17">
        <w:rPr>
          <w:rFonts w:cs="Times New Roman"/>
          <w:sz w:val="26"/>
          <w:szCs w:val="26"/>
        </w:rPr>
        <w:t xml:space="preserve"> Nr.17 „Pievienotās vērtības nodokļa likumu normu piemērošanas kārtība un atsevišķās prasības pievienotās vērtības nodokļa maksāšanai un administrēšanai” reģistrētiem PVN maksātājiem ir paredzēti atvieglojumi attiecībā uz </w:t>
      </w:r>
      <w:r w:rsidR="001B223B" w:rsidRPr="00444B17">
        <w:rPr>
          <w:rFonts w:cs="Times New Roman"/>
          <w:sz w:val="26"/>
          <w:szCs w:val="26"/>
        </w:rPr>
        <w:t xml:space="preserve">apliecinājuma iespējamā PVN parāda segšanai </w:t>
      </w:r>
      <w:r w:rsidRPr="00444B17">
        <w:rPr>
          <w:rFonts w:cs="Times New Roman"/>
          <w:sz w:val="26"/>
          <w:szCs w:val="26"/>
        </w:rPr>
        <w:t xml:space="preserve">iesniegšanu. Finanšu ministrija uzskata, ka attiecībā uz fiskālajiem pārstāvjiem, kuri neatbilst šo Ministru kabineta noteikumos minētajiem nosacījumiem, lai saņemtu atvieglojumus apliecinājuma iespējamā PVN parāda segšanai iesniegšanai, tiek novērstas situācijas, ka varētu rasties PVN parāds valsts budžetam, kuru fiskālais pārstāvis </w:t>
      </w:r>
      <w:r w:rsidR="003437CA" w:rsidRPr="00444B17">
        <w:rPr>
          <w:rFonts w:cs="Times New Roman"/>
          <w:sz w:val="26"/>
          <w:szCs w:val="26"/>
        </w:rPr>
        <w:t>ne</w:t>
      </w:r>
      <w:r w:rsidRPr="00444B17">
        <w:rPr>
          <w:rFonts w:cs="Times New Roman"/>
          <w:sz w:val="26"/>
          <w:szCs w:val="26"/>
        </w:rPr>
        <w:t>var</w:t>
      </w:r>
      <w:r w:rsidR="003437CA" w:rsidRPr="00444B17">
        <w:rPr>
          <w:rFonts w:cs="Times New Roman"/>
          <w:sz w:val="26"/>
          <w:szCs w:val="26"/>
        </w:rPr>
        <w:t xml:space="preserve">es </w:t>
      </w:r>
      <w:r w:rsidRPr="00444B17">
        <w:rPr>
          <w:rFonts w:cs="Times New Roman"/>
          <w:sz w:val="26"/>
          <w:szCs w:val="26"/>
        </w:rPr>
        <w:t>samaksāt.</w:t>
      </w:r>
    </w:p>
    <w:p w14:paraId="397CCA0A" w14:textId="77777777" w:rsidR="00B20E12" w:rsidRPr="00444B17" w:rsidRDefault="00B20E12" w:rsidP="00AC4F40">
      <w:pPr>
        <w:ind w:firstLine="720"/>
        <w:contextualSpacing/>
        <w:jc w:val="both"/>
        <w:rPr>
          <w:rFonts w:cs="Times New Roman"/>
          <w:sz w:val="26"/>
          <w:szCs w:val="26"/>
        </w:rPr>
      </w:pPr>
      <w:r w:rsidRPr="00444B17">
        <w:rPr>
          <w:rFonts w:cs="Times New Roman"/>
          <w:sz w:val="26"/>
          <w:szCs w:val="26"/>
        </w:rPr>
        <w:t xml:space="preserve">Turklāt Finanšu ministrija norāda, ka </w:t>
      </w:r>
      <w:r w:rsidR="004B0DDD" w:rsidRPr="00444B17">
        <w:rPr>
          <w:rFonts w:cs="Times New Roman"/>
          <w:sz w:val="26"/>
          <w:szCs w:val="26"/>
        </w:rPr>
        <w:t>Pievienotās vērtības nodokļa</w:t>
      </w:r>
      <w:r w:rsidRPr="00444B17">
        <w:rPr>
          <w:rFonts w:cs="Times New Roman"/>
          <w:sz w:val="26"/>
          <w:szCs w:val="26"/>
        </w:rPr>
        <w:t xml:space="preserve"> likuma </w:t>
      </w:r>
      <w:r w:rsidR="00594C85" w:rsidRPr="00444B17">
        <w:rPr>
          <w:rFonts w:cs="Times New Roman"/>
          <w:sz w:val="26"/>
          <w:szCs w:val="26"/>
        </w:rPr>
        <w:t>146.panta septītā</w:t>
      </w:r>
      <w:r w:rsidRPr="00444B17">
        <w:rPr>
          <w:rFonts w:cs="Times New Roman"/>
          <w:sz w:val="26"/>
          <w:szCs w:val="26"/>
        </w:rPr>
        <w:t xml:space="preserve"> daļa paredz, ka fiskālais pārstāvis atbild par PVN saistībām, kas rodas tā pārstāvēto darījumu rezultātā, kā arī par visu darījumu apliecinošo dokumentu uzrādīšanu saistībā ar pārstāvētajiem darījumiem. </w:t>
      </w:r>
    </w:p>
    <w:p w14:paraId="035FC4C4" w14:textId="77777777" w:rsidR="00B20E12" w:rsidRPr="00444B17" w:rsidRDefault="00FD74E2" w:rsidP="00AC4F40">
      <w:pPr>
        <w:ind w:firstLine="720"/>
        <w:jc w:val="both"/>
        <w:rPr>
          <w:rFonts w:cs="Times New Roman"/>
          <w:sz w:val="26"/>
          <w:szCs w:val="26"/>
        </w:rPr>
      </w:pPr>
      <w:r w:rsidRPr="00444B17">
        <w:rPr>
          <w:rFonts w:cs="Times New Roman"/>
          <w:sz w:val="26"/>
          <w:szCs w:val="26"/>
        </w:rPr>
        <w:t>Līdz ar to</w:t>
      </w:r>
      <w:r w:rsidR="00B20E12" w:rsidRPr="00444B17">
        <w:rPr>
          <w:rFonts w:cs="Times New Roman"/>
          <w:sz w:val="26"/>
          <w:szCs w:val="26"/>
        </w:rPr>
        <w:t xml:space="preserve"> šajā aspektā grozījumi PVN jomu regulējošajos normatīvajos aktos </w:t>
      </w:r>
      <w:r w:rsidR="001B223B" w:rsidRPr="00444B17">
        <w:rPr>
          <w:rFonts w:cs="Times New Roman"/>
          <w:sz w:val="26"/>
          <w:szCs w:val="26"/>
        </w:rPr>
        <w:t>nebūtu veicami</w:t>
      </w:r>
      <w:r w:rsidR="00B20E12" w:rsidRPr="00444B17">
        <w:rPr>
          <w:rFonts w:cs="Times New Roman"/>
          <w:sz w:val="26"/>
          <w:szCs w:val="26"/>
        </w:rPr>
        <w:t>.</w:t>
      </w:r>
    </w:p>
    <w:p w14:paraId="0C0C5299" w14:textId="77777777" w:rsidR="000C010A" w:rsidRPr="00444B17" w:rsidRDefault="000C010A" w:rsidP="00AC4F40">
      <w:pPr>
        <w:pStyle w:val="ListParagraph"/>
        <w:spacing w:line="240" w:lineRule="auto"/>
        <w:ind w:left="0" w:firstLine="720"/>
        <w:jc w:val="both"/>
        <w:rPr>
          <w:rFonts w:cs="Times New Roman"/>
          <w:sz w:val="26"/>
          <w:szCs w:val="26"/>
        </w:rPr>
      </w:pPr>
      <w:r w:rsidRPr="00444B17">
        <w:rPr>
          <w:rFonts w:cs="Times New Roman"/>
          <w:sz w:val="26"/>
          <w:szCs w:val="26"/>
        </w:rPr>
        <w:t xml:space="preserve">Vienlaikus vēršam uzmanību, ka nav plānots mainīt kritērijus, lai atvieglotu Padziļinātās sadarbības programmas dalībnieka statusa piešķiršanu. </w:t>
      </w:r>
    </w:p>
    <w:p w14:paraId="4FC95E52" w14:textId="77777777" w:rsidR="00C44DE1" w:rsidRPr="00444B17" w:rsidRDefault="00C44DE1" w:rsidP="00D925E5">
      <w:pPr>
        <w:pStyle w:val="ListParagraph"/>
        <w:ind w:left="0" w:firstLine="720"/>
        <w:jc w:val="both"/>
        <w:rPr>
          <w:rStyle w:val="spelle"/>
          <w:rFonts w:cs="Times New Roman"/>
          <w:sz w:val="26"/>
          <w:szCs w:val="26"/>
        </w:rPr>
      </w:pPr>
    </w:p>
    <w:p w14:paraId="7B34461A" w14:textId="77777777" w:rsidR="009F4B22" w:rsidRPr="00E93A1B" w:rsidRDefault="00D925E5" w:rsidP="00E93A1B">
      <w:pPr>
        <w:pStyle w:val="ListParagraph"/>
        <w:numPr>
          <w:ilvl w:val="0"/>
          <w:numId w:val="15"/>
        </w:numPr>
        <w:spacing w:line="240" w:lineRule="auto"/>
        <w:ind w:left="284" w:hanging="284"/>
        <w:jc w:val="both"/>
        <w:rPr>
          <w:rStyle w:val="spelle"/>
          <w:rFonts w:cs="Times New Roman"/>
          <w:sz w:val="26"/>
          <w:szCs w:val="26"/>
        </w:rPr>
      </w:pPr>
      <w:r w:rsidRPr="00E93A1B">
        <w:rPr>
          <w:rStyle w:val="spelle"/>
          <w:rFonts w:cs="Times New Roman"/>
          <w:b/>
          <w:sz w:val="26"/>
          <w:szCs w:val="26"/>
        </w:rPr>
        <w:lastRenderedPageBreak/>
        <w:t>Rīcība, konstatējot neatbilstības starp importētajām precēm un to pavaddokumentiem</w:t>
      </w:r>
    </w:p>
    <w:p w14:paraId="1F725D3E" w14:textId="77777777" w:rsidR="009F4B22" w:rsidRPr="00444B17" w:rsidRDefault="009F4B22" w:rsidP="00E93A1B">
      <w:pPr>
        <w:jc w:val="both"/>
        <w:rPr>
          <w:rFonts w:eastAsia="MS Mincho" w:cs="Times New Roman"/>
          <w:b/>
          <w:i/>
          <w:sz w:val="26"/>
          <w:szCs w:val="26"/>
          <w:u w:val="single"/>
        </w:rPr>
      </w:pPr>
      <w:r w:rsidRPr="00444B17">
        <w:rPr>
          <w:rFonts w:eastAsia="MS Mincho" w:cs="Times New Roman"/>
          <w:b/>
          <w:i/>
          <w:sz w:val="26"/>
          <w:szCs w:val="26"/>
          <w:u w:val="single"/>
        </w:rPr>
        <w:t>Satiksmes ministrijas priekšlikums</w:t>
      </w:r>
    </w:p>
    <w:p w14:paraId="016FC880" w14:textId="77777777" w:rsidR="009F4B22" w:rsidRPr="00444B17" w:rsidRDefault="009F4B22" w:rsidP="00AC4F40">
      <w:pPr>
        <w:ind w:firstLine="720"/>
        <w:jc w:val="both"/>
        <w:rPr>
          <w:rFonts w:cs="Times New Roman"/>
          <w:b/>
          <w:sz w:val="26"/>
          <w:szCs w:val="26"/>
        </w:rPr>
      </w:pPr>
      <w:r w:rsidRPr="00444B17">
        <w:rPr>
          <w:rFonts w:eastAsia="MS Mincho" w:cs="Times New Roman"/>
          <w:b/>
          <w:sz w:val="26"/>
          <w:szCs w:val="26"/>
        </w:rPr>
        <w:t>Normatīvajos aktos par muitas procedūras – tranzīts – piemērošanu paredzēt regulējumu gadījumos, kad tranzīta krava tiek nogādāta saņēmējā muitas iestādē ar neskartiem nodrošinājumiem, bet kravas saturā tiek konstatētas neatbilstības starp precēm un pavaddokumentiem. Šādos gadījumos (līdzīgi kā tas šobrīd tiek ierosināts Finanšu ministrijas virzītajos Ministru kabineta noteikumos par muitas noliktavām un preču pagaidu uzglabāšanu) principālam būtu jādod saprātīgs termiņš noskaidrot neatbilstību iemeslus un iesniegt muitas iestādēm dokumentāru apliecinājumu neatbilstību rašanās iemesliem, nepiemērojot tam muitas sankcijas un automātisku muitas parāda aprēķinu.</w:t>
      </w:r>
    </w:p>
    <w:p w14:paraId="386B9A16" w14:textId="77777777" w:rsidR="00BC3C4C" w:rsidRPr="00444B17" w:rsidRDefault="00BC3C4C" w:rsidP="00AC4F40">
      <w:pPr>
        <w:autoSpaceDE w:val="0"/>
        <w:autoSpaceDN w:val="0"/>
        <w:adjustRightInd w:val="0"/>
        <w:ind w:firstLine="720"/>
        <w:jc w:val="both"/>
        <w:rPr>
          <w:rFonts w:cs="Times New Roman"/>
          <w:sz w:val="26"/>
          <w:szCs w:val="26"/>
        </w:rPr>
      </w:pPr>
    </w:p>
    <w:p w14:paraId="0627C2DC" w14:textId="7F1BE520" w:rsidR="00C87612" w:rsidRPr="007278A6" w:rsidRDefault="002C72C1" w:rsidP="00C87612">
      <w:pPr>
        <w:ind w:firstLine="720"/>
        <w:jc w:val="both"/>
        <w:rPr>
          <w:sz w:val="26"/>
          <w:szCs w:val="26"/>
        </w:rPr>
      </w:pPr>
      <w:r w:rsidRPr="002C72C1">
        <w:rPr>
          <w:sz w:val="26"/>
          <w:szCs w:val="26"/>
        </w:rPr>
        <w:t xml:space="preserve">Finanšu ministrijas ieskatā </w:t>
      </w:r>
      <w:r w:rsidR="00C87612" w:rsidRPr="00B04DD9">
        <w:rPr>
          <w:sz w:val="26"/>
          <w:szCs w:val="26"/>
        </w:rPr>
        <w:t>Satiksmes ministrijas priekšlikum</w:t>
      </w:r>
      <w:r w:rsidR="00C87612">
        <w:rPr>
          <w:sz w:val="26"/>
          <w:szCs w:val="26"/>
        </w:rPr>
        <w:t>s</w:t>
      </w:r>
      <w:r w:rsidR="00C87612" w:rsidRPr="002C72C1">
        <w:rPr>
          <w:sz w:val="26"/>
          <w:szCs w:val="26"/>
          <w:u w:val="single"/>
        </w:rPr>
        <w:t xml:space="preserve"> </w:t>
      </w:r>
      <w:r w:rsidRPr="002C72C1">
        <w:rPr>
          <w:sz w:val="26"/>
          <w:szCs w:val="26"/>
          <w:u w:val="single"/>
        </w:rPr>
        <w:t>nav atbalstāms</w:t>
      </w:r>
      <w:r w:rsidR="00B04DD9" w:rsidRPr="00B04DD9">
        <w:rPr>
          <w:sz w:val="26"/>
          <w:szCs w:val="26"/>
        </w:rPr>
        <w:t xml:space="preserve">, </w:t>
      </w:r>
      <w:r w:rsidR="00C87612" w:rsidRPr="007278A6">
        <w:rPr>
          <w:sz w:val="26"/>
          <w:szCs w:val="26"/>
        </w:rPr>
        <w:t xml:space="preserve">jo pamatojoties uz to, ka neatbilstību konstatēšanas termiņus tranzīta procedūrai nosaka ES regulējums, nav iespējams nacionālā līmenī noteikt citus termiņus kravas neatbilstību konstatēšanai. </w:t>
      </w:r>
    </w:p>
    <w:p w14:paraId="3D39A70E" w14:textId="4B271C6F" w:rsidR="00B04DD9" w:rsidRPr="00B04DD9" w:rsidRDefault="00C87612" w:rsidP="00AC4F40">
      <w:pPr>
        <w:ind w:firstLine="720"/>
        <w:jc w:val="both"/>
        <w:rPr>
          <w:sz w:val="26"/>
          <w:szCs w:val="26"/>
          <w:u w:val="single"/>
        </w:rPr>
      </w:pPr>
      <w:r>
        <w:rPr>
          <w:sz w:val="26"/>
          <w:szCs w:val="26"/>
        </w:rPr>
        <w:t>Norādām uz to, ka saskaņā ar Komisijas 1993.gada 2.</w:t>
      </w:r>
      <w:r w:rsidR="00B04DD9" w:rsidRPr="00B04DD9">
        <w:rPr>
          <w:sz w:val="26"/>
          <w:szCs w:val="26"/>
        </w:rPr>
        <w:t>jūlija Regulas (EEK) Nr.2454/93, ar kuru nosaka īstenošanas noteikumus Padomes Regulai (EEK) Nr.2913/92 par Kopienas Mu</w:t>
      </w:r>
      <w:r>
        <w:rPr>
          <w:sz w:val="26"/>
          <w:szCs w:val="26"/>
        </w:rPr>
        <w:t>itas kodeksa izveidi (turpmāk- r</w:t>
      </w:r>
      <w:r w:rsidR="00B04DD9" w:rsidRPr="00B04DD9">
        <w:rPr>
          <w:sz w:val="26"/>
          <w:szCs w:val="26"/>
        </w:rPr>
        <w:t xml:space="preserve">egula Nr.2454) 363.panta 4.punktu saņēmējai muitas iestādei </w:t>
      </w:r>
      <w:proofErr w:type="spellStart"/>
      <w:r w:rsidR="00B04DD9" w:rsidRPr="00B04DD9">
        <w:rPr>
          <w:sz w:val="26"/>
          <w:szCs w:val="26"/>
        </w:rPr>
        <w:t>jānosūta</w:t>
      </w:r>
      <w:proofErr w:type="spellEnd"/>
      <w:r w:rsidR="00B04DD9" w:rsidRPr="00B04DD9">
        <w:rPr>
          <w:sz w:val="26"/>
          <w:szCs w:val="26"/>
        </w:rPr>
        <w:t xml:space="preserve"> kontroles rezultāti vēlākais, trešajā dienā pēc preču piegāde</w:t>
      </w:r>
      <w:r>
        <w:rPr>
          <w:sz w:val="26"/>
          <w:szCs w:val="26"/>
        </w:rPr>
        <w:t>s dienas. Savukārt, saskaņā ar regulas Nr.</w:t>
      </w:r>
      <w:r w:rsidR="00B04DD9" w:rsidRPr="00B04DD9">
        <w:rPr>
          <w:sz w:val="26"/>
          <w:szCs w:val="26"/>
        </w:rPr>
        <w:t xml:space="preserve">2454 408.panta 1.c punktu, ja kravu saņem atzītais nosūtītājs, tam </w:t>
      </w:r>
      <w:proofErr w:type="spellStart"/>
      <w:r w:rsidR="00B04DD9" w:rsidRPr="00B04DD9">
        <w:rPr>
          <w:sz w:val="26"/>
          <w:szCs w:val="26"/>
        </w:rPr>
        <w:t>jānosūta</w:t>
      </w:r>
      <w:proofErr w:type="spellEnd"/>
      <w:r w:rsidR="00B04DD9" w:rsidRPr="00B04DD9">
        <w:rPr>
          <w:sz w:val="26"/>
          <w:szCs w:val="26"/>
        </w:rPr>
        <w:t xml:space="preserve"> izkraušanas piezīmes vēlākais trešajā dienā pēc izkraušanas atļaujas saņemšanas, informējot muitu par visām konstatētajām neatbilstībām. </w:t>
      </w:r>
    </w:p>
    <w:p w14:paraId="67CA971B" w14:textId="3B651CF6" w:rsidR="00B04DD9" w:rsidRPr="00B04DD9" w:rsidRDefault="00B04DD9" w:rsidP="00AC4F40">
      <w:pPr>
        <w:ind w:firstLine="720"/>
        <w:jc w:val="both"/>
        <w:rPr>
          <w:sz w:val="26"/>
          <w:szCs w:val="26"/>
        </w:rPr>
      </w:pPr>
      <w:r w:rsidRPr="00792E3D">
        <w:rPr>
          <w:sz w:val="26"/>
          <w:szCs w:val="26"/>
        </w:rPr>
        <w:t xml:space="preserve">Ja komersants </w:t>
      </w:r>
      <w:r w:rsidR="00792E3D" w:rsidRPr="00792E3D">
        <w:rPr>
          <w:sz w:val="26"/>
          <w:szCs w:val="26"/>
        </w:rPr>
        <w:t xml:space="preserve">(preču </w:t>
      </w:r>
      <w:r w:rsidRPr="00792E3D">
        <w:rPr>
          <w:sz w:val="26"/>
          <w:szCs w:val="26"/>
        </w:rPr>
        <w:t>saņēmējs</w:t>
      </w:r>
      <w:r w:rsidR="00792E3D" w:rsidRPr="00792E3D">
        <w:rPr>
          <w:sz w:val="26"/>
          <w:szCs w:val="26"/>
        </w:rPr>
        <w:t>)</w:t>
      </w:r>
      <w:r w:rsidRPr="00B04DD9">
        <w:rPr>
          <w:sz w:val="26"/>
          <w:szCs w:val="26"/>
        </w:rPr>
        <w:t xml:space="preserve"> ir informējis muitu par konstatētajām neatbilstībām, un tranzīta deklarācija ir noslēgta ar neapmierinošiem kontroles rezultātiem, kompetentā muitas iestāde uzsāk izmeklēšanu par neatbilstību rašanās iemesliem, lai konstatētu, vai ir radies muitas parāds. Ja komersants ir iesniedzis dokumentus, kas pierāda, ka kravas iztrūkums radies jau pirms preču ievešanas ES teritorijā (piemēram, kravas nosūtītāja apliecinājums, ka trūkstošā kravas daļa nav tikusi iekrauta, vai arī ir pieļauta kļūda kravas pavaddokumentos), tad muitas parāds netiek aprēķināts. Arī gadījumos, kad netiek konstatēts faktisks kravas iztrūkums, bet tikai svara atšķirība (kas var būt radusies svēršanas metožu atšķirības rezultātā), muitas parāds netiek aprēķināts. Visos gadījumos, kad no komersantiem tiek pieprasīta informācija par nenoslēgtu vai ar neatbilstībām noslēgtu tranzīta deklarācij</w:t>
      </w:r>
      <w:r w:rsidR="00C87612">
        <w:rPr>
          <w:sz w:val="26"/>
          <w:szCs w:val="26"/>
        </w:rPr>
        <w:t>u, saskaņā ar r</w:t>
      </w:r>
      <w:r w:rsidRPr="00B04DD9">
        <w:rPr>
          <w:sz w:val="26"/>
          <w:szCs w:val="26"/>
        </w:rPr>
        <w:t>egulas Nr.2454 365.panta 5.punktu, atbildes sniegšanas termiņš ir 28 dienas.</w:t>
      </w:r>
    </w:p>
    <w:p w14:paraId="6213CA89" w14:textId="106E87E7" w:rsidR="00B04DD9" w:rsidRDefault="00792E3D" w:rsidP="00AC4F40">
      <w:pPr>
        <w:ind w:firstLine="720"/>
        <w:jc w:val="both"/>
        <w:rPr>
          <w:sz w:val="26"/>
          <w:szCs w:val="26"/>
        </w:rPr>
      </w:pPr>
      <w:r>
        <w:rPr>
          <w:sz w:val="26"/>
          <w:szCs w:val="26"/>
        </w:rPr>
        <w:t xml:space="preserve">Valsts ieņēmumu dienesta </w:t>
      </w:r>
      <w:r w:rsidR="00B04DD9" w:rsidRPr="00B04DD9">
        <w:rPr>
          <w:sz w:val="26"/>
          <w:szCs w:val="26"/>
        </w:rPr>
        <w:t>Muitas pārvaldes rīcībā esošā informācija liecina, ka kopš 2014.gada sākuma noformētas 309 818 tranzīta procedūras. No tām ar neatbilstībām noslēgtas 802 deklarācijas, kas ir 0,2%. Savukārt tikai 15 gadījumos pieņemts lēmums par muitas parādu, kas ir 0,005% no visām noformētajām tranzīta deklarācijām.</w:t>
      </w:r>
      <w:r w:rsidR="00B04DD9">
        <w:rPr>
          <w:sz w:val="26"/>
          <w:szCs w:val="26"/>
        </w:rPr>
        <w:t xml:space="preserve"> </w:t>
      </w:r>
      <w:r w:rsidR="00B04DD9" w:rsidRPr="00B04DD9">
        <w:rPr>
          <w:sz w:val="26"/>
          <w:szCs w:val="26"/>
        </w:rPr>
        <w:t>Līdz ar to uzskatām, ka nav pamatots Satiksmes ministrijas apgalvojums par automātisku muitas parāda aprēķinu neatbilstību gadījumos, kā arī nepietiekamu termiņu neatbilstību iemeslu noskaidrošanai.</w:t>
      </w:r>
    </w:p>
    <w:p w14:paraId="52A67AD1" w14:textId="32CF0AB5" w:rsidR="00C87612" w:rsidRPr="00B04DD9" w:rsidRDefault="00C87612" w:rsidP="00C87612">
      <w:pPr>
        <w:ind w:firstLine="720"/>
        <w:jc w:val="both"/>
        <w:rPr>
          <w:sz w:val="26"/>
          <w:szCs w:val="26"/>
        </w:rPr>
      </w:pPr>
      <w:r w:rsidRPr="00B04DD9">
        <w:rPr>
          <w:sz w:val="26"/>
          <w:szCs w:val="26"/>
        </w:rPr>
        <w:t xml:space="preserve">Vienlaikus </w:t>
      </w:r>
      <w:r>
        <w:rPr>
          <w:sz w:val="26"/>
          <w:szCs w:val="26"/>
        </w:rPr>
        <w:t>informējam</w:t>
      </w:r>
      <w:r w:rsidRPr="00B04DD9">
        <w:rPr>
          <w:sz w:val="26"/>
          <w:szCs w:val="26"/>
        </w:rPr>
        <w:t xml:space="preserve">, ka Finanšu ministrija un Valsts ieņēmumu dienests ir apzinājuši </w:t>
      </w:r>
      <w:proofErr w:type="spellStart"/>
      <w:r w:rsidRPr="00B04DD9">
        <w:rPr>
          <w:sz w:val="26"/>
          <w:szCs w:val="26"/>
        </w:rPr>
        <w:t>problēmjautājumus</w:t>
      </w:r>
      <w:proofErr w:type="spellEnd"/>
      <w:r w:rsidRPr="00B04DD9">
        <w:rPr>
          <w:sz w:val="26"/>
          <w:szCs w:val="26"/>
        </w:rPr>
        <w:t xml:space="preserve">, kas saistīti ar muitas procedūras – tranzīts piemērošanu </w:t>
      </w:r>
      <w:r w:rsidRPr="00B04DD9">
        <w:rPr>
          <w:sz w:val="26"/>
          <w:szCs w:val="26"/>
        </w:rPr>
        <w:lastRenderedPageBreak/>
        <w:t xml:space="preserve">un 2014.gada oktobrī tiks organizēta sanāksme ar tranzīta un loģistikas nozares uzņēmēju asociāciju un Satiksmes ministrijas pārstāvjiem, lai pārrunātu un rastu risinājumus aktuālajiem </w:t>
      </w:r>
      <w:r>
        <w:rPr>
          <w:sz w:val="26"/>
          <w:szCs w:val="26"/>
        </w:rPr>
        <w:t xml:space="preserve">tranzīta </w:t>
      </w:r>
      <w:proofErr w:type="spellStart"/>
      <w:r w:rsidRPr="00B04DD9">
        <w:rPr>
          <w:sz w:val="26"/>
          <w:szCs w:val="26"/>
        </w:rPr>
        <w:t>problēmjautājumiem</w:t>
      </w:r>
      <w:proofErr w:type="spellEnd"/>
      <w:r w:rsidRPr="00B04DD9">
        <w:rPr>
          <w:sz w:val="26"/>
          <w:szCs w:val="26"/>
        </w:rPr>
        <w:t>.</w:t>
      </w:r>
    </w:p>
    <w:p w14:paraId="6C31EEE3" w14:textId="77777777" w:rsidR="00C87612" w:rsidRDefault="00C87612" w:rsidP="00AC4F40">
      <w:pPr>
        <w:ind w:firstLine="720"/>
        <w:jc w:val="both"/>
        <w:rPr>
          <w:sz w:val="26"/>
          <w:szCs w:val="26"/>
        </w:rPr>
      </w:pPr>
    </w:p>
    <w:p w14:paraId="2BEF654B" w14:textId="77777777" w:rsidR="00D925E5" w:rsidRPr="00444B17" w:rsidRDefault="00D925E5" w:rsidP="00E93A1B">
      <w:pPr>
        <w:pStyle w:val="ListParagraph"/>
        <w:numPr>
          <w:ilvl w:val="0"/>
          <w:numId w:val="15"/>
        </w:numPr>
        <w:spacing w:line="240" w:lineRule="auto"/>
        <w:ind w:left="284" w:hanging="284"/>
        <w:jc w:val="both"/>
        <w:rPr>
          <w:rStyle w:val="spelle"/>
          <w:rFonts w:cs="Times New Roman"/>
          <w:b/>
          <w:sz w:val="26"/>
          <w:szCs w:val="26"/>
        </w:rPr>
      </w:pPr>
      <w:r w:rsidRPr="00444B17">
        <w:rPr>
          <w:rStyle w:val="spelle"/>
          <w:rFonts w:cs="Times New Roman"/>
          <w:b/>
          <w:sz w:val="26"/>
          <w:szCs w:val="26"/>
        </w:rPr>
        <w:t>Komersanta sodāmības kritēriji</w:t>
      </w:r>
    </w:p>
    <w:p w14:paraId="1A0DB368" w14:textId="77777777" w:rsidR="009F4B22" w:rsidRPr="00444B17" w:rsidRDefault="009F4B22" w:rsidP="001D628B">
      <w:pPr>
        <w:jc w:val="both"/>
        <w:rPr>
          <w:rFonts w:eastAsia="MS Mincho" w:cs="Times New Roman"/>
          <w:b/>
          <w:i/>
          <w:sz w:val="26"/>
          <w:szCs w:val="26"/>
          <w:u w:val="single"/>
        </w:rPr>
      </w:pPr>
      <w:r w:rsidRPr="00444B17">
        <w:rPr>
          <w:rFonts w:eastAsia="MS Mincho" w:cs="Times New Roman"/>
          <w:b/>
          <w:i/>
          <w:sz w:val="26"/>
          <w:szCs w:val="26"/>
          <w:u w:val="single"/>
        </w:rPr>
        <w:t>Satiksmes ministrijas priekšlikums</w:t>
      </w:r>
    </w:p>
    <w:p w14:paraId="1AA8695C" w14:textId="77777777" w:rsidR="00DC2E35" w:rsidRPr="00444B17" w:rsidRDefault="00DC2E35" w:rsidP="00AC4F40">
      <w:pPr>
        <w:ind w:firstLine="720"/>
        <w:jc w:val="both"/>
        <w:rPr>
          <w:rFonts w:eastAsia="MS Mincho" w:cs="Times New Roman"/>
          <w:b/>
          <w:sz w:val="26"/>
          <w:szCs w:val="26"/>
        </w:rPr>
      </w:pPr>
      <w:r w:rsidRPr="00444B17">
        <w:rPr>
          <w:rFonts w:eastAsia="MS Mincho" w:cs="Times New Roman"/>
          <w:b/>
          <w:sz w:val="26"/>
          <w:szCs w:val="26"/>
        </w:rPr>
        <w:t>Finanšu ministrijai sadarbībā ar Satiksmes ministriju un tranzīta un loģistikas nozares uzņēmēju asociācijām sagatavot un iesniegt Ministru kabinetā grozījumus ārējos muitas normatīvajos aktos, kas paredz muitas tiesību jomā izmantotā nosacījuma „smagi, nopietni vai atkārtoti muitas vai nodokļu noteikumu pārkāpumi” piemērošanas noteikumus.</w:t>
      </w:r>
    </w:p>
    <w:p w14:paraId="49DEBA53" w14:textId="77777777" w:rsidR="00DC2E35" w:rsidRPr="00444B17" w:rsidRDefault="00DC2E35" w:rsidP="00AC4F40">
      <w:pPr>
        <w:ind w:firstLine="720"/>
        <w:jc w:val="both"/>
        <w:rPr>
          <w:rStyle w:val="spelle"/>
          <w:rFonts w:cs="Times New Roman"/>
          <w:b/>
          <w:sz w:val="26"/>
          <w:szCs w:val="26"/>
        </w:rPr>
      </w:pPr>
    </w:p>
    <w:p w14:paraId="009EDC12" w14:textId="1350595D" w:rsidR="00F70854" w:rsidRPr="00444B17" w:rsidRDefault="002C72C1" w:rsidP="00AC4F40">
      <w:pPr>
        <w:ind w:firstLine="720"/>
        <w:jc w:val="both"/>
        <w:rPr>
          <w:rFonts w:eastAsia="MS Mincho" w:cs="Times New Roman"/>
          <w:sz w:val="26"/>
          <w:szCs w:val="26"/>
        </w:rPr>
      </w:pPr>
      <w:r w:rsidRPr="002C72C1">
        <w:rPr>
          <w:rFonts w:cs="Times New Roman"/>
          <w:sz w:val="26"/>
          <w:szCs w:val="26"/>
        </w:rPr>
        <w:t xml:space="preserve">Finanšu ministrijas ieskatā nav atbalstāms </w:t>
      </w:r>
      <w:r w:rsidR="00F96B8B" w:rsidRPr="00444B17">
        <w:rPr>
          <w:rFonts w:cs="Times New Roman"/>
          <w:sz w:val="26"/>
          <w:szCs w:val="26"/>
        </w:rPr>
        <w:t>priekšlikum</w:t>
      </w:r>
      <w:r>
        <w:rPr>
          <w:rFonts w:cs="Times New Roman"/>
          <w:sz w:val="26"/>
          <w:szCs w:val="26"/>
        </w:rPr>
        <w:t>s</w:t>
      </w:r>
      <w:r w:rsidR="00F70854" w:rsidRPr="00444B17">
        <w:rPr>
          <w:rFonts w:cs="Times New Roman"/>
          <w:sz w:val="26"/>
          <w:szCs w:val="26"/>
        </w:rPr>
        <w:t xml:space="preserve"> </w:t>
      </w:r>
      <w:r w:rsidR="00F70854" w:rsidRPr="00444B17">
        <w:rPr>
          <w:rFonts w:eastAsia="MS Mincho" w:cs="Times New Roman"/>
          <w:sz w:val="26"/>
          <w:szCs w:val="26"/>
        </w:rPr>
        <w:t xml:space="preserve">noteikt </w:t>
      </w:r>
      <w:r w:rsidR="00F96B8B" w:rsidRPr="00444B17">
        <w:rPr>
          <w:rFonts w:eastAsia="MS Mincho" w:cs="Times New Roman"/>
          <w:sz w:val="26"/>
          <w:szCs w:val="26"/>
        </w:rPr>
        <w:t>ārēj</w:t>
      </w:r>
      <w:r w:rsidR="00F70854" w:rsidRPr="00444B17">
        <w:rPr>
          <w:rFonts w:eastAsia="MS Mincho" w:cs="Times New Roman"/>
          <w:sz w:val="26"/>
          <w:szCs w:val="26"/>
        </w:rPr>
        <w:t xml:space="preserve">ā </w:t>
      </w:r>
      <w:r w:rsidR="00F96B8B" w:rsidRPr="00444B17">
        <w:rPr>
          <w:rFonts w:eastAsia="MS Mincho" w:cs="Times New Roman"/>
          <w:sz w:val="26"/>
          <w:szCs w:val="26"/>
        </w:rPr>
        <w:t>muitas normatīvaj</w:t>
      </w:r>
      <w:r w:rsidR="00F70854" w:rsidRPr="00444B17">
        <w:rPr>
          <w:rFonts w:eastAsia="MS Mincho" w:cs="Times New Roman"/>
          <w:sz w:val="26"/>
          <w:szCs w:val="26"/>
        </w:rPr>
        <w:t>ā</w:t>
      </w:r>
      <w:r w:rsidR="00F96B8B" w:rsidRPr="00444B17">
        <w:rPr>
          <w:rFonts w:eastAsia="MS Mincho" w:cs="Times New Roman"/>
          <w:sz w:val="26"/>
          <w:szCs w:val="26"/>
        </w:rPr>
        <w:t xml:space="preserve"> akt</w:t>
      </w:r>
      <w:r w:rsidR="00F70854" w:rsidRPr="00444B17">
        <w:rPr>
          <w:rFonts w:eastAsia="MS Mincho" w:cs="Times New Roman"/>
          <w:sz w:val="26"/>
          <w:szCs w:val="26"/>
        </w:rPr>
        <w:t xml:space="preserve">ā </w:t>
      </w:r>
      <w:r w:rsidR="004236E6" w:rsidRPr="00444B17">
        <w:rPr>
          <w:rFonts w:eastAsia="MS Mincho" w:cs="Times New Roman"/>
          <w:sz w:val="26"/>
          <w:szCs w:val="26"/>
        </w:rPr>
        <w:t xml:space="preserve">ES </w:t>
      </w:r>
      <w:r w:rsidR="00F96B8B" w:rsidRPr="00444B17">
        <w:rPr>
          <w:rFonts w:eastAsia="MS Mincho" w:cs="Times New Roman"/>
          <w:sz w:val="26"/>
          <w:szCs w:val="26"/>
        </w:rPr>
        <w:t xml:space="preserve">muitas tiesību jomā izmantotā nosacījuma „smagi, nopietni vai atkārtoti muitas vai nodokļu noteikumu pārkāpumi” piemērošanas </w:t>
      </w:r>
      <w:r w:rsidR="00F70854" w:rsidRPr="00444B17">
        <w:rPr>
          <w:rFonts w:eastAsia="MS Mincho" w:cs="Times New Roman"/>
          <w:sz w:val="26"/>
          <w:szCs w:val="26"/>
        </w:rPr>
        <w:t>kritērijus.</w:t>
      </w:r>
    </w:p>
    <w:p w14:paraId="696D50D0" w14:textId="78D98DE4" w:rsidR="00BC64C1" w:rsidRPr="00444B17" w:rsidRDefault="004236E6" w:rsidP="00AC4F40">
      <w:pPr>
        <w:ind w:firstLine="720"/>
        <w:jc w:val="both"/>
        <w:rPr>
          <w:rFonts w:eastAsia="MS Mincho" w:cs="Times New Roman"/>
          <w:sz w:val="26"/>
          <w:szCs w:val="26"/>
        </w:rPr>
      </w:pPr>
      <w:r w:rsidRPr="00444B17">
        <w:rPr>
          <w:rFonts w:eastAsia="MS Mincho" w:cs="Times New Roman"/>
          <w:sz w:val="26"/>
          <w:szCs w:val="26"/>
        </w:rPr>
        <w:t>N</w:t>
      </w:r>
      <w:r w:rsidR="00F70854" w:rsidRPr="00444B17">
        <w:rPr>
          <w:rFonts w:eastAsia="MS Mincho" w:cs="Times New Roman"/>
          <w:sz w:val="26"/>
          <w:szCs w:val="26"/>
        </w:rPr>
        <w:t>orādām, ka</w:t>
      </w:r>
      <w:r w:rsidR="004C6F58" w:rsidRPr="00444B17">
        <w:rPr>
          <w:rFonts w:cs="Times New Roman"/>
          <w:sz w:val="26"/>
          <w:szCs w:val="26"/>
        </w:rPr>
        <w:t xml:space="preserve"> </w:t>
      </w:r>
      <w:r w:rsidR="001B75D2" w:rsidRPr="00444B17">
        <w:rPr>
          <w:rFonts w:cs="Times New Roman"/>
          <w:sz w:val="26"/>
          <w:szCs w:val="26"/>
          <w:lang w:eastAsia="lv-LV"/>
        </w:rPr>
        <w:t xml:space="preserve">2014.gada 3.jūlijā </w:t>
      </w:r>
      <w:r w:rsidR="00FA7504" w:rsidRPr="00444B17">
        <w:rPr>
          <w:rFonts w:cs="Times New Roman"/>
          <w:sz w:val="26"/>
          <w:szCs w:val="26"/>
          <w:lang w:eastAsia="lv-LV"/>
        </w:rPr>
        <w:t>saskaņā ar Valsts pārvaldes iekārtas likuma 72.panta otro daļu tika pieņemta Finanšu ministrijas instrukcija Nr.12-28/1 “M</w:t>
      </w:r>
      <w:r w:rsidR="00FA7504" w:rsidRPr="00444B17">
        <w:rPr>
          <w:rFonts w:cs="Times New Roman"/>
          <w:sz w:val="26"/>
          <w:szCs w:val="26"/>
        </w:rPr>
        <w:t xml:space="preserve">uitas lietu jomā izmantotā nosacījuma „smagi, nopietni vai atkārtoti muitas vai nodokļu noteikumu pārkāpumi” piemērošanas </w:t>
      </w:r>
      <w:r w:rsidR="00FA7504" w:rsidRPr="00444B17">
        <w:rPr>
          <w:rFonts w:cs="Times New Roman"/>
          <w:sz w:val="26"/>
          <w:szCs w:val="26"/>
          <w:lang w:eastAsia="lv-LV"/>
        </w:rPr>
        <w:t>instrukcija”</w:t>
      </w:r>
      <w:r w:rsidR="00BC64C1" w:rsidRPr="00444B17">
        <w:rPr>
          <w:rFonts w:cs="Times New Roman"/>
          <w:sz w:val="26"/>
          <w:szCs w:val="26"/>
          <w:lang w:eastAsia="lv-LV"/>
        </w:rPr>
        <w:t>. Minētā instrukcija</w:t>
      </w:r>
      <w:r w:rsidR="00FA7504" w:rsidRPr="00444B17">
        <w:rPr>
          <w:rFonts w:cs="Times New Roman"/>
          <w:sz w:val="26"/>
          <w:szCs w:val="26"/>
          <w:lang w:eastAsia="lv-LV"/>
        </w:rPr>
        <w:t xml:space="preserve"> </w:t>
      </w:r>
      <w:r w:rsidR="00FA7504" w:rsidRPr="00444B17">
        <w:rPr>
          <w:rFonts w:cs="Times New Roman"/>
          <w:sz w:val="26"/>
          <w:szCs w:val="26"/>
        </w:rPr>
        <w:t xml:space="preserve">nosaka </w:t>
      </w:r>
      <w:r w:rsidR="00C87612">
        <w:rPr>
          <w:sz w:val="26"/>
          <w:szCs w:val="26"/>
        </w:rPr>
        <w:t>r</w:t>
      </w:r>
      <w:r w:rsidR="00C87612" w:rsidRPr="00B04DD9">
        <w:rPr>
          <w:sz w:val="26"/>
          <w:szCs w:val="26"/>
        </w:rPr>
        <w:t>egula</w:t>
      </w:r>
      <w:r w:rsidR="00C87612">
        <w:rPr>
          <w:sz w:val="26"/>
          <w:szCs w:val="26"/>
        </w:rPr>
        <w:t>s</w:t>
      </w:r>
      <w:r w:rsidR="00C87612" w:rsidRPr="00B04DD9">
        <w:rPr>
          <w:sz w:val="26"/>
          <w:szCs w:val="26"/>
        </w:rPr>
        <w:t xml:space="preserve"> Nr.2454</w:t>
      </w:r>
      <w:r w:rsidR="00C87612">
        <w:rPr>
          <w:sz w:val="26"/>
          <w:szCs w:val="26"/>
        </w:rPr>
        <w:t xml:space="preserve"> </w:t>
      </w:r>
      <w:r w:rsidR="00FA7504" w:rsidRPr="00444B17">
        <w:rPr>
          <w:rFonts w:cs="Times New Roman"/>
          <w:sz w:val="26"/>
          <w:szCs w:val="26"/>
        </w:rPr>
        <w:t xml:space="preserve">253.g panta b)apakšpunktā minētā smagu, nopietnu vai atkārtotu muitas vai nodokļu noteikumu pārkāpumu nosacījuma </w:t>
      </w:r>
      <w:r w:rsidR="00BC64C1" w:rsidRPr="00444B17">
        <w:rPr>
          <w:rFonts w:cs="Times New Roman"/>
          <w:sz w:val="26"/>
          <w:szCs w:val="26"/>
        </w:rPr>
        <w:t xml:space="preserve">vienveidīgu </w:t>
      </w:r>
      <w:r w:rsidR="00FA7504" w:rsidRPr="00444B17">
        <w:rPr>
          <w:rFonts w:cs="Times New Roman"/>
          <w:sz w:val="26"/>
          <w:szCs w:val="26"/>
        </w:rPr>
        <w:t>piemērošanu</w:t>
      </w:r>
      <w:r w:rsidR="001B75D2" w:rsidRPr="00444B17">
        <w:rPr>
          <w:rFonts w:cs="Times New Roman"/>
          <w:sz w:val="26"/>
          <w:szCs w:val="26"/>
        </w:rPr>
        <w:t xml:space="preserve"> </w:t>
      </w:r>
      <w:r w:rsidR="00EF180B" w:rsidRPr="00444B17">
        <w:rPr>
          <w:rFonts w:cs="Times New Roman"/>
          <w:sz w:val="26"/>
          <w:szCs w:val="26"/>
          <w:lang w:eastAsia="lv-LV"/>
        </w:rPr>
        <w:t>Valsts ieņēmumu dienestā</w:t>
      </w:r>
      <w:r w:rsidR="00FA7504" w:rsidRPr="00444B17">
        <w:rPr>
          <w:rFonts w:cs="Times New Roman"/>
          <w:sz w:val="26"/>
          <w:szCs w:val="26"/>
        </w:rPr>
        <w:t>.</w:t>
      </w:r>
      <w:r w:rsidR="00BC64C1" w:rsidRPr="00444B17">
        <w:rPr>
          <w:rFonts w:cs="Times New Roman"/>
          <w:sz w:val="26"/>
          <w:szCs w:val="26"/>
        </w:rPr>
        <w:t xml:space="preserve"> </w:t>
      </w:r>
    </w:p>
    <w:p w14:paraId="21C23733" w14:textId="77777777" w:rsidR="00FA7504" w:rsidRPr="00444B17" w:rsidRDefault="00FA7504" w:rsidP="00AC4F40">
      <w:pPr>
        <w:pStyle w:val="NoSpacing"/>
        <w:ind w:firstLine="720"/>
        <w:jc w:val="both"/>
        <w:rPr>
          <w:sz w:val="26"/>
          <w:szCs w:val="26"/>
          <w:lang w:val="lv-LV" w:eastAsia="lv-LV"/>
        </w:rPr>
      </w:pPr>
      <w:r w:rsidRPr="00444B17">
        <w:rPr>
          <w:bCs/>
          <w:sz w:val="26"/>
          <w:szCs w:val="26"/>
          <w:lang w:val="lv-LV"/>
        </w:rPr>
        <w:t xml:space="preserve">Saskaņā ar Valsts pārvaldes iekārtas likuma 72.panta ceturto daļu minētā instrukcija ir </w:t>
      </w:r>
      <w:r w:rsidRPr="00444B17">
        <w:rPr>
          <w:sz w:val="26"/>
          <w:szCs w:val="26"/>
          <w:lang w:val="lv-LV" w:eastAsia="lv-LV"/>
        </w:rPr>
        <w:t xml:space="preserve">saistoša Finanšu ministrijas padotības iestādei - Valsts ieņēmumu dienestam. </w:t>
      </w:r>
    </w:p>
    <w:p w14:paraId="32CC533B" w14:textId="77777777" w:rsidR="00FA7504" w:rsidRPr="00444B17" w:rsidRDefault="00FA7504" w:rsidP="00AC4F40">
      <w:pPr>
        <w:pStyle w:val="NoSpacing"/>
        <w:ind w:firstLine="720"/>
        <w:jc w:val="both"/>
        <w:rPr>
          <w:sz w:val="26"/>
          <w:szCs w:val="26"/>
          <w:lang w:val="lv-LV" w:eastAsia="lv-LV"/>
        </w:rPr>
      </w:pPr>
      <w:r w:rsidRPr="00444B17">
        <w:rPr>
          <w:sz w:val="26"/>
          <w:szCs w:val="26"/>
          <w:lang w:val="lv-LV" w:eastAsia="lv-LV"/>
        </w:rPr>
        <w:t>Instrukcija ir publicēta Finanšu ministrijas un Valsts ieņēmumu dienesta interneta mājas lapās.</w:t>
      </w:r>
    </w:p>
    <w:p w14:paraId="63A1BEA5" w14:textId="77777777" w:rsidR="00D42D19" w:rsidRPr="00444B17" w:rsidRDefault="00F70854" w:rsidP="00AC4F40">
      <w:pPr>
        <w:ind w:firstLine="720"/>
        <w:jc w:val="both"/>
        <w:rPr>
          <w:rFonts w:cs="Times New Roman"/>
          <w:sz w:val="26"/>
          <w:szCs w:val="26"/>
        </w:rPr>
      </w:pPr>
      <w:r w:rsidRPr="00444B17">
        <w:rPr>
          <w:rFonts w:cs="Times New Roman"/>
          <w:sz w:val="26"/>
          <w:szCs w:val="26"/>
        </w:rPr>
        <w:t xml:space="preserve">Ņemot vērā minēto, informējam, ka </w:t>
      </w:r>
      <w:r w:rsidR="000D6BD7" w:rsidRPr="00444B17">
        <w:rPr>
          <w:rFonts w:cs="Times New Roman"/>
          <w:sz w:val="26"/>
          <w:szCs w:val="26"/>
        </w:rPr>
        <w:t>Finanšu ministrija seko līdzi tam</w:t>
      </w:r>
      <w:r w:rsidR="0071797B" w:rsidRPr="00444B17">
        <w:rPr>
          <w:rFonts w:cs="Times New Roman"/>
          <w:sz w:val="26"/>
          <w:szCs w:val="26"/>
        </w:rPr>
        <w:t>,</w:t>
      </w:r>
      <w:r w:rsidRPr="00444B17">
        <w:rPr>
          <w:rFonts w:cs="Times New Roman"/>
          <w:sz w:val="26"/>
          <w:szCs w:val="26"/>
        </w:rPr>
        <w:t xml:space="preserve"> kā praksē tiek piemēroti instrukcijā noteiktie „smagu, nopietnu vai atkārtotu muitas pārkāpumu” kritēriji, kā arī </w:t>
      </w:r>
      <w:r w:rsidR="000056E6" w:rsidRPr="00444B17">
        <w:rPr>
          <w:rFonts w:cs="Times New Roman"/>
          <w:sz w:val="26"/>
          <w:szCs w:val="26"/>
        </w:rPr>
        <w:t>nozares asociācijām</w:t>
      </w:r>
      <w:r w:rsidR="000D6BD7" w:rsidRPr="00444B17">
        <w:rPr>
          <w:rFonts w:cs="Times New Roman"/>
          <w:sz w:val="26"/>
          <w:szCs w:val="26"/>
        </w:rPr>
        <w:t xml:space="preserve"> ir</w:t>
      </w:r>
      <w:r w:rsidR="000056E6" w:rsidRPr="00444B17">
        <w:rPr>
          <w:rFonts w:cs="Times New Roman"/>
          <w:sz w:val="26"/>
          <w:szCs w:val="26"/>
        </w:rPr>
        <w:t xml:space="preserve"> lūgt</w:t>
      </w:r>
      <w:r w:rsidR="000D6BD7" w:rsidRPr="00444B17">
        <w:rPr>
          <w:rFonts w:cs="Times New Roman"/>
          <w:sz w:val="26"/>
          <w:szCs w:val="26"/>
        </w:rPr>
        <w:t>s sniegt informāciju, ja tie</w:t>
      </w:r>
      <w:r w:rsidRPr="00444B17">
        <w:rPr>
          <w:rFonts w:cs="Times New Roman"/>
          <w:sz w:val="26"/>
          <w:szCs w:val="26"/>
        </w:rPr>
        <w:t xml:space="preserve">k konstatēti </w:t>
      </w:r>
      <w:r w:rsidR="0071797B" w:rsidRPr="00444B17">
        <w:rPr>
          <w:rFonts w:cs="Times New Roman"/>
          <w:sz w:val="26"/>
          <w:szCs w:val="26"/>
        </w:rPr>
        <w:t>pārkāpumi attiecīgo normu piemērošanā</w:t>
      </w:r>
      <w:r w:rsidR="000056E6" w:rsidRPr="00444B17">
        <w:rPr>
          <w:rFonts w:cs="Times New Roman"/>
          <w:sz w:val="26"/>
          <w:szCs w:val="26"/>
        </w:rPr>
        <w:t xml:space="preserve">. </w:t>
      </w:r>
      <w:r w:rsidR="0071797B" w:rsidRPr="00444B17">
        <w:rPr>
          <w:rFonts w:cs="Times New Roman"/>
          <w:sz w:val="26"/>
          <w:szCs w:val="26"/>
        </w:rPr>
        <w:t>Pamatojoties uz apkopoto informāciju</w:t>
      </w:r>
      <w:r w:rsidR="00475F4C" w:rsidRPr="00444B17">
        <w:rPr>
          <w:rFonts w:cs="Times New Roman"/>
          <w:sz w:val="26"/>
          <w:szCs w:val="26"/>
        </w:rPr>
        <w:t>,</w:t>
      </w:r>
      <w:r w:rsidR="0071797B" w:rsidRPr="00444B17">
        <w:rPr>
          <w:rFonts w:cs="Times New Roman"/>
          <w:sz w:val="26"/>
          <w:szCs w:val="26"/>
        </w:rPr>
        <w:t xml:space="preserve"> </w:t>
      </w:r>
      <w:r w:rsidR="00475F4C" w:rsidRPr="00444B17">
        <w:rPr>
          <w:rFonts w:cs="Times New Roman"/>
          <w:sz w:val="26"/>
          <w:szCs w:val="26"/>
        </w:rPr>
        <w:t>Finanšu ministrija izvērtēs</w:t>
      </w:r>
      <w:r w:rsidR="0071797B" w:rsidRPr="00444B17">
        <w:rPr>
          <w:rFonts w:cs="Times New Roman"/>
          <w:sz w:val="26"/>
          <w:szCs w:val="26"/>
        </w:rPr>
        <w:t xml:space="preserve">, vai attiecīgās normas nepieciešams precizēt un pilnveidot, </w:t>
      </w:r>
      <w:r w:rsidR="00475F4C" w:rsidRPr="00444B17">
        <w:rPr>
          <w:rFonts w:cs="Times New Roman"/>
          <w:sz w:val="26"/>
          <w:szCs w:val="26"/>
        </w:rPr>
        <w:t xml:space="preserve">un </w:t>
      </w:r>
      <w:r w:rsidR="000056E6" w:rsidRPr="00444B17">
        <w:rPr>
          <w:rFonts w:cs="Times New Roman"/>
          <w:sz w:val="26"/>
          <w:szCs w:val="26"/>
        </w:rPr>
        <w:t xml:space="preserve">instrukcijā </w:t>
      </w:r>
      <w:r w:rsidR="0071797B" w:rsidRPr="00444B17">
        <w:rPr>
          <w:rFonts w:cs="Times New Roman"/>
          <w:sz w:val="26"/>
          <w:szCs w:val="26"/>
        </w:rPr>
        <w:t xml:space="preserve">noteiktos </w:t>
      </w:r>
      <w:r w:rsidR="000056E6" w:rsidRPr="00444B17">
        <w:rPr>
          <w:rFonts w:cs="Times New Roman"/>
          <w:sz w:val="26"/>
          <w:szCs w:val="26"/>
        </w:rPr>
        <w:t>kritērijus</w:t>
      </w:r>
      <w:r w:rsidR="00CC6C18" w:rsidRPr="00444B17">
        <w:rPr>
          <w:rFonts w:cs="Times New Roman"/>
          <w:sz w:val="26"/>
          <w:szCs w:val="26"/>
        </w:rPr>
        <w:t xml:space="preserve"> </w:t>
      </w:r>
      <w:r w:rsidR="00475F4C" w:rsidRPr="00444B17">
        <w:rPr>
          <w:rFonts w:cs="Times New Roman"/>
          <w:sz w:val="26"/>
          <w:szCs w:val="26"/>
        </w:rPr>
        <w:t xml:space="preserve">iestrādās </w:t>
      </w:r>
      <w:r w:rsidR="00CC6C18" w:rsidRPr="00444B17">
        <w:rPr>
          <w:rFonts w:cs="Times New Roman"/>
          <w:sz w:val="26"/>
          <w:szCs w:val="26"/>
        </w:rPr>
        <w:t>jaunajā Muitas likumā</w:t>
      </w:r>
      <w:r w:rsidR="000D6BD7" w:rsidRPr="00444B17">
        <w:rPr>
          <w:rFonts w:cs="Times New Roman"/>
          <w:sz w:val="26"/>
          <w:szCs w:val="26"/>
        </w:rPr>
        <w:t xml:space="preserve">. </w:t>
      </w:r>
    </w:p>
    <w:p w14:paraId="4F1BB355" w14:textId="77777777" w:rsidR="00847CA9" w:rsidRPr="00444B17" w:rsidRDefault="00847CA9" w:rsidP="001D628B">
      <w:pPr>
        <w:ind w:firstLine="720"/>
        <w:jc w:val="both"/>
        <w:rPr>
          <w:rFonts w:eastAsia="MS Mincho" w:cs="Times New Roman"/>
          <w:sz w:val="26"/>
          <w:szCs w:val="26"/>
        </w:rPr>
      </w:pPr>
    </w:p>
    <w:p w14:paraId="74BB933A" w14:textId="77777777" w:rsidR="00D925E5" w:rsidRPr="00444B17" w:rsidRDefault="00D925E5" w:rsidP="00E93A1B">
      <w:pPr>
        <w:pStyle w:val="ListParagraph"/>
        <w:numPr>
          <w:ilvl w:val="0"/>
          <w:numId w:val="15"/>
        </w:numPr>
        <w:spacing w:line="240" w:lineRule="auto"/>
        <w:ind w:left="284" w:hanging="284"/>
        <w:jc w:val="both"/>
        <w:rPr>
          <w:rStyle w:val="spelle"/>
          <w:rFonts w:cs="Times New Roman"/>
          <w:b/>
          <w:sz w:val="26"/>
          <w:szCs w:val="26"/>
        </w:rPr>
      </w:pPr>
      <w:r w:rsidRPr="00444B17">
        <w:rPr>
          <w:rStyle w:val="spelle"/>
          <w:rFonts w:cs="Times New Roman"/>
          <w:b/>
          <w:sz w:val="26"/>
          <w:szCs w:val="26"/>
        </w:rPr>
        <w:t>Muitas likuma un citu normatīvo aktu pilnveidošana muitas jomā</w:t>
      </w:r>
    </w:p>
    <w:p w14:paraId="5B0BFF9F" w14:textId="77777777" w:rsidR="009F4B22" w:rsidRPr="00444B17" w:rsidRDefault="009F4B22" w:rsidP="001D628B">
      <w:pPr>
        <w:jc w:val="both"/>
        <w:rPr>
          <w:rFonts w:eastAsia="MS Mincho" w:cs="Times New Roman"/>
          <w:b/>
          <w:i/>
          <w:sz w:val="26"/>
          <w:szCs w:val="26"/>
          <w:u w:val="single"/>
        </w:rPr>
      </w:pPr>
      <w:r w:rsidRPr="00444B17">
        <w:rPr>
          <w:rFonts w:eastAsia="MS Mincho" w:cs="Times New Roman"/>
          <w:b/>
          <w:i/>
          <w:sz w:val="26"/>
          <w:szCs w:val="26"/>
          <w:u w:val="single"/>
        </w:rPr>
        <w:t>Satiksmes ministrijas priekšlikums</w:t>
      </w:r>
    </w:p>
    <w:p w14:paraId="765A51CC" w14:textId="77777777" w:rsidR="00DC2E35" w:rsidRPr="00444B17" w:rsidRDefault="00DC2E35" w:rsidP="00F96B8B">
      <w:pPr>
        <w:ind w:firstLine="720"/>
        <w:jc w:val="both"/>
        <w:rPr>
          <w:rFonts w:eastAsia="MS Mincho" w:cs="Times New Roman"/>
          <w:b/>
          <w:sz w:val="26"/>
          <w:szCs w:val="26"/>
        </w:rPr>
      </w:pPr>
      <w:r w:rsidRPr="00444B17">
        <w:rPr>
          <w:rFonts w:eastAsia="MS Mincho" w:cs="Times New Roman"/>
          <w:b/>
          <w:sz w:val="26"/>
          <w:szCs w:val="26"/>
        </w:rPr>
        <w:t>Finanšu ministrijai būtiski paātrināt normatīvo aktu projektu saskaņošanu un virzību Ministru kabinetā.</w:t>
      </w:r>
    </w:p>
    <w:p w14:paraId="0200F38D" w14:textId="77777777" w:rsidR="00DC2E35" w:rsidRPr="00444B17" w:rsidRDefault="00DC2E35" w:rsidP="00F96B8B">
      <w:pPr>
        <w:ind w:firstLine="720"/>
        <w:jc w:val="both"/>
        <w:rPr>
          <w:rStyle w:val="spelle"/>
          <w:rFonts w:cs="Times New Roman"/>
          <w:b/>
          <w:sz w:val="26"/>
          <w:szCs w:val="26"/>
        </w:rPr>
      </w:pPr>
    </w:p>
    <w:p w14:paraId="798C262F" w14:textId="77777777" w:rsidR="00D925E5" w:rsidRPr="00444B17" w:rsidRDefault="00D925E5" w:rsidP="004236E6">
      <w:pPr>
        <w:pStyle w:val="ListParagraph"/>
        <w:spacing w:line="240" w:lineRule="auto"/>
        <w:ind w:left="0" w:firstLine="720"/>
        <w:jc w:val="both"/>
        <w:rPr>
          <w:rFonts w:cs="Times New Roman"/>
          <w:sz w:val="26"/>
          <w:szCs w:val="26"/>
        </w:rPr>
      </w:pPr>
      <w:r w:rsidRPr="00444B17">
        <w:rPr>
          <w:rFonts w:cs="Times New Roman"/>
          <w:sz w:val="26"/>
          <w:szCs w:val="26"/>
        </w:rPr>
        <w:t xml:space="preserve">Finanšu ministrija ir </w:t>
      </w:r>
      <w:r w:rsidR="00F96B8B" w:rsidRPr="00444B17">
        <w:rPr>
          <w:rFonts w:cs="Times New Roman"/>
          <w:sz w:val="26"/>
          <w:szCs w:val="26"/>
        </w:rPr>
        <w:t>at</w:t>
      </w:r>
      <w:r w:rsidR="002C1A9A" w:rsidRPr="00444B17">
        <w:rPr>
          <w:rFonts w:cs="Times New Roman"/>
          <w:sz w:val="26"/>
          <w:szCs w:val="26"/>
        </w:rPr>
        <w:t>sākusi</w:t>
      </w:r>
      <w:r w:rsidRPr="00444B17">
        <w:rPr>
          <w:rFonts w:cs="Times New Roman"/>
          <w:sz w:val="26"/>
          <w:szCs w:val="26"/>
        </w:rPr>
        <w:t xml:space="preserve"> darbu pie jaunā Muitas likuma izstrādes un šobrīd notiek </w:t>
      </w:r>
      <w:r w:rsidRPr="00444B17">
        <w:rPr>
          <w:rStyle w:val="c10"/>
          <w:rFonts w:cs="Times New Roman"/>
          <w:sz w:val="26"/>
          <w:szCs w:val="26"/>
        </w:rPr>
        <w:t>Savienības Muitas kodeksa</w:t>
      </w:r>
      <w:r w:rsidRPr="00444B17">
        <w:rPr>
          <w:rFonts w:cs="Times New Roman"/>
          <w:sz w:val="26"/>
          <w:szCs w:val="26"/>
        </w:rPr>
        <w:t xml:space="preserve"> un jaunā Muitas likuma pantu salīdzināšana un analīze pēc būtības.</w:t>
      </w:r>
    </w:p>
    <w:p w14:paraId="10A1E199" w14:textId="77777777" w:rsidR="00D925E5" w:rsidRPr="00444B17" w:rsidRDefault="00FD15AB" w:rsidP="004236E6">
      <w:pPr>
        <w:pStyle w:val="ListParagraph"/>
        <w:spacing w:line="240" w:lineRule="auto"/>
        <w:ind w:left="0" w:firstLine="720"/>
        <w:jc w:val="both"/>
        <w:rPr>
          <w:rFonts w:cs="Times New Roman"/>
          <w:sz w:val="26"/>
          <w:szCs w:val="26"/>
        </w:rPr>
      </w:pPr>
      <w:r w:rsidRPr="00444B17">
        <w:rPr>
          <w:rFonts w:cs="Times New Roman"/>
          <w:sz w:val="26"/>
          <w:szCs w:val="26"/>
        </w:rPr>
        <w:t>Norādām</w:t>
      </w:r>
      <w:r w:rsidR="00A03AAC" w:rsidRPr="00444B17">
        <w:rPr>
          <w:rFonts w:cs="Times New Roman"/>
          <w:sz w:val="26"/>
          <w:szCs w:val="26"/>
        </w:rPr>
        <w:t xml:space="preserve">, ka 2014.gada 11.septembrī un 19.septembrī Finanšu ministrijā </w:t>
      </w:r>
      <w:r w:rsidR="00CE1AF7" w:rsidRPr="00444B17">
        <w:rPr>
          <w:rFonts w:cs="Times New Roman"/>
          <w:sz w:val="26"/>
          <w:szCs w:val="26"/>
        </w:rPr>
        <w:t>tika organizētas</w:t>
      </w:r>
      <w:r w:rsidR="00A03AAC" w:rsidRPr="00444B17">
        <w:rPr>
          <w:rFonts w:cs="Times New Roman"/>
          <w:sz w:val="26"/>
          <w:szCs w:val="26"/>
        </w:rPr>
        <w:t xml:space="preserve"> sanāksmes, kurās, piedaloties Satiksmes ministrijas un tranzīta un loģistikas nozares uzņēmēju asociāciju pārstāvjiem, tika diskutēts par Valsts sekretāru </w:t>
      </w:r>
      <w:r w:rsidR="00A03AAC" w:rsidRPr="00444B17">
        <w:rPr>
          <w:rFonts w:cs="Times New Roman"/>
          <w:sz w:val="26"/>
          <w:szCs w:val="26"/>
        </w:rPr>
        <w:lastRenderedPageBreak/>
        <w:t xml:space="preserve">sanāksmē izsludinātajiem </w:t>
      </w:r>
      <w:r w:rsidR="00D925E5" w:rsidRPr="00444B17">
        <w:rPr>
          <w:rFonts w:cs="Times New Roman"/>
          <w:sz w:val="26"/>
          <w:szCs w:val="26"/>
        </w:rPr>
        <w:t>Ministru kabineta noteikumu projektiem muitas jomā</w:t>
      </w:r>
      <w:r w:rsidR="00A03AAC" w:rsidRPr="00444B17">
        <w:rPr>
          <w:rFonts w:cs="Times New Roman"/>
          <w:sz w:val="26"/>
          <w:szCs w:val="26"/>
        </w:rPr>
        <w:t xml:space="preserve"> par kuriem saskaņošanas laikā netika panākta vienošanās.</w:t>
      </w:r>
    </w:p>
    <w:p w14:paraId="2D587330" w14:textId="77777777" w:rsidR="00A03AAC" w:rsidRPr="00444B17" w:rsidRDefault="00A03AAC" w:rsidP="004236E6">
      <w:pPr>
        <w:pStyle w:val="ListParagraph"/>
        <w:spacing w:line="240" w:lineRule="auto"/>
        <w:ind w:left="0" w:firstLine="720"/>
        <w:jc w:val="both"/>
        <w:rPr>
          <w:rFonts w:cs="Times New Roman"/>
          <w:sz w:val="26"/>
          <w:szCs w:val="26"/>
        </w:rPr>
      </w:pPr>
      <w:r w:rsidRPr="00444B17">
        <w:rPr>
          <w:rFonts w:cs="Times New Roman"/>
          <w:sz w:val="26"/>
          <w:szCs w:val="26"/>
        </w:rPr>
        <w:t>Diskusiju rezultāt</w:t>
      </w:r>
      <w:r w:rsidR="002A6F5C" w:rsidRPr="00444B17">
        <w:rPr>
          <w:rFonts w:cs="Times New Roman"/>
          <w:sz w:val="26"/>
          <w:szCs w:val="26"/>
        </w:rPr>
        <w:t>ā</w:t>
      </w:r>
      <w:r w:rsidRPr="00444B17">
        <w:rPr>
          <w:rFonts w:cs="Times New Roman"/>
          <w:sz w:val="26"/>
          <w:szCs w:val="26"/>
        </w:rPr>
        <w:t xml:space="preserve"> tika panākta vienoš</w:t>
      </w:r>
      <w:r w:rsidR="002C1A9A" w:rsidRPr="00444B17">
        <w:rPr>
          <w:rFonts w:cs="Times New Roman"/>
          <w:sz w:val="26"/>
          <w:szCs w:val="26"/>
        </w:rPr>
        <w:t>a</w:t>
      </w:r>
      <w:r w:rsidRPr="00444B17">
        <w:rPr>
          <w:rFonts w:cs="Times New Roman"/>
          <w:sz w:val="26"/>
          <w:szCs w:val="26"/>
        </w:rPr>
        <w:t xml:space="preserve">nās par </w:t>
      </w:r>
      <w:r w:rsidR="002C1A9A" w:rsidRPr="00444B17">
        <w:rPr>
          <w:rFonts w:cs="Times New Roman"/>
          <w:sz w:val="26"/>
          <w:szCs w:val="26"/>
        </w:rPr>
        <w:t>sekojošiem M</w:t>
      </w:r>
      <w:r w:rsidRPr="00444B17">
        <w:rPr>
          <w:rFonts w:cs="Times New Roman"/>
          <w:sz w:val="26"/>
          <w:szCs w:val="26"/>
        </w:rPr>
        <w:t>inistru kabineta noteikumu projektiem</w:t>
      </w:r>
      <w:r w:rsidR="002C1A9A" w:rsidRPr="00444B17">
        <w:rPr>
          <w:rFonts w:cs="Times New Roman"/>
          <w:sz w:val="26"/>
          <w:szCs w:val="26"/>
        </w:rPr>
        <w:t>:</w:t>
      </w:r>
    </w:p>
    <w:p w14:paraId="3547D2A7" w14:textId="77777777" w:rsidR="00D925E5" w:rsidRPr="00444B17" w:rsidRDefault="00D925E5" w:rsidP="006409D5">
      <w:pPr>
        <w:pStyle w:val="ListParagraph"/>
        <w:numPr>
          <w:ilvl w:val="0"/>
          <w:numId w:val="20"/>
        </w:numPr>
        <w:spacing w:line="240" w:lineRule="auto"/>
        <w:ind w:left="0" w:firstLine="851"/>
        <w:jc w:val="both"/>
        <w:rPr>
          <w:rFonts w:cs="Times New Roman"/>
          <w:sz w:val="26"/>
          <w:szCs w:val="26"/>
        </w:rPr>
      </w:pPr>
      <w:r w:rsidRPr="00444B17">
        <w:rPr>
          <w:rFonts w:cs="Times New Roman"/>
          <w:sz w:val="26"/>
          <w:szCs w:val="26"/>
        </w:rPr>
        <w:t>Ministru kabineta noteikumu projekts “Pagaidu uzglabāšanas noteikumi”;</w:t>
      </w:r>
    </w:p>
    <w:p w14:paraId="1F691ED2" w14:textId="77777777" w:rsidR="00D925E5" w:rsidRPr="00444B17" w:rsidRDefault="00D925E5" w:rsidP="006409D5">
      <w:pPr>
        <w:pStyle w:val="ListParagraph"/>
        <w:numPr>
          <w:ilvl w:val="0"/>
          <w:numId w:val="20"/>
        </w:numPr>
        <w:spacing w:line="240" w:lineRule="auto"/>
        <w:ind w:left="0" w:firstLine="851"/>
        <w:jc w:val="both"/>
        <w:rPr>
          <w:rFonts w:cs="Times New Roman"/>
          <w:sz w:val="26"/>
          <w:szCs w:val="26"/>
        </w:rPr>
      </w:pPr>
      <w:r w:rsidRPr="00444B17">
        <w:rPr>
          <w:rFonts w:cs="Times New Roman"/>
          <w:sz w:val="26"/>
          <w:szCs w:val="26"/>
        </w:rPr>
        <w:t xml:space="preserve">Ministru kabineta noteikumu projekts “Grozījumi Ministru kabineta 2010.gada 16.novembra noteikumos Nr.1048 „Noteikumi par vienkāršoto deklarēšanu un vietējo muitošanu, atzītā nosūtītāja un atzītā saņēmēja statusu, vienoto atļauju un atzītā komersanta sertifikātu””; </w:t>
      </w:r>
    </w:p>
    <w:p w14:paraId="1ED02313" w14:textId="77777777" w:rsidR="00CE1AF7" w:rsidRPr="00444B17" w:rsidRDefault="00D925E5" w:rsidP="006409D5">
      <w:pPr>
        <w:pStyle w:val="ListParagraph"/>
        <w:numPr>
          <w:ilvl w:val="0"/>
          <w:numId w:val="20"/>
        </w:numPr>
        <w:spacing w:line="240" w:lineRule="auto"/>
        <w:ind w:left="0" w:firstLine="851"/>
        <w:jc w:val="both"/>
        <w:rPr>
          <w:rFonts w:cs="Times New Roman"/>
          <w:sz w:val="26"/>
          <w:szCs w:val="26"/>
        </w:rPr>
      </w:pPr>
      <w:r w:rsidRPr="00444B17">
        <w:rPr>
          <w:rFonts w:cs="Times New Roman"/>
          <w:sz w:val="26"/>
          <w:szCs w:val="26"/>
        </w:rPr>
        <w:t>Ministru kabineta noteikumu projekts “</w:t>
      </w:r>
      <w:r w:rsidRPr="00444B17">
        <w:rPr>
          <w:rFonts w:cs="Times New Roman"/>
          <w:bCs/>
          <w:sz w:val="26"/>
          <w:szCs w:val="26"/>
        </w:rPr>
        <w:t>Muitas procedūras – tranzīts – piemērošanas kārtība</w:t>
      </w:r>
      <w:r w:rsidR="002C1A9A" w:rsidRPr="00444B17">
        <w:rPr>
          <w:rFonts w:cs="Times New Roman"/>
          <w:sz w:val="26"/>
          <w:szCs w:val="26"/>
        </w:rPr>
        <w:t>”.</w:t>
      </w:r>
    </w:p>
    <w:p w14:paraId="31DE6000" w14:textId="77777777" w:rsidR="00AE4853" w:rsidRPr="00444B17" w:rsidRDefault="00131638" w:rsidP="004236E6">
      <w:pPr>
        <w:ind w:firstLine="720"/>
        <w:jc w:val="both"/>
        <w:rPr>
          <w:rFonts w:eastAsia="Calibri" w:cs="Times New Roman"/>
          <w:sz w:val="26"/>
          <w:szCs w:val="26"/>
          <w:shd w:val="clear" w:color="auto" w:fill="FFF2CC" w:themeFill="accent4" w:themeFillTint="33"/>
        </w:rPr>
      </w:pPr>
      <w:r w:rsidRPr="00444B17">
        <w:rPr>
          <w:rFonts w:eastAsia="Calibri" w:cs="Times New Roman"/>
          <w:bCs/>
          <w:sz w:val="26"/>
          <w:szCs w:val="26"/>
        </w:rPr>
        <w:t>Papildus informējam, ka Ministru kabineta n</w:t>
      </w:r>
      <w:r w:rsidR="00FD15AB" w:rsidRPr="00444B17">
        <w:rPr>
          <w:rFonts w:eastAsia="Calibri" w:cs="Times New Roman"/>
          <w:bCs/>
          <w:sz w:val="26"/>
          <w:szCs w:val="26"/>
        </w:rPr>
        <w:t>oteikumu projekta</w:t>
      </w:r>
      <w:r w:rsidR="00AD6275" w:rsidRPr="00444B17">
        <w:rPr>
          <w:rFonts w:eastAsia="Calibri" w:cs="Times New Roman"/>
          <w:bCs/>
          <w:sz w:val="26"/>
          <w:szCs w:val="26"/>
        </w:rPr>
        <w:t xml:space="preserve"> "Muitas noliktavu darbības noteikumi"</w:t>
      </w:r>
      <w:r w:rsidR="00AD6275" w:rsidRPr="00444B17">
        <w:rPr>
          <w:rFonts w:eastAsia="Calibri" w:cs="Times New Roman"/>
          <w:sz w:val="26"/>
          <w:szCs w:val="26"/>
        </w:rPr>
        <w:t xml:space="preserve"> </w:t>
      </w:r>
      <w:r w:rsidR="00CE1AF7" w:rsidRPr="00444B17">
        <w:rPr>
          <w:rFonts w:eastAsia="Calibri" w:cs="Times New Roman"/>
          <w:sz w:val="26"/>
          <w:szCs w:val="26"/>
        </w:rPr>
        <w:t>(</w:t>
      </w:r>
      <w:r w:rsidR="00AD6275" w:rsidRPr="00444B17">
        <w:rPr>
          <w:rFonts w:eastAsia="Calibri" w:cs="Times New Roman"/>
          <w:sz w:val="26"/>
          <w:szCs w:val="26"/>
        </w:rPr>
        <w:t>2014.gada 26.jūnijā izsludināts V</w:t>
      </w:r>
      <w:r w:rsidRPr="00444B17">
        <w:rPr>
          <w:rFonts w:eastAsia="Calibri" w:cs="Times New Roman"/>
          <w:sz w:val="26"/>
          <w:szCs w:val="26"/>
        </w:rPr>
        <w:t xml:space="preserve">alsts sekretāru sanāksmē </w:t>
      </w:r>
      <w:r w:rsidR="00AD6275" w:rsidRPr="00444B17">
        <w:rPr>
          <w:rFonts w:eastAsia="Calibri" w:cs="Times New Roman"/>
          <w:sz w:val="26"/>
          <w:szCs w:val="26"/>
        </w:rPr>
        <w:t>(Protokols Nr.24, 3§, VSS - 578)</w:t>
      </w:r>
      <w:r w:rsidR="00CE1AF7" w:rsidRPr="00444B17">
        <w:rPr>
          <w:rFonts w:eastAsia="Calibri" w:cs="Times New Roman"/>
          <w:sz w:val="26"/>
          <w:szCs w:val="26"/>
        </w:rPr>
        <w:t>)</w:t>
      </w:r>
      <w:r w:rsidR="00FD15AB" w:rsidRPr="00444B17">
        <w:rPr>
          <w:rFonts w:eastAsia="Calibri" w:cs="Times New Roman"/>
          <w:sz w:val="26"/>
          <w:szCs w:val="26"/>
        </w:rPr>
        <w:t xml:space="preserve"> </w:t>
      </w:r>
      <w:r w:rsidR="00FD15AB" w:rsidRPr="00444B17">
        <w:rPr>
          <w:rFonts w:cs="Times New Roman"/>
          <w:sz w:val="26"/>
          <w:szCs w:val="26"/>
          <w:lang w:eastAsia="lv-LV" w:bidi="lv-LV"/>
        </w:rPr>
        <w:t>s</w:t>
      </w:r>
      <w:r w:rsidR="00515318" w:rsidRPr="00444B17">
        <w:rPr>
          <w:rFonts w:cs="Times New Roman"/>
          <w:sz w:val="26"/>
          <w:szCs w:val="26"/>
          <w:lang w:eastAsia="lv-LV" w:bidi="lv-LV"/>
        </w:rPr>
        <w:t xml:space="preserve">askaņošanas procesā </w:t>
      </w:r>
      <w:r w:rsidR="00FD15AB" w:rsidRPr="00444B17">
        <w:rPr>
          <w:rFonts w:cs="Times New Roman"/>
          <w:sz w:val="26"/>
          <w:szCs w:val="26"/>
          <w:lang w:eastAsia="lv-LV" w:bidi="lv-LV"/>
        </w:rPr>
        <w:t>Finanš</w:t>
      </w:r>
      <w:r w:rsidR="00475F4C" w:rsidRPr="00444B17">
        <w:rPr>
          <w:rFonts w:cs="Times New Roman"/>
          <w:sz w:val="26"/>
          <w:szCs w:val="26"/>
          <w:lang w:eastAsia="lv-LV" w:bidi="lv-LV"/>
        </w:rPr>
        <w:t>u ministrija ir lūgusi Eiropas K</w:t>
      </w:r>
      <w:r w:rsidR="00FD15AB" w:rsidRPr="00444B17">
        <w:rPr>
          <w:rFonts w:cs="Times New Roman"/>
          <w:sz w:val="26"/>
          <w:szCs w:val="26"/>
          <w:lang w:eastAsia="lv-LV" w:bidi="lv-LV"/>
        </w:rPr>
        <w:t xml:space="preserve">omisijai sniegt </w:t>
      </w:r>
      <w:r w:rsidR="00F96B8B" w:rsidRPr="00444B17">
        <w:rPr>
          <w:rFonts w:cs="Times New Roman"/>
          <w:sz w:val="26"/>
          <w:szCs w:val="26"/>
          <w:lang w:eastAsia="lv-LV" w:bidi="lv-LV"/>
        </w:rPr>
        <w:t xml:space="preserve">viedokli par </w:t>
      </w:r>
      <w:r w:rsidR="00CC6C18" w:rsidRPr="00444B17">
        <w:rPr>
          <w:rFonts w:cs="Times New Roman"/>
          <w:sz w:val="26"/>
          <w:szCs w:val="26"/>
          <w:lang w:eastAsia="lv-LV" w:bidi="lv-LV"/>
        </w:rPr>
        <w:t>atsevišķu normu interpretācij</w:t>
      </w:r>
      <w:r w:rsidR="00F96B8B" w:rsidRPr="00444B17">
        <w:rPr>
          <w:rFonts w:cs="Times New Roman"/>
          <w:sz w:val="26"/>
          <w:szCs w:val="26"/>
          <w:lang w:eastAsia="lv-LV" w:bidi="lv-LV"/>
        </w:rPr>
        <w:t>u</w:t>
      </w:r>
      <w:r w:rsidR="00AE4853" w:rsidRPr="00444B17">
        <w:rPr>
          <w:rFonts w:cs="Times New Roman"/>
          <w:sz w:val="26"/>
          <w:szCs w:val="26"/>
          <w:lang w:eastAsia="lv-LV" w:bidi="lv-LV"/>
        </w:rPr>
        <w:t>.</w:t>
      </w:r>
    </w:p>
    <w:p w14:paraId="3B15C082" w14:textId="77777777" w:rsidR="00AE4853" w:rsidRPr="00444B17" w:rsidRDefault="00F96B8B" w:rsidP="004236E6">
      <w:pPr>
        <w:pStyle w:val="naisnod"/>
        <w:spacing w:before="0" w:after="0"/>
        <w:ind w:firstLine="720"/>
        <w:jc w:val="both"/>
        <w:rPr>
          <w:b w:val="0"/>
          <w:sz w:val="26"/>
          <w:szCs w:val="26"/>
          <w:shd w:val="clear" w:color="auto" w:fill="FFFFFF"/>
        </w:rPr>
      </w:pPr>
      <w:r w:rsidRPr="00444B17">
        <w:rPr>
          <w:b w:val="0"/>
          <w:sz w:val="26"/>
          <w:szCs w:val="26"/>
        </w:rPr>
        <w:t>Ņemot vērā minēto,</w:t>
      </w:r>
      <w:r w:rsidR="00AE4853" w:rsidRPr="00444B17">
        <w:rPr>
          <w:b w:val="0"/>
          <w:sz w:val="26"/>
          <w:szCs w:val="26"/>
        </w:rPr>
        <w:t xml:space="preserve"> Ministru kabineta noteikumu projekts tiks iesniegts izskatīšanai Ministru kabineta sēdē pēc Eiropas Komisijas skaidrojumu </w:t>
      </w:r>
      <w:r w:rsidR="00CC6C18" w:rsidRPr="00444B17">
        <w:rPr>
          <w:b w:val="0"/>
          <w:sz w:val="26"/>
          <w:szCs w:val="26"/>
        </w:rPr>
        <w:t xml:space="preserve">saņemšanas </w:t>
      </w:r>
      <w:r w:rsidRPr="00444B17">
        <w:rPr>
          <w:b w:val="0"/>
          <w:sz w:val="26"/>
          <w:szCs w:val="26"/>
        </w:rPr>
        <w:t>un precizētā projekta saskaņošanas ar iesaistītajām institūcijām</w:t>
      </w:r>
      <w:r w:rsidR="00AE4853" w:rsidRPr="00444B17">
        <w:rPr>
          <w:b w:val="0"/>
          <w:sz w:val="26"/>
          <w:szCs w:val="26"/>
        </w:rPr>
        <w:t>.</w:t>
      </w:r>
    </w:p>
    <w:p w14:paraId="4C871344" w14:textId="77777777" w:rsidR="00AE4853" w:rsidRPr="00444B17" w:rsidRDefault="00AE4853" w:rsidP="00AE4853">
      <w:pPr>
        <w:rPr>
          <w:rFonts w:cs="Times New Roman"/>
          <w:sz w:val="26"/>
          <w:szCs w:val="26"/>
        </w:rPr>
      </w:pPr>
    </w:p>
    <w:p w14:paraId="74FB01F3" w14:textId="77777777" w:rsidR="006C7E88" w:rsidRPr="00444B17" w:rsidRDefault="006C7E88" w:rsidP="00E93A1B">
      <w:pPr>
        <w:pStyle w:val="ListParagraph"/>
        <w:numPr>
          <w:ilvl w:val="0"/>
          <w:numId w:val="15"/>
        </w:numPr>
        <w:ind w:left="284" w:hanging="284"/>
        <w:jc w:val="both"/>
        <w:rPr>
          <w:rFonts w:cs="Times New Roman"/>
          <w:b/>
          <w:sz w:val="26"/>
          <w:szCs w:val="26"/>
          <w:u w:val="single"/>
        </w:rPr>
      </w:pPr>
      <w:r w:rsidRPr="00444B17">
        <w:rPr>
          <w:rFonts w:cs="Times New Roman"/>
          <w:b/>
          <w:sz w:val="26"/>
          <w:szCs w:val="26"/>
          <w:u w:val="single"/>
        </w:rPr>
        <w:t>Galvojumu apvienošana</w:t>
      </w:r>
    </w:p>
    <w:p w14:paraId="5C86B6D8" w14:textId="77777777" w:rsidR="006C7E88" w:rsidRPr="00444B17" w:rsidRDefault="009F4B22" w:rsidP="00C61912">
      <w:pPr>
        <w:jc w:val="both"/>
        <w:rPr>
          <w:rFonts w:cs="Times New Roman"/>
          <w:b/>
          <w:i/>
          <w:sz w:val="26"/>
          <w:szCs w:val="26"/>
          <w:u w:val="single"/>
        </w:rPr>
      </w:pPr>
      <w:r w:rsidRPr="00444B17">
        <w:rPr>
          <w:rFonts w:eastAsia="MS Mincho" w:cs="Times New Roman"/>
          <w:b/>
          <w:i/>
          <w:sz w:val="26"/>
          <w:szCs w:val="26"/>
          <w:u w:val="single"/>
        </w:rPr>
        <w:t>Satiksmes ministrijas p</w:t>
      </w:r>
      <w:r w:rsidR="006C7E88" w:rsidRPr="00444B17">
        <w:rPr>
          <w:rFonts w:cs="Times New Roman"/>
          <w:b/>
          <w:i/>
          <w:sz w:val="26"/>
          <w:szCs w:val="26"/>
          <w:u w:val="single"/>
        </w:rPr>
        <w:t>riekšlikumi:</w:t>
      </w:r>
    </w:p>
    <w:p w14:paraId="37216824" w14:textId="77777777" w:rsidR="006C7E88" w:rsidRPr="00444B17" w:rsidRDefault="006C7E88" w:rsidP="00EF180B">
      <w:pPr>
        <w:pStyle w:val="ListParagraph"/>
        <w:numPr>
          <w:ilvl w:val="0"/>
          <w:numId w:val="6"/>
        </w:numPr>
        <w:spacing w:line="240" w:lineRule="auto"/>
        <w:ind w:left="0" w:firstLine="720"/>
        <w:contextualSpacing w:val="0"/>
        <w:jc w:val="both"/>
        <w:rPr>
          <w:rFonts w:cs="Times New Roman"/>
          <w:b/>
          <w:sz w:val="26"/>
          <w:szCs w:val="26"/>
        </w:rPr>
      </w:pPr>
      <w:r w:rsidRPr="00444B17">
        <w:rPr>
          <w:rFonts w:cs="Times New Roman"/>
          <w:b/>
          <w:sz w:val="26"/>
          <w:szCs w:val="26"/>
        </w:rPr>
        <w:t>Normatīvajos aktos par muitas lietām un akcīzes nodokļa piemērošanas normatīvajos aktos paredzēt regulējumu, kas atļauj apvienot visus muitas un akcīzes jomā iesniedzamos galvojumus zem viena nodrošinājuma – vienas kredītiestādes garantijas vai apdrošināšanas polises</w:t>
      </w:r>
    </w:p>
    <w:p w14:paraId="17A50798" w14:textId="77777777" w:rsidR="006C7E88" w:rsidRPr="00444B17" w:rsidRDefault="006C7E88" w:rsidP="00EF180B">
      <w:pPr>
        <w:ind w:firstLine="720"/>
        <w:jc w:val="both"/>
        <w:rPr>
          <w:rFonts w:cs="Times New Roman"/>
          <w:sz w:val="26"/>
          <w:szCs w:val="26"/>
        </w:rPr>
      </w:pPr>
    </w:p>
    <w:p w14:paraId="312115E1" w14:textId="372B2F75" w:rsidR="006C7E88" w:rsidRPr="00444B17" w:rsidRDefault="002C72C1" w:rsidP="00EF180B">
      <w:pPr>
        <w:tabs>
          <w:tab w:val="left" w:pos="851"/>
        </w:tabs>
        <w:ind w:firstLine="720"/>
        <w:jc w:val="both"/>
        <w:rPr>
          <w:rFonts w:cs="Times New Roman"/>
          <w:sz w:val="26"/>
          <w:szCs w:val="26"/>
        </w:rPr>
      </w:pPr>
      <w:r w:rsidRPr="002C72C1">
        <w:rPr>
          <w:rFonts w:cs="Times New Roman"/>
          <w:sz w:val="26"/>
          <w:szCs w:val="26"/>
        </w:rPr>
        <w:t xml:space="preserve">Finanšu ministrijas ieskatā </w:t>
      </w:r>
      <w:r>
        <w:rPr>
          <w:rFonts w:cs="Times New Roman"/>
          <w:sz w:val="26"/>
          <w:szCs w:val="26"/>
        </w:rPr>
        <w:t>p</w:t>
      </w:r>
      <w:r w:rsidR="006C7E88" w:rsidRPr="00444B17">
        <w:rPr>
          <w:rFonts w:cs="Times New Roman"/>
          <w:sz w:val="26"/>
          <w:szCs w:val="26"/>
        </w:rPr>
        <w:t xml:space="preserve">ašlaik </w:t>
      </w:r>
      <w:r w:rsidR="006C7E88" w:rsidRPr="002C72C1">
        <w:rPr>
          <w:rFonts w:cs="Times New Roman"/>
          <w:sz w:val="26"/>
          <w:szCs w:val="26"/>
          <w:u w:val="single"/>
        </w:rPr>
        <w:t>nav atbalstāms</w:t>
      </w:r>
      <w:r w:rsidR="006C7E88" w:rsidRPr="00444B17">
        <w:rPr>
          <w:rFonts w:cs="Times New Roman"/>
          <w:sz w:val="26"/>
          <w:szCs w:val="26"/>
        </w:rPr>
        <w:t xml:space="preserve"> priekšlikums apvienot visus galvojuma veidus, t.i., izsniegt vienu galvojuma apliecību, kas aptvertu, piemēram, muitas parādu, PVN un akcīzes nodokli </w:t>
      </w:r>
      <w:r w:rsidR="00F95F6C">
        <w:rPr>
          <w:rFonts w:cs="Times New Roman"/>
          <w:sz w:val="26"/>
          <w:szCs w:val="26"/>
        </w:rPr>
        <w:t>tālāk minēto</w:t>
      </w:r>
      <w:r w:rsidR="006C7E88" w:rsidRPr="00444B17">
        <w:rPr>
          <w:rFonts w:cs="Times New Roman"/>
          <w:sz w:val="26"/>
          <w:szCs w:val="26"/>
        </w:rPr>
        <w:t xml:space="preserve"> apsvērumu dēļ.</w:t>
      </w:r>
    </w:p>
    <w:p w14:paraId="5D513366" w14:textId="77777777" w:rsidR="006C7E88" w:rsidRPr="00444B17" w:rsidRDefault="006C7E88" w:rsidP="00EF180B">
      <w:pPr>
        <w:tabs>
          <w:tab w:val="left" w:pos="851"/>
        </w:tabs>
        <w:ind w:firstLine="709"/>
        <w:jc w:val="both"/>
        <w:rPr>
          <w:rFonts w:cs="Times New Roman"/>
          <w:sz w:val="26"/>
          <w:szCs w:val="26"/>
        </w:rPr>
      </w:pPr>
    </w:p>
    <w:p w14:paraId="0F2DC805" w14:textId="3F92A59A" w:rsidR="006C7E88" w:rsidRPr="00444B17" w:rsidRDefault="006C7E88" w:rsidP="00847CA9">
      <w:pPr>
        <w:ind w:firstLine="709"/>
        <w:jc w:val="both"/>
        <w:rPr>
          <w:rFonts w:cs="Times New Roman"/>
          <w:sz w:val="26"/>
          <w:szCs w:val="26"/>
        </w:rPr>
      </w:pPr>
      <w:r w:rsidRPr="00444B17">
        <w:rPr>
          <w:rFonts w:cs="Times New Roman"/>
          <w:sz w:val="26"/>
          <w:szCs w:val="26"/>
        </w:rPr>
        <w:t xml:space="preserve">Akcīzes nodokļa nodrošinājumu un muitas parāda galvojumu izsniegšanu un piemērošanu regulē dažādi ES normatīvie akti - muitas galvojuma izsniegšanas un piemērošanas jomā </w:t>
      </w:r>
      <w:r w:rsidR="008C46C3" w:rsidRPr="00444B17">
        <w:rPr>
          <w:rFonts w:cs="Times New Roman"/>
          <w:sz w:val="26"/>
          <w:szCs w:val="26"/>
        </w:rPr>
        <w:t>– Padomes 1992.gada 12.oktobra R</w:t>
      </w:r>
      <w:r w:rsidRPr="00444B17">
        <w:rPr>
          <w:rFonts w:cs="Times New Roman"/>
          <w:sz w:val="26"/>
          <w:szCs w:val="26"/>
        </w:rPr>
        <w:t xml:space="preserve">egula (EEK) Nr.2913/92 par Kopienas Muitas kodeksa izveidi </w:t>
      </w:r>
      <w:r w:rsidR="004236E6" w:rsidRPr="00444B17">
        <w:rPr>
          <w:rFonts w:cs="Times New Roman"/>
          <w:sz w:val="26"/>
          <w:szCs w:val="26"/>
        </w:rPr>
        <w:t xml:space="preserve">(turpmāk – regula Nr.2913/92) </w:t>
      </w:r>
      <w:r w:rsidRPr="00444B17">
        <w:rPr>
          <w:rFonts w:cs="Times New Roman"/>
          <w:sz w:val="26"/>
          <w:szCs w:val="26"/>
        </w:rPr>
        <w:t xml:space="preserve">un </w:t>
      </w:r>
      <w:r w:rsidR="00C87612">
        <w:rPr>
          <w:sz w:val="26"/>
          <w:szCs w:val="26"/>
        </w:rPr>
        <w:t>r</w:t>
      </w:r>
      <w:r w:rsidR="00C87612" w:rsidRPr="00B04DD9">
        <w:rPr>
          <w:sz w:val="26"/>
          <w:szCs w:val="26"/>
        </w:rPr>
        <w:t>egula Nr.2454</w:t>
      </w:r>
      <w:r w:rsidRPr="00444B17">
        <w:rPr>
          <w:rFonts w:cs="Times New Roman"/>
          <w:sz w:val="26"/>
          <w:szCs w:val="26"/>
        </w:rPr>
        <w:t>, bet akcīzes nodokļa nodrošinājuma reģistrācijas un piemērošanas jomā – Padomes 2008.gada 16.decembra direktīva 2008/118/EK par akcīzes nodokļa piemērošanas vispārēju režīmu, ar ko atceļ Direktīvu 92/12/EEK.</w:t>
      </w:r>
    </w:p>
    <w:p w14:paraId="6A5F13DF" w14:textId="77777777" w:rsidR="006C7E88" w:rsidRPr="00444B17" w:rsidRDefault="006C7E88" w:rsidP="00847CA9">
      <w:pPr>
        <w:ind w:firstLine="709"/>
        <w:jc w:val="both"/>
        <w:rPr>
          <w:rFonts w:cs="Times New Roman"/>
          <w:sz w:val="26"/>
          <w:szCs w:val="26"/>
          <w:lang w:eastAsia="lv-LV"/>
        </w:rPr>
      </w:pPr>
      <w:r w:rsidRPr="00444B17">
        <w:rPr>
          <w:rFonts w:cs="Times New Roman"/>
          <w:sz w:val="26"/>
          <w:szCs w:val="26"/>
          <w:lang w:eastAsia="lv-LV"/>
        </w:rPr>
        <w:t>Jāņem vērā, ka muitas jomas normatīvie akti reglamentē darbības ar precēm, kurām nav Kopienas statusa un šajā sakarā piemērojamā galvojuma nosacījumus. Savukārt akcīzes jomā normatīvie akti reglamentē darbības ar akcīzes precēm, akcīzes nodokļa piemērošanu, minimālā akcīzes nodokļa lielumu, akcīzes nodokļa nodrošinājumu attiecībā uz Kopienas akcīzes precēm un to pārvadājumiem Latvijas un Kopienas ietvaros. Abās jomās (muitas un akcīzes) ir dažādi/atšķirīgi uzskaites, maksāšanas un galvojuma nosacījumi un arī attiecīgi nodokļa objekta-preču uzglabāšanas un pārvietošanas nosacījumi.</w:t>
      </w:r>
    </w:p>
    <w:p w14:paraId="5C8A4AB8" w14:textId="77777777" w:rsidR="006C7E88" w:rsidRPr="00444B17" w:rsidRDefault="006C7E88" w:rsidP="00847CA9">
      <w:pPr>
        <w:ind w:firstLine="709"/>
        <w:jc w:val="both"/>
        <w:rPr>
          <w:rFonts w:cs="Times New Roman"/>
          <w:sz w:val="26"/>
          <w:szCs w:val="26"/>
          <w:lang w:eastAsia="lv-LV"/>
        </w:rPr>
      </w:pPr>
      <w:r w:rsidRPr="00444B17">
        <w:rPr>
          <w:rFonts w:cs="Times New Roman"/>
          <w:sz w:val="26"/>
          <w:szCs w:val="26"/>
          <w:lang w:eastAsia="lv-LV"/>
        </w:rPr>
        <w:lastRenderedPageBreak/>
        <w:t xml:space="preserve">Tādējādi jau ES direktīvu un regulu līmenī, t.i., ES līmenī ir nostiprinātas atšķirīgas prasības un nosacījumi attiecībā uz muitas galvojumu un iekšzemes nodrošinājumu izsniegšanu, reģistrāciju un piemērošanu, datu sistēmām u.tml. </w:t>
      </w:r>
      <w:r w:rsidRPr="00444B17">
        <w:rPr>
          <w:rFonts w:cs="Times New Roman"/>
          <w:sz w:val="26"/>
          <w:szCs w:val="26"/>
          <w:u w:val="single"/>
          <w:lang w:eastAsia="lv-LV"/>
        </w:rPr>
        <w:t>Abi galvojuma veidi - muitas galvojums un akcīzes nodokļa nodrošinājums - savā starpā nepārklājas.</w:t>
      </w:r>
    </w:p>
    <w:p w14:paraId="40616696" w14:textId="77777777" w:rsidR="006C7E88" w:rsidRPr="00444B17" w:rsidRDefault="006C7E88" w:rsidP="00847CA9">
      <w:pPr>
        <w:ind w:firstLine="709"/>
        <w:jc w:val="both"/>
        <w:rPr>
          <w:rFonts w:cs="Times New Roman"/>
          <w:sz w:val="26"/>
          <w:szCs w:val="26"/>
          <w:lang w:eastAsia="lv-LV"/>
        </w:rPr>
      </w:pPr>
      <w:r w:rsidRPr="00444B17">
        <w:rPr>
          <w:rFonts w:cs="Times New Roman"/>
          <w:sz w:val="26"/>
          <w:szCs w:val="26"/>
          <w:lang w:eastAsia="lv-LV"/>
        </w:rPr>
        <w:t xml:space="preserve">Pamatojoties uz ES normatīvo aktu normām, ir izstrādāti Latvijas normatīvie akti, kas reglamentē nodokļu galvojuma piemērošanu muitas jomā (Muitas likums, Ministru kabineta 2011.gada 6.septembra noteikumi Nr.691 “Noteikumi par nodokļu parāda galvojumu preču muitošanai”) un akcīzes nodokļa nodrošinājuma piemērošanu akcīzes jomā (likums „Par akcīzes nodokli”, Ministru kabineta 2010.gada 30.marta noteikumi Nr.302 “Noteikumi par akcīzes nodokļa nodrošinājumiem”). </w:t>
      </w:r>
    </w:p>
    <w:p w14:paraId="47E16DB3" w14:textId="77777777" w:rsidR="00E93A1B" w:rsidRPr="00444B17" w:rsidRDefault="00E93A1B" w:rsidP="00EF180B">
      <w:pPr>
        <w:tabs>
          <w:tab w:val="left" w:pos="851"/>
        </w:tabs>
        <w:ind w:firstLine="709"/>
        <w:jc w:val="both"/>
        <w:rPr>
          <w:rFonts w:cs="Times New Roman"/>
          <w:sz w:val="26"/>
          <w:szCs w:val="26"/>
        </w:rPr>
      </w:pPr>
    </w:p>
    <w:p w14:paraId="2E3A5348" w14:textId="77777777" w:rsidR="006C7E88" w:rsidRPr="00444B17" w:rsidRDefault="006C7E88" w:rsidP="00EF180B">
      <w:pPr>
        <w:tabs>
          <w:tab w:val="left" w:pos="851"/>
        </w:tabs>
        <w:ind w:firstLine="709"/>
        <w:jc w:val="both"/>
        <w:rPr>
          <w:rFonts w:cs="Times New Roman"/>
          <w:sz w:val="26"/>
          <w:szCs w:val="26"/>
          <w:u w:val="single"/>
          <w:lang w:eastAsia="lv-LV"/>
        </w:rPr>
      </w:pPr>
      <w:r w:rsidRPr="00444B17">
        <w:rPr>
          <w:rFonts w:cs="Times New Roman"/>
          <w:sz w:val="26"/>
          <w:szCs w:val="26"/>
          <w:u w:val="single"/>
          <w:lang w:eastAsia="lv-LV"/>
        </w:rPr>
        <w:t>Akcīzes nodokļa nodrošinājums</w:t>
      </w:r>
    </w:p>
    <w:p w14:paraId="0E99B02D" w14:textId="77777777" w:rsidR="006C7E88" w:rsidRPr="00444B17" w:rsidRDefault="006C7E88" w:rsidP="00EF180B">
      <w:pPr>
        <w:tabs>
          <w:tab w:val="left" w:pos="851"/>
        </w:tabs>
        <w:ind w:firstLine="709"/>
        <w:jc w:val="both"/>
        <w:rPr>
          <w:rFonts w:cs="Times New Roman"/>
          <w:sz w:val="26"/>
          <w:szCs w:val="26"/>
          <w:lang w:eastAsia="lv-LV"/>
        </w:rPr>
      </w:pPr>
      <w:r w:rsidRPr="00444B17">
        <w:rPr>
          <w:rFonts w:cs="Times New Roman"/>
          <w:sz w:val="26"/>
          <w:szCs w:val="26"/>
          <w:lang w:eastAsia="lv-LV"/>
        </w:rPr>
        <w:t>Lai veiktu darbības ar akcīzes precēm Latvijā un izmantotu atlikto akcīzes nodokļa maksāšanu, akcīzes nodokļa maksātājs iesniedz nodrošinājumu:</w:t>
      </w:r>
    </w:p>
    <w:p w14:paraId="3908589C" w14:textId="33D92B58" w:rsidR="006C7E88" w:rsidRPr="00444B17" w:rsidRDefault="006C7E88" w:rsidP="00AC4F40">
      <w:pPr>
        <w:pStyle w:val="ListParagraph"/>
        <w:numPr>
          <w:ilvl w:val="0"/>
          <w:numId w:val="17"/>
        </w:numPr>
        <w:spacing w:line="240" w:lineRule="auto"/>
        <w:ind w:left="0" w:firstLine="426"/>
        <w:jc w:val="both"/>
        <w:rPr>
          <w:rFonts w:cs="Times New Roman"/>
          <w:sz w:val="26"/>
          <w:szCs w:val="26"/>
          <w:lang w:eastAsia="lv-LV"/>
        </w:rPr>
      </w:pPr>
      <w:r w:rsidRPr="00444B17">
        <w:rPr>
          <w:rFonts w:cs="Times New Roman"/>
          <w:sz w:val="26"/>
          <w:szCs w:val="26"/>
          <w:lang w:eastAsia="lv-LV"/>
        </w:rPr>
        <w:t>vienreizēju nodrošinājumu, kas paredzēts aprēķinātā akcīzes nodokļa parāda vienam noteiktam apmēram;</w:t>
      </w:r>
    </w:p>
    <w:p w14:paraId="103C1D3C" w14:textId="2D609361" w:rsidR="006C7E88" w:rsidRPr="00444B17" w:rsidRDefault="006C7E88" w:rsidP="00AC4F40">
      <w:pPr>
        <w:pStyle w:val="ListParagraph"/>
        <w:numPr>
          <w:ilvl w:val="0"/>
          <w:numId w:val="17"/>
        </w:numPr>
        <w:spacing w:line="240" w:lineRule="auto"/>
        <w:ind w:left="0" w:firstLine="426"/>
        <w:jc w:val="both"/>
        <w:rPr>
          <w:rFonts w:cs="Times New Roman"/>
          <w:sz w:val="26"/>
          <w:szCs w:val="26"/>
          <w:lang w:eastAsia="lv-LV"/>
        </w:rPr>
      </w:pPr>
      <w:r w:rsidRPr="00444B17">
        <w:rPr>
          <w:rFonts w:cs="Times New Roman"/>
          <w:sz w:val="26"/>
          <w:szCs w:val="26"/>
          <w:lang w:eastAsia="lv-LV"/>
        </w:rPr>
        <w:t>vispārēju nodrošinājumu, kas paredzēts noteiktam laikposmam un aprēķinātam akcīzes nodokļa parāda noteiktam apmēram.</w:t>
      </w:r>
    </w:p>
    <w:p w14:paraId="6D3A41FD" w14:textId="77777777" w:rsidR="00C61912" w:rsidRPr="00444B17" w:rsidRDefault="00C61912" w:rsidP="00EF180B">
      <w:pPr>
        <w:tabs>
          <w:tab w:val="left" w:pos="851"/>
        </w:tabs>
        <w:ind w:firstLine="709"/>
        <w:jc w:val="both"/>
        <w:rPr>
          <w:rFonts w:cs="Times New Roman"/>
          <w:sz w:val="26"/>
          <w:szCs w:val="26"/>
          <w:u w:val="single"/>
          <w:lang w:eastAsia="lv-LV"/>
        </w:rPr>
      </w:pPr>
    </w:p>
    <w:p w14:paraId="6F0273C7" w14:textId="77777777" w:rsidR="006C7E88" w:rsidRPr="00444B17" w:rsidRDefault="006C7E88" w:rsidP="00EF180B">
      <w:pPr>
        <w:tabs>
          <w:tab w:val="left" w:pos="851"/>
        </w:tabs>
        <w:ind w:firstLine="709"/>
        <w:jc w:val="both"/>
        <w:rPr>
          <w:rFonts w:cs="Times New Roman"/>
          <w:sz w:val="26"/>
          <w:szCs w:val="26"/>
          <w:u w:val="single"/>
          <w:lang w:eastAsia="lv-LV"/>
        </w:rPr>
      </w:pPr>
      <w:r w:rsidRPr="00444B17">
        <w:rPr>
          <w:rFonts w:cs="Times New Roman"/>
          <w:sz w:val="26"/>
          <w:szCs w:val="26"/>
          <w:u w:val="single"/>
          <w:lang w:eastAsia="lv-LV"/>
        </w:rPr>
        <w:t>Muitas parāda galvojums</w:t>
      </w:r>
    </w:p>
    <w:p w14:paraId="4C2096A6" w14:textId="77777777" w:rsidR="006C7E88" w:rsidRPr="00444B17" w:rsidRDefault="006C7E88" w:rsidP="00EF180B">
      <w:pPr>
        <w:tabs>
          <w:tab w:val="left" w:pos="851"/>
        </w:tabs>
        <w:ind w:firstLine="709"/>
        <w:jc w:val="both"/>
        <w:rPr>
          <w:rFonts w:cs="Times New Roman"/>
          <w:sz w:val="26"/>
          <w:szCs w:val="26"/>
        </w:rPr>
      </w:pPr>
      <w:r w:rsidRPr="00444B17">
        <w:rPr>
          <w:rFonts w:cs="Times New Roman"/>
          <w:sz w:val="26"/>
          <w:szCs w:val="26"/>
          <w:lang w:eastAsia="lv-LV"/>
        </w:rPr>
        <w:t>Muitā parāda galvojumu piemēro, galvojot muitas parāda samaksu, kad preces tiek laistas brīvam apgrozījumam, bet muitas maksājumu termiņš tiek atlikts atbilstoši ES normatīvajos aktos noteiktajiem termiņiem, un iespējamo muitas parādu, piemērojot precēm kopējā/Kopienas tranzīta muitas procedūru,</w:t>
      </w:r>
      <w:r w:rsidRPr="00444B17">
        <w:rPr>
          <w:rFonts w:cs="Times New Roman"/>
          <w:sz w:val="26"/>
          <w:szCs w:val="26"/>
        </w:rPr>
        <w:t xml:space="preserve"> kā arī muitas parādu, kas var rasties, piemērojot pārējās muitas procedūras, piemēram, preču uzglabāšana muitas noliktavās vai preču pagaidu uzglabāšanas vietās</w:t>
      </w:r>
      <w:r w:rsidRPr="00444B17">
        <w:rPr>
          <w:rFonts w:cs="Times New Roman"/>
          <w:sz w:val="26"/>
          <w:szCs w:val="26"/>
          <w:lang w:eastAsia="lv-LV"/>
        </w:rPr>
        <w:t>.</w:t>
      </w:r>
      <w:r w:rsidRPr="00444B17">
        <w:rPr>
          <w:rFonts w:cs="Times New Roman"/>
          <w:sz w:val="26"/>
          <w:szCs w:val="26"/>
        </w:rPr>
        <w:t xml:space="preserve"> </w:t>
      </w:r>
    </w:p>
    <w:p w14:paraId="194033CD" w14:textId="77777777" w:rsidR="006C7E88" w:rsidRPr="00444B17" w:rsidRDefault="006C7E88" w:rsidP="00EF180B">
      <w:pPr>
        <w:tabs>
          <w:tab w:val="left" w:pos="851"/>
        </w:tabs>
        <w:ind w:firstLine="709"/>
        <w:jc w:val="both"/>
        <w:rPr>
          <w:rFonts w:cs="Times New Roman"/>
          <w:i/>
          <w:sz w:val="26"/>
          <w:szCs w:val="26"/>
          <w:lang w:eastAsia="lv-LV"/>
        </w:rPr>
      </w:pPr>
      <w:r w:rsidRPr="00444B17">
        <w:rPr>
          <w:rFonts w:cs="Times New Roman"/>
          <w:i/>
          <w:sz w:val="26"/>
          <w:szCs w:val="26"/>
          <w:lang w:eastAsia="lv-LV"/>
        </w:rPr>
        <w:t xml:space="preserve">Preču laišana brīvā apgrozījumā </w:t>
      </w:r>
    </w:p>
    <w:p w14:paraId="4F0FFC9D" w14:textId="77777777" w:rsidR="006C7E88" w:rsidRPr="00444B17" w:rsidRDefault="006C7E88" w:rsidP="00EF180B">
      <w:pPr>
        <w:tabs>
          <w:tab w:val="left" w:pos="851"/>
        </w:tabs>
        <w:ind w:firstLine="709"/>
        <w:jc w:val="both"/>
        <w:rPr>
          <w:rFonts w:cs="Times New Roman"/>
          <w:sz w:val="26"/>
          <w:szCs w:val="26"/>
          <w:lang w:eastAsia="lv-LV"/>
        </w:rPr>
      </w:pPr>
      <w:r w:rsidRPr="00444B17">
        <w:rPr>
          <w:rFonts w:cs="Times New Roman"/>
          <w:sz w:val="26"/>
          <w:szCs w:val="26"/>
          <w:lang w:eastAsia="lv-LV"/>
        </w:rPr>
        <w:t xml:space="preserve">Piemērojot galvojumu muitas parādam, laižot preces brīvam apgrozījumam, tiek </w:t>
      </w:r>
      <w:r w:rsidRPr="00444B17">
        <w:rPr>
          <w:rFonts w:cs="Times New Roman"/>
          <w:sz w:val="26"/>
          <w:szCs w:val="26"/>
          <w:u w:val="single"/>
          <w:lang w:eastAsia="lv-LV"/>
        </w:rPr>
        <w:t>iesniegts viens</w:t>
      </w:r>
      <w:r w:rsidRPr="00444B17">
        <w:rPr>
          <w:rFonts w:cs="Times New Roman"/>
          <w:sz w:val="26"/>
          <w:szCs w:val="26"/>
          <w:lang w:eastAsia="lv-LV"/>
        </w:rPr>
        <w:t xml:space="preserve"> galvojums, kas nosedz gan muitas, gan PVN parādu. Muitas parāda apjoms tiek reģistrēts par katru importa deklarāciju atsevišķi. Vispārējā galvojuma atsauces summa tiek reģistrēta EMDAS (elektroniskā muitas deklarāciju apstrādes sistēma), kas ļauj atbrīvot galvojuma summu par konkrētā muitas deklarācijā aprēķināto muitas parādu uzreiz pēc parāda samaksas (EMDAS to izdara automātiski). Tāpat jāatzīmē, ka kopš 2014.gada 1.janvāra visiem komersantiem, kas muitā iesnieguši vispārējo galvojumu, vairs nav jāapmaksā katrā importa deklarācijā aprēķinātais muitas parāds, bet muitas iestādes izraksta apkopojošo rēķinu par iepriekšējā mēnesī vai kalendāra nedēļā noformētajās deklarācijās aprēķināto muitas parādu.</w:t>
      </w:r>
    </w:p>
    <w:p w14:paraId="335AF544" w14:textId="77777777" w:rsidR="006C7E88" w:rsidRPr="00444B17" w:rsidRDefault="006C7E88" w:rsidP="00EF180B">
      <w:pPr>
        <w:tabs>
          <w:tab w:val="left" w:pos="851"/>
        </w:tabs>
        <w:ind w:firstLine="709"/>
        <w:jc w:val="both"/>
        <w:rPr>
          <w:rFonts w:cs="Times New Roman"/>
          <w:i/>
          <w:sz w:val="26"/>
          <w:szCs w:val="26"/>
          <w:lang w:eastAsia="lv-LV"/>
        </w:rPr>
      </w:pPr>
      <w:r w:rsidRPr="00444B17">
        <w:rPr>
          <w:rFonts w:cs="Times New Roman"/>
          <w:i/>
          <w:sz w:val="26"/>
          <w:szCs w:val="26"/>
          <w:lang w:eastAsia="lv-LV"/>
        </w:rPr>
        <w:t>Preces, kam piemēro kopējā/Kopienas tranzīta muitas procedūru   </w:t>
      </w:r>
    </w:p>
    <w:p w14:paraId="43801090" w14:textId="77777777" w:rsidR="006C7E88" w:rsidRPr="00B04DD9" w:rsidRDefault="006C7E88" w:rsidP="00EF180B">
      <w:pPr>
        <w:tabs>
          <w:tab w:val="left" w:pos="851"/>
        </w:tabs>
        <w:ind w:firstLine="709"/>
        <w:jc w:val="both"/>
        <w:rPr>
          <w:rFonts w:cs="Times New Roman"/>
          <w:sz w:val="26"/>
          <w:szCs w:val="26"/>
          <w:lang w:eastAsia="lv-LV"/>
        </w:rPr>
      </w:pPr>
      <w:r w:rsidRPr="00444B17">
        <w:rPr>
          <w:rFonts w:cs="Times New Roman"/>
          <w:sz w:val="26"/>
          <w:szCs w:val="26"/>
          <w:lang w:eastAsia="lv-LV"/>
        </w:rPr>
        <w:t xml:space="preserve">Piemērojot galvojumu iespējamam muitas parādam par precēm, kurām tiek piemērota kopējā/Kopienas tranzīta muitas procedūra, </w:t>
      </w:r>
      <w:r w:rsidRPr="00444B17">
        <w:rPr>
          <w:rFonts w:cs="Times New Roman"/>
          <w:sz w:val="26"/>
          <w:szCs w:val="26"/>
          <w:u w:val="single"/>
          <w:lang w:eastAsia="lv-LV"/>
        </w:rPr>
        <w:t>tiek iesniegts viens galvojums</w:t>
      </w:r>
      <w:r w:rsidRPr="00444B17">
        <w:rPr>
          <w:rFonts w:cs="Times New Roman"/>
          <w:sz w:val="26"/>
          <w:szCs w:val="26"/>
          <w:lang w:eastAsia="lv-LV"/>
        </w:rPr>
        <w:t xml:space="preserve"> gan muitas, gan PVN, gan akcīzes nodokļa iespējamā parāda nodrošināšanai. Vispārējā galvojuma atsauces summa arī tiek reģistrēta EMDAS, kas ļauj atbrīvot galvojuma summu par konkrētā tranzīta deklarācijā aprēķināto iespējamo muitas parādu uzreiz pēc </w:t>
      </w:r>
      <w:r w:rsidRPr="00B04DD9">
        <w:rPr>
          <w:rFonts w:cs="Times New Roman"/>
          <w:sz w:val="26"/>
          <w:szCs w:val="26"/>
          <w:lang w:eastAsia="lv-LV"/>
        </w:rPr>
        <w:t>tranzīta procedūras pabeigšanas (EMDAS to izdara automātiski).</w:t>
      </w:r>
    </w:p>
    <w:p w14:paraId="23083C81" w14:textId="77777777" w:rsidR="006C7E88" w:rsidRPr="00B04DD9" w:rsidRDefault="006C7E88" w:rsidP="00EF180B">
      <w:pPr>
        <w:tabs>
          <w:tab w:val="left" w:pos="851"/>
        </w:tabs>
        <w:ind w:firstLine="709"/>
        <w:jc w:val="both"/>
        <w:rPr>
          <w:rFonts w:cs="Times New Roman"/>
          <w:sz w:val="26"/>
          <w:szCs w:val="26"/>
          <w:lang w:eastAsia="lv-LV"/>
        </w:rPr>
      </w:pPr>
      <w:r w:rsidRPr="00B04DD9">
        <w:rPr>
          <w:rFonts w:cs="Times New Roman"/>
          <w:sz w:val="26"/>
          <w:szCs w:val="26"/>
          <w:lang w:eastAsia="lv-LV"/>
        </w:rPr>
        <w:lastRenderedPageBreak/>
        <w:t>Šāda muitas parāda un iespējamā muitas parāda administrēšana ir vienkārša, ātra un būtiski samazina nepieciešamo galvojuma apjomu, kas ir jāiesniedz komersantiem, piemērojot muitas procedūras, līdz ar to būtiski samazinot gan administratīvo slogu, gan arī izmaksas šādu galvojumu iegādei.</w:t>
      </w:r>
    </w:p>
    <w:p w14:paraId="01369C15" w14:textId="77777777" w:rsidR="00B04DD9" w:rsidRPr="00B04DD9" w:rsidRDefault="00B04DD9" w:rsidP="00B04DD9">
      <w:pPr>
        <w:ind w:firstLine="709"/>
        <w:jc w:val="both"/>
        <w:rPr>
          <w:sz w:val="26"/>
          <w:szCs w:val="26"/>
        </w:rPr>
      </w:pPr>
      <w:r w:rsidRPr="00B04DD9">
        <w:rPr>
          <w:sz w:val="26"/>
          <w:szCs w:val="26"/>
        </w:rPr>
        <w:t xml:space="preserve">Saskaņā ar Eiropas Parlamenta un Padomes 2013.gada 9.oktobra Regulas (ES) Nr.952/2013, ar ko izveido Savienības Muitas kodeksu (turpmāk – SMK) 280.pantu, lai atbalstītu elektronisko sistēmu izveidi un reglamentētu pārejas laika noteikšanu, Komisijai līdz 2014.gada 1.maijam bija jāsagatavo darba programma, kas attiecas uz elektronisko sistēmu izstrādi un ieviešanu. 2014.gada 29.aprīlī pieņemtajā Komisijas Īstenošanas lēmuma, ar ko nosaka darba programmu attiecībā uz SMK, pielikuma II daļas 14.punktā noteikts, ka SMK projekta „Galvojumu pārvaldība” (GUM), kas jāievieš līdz 2020.gada 2.martam, mērķis ir nodrošināt tādu derīgu vispārējo galvojumu efektīvu un racionālu pārvaldību, kurus var izmantot vairāk nekā vienā dalībvalstī, un galvotās summas uzraudzību katrai muitas deklarācijai, </w:t>
      </w:r>
      <w:proofErr w:type="spellStart"/>
      <w:r w:rsidRPr="00B04DD9">
        <w:rPr>
          <w:sz w:val="26"/>
          <w:szCs w:val="26"/>
        </w:rPr>
        <w:t>papilddeklarācijai</w:t>
      </w:r>
      <w:proofErr w:type="spellEnd"/>
      <w:r w:rsidRPr="00B04DD9">
        <w:rPr>
          <w:sz w:val="26"/>
          <w:szCs w:val="26"/>
        </w:rPr>
        <w:t xml:space="preserve"> un nepieciešamo datu iegūšanai par iegrāmatojamo faktisko muitas parādu, kas paredzēts SMK, attiecībā uz muitas procedūrām, izņemot tranzītu, kuru apstrādā NCTS projekta ietvaros. Līdz ar to var uzskatīt, ka SMK neparedz muitas parāda galvojuma, kas ietver preču pagaidu uzglabāšanas un muitas procedūras (izņemot tranzīta), un tranzīta procedūras galvojuma apvienošanu.</w:t>
      </w:r>
    </w:p>
    <w:p w14:paraId="153C0AE7" w14:textId="77777777" w:rsidR="006C7E88" w:rsidRPr="00444B17" w:rsidRDefault="006C7E88" w:rsidP="00EF180B">
      <w:pPr>
        <w:pStyle w:val="ListParagraph"/>
        <w:tabs>
          <w:tab w:val="left" w:pos="851"/>
        </w:tabs>
        <w:spacing w:line="240" w:lineRule="auto"/>
        <w:ind w:left="0" w:firstLine="774"/>
        <w:jc w:val="both"/>
        <w:rPr>
          <w:rFonts w:cs="Times New Roman"/>
          <w:sz w:val="26"/>
          <w:szCs w:val="26"/>
          <w:lang w:eastAsia="lv-LV"/>
        </w:rPr>
      </w:pPr>
      <w:r w:rsidRPr="00444B17">
        <w:rPr>
          <w:rFonts w:cs="Times New Roman"/>
          <w:sz w:val="26"/>
          <w:szCs w:val="26"/>
          <w:u w:val="single"/>
          <w:lang w:eastAsia="lv-LV"/>
        </w:rPr>
        <w:t>Tādējādi pašlaik visi galvojuma veidi tiek atsevišķi uzskaitīti un datu sistēmas nav savstarpēji sasaistītas</w:t>
      </w:r>
      <w:r w:rsidRPr="00444B17">
        <w:rPr>
          <w:rFonts w:cs="Times New Roman"/>
          <w:sz w:val="26"/>
          <w:szCs w:val="26"/>
          <w:lang w:eastAsia="lv-LV"/>
        </w:rPr>
        <w:t xml:space="preserve">. Lai varētu īstenot priekšlikumu </w:t>
      </w:r>
      <w:r w:rsidRPr="00444B17">
        <w:rPr>
          <w:rFonts w:cs="Times New Roman"/>
          <w:sz w:val="26"/>
          <w:szCs w:val="26"/>
          <w:u w:val="single"/>
          <w:lang w:eastAsia="lv-LV"/>
        </w:rPr>
        <w:t>apvienot galvojumus, ir nepieciešams nacionālā līmenī izveidot tādu savstarpēji sasaistītu datu sistēmu, kas aptver visu galvojumu veidu datu sistēmas.</w:t>
      </w:r>
      <w:r w:rsidRPr="00444B17">
        <w:rPr>
          <w:rFonts w:cs="Times New Roman"/>
          <w:sz w:val="26"/>
          <w:szCs w:val="26"/>
          <w:lang w:eastAsia="lv-LV"/>
        </w:rPr>
        <w:t xml:space="preserve"> </w:t>
      </w:r>
      <w:r w:rsidRPr="00444B17">
        <w:rPr>
          <w:rFonts w:cs="Times New Roman"/>
          <w:sz w:val="26"/>
          <w:szCs w:val="26"/>
        </w:rPr>
        <w:t>Līdz ar to, lai veiktu visu galvojumu apvienošanu, nepieciešams izstrādāt vienotu koncepciju, kas ietver pamatotus argumentus šādai rīcībai, pārskatot un vienādojot visus galvojumu administrēšanas procesus, kā arī nepieciešams izstrādāt normatīvos aktus.</w:t>
      </w:r>
      <w:r w:rsidRPr="00444B17">
        <w:rPr>
          <w:rFonts w:cs="Times New Roman"/>
          <w:sz w:val="26"/>
          <w:szCs w:val="26"/>
          <w:lang w:eastAsia="lv-LV"/>
        </w:rPr>
        <w:t xml:space="preserve"> Taču tam ir nepieciešams laiks un papildu līdzekļi no valsts budžeta. Galvojumu apvienošanu sarežģīs arī tas, ka jau </w:t>
      </w:r>
      <w:r w:rsidRPr="00444B17">
        <w:rPr>
          <w:rFonts w:cs="Times New Roman"/>
          <w:sz w:val="26"/>
          <w:szCs w:val="26"/>
          <w:u w:val="single"/>
          <w:lang w:eastAsia="lv-LV"/>
        </w:rPr>
        <w:t>ES līmenī ir nostiprinātas atšķirīgas prasības un nosacījumi attiecībā uz muitas galvojumu un nodokļu iekšzemes nodrošinājumu izsniegšanu, reģistrāciju un piemērošanu, datu sistēmām un tas, ka muitas maksājumi tiek uzskaitīti pēc saistīto maksājumu principa, bet iekšzemes nodokļi pēc naudas plūsmas principa</w:t>
      </w:r>
      <w:r w:rsidRPr="00444B17">
        <w:rPr>
          <w:rFonts w:cs="Times New Roman"/>
          <w:sz w:val="26"/>
          <w:szCs w:val="26"/>
          <w:lang w:eastAsia="lv-LV"/>
        </w:rPr>
        <w:t>. Līdz ar to tas padarīs neiespējamu šāda vienota galvojuma dinamisku kontroli informatīvajās sistēmās, noteikti palielinās gan administratīvo slogu, gan nepieciešamā galvojuma apjomu, kas radīs papildus izdevumus komersantiem.</w:t>
      </w:r>
    </w:p>
    <w:p w14:paraId="3B7B05E7" w14:textId="77777777" w:rsidR="006C7E88" w:rsidRPr="00444B17" w:rsidRDefault="006C7E88" w:rsidP="00EF180B">
      <w:pPr>
        <w:tabs>
          <w:tab w:val="left" w:pos="851"/>
        </w:tabs>
        <w:ind w:firstLine="709"/>
        <w:jc w:val="both"/>
        <w:rPr>
          <w:rFonts w:cs="Times New Roman"/>
          <w:sz w:val="26"/>
          <w:szCs w:val="26"/>
          <w:lang w:eastAsia="lv-LV"/>
        </w:rPr>
      </w:pPr>
      <w:r w:rsidRPr="00444B17">
        <w:rPr>
          <w:rFonts w:cs="Times New Roman"/>
          <w:sz w:val="26"/>
          <w:szCs w:val="26"/>
          <w:u w:val="single"/>
          <w:lang w:eastAsia="lv-LV"/>
        </w:rPr>
        <w:t>Ja apvieno</w:t>
      </w:r>
      <w:r w:rsidRPr="00444B17">
        <w:rPr>
          <w:rFonts w:cs="Times New Roman"/>
          <w:sz w:val="26"/>
          <w:szCs w:val="26"/>
          <w:lang w:eastAsia="lv-LV"/>
        </w:rPr>
        <w:t>:</w:t>
      </w:r>
    </w:p>
    <w:p w14:paraId="799E3B6B" w14:textId="77777777" w:rsidR="006C7E88" w:rsidRPr="00444B17" w:rsidRDefault="006C7E88" w:rsidP="00AC4F40">
      <w:pPr>
        <w:pStyle w:val="ListParagraph"/>
        <w:numPr>
          <w:ilvl w:val="0"/>
          <w:numId w:val="16"/>
        </w:numPr>
        <w:spacing w:line="240" w:lineRule="auto"/>
        <w:ind w:left="0" w:firstLine="426"/>
        <w:jc w:val="both"/>
        <w:rPr>
          <w:rFonts w:cs="Times New Roman"/>
          <w:sz w:val="26"/>
          <w:szCs w:val="26"/>
          <w:lang w:eastAsia="lv-LV"/>
        </w:rPr>
      </w:pPr>
      <w:r w:rsidRPr="00444B17">
        <w:rPr>
          <w:rFonts w:cs="Times New Roman"/>
          <w:sz w:val="26"/>
          <w:szCs w:val="26"/>
          <w:lang w:eastAsia="lv-LV"/>
        </w:rPr>
        <w:t xml:space="preserve">muitas parāda, </w:t>
      </w:r>
    </w:p>
    <w:p w14:paraId="465A632B" w14:textId="77777777" w:rsidR="006C7E88" w:rsidRPr="00444B17" w:rsidRDefault="006C7E88" w:rsidP="00AC4F40">
      <w:pPr>
        <w:pStyle w:val="ListParagraph"/>
        <w:numPr>
          <w:ilvl w:val="0"/>
          <w:numId w:val="16"/>
        </w:numPr>
        <w:spacing w:line="240" w:lineRule="auto"/>
        <w:ind w:left="0" w:firstLine="426"/>
        <w:jc w:val="both"/>
        <w:rPr>
          <w:rFonts w:cs="Times New Roman"/>
          <w:sz w:val="26"/>
          <w:szCs w:val="26"/>
          <w:lang w:eastAsia="lv-LV"/>
        </w:rPr>
      </w:pPr>
      <w:r w:rsidRPr="00444B17">
        <w:rPr>
          <w:rFonts w:cs="Times New Roman"/>
          <w:sz w:val="26"/>
          <w:szCs w:val="26"/>
          <w:lang w:eastAsia="lv-LV"/>
        </w:rPr>
        <w:t xml:space="preserve">iespējamā muitas parāda, </w:t>
      </w:r>
    </w:p>
    <w:p w14:paraId="149B46A9" w14:textId="77777777" w:rsidR="006C7E88" w:rsidRPr="00444B17" w:rsidRDefault="006C7E88" w:rsidP="00AC4F40">
      <w:pPr>
        <w:pStyle w:val="ListParagraph"/>
        <w:numPr>
          <w:ilvl w:val="0"/>
          <w:numId w:val="16"/>
        </w:numPr>
        <w:spacing w:line="240" w:lineRule="auto"/>
        <w:ind w:left="0" w:firstLine="426"/>
        <w:jc w:val="both"/>
        <w:rPr>
          <w:rFonts w:cs="Times New Roman"/>
          <w:sz w:val="26"/>
          <w:szCs w:val="26"/>
          <w:lang w:eastAsia="lv-LV"/>
        </w:rPr>
      </w:pPr>
      <w:r w:rsidRPr="00444B17">
        <w:rPr>
          <w:rFonts w:cs="Times New Roman"/>
          <w:sz w:val="26"/>
          <w:szCs w:val="26"/>
          <w:lang w:eastAsia="lv-LV"/>
        </w:rPr>
        <w:t>iekšzemes akcīzes nodokļa iespējamā parāda (akcīzes nodokļa nodrošinājums),</w:t>
      </w:r>
    </w:p>
    <w:p w14:paraId="23F2734C" w14:textId="77777777" w:rsidR="006C7E88" w:rsidRPr="00444B17" w:rsidRDefault="006C7E88" w:rsidP="00AC4F40">
      <w:pPr>
        <w:pStyle w:val="ListParagraph"/>
        <w:numPr>
          <w:ilvl w:val="0"/>
          <w:numId w:val="16"/>
        </w:numPr>
        <w:spacing w:line="240" w:lineRule="auto"/>
        <w:ind w:left="0" w:firstLine="426"/>
        <w:jc w:val="both"/>
        <w:rPr>
          <w:rFonts w:cs="Times New Roman"/>
          <w:b/>
          <w:sz w:val="26"/>
          <w:szCs w:val="26"/>
          <w:lang w:eastAsia="lv-LV"/>
        </w:rPr>
      </w:pPr>
      <w:r w:rsidRPr="00444B17">
        <w:rPr>
          <w:rFonts w:cs="Times New Roman"/>
          <w:sz w:val="26"/>
          <w:szCs w:val="26"/>
          <w:lang w:eastAsia="lv-LV"/>
        </w:rPr>
        <w:t xml:space="preserve">iekšzemes PVN </w:t>
      </w:r>
      <w:r w:rsidRPr="00444B17">
        <w:rPr>
          <w:rFonts w:cs="Times New Roman"/>
          <w:sz w:val="26"/>
          <w:szCs w:val="26"/>
          <w:u w:val="single"/>
          <w:lang w:eastAsia="lv-LV"/>
        </w:rPr>
        <w:t>galvojumus vienā galvojumā</w:t>
      </w:r>
      <w:r w:rsidRPr="00444B17">
        <w:rPr>
          <w:rFonts w:cs="Times New Roman"/>
          <w:sz w:val="26"/>
          <w:szCs w:val="26"/>
          <w:lang w:eastAsia="lv-LV"/>
        </w:rPr>
        <w:t xml:space="preserve">, ir jāņem vērā arī tas, ka </w:t>
      </w:r>
      <w:r w:rsidRPr="00444B17">
        <w:rPr>
          <w:rFonts w:cs="Times New Roman"/>
          <w:sz w:val="26"/>
          <w:szCs w:val="26"/>
          <w:u w:val="single"/>
          <w:lang w:eastAsia="lv-LV"/>
        </w:rPr>
        <w:t>būtiski palielināsies galvojuma summa, kā rezultātā ir iespējams ļoti liels apdrošināšanas prēmiju maksājumu apmēra pieaugums pašam nodokļa maksātājam</w:t>
      </w:r>
      <w:r w:rsidRPr="00444B17">
        <w:rPr>
          <w:rFonts w:cs="Times New Roman"/>
          <w:sz w:val="26"/>
          <w:szCs w:val="26"/>
          <w:lang w:eastAsia="lv-LV"/>
        </w:rPr>
        <w:t xml:space="preserve">. Turklāt, apdrošināšanas sabiedrības, izsniedzot dažādus galvojumus, dažādi vērtē iespējamos riskus, kas būtiski palielinās administratīvo slogu nodokļu maksātājiem. </w:t>
      </w:r>
    </w:p>
    <w:p w14:paraId="273E0367" w14:textId="77777777" w:rsidR="006C7E88" w:rsidRPr="00444B17" w:rsidRDefault="006C7E88" w:rsidP="00EF180B">
      <w:pPr>
        <w:tabs>
          <w:tab w:val="left" w:pos="851"/>
        </w:tabs>
        <w:ind w:firstLine="709"/>
        <w:jc w:val="both"/>
        <w:rPr>
          <w:rFonts w:cs="Times New Roman"/>
          <w:sz w:val="26"/>
          <w:szCs w:val="26"/>
          <w:u w:val="single"/>
        </w:rPr>
      </w:pPr>
      <w:r w:rsidRPr="00444B17">
        <w:rPr>
          <w:rFonts w:cs="Times New Roman"/>
          <w:sz w:val="26"/>
          <w:szCs w:val="26"/>
        </w:rPr>
        <w:t>Izvērtējot galvojumu apvienošanas lietderību, jāņem vērā, ka atbilstoši ES un nacionālajos tiesību aktos noteiktajam šobrīd katru galvojumu</w:t>
      </w:r>
      <w:r w:rsidR="00EF180B" w:rsidRPr="00444B17">
        <w:rPr>
          <w:rFonts w:cs="Times New Roman"/>
          <w:sz w:val="26"/>
          <w:szCs w:val="26"/>
        </w:rPr>
        <w:t xml:space="preserve"> izmanto atšķirīgas personas: </w:t>
      </w:r>
      <w:r w:rsidR="008C46C3" w:rsidRPr="00444B17">
        <w:rPr>
          <w:rFonts w:cs="Times New Roman"/>
          <w:sz w:val="26"/>
          <w:szCs w:val="26"/>
        </w:rPr>
        <w:t>piemēram, atbilstoši r</w:t>
      </w:r>
      <w:r w:rsidRPr="00444B17">
        <w:rPr>
          <w:rFonts w:cs="Times New Roman"/>
          <w:sz w:val="26"/>
          <w:szCs w:val="26"/>
        </w:rPr>
        <w:t xml:space="preserve">egulas Nr.2913/92 189.panta 3.punkta nosacījumiem </w:t>
      </w:r>
      <w:r w:rsidRPr="00444B17">
        <w:rPr>
          <w:rFonts w:cs="Times New Roman"/>
          <w:sz w:val="26"/>
          <w:szCs w:val="26"/>
        </w:rPr>
        <w:lastRenderedPageBreak/>
        <w:t>muitas procedūrām laišana brīvā apgrozībā, glabāšana muitas noliktavā u.c. muitas dienesti var atļaut, ka nodrošinājumu dod cita persona, nevis tā, no kuras nodrošinājums tiek prasīts, tranzīta procedūrā galvojumu dod principāls (</w:t>
      </w:r>
      <w:r w:rsidR="008C46C3" w:rsidRPr="00444B17">
        <w:rPr>
          <w:rFonts w:cs="Times New Roman"/>
          <w:sz w:val="26"/>
          <w:szCs w:val="26"/>
        </w:rPr>
        <w:t>r</w:t>
      </w:r>
      <w:r w:rsidRPr="00444B17">
        <w:rPr>
          <w:rFonts w:cs="Times New Roman"/>
          <w:sz w:val="26"/>
          <w:szCs w:val="26"/>
        </w:rPr>
        <w:t xml:space="preserve">egulas Nr.2913/92 94.pants), savukārt akcīzes preču aprites regulējums nosaka pavisam citu akcīzes nodrošinājuma izmantošanas nosacījumus (uzglabājot preces akcīzes noliktavā, akcīzes nodrošinājumu sniedz un par visu atbildīgs ir akcīzes noliktavas turētājs, neatkarīgi no tā, kas ir preču īpašnieks). Tādējādi </w:t>
      </w:r>
      <w:r w:rsidRPr="00444B17">
        <w:rPr>
          <w:rFonts w:cs="Times New Roman"/>
          <w:sz w:val="26"/>
          <w:szCs w:val="26"/>
          <w:u w:val="single"/>
        </w:rPr>
        <w:t xml:space="preserve">galvojumu apvienošanu nevarēs attiecināt visam komersantu lokam un paralēli būs jāsaglabā esošā sistēma. </w:t>
      </w:r>
    </w:p>
    <w:p w14:paraId="11154343" w14:textId="77777777" w:rsidR="006C7E88" w:rsidRPr="00444B17" w:rsidRDefault="006C7E88" w:rsidP="00EF180B">
      <w:pPr>
        <w:tabs>
          <w:tab w:val="left" w:pos="851"/>
        </w:tabs>
        <w:ind w:firstLine="709"/>
        <w:jc w:val="both"/>
        <w:rPr>
          <w:rFonts w:cs="Times New Roman"/>
          <w:sz w:val="26"/>
          <w:szCs w:val="26"/>
        </w:rPr>
      </w:pPr>
      <w:r w:rsidRPr="00444B17">
        <w:rPr>
          <w:rFonts w:cs="Times New Roman"/>
          <w:sz w:val="26"/>
          <w:szCs w:val="26"/>
        </w:rPr>
        <w:t>Lai varētu plānot iespējamās izmaiņās sistēmās, nepieciešama minētās koncepcijas izstrāde. Jaunās sistēmas izstrādei, kā arī izmaiņu izstrādei visās saistītajās sistēmās var būt nepieciešams vismaz 2 gadi pēc koncepcijas izstrādes un attiecīgo finanšu un cilvēku resursu piešķiršanas un atkarībā no risinājumiem izmaksāt līdz pat vairākiem miljoniem (precīzas summas varēs noteikt tikai tad, kad būs zināma koncepcija un tehniskās prasības). Tā kā šobrīd nav zināmas precīzas prasības attiecībā uz importa galvojumu administrēšanu (tas atbilstoši SMK Darba programmā ietvertajam būs zināmas 2018.gadā), pastāv būtisks risks, ka, mēģinot galvojumus apvienot šobrīd, sistēmas būs pilnībā jāpārstrādā atkārtoti, stājoties spēkā Eiropas Komisijas prasībām 2020.gadā.</w:t>
      </w:r>
    </w:p>
    <w:p w14:paraId="77C227B2" w14:textId="77777777" w:rsidR="006C7E88" w:rsidRPr="00444B17" w:rsidRDefault="006C7E88" w:rsidP="00EF180B">
      <w:pPr>
        <w:tabs>
          <w:tab w:val="left" w:pos="851"/>
        </w:tabs>
        <w:ind w:firstLine="709"/>
        <w:jc w:val="both"/>
        <w:rPr>
          <w:rFonts w:cs="Times New Roman"/>
          <w:sz w:val="26"/>
          <w:szCs w:val="26"/>
        </w:rPr>
      </w:pPr>
      <w:r w:rsidRPr="00444B17">
        <w:rPr>
          <w:rFonts w:cs="Times New Roman"/>
          <w:sz w:val="26"/>
          <w:szCs w:val="26"/>
        </w:rPr>
        <w:t xml:space="preserve">Analizējot personu loku, kas šobrīd izmanto galvojumus tranzīta procedūrai, pārējām muitas procedūrām un akcīzes nodrošinājumu, konstatēts,  ka 118 komersanti izmanto vispārējo galvojumu muitas parāda un parāda, kas var rasties, nodrošināšanai, 135 komersanti - vispārējo galvojumu tranzīta procedūrai un 229 komersanti – akcīzes nodokļa nodrošinājumu. Visus trīs galvojumus izmanto 25 komersanti. Tādējādi uzskatām, ka nav lietderīgi ieguldīt resursus galvojumu apvienošanai augstāk minēto apsvērumu dēļ. </w:t>
      </w:r>
    </w:p>
    <w:p w14:paraId="6E79C701" w14:textId="77777777" w:rsidR="006C7E88" w:rsidRPr="00444B17" w:rsidRDefault="006C7E88" w:rsidP="00EF180B">
      <w:pPr>
        <w:tabs>
          <w:tab w:val="left" w:pos="851"/>
        </w:tabs>
        <w:ind w:firstLine="709"/>
        <w:jc w:val="both"/>
        <w:rPr>
          <w:rFonts w:cs="Times New Roman"/>
          <w:sz w:val="26"/>
          <w:szCs w:val="26"/>
        </w:rPr>
      </w:pPr>
      <w:r w:rsidRPr="00444B17">
        <w:rPr>
          <w:rFonts w:cs="Times New Roman"/>
          <w:sz w:val="26"/>
          <w:szCs w:val="26"/>
        </w:rPr>
        <w:t xml:space="preserve">Papildus minētajam salīdzināšanai norādām informāciju, kas raksturo informatīvās sistēmas izstrādes </w:t>
      </w:r>
      <w:proofErr w:type="spellStart"/>
      <w:r w:rsidRPr="00444B17">
        <w:rPr>
          <w:rFonts w:cs="Times New Roman"/>
          <w:sz w:val="26"/>
          <w:szCs w:val="26"/>
        </w:rPr>
        <w:t>laikietilpību</w:t>
      </w:r>
      <w:proofErr w:type="spellEnd"/>
      <w:r w:rsidRPr="00444B17">
        <w:rPr>
          <w:rFonts w:cs="Times New Roman"/>
          <w:sz w:val="26"/>
          <w:szCs w:val="26"/>
        </w:rPr>
        <w:t xml:space="preserve"> un būtisku finanšu resursu nepieciešamību - Elektroniskās muitas datu apstrādes sistēmas (EMDAS) projekts, kas ilgst jau 4 gadus (uzsākts 2010.g., kad tika izstrādāta EMDAS koncepcija, 2011.g. tika veikts iepirkums un 2012-2014.g. atsevišķu funkcionalitāšu un izmaiņu citās sistēmās izstrāde un ieviešana); izmaksas sasniedza jau 4,5 milj. EUR. vai arī  vienotā uzkrājuma principa ieviešanas projekts, kas tikko uzsākts, un kam Valsts ieņēmumu dienesta darba grupa šobrīd izstrādā koncepciju (iesaistītas vairākas struktūrvienības – NP un MP, kas piedalīsies  jaunas „vienotas” sistēmas izstrādē) – plānotais projekta ilgums 5-6 gadi, plānotās izmaksas – 10 milj. EUR.</w:t>
      </w:r>
    </w:p>
    <w:p w14:paraId="50D46E91" w14:textId="77777777" w:rsidR="006C7E88" w:rsidRPr="00444B17" w:rsidRDefault="006C7E88" w:rsidP="00EF180B">
      <w:pPr>
        <w:tabs>
          <w:tab w:val="left" w:pos="851"/>
        </w:tabs>
        <w:ind w:firstLine="709"/>
        <w:jc w:val="both"/>
        <w:rPr>
          <w:rFonts w:cs="Times New Roman"/>
          <w:sz w:val="26"/>
          <w:szCs w:val="26"/>
        </w:rPr>
      </w:pPr>
    </w:p>
    <w:p w14:paraId="00A29E9A" w14:textId="77777777" w:rsidR="006C7E88" w:rsidRPr="00444B17" w:rsidRDefault="006C7E88" w:rsidP="00EF180B">
      <w:pPr>
        <w:tabs>
          <w:tab w:val="left" w:pos="851"/>
        </w:tabs>
        <w:ind w:firstLine="709"/>
        <w:jc w:val="both"/>
        <w:rPr>
          <w:rFonts w:cs="Times New Roman"/>
          <w:sz w:val="26"/>
          <w:szCs w:val="26"/>
        </w:rPr>
      </w:pPr>
      <w:r w:rsidRPr="00444B17">
        <w:rPr>
          <w:rFonts w:cs="Times New Roman"/>
          <w:sz w:val="26"/>
          <w:szCs w:val="26"/>
        </w:rPr>
        <w:t>Secinājumi:</w:t>
      </w:r>
    </w:p>
    <w:p w14:paraId="79AB18F6" w14:textId="77777777" w:rsidR="004236E6" w:rsidRPr="00444B17" w:rsidRDefault="006C7E88" w:rsidP="006409D5">
      <w:pPr>
        <w:pStyle w:val="ListParagraph"/>
        <w:numPr>
          <w:ilvl w:val="0"/>
          <w:numId w:val="19"/>
        </w:numPr>
        <w:tabs>
          <w:tab w:val="left" w:pos="851"/>
        </w:tabs>
        <w:spacing w:line="240" w:lineRule="auto"/>
        <w:contextualSpacing w:val="0"/>
        <w:jc w:val="both"/>
        <w:rPr>
          <w:rFonts w:cs="Times New Roman"/>
          <w:sz w:val="26"/>
          <w:szCs w:val="26"/>
        </w:rPr>
      </w:pPr>
      <w:r w:rsidRPr="00444B17">
        <w:rPr>
          <w:rFonts w:cs="Times New Roman"/>
          <w:sz w:val="26"/>
          <w:szCs w:val="26"/>
        </w:rPr>
        <w:t>ES līmenī ir nostiprinātas atšķirīgas prasības un nosacījumi attiecībā uz muitas galvojumu un iekšzemes nodrošinājumu izsniegšanu, reģistrāciju un piemērošanu, datu sistēmām u.tml.;</w:t>
      </w:r>
    </w:p>
    <w:p w14:paraId="33E99D37" w14:textId="77777777" w:rsidR="004236E6" w:rsidRPr="00444B17" w:rsidRDefault="006C7E88" w:rsidP="006409D5">
      <w:pPr>
        <w:pStyle w:val="ListParagraph"/>
        <w:numPr>
          <w:ilvl w:val="0"/>
          <w:numId w:val="19"/>
        </w:numPr>
        <w:tabs>
          <w:tab w:val="left" w:pos="851"/>
        </w:tabs>
        <w:spacing w:line="240" w:lineRule="auto"/>
        <w:contextualSpacing w:val="0"/>
        <w:jc w:val="both"/>
        <w:rPr>
          <w:rFonts w:cs="Times New Roman"/>
          <w:sz w:val="26"/>
          <w:szCs w:val="26"/>
        </w:rPr>
      </w:pPr>
      <w:r w:rsidRPr="00444B17">
        <w:rPr>
          <w:rFonts w:cs="Times New Roman"/>
          <w:sz w:val="26"/>
          <w:szCs w:val="26"/>
        </w:rPr>
        <w:t>visi galvojuma veidi tiek atsevišķi uzskaitīti un datu sistēmas nav savstarpēji sasaistītas;</w:t>
      </w:r>
    </w:p>
    <w:p w14:paraId="24411223" w14:textId="77777777" w:rsidR="004236E6" w:rsidRPr="00444B17" w:rsidRDefault="006C7E88" w:rsidP="006409D5">
      <w:pPr>
        <w:pStyle w:val="ListParagraph"/>
        <w:numPr>
          <w:ilvl w:val="0"/>
          <w:numId w:val="19"/>
        </w:numPr>
        <w:tabs>
          <w:tab w:val="left" w:pos="851"/>
        </w:tabs>
        <w:spacing w:line="240" w:lineRule="auto"/>
        <w:contextualSpacing w:val="0"/>
        <w:jc w:val="both"/>
        <w:rPr>
          <w:rFonts w:cs="Times New Roman"/>
          <w:sz w:val="26"/>
          <w:szCs w:val="26"/>
        </w:rPr>
      </w:pPr>
      <w:r w:rsidRPr="00444B17">
        <w:rPr>
          <w:rFonts w:cs="Times New Roman"/>
          <w:sz w:val="26"/>
          <w:szCs w:val="26"/>
        </w:rPr>
        <w:t>atšķirīgi maksājuma principi - muitas maksājumi tiek uzskaitīti pēc saistīto maksājumu principa, bet iekšzemes nodokļi pēc naudas plūsmas principa;</w:t>
      </w:r>
    </w:p>
    <w:p w14:paraId="6F61834E" w14:textId="77777777" w:rsidR="004236E6" w:rsidRPr="00444B17" w:rsidRDefault="006C7E88" w:rsidP="006409D5">
      <w:pPr>
        <w:pStyle w:val="ListParagraph"/>
        <w:numPr>
          <w:ilvl w:val="0"/>
          <w:numId w:val="19"/>
        </w:numPr>
        <w:tabs>
          <w:tab w:val="left" w:pos="851"/>
        </w:tabs>
        <w:spacing w:line="240" w:lineRule="auto"/>
        <w:contextualSpacing w:val="0"/>
        <w:jc w:val="both"/>
        <w:rPr>
          <w:rFonts w:cs="Times New Roman"/>
          <w:sz w:val="26"/>
          <w:szCs w:val="26"/>
        </w:rPr>
      </w:pPr>
      <w:r w:rsidRPr="00444B17">
        <w:rPr>
          <w:rFonts w:cs="Times New Roman"/>
          <w:sz w:val="26"/>
          <w:szCs w:val="26"/>
        </w:rPr>
        <w:t>muitas galvojums un akcīzes nodokļa nodrošinājums savā starpā nepārklājas;</w:t>
      </w:r>
    </w:p>
    <w:p w14:paraId="0AF74931" w14:textId="77777777" w:rsidR="004236E6" w:rsidRPr="00444B17" w:rsidRDefault="006C7E88" w:rsidP="006409D5">
      <w:pPr>
        <w:pStyle w:val="ListParagraph"/>
        <w:numPr>
          <w:ilvl w:val="0"/>
          <w:numId w:val="19"/>
        </w:numPr>
        <w:tabs>
          <w:tab w:val="left" w:pos="851"/>
        </w:tabs>
        <w:spacing w:line="240" w:lineRule="auto"/>
        <w:contextualSpacing w:val="0"/>
        <w:jc w:val="both"/>
        <w:rPr>
          <w:rFonts w:cs="Times New Roman"/>
          <w:sz w:val="26"/>
          <w:szCs w:val="26"/>
        </w:rPr>
      </w:pPr>
      <w:r w:rsidRPr="00444B17">
        <w:rPr>
          <w:rFonts w:cs="Times New Roman"/>
          <w:sz w:val="26"/>
          <w:szCs w:val="26"/>
        </w:rPr>
        <w:t>ja apvieno galvojumus:</w:t>
      </w:r>
    </w:p>
    <w:p w14:paraId="4BBF8809" w14:textId="5C8916FD" w:rsidR="004236E6" w:rsidRPr="006409D5" w:rsidRDefault="006C7E88" w:rsidP="006409D5">
      <w:pPr>
        <w:pStyle w:val="ListParagraph"/>
        <w:numPr>
          <w:ilvl w:val="1"/>
          <w:numId w:val="19"/>
        </w:numPr>
        <w:tabs>
          <w:tab w:val="left" w:pos="851"/>
        </w:tabs>
        <w:jc w:val="both"/>
        <w:rPr>
          <w:rFonts w:cs="Times New Roman"/>
          <w:sz w:val="26"/>
          <w:szCs w:val="26"/>
        </w:rPr>
      </w:pPr>
      <w:r w:rsidRPr="006409D5">
        <w:rPr>
          <w:rFonts w:cs="Times New Roman"/>
          <w:sz w:val="26"/>
          <w:szCs w:val="26"/>
        </w:rPr>
        <w:lastRenderedPageBreak/>
        <w:t>būtiski palielināsies galvojuma summa, kā rezultātā ir iespējams ļoti liels apdrošināšanas prēmiju maksājumu apmēra pieaugums nodokļa maksātājam;</w:t>
      </w:r>
    </w:p>
    <w:p w14:paraId="0DD293B2" w14:textId="77777777" w:rsidR="004236E6" w:rsidRPr="00444B17" w:rsidRDefault="006C7E88" w:rsidP="006409D5">
      <w:pPr>
        <w:pStyle w:val="ListParagraph"/>
        <w:numPr>
          <w:ilvl w:val="1"/>
          <w:numId w:val="19"/>
        </w:numPr>
        <w:tabs>
          <w:tab w:val="left" w:pos="851"/>
        </w:tabs>
        <w:spacing w:line="240" w:lineRule="auto"/>
        <w:contextualSpacing w:val="0"/>
        <w:jc w:val="both"/>
        <w:rPr>
          <w:rFonts w:cs="Times New Roman"/>
          <w:sz w:val="26"/>
          <w:szCs w:val="26"/>
        </w:rPr>
      </w:pPr>
      <w:r w:rsidRPr="00444B17">
        <w:rPr>
          <w:rFonts w:cs="Times New Roman"/>
          <w:sz w:val="26"/>
          <w:szCs w:val="26"/>
        </w:rPr>
        <w:t>nepieciešams izstrādāt vienotu koncepciju, kas ietver pamatotus argumentus šādai rīcībai, pārskatot un vienādojot visus galvojumu administrēšanas procesus, kā arī nepieciešams izstrādāt attiecīgus normatīvos aktus;</w:t>
      </w:r>
    </w:p>
    <w:p w14:paraId="6278BFA5" w14:textId="77777777" w:rsidR="004236E6" w:rsidRPr="00444B17" w:rsidRDefault="006C7E88" w:rsidP="006409D5">
      <w:pPr>
        <w:pStyle w:val="ListParagraph"/>
        <w:numPr>
          <w:ilvl w:val="1"/>
          <w:numId w:val="19"/>
        </w:numPr>
        <w:tabs>
          <w:tab w:val="left" w:pos="851"/>
        </w:tabs>
        <w:spacing w:line="240" w:lineRule="auto"/>
        <w:contextualSpacing w:val="0"/>
        <w:jc w:val="both"/>
        <w:rPr>
          <w:rFonts w:cs="Times New Roman"/>
          <w:sz w:val="26"/>
          <w:szCs w:val="26"/>
        </w:rPr>
      </w:pPr>
      <w:r w:rsidRPr="00444B17">
        <w:rPr>
          <w:rFonts w:cs="Times New Roman"/>
          <w:sz w:val="26"/>
          <w:szCs w:val="26"/>
        </w:rPr>
        <w:t>administrēšana kļūs sarežģīta, jo jau ES līmenī ir nostiprinātas atšķirīgas prasības un nosacījumi;</w:t>
      </w:r>
    </w:p>
    <w:p w14:paraId="4D5D0EAF" w14:textId="77777777" w:rsidR="004236E6" w:rsidRPr="00444B17" w:rsidRDefault="006C7E88" w:rsidP="006409D5">
      <w:pPr>
        <w:pStyle w:val="ListParagraph"/>
        <w:numPr>
          <w:ilvl w:val="1"/>
          <w:numId w:val="19"/>
        </w:numPr>
        <w:tabs>
          <w:tab w:val="left" w:pos="851"/>
        </w:tabs>
        <w:spacing w:line="240" w:lineRule="auto"/>
        <w:contextualSpacing w:val="0"/>
        <w:jc w:val="both"/>
        <w:rPr>
          <w:rFonts w:cs="Times New Roman"/>
          <w:sz w:val="26"/>
          <w:szCs w:val="26"/>
        </w:rPr>
      </w:pPr>
      <w:r w:rsidRPr="00444B17">
        <w:rPr>
          <w:rFonts w:cs="Times New Roman"/>
          <w:sz w:val="26"/>
          <w:szCs w:val="26"/>
        </w:rPr>
        <w:t>pastāv risks par neiespējamu šāda vienota galvojuma dinamisku kontroli informatīvajās sistēmās;</w:t>
      </w:r>
    </w:p>
    <w:p w14:paraId="06091F14" w14:textId="77777777" w:rsidR="004236E6" w:rsidRPr="00444B17" w:rsidRDefault="006C7E88" w:rsidP="006409D5">
      <w:pPr>
        <w:pStyle w:val="ListParagraph"/>
        <w:numPr>
          <w:ilvl w:val="1"/>
          <w:numId w:val="19"/>
        </w:numPr>
        <w:tabs>
          <w:tab w:val="left" w:pos="851"/>
        </w:tabs>
        <w:spacing w:line="240" w:lineRule="auto"/>
        <w:contextualSpacing w:val="0"/>
        <w:jc w:val="both"/>
        <w:rPr>
          <w:rFonts w:cs="Times New Roman"/>
          <w:sz w:val="26"/>
          <w:szCs w:val="26"/>
        </w:rPr>
      </w:pPr>
      <w:r w:rsidRPr="00444B17">
        <w:rPr>
          <w:rFonts w:cs="Times New Roman"/>
          <w:sz w:val="26"/>
          <w:szCs w:val="26"/>
        </w:rPr>
        <w:t xml:space="preserve">tas nebūs attiecināms visam komersantu lokam un paralēli būs jāsaglabā esošā sistēma, kas būtiski sadārdzinās galvojumu administrēšanu; </w:t>
      </w:r>
    </w:p>
    <w:p w14:paraId="26F9EB07" w14:textId="77777777" w:rsidR="004236E6" w:rsidRPr="00444B17" w:rsidRDefault="006C7E88" w:rsidP="006409D5">
      <w:pPr>
        <w:pStyle w:val="ListParagraph"/>
        <w:numPr>
          <w:ilvl w:val="1"/>
          <w:numId w:val="19"/>
        </w:numPr>
        <w:tabs>
          <w:tab w:val="left" w:pos="851"/>
        </w:tabs>
        <w:spacing w:line="240" w:lineRule="auto"/>
        <w:contextualSpacing w:val="0"/>
        <w:jc w:val="both"/>
        <w:rPr>
          <w:rFonts w:cs="Times New Roman"/>
          <w:sz w:val="26"/>
          <w:szCs w:val="26"/>
        </w:rPr>
      </w:pPr>
      <w:r w:rsidRPr="00444B17">
        <w:rPr>
          <w:rFonts w:cs="Times New Roman"/>
          <w:sz w:val="26"/>
          <w:szCs w:val="26"/>
        </w:rPr>
        <w:t xml:space="preserve">atbilstīgas informatīvās sistēmas izstrāde ir laikietilpīga (var ilgt vairākus gadus) un tās izstrādei būs nepieciešami būtiski finanšu resursi; </w:t>
      </w:r>
    </w:p>
    <w:p w14:paraId="5CBA3E30" w14:textId="77777777" w:rsidR="006C7E88" w:rsidRPr="00444B17" w:rsidRDefault="006C7E88" w:rsidP="006409D5">
      <w:pPr>
        <w:pStyle w:val="ListParagraph"/>
        <w:numPr>
          <w:ilvl w:val="1"/>
          <w:numId w:val="19"/>
        </w:numPr>
        <w:tabs>
          <w:tab w:val="left" w:pos="851"/>
        </w:tabs>
        <w:spacing w:line="240" w:lineRule="auto"/>
        <w:contextualSpacing w:val="0"/>
        <w:jc w:val="both"/>
        <w:rPr>
          <w:rFonts w:cs="Times New Roman"/>
          <w:sz w:val="26"/>
          <w:szCs w:val="26"/>
        </w:rPr>
      </w:pPr>
      <w:r w:rsidRPr="00444B17">
        <w:rPr>
          <w:rFonts w:cs="Times New Roman"/>
          <w:sz w:val="26"/>
          <w:szCs w:val="26"/>
        </w:rPr>
        <w:t xml:space="preserve">tiek prognozēts, ka apvienoto galvojumu izmantos samērā neliels komersantu skaits, kaut arī tiks ieguldīti lieli valsts budžeta līdzekļi apvienotā galvojuma izveidei. </w:t>
      </w:r>
    </w:p>
    <w:p w14:paraId="6FF09EB0" w14:textId="77777777" w:rsidR="006C7E88" w:rsidRPr="00444B17" w:rsidRDefault="006C7E88" w:rsidP="00EF180B">
      <w:pPr>
        <w:tabs>
          <w:tab w:val="left" w:pos="851"/>
        </w:tabs>
        <w:jc w:val="both"/>
        <w:rPr>
          <w:rFonts w:cs="Times New Roman"/>
          <w:sz w:val="26"/>
          <w:szCs w:val="26"/>
        </w:rPr>
      </w:pPr>
    </w:p>
    <w:p w14:paraId="7D04AB50" w14:textId="77777777" w:rsidR="006C7E88" w:rsidRPr="00444B17" w:rsidRDefault="006C7E88" w:rsidP="00E93A1B">
      <w:pPr>
        <w:ind w:firstLine="709"/>
        <w:jc w:val="both"/>
        <w:rPr>
          <w:rFonts w:cs="Times New Roman"/>
          <w:sz w:val="26"/>
          <w:szCs w:val="26"/>
          <w:u w:val="single"/>
        </w:rPr>
      </w:pPr>
      <w:r w:rsidRPr="00444B17">
        <w:rPr>
          <w:rFonts w:cs="Times New Roman"/>
          <w:sz w:val="26"/>
          <w:szCs w:val="26"/>
          <w:u w:val="single"/>
        </w:rPr>
        <w:t>Tādējādi sasniedzamais rezultāts – galvojumu apvienošana - neattaisnos ieguldītos darba un finanšu resursus.</w:t>
      </w:r>
    </w:p>
    <w:p w14:paraId="372D1320" w14:textId="77777777" w:rsidR="006C7E88" w:rsidRPr="00444B17" w:rsidRDefault="006C7E88" w:rsidP="00E93A1B">
      <w:pPr>
        <w:ind w:firstLine="709"/>
        <w:jc w:val="both"/>
        <w:rPr>
          <w:rFonts w:cs="Times New Roman"/>
          <w:sz w:val="26"/>
          <w:szCs w:val="26"/>
          <w:u w:val="single"/>
        </w:rPr>
      </w:pPr>
    </w:p>
    <w:p w14:paraId="57437E3A" w14:textId="77777777" w:rsidR="006C7E88" w:rsidRPr="00444B17" w:rsidRDefault="006C7E88" w:rsidP="00E93A1B">
      <w:pPr>
        <w:pStyle w:val="ListParagraph"/>
        <w:numPr>
          <w:ilvl w:val="0"/>
          <w:numId w:val="6"/>
        </w:numPr>
        <w:spacing w:line="240" w:lineRule="auto"/>
        <w:ind w:left="0" w:firstLine="709"/>
        <w:contextualSpacing w:val="0"/>
        <w:jc w:val="both"/>
        <w:rPr>
          <w:rFonts w:cs="Times New Roman"/>
          <w:b/>
          <w:sz w:val="26"/>
          <w:szCs w:val="26"/>
        </w:rPr>
      </w:pPr>
      <w:r w:rsidRPr="00444B17">
        <w:rPr>
          <w:rFonts w:cs="Times New Roman"/>
          <w:b/>
          <w:sz w:val="26"/>
          <w:szCs w:val="26"/>
        </w:rPr>
        <w:t xml:space="preserve">Izdarīt grozījumus Ministru kabineta 2010.gada 30.marta noteikumos Nr.302 “Noteikumi par akcīzes nodokļa nodrošinājumiem” </w:t>
      </w:r>
      <w:r w:rsidRPr="00444B17">
        <w:rPr>
          <w:rFonts w:cs="Times New Roman"/>
          <w:sz w:val="26"/>
          <w:szCs w:val="26"/>
        </w:rPr>
        <w:t>(turpmāk – Ministru kabineta noteikumi Nr.302)</w:t>
      </w:r>
    </w:p>
    <w:p w14:paraId="534E5B79" w14:textId="77777777" w:rsidR="006C7E88" w:rsidRPr="00444B17" w:rsidRDefault="006C7E88" w:rsidP="00E93A1B">
      <w:pPr>
        <w:pStyle w:val="ListParagraph"/>
        <w:spacing w:line="240" w:lineRule="auto"/>
        <w:ind w:left="0" w:firstLine="709"/>
        <w:jc w:val="both"/>
        <w:rPr>
          <w:rFonts w:cs="Times New Roman"/>
          <w:sz w:val="26"/>
          <w:szCs w:val="26"/>
        </w:rPr>
      </w:pPr>
    </w:p>
    <w:p w14:paraId="00181A16" w14:textId="77777777" w:rsidR="006C7E88" w:rsidRPr="00444B17" w:rsidRDefault="006C7E88" w:rsidP="00E93A1B">
      <w:pPr>
        <w:pStyle w:val="ListParagraph"/>
        <w:spacing w:line="240" w:lineRule="auto"/>
        <w:ind w:left="0" w:firstLine="709"/>
        <w:jc w:val="both"/>
        <w:rPr>
          <w:rFonts w:cs="Times New Roman"/>
          <w:sz w:val="26"/>
          <w:szCs w:val="26"/>
        </w:rPr>
      </w:pPr>
      <w:r w:rsidRPr="00444B17">
        <w:rPr>
          <w:rFonts w:cs="Times New Roman"/>
          <w:sz w:val="26"/>
          <w:szCs w:val="26"/>
        </w:rPr>
        <w:t xml:space="preserve">Ekonomikas ministrijas sagatavotajā Informatīvajā ziņojumā un tā 3.pielikumā pie Latvijas Loģistikas pakalpojumu jomas komersantu konkurētspējas stiprināšanas 5.jautājuma par galvojumu apvienošanu </w:t>
      </w:r>
      <w:r w:rsidRPr="00444B17">
        <w:rPr>
          <w:rFonts w:cs="Times New Roman"/>
          <w:sz w:val="26"/>
          <w:szCs w:val="26"/>
          <w:u w:val="single"/>
        </w:rPr>
        <w:t>nav norādīts ne situācijas apraksts, ne pamatojums, ne arī ietekmes analīze priekšlikumiem grozījumiem Ministru kabineta noteikumos Nr.302</w:t>
      </w:r>
      <w:r w:rsidRPr="00444B17">
        <w:rPr>
          <w:rFonts w:cs="Times New Roman"/>
          <w:sz w:val="26"/>
          <w:szCs w:val="26"/>
        </w:rPr>
        <w:t xml:space="preserve">. </w:t>
      </w:r>
    </w:p>
    <w:p w14:paraId="37AD6B66" w14:textId="77777777" w:rsidR="006C7E88" w:rsidRPr="00792E3D" w:rsidRDefault="006C7E88" w:rsidP="00EF180B">
      <w:pPr>
        <w:pStyle w:val="ListParagraph"/>
        <w:tabs>
          <w:tab w:val="left" w:pos="851"/>
        </w:tabs>
        <w:spacing w:line="240" w:lineRule="auto"/>
        <w:ind w:left="0" w:firstLine="720"/>
        <w:jc w:val="both"/>
        <w:rPr>
          <w:rFonts w:cs="Times New Roman"/>
          <w:sz w:val="26"/>
          <w:szCs w:val="26"/>
        </w:rPr>
      </w:pPr>
      <w:r w:rsidRPr="00792E3D">
        <w:rPr>
          <w:rFonts w:cs="Times New Roman"/>
          <w:sz w:val="26"/>
          <w:szCs w:val="26"/>
        </w:rPr>
        <w:t xml:space="preserve">Taču Finanšu ministrija izvērtēja abus Informatīvajā ziņojumā ierosinātos priekšlikumus un esošo situāciju akcīzes nodokļa nodrošinājuma piemērošanā un potenciālos uzņēmējus, kas darbojas gan muitas jomā, gan akcīzes jomā. </w:t>
      </w:r>
    </w:p>
    <w:p w14:paraId="12FE04BF" w14:textId="77777777" w:rsidR="006C7E88" w:rsidRPr="00444B17" w:rsidRDefault="006C7E88" w:rsidP="00EF180B">
      <w:pPr>
        <w:pStyle w:val="ListParagraph"/>
        <w:tabs>
          <w:tab w:val="left" w:pos="851"/>
        </w:tabs>
        <w:spacing w:line="240" w:lineRule="auto"/>
        <w:ind w:left="0" w:firstLine="720"/>
        <w:jc w:val="both"/>
        <w:rPr>
          <w:rFonts w:cs="Times New Roman"/>
          <w:sz w:val="26"/>
          <w:szCs w:val="26"/>
        </w:rPr>
      </w:pPr>
      <w:r w:rsidRPr="00444B17">
        <w:rPr>
          <w:rFonts w:cs="Times New Roman"/>
          <w:sz w:val="26"/>
          <w:szCs w:val="26"/>
        </w:rPr>
        <w:t xml:space="preserve">Tika secināts, ka, ņemot vērā Ministru kabineta noteikumos Nr.302 noteiktās normas un nosacījumus dažādu veidu atvieglojumu piemērošanā un atbilstoši precizējot minētos noteikumus, </w:t>
      </w:r>
      <w:r w:rsidRPr="00444B17">
        <w:rPr>
          <w:rFonts w:cs="Times New Roman"/>
          <w:sz w:val="26"/>
          <w:szCs w:val="26"/>
          <w:u w:val="single"/>
        </w:rPr>
        <w:t>varētu tikt atbalstīti abi priekšlikumi,</w:t>
      </w:r>
      <w:r w:rsidRPr="00444B17">
        <w:rPr>
          <w:rFonts w:cs="Times New Roman"/>
          <w:sz w:val="26"/>
          <w:szCs w:val="26"/>
        </w:rPr>
        <w:t xml:space="preserve"> t.i., paredzēt, ka komersantiem, kas ir akcīzes preču noliktavu turētāji:</w:t>
      </w:r>
    </w:p>
    <w:p w14:paraId="3608C896" w14:textId="0B593B7A" w:rsidR="006C7E88" w:rsidRPr="00444B17" w:rsidRDefault="006C7E88" w:rsidP="00EF180B">
      <w:pPr>
        <w:pStyle w:val="ListParagraph"/>
        <w:tabs>
          <w:tab w:val="left" w:pos="851"/>
        </w:tabs>
        <w:spacing w:line="240" w:lineRule="auto"/>
        <w:ind w:left="0" w:firstLine="720"/>
        <w:jc w:val="both"/>
        <w:rPr>
          <w:rFonts w:cs="Times New Roman"/>
          <w:sz w:val="26"/>
          <w:szCs w:val="26"/>
        </w:rPr>
      </w:pPr>
      <w:r w:rsidRPr="00444B17">
        <w:rPr>
          <w:rFonts w:cs="Times New Roman"/>
          <w:sz w:val="26"/>
          <w:szCs w:val="26"/>
        </w:rPr>
        <w:t>1</w:t>
      </w:r>
      <w:r w:rsidR="007278A6">
        <w:rPr>
          <w:rFonts w:cs="Times New Roman"/>
          <w:sz w:val="26"/>
          <w:szCs w:val="26"/>
        </w:rPr>
        <w:t>.</w:t>
      </w:r>
      <w:r w:rsidRPr="00444B17">
        <w:rPr>
          <w:rFonts w:cs="Times New Roman"/>
          <w:sz w:val="26"/>
          <w:szCs w:val="26"/>
        </w:rPr>
        <w:t xml:space="preserve"> un vienlaikus ir saņēmuši atzītā komersanta statusu, ir piemērojami tādi paši akcīzes nodokļa vispārējā nodrošinājuma apjoma samazināšanas atvieglojumi kā komersantiem, kas ir Padziļinātās sadarbības programmas dalībnieki. Padziļinātās sadarbības programmas dalībniekiem akcīzes nodokļa vispārējā nodrošinājuma apjomu (izņemot pārvietošanu) var samazināt par 100 procentiem, ievērojot atbilstošus nosacījumus. Savukārt muitas jomā atzītajam komersantam tiek piešķirti atvieglojumi attiecībā uz muitas kontroli saistībā ar drošību un drošumu un/vai piemēro muitas noteikumos paredzētos atvieglojumus. Lai saņemtu atzītā komersanta statusu, ir jāievēro noteikti kritēriji, kas vienādi ir noteikti ES līmenī. Piešķirtais atzītā komersanta statuss tiek atzīts visās ES dalībvalstīs muitas jomā;</w:t>
      </w:r>
    </w:p>
    <w:p w14:paraId="0A03FAFC" w14:textId="5C868EB4" w:rsidR="006C7E88" w:rsidRPr="00444B17" w:rsidRDefault="006C7E88" w:rsidP="00EF180B">
      <w:pPr>
        <w:pStyle w:val="ListParagraph"/>
        <w:tabs>
          <w:tab w:val="left" w:pos="851"/>
        </w:tabs>
        <w:spacing w:line="240" w:lineRule="auto"/>
        <w:ind w:left="0" w:firstLine="720"/>
        <w:jc w:val="both"/>
        <w:rPr>
          <w:rFonts w:cs="Times New Roman"/>
          <w:sz w:val="26"/>
          <w:szCs w:val="26"/>
        </w:rPr>
      </w:pPr>
      <w:r w:rsidRPr="00444B17">
        <w:rPr>
          <w:rFonts w:cs="Times New Roman"/>
          <w:sz w:val="26"/>
          <w:szCs w:val="26"/>
        </w:rPr>
        <w:lastRenderedPageBreak/>
        <w:t>2</w:t>
      </w:r>
      <w:r w:rsidR="007278A6">
        <w:rPr>
          <w:rFonts w:cs="Times New Roman"/>
          <w:sz w:val="26"/>
          <w:szCs w:val="26"/>
        </w:rPr>
        <w:t>.</w:t>
      </w:r>
      <w:r w:rsidRPr="00444B17">
        <w:rPr>
          <w:rFonts w:cs="Times New Roman"/>
          <w:sz w:val="26"/>
          <w:szCs w:val="26"/>
        </w:rPr>
        <w:t xml:space="preserve"> ir iespēja akcīzes nodokļa vispārējā nodrošinājuma apjomu samazināt par 90 procentiem no maksimālā iespējamā nodokļa parāda, kas var rasties par taksācijas periodā veiktajām darbībām, ne tikai uz alkoholisko dzērienu ražošanu, apstrādi vai pārstrādi, bet arī uz “preču marķēšanu”, ievērojot noteiktus nosacījumus.</w:t>
      </w:r>
    </w:p>
    <w:p w14:paraId="55C05CE1" w14:textId="70433BA7" w:rsidR="006C7E88" w:rsidRPr="00444B17" w:rsidRDefault="006C7E88" w:rsidP="00EF180B">
      <w:pPr>
        <w:pStyle w:val="ListParagraph"/>
        <w:tabs>
          <w:tab w:val="left" w:pos="851"/>
        </w:tabs>
        <w:spacing w:line="240" w:lineRule="auto"/>
        <w:ind w:left="0" w:firstLine="720"/>
        <w:jc w:val="both"/>
        <w:rPr>
          <w:rFonts w:cs="Times New Roman"/>
          <w:sz w:val="26"/>
          <w:szCs w:val="26"/>
        </w:rPr>
      </w:pPr>
      <w:r w:rsidRPr="00444B17">
        <w:rPr>
          <w:rFonts w:cs="Times New Roman"/>
          <w:sz w:val="26"/>
          <w:szCs w:val="26"/>
        </w:rPr>
        <w:t xml:space="preserve">Tādējādi grozījumi Ministru kabineta noteikumos Nr.302 veicinās komersantu, kas vienlaikus darbojas gan muitas, gan akcīzes jomā, vēlmi </w:t>
      </w:r>
      <w:proofErr w:type="spellStart"/>
      <w:r w:rsidR="001B046B">
        <w:rPr>
          <w:rFonts w:cs="Times New Roman"/>
          <w:sz w:val="26"/>
          <w:szCs w:val="26"/>
        </w:rPr>
        <w:t>efektivzēt</w:t>
      </w:r>
      <w:proofErr w:type="spellEnd"/>
      <w:r w:rsidRPr="00444B17">
        <w:rPr>
          <w:rFonts w:cs="Times New Roman"/>
          <w:sz w:val="26"/>
          <w:szCs w:val="26"/>
        </w:rPr>
        <w:t xml:space="preserve"> un uzlabot savu uzņēmējdarbību, kā arī paplašināsies atzītā komersanta statusa piemērošas iespēja.</w:t>
      </w:r>
    </w:p>
    <w:p w14:paraId="4FB7FA94" w14:textId="77777777" w:rsidR="006C7E88" w:rsidRPr="00444B17" w:rsidRDefault="006C7E88" w:rsidP="00EF180B">
      <w:pPr>
        <w:pStyle w:val="ListParagraph"/>
        <w:spacing w:line="240" w:lineRule="auto"/>
        <w:ind w:left="0" w:firstLine="720"/>
        <w:jc w:val="both"/>
        <w:rPr>
          <w:rFonts w:cs="Times New Roman"/>
          <w:sz w:val="26"/>
          <w:szCs w:val="26"/>
        </w:rPr>
      </w:pPr>
      <w:r w:rsidRPr="00444B17">
        <w:rPr>
          <w:rFonts w:cs="Times New Roman"/>
          <w:sz w:val="26"/>
          <w:szCs w:val="26"/>
        </w:rPr>
        <w:t>Šajā sakarā ir izstrādāts Ministru kabineta noteikumu projekts “Grozījumi Ministru kabineta 2010.gada 30.marta noteikumos Nr.302 “Noteikumi par akcīzes nodokļa nodrošinājumiem””, kas atbilstoši Ministru kabineta š.g. 26.augusta sēdes protokola Nr.45 47.§ 5.punktam tiks iesniegts Ministru kabinetā kā Ministru kabineta lieta.</w:t>
      </w:r>
    </w:p>
    <w:p w14:paraId="6014ED9C" w14:textId="77777777" w:rsidR="00D925E5" w:rsidRPr="00444B17" w:rsidRDefault="00D925E5" w:rsidP="00EF180B">
      <w:pPr>
        <w:pStyle w:val="ListParagraph"/>
        <w:ind w:left="0" w:firstLine="720"/>
        <w:jc w:val="both"/>
        <w:rPr>
          <w:rStyle w:val="spelle"/>
          <w:rFonts w:cs="Times New Roman"/>
          <w:b/>
          <w:sz w:val="26"/>
          <w:szCs w:val="26"/>
        </w:rPr>
      </w:pPr>
    </w:p>
    <w:p w14:paraId="1DEC5E74" w14:textId="77777777" w:rsidR="004236E6" w:rsidRPr="00444B17" w:rsidRDefault="00D925E5" w:rsidP="006409D5">
      <w:pPr>
        <w:pStyle w:val="ListParagraph"/>
        <w:numPr>
          <w:ilvl w:val="0"/>
          <w:numId w:val="19"/>
        </w:numPr>
        <w:ind w:left="284" w:hanging="284"/>
        <w:jc w:val="both"/>
        <w:rPr>
          <w:rFonts w:cs="Times New Roman"/>
          <w:b/>
          <w:bCs/>
          <w:sz w:val="26"/>
          <w:szCs w:val="26"/>
        </w:rPr>
      </w:pPr>
      <w:r w:rsidRPr="00444B17">
        <w:rPr>
          <w:rFonts w:cs="Times New Roman"/>
          <w:b/>
          <w:bCs/>
          <w:sz w:val="26"/>
          <w:szCs w:val="26"/>
        </w:rPr>
        <w:t>Dažādu statusu noliktavu apvienošana</w:t>
      </w:r>
    </w:p>
    <w:p w14:paraId="0FF04762" w14:textId="77777777" w:rsidR="004236E6" w:rsidRPr="00444B17" w:rsidRDefault="004236E6" w:rsidP="00774809">
      <w:pPr>
        <w:jc w:val="both"/>
        <w:rPr>
          <w:rFonts w:cs="Times New Roman"/>
          <w:b/>
          <w:bCs/>
          <w:i/>
          <w:sz w:val="26"/>
          <w:szCs w:val="26"/>
          <w:u w:val="single"/>
        </w:rPr>
      </w:pPr>
      <w:r w:rsidRPr="00444B17">
        <w:rPr>
          <w:rFonts w:cs="Times New Roman"/>
          <w:b/>
          <w:bCs/>
          <w:i/>
          <w:sz w:val="26"/>
          <w:szCs w:val="26"/>
          <w:u w:val="single"/>
        </w:rPr>
        <w:t>Satiksmes ministrijas priekšlikums</w:t>
      </w:r>
      <w:r w:rsidR="00D925E5" w:rsidRPr="00444B17">
        <w:rPr>
          <w:rFonts w:cs="Times New Roman"/>
          <w:b/>
          <w:bCs/>
          <w:i/>
          <w:sz w:val="26"/>
          <w:szCs w:val="26"/>
          <w:u w:val="single"/>
        </w:rPr>
        <w:t xml:space="preserve"> </w:t>
      </w:r>
    </w:p>
    <w:p w14:paraId="0FEF39C5" w14:textId="77777777" w:rsidR="004C6F58" w:rsidRPr="00444B17" w:rsidRDefault="004C6F58" w:rsidP="004C6F58">
      <w:pPr>
        <w:ind w:firstLine="720"/>
        <w:jc w:val="both"/>
        <w:rPr>
          <w:rFonts w:cs="Times New Roman"/>
          <w:b/>
          <w:bCs/>
          <w:sz w:val="26"/>
          <w:szCs w:val="26"/>
        </w:rPr>
      </w:pPr>
      <w:r w:rsidRPr="00444B17">
        <w:rPr>
          <w:rFonts w:cs="Times New Roman"/>
          <w:b/>
          <w:bCs/>
          <w:sz w:val="26"/>
          <w:szCs w:val="26"/>
        </w:rPr>
        <w:t xml:space="preserve">Finanšu ministrijai sadarbībā Satiksmes ministriju un tranzīta un loģistikas nozares uzņēmēju asociācijām sagatavot un virzīt uz Ministru kabinetu grozījumus normatīvajos aktos par muitas lietām un akcīzes nodokļa piemērošanas normatīvajos aktos, paredzot regulējumu, kas atļauj uzglabāt preces, kas atrodas akcīzes un muitas noliktavās, atļaujot izmantot vienu un to pašu telpu gan akcīzes, gan muitas noliktavas, gan parastās noliktavas (Kopienas statusa precēm) vajadzībām, nodrošinot visu preču uzskaiti elektroniskā veidā. </w:t>
      </w:r>
    </w:p>
    <w:p w14:paraId="6787F2C3" w14:textId="77777777" w:rsidR="004C6F58" w:rsidRPr="00444B17" w:rsidRDefault="004C6F58" w:rsidP="004C6F58">
      <w:pPr>
        <w:ind w:firstLine="720"/>
        <w:jc w:val="both"/>
        <w:rPr>
          <w:rFonts w:cs="Times New Roman"/>
          <w:sz w:val="26"/>
          <w:szCs w:val="26"/>
        </w:rPr>
      </w:pPr>
    </w:p>
    <w:p w14:paraId="17419871" w14:textId="77777777" w:rsidR="00B04DD9" w:rsidRDefault="00B04DD9" w:rsidP="00B04DD9">
      <w:pPr>
        <w:ind w:firstLine="720"/>
        <w:jc w:val="both"/>
        <w:rPr>
          <w:sz w:val="26"/>
          <w:szCs w:val="26"/>
        </w:rPr>
      </w:pPr>
      <w:r w:rsidRPr="00444B17">
        <w:rPr>
          <w:rFonts w:cs="Times New Roman"/>
          <w:sz w:val="26"/>
          <w:szCs w:val="26"/>
        </w:rPr>
        <w:t xml:space="preserve">Latvijā atbilstoši muitas un akcīzes jomu reglamentējošajos normatīvajos aktos noteiktajam netiek prasīta konstruktīva telpu nodalīšana starp muitas noliktavu un akcīzes preču noliktavu, tādēļ ir pietiekama jebkāda veida nodalīšana. </w:t>
      </w:r>
      <w:r>
        <w:rPr>
          <w:sz w:val="26"/>
          <w:szCs w:val="26"/>
        </w:rPr>
        <w:t>Galvenais nosacījums ir tas, lai nepiederošas personas nevarētu piekļūt muitas noliktavā un akcīzes preču noliktavā uzglabājamām precēm.</w:t>
      </w:r>
    </w:p>
    <w:p w14:paraId="4A81EC6F" w14:textId="77777777" w:rsidR="00B04DD9" w:rsidRDefault="00B04DD9" w:rsidP="00B04DD9">
      <w:pPr>
        <w:ind w:firstLine="720"/>
        <w:jc w:val="both"/>
        <w:rPr>
          <w:sz w:val="26"/>
          <w:szCs w:val="26"/>
        </w:rPr>
      </w:pPr>
      <w:r>
        <w:rPr>
          <w:sz w:val="26"/>
          <w:szCs w:val="26"/>
        </w:rPr>
        <w:t xml:space="preserve">Finanšu ministrija uzskata, ka priekšlikums par dažādu statusu noliktavu apvienošanu </w:t>
      </w:r>
      <w:r>
        <w:rPr>
          <w:sz w:val="26"/>
          <w:szCs w:val="26"/>
          <w:u w:val="single"/>
        </w:rPr>
        <w:t>ir diskutējams</w:t>
      </w:r>
      <w:r w:rsidRPr="002C72C1">
        <w:rPr>
          <w:sz w:val="26"/>
          <w:szCs w:val="26"/>
        </w:rPr>
        <w:t xml:space="preserve">, jo </w:t>
      </w:r>
      <w:r>
        <w:rPr>
          <w:color w:val="000000"/>
          <w:sz w:val="26"/>
          <w:szCs w:val="26"/>
        </w:rPr>
        <w:t xml:space="preserve">ir jānodrošina nosacījumi, ka noliktavā tiek ieviesta stingri kontrolēta preču uzskaites sistēma </w:t>
      </w:r>
      <w:r>
        <w:rPr>
          <w:sz w:val="26"/>
          <w:szCs w:val="26"/>
        </w:rPr>
        <w:t xml:space="preserve">(piemēram, speciālas uzlīmes ar svītrkodu), kas </w:t>
      </w:r>
      <w:r>
        <w:rPr>
          <w:color w:val="000000"/>
          <w:sz w:val="26"/>
          <w:szCs w:val="26"/>
        </w:rPr>
        <w:t>viennozīmīgi un nepārprotami ļautu Valsts ieņēmumu dienestam pārliecināties par noliktavā fiziski esošo dažādu statusu preču atbilstību uzskaites sistēmas datiem.</w:t>
      </w:r>
    </w:p>
    <w:p w14:paraId="75583FCE" w14:textId="77777777" w:rsidR="00B04DD9" w:rsidRPr="00444B17" w:rsidRDefault="00B04DD9" w:rsidP="00B04DD9">
      <w:pPr>
        <w:ind w:firstLine="720"/>
        <w:jc w:val="both"/>
        <w:rPr>
          <w:rFonts w:cs="Times New Roman"/>
          <w:sz w:val="26"/>
          <w:szCs w:val="26"/>
        </w:rPr>
      </w:pPr>
      <w:r w:rsidRPr="00444B17">
        <w:rPr>
          <w:rFonts w:cs="Times New Roman"/>
          <w:color w:val="000000" w:themeColor="text1"/>
          <w:sz w:val="26"/>
          <w:szCs w:val="26"/>
        </w:rPr>
        <w:t xml:space="preserve">Norādām, ka komersantiem tas var palielināt administratīvās izmaksas. </w:t>
      </w:r>
    </w:p>
    <w:p w14:paraId="14A63698" w14:textId="77777777" w:rsidR="004C6F58" w:rsidRPr="00444B17" w:rsidRDefault="004C6F58" w:rsidP="004C6F58">
      <w:pPr>
        <w:ind w:firstLine="720"/>
        <w:jc w:val="both"/>
        <w:rPr>
          <w:rFonts w:cs="Times New Roman"/>
          <w:color w:val="000000" w:themeColor="text1"/>
          <w:sz w:val="26"/>
          <w:szCs w:val="26"/>
        </w:rPr>
      </w:pPr>
      <w:r w:rsidRPr="00444B17">
        <w:rPr>
          <w:rFonts w:cs="Times New Roman"/>
          <w:sz w:val="26"/>
          <w:szCs w:val="26"/>
        </w:rPr>
        <w:t xml:space="preserve">Bez </w:t>
      </w:r>
      <w:r w:rsidRPr="00444B17">
        <w:rPr>
          <w:rFonts w:cs="Times New Roman"/>
          <w:color w:val="000000" w:themeColor="text1"/>
          <w:sz w:val="26"/>
          <w:szCs w:val="26"/>
        </w:rPr>
        <w:t xml:space="preserve">uzskaites sistēmas šo noliktavu darbības administrēšanā ļoti svarīga ir konkrēto preču fiziskas identificēšanas iespējas. Tas nozīmē, ka pilnvērtīgas kontroles veikšanai nepietiek tikai ar dokumentu un preču uzskaites pārbaudi, bet jāveic arī preču uzskaites salīdzināšana ar faktiskajiem preču krājumiem. </w:t>
      </w:r>
    </w:p>
    <w:p w14:paraId="47891300" w14:textId="77777777" w:rsidR="004C6F58" w:rsidRPr="00444B17" w:rsidRDefault="004C6F58" w:rsidP="004C6F58">
      <w:pPr>
        <w:ind w:firstLine="720"/>
        <w:jc w:val="both"/>
        <w:rPr>
          <w:rFonts w:cs="Times New Roman"/>
          <w:color w:val="000000" w:themeColor="text1"/>
          <w:sz w:val="26"/>
          <w:szCs w:val="26"/>
          <w:u w:val="single"/>
        </w:rPr>
      </w:pPr>
      <w:r w:rsidRPr="00444B17">
        <w:rPr>
          <w:rFonts w:cs="Times New Roman"/>
          <w:color w:val="000000" w:themeColor="text1"/>
          <w:sz w:val="26"/>
          <w:szCs w:val="26"/>
        </w:rPr>
        <w:t xml:space="preserve">Jāņem vērā arī tas, ka komersantiem tāpat būs jānodrošina atsevišķa uzskaite par precēm, kas atrodas muitas režīmā un atliktajā akcīzes nodokļa maksāšanas režīmā, kā arī šāda „apvienotā noliktava” neatbrīvos komersantu no attiecīgu dokumentu noformēšanas, ja precei mainīsies statuss, tādējādi arī pašiem komersantiem uzskaite, iespējams, kļūs daudz sarežģītāka, nepārskatāmāka un dažādu kļūdu veicinoša. </w:t>
      </w:r>
    </w:p>
    <w:p w14:paraId="70AAC029" w14:textId="77777777" w:rsidR="004C6F58" w:rsidRPr="00444B17" w:rsidRDefault="004C6F58" w:rsidP="004C6F58">
      <w:pPr>
        <w:ind w:firstLine="720"/>
        <w:jc w:val="both"/>
        <w:rPr>
          <w:rFonts w:cs="Times New Roman"/>
          <w:color w:val="000000" w:themeColor="text1"/>
          <w:sz w:val="26"/>
          <w:szCs w:val="26"/>
        </w:rPr>
      </w:pPr>
      <w:r w:rsidRPr="00444B17">
        <w:rPr>
          <w:rFonts w:cs="Times New Roman"/>
          <w:color w:val="000000" w:themeColor="text1"/>
          <w:sz w:val="26"/>
          <w:szCs w:val="26"/>
        </w:rPr>
        <w:t xml:space="preserve">Uzskatām, ka būtu jāizvērtē arī iespējamie krāpšanas gadījumi. </w:t>
      </w:r>
      <w:r w:rsidR="00EF180B" w:rsidRPr="00444B17">
        <w:rPr>
          <w:rFonts w:cs="Times New Roman"/>
          <w:color w:val="000000" w:themeColor="text1"/>
          <w:sz w:val="26"/>
          <w:szCs w:val="26"/>
        </w:rPr>
        <w:t xml:space="preserve">Valsts ieņēmumu dienests </w:t>
      </w:r>
      <w:r w:rsidRPr="00444B17">
        <w:rPr>
          <w:rFonts w:cs="Times New Roman"/>
          <w:color w:val="000000" w:themeColor="text1"/>
          <w:sz w:val="26"/>
          <w:szCs w:val="26"/>
        </w:rPr>
        <w:t xml:space="preserve">ir konstatējis, ka pašreizējā uzskaites sistēma nedod tiešu sasaisti </w:t>
      </w:r>
      <w:r w:rsidRPr="00444B17">
        <w:rPr>
          <w:rFonts w:cs="Times New Roman"/>
          <w:color w:val="000000" w:themeColor="text1"/>
          <w:sz w:val="26"/>
          <w:szCs w:val="26"/>
        </w:rPr>
        <w:lastRenderedPageBreak/>
        <w:t xml:space="preserve">ar precēm noliktavā (dabā), tādējādi neradot pārliecību uzraudzības institūcijai par datu korektumu/atbilstību. </w:t>
      </w:r>
    </w:p>
    <w:p w14:paraId="619AEAF1" w14:textId="0EC87918" w:rsidR="004C6F58" w:rsidRPr="00444B17" w:rsidRDefault="004C6F58" w:rsidP="004C6F58">
      <w:pPr>
        <w:ind w:firstLine="720"/>
        <w:jc w:val="both"/>
        <w:rPr>
          <w:rFonts w:cs="Times New Roman"/>
          <w:color w:val="000000" w:themeColor="text1"/>
          <w:sz w:val="26"/>
          <w:szCs w:val="26"/>
        </w:rPr>
      </w:pPr>
      <w:r w:rsidRPr="00444B17">
        <w:rPr>
          <w:rFonts w:cs="Times New Roman"/>
          <w:bCs/>
          <w:color w:val="000000" w:themeColor="text1"/>
          <w:sz w:val="26"/>
          <w:szCs w:val="26"/>
        </w:rPr>
        <w:t xml:space="preserve">Vienlaikus secināts, ka, veicot kontroles pasākumus šādā </w:t>
      </w:r>
      <w:r w:rsidRPr="00444B17">
        <w:rPr>
          <w:rFonts w:cs="Times New Roman"/>
          <w:color w:val="000000" w:themeColor="text1"/>
          <w:sz w:val="26"/>
          <w:szCs w:val="26"/>
        </w:rPr>
        <w:t xml:space="preserve">„apvienotajā noliktavā”, komersantam var būtiski </w:t>
      </w:r>
      <w:r w:rsidR="007A1A02" w:rsidRPr="00444B17">
        <w:rPr>
          <w:rFonts w:cs="Times New Roman"/>
          <w:color w:val="000000" w:themeColor="text1"/>
          <w:sz w:val="26"/>
          <w:szCs w:val="26"/>
        </w:rPr>
        <w:t xml:space="preserve">tikt </w:t>
      </w:r>
      <w:r w:rsidRPr="00444B17">
        <w:rPr>
          <w:rFonts w:cs="Times New Roman"/>
          <w:color w:val="000000" w:themeColor="text1"/>
          <w:sz w:val="26"/>
          <w:szCs w:val="26"/>
        </w:rPr>
        <w:t xml:space="preserve">traucēta gan muitas kontrolei, gan akcīzes preču kontrolei pakļauto preču, kā arī Kopienas preču aprite, jo pārbaudes laikā būtu nepieciešams pilnībā slēgt noliktavas darbību, lai </w:t>
      </w:r>
      <w:r w:rsidR="00EF180B" w:rsidRPr="00444B17">
        <w:rPr>
          <w:rFonts w:cs="Times New Roman"/>
          <w:color w:val="000000" w:themeColor="text1"/>
          <w:sz w:val="26"/>
          <w:szCs w:val="26"/>
        </w:rPr>
        <w:t xml:space="preserve">Valsts ieņēmumu dienests </w:t>
      </w:r>
      <w:r w:rsidRPr="00444B17">
        <w:rPr>
          <w:rFonts w:cs="Times New Roman"/>
          <w:color w:val="000000" w:themeColor="text1"/>
          <w:sz w:val="26"/>
          <w:szCs w:val="26"/>
        </w:rPr>
        <w:t xml:space="preserve">varētu pārliecināties par attiecīgā statusa preču uzskaites atbilstību faktiskajam. Tas nozīmē, ka, piemēram, kontroles laikā </w:t>
      </w:r>
      <w:r w:rsidR="00EF180B" w:rsidRPr="00444B17">
        <w:rPr>
          <w:rFonts w:cs="Times New Roman"/>
          <w:color w:val="000000" w:themeColor="text1"/>
          <w:sz w:val="26"/>
          <w:szCs w:val="26"/>
        </w:rPr>
        <w:t>Valsts ieņēmumu dienestam</w:t>
      </w:r>
      <w:r w:rsidRPr="00444B17">
        <w:rPr>
          <w:rFonts w:cs="Times New Roman"/>
          <w:color w:val="000000" w:themeColor="text1"/>
          <w:sz w:val="26"/>
          <w:szCs w:val="26"/>
        </w:rPr>
        <w:t xml:space="preserve"> jāpārliecinās, ka akcīzes preces ir atbilstošā daudzumā, kā arī citu statusu preces ir uzskaitītas un teritorijā esošas.</w:t>
      </w:r>
    </w:p>
    <w:p w14:paraId="0F33F7BF" w14:textId="77777777" w:rsidR="004C6F58" w:rsidRPr="00444B17" w:rsidRDefault="004C6F58" w:rsidP="004C6F58">
      <w:pPr>
        <w:ind w:firstLine="720"/>
        <w:jc w:val="both"/>
        <w:rPr>
          <w:rFonts w:cs="Times New Roman"/>
          <w:sz w:val="26"/>
          <w:szCs w:val="26"/>
          <w:u w:val="single"/>
        </w:rPr>
      </w:pPr>
      <w:r w:rsidRPr="00444B17">
        <w:rPr>
          <w:rFonts w:cs="Times New Roman"/>
          <w:sz w:val="26"/>
          <w:szCs w:val="26"/>
        </w:rPr>
        <w:t xml:space="preserve">Finanšu ministrija uzskata, ka priekšlikums par dažādu statusu noliktavu apvienošanu viennozīmīgi </w:t>
      </w:r>
      <w:r w:rsidRPr="00444B17">
        <w:rPr>
          <w:rFonts w:cs="Times New Roman"/>
          <w:sz w:val="26"/>
          <w:szCs w:val="26"/>
          <w:u w:val="single"/>
        </w:rPr>
        <w:t xml:space="preserve">nav atbalstāms </w:t>
      </w:r>
      <w:r w:rsidRPr="00444B17">
        <w:rPr>
          <w:rFonts w:cs="Times New Roman"/>
          <w:sz w:val="26"/>
          <w:szCs w:val="26"/>
        </w:rPr>
        <w:t>attiecībā uz:</w:t>
      </w:r>
    </w:p>
    <w:p w14:paraId="57B405D8" w14:textId="77777777" w:rsidR="004C6F58" w:rsidRPr="007278A6" w:rsidRDefault="004C6F58" w:rsidP="007278A6">
      <w:pPr>
        <w:pStyle w:val="ListParagraph"/>
        <w:numPr>
          <w:ilvl w:val="0"/>
          <w:numId w:val="21"/>
        </w:numPr>
        <w:spacing w:line="259" w:lineRule="auto"/>
        <w:ind w:left="0" w:firstLine="851"/>
        <w:jc w:val="both"/>
        <w:rPr>
          <w:rFonts w:cs="Times New Roman"/>
          <w:bCs/>
          <w:color w:val="000000" w:themeColor="text1"/>
          <w:sz w:val="26"/>
          <w:szCs w:val="26"/>
        </w:rPr>
      </w:pPr>
      <w:r w:rsidRPr="007278A6">
        <w:rPr>
          <w:rFonts w:cs="Times New Roman"/>
          <w:sz w:val="26"/>
          <w:szCs w:val="26"/>
        </w:rPr>
        <w:t xml:space="preserve">nefasēto preču – naftas produktu vai spirtu saturošu produktu – uzglabāšanu, </w:t>
      </w:r>
      <w:r w:rsidRPr="007278A6">
        <w:rPr>
          <w:rFonts w:cs="Times New Roman"/>
          <w:bCs/>
          <w:sz w:val="26"/>
          <w:szCs w:val="26"/>
        </w:rPr>
        <w:t xml:space="preserve">jo nebūs iespējams nodalīt dažādu statusu preces, tādējādi </w:t>
      </w:r>
      <w:r w:rsidRPr="007278A6">
        <w:rPr>
          <w:rFonts w:cs="Times New Roman"/>
          <w:bCs/>
          <w:color w:val="000000" w:themeColor="text1"/>
          <w:sz w:val="26"/>
          <w:szCs w:val="26"/>
        </w:rPr>
        <w:t xml:space="preserve">radot būtiskas problēmas gan </w:t>
      </w:r>
      <w:r w:rsidR="008C46C3" w:rsidRPr="007278A6">
        <w:rPr>
          <w:rFonts w:cs="Times New Roman"/>
          <w:bCs/>
          <w:color w:val="000000" w:themeColor="text1"/>
          <w:sz w:val="26"/>
          <w:szCs w:val="26"/>
        </w:rPr>
        <w:t>Valsts ieņēmumu dienestam</w:t>
      </w:r>
      <w:r w:rsidRPr="007278A6">
        <w:rPr>
          <w:rFonts w:cs="Times New Roman"/>
          <w:bCs/>
          <w:color w:val="000000" w:themeColor="text1"/>
          <w:sz w:val="26"/>
          <w:szCs w:val="26"/>
        </w:rPr>
        <w:t>, gan komersantam;</w:t>
      </w:r>
    </w:p>
    <w:p w14:paraId="305116CC" w14:textId="77777777" w:rsidR="004C6F58" w:rsidRPr="007278A6" w:rsidRDefault="004C6F58" w:rsidP="007278A6">
      <w:pPr>
        <w:pStyle w:val="ListParagraph"/>
        <w:numPr>
          <w:ilvl w:val="0"/>
          <w:numId w:val="21"/>
        </w:numPr>
        <w:spacing w:line="259" w:lineRule="auto"/>
        <w:ind w:left="0" w:firstLine="851"/>
        <w:jc w:val="both"/>
        <w:rPr>
          <w:rFonts w:cs="Times New Roman"/>
          <w:sz w:val="26"/>
          <w:szCs w:val="26"/>
        </w:rPr>
      </w:pPr>
      <w:r w:rsidRPr="007278A6">
        <w:rPr>
          <w:rFonts w:cs="Times New Roman"/>
          <w:sz w:val="26"/>
          <w:szCs w:val="26"/>
        </w:rPr>
        <w:t xml:space="preserve">atliktā akcīzes nodokļa maksāšanas režīmā esošo Kopienas statusa preču ražošanu. </w:t>
      </w:r>
    </w:p>
    <w:p w14:paraId="31E45618" w14:textId="77777777" w:rsidR="004C6F58" w:rsidRPr="00444B17" w:rsidRDefault="004C6F58" w:rsidP="004C6F58">
      <w:pPr>
        <w:ind w:firstLine="720"/>
        <w:jc w:val="both"/>
        <w:rPr>
          <w:rFonts w:cs="Times New Roman"/>
          <w:bCs/>
          <w:sz w:val="26"/>
          <w:szCs w:val="26"/>
        </w:rPr>
      </w:pPr>
      <w:r w:rsidRPr="00444B17">
        <w:rPr>
          <w:rFonts w:cs="Times New Roman"/>
          <w:bCs/>
          <w:sz w:val="26"/>
          <w:szCs w:val="26"/>
        </w:rPr>
        <w:t xml:space="preserve">Pašlaik Finanšu ministrija ir apzinājusi to muitas noliktavu, kas atrodas vienā adresē ar akcīzes preču noliktavu, skaitu. Šobrīd (dati uz 12.09.2014.) komersantiem ir izsniegtas 150 atļaujas muitas noliktavu turēšanai, no tām 47 muitas noliktavas (t.sk. 16 noliktavas, kurām ir atļauja darbībām ar naftas produktiem) atrodas vienā adresē ar akcīzes preču noliktavu. </w:t>
      </w:r>
    </w:p>
    <w:p w14:paraId="1FC7A339" w14:textId="77777777" w:rsidR="004C6F58" w:rsidRPr="00444B17" w:rsidRDefault="004C6F58" w:rsidP="004C6F58">
      <w:pPr>
        <w:ind w:firstLine="720"/>
        <w:jc w:val="both"/>
        <w:rPr>
          <w:rFonts w:cs="Times New Roman"/>
          <w:bCs/>
          <w:color w:val="000000" w:themeColor="text1"/>
          <w:sz w:val="26"/>
          <w:szCs w:val="26"/>
        </w:rPr>
      </w:pPr>
      <w:r w:rsidRPr="00444B17">
        <w:rPr>
          <w:rFonts w:cs="Times New Roman"/>
          <w:bCs/>
          <w:sz w:val="26"/>
          <w:szCs w:val="26"/>
        </w:rPr>
        <w:t xml:space="preserve">Finanšu ministrija uzskata, ka ir nepieciešams turpināt diskusijas ar tranzīta un loģistikas nozares uzņēmēju </w:t>
      </w:r>
      <w:r w:rsidRPr="00444B17">
        <w:rPr>
          <w:rFonts w:cs="Times New Roman"/>
          <w:bCs/>
          <w:color w:val="000000" w:themeColor="text1"/>
          <w:sz w:val="26"/>
          <w:szCs w:val="26"/>
        </w:rPr>
        <w:t xml:space="preserve">asociācijām par normatīvo aktu izstrādi saistībā ar izteikto priekšlikumu par dažādu statusu noliktavu apvienošanu. </w:t>
      </w:r>
    </w:p>
    <w:p w14:paraId="48CD86A4" w14:textId="77777777" w:rsidR="004C6F58" w:rsidRPr="00444B17" w:rsidRDefault="004C6F58" w:rsidP="004C6F58">
      <w:pPr>
        <w:pStyle w:val="ListParagraph"/>
        <w:ind w:left="0" w:firstLine="720"/>
        <w:jc w:val="both"/>
        <w:rPr>
          <w:rFonts w:cs="Times New Roman"/>
          <w:b/>
          <w:bCs/>
          <w:i/>
          <w:sz w:val="26"/>
          <w:szCs w:val="26"/>
          <w:u w:val="single"/>
        </w:rPr>
      </w:pPr>
    </w:p>
    <w:p w14:paraId="0FB31F9E" w14:textId="77777777" w:rsidR="00D925E5" w:rsidRPr="00E93A1B" w:rsidRDefault="00D925E5" w:rsidP="006409D5">
      <w:pPr>
        <w:pStyle w:val="ListParagraph"/>
        <w:numPr>
          <w:ilvl w:val="0"/>
          <w:numId w:val="19"/>
        </w:numPr>
        <w:ind w:left="284" w:hanging="284"/>
        <w:jc w:val="both"/>
        <w:rPr>
          <w:rFonts w:cs="Times New Roman"/>
          <w:b/>
          <w:bCs/>
          <w:sz w:val="26"/>
          <w:szCs w:val="26"/>
        </w:rPr>
      </w:pPr>
      <w:r w:rsidRPr="00E93A1B">
        <w:rPr>
          <w:rFonts w:cs="Times New Roman"/>
          <w:b/>
          <w:bCs/>
          <w:sz w:val="26"/>
          <w:szCs w:val="26"/>
        </w:rPr>
        <w:t>Elektroniskā piegādes dokumenta metodikas izstrāde</w:t>
      </w:r>
    </w:p>
    <w:p w14:paraId="65D0A24C" w14:textId="77777777" w:rsidR="004236E6" w:rsidRPr="00444B17" w:rsidRDefault="004236E6" w:rsidP="00774809">
      <w:pPr>
        <w:spacing w:line="276" w:lineRule="auto"/>
        <w:contextualSpacing/>
        <w:jc w:val="both"/>
        <w:rPr>
          <w:rFonts w:cs="Times New Roman"/>
          <w:b/>
          <w:bCs/>
          <w:i/>
          <w:sz w:val="26"/>
          <w:szCs w:val="26"/>
          <w:u w:val="single"/>
        </w:rPr>
      </w:pPr>
      <w:r w:rsidRPr="00444B17">
        <w:rPr>
          <w:rFonts w:cs="Times New Roman"/>
          <w:b/>
          <w:bCs/>
          <w:i/>
          <w:sz w:val="26"/>
          <w:szCs w:val="26"/>
          <w:u w:val="single"/>
        </w:rPr>
        <w:t xml:space="preserve">Satiksmes ministrijas priekšlikums </w:t>
      </w:r>
    </w:p>
    <w:p w14:paraId="0FEF3CC4" w14:textId="77777777" w:rsidR="004236E6" w:rsidRPr="00444B17" w:rsidRDefault="004236E6" w:rsidP="004C6F58">
      <w:pPr>
        <w:ind w:firstLine="720"/>
        <w:jc w:val="both"/>
        <w:rPr>
          <w:rFonts w:eastAsia="MS Mincho" w:cs="Times New Roman"/>
          <w:b/>
          <w:sz w:val="26"/>
          <w:szCs w:val="26"/>
        </w:rPr>
      </w:pPr>
      <w:r w:rsidRPr="00444B17">
        <w:rPr>
          <w:rFonts w:eastAsia="MS Mincho" w:cs="Times New Roman"/>
          <w:b/>
          <w:sz w:val="26"/>
          <w:szCs w:val="26"/>
        </w:rPr>
        <w:t>Valsts ieņēmumu dienestam izstrādāt un publicēt savā interneta mājas lapā detalizētu instrukciju vai metodisko</w:t>
      </w:r>
      <w:r w:rsidR="00EF180B" w:rsidRPr="00444B17">
        <w:rPr>
          <w:rFonts w:eastAsia="MS Mincho" w:cs="Times New Roman"/>
          <w:b/>
          <w:sz w:val="26"/>
          <w:szCs w:val="26"/>
        </w:rPr>
        <w:t xml:space="preserve">s norādījumus komersantiem par </w:t>
      </w:r>
      <w:r w:rsidRPr="00444B17">
        <w:rPr>
          <w:rFonts w:eastAsia="MS Mincho" w:cs="Times New Roman"/>
          <w:b/>
          <w:sz w:val="26"/>
          <w:szCs w:val="26"/>
        </w:rPr>
        <w:t>elektroniskā preču piegādes dokumenta izmantošanu (ietverot tajā tipiskākos piemērus).</w:t>
      </w:r>
    </w:p>
    <w:p w14:paraId="67FAE80B" w14:textId="77777777" w:rsidR="004236E6" w:rsidRPr="00444B17" w:rsidRDefault="004236E6" w:rsidP="004C6F58">
      <w:pPr>
        <w:ind w:firstLine="720"/>
        <w:jc w:val="both"/>
        <w:rPr>
          <w:rFonts w:cs="Times New Roman"/>
          <w:sz w:val="26"/>
          <w:szCs w:val="26"/>
        </w:rPr>
      </w:pPr>
    </w:p>
    <w:p w14:paraId="1FA4DAB8" w14:textId="77777777" w:rsidR="00444B17" w:rsidRPr="00444B17" w:rsidRDefault="00444B17" w:rsidP="00444B17">
      <w:pPr>
        <w:ind w:firstLine="720"/>
        <w:jc w:val="both"/>
        <w:rPr>
          <w:rFonts w:cs="Times New Roman"/>
          <w:sz w:val="26"/>
          <w:szCs w:val="26"/>
        </w:rPr>
      </w:pPr>
      <w:r w:rsidRPr="00444B17">
        <w:rPr>
          <w:rFonts w:cs="Times New Roman"/>
          <w:sz w:val="26"/>
          <w:szCs w:val="26"/>
          <w:lang w:eastAsia="lv-LV"/>
        </w:rPr>
        <w:t>Finanšu ministrija norāda, ka Valsts ieņēmumu dienests 2012.gadā ir izstrādājis un publicējis Valsts ieņēmumu dienesta mājas lapā metodiskos materiālus par preču piegādes dokumenta lietošanas kārtību.</w:t>
      </w:r>
      <w:r w:rsidRPr="00444B17">
        <w:rPr>
          <w:rFonts w:cs="Times New Roman"/>
          <w:sz w:val="26"/>
          <w:szCs w:val="26"/>
        </w:rPr>
        <w:t xml:space="preserve"> </w:t>
      </w:r>
    </w:p>
    <w:p w14:paraId="12678DD4" w14:textId="77777777" w:rsidR="00444B17" w:rsidRPr="00444B17" w:rsidRDefault="00444B17" w:rsidP="00444B17">
      <w:pPr>
        <w:rPr>
          <w:rFonts w:cs="Times New Roman"/>
          <w:i/>
          <w:iCs/>
          <w:sz w:val="26"/>
          <w:szCs w:val="26"/>
        </w:rPr>
      </w:pPr>
      <w:r w:rsidRPr="00444B17">
        <w:rPr>
          <w:rFonts w:cs="Times New Roman"/>
          <w:sz w:val="26"/>
          <w:szCs w:val="26"/>
        </w:rPr>
        <w:t>(</w:t>
      </w:r>
      <w:hyperlink r:id="rId9" w:history="1">
        <w:r w:rsidRPr="00444B17">
          <w:rPr>
            <w:rStyle w:val="Hyperlink"/>
            <w:i/>
            <w:iCs/>
            <w:sz w:val="26"/>
            <w:szCs w:val="26"/>
          </w:rPr>
          <w:t>https://www.vid.gov.lv/dokumenti/tiesibu_akti/metodiskie%20materiāli/darijumu%20apliecinosie%20dokumenti/met_precu_pieg_dok_liet_kart.doc</w:t>
        </w:r>
      </w:hyperlink>
    </w:p>
    <w:p w14:paraId="387D1A0E" w14:textId="7479FEFB" w:rsidR="00AC4F40" w:rsidRPr="00444B17" w:rsidRDefault="00AC4F40" w:rsidP="00AC4F40">
      <w:pPr>
        <w:ind w:firstLine="720"/>
        <w:jc w:val="both"/>
        <w:rPr>
          <w:rFonts w:cs="Times New Roman"/>
          <w:sz w:val="26"/>
          <w:szCs w:val="26"/>
        </w:rPr>
      </w:pPr>
      <w:r w:rsidRPr="00444B17">
        <w:rPr>
          <w:rFonts w:cs="Times New Roman"/>
          <w:sz w:val="26"/>
          <w:szCs w:val="26"/>
        </w:rPr>
        <w:t>Papildus informējam, ka sākot ar 2012.gada 1.janvāri, Latvijas grāmatvedības jomu reglamentējošajos normatīvajos aktos pastāv divi atsevišķi dokumenti: attaisnojuma dokuments (rēķins) un preču piegādes dokuments. Attiecībā uz precēm preču piegādes dokumentā jānorāda</w:t>
      </w:r>
      <w:r>
        <w:rPr>
          <w:rFonts w:cs="Times New Roman"/>
          <w:sz w:val="26"/>
          <w:szCs w:val="26"/>
        </w:rPr>
        <w:t xml:space="preserve"> vismaz </w:t>
      </w:r>
      <w:r w:rsidRPr="00444B17">
        <w:rPr>
          <w:rFonts w:cs="Times New Roman"/>
          <w:sz w:val="26"/>
          <w:szCs w:val="26"/>
        </w:rPr>
        <w:t xml:space="preserve">preču nosaukums, mērvienība un daudzums. Preču piegādes dokumentu var nesagatavot, ja preču pārvietošana (kravas transportēšana) starptautiskajos vai iekšzemes darījumos notiek, pamatojoties uz starptautiskajiem vai iekšzemes pārvadājumu dokumentiem, kuri noformēti atbilstoši </w:t>
      </w:r>
      <w:r w:rsidRPr="00444B17">
        <w:rPr>
          <w:rFonts w:cs="Times New Roman"/>
          <w:sz w:val="26"/>
          <w:szCs w:val="26"/>
        </w:rPr>
        <w:lastRenderedPageBreak/>
        <w:t xml:space="preserve">attiecīgiem likumiem vai konvencijām. Tātad tikai tajos gadījumos, ja netiek formēts pārvadājuma dokuments, jānoformē preču piegādes dokuments. </w:t>
      </w:r>
      <w:r>
        <w:rPr>
          <w:rFonts w:cs="Times New Roman"/>
          <w:sz w:val="26"/>
          <w:szCs w:val="26"/>
        </w:rPr>
        <w:t>Savukārt ierakstus grāmatvedības reģistros jāpamato ar attaisnojuma dokumentu, kurš apliecina uzņēmuma saimnieciskā darījuma esamību un kurā viens no obligātajiem rekvizītiem ir jānorāda saimnieciskā darījuma mērītāji t.i., daudzumi un summas. Tas nozīmē, ja preču piegādes dokumentā vai pārvadājuma dokumentā nav iekļauta preču vienības cena un saimnieciskā darījuma novērtējums naudas izteiksmē, tad papildus tam jānoformē attaisnojuma dokuments atbilstoši likumā “Par grāmatvedību” noteiktajam.</w:t>
      </w:r>
    </w:p>
    <w:p w14:paraId="2D0545E1" w14:textId="77777777" w:rsidR="00444B17" w:rsidRPr="00444B17" w:rsidRDefault="00444B17" w:rsidP="00444B17">
      <w:pPr>
        <w:ind w:firstLine="720"/>
        <w:jc w:val="both"/>
        <w:rPr>
          <w:rFonts w:cs="Times New Roman"/>
          <w:sz w:val="26"/>
          <w:szCs w:val="26"/>
        </w:rPr>
      </w:pPr>
      <w:r w:rsidRPr="00444B17">
        <w:rPr>
          <w:rFonts w:cs="Times New Roman"/>
          <w:sz w:val="26"/>
          <w:szCs w:val="26"/>
        </w:rPr>
        <w:t>Attiecībā uz to, ka tiek prasīti papīra dokumenti – preču piegādes dokumentu ir atļauts nosūtīt elektroniski, nav noteikti nekādi ierobežojumi dokumentu elektroniskai apritei. Turklāt ir atļauts šo dokumentus arī neparakstīt, ja tas sagatavots elektroniski un darījuma puses (preču nosūtītājs un preču saņēmējs) to apliecinājušas (autorizējušas) kārtībā, kāda noteikta preču nosūtītāja un preču saņēmēja noslēgtajā līgumā par elektronisko datu apmaiņu un tās formātu. Minēto apliecina Ministru kabineta 2003.gada 21.oktobra noteikumu Nr.585 “Noteikumi par grāmatvedības kārtošanu un organizāciju” (turpmāk – noteikumi Nr.585) regulējums, tajā ir ietverts arī nosacījumi, ka preču piegādes dokumentam var būt ne tikai papīra formā. Tā ir darījuma partneru brīva izvēlē, kādā formā (papīra vai elektroniskā) sagatavo šo dokumentu, t.i., šo noteikumu 35.</w:t>
      </w:r>
      <w:r w:rsidRPr="00444B17">
        <w:rPr>
          <w:rFonts w:cs="Times New Roman"/>
          <w:sz w:val="26"/>
          <w:szCs w:val="26"/>
          <w:vertAlign w:val="superscript"/>
        </w:rPr>
        <w:t>14</w:t>
      </w:r>
      <w:r w:rsidRPr="00444B17">
        <w:rPr>
          <w:rFonts w:cs="Times New Roman"/>
          <w:sz w:val="26"/>
          <w:szCs w:val="26"/>
        </w:rPr>
        <w:t xml:space="preserve"> punkts nosaka, ka “Preču piegādes dokumentu var neparakstīt, ja tas sagatavots elektroniski un darījuma puses (preču nosūtītājs un preču saņēmējs) to apliecinājušas (autorizējušas) kārtībā, kāda noteikta preču nosūtītāja un preču saņēmēja noslēgtajā līgumā par elektronisko datu apmaiņu un tās formātu”.</w:t>
      </w:r>
    </w:p>
    <w:p w14:paraId="3E568F65" w14:textId="77777777" w:rsidR="00444B17" w:rsidRPr="00444B17" w:rsidRDefault="00444B17" w:rsidP="00444B17">
      <w:pPr>
        <w:ind w:firstLine="720"/>
        <w:jc w:val="both"/>
        <w:rPr>
          <w:rFonts w:cs="Times New Roman"/>
          <w:sz w:val="26"/>
          <w:szCs w:val="26"/>
        </w:rPr>
      </w:pPr>
      <w:r w:rsidRPr="00444B17">
        <w:rPr>
          <w:rFonts w:cs="Times New Roman"/>
          <w:sz w:val="26"/>
          <w:szCs w:val="26"/>
        </w:rPr>
        <w:t>Noteikumu Nr.585 35.</w:t>
      </w:r>
      <w:r w:rsidRPr="00444B17">
        <w:rPr>
          <w:rFonts w:cs="Times New Roman"/>
          <w:sz w:val="26"/>
          <w:szCs w:val="26"/>
          <w:vertAlign w:val="superscript"/>
        </w:rPr>
        <w:t>18</w:t>
      </w:r>
      <w:r w:rsidRPr="00444B17">
        <w:rPr>
          <w:rFonts w:cs="Times New Roman"/>
          <w:sz w:val="26"/>
          <w:szCs w:val="26"/>
        </w:rPr>
        <w:t xml:space="preserve"> punkts nosaka, ka preču piegādes dokumentu var nesagatavot, ja preču pārvietošana (kravas transportēšana) starptautiskajos vai iekšzemes darījumos notiek, pamatojoties uz starptautiskajiem vai iekšzemes pārvadājumu dokumentiem, kuri noformēti atbilstoši attiecīgiem likumiem vai konvencijām (turpmāk – pārvadājumu dokuments). </w:t>
      </w:r>
    </w:p>
    <w:p w14:paraId="19C7FA8C" w14:textId="77777777" w:rsidR="00D925E5" w:rsidRPr="00444B17" w:rsidRDefault="00D925E5" w:rsidP="00444B17">
      <w:pPr>
        <w:ind w:firstLine="720"/>
        <w:jc w:val="both"/>
        <w:rPr>
          <w:rFonts w:cs="Times New Roman"/>
          <w:bCs/>
          <w:sz w:val="26"/>
          <w:szCs w:val="26"/>
        </w:rPr>
      </w:pPr>
      <w:r w:rsidRPr="00444B17">
        <w:rPr>
          <w:rFonts w:cs="Times New Roman"/>
          <w:sz w:val="26"/>
          <w:szCs w:val="26"/>
        </w:rPr>
        <w:t xml:space="preserve">Tāpat vēršam uzmanību, ka </w:t>
      </w:r>
      <w:r w:rsidRPr="00444B17">
        <w:rPr>
          <w:rFonts w:cs="Times New Roman"/>
          <w:bCs/>
          <w:sz w:val="26"/>
          <w:szCs w:val="26"/>
        </w:rPr>
        <w:t>pavadzīmes saturu nosaka Autopārvadājumu likums.</w:t>
      </w:r>
    </w:p>
    <w:p w14:paraId="27E39312" w14:textId="77777777" w:rsidR="000C010A" w:rsidRPr="00444B17" w:rsidRDefault="000C010A" w:rsidP="00D925E5">
      <w:pPr>
        <w:ind w:firstLine="720"/>
        <w:jc w:val="both"/>
        <w:rPr>
          <w:rFonts w:cs="Times New Roman"/>
          <w:bCs/>
          <w:sz w:val="26"/>
          <w:szCs w:val="26"/>
        </w:rPr>
      </w:pPr>
    </w:p>
    <w:p w14:paraId="608DD495" w14:textId="77777777" w:rsidR="000C010A" w:rsidRPr="00444B17" w:rsidRDefault="000C010A" w:rsidP="00D925E5">
      <w:pPr>
        <w:ind w:firstLine="720"/>
        <w:jc w:val="both"/>
        <w:rPr>
          <w:rFonts w:cs="Times New Roman"/>
          <w:bCs/>
          <w:sz w:val="26"/>
          <w:szCs w:val="26"/>
        </w:rPr>
      </w:pPr>
    </w:p>
    <w:p w14:paraId="3C213710" w14:textId="07F2B400" w:rsidR="000C010A" w:rsidRPr="00444B17" w:rsidRDefault="000C010A" w:rsidP="000C010A">
      <w:pPr>
        <w:jc w:val="both"/>
        <w:rPr>
          <w:rFonts w:cs="Times New Roman"/>
          <w:bCs/>
          <w:sz w:val="26"/>
          <w:szCs w:val="26"/>
        </w:rPr>
      </w:pPr>
      <w:r w:rsidRPr="00444B17">
        <w:rPr>
          <w:rFonts w:cs="Times New Roman"/>
          <w:bCs/>
          <w:sz w:val="26"/>
          <w:szCs w:val="26"/>
        </w:rPr>
        <w:t>Finanšu ministrs</w:t>
      </w:r>
      <w:r w:rsidRPr="00444B17">
        <w:rPr>
          <w:rFonts w:cs="Times New Roman"/>
          <w:bCs/>
          <w:sz w:val="26"/>
          <w:szCs w:val="26"/>
        </w:rPr>
        <w:tab/>
      </w:r>
      <w:r w:rsidRPr="00444B17">
        <w:rPr>
          <w:rFonts w:cs="Times New Roman"/>
          <w:bCs/>
          <w:sz w:val="26"/>
          <w:szCs w:val="26"/>
        </w:rPr>
        <w:tab/>
      </w:r>
      <w:r w:rsidRPr="00444B17">
        <w:rPr>
          <w:rFonts w:cs="Times New Roman"/>
          <w:bCs/>
          <w:sz w:val="26"/>
          <w:szCs w:val="26"/>
        </w:rPr>
        <w:tab/>
      </w:r>
      <w:r w:rsidRPr="00444B17">
        <w:rPr>
          <w:rFonts w:cs="Times New Roman"/>
          <w:bCs/>
          <w:sz w:val="26"/>
          <w:szCs w:val="26"/>
        </w:rPr>
        <w:tab/>
      </w:r>
      <w:r w:rsidRPr="00444B17">
        <w:rPr>
          <w:rFonts w:cs="Times New Roman"/>
          <w:bCs/>
          <w:sz w:val="26"/>
          <w:szCs w:val="26"/>
        </w:rPr>
        <w:tab/>
      </w:r>
      <w:r w:rsidRPr="00444B17">
        <w:rPr>
          <w:rFonts w:cs="Times New Roman"/>
          <w:bCs/>
          <w:sz w:val="26"/>
          <w:szCs w:val="26"/>
        </w:rPr>
        <w:tab/>
      </w:r>
      <w:r w:rsidRPr="00444B17">
        <w:rPr>
          <w:rFonts w:cs="Times New Roman"/>
          <w:bCs/>
          <w:sz w:val="26"/>
          <w:szCs w:val="26"/>
        </w:rPr>
        <w:tab/>
      </w:r>
      <w:r w:rsidR="00991AA2">
        <w:rPr>
          <w:rFonts w:cs="Times New Roman"/>
          <w:bCs/>
          <w:sz w:val="26"/>
          <w:szCs w:val="26"/>
        </w:rPr>
        <w:t xml:space="preserve">                         </w:t>
      </w:r>
      <w:proofErr w:type="spellStart"/>
      <w:r w:rsidRPr="00444B17">
        <w:rPr>
          <w:rFonts w:cs="Times New Roman"/>
          <w:bCs/>
          <w:sz w:val="26"/>
          <w:szCs w:val="26"/>
        </w:rPr>
        <w:t>A.Vilks</w:t>
      </w:r>
      <w:proofErr w:type="spellEnd"/>
    </w:p>
    <w:p w14:paraId="614A3FF8" w14:textId="77777777" w:rsidR="00444B17" w:rsidRDefault="00444B17" w:rsidP="000C010A">
      <w:pPr>
        <w:jc w:val="both"/>
        <w:rPr>
          <w:sz w:val="20"/>
          <w:szCs w:val="26"/>
        </w:rPr>
      </w:pPr>
    </w:p>
    <w:p w14:paraId="2B9CAA9E" w14:textId="77777777" w:rsidR="007278A6" w:rsidRDefault="007278A6" w:rsidP="000C010A">
      <w:pPr>
        <w:jc w:val="both"/>
        <w:rPr>
          <w:sz w:val="20"/>
          <w:szCs w:val="26"/>
        </w:rPr>
      </w:pPr>
    </w:p>
    <w:p w14:paraId="344A4112" w14:textId="77777777" w:rsidR="007278A6" w:rsidRDefault="007278A6" w:rsidP="000C010A">
      <w:pPr>
        <w:jc w:val="both"/>
        <w:rPr>
          <w:sz w:val="20"/>
          <w:szCs w:val="26"/>
        </w:rPr>
      </w:pPr>
    </w:p>
    <w:p w14:paraId="1FAF28EE" w14:textId="77777777" w:rsidR="007278A6" w:rsidRDefault="007278A6" w:rsidP="000C010A">
      <w:pPr>
        <w:jc w:val="both"/>
        <w:rPr>
          <w:sz w:val="20"/>
          <w:szCs w:val="26"/>
        </w:rPr>
      </w:pPr>
    </w:p>
    <w:p w14:paraId="2B3EBD86" w14:textId="32CA81A3" w:rsidR="000C010A" w:rsidRPr="00592C18" w:rsidRDefault="00090300" w:rsidP="000C010A">
      <w:pPr>
        <w:jc w:val="both"/>
        <w:rPr>
          <w:sz w:val="20"/>
          <w:szCs w:val="26"/>
        </w:rPr>
      </w:pPr>
      <w:r>
        <w:rPr>
          <w:sz w:val="20"/>
          <w:szCs w:val="26"/>
        </w:rPr>
        <w:t>26</w:t>
      </w:r>
      <w:r w:rsidR="000C010A">
        <w:rPr>
          <w:sz w:val="20"/>
          <w:szCs w:val="26"/>
        </w:rPr>
        <w:t>.09</w:t>
      </w:r>
      <w:r w:rsidR="000C010A" w:rsidRPr="00592C18">
        <w:rPr>
          <w:sz w:val="20"/>
          <w:szCs w:val="26"/>
        </w:rPr>
        <w:t>.201</w:t>
      </w:r>
      <w:r w:rsidR="000C010A">
        <w:rPr>
          <w:sz w:val="20"/>
          <w:szCs w:val="26"/>
        </w:rPr>
        <w:t>4</w:t>
      </w:r>
      <w:r w:rsidR="000C010A" w:rsidRPr="00592C18">
        <w:rPr>
          <w:sz w:val="20"/>
          <w:szCs w:val="26"/>
        </w:rPr>
        <w:t xml:space="preserve">. </w:t>
      </w:r>
      <w:r w:rsidR="000C010A">
        <w:rPr>
          <w:sz w:val="20"/>
          <w:szCs w:val="26"/>
        </w:rPr>
        <w:t>14:55</w:t>
      </w:r>
    </w:p>
    <w:p w14:paraId="20F97BA6" w14:textId="04C59974" w:rsidR="000C010A" w:rsidRPr="00592C18" w:rsidRDefault="007278A6" w:rsidP="000C010A">
      <w:pPr>
        <w:tabs>
          <w:tab w:val="center" w:pos="4535"/>
        </w:tabs>
        <w:jc w:val="both"/>
        <w:rPr>
          <w:sz w:val="20"/>
          <w:szCs w:val="26"/>
        </w:rPr>
      </w:pPr>
      <w:r>
        <w:rPr>
          <w:sz w:val="20"/>
          <w:szCs w:val="26"/>
        </w:rPr>
        <w:t>4749</w:t>
      </w:r>
    </w:p>
    <w:p w14:paraId="1E094B1A" w14:textId="77777777" w:rsidR="000C010A" w:rsidRPr="00592C18" w:rsidRDefault="000C010A" w:rsidP="000C010A">
      <w:pPr>
        <w:jc w:val="both"/>
        <w:rPr>
          <w:sz w:val="20"/>
          <w:szCs w:val="26"/>
        </w:rPr>
      </w:pPr>
      <w:bookmarkStart w:id="0" w:name="_GoBack"/>
      <w:proofErr w:type="spellStart"/>
      <w:r>
        <w:rPr>
          <w:sz w:val="20"/>
          <w:szCs w:val="26"/>
        </w:rPr>
        <w:t>I.Tomiņa</w:t>
      </w:r>
      <w:proofErr w:type="spellEnd"/>
    </w:p>
    <w:p w14:paraId="6592D5F9" w14:textId="77777777" w:rsidR="000C010A" w:rsidRPr="00592C18" w:rsidRDefault="000C010A" w:rsidP="000C010A">
      <w:pPr>
        <w:jc w:val="both"/>
        <w:rPr>
          <w:sz w:val="20"/>
          <w:szCs w:val="26"/>
        </w:rPr>
      </w:pPr>
      <w:r w:rsidRPr="00592C18">
        <w:rPr>
          <w:sz w:val="20"/>
          <w:szCs w:val="26"/>
        </w:rPr>
        <w:t>6709556</w:t>
      </w:r>
      <w:r>
        <w:rPr>
          <w:sz w:val="20"/>
          <w:szCs w:val="26"/>
        </w:rPr>
        <w:t>6</w:t>
      </w:r>
    </w:p>
    <w:p w14:paraId="01769005" w14:textId="15A1F069" w:rsidR="000C010A" w:rsidRPr="00FA49E5" w:rsidRDefault="002F3275" w:rsidP="000C010A">
      <w:pPr>
        <w:jc w:val="both"/>
        <w:rPr>
          <w:sz w:val="20"/>
          <w:szCs w:val="26"/>
        </w:rPr>
      </w:pPr>
      <w:hyperlink r:id="rId10" w:history="1">
        <w:r w:rsidR="000C010A">
          <w:rPr>
            <w:rStyle w:val="Hyperlink"/>
            <w:sz w:val="20"/>
            <w:szCs w:val="26"/>
          </w:rPr>
          <w:t>Irita.Tomina</w:t>
        </w:r>
        <w:r w:rsidR="000C010A" w:rsidRPr="00592C18">
          <w:rPr>
            <w:rStyle w:val="Hyperlink"/>
            <w:sz w:val="20"/>
            <w:szCs w:val="26"/>
          </w:rPr>
          <w:t>@fm.gov.lv</w:t>
        </w:r>
      </w:hyperlink>
      <w:bookmarkEnd w:id="0"/>
    </w:p>
    <w:sectPr w:rsidR="000C010A" w:rsidRPr="00FA49E5" w:rsidSect="004B11A0">
      <w:headerReference w:type="default" r:id="rId11"/>
      <w:footerReference w:type="default" r:id="rId12"/>
      <w:footerReference w:type="first" r:id="rId13"/>
      <w:pgSz w:w="11906" w:h="16838"/>
      <w:pgMar w:top="1440" w:right="1133"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E8A18" w14:textId="77777777" w:rsidR="002F3275" w:rsidRDefault="002F3275" w:rsidP="004B11A0">
      <w:r>
        <w:separator/>
      </w:r>
    </w:p>
  </w:endnote>
  <w:endnote w:type="continuationSeparator" w:id="0">
    <w:p w14:paraId="7F79F505" w14:textId="77777777" w:rsidR="002F3275" w:rsidRDefault="002F3275" w:rsidP="004B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F9916" w14:textId="0251AFB7" w:rsidR="000C010A" w:rsidRPr="000C010A" w:rsidRDefault="00B04DD9" w:rsidP="000C010A">
    <w:pPr>
      <w:pStyle w:val="ListParagraph"/>
      <w:spacing w:line="240" w:lineRule="auto"/>
      <w:ind w:left="0"/>
      <w:jc w:val="both"/>
      <w:rPr>
        <w:bCs/>
        <w:sz w:val="20"/>
        <w:szCs w:val="20"/>
      </w:rPr>
    </w:pPr>
    <w:r>
      <w:rPr>
        <w:sz w:val="20"/>
        <w:szCs w:val="20"/>
      </w:rPr>
      <w:t>FMZino_26</w:t>
    </w:r>
    <w:r w:rsidR="000C010A" w:rsidRPr="000C010A">
      <w:rPr>
        <w:sz w:val="20"/>
        <w:szCs w:val="20"/>
      </w:rPr>
      <w:t xml:space="preserve">0914_TLjoma; </w:t>
    </w:r>
    <w:r w:rsidR="000C010A" w:rsidRPr="000C010A">
      <w:rPr>
        <w:bCs/>
        <w:sz w:val="20"/>
        <w:szCs w:val="20"/>
      </w:rPr>
      <w:t xml:space="preserve">Informatīvais ziņojums </w:t>
    </w:r>
    <w:r w:rsidR="00FA6ED9">
      <w:rPr>
        <w:bCs/>
        <w:sz w:val="20"/>
        <w:szCs w:val="20"/>
      </w:rPr>
      <w:t>“P</w:t>
    </w:r>
    <w:r w:rsidR="000C010A" w:rsidRPr="000C010A">
      <w:rPr>
        <w:bCs/>
        <w:sz w:val="20"/>
        <w:szCs w:val="20"/>
      </w:rPr>
      <w:t>ar Satiksmes ministrijas izvirzītajiem priekšlikumiem Krievijas ekonomisko sankciju negatīvo seku mazināšanai tranzīta un loģistikas jomā</w:t>
    </w:r>
    <w:r w:rsidR="00FA6ED9">
      <w:rPr>
        <w:bCs/>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0788C" w14:textId="50B3E7EE" w:rsidR="000C010A" w:rsidRPr="000C010A" w:rsidRDefault="00B04DD9" w:rsidP="000C010A">
    <w:pPr>
      <w:pStyle w:val="ListParagraph"/>
      <w:spacing w:line="240" w:lineRule="auto"/>
      <w:ind w:left="0"/>
      <w:jc w:val="both"/>
      <w:rPr>
        <w:bCs/>
        <w:sz w:val="20"/>
        <w:szCs w:val="20"/>
      </w:rPr>
    </w:pPr>
    <w:r>
      <w:rPr>
        <w:sz w:val="20"/>
        <w:szCs w:val="20"/>
      </w:rPr>
      <w:t>FMZino_26</w:t>
    </w:r>
    <w:r w:rsidR="000C010A" w:rsidRPr="000C010A">
      <w:rPr>
        <w:sz w:val="20"/>
        <w:szCs w:val="20"/>
      </w:rPr>
      <w:t xml:space="preserve">0914_TLjoma; </w:t>
    </w:r>
    <w:r w:rsidR="000C010A" w:rsidRPr="000C010A">
      <w:rPr>
        <w:bCs/>
        <w:sz w:val="20"/>
        <w:szCs w:val="20"/>
      </w:rPr>
      <w:t xml:space="preserve">Informatīvais ziņojums </w:t>
    </w:r>
    <w:r w:rsidR="00FA6ED9">
      <w:rPr>
        <w:bCs/>
        <w:sz w:val="20"/>
        <w:szCs w:val="20"/>
      </w:rPr>
      <w:t>“P</w:t>
    </w:r>
    <w:r w:rsidR="000C010A" w:rsidRPr="000C010A">
      <w:rPr>
        <w:bCs/>
        <w:sz w:val="20"/>
        <w:szCs w:val="20"/>
      </w:rPr>
      <w:t>ar Satiksmes ministrijas izvirzītajiem priekšlikumiem Krievijas ekonomisko sankciju negatīvo seku mazināšanai tranzīta un loģistikas jomā</w:t>
    </w:r>
    <w:r w:rsidR="00FA6ED9">
      <w:rPr>
        <w:bCs/>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41D42" w14:textId="77777777" w:rsidR="002F3275" w:rsidRDefault="002F3275" w:rsidP="004B11A0">
      <w:r>
        <w:separator/>
      </w:r>
    </w:p>
  </w:footnote>
  <w:footnote w:type="continuationSeparator" w:id="0">
    <w:p w14:paraId="64B1DFA0" w14:textId="77777777" w:rsidR="002F3275" w:rsidRDefault="002F3275" w:rsidP="004B1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20521"/>
      <w:docPartObj>
        <w:docPartGallery w:val="Page Numbers (Top of Page)"/>
        <w:docPartUnique/>
      </w:docPartObj>
    </w:sdtPr>
    <w:sdtEndPr>
      <w:rPr>
        <w:noProof/>
      </w:rPr>
    </w:sdtEndPr>
    <w:sdtContent>
      <w:p w14:paraId="75145B81" w14:textId="77777777" w:rsidR="004236E6" w:rsidRDefault="004236E6">
        <w:pPr>
          <w:pStyle w:val="Header"/>
          <w:jc w:val="center"/>
        </w:pPr>
        <w:r>
          <w:fldChar w:fldCharType="begin"/>
        </w:r>
        <w:r>
          <w:instrText xml:space="preserve"> PAGE   \* MERGEFORMAT </w:instrText>
        </w:r>
        <w:r>
          <w:fldChar w:fldCharType="separate"/>
        </w:r>
        <w:r w:rsidR="00BB1FDC">
          <w:rPr>
            <w:noProof/>
          </w:rPr>
          <w:t>13</w:t>
        </w:r>
        <w:r>
          <w:rPr>
            <w:noProof/>
          </w:rPr>
          <w:fldChar w:fldCharType="end"/>
        </w:r>
      </w:p>
    </w:sdtContent>
  </w:sdt>
  <w:p w14:paraId="29075A7A" w14:textId="77777777" w:rsidR="004B11A0" w:rsidRPr="000C010A" w:rsidRDefault="004B11A0">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D76CB"/>
    <w:multiLevelType w:val="hybridMultilevel"/>
    <w:tmpl w:val="4552DD1A"/>
    <w:lvl w:ilvl="0" w:tplc="B6BCEE12">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BC71587"/>
    <w:multiLevelType w:val="multilevel"/>
    <w:tmpl w:val="D9E260CC"/>
    <w:lvl w:ilvl="0">
      <w:start w:val="1"/>
      <w:numFmt w:val="decimal"/>
      <w:lvlText w:val="%1."/>
      <w:lvlJc w:val="left"/>
      <w:pPr>
        <w:ind w:left="360" w:hanging="360"/>
      </w:pPr>
      <w:rPr>
        <w:rFonts w:ascii="Times New Roman" w:eastAsiaTheme="minorHAnsi" w:hAnsi="Times New Roman" w:cstheme="min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C8762F"/>
    <w:multiLevelType w:val="hybridMultilevel"/>
    <w:tmpl w:val="6D5A6FD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0F6A14FC"/>
    <w:multiLevelType w:val="hybridMultilevel"/>
    <w:tmpl w:val="52504314"/>
    <w:lvl w:ilvl="0" w:tplc="6C6CCEE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C5C1ABD"/>
    <w:multiLevelType w:val="hybridMultilevel"/>
    <w:tmpl w:val="21DAEDF6"/>
    <w:lvl w:ilvl="0" w:tplc="B47686F4">
      <w:start w:val="1"/>
      <w:numFmt w:val="bullet"/>
      <w:lvlText w:val=""/>
      <w:lvlJc w:val="left"/>
      <w:pPr>
        <w:ind w:left="1069" w:hanging="360"/>
      </w:pPr>
      <w:rPr>
        <w:rFonts w:ascii="Symbol" w:hAnsi="Symbol" w:hint="default"/>
        <w:sz w:val="22"/>
      </w:rPr>
    </w:lvl>
    <w:lvl w:ilvl="1" w:tplc="04260003">
      <w:start w:val="1"/>
      <w:numFmt w:val="bullet"/>
      <w:lvlText w:val="o"/>
      <w:lvlJc w:val="left"/>
      <w:pPr>
        <w:ind w:left="1789" w:hanging="360"/>
      </w:pPr>
      <w:rPr>
        <w:rFonts w:ascii="Courier New" w:hAnsi="Courier New" w:cs="Times New Roman" w:hint="default"/>
      </w:rPr>
    </w:lvl>
    <w:lvl w:ilvl="2" w:tplc="04260005">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start w:val="1"/>
      <w:numFmt w:val="bullet"/>
      <w:lvlText w:val="o"/>
      <w:lvlJc w:val="left"/>
      <w:pPr>
        <w:ind w:left="3949" w:hanging="360"/>
      </w:pPr>
      <w:rPr>
        <w:rFonts w:ascii="Courier New" w:hAnsi="Courier New" w:cs="Times New Roman" w:hint="default"/>
      </w:rPr>
    </w:lvl>
    <w:lvl w:ilvl="5" w:tplc="04260005">
      <w:start w:val="1"/>
      <w:numFmt w:val="bullet"/>
      <w:lvlText w:val=""/>
      <w:lvlJc w:val="left"/>
      <w:pPr>
        <w:ind w:left="4669" w:hanging="360"/>
      </w:pPr>
      <w:rPr>
        <w:rFonts w:ascii="Wingdings" w:hAnsi="Wingdings" w:hint="default"/>
      </w:rPr>
    </w:lvl>
    <w:lvl w:ilvl="6" w:tplc="04260001">
      <w:start w:val="1"/>
      <w:numFmt w:val="bullet"/>
      <w:lvlText w:val=""/>
      <w:lvlJc w:val="left"/>
      <w:pPr>
        <w:ind w:left="5389" w:hanging="360"/>
      </w:pPr>
      <w:rPr>
        <w:rFonts w:ascii="Symbol" w:hAnsi="Symbol" w:hint="default"/>
      </w:rPr>
    </w:lvl>
    <w:lvl w:ilvl="7" w:tplc="04260003">
      <w:start w:val="1"/>
      <w:numFmt w:val="bullet"/>
      <w:lvlText w:val="o"/>
      <w:lvlJc w:val="left"/>
      <w:pPr>
        <w:ind w:left="6109" w:hanging="360"/>
      </w:pPr>
      <w:rPr>
        <w:rFonts w:ascii="Courier New" w:hAnsi="Courier New" w:cs="Times New Roman" w:hint="default"/>
      </w:rPr>
    </w:lvl>
    <w:lvl w:ilvl="8" w:tplc="04260005">
      <w:start w:val="1"/>
      <w:numFmt w:val="bullet"/>
      <w:lvlText w:val=""/>
      <w:lvlJc w:val="left"/>
      <w:pPr>
        <w:ind w:left="6829" w:hanging="360"/>
      </w:pPr>
      <w:rPr>
        <w:rFonts w:ascii="Wingdings" w:hAnsi="Wingdings" w:hint="default"/>
      </w:rPr>
    </w:lvl>
  </w:abstractNum>
  <w:abstractNum w:abstractNumId="5">
    <w:nsid w:val="24F20BDE"/>
    <w:multiLevelType w:val="hybridMultilevel"/>
    <w:tmpl w:val="F9C82CA4"/>
    <w:lvl w:ilvl="0" w:tplc="BAD4D6C4">
      <w:start w:val="1"/>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AA23E63"/>
    <w:multiLevelType w:val="hybridMultilevel"/>
    <w:tmpl w:val="C6AEB88A"/>
    <w:lvl w:ilvl="0" w:tplc="BAD4D6C4">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7">
    <w:nsid w:val="3618792F"/>
    <w:multiLevelType w:val="multilevel"/>
    <w:tmpl w:val="A8C076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8C60F2D"/>
    <w:multiLevelType w:val="hybridMultilevel"/>
    <w:tmpl w:val="D6FC1298"/>
    <w:lvl w:ilvl="0" w:tplc="0426000F">
      <w:start w:val="1"/>
      <w:numFmt w:val="decimal"/>
      <w:lvlText w:val="%1."/>
      <w:lvlJc w:val="left"/>
      <w:pPr>
        <w:ind w:left="1070" w:hanging="360"/>
      </w:pPr>
      <w:rPr>
        <w:color w:val="auto"/>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nsid w:val="4B9146B2"/>
    <w:multiLevelType w:val="hybridMultilevel"/>
    <w:tmpl w:val="BC28C2F8"/>
    <w:lvl w:ilvl="0" w:tplc="6C6CCEEA">
      <w:numFmt w:val="bullet"/>
      <w:lvlText w:val="-"/>
      <w:lvlJc w:val="left"/>
      <w:pPr>
        <w:ind w:left="1069" w:hanging="360"/>
      </w:pPr>
      <w:rPr>
        <w:rFonts w:ascii="Times New Roman" w:eastAsia="Times New Roman" w:hAnsi="Times New Roman" w:cs="Times New Roman" w:hint="default"/>
        <w:sz w:val="22"/>
      </w:rPr>
    </w:lvl>
    <w:lvl w:ilvl="1" w:tplc="04260003">
      <w:start w:val="1"/>
      <w:numFmt w:val="bullet"/>
      <w:lvlText w:val="o"/>
      <w:lvlJc w:val="left"/>
      <w:pPr>
        <w:ind w:left="1789" w:hanging="360"/>
      </w:pPr>
      <w:rPr>
        <w:rFonts w:ascii="Courier New" w:hAnsi="Courier New" w:cs="Times New Roman" w:hint="default"/>
      </w:rPr>
    </w:lvl>
    <w:lvl w:ilvl="2" w:tplc="04260005">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start w:val="1"/>
      <w:numFmt w:val="bullet"/>
      <w:lvlText w:val="o"/>
      <w:lvlJc w:val="left"/>
      <w:pPr>
        <w:ind w:left="3949" w:hanging="360"/>
      </w:pPr>
      <w:rPr>
        <w:rFonts w:ascii="Courier New" w:hAnsi="Courier New" w:cs="Times New Roman" w:hint="default"/>
      </w:rPr>
    </w:lvl>
    <w:lvl w:ilvl="5" w:tplc="04260005">
      <w:start w:val="1"/>
      <w:numFmt w:val="bullet"/>
      <w:lvlText w:val=""/>
      <w:lvlJc w:val="left"/>
      <w:pPr>
        <w:ind w:left="4669" w:hanging="360"/>
      </w:pPr>
      <w:rPr>
        <w:rFonts w:ascii="Wingdings" w:hAnsi="Wingdings" w:hint="default"/>
      </w:rPr>
    </w:lvl>
    <w:lvl w:ilvl="6" w:tplc="04260001">
      <w:start w:val="1"/>
      <w:numFmt w:val="bullet"/>
      <w:lvlText w:val=""/>
      <w:lvlJc w:val="left"/>
      <w:pPr>
        <w:ind w:left="5389" w:hanging="360"/>
      </w:pPr>
      <w:rPr>
        <w:rFonts w:ascii="Symbol" w:hAnsi="Symbol" w:hint="default"/>
      </w:rPr>
    </w:lvl>
    <w:lvl w:ilvl="7" w:tplc="04260003">
      <w:start w:val="1"/>
      <w:numFmt w:val="bullet"/>
      <w:lvlText w:val="o"/>
      <w:lvlJc w:val="left"/>
      <w:pPr>
        <w:ind w:left="6109" w:hanging="360"/>
      </w:pPr>
      <w:rPr>
        <w:rFonts w:ascii="Courier New" w:hAnsi="Courier New" w:cs="Times New Roman" w:hint="default"/>
      </w:rPr>
    </w:lvl>
    <w:lvl w:ilvl="8" w:tplc="04260005">
      <w:start w:val="1"/>
      <w:numFmt w:val="bullet"/>
      <w:lvlText w:val=""/>
      <w:lvlJc w:val="left"/>
      <w:pPr>
        <w:ind w:left="6829" w:hanging="360"/>
      </w:pPr>
      <w:rPr>
        <w:rFonts w:ascii="Wingdings" w:hAnsi="Wingdings" w:hint="default"/>
      </w:rPr>
    </w:lvl>
  </w:abstractNum>
  <w:abstractNum w:abstractNumId="10">
    <w:nsid w:val="550E4738"/>
    <w:multiLevelType w:val="hybridMultilevel"/>
    <w:tmpl w:val="B1AA783E"/>
    <w:lvl w:ilvl="0" w:tplc="D7461F50">
      <w:start w:val="1"/>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Times New Roman"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Times New Roman"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Times New Roman" w:hint="default"/>
      </w:rPr>
    </w:lvl>
    <w:lvl w:ilvl="8" w:tplc="04260005">
      <w:start w:val="1"/>
      <w:numFmt w:val="bullet"/>
      <w:lvlText w:val=""/>
      <w:lvlJc w:val="left"/>
      <w:pPr>
        <w:ind w:left="6840" w:hanging="360"/>
      </w:pPr>
      <w:rPr>
        <w:rFonts w:ascii="Wingdings" w:hAnsi="Wingdings" w:hint="default"/>
      </w:rPr>
    </w:lvl>
  </w:abstractNum>
  <w:abstractNum w:abstractNumId="11">
    <w:nsid w:val="55480180"/>
    <w:multiLevelType w:val="hybridMultilevel"/>
    <w:tmpl w:val="642683CE"/>
    <w:lvl w:ilvl="0" w:tplc="D8E0C70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8701A9A"/>
    <w:multiLevelType w:val="hybridMultilevel"/>
    <w:tmpl w:val="A822D432"/>
    <w:lvl w:ilvl="0" w:tplc="4330F2D6">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5A7F0DBF"/>
    <w:multiLevelType w:val="multilevel"/>
    <w:tmpl w:val="0020255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14">
    <w:nsid w:val="5EA53B22"/>
    <w:multiLevelType w:val="hybridMultilevel"/>
    <w:tmpl w:val="E2C2BE50"/>
    <w:lvl w:ilvl="0" w:tplc="04260017">
      <w:start w:val="1"/>
      <w:numFmt w:val="lowerLetter"/>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5">
    <w:nsid w:val="6037620D"/>
    <w:multiLevelType w:val="hybridMultilevel"/>
    <w:tmpl w:val="27902C6E"/>
    <w:lvl w:ilvl="0" w:tplc="04260001">
      <w:start w:val="1"/>
      <w:numFmt w:val="bullet"/>
      <w:lvlText w:val=""/>
      <w:lvlJc w:val="left"/>
      <w:pPr>
        <w:ind w:left="720" w:hanging="360"/>
      </w:pPr>
      <w:rPr>
        <w:rFonts w:ascii="Symbol" w:hAnsi="Symbol" w:hint="default"/>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nsid w:val="61222331"/>
    <w:multiLevelType w:val="hybridMultilevel"/>
    <w:tmpl w:val="370E9008"/>
    <w:lvl w:ilvl="0" w:tplc="2F9CE6E2">
      <w:start w:val="1"/>
      <w:numFmt w:val="decimal"/>
      <w:lvlText w:val="%1)"/>
      <w:lvlJc w:val="left"/>
      <w:pPr>
        <w:ind w:left="1070" w:hanging="360"/>
      </w:pPr>
      <w:rPr>
        <w:rFonts w:ascii="Times New Roman" w:eastAsia="Calibri" w:hAnsi="Times New Roman" w:cs="Times New Roman"/>
        <w:color w:val="auto"/>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nsid w:val="760A1F7A"/>
    <w:multiLevelType w:val="multilevel"/>
    <w:tmpl w:val="846C89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6"/>
  </w:num>
  <w:num w:numId="3">
    <w:abstractNumId w:val="16"/>
  </w:num>
  <w:num w:numId="4">
    <w:abstractNumId w:val="15"/>
  </w:num>
  <w:num w:numId="5">
    <w:abstractNumId w:val="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5"/>
  </w:num>
  <w:num w:numId="9">
    <w:abstractNumId w:val="10"/>
  </w:num>
  <w:num w:numId="10">
    <w:abstractNumId w:val="4"/>
  </w:num>
  <w:num w:numId="11">
    <w:abstractNumId w:val="14"/>
  </w:num>
  <w:num w:numId="12">
    <w:abstractNumId w:val="5"/>
  </w:num>
  <w:num w:numId="13">
    <w:abstractNumId w:val="1"/>
  </w:num>
  <w:num w:numId="14">
    <w:abstractNumId w:val="12"/>
  </w:num>
  <w:num w:numId="15">
    <w:abstractNumId w:val="11"/>
  </w:num>
  <w:num w:numId="16">
    <w:abstractNumId w:val="3"/>
  </w:num>
  <w:num w:numId="17">
    <w:abstractNumId w:val="9"/>
  </w:num>
  <w:num w:numId="18">
    <w:abstractNumId w:val="7"/>
  </w:num>
  <w:num w:numId="19">
    <w:abstractNumId w:val="17"/>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AC"/>
    <w:rsid w:val="000056E6"/>
    <w:rsid w:val="00066459"/>
    <w:rsid w:val="00087330"/>
    <w:rsid w:val="00090300"/>
    <w:rsid w:val="000C010A"/>
    <w:rsid w:val="000D6BD7"/>
    <w:rsid w:val="0011006D"/>
    <w:rsid w:val="00131638"/>
    <w:rsid w:val="001544D5"/>
    <w:rsid w:val="00175CC4"/>
    <w:rsid w:val="00182E86"/>
    <w:rsid w:val="001B046B"/>
    <w:rsid w:val="001B223B"/>
    <w:rsid w:val="001B75D2"/>
    <w:rsid w:val="001D628B"/>
    <w:rsid w:val="00210240"/>
    <w:rsid w:val="002136A0"/>
    <w:rsid w:val="00273905"/>
    <w:rsid w:val="002A6F5C"/>
    <w:rsid w:val="002B6D3D"/>
    <w:rsid w:val="002C1A9A"/>
    <w:rsid w:val="002C6967"/>
    <w:rsid w:val="002C72C1"/>
    <w:rsid w:val="002F3275"/>
    <w:rsid w:val="003063B6"/>
    <w:rsid w:val="00340AFB"/>
    <w:rsid w:val="003437CA"/>
    <w:rsid w:val="003450C1"/>
    <w:rsid w:val="003849D3"/>
    <w:rsid w:val="00393AB5"/>
    <w:rsid w:val="00411B69"/>
    <w:rsid w:val="004236E6"/>
    <w:rsid w:val="00444B17"/>
    <w:rsid w:val="00451F5F"/>
    <w:rsid w:val="004743EF"/>
    <w:rsid w:val="00475F4C"/>
    <w:rsid w:val="004A34B4"/>
    <w:rsid w:val="004B0DDD"/>
    <w:rsid w:val="004B11A0"/>
    <w:rsid w:val="004C6F58"/>
    <w:rsid w:val="004D76EF"/>
    <w:rsid w:val="00515318"/>
    <w:rsid w:val="005628F9"/>
    <w:rsid w:val="00594C85"/>
    <w:rsid w:val="005A6DF6"/>
    <w:rsid w:val="006358BB"/>
    <w:rsid w:val="006409D5"/>
    <w:rsid w:val="0069451B"/>
    <w:rsid w:val="006C7E88"/>
    <w:rsid w:val="006E40B4"/>
    <w:rsid w:val="00716943"/>
    <w:rsid w:val="0071797B"/>
    <w:rsid w:val="007278A6"/>
    <w:rsid w:val="00756535"/>
    <w:rsid w:val="00774809"/>
    <w:rsid w:val="00792E3D"/>
    <w:rsid w:val="007A1A02"/>
    <w:rsid w:val="007C2EEE"/>
    <w:rsid w:val="007F1CD0"/>
    <w:rsid w:val="00831DCD"/>
    <w:rsid w:val="00842792"/>
    <w:rsid w:val="00847CA9"/>
    <w:rsid w:val="00875A0F"/>
    <w:rsid w:val="00884164"/>
    <w:rsid w:val="00896D69"/>
    <w:rsid w:val="008C46C3"/>
    <w:rsid w:val="008E1840"/>
    <w:rsid w:val="00991AA2"/>
    <w:rsid w:val="009B342E"/>
    <w:rsid w:val="009C6155"/>
    <w:rsid w:val="009C64A9"/>
    <w:rsid w:val="009E2B03"/>
    <w:rsid w:val="009F4B22"/>
    <w:rsid w:val="00A03AAC"/>
    <w:rsid w:val="00A1039B"/>
    <w:rsid w:val="00A86C1B"/>
    <w:rsid w:val="00AB57A0"/>
    <w:rsid w:val="00AC4F40"/>
    <w:rsid w:val="00AD6275"/>
    <w:rsid w:val="00AE4853"/>
    <w:rsid w:val="00B01BCC"/>
    <w:rsid w:val="00B04DD9"/>
    <w:rsid w:val="00B20E12"/>
    <w:rsid w:val="00B40DD6"/>
    <w:rsid w:val="00BB1203"/>
    <w:rsid w:val="00BB1FDC"/>
    <w:rsid w:val="00BC3C4C"/>
    <w:rsid w:val="00BC4578"/>
    <w:rsid w:val="00BC64C1"/>
    <w:rsid w:val="00BE08AC"/>
    <w:rsid w:val="00C1775E"/>
    <w:rsid w:val="00C17875"/>
    <w:rsid w:val="00C44DE1"/>
    <w:rsid w:val="00C61912"/>
    <w:rsid w:val="00C65A67"/>
    <w:rsid w:val="00C87612"/>
    <w:rsid w:val="00CC6C18"/>
    <w:rsid w:val="00CE1AF7"/>
    <w:rsid w:val="00D14DC8"/>
    <w:rsid w:val="00D21B46"/>
    <w:rsid w:val="00D42D19"/>
    <w:rsid w:val="00D77143"/>
    <w:rsid w:val="00D925E5"/>
    <w:rsid w:val="00DA739E"/>
    <w:rsid w:val="00DC2E35"/>
    <w:rsid w:val="00DE7AB2"/>
    <w:rsid w:val="00E13A17"/>
    <w:rsid w:val="00E27F44"/>
    <w:rsid w:val="00E3508A"/>
    <w:rsid w:val="00E433E1"/>
    <w:rsid w:val="00E81C16"/>
    <w:rsid w:val="00E93A1B"/>
    <w:rsid w:val="00EA6CD6"/>
    <w:rsid w:val="00EB4E3F"/>
    <w:rsid w:val="00EF180B"/>
    <w:rsid w:val="00F31966"/>
    <w:rsid w:val="00F70478"/>
    <w:rsid w:val="00F70854"/>
    <w:rsid w:val="00F95F6C"/>
    <w:rsid w:val="00F96B8B"/>
    <w:rsid w:val="00FA49E5"/>
    <w:rsid w:val="00FA6ED9"/>
    <w:rsid w:val="00FA7504"/>
    <w:rsid w:val="00FC641E"/>
    <w:rsid w:val="00FD15AB"/>
    <w:rsid w:val="00FD74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1BC0"/>
  <w15:chartTrackingRefBased/>
  <w15:docId w15:val="{A5EC04EE-1BD4-4DCF-A1D0-F6A4ADDB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E08AC"/>
    <w:pPr>
      <w:spacing w:line="276" w:lineRule="auto"/>
      <w:ind w:left="720"/>
      <w:contextualSpacing/>
    </w:pPr>
    <w:rPr>
      <w:sz w:val="28"/>
    </w:rPr>
  </w:style>
  <w:style w:type="character" w:customStyle="1" w:styleId="ListParagraphChar">
    <w:name w:val="List Paragraph Char"/>
    <w:link w:val="ListParagraph"/>
    <w:uiPriority w:val="34"/>
    <w:locked/>
    <w:rsid w:val="00BE08AC"/>
    <w:rPr>
      <w:sz w:val="28"/>
    </w:rPr>
  </w:style>
  <w:style w:type="character" w:styleId="Hyperlink">
    <w:name w:val="Hyperlink"/>
    <w:basedOn w:val="DefaultParagraphFont"/>
    <w:uiPriority w:val="99"/>
    <w:unhideWhenUsed/>
    <w:rsid w:val="00BE08AC"/>
    <w:rPr>
      <w:rFonts w:ascii="Times New Roman" w:hAnsi="Times New Roman" w:cs="Times New Roman" w:hint="default"/>
      <w:color w:val="0000FF"/>
      <w:u w:val="single"/>
    </w:rPr>
  </w:style>
  <w:style w:type="paragraph" w:styleId="TOC1">
    <w:name w:val="toc 1"/>
    <w:basedOn w:val="Normal"/>
    <w:next w:val="Normal"/>
    <w:autoRedefine/>
    <w:uiPriority w:val="39"/>
    <w:rsid w:val="00BE08AC"/>
    <w:pPr>
      <w:tabs>
        <w:tab w:val="left" w:pos="440"/>
        <w:tab w:val="right" w:leader="dot" w:pos="9072"/>
      </w:tabs>
      <w:spacing w:before="60" w:after="40"/>
    </w:pPr>
    <w:rPr>
      <w:rFonts w:eastAsia="MS Mincho" w:cs="Times New Roman"/>
      <w:b/>
      <w:noProof/>
      <w:sz w:val="28"/>
      <w:szCs w:val="28"/>
    </w:rPr>
  </w:style>
  <w:style w:type="paragraph" w:styleId="TOC2">
    <w:name w:val="toc 2"/>
    <w:basedOn w:val="Normal"/>
    <w:next w:val="Normal"/>
    <w:autoRedefine/>
    <w:uiPriority w:val="39"/>
    <w:unhideWhenUsed/>
    <w:rsid w:val="00BE08AC"/>
    <w:pPr>
      <w:tabs>
        <w:tab w:val="left" w:pos="851"/>
        <w:tab w:val="right" w:leader="dot" w:pos="9061"/>
      </w:tabs>
      <w:spacing w:after="100"/>
      <w:ind w:left="280"/>
    </w:pPr>
    <w:rPr>
      <w:sz w:val="28"/>
    </w:rPr>
  </w:style>
  <w:style w:type="character" w:customStyle="1" w:styleId="spelle">
    <w:name w:val="spelle"/>
    <w:basedOn w:val="DefaultParagraphFont"/>
    <w:rsid w:val="00BE08AC"/>
  </w:style>
  <w:style w:type="paragraph" w:styleId="BodyText">
    <w:name w:val="Body Text"/>
    <w:basedOn w:val="Normal"/>
    <w:link w:val="BodyTextChar"/>
    <w:uiPriority w:val="99"/>
    <w:semiHidden/>
    <w:unhideWhenUsed/>
    <w:rsid w:val="00D925E5"/>
    <w:pPr>
      <w:spacing w:after="120"/>
      <w:jc w:val="both"/>
    </w:pPr>
    <w:rPr>
      <w:rFonts w:eastAsia="Times New Roman" w:cs="Times New Roman"/>
      <w:szCs w:val="20"/>
    </w:rPr>
  </w:style>
  <w:style w:type="character" w:customStyle="1" w:styleId="BodyTextChar">
    <w:name w:val="Body Text Char"/>
    <w:basedOn w:val="DefaultParagraphFont"/>
    <w:link w:val="BodyText"/>
    <w:uiPriority w:val="99"/>
    <w:semiHidden/>
    <w:rsid w:val="00D925E5"/>
    <w:rPr>
      <w:rFonts w:eastAsia="Times New Roman" w:cs="Times New Roman"/>
      <w:szCs w:val="20"/>
    </w:rPr>
  </w:style>
  <w:style w:type="character" w:customStyle="1" w:styleId="BodyText2">
    <w:name w:val="Body Text2"/>
    <w:basedOn w:val="DefaultParagraphFont"/>
    <w:rsid w:val="00D925E5"/>
    <w:rPr>
      <w:rFonts w:ascii="Times New Roman" w:hAnsi="Times New Roman" w:cs="Times New Roman" w:hint="default"/>
      <w:color w:val="000000"/>
      <w:spacing w:val="0"/>
      <w:position w:val="0"/>
      <w:shd w:val="clear" w:color="auto" w:fill="FFFFFF"/>
      <w:lang w:eastAsia="lv-LV"/>
    </w:rPr>
  </w:style>
  <w:style w:type="paragraph" w:customStyle="1" w:styleId="c13">
    <w:name w:val="c13"/>
    <w:basedOn w:val="Normal"/>
    <w:uiPriority w:val="99"/>
    <w:rsid w:val="00D925E5"/>
    <w:pPr>
      <w:spacing w:before="100" w:beforeAutospacing="1" w:after="100" w:afterAutospacing="1"/>
      <w:ind w:firstLine="720"/>
      <w:jc w:val="both"/>
    </w:pPr>
    <w:rPr>
      <w:rFonts w:cs="Times New Roman"/>
      <w:szCs w:val="24"/>
      <w:lang w:eastAsia="lv-LV"/>
    </w:rPr>
  </w:style>
  <w:style w:type="character" w:customStyle="1" w:styleId="c10">
    <w:name w:val="c10"/>
    <w:basedOn w:val="DefaultParagraphFont"/>
    <w:rsid w:val="00D925E5"/>
  </w:style>
  <w:style w:type="paragraph" w:styleId="NoSpacing">
    <w:name w:val="No Spacing"/>
    <w:uiPriority w:val="1"/>
    <w:qFormat/>
    <w:rsid w:val="00D925E5"/>
    <w:rPr>
      <w:rFonts w:eastAsia="Calibri" w:cs="Times New Roman"/>
      <w:sz w:val="28"/>
      <w:szCs w:val="28"/>
      <w:lang w:val="en-GB"/>
    </w:rPr>
  </w:style>
  <w:style w:type="paragraph" w:customStyle="1" w:styleId="naisnod">
    <w:name w:val="naisnod"/>
    <w:basedOn w:val="Normal"/>
    <w:uiPriority w:val="99"/>
    <w:rsid w:val="00AE4853"/>
    <w:pPr>
      <w:spacing w:before="150" w:after="150"/>
      <w:jc w:val="center"/>
    </w:pPr>
    <w:rPr>
      <w:rFonts w:cs="Times New Roman"/>
      <w:b/>
      <w:bCs/>
      <w:sz w:val="20"/>
      <w:szCs w:val="20"/>
      <w:lang w:eastAsia="lv-LV"/>
    </w:rPr>
  </w:style>
  <w:style w:type="paragraph" w:styleId="BalloonText">
    <w:name w:val="Balloon Text"/>
    <w:basedOn w:val="Normal"/>
    <w:link w:val="BalloonTextChar"/>
    <w:uiPriority w:val="99"/>
    <w:semiHidden/>
    <w:unhideWhenUsed/>
    <w:rsid w:val="00CC6C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C18"/>
    <w:rPr>
      <w:rFonts w:ascii="Segoe UI" w:hAnsi="Segoe UI" w:cs="Segoe UI"/>
      <w:sz w:val="18"/>
      <w:szCs w:val="18"/>
    </w:rPr>
  </w:style>
  <w:style w:type="paragraph" w:styleId="Header">
    <w:name w:val="header"/>
    <w:basedOn w:val="Normal"/>
    <w:link w:val="HeaderChar"/>
    <w:uiPriority w:val="99"/>
    <w:unhideWhenUsed/>
    <w:rsid w:val="004B11A0"/>
    <w:pPr>
      <w:tabs>
        <w:tab w:val="center" w:pos="4153"/>
        <w:tab w:val="right" w:pos="8306"/>
      </w:tabs>
    </w:pPr>
  </w:style>
  <w:style w:type="character" w:customStyle="1" w:styleId="HeaderChar">
    <w:name w:val="Header Char"/>
    <w:basedOn w:val="DefaultParagraphFont"/>
    <w:link w:val="Header"/>
    <w:uiPriority w:val="99"/>
    <w:rsid w:val="004B11A0"/>
  </w:style>
  <w:style w:type="paragraph" w:styleId="Footer">
    <w:name w:val="footer"/>
    <w:basedOn w:val="Normal"/>
    <w:link w:val="FooterChar"/>
    <w:uiPriority w:val="99"/>
    <w:unhideWhenUsed/>
    <w:rsid w:val="004B11A0"/>
    <w:pPr>
      <w:tabs>
        <w:tab w:val="center" w:pos="4153"/>
        <w:tab w:val="right" w:pos="8306"/>
      </w:tabs>
    </w:pPr>
  </w:style>
  <w:style w:type="character" w:customStyle="1" w:styleId="FooterChar">
    <w:name w:val="Footer Char"/>
    <w:basedOn w:val="DefaultParagraphFont"/>
    <w:link w:val="Footer"/>
    <w:uiPriority w:val="99"/>
    <w:rsid w:val="004B11A0"/>
  </w:style>
  <w:style w:type="character" w:styleId="FollowedHyperlink">
    <w:name w:val="FollowedHyperlink"/>
    <w:basedOn w:val="DefaultParagraphFont"/>
    <w:uiPriority w:val="99"/>
    <w:semiHidden/>
    <w:unhideWhenUsed/>
    <w:rsid w:val="00EB4E3F"/>
    <w:rPr>
      <w:color w:val="954F72" w:themeColor="followedHyperlink"/>
      <w:u w:val="single"/>
    </w:rPr>
  </w:style>
  <w:style w:type="character" w:styleId="CommentReference">
    <w:name w:val="annotation reference"/>
    <w:basedOn w:val="DefaultParagraphFont"/>
    <w:uiPriority w:val="99"/>
    <w:semiHidden/>
    <w:unhideWhenUsed/>
    <w:rsid w:val="00E3508A"/>
    <w:rPr>
      <w:sz w:val="16"/>
      <w:szCs w:val="16"/>
    </w:rPr>
  </w:style>
  <w:style w:type="paragraph" w:styleId="CommentText">
    <w:name w:val="annotation text"/>
    <w:basedOn w:val="Normal"/>
    <w:link w:val="CommentTextChar"/>
    <w:uiPriority w:val="99"/>
    <w:semiHidden/>
    <w:unhideWhenUsed/>
    <w:rsid w:val="00E3508A"/>
    <w:rPr>
      <w:sz w:val="20"/>
      <w:szCs w:val="20"/>
    </w:rPr>
  </w:style>
  <w:style w:type="character" w:customStyle="1" w:styleId="CommentTextChar">
    <w:name w:val="Comment Text Char"/>
    <w:basedOn w:val="DefaultParagraphFont"/>
    <w:link w:val="CommentText"/>
    <w:uiPriority w:val="99"/>
    <w:semiHidden/>
    <w:rsid w:val="00E3508A"/>
    <w:rPr>
      <w:sz w:val="20"/>
      <w:szCs w:val="20"/>
    </w:rPr>
  </w:style>
  <w:style w:type="paragraph" w:styleId="CommentSubject">
    <w:name w:val="annotation subject"/>
    <w:basedOn w:val="CommentText"/>
    <w:next w:val="CommentText"/>
    <w:link w:val="CommentSubjectChar"/>
    <w:uiPriority w:val="99"/>
    <w:semiHidden/>
    <w:unhideWhenUsed/>
    <w:rsid w:val="00E3508A"/>
    <w:rPr>
      <w:b/>
      <w:bCs/>
    </w:rPr>
  </w:style>
  <w:style w:type="character" w:customStyle="1" w:styleId="CommentSubjectChar">
    <w:name w:val="Comment Subject Char"/>
    <w:basedOn w:val="CommentTextChar"/>
    <w:link w:val="CommentSubject"/>
    <w:uiPriority w:val="99"/>
    <w:semiHidden/>
    <w:rsid w:val="00E350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40365">
      <w:bodyDiv w:val="1"/>
      <w:marLeft w:val="0"/>
      <w:marRight w:val="0"/>
      <w:marTop w:val="0"/>
      <w:marBottom w:val="0"/>
      <w:divBdr>
        <w:top w:val="none" w:sz="0" w:space="0" w:color="auto"/>
        <w:left w:val="none" w:sz="0" w:space="0" w:color="auto"/>
        <w:bottom w:val="none" w:sz="0" w:space="0" w:color="auto"/>
        <w:right w:val="none" w:sz="0" w:space="0" w:color="auto"/>
      </w:divBdr>
    </w:div>
    <w:div w:id="74014868">
      <w:bodyDiv w:val="1"/>
      <w:marLeft w:val="0"/>
      <w:marRight w:val="0"/>
      <w:marTop w:val="0"/>
      <w:marBottom w:val="0"/>
      <w:divBdr>
        <w:top w:val="none" w:sz="0" w:space="0" w:color="auto"/>
        <w:left w:val="none" w:sz="0" w:space="0" w:color="auto"/>
        <w:bottom w:val="none" w:sz="0" w:space="0" w:color="auto"/>
        <w:right w:val="none" w:sz="0" w:space="0" w:color="auto"/>
      </w:divBdr>
    </w:div>
    <w:div w:id="114905275">
      <w:bodyDiv w:val="1"/>
      <w:marLeft w:val="0"/>
      <w:marRight w:val="0"/>
      <w:marTop w:val="0"/>
      <w:marBottom w:val="0"/>
      <w:divBdr>
        <w:top w:val="none" w:sz="0" w:space="0" w:color="auto"/>
        <w:left w:val="none" w:sz="0" w:space="0" w:color="auto"/>
        <w:bottom w:val="none" w:sz="0" w:space="0" w:color="auto"/>
        <w:right w:val="none" w:sz="0" w:space="0" w:color="auto"/>
      </w:divBdr>
    </w:div>
    <w:div w:id="1659115154">
      <w:bodyDiv w:val="1"/>
      <w:marLeft w:val="0"/>
      <w:marRight w:val="0"/>
      <w:marTop w:val="0"/>
      <w:marBottom w:val="0"/>
      <w:divBdr>
        <w:top w:val="none" w:sz="0" w:space="0" w:color="auto"/>
        <w:left w:val="none" w:sz="0" w:space="0" w:color="auto"/>
        <w:bottom w:val="none" w:sz="0" w:space="0" w:color="auto"/>
        <w:right w:val="none" w:sz="0" w:space="0" w:color="auto"/>
      </w:divBdr>
    </w:div>
    <w:div w:id="213818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AUTO/?uri=celex:32013L004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lanta.Krastina@fm.gov.lv" TargetMode="External"/><Relationship Id="rId4" Type="http://schemas.openxmlformats.org/officeDocument/2006/relationships/settings" Target="settings.xml"/><Relationship Id="rId9" Type="http://schemas.openxmlformats.org/officeDocument/2006/relationships/hyperlink" Target="https://www.vid.gov.lv/dokumenti/tiesibu_akti/metodiskie%20materi&#257;li/darijumu%20apliecinosie%20dokumenti/met_precu_pieg_dok_liet_kart.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632D7-8A81-4058-B437-437D0D0A6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24745</Words>
  <Characters>14105</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Satiksmes ministrijas izvirzītajiem priekšlikumiem Krievijas ekonomisko sankciju negatīvo seku mazināšanai tranzīta un loģistikas jomā</dc:title>
  <dc:subject>Informatīvais ziņojums</dc:subject>
  <dc:creator>Irita Tomiņa</dc:creator>
  <cp:keywords/>
  <dc:description>I.Tomiņa
67095566
Irita.Tomina@fm.gov.lv</dc:description>
  <cp:lastModifiedBy>Marija Radeiko</cp:lastModifiedBy>
  <cp:revision>6</cp:revision>
  <cp:lastPrinted>2014-09-26T13:03:00Z</cp:lastPrinted>
  <dcterms:created xsi:type="dcterms:W3CDTF">2014-09-26T12:43:00Z</dcterms:created>
  <dcterms:modified xsi:type="dcterms:W3CDTF">2014-09-29T06:58:00Z</dcterms:modified>
</cp:coreProperties>
</file>