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Pr="005643BB" w:rsidRDefault="00BD39F9" w:rsidP="00BD39F9">
      <w:pPr>
        <w:jc w:val="center"/>
        <w:rPr>
          <w:b/>
        </w:rPr>
      </w:pPr>
      <w:r w:rsidRPr="005643BB">
        <w:rPr>
          <w:b/>
        </w:rPr>
        <w:t>Informatīvais ziņojums</w:t>
      </w:r>
    </w:p>
    <w:p w:rsidR="00BD39F9" w:rsidRDefault="00BD39F9" w:rsidP="00BD39F9">
      <w:pPr>
        <w:ind w:firstLine="709"/>
        <w:jc w:val="center"/>
        <w:rPr>
          <w:b/>
        </w:rPr>
      </w:pPr>
      <w:r w:rsidRPr="00E41CA8">
        <w:rPr>
          <w:b/>
        </w:rPr>
        <w:t xml:space="preserve">„Par Eiropas Stabilizācijas mehānisma </w:t>
      </w:r>
      <w:r>
        <w:rPr>
          <w:b/>
        </w:rPr>
        <w:t>darbību 2013.gadā</w:t>
      </w:r>
      <w:r w:rsidRPr="00E41CA8">
        <w:rPr>
          <w:b/>
        </w:rPr>
        <w:t>”</w:t>
      </w:r>
    </w:p>
    <w:p w:rsidR="00BD39F9" w:rsidRDefault="00BD39F9" w:rsidP="00BD39F9">
      <w:pPr>
        <w:ind w:firstLine="709"/>
        <w:rPr>
          <w:highlight w:val="yellow"/>
        </w:rPr>
      </w:pPr>
      <w:r>
        <w:rPr>
          <w:highlight w:val="yellow"/>
        </w:rPr>
        <w:br w:type="page"/>
      </w:r>
    </w:p>
    <w:p w:rsidR="00BD39F9" w:rsidRDefault="00BD39F9" w:rsidP="00BD39F9">
      <w:pPr>
        <w:ind w:firstLine="709"/>
        <w:jc w:val="both"/>
        <w:rPr>
          <w:color w:val="000000"/>
          <w:spacing w:val="-6"/>
        </w:rPr>
      </w:pPr>
      <w:r>
        <w:lastRenderedPageBreak/>
        <w:t>Šā gada 7.februārī spēkā stājās likums „Par Eiropas Stabilitātes mehānisma dibināšanu”, kas pieņēma un apstiprināja Līgumu par Eiropas Stabilitātes mehānisma izveidošanu (turpmāk – Līgums), un likums „</w:t>
      </w:r>
      <w:r w:rsidRPr="0034386F">
        <w:t>Par Latvijas pārstāvību Eiropas Stabilitātes mehānisma Valdē un Direktoru padomē</w:t>
      </w:r>
      <w:r>
        <w:t xml:space="preserve">”, kas </w:t>
      </w:r>
      <w:r>
        <w:rPr>
          <w:color w:val="000000"/>
          <w:spacing w:val="-6"/>
        </w:rPr>
        <w:t xml:space="preserve">nosaka Latvijas puses pilnvarojumu saņemšanas kārtību Latvijas pārstāvjiem </w:t>
      </w:r>
      <w:r>
        <w:t>Eiropas Stabilitātes mehānisma (turpmāk – ESM)</w:t>
      </w:r>
      <w:r>
        <w:rPr>
          <w:color w:val="000000"/>
          <w:spacing w:val="-6"/>
        </w:rPr>
        <w:t xml:space="preserve"> Valdē un Direktoru padomē pieņemt konkrētu veidu lēmumus. Pēc tam, kad šā gada 21.februārī tika deponēts pievienošanās instruments, atbilstoši </w:t>
      </w:r>
      <w:r>
        <w:t>Līguma 48.panta trešajā daļā noteiktajam Latvija 13.martā kļuva par ESM dalībnieci ar pilnām tiesībām un pienākumiem.</w:t>
      </w:r>
    </w:p>
    <w:p w:rsidR="00BD39F9" w:rsidRPr="007622C3" w:rsidRDefault="00522FBC" w:rsidP="00D11F24">
      <w:pPr>
        <w:ind w:firstLine="709"/>
        <w:jc w:val="both"/>
      </w:pPr>
      <w:r>
        <w:t>L</w:t>
      </w:r>
      <w:r w:rsidR="004370EC">
        <w:t xml:space="preserve">ikuma </w:t>
      </w:r>
      <w:r>
        <w:t xml:space="preserve">“Par Latvijas pārstāvību Eiropas Stabilitātes mehānisma Valdē un Direktoru padomē” </w:t>
      </w:r>
      <w:r w:rsidR="004370EC">
        <w:t xml:space="preserve">7.pantā ir noteikts, ka Ministru kabinets katru gadu ne vēlāk kā trīs mēnešus pēc ESM gada pārskata publicēšanas iesniedz Saeimai ziņojumu par ESM darbību </w:t>
      </w:r>
      <w:r>
        <w:t xml:space="preserve">iepriekšējā gadā. </w:t>
      </w:r>
      <w:r w:rsidR="00BD39F9">
        <w:t xml:space="preserve">Šajā nolūkā Ministru kabineta sēdes </w:t>
      </w:r>
      <w:proofErr w:type="spellStart"/>
      <w:r w:rsidR="00BD39F9">
        <w:t>protokollēmums</w:t>
      </w:r>
      <w:proofErr w:type="spellEnd"/>
      <w:r w:rsidR="00BD39F9">
        <w:t xml:space="preserve"> paredz </w:t>
      </w:r>
      <w:r w:rsidR="00D11F24">
        <w:t xml:space="preserve">pieņemt zināšanai informatīvo ziņojumu un to nosūtīt Saeimai. </w:t>
      </w:r>
    </w:p>
    <w:p w:rsidR="004370EC" w:rsidRDefault="004370EC" w:rsidP="009D759F"/>
    <w:p w:rsidR="00AF6E01" w:rsidRDefault="00AF6E01" w:rsidP="009D759F"/>
    <w:p w:rsidR="00821ABE" w:rsidRPr="00821ABE" w:rsidRDefault="0067361D" w:rsidP="0067361D">
      <w:pPr>
        <w:jc w:val="center"/>
        <w:rPr>
          <w:b/>
        </w:rPr>
      </w:pPr>
      <w:r w:rsidRPr="0067361D">
        <w:rPr>
          <w:b/>
        </w:rPr>
        <w:t>1.</w:t>
      </w:r>
      <w:r>
        <w:t xml:space="preserve"> </w:t>
      </w:r>
      <w:r w:rsidR="00821ABE" w:rsidRPr="00821ABE">
        <w:rPr>
          <w:b/>
        </w:rPr>
        <w:t>Fin</w:t>
      </w:r>
      <w:r w:rsidR="00D43DE7">
        <w:rPr>
          <w:b/>
        </w:rPr>
        <w:t xml:space="preserve">anšu un ekonomiskā pārvaldība </w:t>
      </w:r>
      <w:proofErr w:type="spellStart"/>
      <w:r w:rsidR="00D43DE7">
        <w:rPr>
          <w:b/>
        </w:rPr>
        <w:t>eirozonā</w:t>
      </w:r>
      <w:proofErr w:type="spellEnd"/>
      <w:r w:rsidR="00D43DE7">
        <w:rPr>
          <w:b/>
        </w:rPr>
        <w:t xml:space="preserve"> un </w:t>
      </w:r>
      <w:r w:rsidR="00821ABE" w:rsidRPr="00821ABE">
        <w:rPr>
          <w:b/>
        </w:rPr>
        <w:t>ESM loma tajā</w:t>
      </w:r>
    </w:p>
    <w:p w:rsidR="00821ABE" w:rsidRDefault="00821ABE" w:rsidP="00085635">
      <w:pPr>
        <w:jc w:val="both"/>
      </w:pPr>
    </w:p>
    <w:p w:rsidR="00B51911" w:rsidRDefault="002F7FB5" w:rsidP="00B51911">
      <w:pPr>
        <w:ind w:firstLine="720"/>
        <w:jc w:val="both"/>
      </w:pPr>
      <w:r>
        <w:t xml:space="preserve">Turpinot mazināties nenoteiktībai par vienotās valūtas nākotni, </w:t>
      </w:r>
      <w:r w:rsidR="001A7C49">
        <w:t xml:space="preserve">2013.gads </w:t>
      </w:r>
      <w:proofErr w:type="spellStart"/>
      <w:r w:rsidR="00A4502C">
        <w:t>eiro</w:t>
      </w:r>
      <w:r w:rsidR="001A7C49">
        <w:t>zon</w:t>
      </w:r>
      <w:r>
        <w:t>as</w:t>
      </w:r>
      <w:proofErr w:type="spellEnd"/>
      <w:r>
        <w:t xml:space="preserve"> ekonomiskajā attīstībā</w:t>
      </w:r>
      <w:r w:rsidR="001A7C49">
        <w:t xml:space="preserve"> </w:t>
      </w:r>
      <w:r w:rsidR="00A4502C">
        <w:t>iezīmēja</w:t>
      </w:r>
      <w:r w:rsidR="008C5F43">
        <w:t xml:space="preserve"> stabilizācijas periodu</w:t>
      </w:r>
      <w:r w:rsidR="001A7C49">
        <w:t xml:space="preserve">. 2013.gada decembrī tika </w:t>
      </w:r>
      <w:r w:rsidR="00B51911">
        <w:t>noslēgta</w:t>
      </w:r>
      <w:r w:rsidR="001A7C49">
        <w:t xml:space="preserve"> finansiālās palīdzības programma Spānijas finanšu sektoram, kļūstot par pirmo veiksmīgi noslēgto ESM programmu kopš tā dibināšanas 2012.gada oktobrī. </w:t>
      </w:r>
    </w:p>
    <w:p w:rsidR="002F7FB5" w:rsidRDefault="00BD06C7" w:rsidP="008015BB">
      <w:pPr>
        <w:ind w:firstLine="720"/>
        <w:jc w:val="both"/>
      </w:pPr>
      <w:r>
        <w:t xml:space="preserve">Iepriekšējos gados atsevišķu </w:t>
      </w:r>
      <w:proofErr w:type="spellStart"/>
      <w:r>
        <w:t>eirozonas</w:t>
      </w:r>
      <w:proofErr w:type="spellEnd"/>
      <w:r>
        <w:t xml:space="preserve"> valstu finanšu </w:t>
      </w:r>
      <w:r w:rsidR="00A4502C">
        <w:t xml:space="preserve">problēmas </w:t>
      </w:r>
      <w:r w:rsidR="00B51911">
        <w:t>galvenokārt</w:t>
      </w:r>
      <w:r>
        <w:t xml:space="preserve"> </w:t>
      </w:r>
      <w:r w:rsidR="00331EFA">
        <w:t xml:space="preserve">noteica </w:t>
      </w:r>
      <w:r>
        <w:t xml:space="preserve">izveidojušās </w:t>
      </w:r>
      <w:r w:rsidR="00331EFA">
        <w:t xml:space="preserve">makroekonomiskās nesabalansētības, ko </w:t>
      </w:r>
      <w:r w:rsidR="00A4502C">
        <w:t>veicināja</w:t>
      </w:r>
      <w:r w:rsidR="00331EFA">
        <w:t xml:space="preserve"> realizētā neatbilstošā ekonomiskā politika, viegli ievainojama</w:t>
      </w:r>
      <w:r>
        <w:t>is</w:t>
      </w:r>
      <w:r w:rsidR="00331EFA">
        <w:t xml:space="preserve"> banku </w:t>
      </w:r>
      <w:r>
        <w:t>sektors</w:t>
      </w:r>
      <w:r w:rsidR="00331EFA">
        <w:t xml:space="preserve"> un </w:t>
      </w:r>
      <w:r w:rsidR="00A4502C">
        <w:t>neefektīva</w:t>
      </w:r>
      <w:r w:rsidR="00B51911">
        <w:t>s</w:t>
      </w:r>
      <w:r w:rsidR="00331EFA">
        <w:t xml:space="preserve"> valstu pārvaldes </w:t>
      </w:r>
      <w:r w:rsidR="00A4502C">
        <w:t>sistēma</w:t>
      </w:r>
      <w:r w:rsidR="00B51911">
        <w:t>s</w:t>
      </w:r>
      <w:r w:rsidR="00331EFA">
        <w:t xml:space="preserve">. </w:t>
      </w:r>
      <w:r w:rsidR="0073395D">
        <w:t xml:space="preserve">Lai pārvarētu sarežģījumus publiskajās finansēs, dalībvalstis ir veikušas </w:t>
      </w:r>
      <w:r w:rsidR="00B51911">
        <w:t>ievērojam</w:t>
      </w:r>
      <w:r w:rsidR="008015BB">
        <w:t>u</w:t>
      </w:r>
      <w:r w:rsidR="00B51911">
        <w:t>s</w:t>
      </w:r>
      <w:r w:rsidR="0073395D">
        <w:t xml:space="preserve"> fiskālās konsolidācijas </w:t>
      </w:r>
      <w:r w:rsidR="008015BB">
        <w:t>pasākumus</w:t>
      </w:r>
      <w:r w:rsidR="0073395D">
        <w:t xml:space="preserve"> ar mērķi mazināt to </w:t>
      </w:r>
      <w:r w:rsidR="008015BB">
        <w:t>budžeta</w:t>
      </w:r>
      <w:r w:rsidR="0073395D">
        <w:t xml:space="preserve"> deficītu</w:t>
      </w:r>
      <w:r w:rsidR="00B51911">
        <w:t>s</w:t>
      </w:r>
      <w:r w:rsidR="0073395D">
        <w:t xml:space="preserve"> un atgūt investoru uzticību.</w:t>
      </w:r>
      <w:r w:rsidR="008015BB">
        <w:t xml:space="preserve"> Kopš 2009.gada vidējais valsts </w:t>
      </w:r>
      <w:r w:rsidR="009A545C">
        <w:t xml:space="preserve">budžeta </w:t>
      </w:r>
      <w:r w:rsidR="008015BB">
        <w:t>deficīts eiro zonas va</w:t>
      </w:r>
      <w:r w:rsidR="00ED2E60">
        <w:t>lstīs ir būtiski samazinājies, bet</w:t>
      </w:r>
      <w:r w:rsidR="008015BB">
        <w:t xml:space="preserve"> valstīs, kurās tika </w:t>
      </w:r>
      <w:r w:rsidR="00ED2E60">
        <w:t>sniegtas</w:t>
      </w:r>
      <w:r w:rsidR="008015BB">
        <w:t xml:space="preserve"> finansiālās palīdzības programmas, korekcija ir bijusi lielāka. </w:t>
      </w:r>
      <w:r w:rsidR="008C5F43">
        <w:t>V</w:t>
      </w:r>
      <w:r w:rsidR="00CA032C">
        <w:t xml:space="preserve">alstis ir ieviesušas un turpina ieviest būtiskas strukturālās reformas, kuras nodrošina pamatu veselīgākai </w:t>
      </w:r>
      <w:r w:rsidR="00AA3215">
        <w:t xml:space="preserve">un ilgtspējīgākai ekonomikas </w:t>
      </w:r>
      <w:r w:rsidR="00CA032C">
        <w:t>izaugsmei</w:t>
      </w:r>
      <w:r w:rsidR="00AA3215">
        <w:t xml:space="preserve">. </w:t>
      </w:r>
      <w:r w:rsidR="008015BB">
        <w:t xml:space="preserve">Virkne strukturālo reformu ir mainījušas ekonomisko pārvaldību visā Eiropā, īpaši valstīs, kurās tika sniegta finansiālā palīdzība. Reformas tika veiktas atbilstoši katras valsts vajadzībām ar mērķi paaugstināt to konkurētspēju, nodarbinātību un veicināt ekonomisko izaugsmi. </w:t>
      </w:r>
    </w:p>
    <w:p w:rsidR="008015BB" w:rsidRDefault="00B51911" w:rsidP="002F7FB5">
      <w:pPr>
        <w:ind w:firstLine="720"/>
        <w:jc w:val="both"/>
      </w:pPr>
      <w:proofErr w:type="spellStart"/>
      <w:r>
        <w:t>Eirozonas</w:t>
      </w:r>
      <w:proofErr w:type="spellEnd"/>
      <w:r>
        <w:t xml:space="preserve"> valstis </w:t>
      </w:r>
      <w:r w:rsidR="00AA3215">
        <w:t>ir ieviesušas jaunu un ievērojami stingrāku ekon</w:t>
      </w:r>
      <w:r>
        <w:t xml:space="preserve">omiskās pārvaldības modeli. </w:t>
      </w:r>
      <w:r w:rsidR="008015BB">
        <w:t xml:space="preserve">Šo jaunās ekonomiskās pārvaldes modeli veido četras “asis”: “jaunais </w:t>
      </w:r>
      <w:r w:rsidR="009A545C">
        <w:t>F</w:t>
      </w:r>
      <w:r w:rsidR="008015BB">
        <w:t>iskālais kompakts”, pastiprinātais Stabilitātes un izaugsmes pakts, Makroekonomisko nesabalansētību procedūra un Eiropas semestris. Līgums par stabilitāti, koordināciju un pārvaldību ekonomikas un monetārajā savienībā, kas ir spēkā kopš 2013.gada janvāra</w:t>
      </w:r>
      <w:r w:rsidR="008C5F43">
        <w:t>,</w:t>
      </w:r>
      <w:r w:rsidR="008015BB">
        <w:t xml:space="preserve"> ir viens no galvenajiem elementiem, jo tas</w:t>
      </w:r>
      <w:r w:rsidR="00ED2E60">
        <w:t xml:space="preserve"> dalībvalstīs</w:t>
      </w:r>
      <w:r w:rsidR="008015BB">
        <w:t xml:space="preserve"> nodrošina ievērojami uzlabotu ekonomisko un fiskālo pārvaldību. Minētais līgums kopā ar vairākām regulām stiprina Stabilitātes un izaugsmes </w:t>
      </w:r>
      <w:proofErr w:type="spellStart"/>
      <w:r w:rsidR="008015BB">
        <w:t>paktu</w:t>
      </w:r>
      <w:proofErr w:type="spellEnd"/>
      <w:r w:rsidR="008015BB">
        <w:t xml:space="preserve"> un nodrošina dziļāku fiskālās pārvaldības koordināciju. No dalībvalstīm tiek prasīta aktīva rīcība vidēja termiņa budžeta mērķu noteikšanā, turklāt ir noteikta prasība</w:t>
      </w:r>
      <w:r w:rsidR="002F7FB5">
        <w:t xml:space="preserve"> samazināt valsts parāda griestus</w:t>
      </w:r>
      <w:r w:rsidR="008015BB">
        <w:t xml:space="preserve"> </w:t>
      </w:r>
      <w:r w:rsidR="002F7FB5">
        <w:t xml:space="preserve">līdz 60% </w:t>
      </w:r>
      <w:r w:rsidR="008015BB">
        <w:t xml:space="preserve">no IKP. To papildina jauna makroekonomisko nesabalansētību identificēšanas un novēršanas procedūra. Lai arī šīs procedūras ietvaros tiek analizētas visas Eiropas Savienības dalībvalstīs, tā galvenokārt ir koncentrēta uz valstīm, kurās pastāv konkurētspējas problēmas un lielas maksājumu bilances tekošā konta nesabalansētības. Kā vēl vienu būtisku uzlabojumu var minēt Eiropas semestra </w:t>
      </w:r>
      <w:r w:rsidR="008015BB">
        <w:lastRenderedPageBreak/>
        <w:t xml:space="preserve">ieviešanu. Katra gada pirmajā pusē dalībvalstu budžeta </w:t>
      </w:r>
      <w:r w:rsidR="008C5F43">
        <w:t xml:space="preserve">politika </w:t>
      </w:r>
      <w:r w:rsidR="008015BB">
        <w:t xml:space="preserve">un </w:t>
      </w:r>
      <w:r w:rsidR="008C5F43">
        <w:t>struktūrpolitika</w:t>
      </w:r>
      <w:r w:rsidR="008015BB">
        <w:t xml:space="preserve"> tiek pārskatītas gan no Eiropas komisijas, gan no citu dalībvalstu puses. </w:t>
      </w:r>
      <w:r w:rsidR="000B540C">
        <w:t>Tādējādi, p</w:t>
      </w:r>
      <w:r w:rsidR="008015BB">
        <w:t>ieņemot naci</w:t>
      </w:r>
      <w:r w:rsidR="000B540C">
        <w:t>onālos budžetus nākamajam gadam, valstīm ir jāņem vērā sniegtās rekom</w:t>
      </w:r>
      <w:r w:rsidR="00FE21CC">
        <w:t>en</w:t>
      </w:r>
      <w:r w:rsidR="000B540C">
        <w:t xml:space="preserve">dācijas. </w:t>
      </w:r>
      <w:r w:rsidR="008015BB">
        <w:t xml:space="preserve"> Balstoties uz šo pieeju, eiro zona ir radīta sistēma, lai ātrāk identificētu iespējamās novirzes, kas var izraisīt krīzi. </w:t>
      </w:r>
    </w:p>
    <w:p w:rsidR="005E6CED" w:rsidRDefault="00AA3215" w:rsidP="00ED2E60">
      <w:pPr>
        <w:ind w:firstLine="720"/>
        <w:jc w:val="both"/>
      </w:pPr>
      <w:r>
        <w:t xml:space="preserve">Viens no vienotās ekonomiskās pārvaldības koordinācijas pastiprināšanas faktoriem bija vienotā finanšu palīdzības instrumenta ESM izveidošana, aizpildot būtisku trūkumu visā monetārajā savienībā un mazinot </w:t>
      </w:r>
      <w:r w:rsidR="002F7FB5">
        <w:t xml:space="preserve">atsevišķu valstu fiskālo problēmu </w:t>
      </w:r>
      <w:r>
        <w:t>negatīv</w:t>
      </w:r>
      <w:r w:rsidR="002F7FB5">
        <w:t>o</w:t>
      </w:r>
      <w:r>
        <w:t xml:space="preserve"> </w:t>
      </w:r>
      <w:r w:rsidR="002F7FB5">
        <w:t>ietekmi uz visas eiro</w:t>
      </w:r>
      <w:r w:rsidR="00A83D94">
        <w:t xml:space="preserve"> </w:t>
      </w:r>
      <w:r>
        <w:t xml:space="preserve">zonas stabilitāti. Eiro zonas stabilitātes nodrošināšanai arī ir tikusi uzlabota banku sistēmas pārraudzība, ieviešot vienoto banku uzraudzības un noregulējuma mehānismu, kas ietver vienoto noregulējuma fondu, kā arī depozītu garantiju fondu harmonizāciju. </w:t>
      </w:r>
      <w:r w:rsidR="00E01935" w:rsidRPr="00E01935">
        <w:t>Eiropas finanšu</w:t>
      </w:r>
      <w:r w:rsidR="00B51911">
        <w:t xml:space="preserve"> krīžu noregulēšanas mehānism</w:t>
      </w:r>
      <w:r w:rsidR="005E6CED">
        <w:t>s</w:t>
      </w:r>
      <w:r w:rsidR="00B51911">
        <w:t xml:space="preserve"> ESM</w:t>
      </w:r>
      <w:r w:rsidR="00E01935" w:rsidRPr="00E01935">
        <w:t xml:space="preserve"> ir uzskatām</w:t>
      </w:r>
      <w:r w:rsidR="00B51911">
        <w:t>s</w:t>
      </w:r>
      <w:r w:rsidR="00E01935" w:rsidRPr="00E01935">
        <w:t xml:space="preserve"> par pēdējās instances aizdevēj</w:t>
      </w:r>
      <w:r w:rsidR="005E6CED">
        <w:t>u</w:t>
      </w:r>
      <w:r w:rsidR="00E01935" w:rsidRPr="00E01935">
        <w:t xml:space="preserve"> situācijās, kad </w:t>
      </w:r>
      <w:r w:rsidR="005E6CED">
        <w:t xml:space="preserve">kādas </w:t>
      </w:r>
      <w:proofErr w:type="spellStart"/>
      <w:r w:rsidR="005E6CED">
        <w:t>eirozonas</w:t>
      </w:r>
      <w:proofErr w:type="spellEnd"/>
      <w:r w:rsidR="005E6CED">
        <w:t xml:space="preserve"> </w:t>
      </w:r>
      <w:r w:rsidR="00E01935" w:rsidRPr="00E01935">
        <w:t>dalībvalsts finanšu problēma</w:t>
      </w:r>
      <w:r w:rsidR="005E6CED">
        <w:t xml:space="preserve">s var pakļaut riskam visas </w:t>
      </w:r>
      <w:proofErr w:type="spellStart"/>
      <w:r w:rsidR="005E6CED">
        <w:t>eiro</w:t>
      </w:r>
      <w:r w:rsidR="00E01935" w:rsidRPr="00E01935">
        <w:t>zonas</w:t>
      </w:r>
      <w:proofErr w:type="spellEnd"/>
      <w:r w:rsidR="00E01935" w:rsidRPr="00E01935">
        <w:t xml:space="preserve"> stabilitāti. ESM stiprina investoru uzticību un palīdz</w:t>
      </w:r>
      <w:r w:rsidR="00937054">
        <w:t xml:space="preserve"> </w:t>
      </w:r>
      <w:proofErr w:type="spellStart"/>
      <w:r w:rsidR="00937054">
        <w:t>eirozonas</w:t>
      </w:r>
      <w:proofErr w:type="spellEnd"/>
      <w:r w:rsidR="00937054">
        <w:t xml:space="preserve"> valstīm</w:t>
      </w:r>
      <w:r w:rsidR="00E01935" w:rsidRPr="00E01935">
        <w:t xml:space="preserve"> stabilizēt </w:t>
      </w:r>
      <w:r w:rsidR="00937054">
        <w:t xml:space="preserve">to </w:t>
      </w:r>
      <w:r w:rsidR="00E01935" w:rsidRPr="00E01935">
        <w:t>situāciju finanšu tirgos, kas nozīmē, ka tādējādi ESM dod laiku dalībvalstīm veikt nepieciešamās darbības, lai atgūtu finanšu tirgu uzt</w:t>
      </w:r>
      <w:r w:rsidR="00CA3EAC">
        <w:t xml:space="preserve">icību. Jāatzīmē, ka investori aizvien vairāk pievērš uzmanību valstu kredītriska novērtējumam. Lai arī valstu budžetu deficīti ir ievērojami </w:t>
      </w:r>
      <w:r w:rsidR="00ED2E60">
        <w:t xml:space="preserve">samazinājušies </w:t>
      </w:r>
      <w:r w:rsidR="00CA3EAC">
        <w:t xml:space="preserve">un valstu parādu attīstība ir kļuvusi labvēlīgāka, valstu parādi nevar strauji tikt samazināti īsā laikā, tādēļ zemas un ilgtspējīgas procentu likmes atspoguļo valstu fiskālo ilgtspēju un spēju atmaksāt aizdevumus. </w:t>
      </w:r>
      <w:r w:rsidR="005E6CED">
        <w:t>Līdz šim</w:t>
      </w:r>
      <w:r w:rsidR="004D18B9">
        <w:t xml:space="preserve"> ESM ir finansējis Kipras programmu (kopējās saistības līdz 9 miljardiem eiro) un Spānijas banku </w:t>
      </w:r>
      <w:proofErr w:type="spellStart"/>
      <w:r w:rsidR="004D18B9">
        <w:t>rekapitalizāciju</w:t>
      </w:r>
      <w:proofErr w:type="spellEnd"/>
      <w:r w:rsidR="004D18B9">
        <w:t xml:space="preserve"> (šobrīd izmaksāti 41,3 miljardi eiro), </w:t>
      </w:r>
      <w:r w:rsidR="005E6CED">
        <w:t>un 2013.gada beigās</w:t>
      </w:r>
      <w:r w:rsidR="004D18B9">
        <w:t xml:space="preserve"> finanšu palīdzība</w:t>
      </w:r>
      <w:r w:rsidR="005E6CED">
        <w:t>s programmām</w:t>
      </w:r>
      <w:r w:rsidR="004D18B9">
        <w:t xml:space="preserve"> joprojām ir pieejami gandrīz 450 miljardi eiro.</w:t>
      </w:r>
    </w:p>
    <w:p w:rsidR="00280255" w:rsidRDefault="00280255" w:rsidP="00E205D1">
      <w:pPr>
        <w:rPr>
          <w:rFonts w:eastAsia="Times New Roman" w:cs="Times New Roman"/>
          <w:i/>
          <w:szCs w:val="24"/>
          <w:lang w:eastAsia="lv-LV"/>
        </w:rPr>
      </w:pPr>
    </w:p>
    <w:p w:rsidR="00280255" w:rsidRDefault="000C076D" w:rsidP="00A83D94">
      <w:pPr>
        <w:jc w:val="center"/>
        <w:rPr>
          <w:rFonts w:eastAsia="Times New Roman" w:cs="Times New Roman"/>
          <w:b/>
          <w:szCs w:val="24"/>
          <w:lang w:eastAsia="lv-LV"/>
        </w:rPr>
      </w:pPr>
      <w:r>
        <w:rPr>
          <w:rFonts w:eastAsia="Times New Roman" w:cs="Times New Roman"/>
          <w:b/>
          <w:szCs w:val="24"/>
          <w:lang w:eastAsia="lv-LV"/>
        </w:rPr>
        <w:t xml:space="preserve">2. </w:t>
      </w:r>
      <w:r w:rsidR="00280255" w:rsidRPr="00280255">
        <w:rPr>
          <w:rFonts w:eastAsia="Times New Roman" w:cs="Times New Roman"/>
          <w:b/>
          <w:szCs w:val="24"/>
          <w:lang w:eastAsia="lv-LV"/>
        </w:rPr>
        <w:t xml:space="preserve">ESM </w:t>
      </w:r>
      <w:r w:rsidR="00A83D94">
        <w:rPr>
          <w:rFonts w:eastAsia="Times New Roman" w:cs="Times New Roman"/>
          <w:b/>
          <w:szCs w:val="24"/>
          <w:lang w:eastAsia="lv-LV"/>
        </w:rPr>
        <w:t>realizētās finansiālās palīdzības programmas</w:t>
      </w:r>
    </w:p>
    <w:p w:rsidR="00280255" w:rsidRDefault="00280255" w:rsidP="00E205D1">
      <w:pPr>
        <w:rPr>
          <w:rFonts w:eastAsia="Times New Roman" w:cs="Times New Roman"/>
          <w:b/>
          <w:szCs w:val="24"/>
          <w:lang w:eastAsia="lv-LV"/>
        </w:rPr>
      </w:pPr>
    </w:p>
    <w:p w:rsidR="00280255" w:rsidRPr="00D43DE7" w:rsidRDefault="00D43DE7" w:rsidP="00D43DE7">
      <w:pPr>
        <w:jc w:val="center"/>
        <w:rPr>
          <w:rFonts w:eastAsia="Times New Roman" w:cs="Times New Roman"/>
          <w:szCs w:val="24"/>
          <w:lang w:eastAsia="lv-LV"/>
        </w:rPr>
      </w:pPr>
      <w:r w:rsidRPr="00D43DE7">
        <w:rPr>
          <w:rFonts w:eastAsia="Times New Roman" w:cs="Times New Roman"/>
          <w:szCs w:val="24"/>
          <w:lang w:eastAsia="lv-LV"/>
        </w:rPr>
        <w:t xml:space="preserve">2.1. Finansiālās palīdzības programma </w:t>
      </w:r>
      <w:r w:rsidR="00280255" w:rsidRPr="00D43DE7">
        <w:rPr>
          <w:rFonts w:eastAsia="Times New Roman" w:cs="Times New Roman"/>
          <w:szCs w:val="24"/>
          <w:lang w:eastAsia="lv-LV"/>
        </w:rPr>
        <w:t>Kipra</w:t>
      </w:r>
      <w:r w:rsidRPr="00D43DE7">
        <w:rPr>
          <w:rFonts w:eastAsia="Times New Roman" w:cs="Times New Roman"/>
          <w:szCs w:val="24"/>
          <w:lang w:eastAsia="lv-LV"/>
        </w:rPr>
        <w:t>i</w:t>
      </w:r>
    </w:p>
    <w:p w:rsidR="00280255" w:rsidRDefault="00280255" w:rsidP="00E205D1">
      <w:pPr>
        <w:rPr>
          <w:rFonts w:eastAsia="Times New Roman" w:cs="Times New Roman"/>
          <w:b/>
          <w:szCs w:val="24"/>
          <w:lang w:eastAsia="lv-LV"/>
        </w:rPr>
      </w:pPr>
    </w:p>
    <w:p w:rsidR="00325000" w:rsidRDefault="008E1F8B" w:rsidP="00A13238">
      <w:pPr>
        <w:ind w:firstLine="720"/>
        <w:jc w:val="both"/>
        <w:rPr>
          <w:rFonts w:eastAsia="Times New Roman" w:cs="Times New Roman"/>
          <w:szCs w:val="24"/>
          <w:lang w:eastAsia="lv-LV"/>
        </w:rPr>
      </w:pPr>
      <w:r>
        <w:rPr>
          <w:rFonts w:eastAsia="Times New Roman" w:cs="Times New Roman"/>
          <w:szCs w:val="24"/>
          <w:lang w:eastAsia="lv-LV"/>
        </w:rPr>
        <w:t>Kipras p</w:t>
      </w:r>
      <w:r w:rsidR="00280255" w:rsidRPr="00325000">
        <w:rPr>
          <w:rFonts w:eastAsia="Times New Roman" w:cs="Times New Roman"/>
          <w:szCs w:val="24"/>
          <w:lang w:eastAsia="lv-LV"/>
        </w:rPr>
        <w:t xml:space="preserve">rogrammas mērķis ir atjaunot finanšu sektora stabilitāti, stiprināt publisko finanšu ilgtspēju un </w:t>
      </w:r>
      <w:r>
        <w:rPr>
          <w:rFonts w:eastAsia="Times New Roman" w:cs="Times New Roman"/>
          <w:szCs w:val="24"/>
          <w:lang w:eastAsia="lv-LV"/>
        </w:rPr>
        <w:t xml:space="preserve">veicināt </w:t>
      </w:r>
      <w:r w:rsidR="00280255" w:rsidRPr="00325000">
        <w:rPr>
          <w:rFonts w:eastAsia="Times New Roman" w:cs="Times New Roman"/>
          <w:szCs w:val="24"/>
          <w:lang w:eastAsia="lv-LV"/>
        </w:rPr>
        <w:t>strukturālo reformu īstenošan</w:t>
      </w:r>
      <w:r>
        <w:rPr>
          <w:rFonts w:eastAsia="Times New Roman" w:cs="Times New Roman"/>
          <w:szCs w:val="24"/>
          <w:lang w:eastAsia="lv-LV"/>
        </w:rPr>
        <w:t>u</w:t>
      </w:r>
      <w:r w:rsidR="00280255" w:rsidRPr="00325000">
        <w:rPr>
          <w:rFonts w:eastAsia="Times New Roman" w:cs="Times New Roman"/>
          <w:szCs w:val="24"/>
          <w:lang w:eastAsia="lv-LV"/>
        </w:rPr>
        <w:t xml:space="preserve"> </w:t>
      </w:r>
      <w:r w:rsidR="00A13238">
        <w:rPr>
          <w:rFonts w:eastAsia="Times New Roman" w:cs="Times New Roman"/>
          <w:szCs w:val="24"/>
          <w:lang w:eastAsia="lv-LV"/>
        </w:rPr>
        <w:t>ilgtspējīgas</w:t>
      </w:r>
      <w:r w:rsidR="00280255" w:rsidRPr="00325000">
        <w:rPr>
          <w:rFonts w:eastAsia="Times New Roman" w:cs="Times New Roman"/>
          <w:szCs w:val="24"/>
          <w:lang w:eastAsia="lv-LV"/>
        </w:rPr>
        <w:t xml:space="preserve"> </w:t>
      </w:r>
      <w:r w:rsidR="00441B6B">
        <w:rPr>
          <w:rFonts w:eastAsia="Times New Roman" w:cs="Times New Roman"/>
          <w:szCs w:val="24"/>
          <w:lang w:eastAsia="lv-LV"/>
        </w:rPr>
        <w:t xml:space="preserve">ekonomiskās </w:t>
      </w:r>
      <w:r w:rsidR="00280255" w:rsidRPr="00325000">
        <w:rPr>
          <w:rFonts w:eastAsia="Times New Roman" w:cs="Times New Roman"/>
          <w:szCs w:val="24"/>
          <w:lang w:eastAsia="lv-LV"/>
        </w:rPr>
        <w:t xml:space="preserve">izaugsmes nodrošināšanai. Saskaņā </w:t>
      </w:r>
      <w:r>
        <w:rPr>
          <w:rFonts w:eastAsia="Times New Roman" w:cs="Times New Roman"/>
          <w:szCs w:val="24"/>
          <w:lang w:eastAsia="lv-LV"/>
        </w:rPr>
        <w:t>vienošanos par f</w:t>
      </w:r>
      <w:r w:rsidR="00280255" w:rsidRPr="00325000">
        <w:rPr>
          <w:rFonts w:eastAsia="Times New Roman" w:cs="Times New Roman"/>
          <w:szCs w:val="24"/>
          <w:lang w:eastAsia="lv-LV"/>
        </w:rPr>
        <w:t>inansiāl</w:t>
      </w:r>
      <w:r>
        <w:rPr>
          <w:rFonts w:eastAsia="Times New Roman" w:cs="Times New Roman"/>
          <w:szCs w:val="24"/>
          <w:lang w:eastAsia="lv-LV"/>
        </w:rPr>
        <w:t>o</w:t>
      </w:r>
      <w:r w:rsidR="00280255" w:rsidRPr="00325000">
        <w:rPr>
          <w:rFonts w:eastAsia="Times New Roman" w:cs="Times New Roman"/>
          <w:szCs w:val="24"/>
          <w:lang w:eastAsia="lv-LV"/>
        </w:rPr>
        <w:t xml:space="preserve"> palīdzīb</w:t>
      </w:r>
      <w:r>
        <w:rPr>
          <w:rFonts w:eastAsia="Times New Roman" w:cs="Times New Roman"/>
          <w:szCs w:val="24"/>
          <w:lang w:eastAsia="lv-LV"/>
        </w:rPr>
        <w:t>u starp ESM un Kipru</w:t>
      </w:r>
      <w:r w:rsidR="00280255" w:rsidRPr="00325000">
        <w:rPr>
          <w:rFonts w:eastAsia="Times New Roman" w:cs="Times New Roman"/>
          <w:szCs w:val="24"/>
          <w:lang w:eastAsia="lv-LV"/>
        </w:rPr>
        <w:t xml:space="preserve"> tai ir pieejami līdz 9 miljardiem eiro valsts parāda samazināšanai, </w:t>
      </w:r>
      <w:r>
        <w:rPr>
          <w:rFonts w:eastAsia="Times New Roman" w:cs="Times New Roman"/>
          <w:szCs w:val="24"/>
          <w:lang w:eastAsia="lv-LV"/>
        </w:rPr>
        <w:t>budžeta</w:t>
      </w:r>
      <w:r w:rsidR="00280255" w:rsidRPr="00325000">
        <w:rPr>
          <w:rFonts w:eastAsia="Times New Roman" w:cs="Times New Roman"/>
          <w:szCs w:val="24"/>
          <w:lang w:eastAsia="lv-LV"/>
        </w:rPr>
        <w:t xml:space="preserve"> deficīta mazināšanai un finanšu </w:t>
      </w:r>
      <w:r w:rsidR="00A13238">
        <w:rPr>
          <w:rFonts w:eastAsia="Times New Roman" w:cs="Times New Roman"/>
          <w:szCs w:val="24"/>
          <w:lang w:eastAsia="lv-LV"/>
        </w:rPr>
        <w:t>institūciju</w:t>
      </w:r>
      <w:r w:rsidR="00280255" w:rsidRPr="00325000">
        <w:rPr>
          <w:rFonts w:eastAsia="Times New Roman" w:cs="Times New Roman"/>
          <w:szCs w:val="24"/>
          <w:lang w:eastAsia="lv-LV"/>
        </w:rPr>
        <w:t xml:space="preserve"> </w:t>
      </w:r>
      <w:proofErr w:type="spellStart"/>
      <w:r w:rsidR="00280255" w:rsidRPr="00325000">
        <w:rPr>
          <w:rFonts w:eastAsia="Times New Roman" w:cs="Times New Roman"/>
          <w:szCs w:val="24"/>
          <w:lang w:eastAsia="lv-LV"/>
        </w:rPr>
        <w:t>rekapitalizācijai</w:t>
      </w:r>
      <w:proofErr w:type="spellEnd"/>
      <w:r w:rsidR="00280255" w:rsidRPr="00325000">
        <w:rPr>
          <w:rFonts w:eastAsia="Times New Roman" w:cs="Times New Roman"/>
          <w:szCs w:val="24"/>
          <w:lang w:eastAsia="lv-LV"/>
        </w:rPr>
        <w:t xml:space="preserve">. Papildus ESM finansējumam Starptautiskais Valūtas fonds Kiprai ir piešķīris 1 miljardu eiro. No 2013.gada maija līdz 2014.gada martam no ESM </w:t>
      </w:r>
      <w:r w:rsidR="00325000" w:rsidRPr="00325000">
        <w:rPr>
          <w:rFonts w:eastAsia="Times New Roman" w:cs="Times New Roman"/>
          <w:szCs w:val="24"/>
          <w:lang w:eastAsia="lv-LV"/>
        </w:rPr>
        <w:t xml:space="preserve">Kiprai </w:t>
      </w:r>
      <w:r w:rsidR="00D7725F" w:rsidRPr="00325000">
        <w:rPr>
          <w:rFonts w:eastAsia="Times New Roman" w:cs="Times New Roman"/>
          <w:szCs w:val="24"/>
          <w:lang w:eastAsia="lv-LV"/>
        </w:rPr>
        <w:t xml:space="preserve">kopumā </w:t>
      </w:r>
      <w:r w:rsidR="00325000" w:rsidRPr="00325000">
        <w:rPr>
          <w:rFonts w:eastAsia="Times New Roman" w:cs="Times New Roman"/>
          <w:szCs w:val="24"/>
          <w:lang w:eastAsia="lv-LV"/>
        </w:rPr>
        <w:t>tika</w:t>
      </w:r>
      <w:r w:rsidR="00D7725F">
        <w:rPr>
          <w:rFonts w:eastAsia="Times New Roman" w:cs="Times New Roman"/>
          <w:szCs w:val="24"/>
          <w:lang w:eastAsia="lv-LV"/>
        </w:rPr>
        <w:t xml:space="preserve"> izmaksāti 4,6 </w:t>
      </w:r>
      <w:r w:rsidR="00772672">
        <w:rPr>
          <w:rFonts w:eastAsia="Times New Roman" w:cs="Times New Roman"/>
          <w:szCs w:val="24"/>
          <w:lang w:eastAsia="lv-LV"/>
        </w:rPr>
        <w:t xml:space="preserve">miljardi </w:t>
      </w:r>
      <w:r w:rsidR="00D7725F">
        <w:rPr>
          <w:rFonts w:eastAsia="Times New Roman" w:cs="Times New Roman"/>
          <w:szCs w:val="24"/>
          <w:lang w:eastAsia="lv-LV"/>
        </w:rPr>
        <w:t>eiro.</w:t>
      </w:r>
    </w:p>
    <w:p w:rsidR="00D40EE7" w:rsidRPr="001D63F2" w:rsidRDefault="008E1F8B" w:rsidP="001D63F2">
      <w:pPr>
        <w:ind w:firstLine="720"/>
        <w:jc w:val="both"/>
        <w:rPr>
          <w:rFonts w:eastAsia="Times New Roman" w:cs="Times New Roman"/>
          <w:szCs w:val="24"/>
          <w:lang w:eastAsia="lv-LV"/>
        </w:rPr>
      </w:pPr>
      <w:r>
        <w:rPr>
          <w:rFonts w:eastAsia="Times New Roman" w:cs="Times New Roman"/>
          <w:szCs w:val="24"/>
          <w:lang w:eastAsia="lv-LV"/>
        </w:rPr>
        <w:t>G</w:t>
      </w:r>
      <w:r w:rsidR="00325000" w:rsidRPr="00325000">
        <w:rPr>
          <w:rFonts w:eastAsia="Times New Roman" w:cs="Times New Roman"/>
          <w:szCs w:val="24"/>
          <w:lang w:eastAsia="lv-LV"/>
        </w:rPr>
        <w:t>alvenie rīcības virzieni</w:t>
      </w:r>
      <w:r>
        <w:rPr>
          <w:rFonts w:eastAsia="Times New Roman" w:cs="Times New Roman"/>
          <w:szCs w:val="24"/>
          <w:lang w:eastAsia="lv-LV"/>
        </w:rPr>
        <w:t xml:space="preserve"> f</w:t>
      </w:r>
      <w:r w:rsidRPr="00325000">
        <w:rPr>
          <w:rFonts w:eastAsia="Times New Roman" w:cs="Times New Roman"/>
          <w:szCs w:val="24"/>
          <w:lang w:eastAsia="lv-LV"/>
        </w:rPr>
        <w:t>inanšu sektorā</w:t>
      </w:r>
      <w:r w:rsidR="0008170F">
        <w:rPr>
          <w:rFonts w:eastAsia="Times New Roman" w:cs="Times New Roman"/>
          <w:szCs w:val="24"/>
          <w:lang w:eastAsia="lv-LV"/>
        </w:rPr>
        <w:t xml:space="preserve"> bija </w:t>
      </w:r>
      <w:r w:rsidR="00325000" w:rsidRPr="00325000">
        <w:rPr>
          <w:rFonts w:eastAsia="Times New Roman" w:cs="Times New Roman"/>
          <w:szCs w:val="24"/>
          <w:lang w:eastAsia="lv-LV"/>
        </w:rPr>
        <w:t>banku prasību un nenodrošināto depozītu norakstīšan</w:t>
      </w:r>
      <w:r w:rsidR="0008170F">
        <w:rPr>
          <w:rFonts w:eastAsia="Times New Roman" w:cs="Times New Roman"/>
          <w:szCs w:val="24"/>
          <w:lang w:eastAsia="lv-LV"/>
        </w:rPr>
        <w:t>a</w:t>
      </w:r>
      <w:r w:rsidR="00325000" w:rsidRPr="00325000">
        <w:rPr>
          <w:rFonts w:eastAsia="Times New Roman" w:cs="Times New Roman"/>
          <w:szCs w:val="24"/>
          <w:lang w:eastAsia="lv-LV"/>
        </w:rPr>
        <w:t>. Fiskālā</w:t>
      </w:r>
      <w:r w:rsidR="008C5F43">
        <w:rPr>
          <w:rFonts w:eastAsia="Times New Roman" w:cs="Times New Roman"/>
          <w:szCs w:val="24"/>
          <w:lang w:eastAsia="lv-LV"/>
        </w:rPr>
        <w:t>s</w:t>
      </w:r>
      <w:r w:rsidR="00325000" w:rsidRPr="00325000">
        <w:rPr>
          <w:rFonts w:eastAsia="Times New Roman" w:cs="Times New Roman"/>
          <w:szCs w:val="24"/>
          <w:lang w:eastAsia="lv-LV"/>
        </w:rPr>
        <w:t xml:space="preserve"> konsolidācija</w:t>
      </w:r>
      <w:r w:rsidR="008C5F43">
        <w:rPr>
          <w:rFonts w:eastAsia="Times New Roman" w:cs="Times New Roman"/>
          <w:szCs w:val="24"/>
          <w:lang w:eastAsia="lv-LV"/>
        </w:rPr>
        <w:t>s pasākumi</w:t>
      </w:r>
      <w:r w:rsidR="00325000" w:rsidRPr="00325000">
        <w:rPr>
          <w:rFonts w:eastAsia="Times New Roman" w:cs="Times New Roman"/>
          <w:szCs w:val="24"/>
          <w:lang w:eastAsia="lv-LV"/>
        </w:rPr>
        <w:t xml:space="preserve"> galvenokārt tika fokusēt</w:t>
      </w:r>
      <w:r w:rsidR="008C5F43">
        <w:rPr>
          <w:rFonts w:eastAsia="Times New Roman" w:cs="Times New Roman"/>
          <w:szCs w:val="24"/>
          <w:lang w:eastAsia="lv-LV"/>
        </w:rPr>
        <w:t>i</w:t>
      </w:r>
      <w:r w:rsidR="00325000" w:rsidRPr="00325000">
        <w:rPr>
          <w:rFonts w:eastAsia="Times New Roman" w:cs="Times New Roman"/>
          <w:szCs w:val="24"/>
          <w:lang w:eastAsia="lv-LV"/>
        </w:rPr>
        <w:t xml:space="preserve"> uz izmaksu pieauguma samazināšanu</w:t>
      </w:r>
      <w:r w:rsidR="00E07C1A">
        <w:rPr>
          <w:rFonts w:eastAsia="Times New Roman" w:cs="Times New Roman"/>
          <w:szCs w:val="24"/>
          <w:lang w:eastAsia="lv-LV"/>
        </w:rPr>
        <w:t>,</w:t>
      </w:r>
      <w:r w:rsidR="00325000" w:rsidRPr="00325000">
        <w:rPr>
          <w:rFonts w:eastAsia="Times New Roman" w:cs="Times New Roman"/>
          <w:szCs w:val="24"/>
          <w:lang w:eastAsia="lv-LV"/>
        </w:rPr>
        <w:t xml:space="preserve"> publiskā sektora atalgojuma un sociālo izdevumu jomās, vienlaikus </w:t>
      </w:r>
      <w:r w:rsidR="008C5F43">
        <w:rPr>
          <w:rFonts w:eastAsia="Times New Roman" w:cs="Times New Roman"/>
          <w:szCs w:val="24"/>
          <w:lang w:eastAsia="lv-LV"/>
        </w:rPr>
        <w:t xml:space="preserve"> uzlabojot nodokļu iekasēšanu</w:t>
      </w:r>
      <w:r w:rsidR="00325000" w:rsidRPr="00325000">
        <w:rPr>
          <w:rFonts w:eastAsia="Times New Roman" w:cs="Times New Roman"/>
          <w:szCs w:val="24"/>
          <w:lang w:eastAsia="lv-LV"/>
        </w:rPr>
        <w:t xml:space="preserve">. Attiecībā uz strukturālajām reformām būtiski soļi ir veikti ieņēmumu administrēšanas, sociālās </w:t>
      </w:r>
      <w:r w:rsidR="00D542D4" w:rsidRPr="00325000">
        <w:rPr>
          <w:rFonts w:eastAsia="Times New Roman" w:cs="Times New Roman"/>
          <w:szCs w:val="24"/>
          <w:lang w:eastAsia="lv-LV"/>
        </w:rPr>
        <w:t>apdrošināš</w:t>
      </w:r>
      <w:r w:rsidR="00D542D4">
        <w:rPr>
          <w:rFonts w:eastAsia="Times New Roman" w:cs="Times New Roman"/>
          <w:szCs w:val="24"/>
          <w:lang w:eastAsia="lv-LV"/>
        </w:rPr>
        <w:t>anas</w:t>
      </w:r>
      <w:r w:rsidR="00325000" w:rsidRPr="00325000">
        <w:rPr>
          <w:rFonts w:eastAsia="Times New Roman" w:cs="Times New Roman"/>
          <w:szCs w:val="24"/>
          <w:lang w:eastAsia="lv-LV"/>
        </w:rPr>
        <w:t xml:space="preserve"> sistēmas reformēšanā un </w:t>
      </w:r>
      <w:r w:rsidR="00ED2E60">
        <w:rPr>
          <w:rFonts w:eastAsia="Times New Roman" w:cs="Times New Roman"/>
          <w:szCs w:val="24"/>
          <w:lang w:eastAsia="lv-LV"/>
        </w:rPr>
        <w:t xml:space="preserve">valsts aktīvu </w:t>
      </w:r>
      <w:r w:rsidR="00325000" w:rsidRPr="00325000">
        <w:rPr>
          <w:rFonts w:eastAsia="Times New Roman" w:cs="Times New Roman"/>
          <w:szCs w:val="24"/>
          <w:lang w:eastAsia="lv-LV"/>
        </w:rPr>
        <w:t>privatizācija</w:t>
      </w:r>
      <w:r w:rsidR="00D542D4">
        <w:rPr>
          <w:rFonts w:eastAsia="Times New Roman" w:cs="Times New Roman"/>
          <w:szCs w:val="24"/>
          <w:lang w:eastAsia="lv-LV"/>
        </w:rPr>
        <w:t>s sagatavošanā</w:t>
      </w:r>
      <w:r w:rsidR="00325000" w:rsidRPr="00325000">
        <w:rPr>
          <w:rFonts w:eastAsia="Times New Roman" w:cs="Times New Roman"/>
          <w:szCs w:val="24"/>
          <w:lang w:eastAsia="lv-LV"/>
        </w:rPr>
        <w:t xml:space="preserve">. </w:t>
      </w:r>
    </w:p>
    <w:p w:rsidR="00124DEE" w:rsidRDefault="00E07C1A" w:rsidP="00A13238">
      <w:pPr>
        <w:ind w:firstLine="720"/>
        <w:jc w:val="both"/>
      </w:pPr>
      <w:r>
        <w:t xml:space="preserve">Lai arī </w:t>
      </w:r>
      <w:r w:rsidR="00772672">
        <w:t xml:space="preserve">Kipras IKP </w:t>
      </w:r>
      <w:r>
        <w:t xml:space="preserve">2013.gadā </w:t>
      </w:r>
      <w:r w:rsidR="00772672">
        <w:t xml:space="preserve">samazinājās par </w:t>
      </w:r>
      <w:r w:rsidR="00325000">
        <w:t>5,4%</w:t>
      </w:r>
      <w:r>
        <w:t xml:space="preserve">, </w:t>
      </w:r>
      <w:r w:rsidR="00325000">
        <w:t>tas bija mazāk nekā tika gaidīts, uzsākot programmu. Labāk</w:t>
      </w:r>
      <w:r w:rsidR="00772672">
        <w:t>u</w:t>
      </w:r>
      <w:r w:rsidR="00325000">
        <w:t xml:space="preserve"> makroekonomisko situāciju nekā iepriekš gaidīts nodrošināja </w:t>
      </w:r>
      <w:r>
        <w:t>pozitīvas tendences privātā patēriņa</w:t>
      </w:r>
      <w:r w:rsidR="00325000">
        <w:t xml:space="preserve">, kā arī tūrisma </w:t>
      </w:r>
      <w:r w:rsidR="001907A7">
        <w:t>un biznesa pakalpojumu nozar</w:t>
      </w:r>
      <w:r>
        <w:t>u attīstībā</w:t>
      </w:r>
      <w:r w:rsidR="001907A7">
        <w:t>. Kopumā privātais patēriņš samazinājās par 5,6%, kamēr investīciju kritums bija ievērojami straujāks, sasniedzot 21,6%. Ārējā sektora devums IKP izaugsmē bija pozitīvs, ko noteica straujāks importa (-14,1%</w:t>
      </w:r>
      <w:r>
        <w:t>)</w:t>
      </w:r>
      <w:r w:rsidR="001907A7">
        <w:t xml:space="preserve"> </w:t>
      </w:r>
      <w:r>
        <w:t>nekā eksporta (-4,2%) samazinājums.</w:t>
      </w:r>
      <w:r w:rsidR="00A13238">
        <w:t xml:space="preserve"> Arī f</w:t>
      </w:r>
      <w:r w:rsidR="001907A7">
        <w:t>iskālā situā</w:t>
      </w:r>
      <w:r w:rsidR="00CA1E4B">
        <w:t xml:space="preserve">cija </w:t>
      </w:r>
      <w:r w:rsidR="00A13238">
        <w:t xml:space="preserve">2013.gadā </w:t>
      </w:r>
      <w:r w:rsidR="00CA1E4B">
        <w:t>bija labāka nekā 201</w:t>
      </w:r>
      <w:r w:rsidR="00A13238">
        <w:t>2</w:t>
      </w:r>
      <w:r w:rsidR="00CA1E4B">
        <w:t xml:space="preserve">.gadā, valdībai ar </w:t>
      </w:r>
      <w:r w:rsidR="00CA1E4B">
        <w:lastRenderedPageBreak/>
        <w:t xml:space="preserve">ievērojamu rezervi sasniedzot budžeta deficīta mērķi. </w:t>
      </w:r>
      <w:r w:rsidR="00A13238">
        <w:t>B</w:t>
      </w:r>
      <w:r w:rsidR="00000D0D">
        <w:t>udžeta deficīts, ieskaitot izdevumus procentu apmaksai, 2013.gadā sasniedza 5,5% no IKP, bet, neieskaitot izdevumus</w:t>
      </w:r>
      <w:r w:rsidR="009A545C">
        <w:t xml:space="preserve"> procentu apmaksai, </w:t>
      </w:r>
      <w:r w:rsidR="00000D0D">
        <w:t xml:space="preserve">1,8% no IKP. Labāku fiskālo situāciju noteica labāka makroekonomiskā attīstība un izdevumu pieaugumu ierobežošana, </w:t>
      </w:r>
      <w:r w:rsidR="004A12D9">
        <w:t xml:space="preserve">daļēji </w:t>
      </w:r>
      <w:r w:rsidR="00A13238">
        <w:t xml:space="preserve">kompensējot </w:t>
      </w:r>
      <w:r w:rsidR="004A12D9">
        <w:t>budžeta ieņēmumus, kas bija mazāk</w:t>
      </w:r>
      <w:r w:rsidR="00A13238">
        <w:t>i</w:t>
      </w:r>
      <w:r w:rsidR="004A12D9">
        <w:t xml:space="preserve"> nekā plānots. </w:t>
      </w:r>
      <w:r w:rsidR="00000D0D">
        <w:t xml:space="preserve">Banku sektorā joprojām bija vērojams liels </w:t>
      </w:r>
      <w:r w:rsidR="00124DEE">
        <w:t xml:space="preserve">problemātisko kredītu īpatsvars. </w:t>
      </w:r>
      <w:r w:rsidR="008C5F43">
        <w:t>Neskatoties uz</w:t>
      </w:r>
      <w:r w:rsidR="00124DEE">
        <w:t xml:space="preserve"> banku sektora restrukturizācij</w:t>
      </w:r>
      <w:r w:rsidR="008C5F43">
        <w:t>u,</w:t>
      </w:r>
      <w:r w:rsidR="00124DEE">
        <w:t xml:space="preserve"> problemātisko kredītu īpatsvars saglabājās ļoti augsts, sasniedzot 47,6%. </w:t>
      </w:r>
    </w:p>
    <w:p w:rsidR="00124DEE" w:rsidRDefault="00124DEE" w:rsidP="0008170F">
      <w:pPr>
        <w:ind w:firstLine="720"/>
        <w:jc w:val="both"/>
      </w:pPr>
      <w:r>
        <w:t xml:space="preserve">Lai arī kopumā programmas ieviešana ir </w:t>
      </w:r>
      <w:r w:rsidR="0008170F">
        <w:t>bijusi</w:t>
      </w:r>
      <w:r>
        <w:t xml:space="preserve"> veiksmīg</w:t>
      </w:r>
      <w:r w:rsidR="0008170F">
        <w:t>a</w:t>
      </w:r>
      <w:r>
        <w:t>, joprojām saglabājas riski turpmākai ekonomiskās situācijas stabilizācijai. Būtiskākie riski ir saistīti ar finanšu sektoru</w:t>
      </w:r>
      <w:r w:rsidR="00783688">
        <w:t>, kur</w:t>
      </w:r>
      <w:r w:rsidR="0008170F">
        <w:t>ā</w:t>
      </w:r>
      <w:r w:rsidR="00783688">
        <w:t xml:space="preserve"> galvenie uzdevumi ir problemātisko</w:t>
      </w:r>
      <w:r>
        <w:t xml:space="preserve"> </w:t>
      </w:r>
      <w:r w:rsidR="00783688">
        <w:t>kredītu pārvaldība un</w:t>
      </w:r>
      <w:r>
        <w:t xml:space="preserve"> privātā sektora parādsaistību restrukturizācija</w:t>
      </w:r>
      <w:r w:rsidR="00783688">
        <w:t xml:space="preserve">. </w:t>
      </w:r>
      <w:r w:rsidR="0008170F">
        <w:t xml:space="preserve">Ja </w:t>
      </w:r>
      <w:r w:rsidR="00783688">
        <w:t>finanšu sektora restrukturizācija</w:t>
      </w:r>
      <w:r w:rsidR="0008170F">
        <w:t xml:space="preserve"> noritēs veiksmīgi, prognozējams, ka </w:t>
      </w:r>
      <w:r w:rsidR="00783688">
        <w:t xml:space="preserve">noguldītāju </w:t>
      </w:r>
      <w:r w:rsidR="0008170F">
        <w:t>uzticībā finanšu sektoram turpinās uzlaboties, ļaujot</w:t>
      </w:r>
      <w:r w:rsidR="00783688">
        <w:t xml:space="preserve"> atcelt ierobežojumus naudas izņemšanai. </w:t>
      </w:r>
    </w:p>
    <w:p w:rsidR="001113BF" w:rsidRDefault="001113BF" w:rsidP="00085635">
      <w:pPr>
        <w:jc w:val="both"/>
      </w:pPr>
    </w:p>
    <w:p w:rsidR="00A13238" w:rsidRPr="00D43DE7" w:rsidRDefault="00D43DE7" w:rsidP="00D43DE7">
      <w:pPr>
        <w:jc w:val="center"/>
      </w:pPr>
      <w:r w:rsidRPr="00D43DE7">
        <w:t xml:space="preserve">2.2. </w:t>
      </w:r>
      <w:r w:rsidR="00A13238" w:rsidRPr="00D43DE7">
        <w:t xml:space="preserve">ESM </w:t>
      </w:r>
      <w:r w:rsidR="009A545C" w:rsidRPr="00D43DE7">
        <w:t xml:space="preserve">Kiprai </w:t>
      </w:r>
      <w:r w:rsidR="00A13238" w:rsidRPr="00D43DE7">
        <w:t xml:space="preserve">veiktie maksājumi </w:t>
      </w:r>
    </w:p>
    <w:p w:rsidR="00A13238" w:rsidRDefault="00A13238" w:rsidP="00085635">
      <w:pPr>
        <w:jc w:val="both"/>
      </w:pPr>
    </w:p>
    <w:p w:rsidR="004C2FFF" w:rsidRDefault="004C2FFF" w:rsidP="00A13238">
      <w:pPr>
        <w:ind w:firstLine="720"/>
        <w:jc w:val="both"/>
      </w:pPr>
      <w:r>
        <w:t xml:space="preserve">ESM un Kipra finansiālās palīdzības līgumu parakstīja 2013.gada 8.maijā. Tas paredzēja kopējo aizdevumu līdz 10 miljardiem eiro, ieskaitot SVF sniegto atbalstu. Kiprai izmaksāto aizdevumu maksimālais termiņš ir 20 gadi, bet vidējais termiņš – 15 gadi. Divi maksājumi tika veikti pirmās palīdzības daļas ietvaros – 2013.gada 13.maijā 2 miljardi eiro un 26.jūnijā 1 miljards eiro. Otrās daļas ietvaros 27.septembrī tika izmaksāti 1,5 miljardi eiro banku </w:t>
      </w:r>
      <w:proofErr w:type="spellStart"/>
      <w:r>
        <w:t>rekapitalizācijai</w:t>
      </w:r>
      <w:proofErr w:type="spellEnd"/>
      <w:r>
        <w:t xml:space="preserve">, savukārt trešās daļas ietvaros 2013.gada 19.decembrī tika izmaksāti 100 miljoni eiro. </w:t>
      </w:r>
      <w:r w:rsidR="008C5F43">
        <w:t>Procentu maksājumi par aizdevumu</w:t>
      </w:r>
      <w:r>
        <w:t xml:space="preserve"> 2013.gadā netika veikta. </w:t>
      </w:r>
    </w:p>
    <w:p w:rsidR="00A13238" w:rsidRDefault="00A13238" w:rsidP="00A13238">
      <w:pPr>
        <w:ind w:firstLine="720"/>
        <w:jc w:val="both"/>
      </w:pPr>
    </w:p>
    <w:p w:rsidR="004C2FFF" w:rsidRDefault="00A13238" w:rsidP="00A13238">
      <w:pPr>
        <w:jc w:val="center"/>
      </w:pPr>
      <w:r>
        <w:t>1.tabula Kipras programmas ietvaros veiktie maksājumi</w:t>
      </w:r>
    </w:p>
    <w:tbl>
      <w:tblPr>
        <w:tblStyle w:val="TableGrid"/>
        <w:tblW w:w="0" w:type="auto"/>
        <w:jc w:val="center"/>
        <w:tblLook w:val="04A0" w:firstRow="1" w:lastRow="0" w:firstColumn="1" w:lastColumn="0" w:noHBand="0" w:noVBand="1"/>
      </w:tblPr>
      <w:tblGrid>
        <w:gridCol w:w="846"/>
        <w:gridCol w:w="1476"/>
        <w:gridCol w:w="1296"/>
        <w:gridCol w:w="1339"/>
        <w:gridCol w:w="1559"/>
        <w:gridCol w:w="1780"/>
      </w:tblGrid>
      <w:tr w:rsidR="001C4618" w:rsidRPr="001C4618" w:rsidTr="001C4618">
        <w:trPr>
          <w:jc w:val="center"/>
        </w:trPr>
        <w:tc>
          <w:tcPr>
            <w:tcW w:w="846"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Daļa</w:t>
            </w:r>
          </w:p>
        </w:tc>
        <w:tc>
          <w:tcPr>
            <w:tcW w:w="1476"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Maksājums</w:t>
            </w:r>
          </w:p>
        </w:tc>
        <w:tc>
          <w:tcPr>
            <w:tcW w:w="1296"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Izmaksas datums</w:t>
            </w:r>
          </w:p>
        </w:tc>
        <w:tc>
          <w:tcPr>
            <w:tcW w:w="1339"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Termiņš</w:t>
            </w:r>
          </w:p>
        </w:tc>
        <w:tc>
          <w:tcPr>
            <w:tcW w:w="1559"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Apmērs (miljoni eiro)</w:t>
            </w:r>
          </w:p>
        </w:tc>
        <w:tc>
          <w:tcPr>
            <w:tcW w:w="1780" w:type="dxa"/>
            <w:shd w:val="clear" w:color="auto" w:fill="F2F2F2" w:themeFill="background1" w:themeFillShade="F2"/>
            <w:vAlign w:val="center"/>
          </w:tcPr>
          <w:p w:rsidR="001C4618" w:rsidRPr="001C4618" w:rsidRDefault="001C4618" w:rsidP="001C4618">
            <w:pPr>
              <w:jc w:val="center"/>
              <w:rPr>
                <w:b/>
                <w:sz w:val="22"/>
              </w:rPr>
            </w:pPr>
            <w:r w:rsidRPr="001C4618">
              <w:rPr>
                <w:b/>
                <w:sz w:val="22"/>
              </w:rPr>
              <w:t>Mērķis</w:t>
            </w:r>
          </w:p>
        </w:tc>
      </w:tr>
      <w:tr w:rsidR="001C4618" w:rsidRPr="001C4618" w:rsidTr="001C4618">
        <w:trPr>
          <w:jc w:val="center"/>
        </w:trPr>
        <w:tc>
          <w:tcPr>
            <w:tcW w:w="846" w:type="dxa"/>
          </w:tcPr>
          <w:p w:rsidR="001C4618" w:rsidRPr="001C4618" w:rsidRDefault="001C4618" w:rsidP="00085635">
            <w:pPr>
              <w:jc w:val="both"/>
              <w:rPr>
                <w:sz w:val="22"/>
              </w:rPr>
            </w:pPr>
            <w:r w:rsidRPr="001C4618">
              <w:rPr>
                <w:sz w:val="22"/>
              </w:rPr>
              <w:t>1.daļa</w:t>
            </w:r>
          </w:p>
        </w:tc>
        <w:tc>
          <w:tcPr>
            <w:tcW w:w="1476" w:type="dxa"/>
          </w:tcPr>
          <w:p w:rsidR="001C4618" w:rsidRPr="001C4618" w:rsidRDefault="001C4618" w:rsidP="00085635">
            <w:pPr>
              <w:jc w:val="both"/>
              <w:rPr>
                <w:sz w:val="22"/>
              </w:rPr>
            </w:pPr>
            <w:r w:rsidRPr="001C4618">
              <w:rPr>
                <w:sz w:val="22"/>
              </w:rPr>
              <w:t>1.maksājums</w:t>
            </w:r>
          </w:p>
        </w:tc>
        <w:tc>
          <w:tcPr>
            <w:tcW w:w="1296" w:type="dxa"/>
          </w:tcPr>
          <w:p w:rsidR="001C4618" w:rsidRPr="001C4618" w:rsidRDefault="001C4618" w:rsidP="00085635">
            <w:pPr>
              <w:jc w:val="both"/>
              <w:rPr>
                <w:sz w:val="22"/>
              </w:rPr>
            </w:pPr>
            <w:r w:rsidRPr="001C4618">
              <w:rPr>
                <w:sz w:val="22"/>
              </w:rPr>
              <w:t>13.05.2013</w:t>
            </w:r>
          </w:p>
        </w:tc>
        <w:tc>
          <w:tcPr>
            <w:tcW w:w="1339" w:type="dxa"/>
          </w:tcPr>
          <w:p w:rsidR="001C4618" w:rsidRPr="001C4618" w:rsidRDefault="001C4618" w:rsidP="00085635">
            <w:pPr>
              <w:jc w:val="both"/>
              <w:rPr>
                <w:sz w:val="22"/>
              </w:rPr>
            </w:pPr>
            <w:r w:rsidRPr="001C4618">
              <w:rPr>
                <w:sz w:val="22"/>
              </w:rPr>
              <w:t>13.05.2026</w:t>
            </w:r>
          </w:p>
        </w:tc>
        <w:tc>
          <w:tcPr>
            <w:tcW w:w="1559" w:type="dxa"/>
          </w:tcPr>
          <w:p w:rsidR="001C4618" w:rsidRPr="001C4618" w:rsidRDefault="001C4618" w:rsidP="00085635">
            <w:pPr>
              <w:jc w:val="both"/>
              <w:rPr>
                <w:sz w:val="22"/>
              </w:rPr>
            </w:pPr>
            <w:r w:rsidRPr="001C4618">
              <w:rPr>
                <w:sz w:val="22"/>
              </w:rPr>
              <w:t>1000</w:t>
            </w:r>
          </w:p>
        </w:tc>
        <w:tc>
          <w:tcPr>
            <w:tcW w:w="1780" w:type="dxa"/>
          </w:tcPr>
          <w:p w:rsidR="001C4618" w:rsidRPr="001C4618" w:rsidRDefault="001C4618" w:rsidP="00085635">
            <w:pPr>
              <w:jc w:val="both"/>
              <w:rPr>
                <w:sz w:val="22"/>
              </w:rPr>
            </w:pPr>
          </w:p>
        </w:tc>
      </w:tr>
      <w:tr w:rsidR="001C4618" w:rsidRPr="001C4618" w:rsidTr="001C4618">
        <w:trPr>
          <w:jc w:val="center"/>
        </w:trPr>
        <w:tc>
          <w:tcPr>
            <w:tcW w:w="846" w:type="dxa"/>
          </w:tcPr>
          <w:p w:rsidR="001C4618" w:rsidRPr="001C4618" w:rsidRDefault="001C4618" w:rsidP="001C4618">
            <w:pPr>
              <w:jc w:val="both"/>
              <w:rPr>
                <w:sz w:val="22"/>
              </w:rPr>
            </w:pPr>
          </w:p>
        </w:tc>
        <w:tc>
          <w:tcPr>
            <w:tcW w:w="1476" w:type="dxa"/>
          </w:tcPr>
          <w:p w:rsidR="001C4618" w:rsidRPr="001C4618" w:rsidRDefault="001C4618" w:rsidP="001C4618">
            <w:pPr>
              <w:jc w:val="both"/>
              <w:rPr>
                <w:sz w:val="22"/>
              </w:rPr>
            </w:pPr>
          </w:p>
        </w:tc>
        <w:tc>
          <w:tcPr>
            <w:tcW w:w="1296" w:type="dxa"/>
          </w:tcPr>
          <w:p w:rsidR="001C4618" w:rsidRPr="001C4618" w:rsidRDefault="001C4618" w:rsidP="001C4618">
            <w:pPr>
              <w:jc w:val="both"/>
              <w:rPr>
                <w:sz w:val="22"/>
              </w:rPr>
            </w:pPr>
            <w:r w:rsidRPr="001C4618">
              <w:rPr>
                <w:sz w:val="22"/>
              </w:rPr>
              <w:t>13.05.2013</w:t>
            </w:r>
          </w:p>
        </w:tc>
        <w:tc>
          <w:tcPr>
            <w:tcW w:w="1339" w:type="dxa"/>
          </w:tcPr>
          <w:p w:rsidR="001C4618" w:rsidRPr="001C4618" w:rsidRDefault="001C4618" w:rsidP="001C4618">
            <w:pPr>
              <w:jc w:val="both"/>
              <w:rPr>
                <w:sz w:val="22"/>
              </w:rPr>
            </w:pPr>
            <w:r w:rsidRPr="001C4618">
              <w:rPr>
                <w:sz w:val="22"/>
              </w:rPr>
              <w:t>13.05.2027</w:t>
            </w:r>
          </w:p>
        </w:tc>
        <w:tc>
          <w:tcPr>
            <w:tcW w:w="1559" w:type="dxa"/>
          </w:tcPr>
          <w:p w:rsidR="001C4618" w:rsidRPr="001C4618" w:rsidRDefault="001C4618" w:rsidP="001C4618">
            <w:pPr>
              <w:jc w:val="both"/>
              <w:rPr>
                <w:sz w:val="22"/>
              </w:rPr>
            </w:pPr>
            <w:r w:rsidRPr="001C4618">
              <w:rPr>
                <w:sz w:val="22"/>
              </w:rPr>
              <w:t>1000</w:t>
            </w:r>
          </w:p>
        </w:tc>
        <w:tc>
          <w:tcPr>
            <w:tcW w:w="1780" w:type="dxa"/>
          </w:tcPr>
          <w:p w:rsidR="001C4618" w:rsidRPr="001C4618" w:rsidRDefault="001C4618" w:rsidP="001C4618">
            <w:pPr>
              <w:jc w:val="both"/>
              <w:rPr>
                <w:sz w:val="22"/>
              </w:rPr>
            </w:pPr>
          </w:p>
        </w:tc>
      </w:tr>
      <w:tr w:rsidR="001C4618" w:rsidRPr="001C4618" w:rsidTr="001C4618">
        <w:trPr>
          <w:jc w:val="center"/>
        </w:trPr>
        <w:tc>
          <w:tcPr>
            <w:tcW w:w="846" w:type="dxa"/>
          </w:tcPr>
          <w:p w:rsidR="001C4618" w:rsidRPr="001C4618" w:rsidRDefault="001C4618" w:rsidP="001C4618">
            <w:pPr>
              <w:jc w:val="both"/>
              <w:rPr>
                <w:sz w:val="22"/>
              </w:rPr>
            </w:pPr>
          </w:p>
        </w:tc>
        <w:tc>
          <w:tcPr>
            <w:tcW w:w="1476" w:type="dxa"/>
          </w:tcPr>
          <w:p w:rsidR="001C4618" w:rsidRPr="001C4618" w:rsidRDefault="001C4618" w:rsidP="001C4618">
            <w:pPr>
              <w:jc w:val="both"/>
              <w:rPr>
                <w:sz w:val="22"/>
              </w:rPr>
            </w:pPr>
            <w:r w:rsidRPr="001C4618">
              <w:rPr>
                <w:sz w:val="22"/>
              </w:rPr>
              <w:t>2.maksājums</w:t>
            </w:r>
          </w:p>
        </w:tc>
        <w:tc>
          <w:tcPr>
            <w:tcW w:w="1296" w:type="dxa"/>
          </w:tcPr>
          <w:p w:rsidR="001C4618" w:rsidRPr="001C4618" w:rsidRDefault="001C4618" w:rsidP="001C4618">
            <w:pPr>
              <w:jc w:val="both"/>
              <w:rPr>
                <w:sz w:val="22"/>
              </w:rPr>
            </w:pPr>
            <w:r w:rsidRPr="001C4618">
              <w:rPr>
                <w:sz w:val="22"/>
              </w:rPr>
              <w:t>26.06.2013</w:t>
            </w:r>
          </w:p>
        </w:tc>
        <w:tc>
          <w:tcPr>
            <w:tcW w:w="1339" w:type="dxa"/>
          </w:tcPr>
          <w:p w:rsidR="001C4618" w:rsidRPr="001C4618" w:rsidRDefault="001C4618" w:rsidP="001C4618">
            <w:pPr>
              <w:jc w:val="both"/>
              <w:rPr>
                <w:sz w:val="22"/>
              </w:rPr>
            </w:pPr>
            <w:r w:rsidRPr="001C4618">
              <w:rPr>
                <w:sz w:val="22"/>
              </w:rPr>
              <w:t>26.06.2028</w:t>
            </w:r>
          </w:p>
        </w:tc>
        <w:tc>
          <w:tcPr>
            <w:tcW w:w="1559" w:type="dxa"/>
          </w:tcPr>
          <w:p w:rsidR="001C4618" w:rsidRPr="001C4618" w:rsidRDefault="001C4618" w:rsidP="001C4618">
            <w:pPr>
              <w:jc w:val="both"/>
              <w:rPr>
                <w:sz w:val="22"/>
              </w:rPr>
            </w:pPr>
            <w:r w:rsidRPr="001C4618">
              <w:rPr>
                <w:sz w:val="22"/>
              </w:rPr>
              <w:t>1000</w:t>
            </w:r>
          </w:p>
        </w:tc>
        <w:tc>
          <w:tcPr>
            <w:tcW w:w="1780" w:type="dxa"/>
          </w:tcPr>
          <w:p w:rsidR="001C4618" w:rsidRPr="001C4618" w:rsidRDefault="001C4618" w:rsidP="001C4618">
            <w:pPr>
              <w:jc w:val="both"/>
              <w:rPr>
                <w:sz w:val="22"/>
              </w:rPr>
            </w:pPr>
          </w:p>
        </w:tc>
      </w:tr>
      <w:tr w:rsidR="001C4618" w:rsidRPr="001C4618" w:rsidTr="001C4618">
        <w:trPr>
          <w:jc w:val="center"/>
        </w:trPr>
        <w:tc>
          <w:tcPr>
            <w:tcW w:w="846" w:type="dxa"/>
          </w:tcPr>
          <w:p w:rsidR="001C4618" w:rsidRPr="001C4618" w:rsidRDefault="001C4618" w:rsidP="001C4618">
            <w:pPr>
              <w:jc w:val="both"/>
              <w:rPr>
                <w:sz w:val="22"/>
              </w:rPr>
            </w:pPr>
            <w:r w:rsidRPr="001C4618">
              <w:rPr>
                <w:sz w:val="22"/>
              </w:rPr>
              <w:t>2.daļa</w:t>
            </w:r>
          </w:p>
        </w:tc>
        <w:tc>
          <w:tcPr>
            <w:tcW w:w="1476" w:type="dxa"/>
          </w:tcPr>
          <w:p w:rsidR="001C4618" w:rsidRPr="001C4618" w:rsidRDefault="001C4618" w:rsidP="001C4618">
            <w:pPr>
              <w:jc w:val="both"/>
              <w:rPr>
                <w:sz w:val="22"/>
              </w:rPr>
            </w:pPr>
            <w:r w:rsidRPr="001C4618">
              <w:rPr>
                <w:sz w:val="22"/>
              </w:rPr>
              <w:t>1.maksājums</w:t>
            </w:r>
          </w:p>
        </w:tc>
        <w:tc>
          <w:tcPr>
            <w:tcW w:w="1296" w:type="dxa"/>
          </w:tcPr>
          <w:p w:rsidR="001C4618" w:rsidRPr="001C4618" w:rsidRDefault="001C4618" w:rsidP="001C4618">
            <w:pPr>
              <w:jc w:val="both"/>
              <w:rPr>
                <w:sz w:val="22"/>
              </w:rPr>
            </w:pPr>
            <w:r w:rsidRPr="001C4618">
              <w:rPr>
                <w:sz w:val="22"/>
              </w:rPr>
              <w:t>27.09.2013</w:t>
            </w:r>
          </w:p>
        </w:tc>
        <w:tc>
          <w:tcPr>
            <w:tcW w:w="1339" w:type="dxa"/>
          </w:tcPr>
          <w:p w:rsidR="001C4618" w:rsidRPr="001C4618" w:rsidRDefault="001C4618" w:rsidP="001C4618">
            <w:pPr>
              <w:jc w:val="both"/>
              <w:rPr>
                <w:sz w:val="22"/>
              </w:rPr>
            </w:pPr>
            <w:r w:rsidRPr="001C4618">
              <w:rPr>
                <w:sz w:val="22"/>
              </w:rPr>
              <w:t>27.09.2029</w:t>
            </w:r>
          </w:p>
        </w:tc>
        <w:tc>
          <w:tcPr>
            <w:tcW w:w="1559" w:type="dxa"/>
          </w:tcPr>
          <w:p w:rsidR="001C4618" w:rsidRPr="001C4618" w:rsidRDefault="001C4618" w:rsidP="001C4618">
            <w:pPr>
              <w:jc w:val="both"/>
              <w:rPr>
                <w:sz w:val="22"/>
              </w:rPr>
            </w:pPr>
            <w:r w:rsidRPr="001C4618">
              <w:rPr>
                <w:sz w:val="22"/>
              </w:rPr>
              <w:t>750</w:t>
            </w:r>
          </w:p>
        </w:tc>
        <w:tc>
          <w:tcPr>
            <w:tcW w:w="1780" w:type="dxa"/>
          </w:tcPr>
          <w:p w:rsidR="001C4618" w:rsidRPr="001C4618" w:rsidRDefault="001C4618" w:rsidP="001C4618">
            <w:pPr>
              <w:jc w:val="both"/>
              <w:rPr>
                <w:sz w:val="22"/>
              </w:rPr>
            </w:pPr>
            <w:r w:rsidRPr="001C4618">
              <w:rPr>
                <w:sz w:val="22"/>
              </w:rPr>
              <w:t xml:space="preserve">Banku </w:t>
            </w:r>
            <w:proofErr w:type="spellStart"/>
            <w:r w:rsidRPr="001C4618">
              <w:rPr>
                <w:sz w:val="22"/>
              </w:rPr>
              <w:t>rekapitalizācija</w:t>
            </w:r>
            <w:proofErr w:type="spellEnd"/>
          </w:p>
        </w:tc>
      </w:tr>
      <w:tr w:rsidR="001C4618" w:rsidRPr="001C4618" w:rsidTr="001C4618">
        <w:trPr>
          <w:jc w:val="center"/>
        </w:trPr>
        <w:tc>
          <w:tcPr>
            <w:tcW w:w="846" w:type="dxa"/>
          </w:tcPr>
          <w:p w:rsidR="001C4618" w:rsidRPr="001C4618" w:rsidRDefault="001C4618" w:rsidP="001C4618">
            <w:pPr>
              <w:jc w:val="both"/>
              <w:rPr>
                <w:sz w:val="22"/>
              </w:rPr>
            </w:pPr>
          </w:p>
        </w:tc>
        <w:tc>
          <w:tcPr>
            <w:tcW w:w="1476" w:type="dxa"/>
          </w:tcPr>
          <w:p w:rsidR="001C4618" w:rsidRPr="001C4618" w:rsidRDefault="001C4618" w:rsidP="001C4618">
            <w:pPr>
              <w:jc w:val="both"/>
              <w:rPr>
                <w:sz w:val="22"/>
              </w:rPr>
            </w:pPr>
          </w:p>
        </w:tc>
        <w:tc>
          <w:tcPr>
            <w:tcW w:w="1296" w:type="dxa"/>
          </w:tcPr>
          <w:p w:rsidR="001C4618" w:rsidRPr="001C4618" w:rsidRDefault="001C4618" w:rsidP="001C4618">
            <w:pPr>
              <w:jc w:val="both"/>
              <w:rPr>
                <w:sz w:val="22"/>
              </w:rPr>
            </w:pPr>
            <w:r w:rsidRPr="001C4618">
              <w:rPr>
                <w:sz w:val="22"/>
              </w:rPr>
              <w:t>27.09.2013</w:t>
            </w:r>
          </w:p>
        </w:tc>
        <w:tc>
          <w:tcPr>
            <w:tcW w:w="1339" w:type="dxa"/>
          </w:tcPr>
          <w:p w:rsidR="001C4618" w:rsidRPr="001C4618" w:rsidRDefault="001C4618" w:rsidP="001C4618">
            <w:pPr>
              <w:jc w:val="both"/>
              <w:rPr>
                <w:sz w:val="22"/>
              </w:rPr>
            </w:pPr>
            <w:r w:rsidRPr="001C4618">
              <w:rPr>
                <w:sz w:val="22"/>
              </w:rPr>
              <w:t>27.09.2030</w:t>
            </w:r>
          </w:p>
        </w:tc>
        <w:tc>
          <w:tcPr>
            <w:tcW w:w="1559" w:type="dxa"/>
          </w:tcPr>
          <w:p w:rsidR="001C4618" w:rsidRPr="001C4618" w:rsidRDefault="001C4618" w:rsidP="001C4618">
            <w:pPr>
              <w:jc w:val="both"/>
              <w:rPr>
                <w:sz w:val="22"/>
              </w:rPr>
            </w:pPr>
            <w:r w:rsidRPr="001C4618">
              <w:rPr>
                <w:sz w:val="22"/>
              </w:rPr>
              <w:t>750</w:t>
            </w:r>
          </w:p>
        </w:tc>
        <w:tc>
          <w:tcPr>
            <w:tcW w:w="1780" w:type="dxa"/>
          </w:tcPr>
          <w:p w:rsidR="001C4618" w:rsidRPr="001C4618" w:rsidRDefault="001C4618" w:rsidP="001C4618">
            <w:pPr>
              <w:jc w:val="both"/>
              <w:rPr>
                <w:sz w:val="22"/>
              </w:rPr>
            </w:pPr>
            <w:r w:rsidRPr="001C4618">
              <w:rPr>
                <w:sz w:val="22"/>
              </w:rPr>
              <w:t xml:space="preserve">Banku </w:t>
            </w:r>
            <w:proofErr w:type="spellStart"/>
            <w:r w:rsidRPr="001C4618">
              <w:rPr>
                <w:sz w:val="22"/>
              </w:rPr>
              <w:t>rekapitalizācija</w:t>
            </w:r>
            <w:proofErr w:type="spellEnd"/>
          </w:p>
        </w:tc>
      </w:tr>
      <w:tr w:rsidR="001C4618" w:rsidRPr="001C4618" w:rsidTr="001C4618">
        <w:trPr>
          <w:trHeight w:val="56"/>
          <w:jc w:val="center"/>
        </w:trPr>
        <w:tc>
          <w:tcPr>
            <w:tcW w:w="846" w:type="dxa"/>
          </w:tcPr>
          <w:p w:rsidR="001C4618" w:rsidRPr="001C4618" w:rsidRDefault="001C4618" w:rsidP="001C4618">
            <w:pPr>
              <w:jc w:val="both"/>
              <w:rPr>
                <w:sz w:val="22"/>
              </w:rPr>
            </w:pPr>
            <w:r w:rsidRPr="001C4618">
              <w:rPr>
                <w:sz w:val="22"/>
              </w:rPr>
              <w:t>3.daļa</w:t>
            </w:r>
          </w:p>
        </w:tc>
        <w:tc>
          <w:tcPr>
            <w:tcW w:w="1476" w:type="dxa"/>
          </w:tcPr>
          <w:p w:rsidR="001C4618" w:rsidRPr="001C4618" w:rsidRDefault="001C4618" w:rsidP="001C4618">
            <w:pPr>
              <w:jc w:val="both"/>
              <w:rPr>
                <w:sz w:val="22"/>
              </w:rPr>
            </w:pPr>
            <w:r w:rsidRPr="001C4618">
              <w:rPr>
                <w:sz w:val="22"/>
              </w:rPr>
              <w:t>1.maksājums</w:t>
            </w:r>
          </w:p>
        </w:tc>
        <w:tc>
          <w:tcPr>
            <w:tcW w:w="1296" w:type="dxa"/>
          </w:tcPr>
          <w:p w:rsidR="001C4618" w:rsidRPr="001C4618" w:rsidRDefault="001C4618" w:rsidP="001C4618">
            <w:pPr>
              <w:jc w:val="both"/>
              <w:rPr>
                <w:sz w:val="22"/>
              </w:rPr>
            </w:pPr>
            <w:r w:rsidRPr="001C4618">
              <w:rPr>
                <w:sz w:val="22"/>
              </w:rPr>
              <w:t>19.12.2013</w:t>
            </w:r>
          </w:p>
        </w:tc>
        <w:tc>
          <w:tcPr>
            <w:tcW w:w="1339" w:type="dxa"/>
          </w:tcPr>
          <w:p w:rsidR="001C4618" w:rsidRPr="001C4618" w:rsidRDefault="001C4618" w:rsidP="001C4618">
            <w:pPr>
              <w:jc w:val="both"/>
              <w:rPr>
                <w:sz w:val="22"/>
              </w:rPr>
            </w:pPr>
            <w:r w:rsidRPr="001C4618">
              <w:rPr>
                <w:sz w:val="22"/>
              </w:rPr>
              <w:t>19.12.2019</w:t>
            </w:r>
          </w:p>
        </w:tc>
        <w:tc>
          <w:tcPr>
            <w:tcW w:w="1559" w:type="dxa"/>
          </w:tcPr>
          <w:p w:rsidR="001C4618" w:rsidRPr="001C4618" w:rsidRDefault="001C4618" w:rsidP="001C4618">
            <w:pPr>
              <w:jc w:val="both"/>
              <w:rPr>
                <w:sz w:val="22"/>
              </w:rPr>
            </w:pPr>
            <w:r w:rsidRPr="001C4618">
              <w:rPr>
                <w:sz w:val="22"/>
              </w:rPr>
              <w:t>100</w:t>
            </w:r>
          </w:p>
        </w:tc>
        <w:tc>
          <w:tcPr>
            <w:tcW w:w="1780" w:type="dxa"/>
          </w:tcPr>
          <w:p w:rsidR="001C4618" w:rsidRPr="001C4618" w:rsidRDefault="001C4618" w:rsidP="001C4618">
            <w:pPr>
              <w:jc w:val="both"/>
              <w:rPr>
                <w:sz w:val="22"/>
              </w:rPr>
            </w:pPr>
          </w:p>
        </w:tc>
      </w:tr>
    </w:tbl>
    <w:p w:rsidR="00204419" w:rsidRDefault="00D43DE7" w:rsidP="00D43DE7">
      <w:pPr>
        <w:tabs>
          <w:tab w:val="left" w:pos="5008"/>
        </w:tabs>
        <w:jc w:val="both"/>
        <w:rPr>
          <w:b/>
        </w:rPr>
      </w:pPr>
      <w:r>
        <w:rPr>
          <w:b/>
        </w:rPr>
        <w:tab/>
      </w:r>
    </w:p>
    <w:p w:rsidR="00D43DE7" w:rsidRPr="00D43DE7" w:rsidRDefault="00D43DE7" w:rsidP="00D43DE7">
      <w:pPr>
        <w:jc w:val="center"/>
        <w:rPr>
          <w:rFonts w:eastAsia="Times New Roman" w:cs="Times New Roman"/>
          <w:szCs w:val="24"/>
          <w:lang w:eastAsia="lv-LV"/>
        </w:rPr>
      </w:pPr>
      <w:r w:rsidRPr="00D43DE7">
        <w:rPr>
          <w:rFonts w:eastAsia="Times New Roman" w:cs="Times New Roman"/>
          <w:szCs w:val="24"/>
          <w:lang w:eastAsia="lv-LV"/>
        </w:rPr>
        <w:t>2.</w:t>
      </w:r>
      <w:r>
        <w:rPr>
          <w:rFonts w:eastAsia="Times New Roman" w:cs="Times New Roman"/>
          <w:szCs w:val="24"/>
          <w:lang w:eastAsia="lv-LV"/>
        </w:rPr>
        <w:t>3</w:t>
      </w:r>
      <w:r w:rsidRPr="00D43DE7">
        <w:rPr>
          <w:rFonts w:eastAsia="Times New Roman" w:cs="Times New Roman"/>
          <w:szCs w:val="24"/>
          <w:lang w:eastAsia="lv-LV"/>
        </w:rPr>
        <w:t xml:space="preserve">. Finansiālās palīdzības programma </w:t>
      </w:r>
      <w:r>
        <w:rPr>
          <w:rFonts w:eastAsia="Times New Roman" w:cs="Times New Roman"/>
          <w:szCs w:val="24"/>
          <w:lang w:eastAsia="lv-LV"/>
        </w:rPr>
        <w:t>Spānijai</w:t>
      </w:r>
    </w:p>
    <w:p w:rsidR="00000D0D" w:rsidRDefault="00000D0D" w:rsidP="00085635">
      <w:pPr>
        <w:jc w:val="both"/>
      </w:pPr>
    </w:p>
    <w:p w:rsidR="00783688" w:rsidRDefault="00783688" w:rsidP="004901FB">
      <w:pPr>
        <w:ind w:firstLine="720"/>
        <w:jc w:val="both"/>
      </w:pPr>
      <w:r>
        <w:t xml:space="preserve">ESM finansiālās palīdzības programma Spānijai tika noslēgta 2013.gada 31.decmebrī. </w:t>
      </w:r>
      <w:r w:rsidR="000C5365">
        <w:t xml:space="preserve">Programmas ietvaros ar ESM finanšu institūciju </w:t>
      </w:r>
      <w:proofErr w:type="spellStart"/>
      <w:r w:rsidR="000C5365">
        <w:t>rekapitalizācijas</w:t>
      </w:r>
      <w:proofErr w:type="spellEnd"/>
      <w:r w:rsidR="000C5365">
        <w:t xml:space="preserve"> instrumenta palīdzību tikai </w:t>
      </w:r>
      <w:proofErr w:type="spellStart"/>
      <w:r w:rsidR="000C5365">
        <w:t>rekapitalizētas</w:t>
      </w:r>
      <w:proofErr w:type="spellEnd"/>
      <w:r w:rsidR="000C5365">
        <w:t xml:space="preserve"> un restrukturizētas Spānijas problemātiskās bankas.</w:t>
      </w:r>
    </w:p>
    <w:p w:rsidR="004901FB" w:rsidRDefault="000C5365" w:rsidP="004901FB">
      <w:pPr>
        <w:ind w:firstLine="720"/>
        <w:jc w:val="both"/>
      </w:pPr>
      <w:r>
        <w:t xml:space="preserve">Spānijas programmas </w:t>
      </w:r>
      <w:r w:rsidR="004901FB">
        <w:t>mērķis</w:t>
      </w:r>
      <w:r>
        <w:t xml:space="preserve"> bija atjaunot banku kapitāla pietiekamību atbilstoši prasībām un izveidot ietvaru problemātisko aktīvu pārvaldībai, kā arī ievērojami uzlabot banku pārraudzību un regulējumu. </w:t>
      </w:r>
      <w:r w:rsidR="004A12D9">
        <w:t xml:space="preserve">Pirmā ESM izmaksa 39,5 miljardu eiro apmērā tika veikta 2012.gada 11.decembrī, bet 2013.gada 28.janvārī Spānijas valdība lūdza izmaksāt 1,86 miljardus eiro otrās grupas banku </w:t>
      </w:r>
      <w:proofErr w:type="spellStart"/>
      <w:r w:rsidR="004A12D9">
        <w:t>rekapitalizācijai</w:t>
      </w:r>
      <w:proofErr w:type="spellEnd"/>
      <w:r w:rsidR="004A12D9">
        <w:t xml:space="preserve">, un izmaksa tika veikta 2013.gada 5.februārī. Kopumā vērtējot Spānijas banku sektora attīstību, ir vērojami būtiski uzlabojumi, un pēc ievērojamiem </w:t>
      </w:r>
      <w:r w:rsidR="004A12D9">
        <w:lastRenderedPageBreak/>
        <w:t xml:space="preserve">zaudējumiem iepriekšējā gadā 2013.gadā bankas atgriezās pie peļņas un to kapitāla pietiekamības rādītāji ir </w:t>
      </w:r>
      <w:r w:rsidR="004901FB">
        <w:t>atbilstoši prasībām.</w:t>
      </w:r>
      <w:r w:rsidR="004901FB">
        <w:tab/>
      </w:r>
    </w:p>
    <w:p w:rsidR="00AF4636" w:rsidRDefault="004901FB" w:rsidP="00AF4636">
      <w:pPr>
        <w:ind w:firstLine="720"/>
        <w:jc w:val="both"/>
      </w:pPr>
      <w:r>
        <w:t xml:space="preserve">Arī </w:t>
      </w:r>
      <w:r w:rsidR="00651B86">
        <w:t xml:space="preserve">Spānijas makroekonomiskās attīstības tendences liecina, ka situācija turpina uzlaboties. Jau 2013.gada otrajā pusē ceturkšņu IKP izaugsme bija pozitīva, un 2013.gada ceturtajā ceturksnī IKP salīdzinājumā ar iepriekšējo ceturksni palielinājās par 0,2%. Iekšzemes pieprasījuma </w:t>
      </w:r>
      <w:r w:rsidR="004A5280">
        <w:t xml:space="preserve">negatīvā </w:t>
      </w:r>
      <w:r w:rsidR="00651B86">
        <w:t xml:space="preserve">ietekme uz kopējo izaugsmi 2013.gadā bija mazāka nekā iepriekšējā gadā (-2,7% salīdzinājumā ar -4,0% 2012.gadā). </w:t>
      </w:r>
      <w:r w:rsidR="00610586">
        <w:t>Tajā pašā laikā samazinājās</w:t>
      </w:r>
      <w:r w:rsidR="00651B86">
        <w:t xml:space="preserve"> ārējā pieprasījuma pozitīvā ietekme uz kopējo izaugsmi, </w:t>
      </w:r>
      <w:r w:rsidR="00610586">
        <w:t xml:space="preserve">jo, lai arī </w:t>
      </w:r>
      <w:r w:rsidR="00651B86">
        <w:t>eksports joprojām turpināja palielināties, importā bija novērojama</w:t>
      </w:r>
      <w:r>
        <w:t xml:space="preserve"> </w:t>
      </w:r>
      <w:proofErr w:type="spellStart"/>
      <w:r w:rsidR="00651B86">
        <w:t>augšupvērsta</w:t>
      </w:r>
      <w:proofErr w:type="spellEnd"/>
      <w:r w:rsidR="00651B86">
        <w:t xml:space="preserve"> tendence, nos</w:t>
      </w:r>
      <w:r>
        <w:t>akot neto eksporta samazinājumu.</w:t>
      </w:r>
      <w:r>
        <w:tab/>
      </w:r>
    </w:p>
    <w:p w:rsidR="004901FB" w:rsidRDefault="004901FB" w:rsidP="00AF4636">
      <w:pPr>
        <w:ind w:firstLine="720"/>
        <w:jc w:val="both"/>
      </w:pPr>
      <w:r>
        <w:t xml:space="preserve">Vienlaikus </w:t>
      </w:r>
      <w:r w:rsidR="009F0FDA">
        <w:t xml:space="preserve">turpinājās nelīdzsvarotību korekcija. </w:t>
      </w:r>
      <w:r w:rsidR="00523B26">
        <w:t>Neskatoties uz zemākiem ieņēmumiem nekā plānots, v</w:t>
      </w:r>
      <w:r w:rsidR="009F0FDA">
        <w:t xml:space="preserve">ispārējās valdības kopējais deficīts bija 6,6% IKP, </w:t>
      </w:r>
      <w:r w:rsidR="00523B26">
        <w:t xml:space="preserve">nedaudz pārsniedzot </w:t>
      </w:r>
      <w:r>
        <w:t>deficīta mērķi 6,5%, s</w:t>
      </w:r>
      <w:r w:rsidR="00523B26">
        <w:t xml:space="preserve">avukārt ekonomikas izaugsmi nodrošināja </w:t>
      </w:r>
      <w:r w:rsidR="009F0FDA">
        <w:t>konkurētspēj</w:t>
      </w:r>
      <w:r w:rsidR="00523B26">
        <w:t>as pieaugums</w:t>
      </w:r>
      <w:r w:rsidR="009F0FDA">
        <w:t xml:space="preserve">, kā rezultātā </w:t>
      </w:r>
      <w:r w:rsidR="00523B26">
        <w:t xml:space="preserve">Spānijas maksājumu bilances tekošajā kontā veidojas pārpalikums 0,8% apmērā no IKP. </w:t>
      </w:r>
    </w:p>
    <w:p w:rsidR="00992342" w:rsidRDefault="00601021" w:rsidP="004901FB">
      <w:pPr>
        <w:ind w:firstLine="720"/>
        <w:jc w:val="both"/>
      </w:pPr>
      <w:r>
        <w:t xml:space="preserve">Augošās investoru uzticības rezultātā </w:t>
      </w:r>
      <w:r w:rsidR="00992342">
        <w:t xml:space="preserve">būtiski uzlabojās Spānijas iespējas finanšu tirgos, ko galvenokārt nodrošināja </w:t>
      </w:r>
      <w:r w:rsidR="009F0FDA">
        <w:t xml:space="preserve">pakāpeniska </w:t>
      </w:r>
      <w:r w:rsidR="004901FB">
        <w:t xml:space="preserve">situācijas </w:t>
      </w:r>
      <w:r w:rsidR="009F0FDA">
        <w:t>uzlabošanās reālajā ekonomikā.</w:t>
      </w:r>
      <w:r w:rsidR="00992342">
        <w:t xml:space="preserve"> Obligāciju ienesīgums sasniedza aizvien zemāku ienesīguma rādītāju, liecinot par pakāpeniska kredītriska samazināšanos. </w:t>
      </w:r>
    </w:p>
    <w:p w:rsidR="00651B86" w:rsidRDefault="00992342" w:rsidP="004901FB">
      <w:pPr>
        <w:ind w:firstLine="720"/>
        <w:jc w:val="both"/>
      </w:pPr>
      <w:r>
        <w:t xml:space="preserve">Šobrīd </w:t>
      </w:r>
      <w:r w:rsidR="009F0FDA">
        <w:t>Spānij</w:t>
      </w:r>
      <w:r>
        <w:t>ā</w:t>
      </w:r>
      <w:r w:rsidR="009F0FDA">
        <w:t xml:space="preserve"> ir </w:t>
      </w:r>
      <w:r>
        <w:t xml:space="preserve">sākts </w:t>
      </w:r>
      <w:proofErr w:type="spellStart"/>
      <w:r>
        <w:t>pēc</w:t>
      </w:r>
      <w:r w:rsidR="009F0FDA">
        <w:t>programmas</w:t>
      </w:r>
      <w:proofErr w:type="spellEnd"/>
      <w:r w:rsidR="009F0FDA">
        <w:t xml:space="preserve"> </w:t>
      </w:r>
      <w:r>
        <w:t>uzraudzības posms</w:t>
      </w:r>
      <w:r w:rsidR="009F0FDA">
        <w:t>.</w:t>
      </w:r>
      <w:r>
        <w:t xml:space="preserve"> Sadarbībā ar Eiropas Komisiju ESM turpinās ieviest agrās brīdināšanas mehānismu (</w:t>
      </w:r>
      <w:proofErr w:type="spellStart"/>
      <w:r w:rsidRPr="00C53635">
        <w:rPr>
          <w:i/>
        </w:rPr>
        <w:t>Early</w:t>
      </w:r>
      <w:proofErr w:type="spellEnd"/>
      <w:r w:rsidRPr="00C53635">
        <w:rPr>
          <w:i/>
        </w:rPr>
        <w:t xml:space="preserve"> </w:t>
      </w:r>
      <w:proofErr w:type="spellStart"/>
      <w:r w:rsidRPr="00C53635">
        <w:rPr>
          <w:i/>
        </w:rPr>
        <w:t>Warning</w:t>
      </w:r>
      <w:proofErr w:type="spellEnd"/>
      <w:r w:rsidRPr="00C53635">
        <w:rPr>
          <w:i/>
        </w:rPr>
        <w:t xml:space="preserve"> </w:t>
      </w:r>
      <w:proofErr w:type="spellStart"/>
      <w:r w:rsidRPr="00C53635">
        <w:rPr>
          <w:i/>
        </w:rPr>
        <w:t>System</w:t>
      </w:r>
      <w:proofErr w:type="spellEnd"/>
      <w:r>
        <w:t xml:space="preserve">), lai vērtētu Spānijas iespējas veikt atmaksas ESM. </w:t>
      </w:r>
    </w:p>
    <w:p w:rsidR="00570769" w:rsidRDefault="00570769" w:rsidP="009F0FDA">
      <w:pPr>
        <w:jc w:val="both"/>
      </w:pPr>
    </w:p>
    <w:p w:rsidR="00B132BC" w:rsidRPr="00D43DE7" w:rsidRDefault="00B132BC" w:rsidP="00B132BC">
      <w:pPr>
        <w:jc w:val="center"/>
      </w:pPr>
      <w:r w:rsidRPr="00D43DE7">
        <w:t>2</w:t>
      </w:r>
      <w:r w:rsidR="009A545C">
        <w:t>.4</w:t>
      </w:r>
      <w:r w:rsidRPr="00D43DE7">
        <w:t xml:space="preserve">. ESM </w:t>
      </w:r>
      <w:r w:rsidR="009A545C">
        <w:t>Spānijai</w:t>
      </w:r>
      <w:r w:rsidR="009A545C" w:rsidRPr="00D43DE7">
        <w:t xml:space="preserve"> </w:t>
      </w:r>
      <w:r w:rsidRPr="00D43DE7">
        <w:t xml:space="preserve">veiktie maksājumi </w:t>
      </w:r>
    </w:p>
    <w:p w:rsidR="004901FB" w:rsidRDefault="004901FB" w:rsidP="009F0FDA">
      <w:pPr>
        <w:jc w:val="both"/>
      </w:pPr>
    </w:p>
    <w:p w:rsidR="00570769" w:rsidRDefault="009915AA" w:rsidP="004901FB">
      <w:pPr>
        <w:ind w:firstLine="720"/>
        <w:jc w:val="both"/>
      </w:pPr>
      <w:r>
        <w:t xml:space="preserve">ESM un Spānija finansiālās palīdzības līgums tika parakstīts 2012.gada 29.novembrī. Kopējais palīdzības apjoms </w:t>
      </w:r>
      <w:r w:rsidR="00BA38A9">
        <w:t xml:space="preserve">bija </w:t>
      </w:r>
      <w:r>
        <w:t>paredzēts 100 miljardu eiro apmērā ar maksimāl</w:t>
      </w:r>
      <w:r w:rsidR="00BA38A9">
        <w:t>o aizdošanas</w:t>
      </w:r>
      <w:r>
        <w:t xml:space="preserve"> termiņu 15 gadi, bet vidējo termiņu – 12,5 gadi. </w:t>
      </w:r>
      <w:r w:rsidR="00BA38A9">
        <w:t>Pirmais maksājums</w:t>
      </w:r>
      <w:r w:rsidR="001E7658">
        <w:t xml:space="preserve"> palīdzības </w:t>
      </w:r>
      <w:r w:rsidR="00BA38A9">
        <w:t xml:space="preserve">programmas </w:t>
      </w:r>
      <w:r w:rsidR="001E7658">
        <w:t>pirmās daļas ietvaros tika veikts 2012.gada decembrī, kad kopumā tika izmaksāti 39,5 miljardi eiro. Izmaksa tika veikta Spānijas rīcībā nod</w:t>
      </w:r>
      <w:r w:rsidR="00BA38A9">
        <w:t xml:space="preserve">odot ESM emitētus vērtspapīrus, kas </w:t>
      </w:r>
      <w:r w:rsidR="001E7658">
        <w:t xml:space="preserve">tika nodoti Spānijas Nacionālās bankas </w:t>
      </w:r>
      <w:r w:rsidR="00731D50">
        <w:t>rīcībā</w:t>
      </w:r>
      <w:r w:rsidR="00D27689">
        <w:t xml:space="preserve">, kas tos nodeva banku restrukturizācijas fonda rīcībā 1.grupas banku un SAREB (aktīvu pārvaldes sabiedrība Spānijā) </w:t>
      </w:r>
      <w:proofErr w:type="spellStart"/>
      <w:r w:rsidR="00D27689">
        <w:t>rekapitalizācijai</w:t>
      </w:r>
      <w:proofErr w:type="spellEnd"/>
      <w:r w:rsidR="00D27689">
        <w:t xml:space="preserve">. </w:t>
      </w:r>
    </w:p>
    <w:p w:rsidR="00BA38A9" w:rsidRDefault="00BA38A9" w:rsidP="004901FB">
      <w:pPr>
        <w:ind w:firstLine="720"/>
        <w:jc w:val="both"/>
      </w:pPr>
    </w:p>
    <w:p w:rsidR="00CF588A" w:rsidRDefault="005A10A1" w:rsidP="005A10A1">
      <w:pPr>
        <w:jc w:val="center"/>
      </w:pPr>
      <w:r>
        <w:t>2.tabula Kipras programmas ietvaros veiktie maksājumi</w:t>
      </w:r>
    </w:p>
    <w:tbl>
      <w:tblPr>
        <w:tblStyle w:val="TableGrid"/>
        <w:tblW w:w="0" w:type="auto"/>
        <w:tblLook w:val="04A0" w:firstRow="1" w:lastRow="0" w:firstColumn="1" w:lastColumn="0" w:noHBand="0" w:noVBand="1"/>
      </w:tblPr>
      <w:tblGrid>
        <w:gridCol w:w="846"/>
        <w:gridCol w:w="1476"/>
        <w:gridCol w:w="1359"/>
        <w:gridCol w:w="1296"/>
        <w:gridCol w:w="1759"/>
        <w:gridCol w:w="1560"/>
      </w:tblGrid>
      <w:tr w:rsidR="00CF588A" w:rsidTr="00E40513">
        <w:tc>
          <w:tcPr>
            <w:tcW w:w="846"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Daļa</w:t>
            </w:r>
          </w:p>
        </w:tc>
        <w:tc>
          <w:tcPr>
            <w:tcW w:w="1476"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Maksājums</w:t>
            </w:r>
          </w:p>
        </w:tc>
        <w:tc>
          <w:tcPr>
            <w:tcW w:w="1359"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Izmaksas datums</w:t>
            </w:r>
          </w:p>
        </w:tc>
        <w:tc>
          <w:tcPr>
            <w:tcW w:w="1296"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Termiņš</w:t>
            </w:r>
          </w:p>
        </w:tc>
        <w:tc>
          <w:tcPr>
            <w:tcW w:w="1759"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Apmērs (miljoni eiro)</w:t>
            </w:r>
          </w:p>
        </w:tc>
        <w:tc>
          <w:tcPr>
            <w:tcW w:w="1560" w:type="dxa"/>
            <w:shd w:val="clear" w:color="auto" w:fill="F2F2F2" w:themeFill="background1" w:themeFillShade="F2"/>
            <w:vAlign w:val="center"/>
          </w:tcPr>
          <w:p w:rsidR="00CF588A" w:rsidRPr="001C4618" w:rsidRDefault="00CF588A" w:rsidP="00CF588A">
            <w:pPr>
              <w:jc w:val="center"/>
              <w:rPr>
                <w:b/>
                <w:sz w:val="22"/>
              </w:rPr>
            </w:pPr>
            <w:r w:rsidRPr="001C4618">
              <w:rPr>
                <w:b/>
                <w:sz w:val="22"/>
              </w:rPr>
              <w:t>Mērķis</w:t>
            </w:r>
          </w:p>
        </w:tc>
      </w:tr>
      <w:tr w:rsidR="00222243" w:rsidTr="00E40513">
        <w:tc>
          <w:tcPr>
            <w:tcW w:w="846" w:type="dxa"/>
          </w:tcPr>
          <w:p w:rsidR="00222243" w:rsidRPr="001C4618" w:rsidRDefault="00222243" w:rsidP="00222243">
            <w:pPr>
              <w:jc w:val="both"/>
              <w:rPr>
                <w:sz w:val="22"/>
              </w:rPr>
            </w:pPr>
            <w:r w:rsidRPr="001C4618">
              <w:rPr>
                <w:sz w:val="22"/>
              </w:rPr>
              <w:t>1.daļa</w:t>
            </w:r>
          </w:p>
        </w:tc>
        <w:tc>
          <w:tcPr>
            <w:tcW w:w="1476" w:type="dxa"/>
          </w:tcPr>
          <w:p w:rsidR="00222243" w:rsidRPr="001C4618" w:rsidRDefault="00222243" w:rsidP="00222243">
            <w:pPr>
              <w:jc w:val="both"/>
              <w:rPr>
                <w:sz w:val="22"/>
              </w:rPr>
            </w:pPr>
            <w:r w:rsidRPr="001C4618">
              <w:rPr>
                <w:sz w:val="22"/>
              </w:rPr>
              <w:t>1.maksājums</w:t>
            </w:r>
          </w:p>
        </w:tc>
        <w:tc>
          <w:tcPr>
            <w:tcW w:w="1359" w:type="dxa"/>
          </w:tcPr>
          <w:p w:rsidR="00222243" w:rsidRDefault="00222243" w:rsidP="00222243">
            <w:pPr>
              <w:jc w:val="both"/>
            </w:pPr>
            <w:r>
              <w:t>11.12.2012</w:t>
            </w:r>
          </w:p>
        </w:tc>
        <w:tc>
          <w:tcPr>
            <w:tcW w:w="1296" w:type="dxa"/>
          </w:tcPr>
          <w:p w:rsidR="00222243" w:rsidRDefault="00222243" w:rsidP="00222243">
            <w:pPr>
              <w:jc w:val="both"/>
            </w:pPr>
            <w:r>
              <w:t>11.12.2022</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222243" w:rsidTr="00E40513">
        <w:tc>
          <w:tcPr>
            <w:tcW w:w="846" w:type="dxa"/>
          </w:tcPr>
          <w:p w:rsidR="00222243" w:rsidRDefault="00222243" w:rsidP="00222243">
            <w:pPr>
              <w:jc w:val="both"/>
            </w:pPr>
          </w:p>
        </w:tc>
        <w:tc>
          <w:tcPr>
            <w:tcW w:w="1476" w:type="dxa"/>
          </w:tcPr>
          <w:p w:rsidR="00222243" w:rsidRDefault="00222243" w:rsidP="00222243">
            <w:pPr>
              <w:jc w:val="both"/>
            </w:pPr>
          </w:p>
        </w:tc>
        <w:tc>
          <w:tcPr>
            <w:tcW w:w="1359" w:type="dxa"/>
          </w:tcPr>
          <w:p w:rsidR="00222243" w:rsidRDefault="00222243" w:rsidP="00222243">
            <w:pPr>
              <w:jc w:val="both"/>
            </w:pPr>
            <w:r>
              <w:t>11.12.2012</w:t>
            </w:r>
          </w:p>
        </w:tc>
        <w:tc>
          <w:tcPr>
            <w:tcW w:w="1296" w:type="dxa"/>
          </w:tcPr>
          <w:p w:rsidR="00222243" w:rsidRDefault="00222243" w:rsidP="00222243">
            <w:pPr>
              <w:jc w:val="both"/>
            </w:pPr>
            <w:r>
              <w:t>11.12.2023</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222243" w:rsidTr="00E40513">
        <w:tc>
          <w:tcPr>
            <w:tcW w:w="846" w:type="dxa"/>
          </w:tcPr>
          <w:p w:rsidR="00222243" w:rsidRDefault="00222243" w:rsidP="00222243">
            <w:pPr>
              <w:jc w:val="both"/>
            </w:pPr>
          </w:p>
        </w:tc>
        <w:tc>
          <w:tcPr>
            <w:tcW w:w="1476" w:type="dxa"/>
          </w:tcPr>
          <w:p w:rsidR="00222243" w:rsidRDefault="00222243" w:rsidP="00222243">
            <w:pPr>
              <w:jc w:val="both"/>
            </w:pPr>
          </w:p>
        </w:tc>
        <w:tc>
          <w:tcPr>
            <w:tcW w:w="1359" w:type="dxa"/>
          </w:tcPr>
          <w:p w:rsidR="00222243" w:rsidRDefault="00222243" w:rsidP="00222243">
            <w:pPr>
              <w:jc w:val="both"/>
            </w:pPr>
            <w:r>
              <w:t>11.12.2012</w:t>
            </w:r>
          </w:p>
        </w:tc>
        <w:tc>
          <w:tcPr>
            <w:tcW w:w="1296" w:type="dxa"/>
          </w:tcPr>
          <w:p w:rsidR="00222243" w:rsidRDefault="00222243" w:rsidP="00222243">
            <w:pPr>
              <w:jc w:val="both"/>
            </w:pPr>
            <w:r>
              <w:t>11.12.2024</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222243" w:rsidTr="00E40513">
        <w:tc>
          <w:tcPr>
            <w:tcW w:w="846" w:type="dxa"/>
          </w:tcPr>
          <w:p w:rsidR="00222243" w:rsidRDefault="00222243" w:rsidP="00222243">
            <w:pPr>
              <w:jc w:val="both"/>
            </w:pPr>
          </w:p>
        </w:tc>
        <w:tc>
          <w:tcPr>
            <w:tcW w:w="1476" w:type="dxa"/>
          </w:tcPr>
          <w:p w:rsidR="00222243" w:rsidRDefault="00222243" w:rsidP="00222243">
            <w:pPr>
              <w:jc w:val="both"/>
            </w:pPr>
          </w:p>
        </w:tc>
        <w:tc>
          <w:tcPr>
            <w:tcW w:w="1359" w:type="dxa"/>
          </w:tcPr>
          <w:p w:rsidR="00222243" w:rsidRDefault="00222243" w:rsidP="00222243">
            <w:pPr>
              <w:jc w:val="both"/>
            </w:pPr>
            <w:r>
              <w:t>11.12.2012</w:t>
            </w:r>
          </w:p>
        </w:tc>
        <w:tc>
          <w:tcPr>
            <w:tcW w:w="1296" w:type="dxa"/>
          </w:tcPr>
          <w:p w:rsidR="00222243" w:rsidRDefault="00222243" w:rsidP="00222243">
            <w:pPr>
              <w:jc w:val="both"/>
            </w:pPr>
            <w:r>
              <w:t>11.12.2025</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222243" w:rsidTr="00E40513">
        <w:tc>
          <w:tcPr>
            <w:tcW w:w="846" w:type="dxa"/>
          </w:tcPr>
          <w:p w:rsidR="00222243" w:rsidRDefault="00222243" w:rsidP="00222243">
            <w:pPr>
              <w:jc w:val="both"/>
            </w:pPr>
          </w:p>
        </w:tc>
        <w:tc>
          <w:tcPr>
            <w:tcW w:w="1476" w:type="dxa"/>
          </w:tcPr>
          <w:p w:rsidR="00222243" w:rsidRDefault="00222243" w:rsidP="00222243">
            <w:pPr>
              <w:jc w:val="both"/>
            </w:pPr>
          </w:p>
        </w:tc>
        <w:tc>
          <w:tcPr>
            <w:tcW w:w="1359" w:type="dxa"/>
          </w:tcPr>
          <w:p w:rsidR="00222243" w:rsidRDefault="00222243" w:rsidP="00222243">
            <w:pPr>
              <w:jc w:val="both"/>
            </w:pPr>
            <w:r>
              <w:t>11.12.2012</w:t>
            </w:r>
          </w:p>
        </w:tc>
        <w:tc>
          <w:tcPr>
            <w:tcW w:w="1296" w:type="dxa"/>
          </w:tcPr>
          <w:p w:rsidR="00222243" w:rsidRDefault="00222243" w:rsidP="00222243">
            <w:pPr>
              <w:jc w:val="both"/>
            </w:pPr>
            <w:r>
              <w:t>11.12.2026</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222243" w:rsidTr="00E40513">
        <w:tc>
          <w:tcPr>
            <w:tcW w:w="846" w:type="dxa"/>
          </w:tcPr>
          <w:p w:rsidR="00222243" w:rsidRDefault="00222243" w:rsidP="00222243">
            <w:pPr>
              <w:jc w:val="both"/>
            </w:pPr>
          </w:p>
        </w:tc>
        <w:tc>
          <w:tcPr>
            <w:tcW w:w="1476" w:type="dxa"/>
          </w:tcPr>
          <w:p w:rsidR="00222243" w:rsidRDefault="00222243" w:rsidP="00222243">
            <w:pPr>
              <w:jc w:val="both"/>
            </w:pPr>
          </w:p>
        </w:tc>
        <w:tc>
          <w:tcPr>
            <w:tcW w:w="1359" w:type="dxa"/>
          </w:tcPr>
          <w:p w:rsidR="00222243" w:rsidRDefault="00222243" w:rsidP="00222243">
            <w:pPr>
              <w:jc w:val="both"/>
            </w:pPr>
            <w:r>
              <w:t>11.12.2012</w:t>
            </w:r>
          </w:p>
        </w:tc>
        <w:tc>
          <w:tcPr>
            <w:tcW w:w="1296" w:type="dxa"/>
          </w:tcPr>
          <w:p w:rsidR="00222243" w:rsidRDefault="00222243" w:rsidP="00222243">
            <w:pPr>
              <w:jc w:val="both"/>
            </w:pPr>
            <w:r>
              <w:t>11.12.2027</w:t>
            </w:r>
          </w:p>
        </w:tc>
        <w:tc>
          <w:tcPr>
            <w:tcW w:w="1759" w:type="dxa"/>
          </w:tcPr>
          <w:p w:rsidR="00222243" w:rsidRDefault="00222243" w:rsidP="00222243">
            <w:pPr>
              <w:jc w:val="both"/>
            </w:pPr>
            <w:r>
              <w:t>6578</w:t>
            </w:r>
            <w:r w:rsidR="00325E12">
              <w:t>,0</w:t>
            </w:r>
          </w:p>
        </w:tc>
        <w:tc>
          <w:tcPr>
            <w:tcW w:w="1560" w:type="dxa"/>
          </w:tcPr>
          <w:p w:rsidR="00222243" w:rsidRPr="001C4618" w:rsidRDefault="00222243" w:rsidP="00222243">
            <w:pPr>
              <w:jc w:val="both"/>
              <w:rPr>
                <w:sz w:val="22"/>
              </w:rPr>
            </w:pPr>
            <w:r w:rsidRPr="001C4618">
              <w:rPr>
                <w:sz w:val="22"/>
              </w:rPr>
              <w:t xml:space="preserve">Banku </w:t>
            </w:r>
            <w:proofErr w:type="spellStart"/>
            <w:r w:rsidRPr="001C4618">
              <w:rPr>
                <w:sz w:val="22"/>
              </w:rPr>
              <w:t>rekapitalizācija</w:t>
            </w:r>
            <w:proofErr w:type="spellEnd"/>
          </w:p>
        </w:tc>
      </w:tr>
      <w:tr w:rsidR="00325E12" w:rsidTr="00E40513">
        <w:tc>
          <w:tcPr>
            <w:tcW w:w="846" w:type="dxa"/>
          </w:tcPr>
          <w:p w:rsidR="00325E12" w:rsidRDefault="00325E12" w:rsidP="00325E12">
            <w:pPr>
              <w:jc w:val="both"/>
            </w:pPr>
            <w:r>
              <w:t>2.daļa</w:t>
            </w:r>
          </w:p>
        </w:tc>
        <w:tc>
          <w:tcPr>
            <w:tcW w:w="1476" w:type="dxa"/>
          </w:tcPr>
          <w:p w:rsidR="00325E12" w:rsidRDefault="00325E12" w:rsidP="00325E12">
            <w:pPr>
              <w:jc w:val="both"/>
            </w:pPr>
            <w:r>
              <w:t>1.maksājums</w:t>
            </w:r>
          </w:p>
        </w:tc>
        <w:tc>
          <w:tcPr>
            <w:tcW w:w="1359" w:type="dxa"/>
          </w:tcPr>
          <w:p w:rsidR="00325E12" w:rsidRDefault="00325E12" w:rsidP="00325E12">
            <w:pPr>
              <w:jc w:val="both"/>
            </w:pPr>
            <w:r>
              <w:t>05.02.2013</w:t>
            </w:r>
          </w:p>
        </w:tc>
        <w:tc>
          <w:tcPr>
            <w:tcW w:w="1296" w:type="dxa"/>
          </w:tcPr>
          <w:p w:rsidR="00325E12" w:rsidRDefault="00325E12" w:rsidP="00325E12">
            <w:pPr>
              <w:jc w:val="both"/>
            </w:pPr>
            <w:r>
              <w:t>11.02.2024</w:t>
            </w:r>
          </w:p>
        </w:tc>
        <w:tc>
          <w:tcPr>
            <w:tcW w:w="1759" w:type="dxa"/>
          </w:tcPr>
          <w:p w:rsidR="00325E12" w:rsidRDefault="00325E12" w:rsidP="00325E12">
            <w:pPr>
              <w:jc w:val="both"/>
            </w:pPr>
            <w:r>
              <w:t>932,5</w:t>
            </w:r>
          </w:p>
        </w:tc>
        <w:tc>
          <w:tcPr>
            <w:tcW w:w="1560" w:type="dxa"/>
          </w:tcPr>
          <w:p w:rsidR="00325E12" w:rsidRPr="001C4618" w:rsidRDefault="00325E12" w:rsidP="00325E12">
            <w:pPr>
              <w:jc w:val="both"/>
              <w:rPr>
                <w:sz w:val="22"/>
              </w:rPr>
            </w:pPr>
            <w:r w:rsidRPr="001C4618">
              <w:rPr>
                <w:sz w:val="22"/>
              </w:rPr>
              <w:t xml:space="preserve">Banku </w:t>
            </w:r>
            <w:proofErr w:type="spellStart"/>
            <w:r w:rsidRPr="001C4618">
              <w:rPr>
                <w:sz w:val="22"/>
              </w:rPr>
              <w:t>rekapitalizācija</w:t>
            </w:r>
            <w:proofErr w:type="spellEnd"/>
          </w:p>
        </w:tc>
      </w:tr>
      <w:tr w:rsidR="00325E12" w:rsidTr="00E40513">
        <w:tc>
          <w:tcPr>
            <w:tcW w:w="846" w:type="dxa"/>
          </w:tcPr>
          <w:p w:rsidR="00325E12" w:rsidRDefault="00325E12" w:rsidP="00325E12">
            <w:pPr>
              <w:jc w:val="both"/>
            </w:pPr>
          </w:p>
        </w:tc>
        <w:tc>
          <w:tcPr>
            <w:tcW w:w="1476" w:type="dxa"/>
          </w:tcPr>
          <w:p w:rsidR="00325E12" w:rsidRDefault="00325E12" w:rsidP="00325E12">
            <w:pPr>
              <w:jc w:val="both"/>
            </w:pPr>
            <w:r>
              <w:t>1.maksājums</w:t>
            </w:r>
          </w:p>
        </w:tc>
        <w:tc>
          <w:tcPr>
            <w:tcW w:w="1359" w:type="dxa"/>
          </w:tcPr>
          <w:p w:rsidR="00325E12" w:rsidRDefault="00325E12" w:rsidP="00325E12">
            <w:pPr>
              <w:jc w:val="both"/>
            </w:pPr>
            <w:r>
              <w:t>05.02.2013</w:t>
            </w:r>
          </w:p>
        </w:tc>
        <w:tc>
          <w:tcPr>
            <w:tcW w:w="1296" w:type="dxa"/>
          </w:tcPr>
          <w:p w:rsidR="00325E12" w:rsidRDefault="00325E12" w:rsidP="00325E12">
            <w:pPr>
              <w:jc w:val="both"/>
            </w:pPr>
            <w:r>
              <w:t>11.02.2024</w:t>
            </w:r>
          </w:p>
        </w:tc>
        <w:tc>
          <w:tcPr>
            <w:tcW w:w="1759" w:type="dxa"/>
          </w:tcPr>
          <w:p w:rsidR="00325E12" w:rsidRDefault="00325E12" w:rsidP="00325E12">
            <w:pPr>
              <w:jc w:val="both"/>
            </w:pPr>
            <w:r>
              <w:t>932,5</w:t>
            </w:r>
          </w:p>
        </w:tc>
        <w:tc>
          <w:tcPr>
            <w:tcW w:w="1560" w:type="dxa"/>
          </w:tcPr>
          <w:p w:rsidR="00325E12" w:rsidRPr="001C4618" w:rsidRDefault="00325E12" w:rsidP="00325E12">
            <w:pPr>
              <w:jc w:val="both"/>
              <w:rPr>
                <w:sz w:val="22"/>
              </w:rPr>
            </w:pPr>
            <w:r w:rsidRPr="001C4618">
              <w:rPr>
                <w:sz w:val="22"/>
              </w:rPr>
              <w:t xml:space="preserve">Banku </w:t>
            </w:r>
            <w:proofErr w:type="spellStart"/>
            <w:r w:rsidRPr="001C4618">
              <w:rPr>
                <w:sz w:val="22"/>
              </w:rPr>
              <w:t>rekapitalizācija</w:t>
            </w:r>
            <w:proofErr w:type="spellEnd"/>
          </w:p>
        </w:tc>
      </w:tr>
      <w:tr w:rsidR="00325E12" w:rsidTr="00E40513">
        <w:tc>
          <w:tcPr>
            <w:tcW w:w="846" w:type="dxa"/>
          </w:tcPr>
          <w:p w:rsidR="00325E12" w:rsidRDefault="00325E12" w:rsidP="00325E12">
            <w:pPr>
              <w:jc w:val="both"/>
            </w:pPr>
            <w:r>
              <w:t>3.daļa</w:t>
            </w:r>
          </w:p>
        </w:tc>
        <w:tc>
          <w:tcPr>
            <w:tcW w:w="1476" w:type="dxa"/>
          </w:tcPr>
          <w:p w:rsidR="00325E12" w:rsidRDefault="00325E12" w:rsidP="00325E12">
            <w:pPr>
              <w:jc w:val="both"/>
            </w:pPr>
            <w:r>
              <w:t>1.maksājums</w:t>
            </w:r>
          </w:p>
        </w:tc>
        <w:tc>
          <w:tcPr>
            <w:tcW w:w="1359" w:type="dxa"/>
          </w:tcPr>
          <w:p w:rsidR="00325E12" w:rsidRDefault="00325E12" w:rsidP="00325E12">
            <w:pPr>
              <w:jc w:val="both"/>
            </w:pPr>
            <w:r>
              <w:t>19.12.2013</w:t>
            </w:r>
          </w:p>
        </w:tc>
        <w:tc>
          <w:tcPr>
            <w:tcW w:w="1296" w:type="dxa"/>
          </w:tcPr>
          <w:p w:rsidR="00325E12" w:rsidRDefault="00325E12" w:rsidP="00325E12">
            <w:pPr>
              <w:jc w:val="both"/>
            </w:pPr>
            <w:r>
              <w:t>19.12.2019</w:t>
            </w:r>
          </w:p>
        </w:tc>
        <w:tc>
          <w:tcPr>
            <w:tcW w:w="1759" w:type="dxa"/>
          </w:tcPr>
          <w:p w:rsidR="00325E12" w:rsidRDefault="00325E12" w:rsidP="00325E12">
            <w:pPr>
              <w:jc w:val="both"/>
            </w:pPr>
            <w:r>
              <w:t>100,0</w:t>
            </w:r>
          </w:p>
        </w:tc>
        <w:tc>
          <w:tcPr>
            <w:tcW w:w="1560" w:type="dxa"/>
          </w:tcPr>
          <w:p w:rsidR="00325E12" w:rsidRPr="001C4618" w:rsidRDefault="00325E12" w:rsidP="00325E12">
            <w:pPr>
              <w:jc w:val="both"/>
              <w:rPr>
                <w:sz w:val="22"/>
              </w:rPr>
            </w:pPr>
          </w:p>
        </w:tc>
      </w:tr>
    </w:tbl>
    <w:p w:rsidR="00651B86" w:rsidRDefault="00651B86" w:rsidP="00085635">
      <w:pPr>
        <w:jc w:val="both"/>
      </w:pPr>
    </w:p>
    <w:p w:rsidR="00452349" w:rsidRDefault="00325E12" w:rsidP="00BA38A9">
      <w:pPr>
        <w:ind w:firstLine="720"/>
        <w:jc w:val="both"/>
      </w:pPr>
      <w:r>
        <w:t xml:space="preserve">2013.gada 5.februārī ESM veica programmas otrās daļas maksājumu 1,9 miljardu eiro apmērā, kas bija nepieciešami vēl četru banku, t.s. otrās grupas banku </w:t>
      </w:r>
      <w:proofErr w:type="spellStart"/>
      <w:r>
        <w:t>rekapitalizācijai</w:t>
      </w:r>
      <w:proofErr w:type="spellEnd"/>
      <w:r>
        <w:t>.</w:t>
      </w:r>
    </w:p>
    <w:p w:rsidR="00325E12" w:rsidRDefault="00325E12" w:rsidP="00D43DE7">
      <w:pPr>
        <w:ind w:firstLine="720"/>
        <w:jc w:val="both"/>
      </w:pPr>
      <w:r>
        <w:t xml:space="preserve">2013.gada laikā ESM </w:t>
      </w:r>
      <w:r w:rsidR="008C5F43">
        <w:t xml:space="preserve">no Spānijas </w:t>
      </w:r>
      <w:r>
        <w:t>saņēma procentu maksājumus 207</w:t>
      </w:r>
      <w:r w:rsidR="004A5280">
        <w:t>,6 miljonu</w:t>
      </w:r>
      <w:r>
        <w:t xml:space="preserve"> eiro apmērā. Noslēdzoties 2013.gadam Spānijai programmas ietvaros joprojām neizmantot</w:t>
      </w:r>
      <w:r w:rsidR="00A65B21">
        <w:t xml:space="preserve">i bija 58,67 miljardi eiro, kas </w:t>
      </w:r>
      <w:r w:rsidR="00AD5681">
        <w:t>Spānijai p</w:t>
      </w:r>
      <w:r w:rsidR="00B132BC">
        <w:t>ēc programmas noslēgšanas vairs</w:t>
      </w:r>
      <w:r w:rsidR="00042155">
        <w:t xml:space="preserve"> </w:t>
      </w:r>
      <w:r w:rsidR="00AD5681">
        <w:t>nav pieejami.</w:t>
      </w:r>
      <w:r w:rsidR="00A65B21">
        <w:t xml:space="preserve"> </w:t>
      </w:r>
    </w:p>
    <w:p w:rsidR="00D5502A" w:rsidRDefault="00D5502A" w:rsidP="00085635">
      <w:pPr>
        <w:jc w:val="both"/>
      </w:pPr>
    </w:p>
    <w:p w:rsidR="00D5502A" w:rsidRPr="00A83D94" w:rsidRDefault="000C076D" w:rsidP="007A2B6B">
      <w:pPr>
        <w:jc w:val="center"/>
        <w:rPr>
          <w:b/>
          <w:color w:val="000000" w:themeColor="text1"/>
        </w:rPr>
      </w:pPr>
      <w:r w:rsidRPr="00A83D94">
        <w:rPr>
          <w:b/>
          <w:color w:val="000000" w:themeColor="text1"/>
        </w:rPr>
        <w:t xml:space="preserve">3. </w:t>
      </w:r>
      <w:r w:rsidR="00D5502A" w:rsidRPr="00A83D94">
        <w:rPr>
          <w:b/>
          <w:color w:val="000000" w:themeColor="text1"/>
        </w:rPr>
        <w:t>ESM finanšu līdzekļu piesaiste</w:t>
      </w:r>
      <w:r w:rsidRPr="00A83D94">
        <w:rPr>
          <w:b/>
          <w:color w:val="000000" w:themeColor="text1"/>
        </w:rPr>
        <w:t xml:space="preserve"> finanšu tirgos</w:t>
      </w:r>
    </w:p>
    <w:p w:rsidR="00D5502A" w:rsidRDefault="00D5502A" w:rsidP="00085635">
      <w:pPr>
        <w:jc w:val="both"/>
        <w:rPr>
          <w:b/>
        </w:rPr>
      </w:pPr>
    </w:p>
    <w:p w:rsidR="00D5502A" w:rsidRDefault="00D5502A" w:rsidP="005900EA">
      <w:pPr>
        <w:ind w:firstLine="720"/>
        <w:jc w:val="both"/>
      </w:pPr>
      <w:r w:rsidRPr="00D5502A">
        <w:t xml:space="preserve">2013.gadā ESM uzsāka </w:t>
      </w:r>
      <w:r w:rsidR="005900EA">
        <w:t>finansējuma</w:t>
      </w:r>
      <w:r w:rsidRPr="00D5502A">
        <w:t xml:space="preserve"> piesaistes operācijas finanšu tirgos. Pirmais solis bija īstermiņa finansējuma piesaistes programma, kam 2013.gada oktobrī sekoja pirmā ESM obligāciju emisija. </w:t>
      </w:r>
    </w:p>
    <w:p w:rsidR="00D5502A" w:rsidRDefault="00D5502A" w:rsidP="00085635">
      <w:pPr>
        <w:jc w:val="both"/>
      </w:pPr>
    </w:p>
    <w:p w:rsidR="00D5502A" w:rsidRPr="00D43DE7" w:rsidRDefault="00D43DE7" w:rsidP="00D43DE7">
      <w:pPr>
        <w:jc w:val="center"/>
      </w:pPr>
      <w:r w:rsidRPr="00D43DE7">
        <w:t xml:space="preserve">3.1. </w:t>
      </w:r>
      <w:r w:rsidR="00D5502A" w:rsidRPr="00D43DE7">
        <w:t xml:space="preserve">Īstermiņa finansējuma </w:t>
      </w:r>
      <w:r w:rsidR="005900EA" w:rsidRPr="00D43DE7">
        <w:t>piesaiste 2013.gadā</w:t>
      </w:r>
    </w:p>
    <w:p w:rsidR="005900EA" w:rsidRDefault="005900EA" w:rsidP="00085635">
      <w:pPr>
        <w:jc w:val="both"/>
      </w:pPr>
    </w:p>
    <w:p w:rsidR="00684983" w:rsidRDefault="00684983" w:rsidP="005900EA">
      <w:pPr>
        <w:ind w:firstLine="720"/>
        <w:jc w:val="both"/>
      </w:pPr>
      <w:r>
        <w:t xml:space="preserve">2013.gada 8.janvārī ESM emitēja 3 mēnešu parādzīmes, iegūstot 1,927 miljardus eiro ar vidējo svērto ienesīgumu -0,0324%. Tam sekoja 6 mēnešu parādzīmju emisija 2013.gada 22.janvārī. 2013.gada </w:t>
      </w:r>
      <w:r w:rsidR="004A5280">
        <w:t>laikā</w:t>
      </w:r>
      <w:r>
        <w:t xml:space="preserve"> ESM turpināja regulāras 3 un 6 mēnešu parādzīmju emisijas</w:t>
      </w:r>
      <w:r w:rsidR="007A2B6B">
        <w:t>, kopumā šādā veidā piesaistot 50,1 miljardu</w:t>
      </w:r>
      <w:r>
        <w:t xml:space="preserve"> eiro, no kuriem 2013.gada beigās neapmaksāti bija 16,2 miljardi eiro.</w:t>
      </w:r>
    </w:p>
    <w:p w:rsidR="00684983" w:rsidRDefault="00684983" w:rsidP="00085635">
      <w:pPr>
        <w:jc w:val="both"/>
      </w:pPr>
    </w:p>
    <w:p w:rsidR="00684983" w:rsidRPr="00D43DE7" w:rsidRDefault="00D43DE7" w:rsidP="00D43DE7">
      <w:pPr>
        <w:jc w:val="center"/>
      </w:pPr>
      <w:r w:rsidRPr="00D43DE7">
        <w:t xml:space="preserve">3.2. </w:t>
      </w:r>
      <w:r w:rsidR="00684983" w:rsidRPr="00D43DE7">
        <w:t>Ilg</w:t>
      </w:r>
      <w:r w:rsidR="005900EA" w:rsidRPr="00D43DE7">
        <w:t>termiņa finansējuma piesaiste 2013.gadā</w:t>
      </w:r>
    </w:p>
    <w:p w:rsidR="007A2B6B" w:rsidRDefault="007A2B6B" w:rsidP="00085635">
      <w:pPr>
        <w:jc w:val="both"/>
      </w:pPr>
    </w:p>
    <w:p w:rsidR="0088149C" w:rsidRPr="00042155" w:rsidRDefault="007A0768" w:rsidP="00042155">
      <w:pPr>
        <w:ind w:firstLine="720"/>
        <w:jc w:val="both"/>
      </w:pPr>
      <w:r>
        <w:t>2013.gada augustā ESM izplatīja paziņojumu par ilgtermiņa finansējuma piesaistes programmas uzsākšanu, kuras mērķis bija 2013.ga</w:t>
      </w:r>
      <w:r w:rsidR="00042155">
        <w:t xml:space="preserve">dā piesaistīt 9 miljardus eiro. </w:t>
      </w:r>
      <w:r>
        <w:t>Ieņēmumi tika izmantoti makroekonomisko korekciju programmas nodrošināšanai</w:t>
      </w:r>
      <w:r w:rsidR="00042155">
        <w:t xml:space="preserve"> Kiprā</w:t>
      </w:r>
      <w:r>
        <w:t xml:space="preserve">, kā arī to vērtspapīru garantijām, kuri tika nodoti Spānijai banku sektora </w:t>
      </w:r>
      <w:proofErr w:type="spellStart"/>
      <w:r>
        <w:t>rekapitalizācijai</w:t>
      </w:r>
      <w:proofErr w:type="spellEnd"/>
      <w:r>
        <w:t xml:space="preserve">. </w:t>
      </w:r>
    </w:p>
    <w:p w:rsidR="0088149C" w:rsidRDefault="005900EA" w:rsidP="005900EA">
      <w:pPr>
        <w:ind w:firstLine="720"/>
        <w:jc w:val="both"/>
      </w:pPr>
      <w:r>
        <w:t xml:space="preserve">ESM </w:t>
      </w:r>
      <w:r w:rsidR="00F27403">
        <w:t xml:space="preserve">8.oktobrī emitēja 5 gadu obligācijas ar kupona likmi 1,25% 7 miljardu eiro vērtībā. No investoru puses interese bija ļoti augsta, un kopumā pieprasījums sasniedza 21 miljardu eiro no kopumā 300 investoriem. </w:t>
      </w:r>
      <w:r w:rsidR="00BB00E1">
        <w:t>Desmit gadu obligāc</w:t>
      </w:r>
      <w:r w:rsidR="001145D4">
        <w:t>iju emisija notika 12.novembrī, piesaistot 3 miljardus eiro, kopējam</w:t>
      </w:r>
      <w:r w:rsidR="00BB00E1">
        <w:t xml:space="preserve"> obligāciju pieprasījum</w:t>
      </w:r>
      <w:r w:rsidR="001145D4">
        <w:t xml:space="preserve">am </w:t>
      </w:r>
      <w:r w:rsidR="00BB00E1">
        <w:t>sasniedz</w:t>
      </w:r>
      <w:r w:rsidR="001145D4">
        <w:t>ot</w:t>
      </w:r>
      <w:r w:rsidR="00BB00E1">
        <w:t xml:space="preserve"> 9,5 miljardus eiro</w:t>
      </w:r>
      <w:r w:rsidR="00BB00E1" w:rsidRPr="001145D4">
        <w:t>.</w:t>
      </w:r>
      <w:r w:rsidR="00BB00E1" w:rsidRPr="00042155">
        <w:rPr>
          <w:color w:val="FF0000"/>
        </w:rPr>
        <w:t xml:space="preserve"> </w:t>
      </w:r>
    </w:p>
    <w:p w:rsidR="00BB00E1" w:rsidRDefault="00C752F0" w:rsidP="00B132BC">
      <w:pPr>
        <w:ind w:firstLine="720"/>
        <w:jc w:val="both"/>
      </w:pPr>
      <w:r>
        <w:t>V</w:t>
      </w:r>
      <w:r w:rsidR="00BB00E1">
        <w:t xml:space="preserve">iens no ESM </w:t>
      </w:r>
      <w:r w:rsidR="00D226CF">
        <w:t xml:space="preserve">finanšu palīdzības </w:t>
      </w:r>
      <w:r w:rsidR="00BB00E1">
        <w:t>instrumentiem ir naudas un parāda vērtspapīr</w:t>
      </w:r>
      <w:r w:rsidR="00B132BC">
        <w:t xml:space="preserve">u nodošana dalībvalstu rīcībā, kas </w:t>
      </w:r>
      <w:r w:rsidR="00723595">
        <w:t xml:space="preserve">ļauj ESM pildīt tai uzticētās funkcijas bez finanšu līdzekļu piesaistes finanšu tirgos. Šāda stratēģija tika izmantota Spānijas banku sektora </w:t>
      </w:r>
      <w:proofErr w:type="spellStart"/>
      <w:r w:rsidR="00723595">
        <w:t>rekapitalizācijai</w:t>
      </w:r>
      <w:proofErr w:type="spellEnd"/>
      <w:r w:rsidR="00723595">
        <w:t xml:space="preserve">, kad ESM Spānijas rīcībā nodeva obligācijas un parādzīmes. Tāda pati stratēģija tika izmantota Kipras </w:t>
      </w:r>
      <w:r w:rsidR="00B132BC">
        <w:t>programmas ietvaros</w:t>
      </w:r>
      <w:r w:rsidR="00723595">
        <w:t xml:space="preserve">, </w:t>
      </w:r>
      <w:r w:rsidR="00B132BC">
        <w:t>nododot tās rīcībā</w:t>
      </w:r>
      <w:r w:rsidR="00723595">
        <w:t xml:space="preserve"> 1,5 miljardus eiro vērtas parādzīmes, kas tika izmantotas banku sektora </w:t>
      </w:r>
      <w:proofErr w:type="spellStart"/>
      <w:r w:rsidR="00723595">
        <w:t>rekapitalizācijai</w:t>
      </w:r>
      <w:proofErr w:type="spellEnd"/>
      <w:r w:rsidR="00723595">
        <w:t xml:space="preserve">. </w:t>
      </w:r>
    </w:p>
    <w:p w:rsidR="00723595" w:rsidRDefault="00723595" w:rsidP="00085635">
      <w:pPr>
        <w:jc w:val="both"/>
      </w:pPr>
    </w:p>
    <w:p w:rsidR="00D43DE7" w:rsidRDefault="00D43DE7" w:rsidP="00085635">
      <w:pPr>
        <w:jc w:val="both"/>
      </w:pPr>
    </w:p>
    <w:p w:rsidR="00D43DE7" w:rsidRDefault="00D43DE7" w:rsidP="00085635">
      <w:pPr>
        <w:jc w:val="both"/>
      </w:pPr>
    </w:p>
    <w:p w:rsidR="00FE21CC" w:rsidRDefault="00FE21CC" w:rsidP="00D43DE7">
      <w:pPr>
        <w:jc w:val="center"/>
      </w:pPr>
    </w:p>
    <w:p w:rsidR="00FE21CC" w:rsidRDefault="00FE21CC" w:rsidP="00D43DE7">
      <w:pPr>
        <w:jc w:val="center"/>
      </w:pPr>
    </w:p>
    <w:p w:rsidR="00FE21CC" w:rsidRDefault="00FE21CC" w:rsidP="00D43DE7">
      <w:pPr>
        <w:jc w:val="center"/>
      </w:pPr>
    </w:p>
    <w:p w:rsidR="00723595" w:rsidRPr="00D43DE7" w:rsidRDefault="00D43DE7" w:rsidP="00D43DE7">
      <w:pPr>
        <w:jc w:val="center"/>
      </w:pPr>
      <w:r w:rsidRPr="00D43DE7">
        <w:lastRenderedPageBreak/>
        <w:t xml:space="preserve">3.3. </w:t>
      </w:r>
      <w:r w:rsidR="00723595" w:rsidRPr="00D43DE7">
        <w:t>Prognozes 2014.gadam</w:t>
      </w:r>
    </w:p>
    <w:p w:rsidR="00723595" w:rsidRDefault="00723595" w:rsidP="00085635">
      <w:pPr>
        <w:jc w:val="both"/>
      </w:pPr>
    </w:p>
    <w:p w:rsidR="00723595" w:rsidRDefault="00723595" w:rsidP="00D226CF">
      <w:pPr>
        <w:ind w:firstLine="720"/>
        <w:jc w:val="both"/>
      </w:pPr>
      <w:r>
        <w:t>2014.gadā tiks turpināta finanšu piesaiste, lai nodrošinātu Kipras programmas finansēšanu</w:t>
      </w:r>
      <w:r w:rsidR="004C2792">
        <w:t>, kā arī esošo parādsaistību pārfinansēšanai, īpaši parādzīmju, kas tika izmantotas Sp</w:t>
      </w:r>
      <w:r w:rsidR="00B477C9">
        <w:t xml:space="preserve">ānijas banku </w:t>
      </w:r>
      <w:proofErr w:type="spellStart"/>
      <w:r w:rsidR="00B477C9">
        <w:t>rekapitalizācijai</w:t>
      </w:r>
      <w:proofErr w:type="spellEnd"/>
      <w:r w:rsidR="00B477C9">
        <w:t xml:space="preserve">. Tas nepieciešams, jo </w:t>
      </w:r>
      <w:r w:rsidR="00B132BC">
        <w:t xml:space="preserve">Spānija sāks atmaksāt parādus sākot </w:t>
      </w:r>
      <w:r w:rsidR="00B477C9">
        <w:t xml:space="preserve">no 2022.gada. </w:t>
      </w:r>
    </w:p>
    <w:p w:rsidR="00325E12" w:rsidRDefault="00B477C9" w:rsidP="00D226CF">
      <w:pPr>
        <w:ind w:firstLine="720"/>
        <w:jc w:val="both"/>
      </w:pPr>
      <w:r>
        <w:t xml:space="preserve">ESM īstermiņa parādzīmju izsoles notiks regulāri. Katrā izsolē piesaistīto līdzekļu apjoms var atšķirties, bet tiek prognozēts, ka katrā izsolē varētu tikt piesaistīti 1,5-3 miljardi eiro. Ilgtermiņa finansējuma piesaistes mērķis 2014.gadam ir 17 miljardi eiro. Arī 2014.gadā ESM plāno piedāvāt dažādu termiņu obligācijas, lai apmierinātu dažādu investoru pieprasījumu. Lai nodrošinātu informāciju potenciālajiem investoriem, katra </w:t>
      </w:r>
      <w:r w:rsidR="00D226CF">
        <w:t>ceturkšņa</w:t>
      </w:r>
      <w:r>
        <w:t xml:space="preserve"> sākuma ESM paziņos tā plānoto finanšu piesaistes apjomu.</w:t>
      </w:r>
    </w:p>
    <w:p w:rsidR="00102197" w:rsidRDefault="00102197" w:rsidP="00102197">
      <w:pPr>
        <w:pStyle w:val="ListParagraph"/>
        <w:ind w:left="0"/>
        <w:jc w:val="center"/>
        <w:rPr>
          <w:b/>
        </w:rPr>
      </w:pPr>
    </w:p>
    <w:p w:rsidR="00102197" w:rsidRPr="00D43DE7" w:rsidRDefault="00D226CF" w:rsidP="00102197">
      <w:pPr>
        <w:pStyle w:val="ListParagraph"/>
        <w:ind w:left="0"/>
        <w:jc w:val="center"/>
        <w:rPr>
          <w:b/>
          <w:color w:val="000000" w:themeColor="text1"/>
        </w:rPr>
      </w:pPr>
      <w:r w:rsidRPr="00D43DE7">
        <w:rPr>
          <w:b/>
          <w:color w:val="000000" w:themeColor="text1"/>
        </w:rPr>
        <w:t xml:space="preserve">4. </w:t>
      </w:r>
      <w:r w:rsidR="00102197" w:rsidRPr="00D43DE7">
        <w:rPr>
          <w:b/>
          <w:color w:val="000000" w:themeColor="text1"/>
        </w:rPr>
        <w:t>ESM 2013.gada finanšu darbības rezultāti</w:t>
      </w:r>
    </w:p>
    <w:p w:rsidR="00102197" w:rsidRDefault="00102197" w:rsidP="00102197">
      <w:pPr>
        <w:jc w:val="center"/>
        <w:rPr>
          <w:b/>
        </w:rPr>
      </w:pPr>
    </w:p>
    <w:p w:rsidR="00102197" w:rsidRDefault="00102197" w:rsidP="00102197">
      <w:pPr>
        <w:ind w:firstLine="720"/>
        <w:jc w:val="both"/>
      </w:pPr>
      <w:r>
        <w:t>Saskaņā ar ESM 2013.gada darbības pārskatu, ESM bilances aktīvu vērtības pieaugumu noteica izsniegto aizdevumu</w:t>
      </w:r>
      <w:r w:rsidRPr="007622C3">
        <w:t xml:space="preserve"> pieaugums un jaunu finansiālās palīdzības programmu uzsākšana</w:t>
      </w:r>
      <w:r>
        <w:t>, ko veidoja</w:t>
      </w:r>
      <w:r w:rsidRPr="007622C3">
        <w:t xml:space="preserve"> finanšu palīdzības programma Kiprai 4,6 miljardu eiro apmērā, kā arī papildus finansējums Spānijai 1,9 miljardu eiro apmērā. </w:t>
      </w:r>
    </w:p>
    <w:p w:rsidR="00102197" w:rsidRDefault="00102197" w:rsidP="00102197">
      <w:pPr>
        <w:ind w:firstLine="720"/>
        <w:jc w:val="both"/>
      </w:pPr>
      <w:r>
        <w:t>Lai nodrošinātu finansējumu finansiālās palīdzības programmām, ESM piesaista līdzekļus finanšu tirgos. I</w:t>
      </w:r>
      <w:r w:rsidRPr="007622C3">
        <w:t>nformācij</w:t>
      </w:r>
      <w:r>
        <w:t>a</w:t>
      </w:r>
      <w:r w:rsidRPr="007622C3">
        <w:t xml:space="preserve"> par ESM emitētajiem parāda vērtspapīriem </w:t>
      </w:r>
      <w:r>
        <w:t xml:space="preserve">liecina, ka </w:t>
      </w:r>
      <w:r w:rsidRPr="007622C3">
        <w:t>2013. gadā tā saistības palielinājās par 52,2%, sasniedzot 60 miljardus eiro.</w:t>
      </w:r>
      <w:r>
        <w:t xml:space="preserve"> Papildus finanšu tirgos piesaistītajam kapitālam ESM dalībvalstis veica iemaksas pamatkapitālā </w:t>
      </w:r>
      <w:r w:rsidRPr="007622C3">
        <w:t xml:space="preserve">31,4 miljardu eiro apmērā. </w:t>
      </w:r>
      <w:r>
        <w:t>Lai nodrošinātu iemaksātā kapitāla pieaugumu, valstu iemaksātie</w:t>
      </w:r>
      <w:r w:rsidRPr="007622C3">
        <w:t xml:space="preserve"> līdzekļi bija izvietoti dažādos naudas un tās ekvivalentu aktīvos, centrālo banku depozīta noguldījumos un fiksēta ienesīguma parāda instrumentos. </w:t>
      </w:r>
      <w:r>
        <w:t xml:space="preserve">Procentu ienākumi no iemaksātā kapitāla 2013.gadā </w:t>
      </w:r>
      <w:r w:rsidRPr="00F672C1">
        <w:t>sasniedza 81,l miljonus eiro.</w:t>
      </w:r>
    </w:p>
    <w:p w:rsidR="003D486A" w:rsidRDefault="00102197" w:rsidP="00D226CF">
      <w:pPr>
        <w:ind w:firstLine="720"/>
        <w:jc w:val="both"/>
      </w:pPr>
      <w:r w:rsidRPr="00F672C1">
        <w:t xml:space="preserve">Kopējie procentu ienākumi 2013.gadā sastādīja 352,8 miljonus eiro, savukārt procentu </w:t>
      </w:r>
      <w:r>
        <w:t>izdevumi – 110,7 miljonus eiro. Papildus procentu izdevumiem, ESM darbības izmaksas rada arī</w:t>
      </w:r>
      <w:r w:rsidRPr="0041336D">
        <w:t xml:space="preserve"> administratīvās </w:t>
      </w:r>
      <w:r>
        <w:t xml:space="preserve">izmaksas </w:t>
      </w:r>
      <w:r w:rsidRPr="0041336D">
        <w:t xml:space="preserve">un fiksētā ienākuma instrumentu vērtības </w:t>
      </w:r>
      <w:r>
        <w:t>izmaiņas. Ievērojamu administratīvo izmaksu pieaugumu 2013.gadā noteica Eiropas Finanšu stabilitātes instrumenta (turpmāk – EFSF)</w:t>
      </w:r>
      <w:r w:rsidRPr="0041336D">
        <w:t xml:space="preserve"> personāla iekļaušana ESM struktūrā. </w:t>
      </w:r>
      <w:r>
        <w:t xml:space="preserve">Tajā pašā laikā jāatzīmē, ka pārejas periodā </w:t>
      </w:r>
      <w:r w:rsidRPr="0041336D">
        <w:t xml:space="preserve">ESM sniedz administratīvos pakalpojumus EFSF, </w:t>
      </w:r>
      <w:r>
        <w:t xml:space="preserve">kas 2013.gadā ESM deva </w:t>
      </w:r>
      <w:r w:rsidRPr="0041336D">
        <w:t>ienākum</w:t>
      </w:r>
      <w:r>
        <w:t>us</w:t>
      </w:r>
      <w:r w:rsidRPr="0041336D">
        <w:t xml:space="preserve"> 17 miljonu eiro apmērā.</w:t>
      </w:r>
      <w:r>
        <w:t xml:space="preserve"> Ņemot vērā iepriekš minētos faktorus, 2013.gadā ESM peļņa bija 253,9 miljoni eiro. </w:t>
      </w:r>
    </w:p>
    <w:p w:rsidR="00F13A6C" w:rsidRDefault="00F13A6C" w:rsidP="00D226CF">
      <w:pPr>
        <w:ind w:firstLine="720"/>
        <w:jc w:val="both"/>
      </w:pPr>
    </w:p>
    <w:p w:rsidR="00F13A6C" w:rsidRDefault="00F13A6C" w:rsidP="00D226CF">
      <w:pPr>
        <w:ind w:firstLine="720"/>
        <w:jc w:val="both"/>
      </w:pPr>
    </w:p>
    <w:p w:rsidR="00F13A6C" w:rsidRDefault="00F13A6C" w:rsidP="00D226CF">
      <w:pPr>
        <w:ind w:firstLine="720"/>
        <w:jc w:val="both"/>
      </w:pPr>
      <w:bookmarkStart w:id="0" w:name="_GoBack"/>
    </w:p>
    <w:bookmarkEnd w:id="0"/>
    <w:p w:rsidR="00F13A6C" w:rsidRPr="00AC0479" w:rsidRDefault="00F13A6C" w:rsidP="00F13A6C">
      <w:pPr>
        <w:spacing w:before="120" w:after="120"/>
        <w:jc w:val="both"/>
      </w:pPr>
      <w:r w:rsidRPr="00AC0479">
        <w:t xml:space="preserve">Finanšu ministrs </w:t>
      </w:r>
      <w:r w:rsidRPr="00AC0479">
        <w:tab/>
      </w:r>
      <w:r w:rsidRPr="00AC0479">
        <w:tab/>
      </w:r>
      <w:r>
        <w:tab/>
      </w:r>
      <w:r w:rsidRPr="00AC0479">
        <w:tab/>
      </w:r>
      <w:r w:rsidRPr="00AC0479">
        <w:tab/>
      </w:r>
      <w:r w:rsidRPr="00AC0479">
        <w:tab/>
      </w:r>
      <w:r w:rsidRPr="00AC0479">
        <w:tab/>
      </w:r>
      <w:r w:rsidRPr="00AC0479">
        <w:tab/>
      </w:r>
      <w:proofErr w:type="spellStart"/>
      <w:r w:rsidRPr="00AC0479">
        <w:t>A.Vilks</w:t>
      </w:r>
      <w:proofErr w:type="spellEnd"/>
    </w:p>
    <w:p w:rsidR="00F13A6C" w:rsidRDefault="00F13A6C" w:rsidP="00F13A6C">
      <w:pPr>
        <w:jc w:val="both"/>
      </w:pPr>
    </w:p>
    <w:p w:rsidR="00F13A6C" w:rsidRDefault="00F13A6C" w:rsidP="00D226CF">
      <w:pPr>
        <w:ind w:firstLine="720"/>
        <w:jc w:val="both"/>
      </w:pPr>
    </w:p>
    <w:p w:rsidR="00F13A6C" w:rsidRDefault="00F13A6C" w:rsidP="00D226CF">
      <w:pPr>
        <w:ind w:firstLine="720"/>
        <w:jc w:val="both"/>
      </w:pPr>
    </w:p>
    <w:p w:rsidR="00F13A6C" w:rsidRPr="00B3652C" w:rsidRDefault="00520B86" w:rsidP="00F13A6C">
      <w:pPr>
        <w:rPr>
          <w:noProof/>
          <w:sz w:val="20"/>
          <w:szCs w:val="20"/>
        </w:rPr>
      </w:pPr>
      <w:r>
        <w:rPr>
          <w:noProof/>
          <w:sz w:val="20"/>
          <w:szCs w:val="20"/>
        </w:rPr>
        <w:t>27</w:t>
      </w:r>
      <w:r w:rsidR="00F13A6C" w:rsidRPr="00B3652C">
        <w:rPr>
          <w:noProof/>
          <w:sz w:val="20"/>
          <w:szCs w:val="20"/>
        </w:rPr>
        <w:t>.08.2014 14:00</w:t>
      </w:r>
    </w:p>
    <w:p w:rsidR="00F13A6C" w:rsidRPr="00B3652C" w:rsidRDefault="00FE21CC" w:rsidP="00F13A6C">
      <w:pPr>
        <w:rPr>
          <w:noProof/>
          <w:sz w:val="20"/>
          <w:szCs w:val="20"/>
        </w:rPr>
      </w:pPr>
      <w:r>
        <w:rPr>
          <w:noProof/>
          <w:sz w:val="20"/>
          <w:szCs w:val="20"/>
        </w:rPr>
        <w:t>2222</w:t>
      </w:r>
    </w:p>
    <w:p w:rsidR="00F13A6C" w:rsidRPr="00B3652C" w:rsidRDefault="00F13A6C" w:rsidP="00F13A6C">
      <w:pPr>
        <w:rPr>
          <w:noProof/>
          <w:sz w:val="20"/>
          <w:szCs w:val="20"/>
        </w:rPr>
      </w:pPr>
      <w:r w:rsidRPr="00B3652C">
        <w:rPr>
          <w:noProof/>
          <w:sz w:val="20"/>
          <w:szCs w:val="20"/>
        </w:rPr>
        <w:t>R.Pāns</w:t>
      </w:r>
    </w:p>
    <w:p w:rsidR="00F13A6C" w:rsidRPr="00B3652C" w:rsidRDefault="00F13A6C" w:rsidP="00F13A6C">
      <w:pPr>
        <w:rPr>
          <w:noProof/>
          <w:sz w:val="20"/>
          <w:szCs w:val="20"/>
        </w:rPr>
      </w:pPr>
      <w:r w:rsidRPr="00B3652C">
        <w:rPr>
          <w:noProof/>
          <w:sz w:val="20"/>
          <w:szCs w:val="20"/>
        </w:rPr>
        <w:t>67083916</w:t>
      </w:r>
    </w:p>
    <w:p w:rsidR="00F13A6C" w:rsidRPr="00DF4778" w:rsidRDefault="00F13A6C" w:rsidP="00F13A6C">
      <w:pPr>
        <w:rPr>
          <w:rStyle w:val="Hyperlink"/>
          <w:noProof/>
          <w:sz w:val="20"/>
          <w:szCs w:val="20"/>
          <w:lang w:eastAsia="lv-LV"/>
        </w:rPr>
      </w:pPr>
      <w:r w:rsidRPr="00B3652C">
        <w:rPr>
          <w:noProof/>
          <w:sz w:val="20"/>
          <w:szCs w:val="20"/>
        </w:rPr>
        <w:t>Reinis.Pans@fm.gov.lv</w:t>
      </w:r>
    </w:p>
    <w:p w:rsidR="00F13A6C" w:rsidRDefault="00F13A6C" w:rsidP="00F13A6C">
      <w:pPr>
        <w:jc w:val="both"/>
      </w:pPr>
    </w:p>
    <w:sectPr w:rsidR="00F13A6C" w:rsidSect="00670A46">
      <w:headerReference w:type="default" r:id="rId6"/>
      <w:footerReference w:type="default" r:id="rId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FE" w:rsidRDefault="008672FE" w:rsidP="001907A7">
      <w:r>
        <w:separator/>
      </w:r>
    </w:p>
  </w:endnote>
  <w:endnote w:type="continuationSeparator" w:id="0">
    <w:p w:rsidR="008672FE" w:rsidRDefault="008672FE"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E7" w:rsidRPr="002E422A" w:rsidRDefault="00520B86" w:rsidP="002E422A">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FMZino_27082014_ESM_darbiba_2013</w:t>
    </w:r>
    <w:r>
      <w:rPr>
        <w:sz w:val="20"/>
        <w:szCs w:val="20"/>
      </w:rPr>
      <w:fldChar w:fldCharType="end"/>
    </w:r>
    <w:r w:rsidR="002E422A">
      <w:rPr>
        <w:sz w:val="20"/>
        <w:szCs w:val="20"/>
      </w:rPr>
      <w:t xml:space="preserve">; </w:t>
    </w:r>
    <w:r w:rsidR="002E422A" w:rsidRPr="0042629E">
      <w:rPr>
        <w:sz w:val="20"/>
        <w:szCs w:val="20"/>
      </w:rPr>
      <w:t>Informatīvais ziņojums</w:t>
    </w:r>
    <w:r w:rsidR="002E422A">
      <w:rPr>
        <w:sz w:val="20"/>
        <w:szCs w:val="20"/>
      </w:rPr>
      <w:t xml:space="preserve"> </w:t>
    </w:r>
    <w:r w:rsidR="002E422A" w:rsidRPr="002E422A">
      <w:rPr>
        <w:sz w:val="20"/>
        <w:szCs w:val="20"/>
      </w:rPr>
      <w:t>„Par Eiropas Stabilizācijas mehānisma darbību 2013.gadā”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FE" w:rsidRDefault="008672FE" w:rsidP="001907A7">
      <w:r>
        <w:separator/>
      </w:r>
    </w:p>
  </w:footnote>
  <w:footnote w:type="continuationSeparator" w:id="0">
    <w:p w:rsidR="008672FE" w:rsidRDefault="008672FE" w:rsidP="0019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20065"/>
      <w:docPartObj>
        <w:docPartGallery w:val="Page Numbers (Top of Page)"/>
        <w:docPartUnique/>
      </w:docPartObj>
    </w:sdtPr>
    <w:sdtEndPr>
      <w:rPr>
        <w:noProof/>
      </w:rPr>
    </w:sdtEndPr>
    <w:sdtContent>
      <w:p w:rsidR="00D43DE7" w:rsidRDefault="00D43DE7">
        <w:pPr>
          <w:pStyle w:val="Header"/>
          <w:jc w:val="center"/>
        </w:pPr>
        <w:r>
          <w:fldChar w:fldCharType="begin"/>
        </w:r>
        <w:r>
          <w:instrText xml:space="preserve"> PAGE   \* MERGEFORMAT </w:instrText>
        </w:r>
        <w:r>
          <w:fldChar w:fldCharType="separate"/>
        </w:r>
        <w:r w:rsidR="006E5E3D">
          <w:rPr>
            <w:noProof/>
          </w:rPr>
          <w:t>7</w:t>
        </w:r>
        <w:r>
          <w:rPr>
            <w:noProof/>
          </w:rPr>
          <w:fldChar w:fldCharType="end"/>
        </w:r>
      </w:p>
    </w:sdtContent>
  </w:sdt>
  <w:p w:rsidR="00D43DE7" w:rsidRDefault="00D43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F"/>
    <w:rsid w:val="00000D0D"/>
    <w:rsid w:val="00041182"/>
    <w:rsid w:val="00042155"/>
    <w:rsid w:val="0008170F"/>
    <w:rsid w:val="00085635"/>
    <w:rsid w:val="000B13AC"/>
    <w:rsid w:val="000B4FF2"/>
    <w:rsid w:val="000B540C"/>
    <w:rsid w:val="000C076D"/>
    <w:rsid w:val="000C5365"/>
    <w:rsid w:val="000C7419"/>
    <w:rsid w:val="000E7D90"/>
    <w:rsid w:val="000F237C"/>
    <w:rsid w:val="00102197"/>
    <w:rsid w:val="001113BF"/>
    <w:rsid w:val="001145D4"/>
    <w:rsid w:val="00124DEE"/>
    <w:rsid w:val="001907A7"/>
    <w:rsid w:val="001A7C49"/>
    <w:rsid w:val="001C4618"/>
    <w:rsid w:val="001D63F2"/>
    <w:rsid w:val="001E7658"/>
    <w:rsid w:val="001E79A9"/>
    <w:rsid w:val="00204419"/>
    <w:rsid w:val="00222243"/>
    <w:rsid w:val="002307F3"/>
    <w:rsid w:val="00277AC8"/>
    <w:rsid w:val="00277D76"/>
    <w:rsid w:val="00280255"/>
    <w:rsid w:val="00293A15"/>
    <w:rsid w:val="002A2D30"/>
    <w:rsid w:val="002E422A"/>
    <w:rsid w:val="002F7FB5"/>
    <w:rsid w:val="00325000"/>
    <w:rsid w:val="00325E12"/>
    <w:rsid w:val="00331EFA"/>
    <w:rsid w:val="003604A0"/>
    <w:rsid w:val="003869A2"/>
    <w:rsid w:val="003A1421"/>
    <w:rsid w:val="003D486A"/>
    <w:rsid w:val="003E67F9"/>
    <w:rsid w:val="004370EC"/>
    <w:rsid w:val="00441B6B"/>
    <w:rsid w:val="00452349"/>
    <w:rsid w:val="00483B38"/>
    <w:rsid w:val="004901FB"/>
    <w:rsid w:val="004A12D9"/>
    <w:rsid w:val="004A5280"/>
    <w:rsid w:val="004C2792"/>
    <w:rsid w:val="004C2FFF"/>
    <w:rsid w:val="004D18B9"/>
    <w:rsid w:val="004E2EE9"/>
    <w:rsid w:val="004F3AD4"/>
    <w:rsid w:val="00520B86"/>
    <w:rsid w:val="00522FBC"/>
    <w:rsid w:val="00523B26"/>
    <w:rsid w:val="00546390"/>
    <w:rsid w:val="00570769"/>
    <w:rsid w:val="005835CE"/>
    <w:rsid w:val="005900EA"/>
    <w:rsid w:val="005A10A1"/>
    <w:rsid w:val="005E6CED"/>
    <w:rsid w:val="00601021"/>
    <w:rsid w:val="00610586"/>
    <w:rsid w:val="00651B86"/>
    <w:rsid w:val="00670A46"/>
    <w:rsid w:val="0067361D"/>
    <w:rsid w:val="00684983"/>
    <w:rsid w:val="006E5E3D"/>
    <w:rsid w:val="00723595"/>
    <w:rsid w:val="00731D50"/>
    <w:rsid w:val="0073395D"/>
    <w:rsid w:val="00735876"/>
    <w:rsid w:val="007444C1"/>
    <w:rsid w:val="00772672"/>
    <w:rsid w:val="00783688"/>
    <w:rsid w:val="007A0768"/>
    <w:rsid w:val="007A2B6B"/>
    <w:rsid w:val="007C7942"/>
    <w:rsid w:val="008015BB"/>
    <w:rsid w:val="008114CC"/>
    <w:rsid w:val="00821ABE"/>
    <w:rsid w:val="00827A65"/>
    <w:rsid w:val="00852268"/>
    <w:rsid w:val="008672FE"/>
    <w:rsid w:val="0088149C"/>
    <w:rsid w:val="008C5F43"/>
    <w:rsid w:val="008E1F8B"/>
    <w:rsid w:val="00937054"/>
    <w:rsid w:val="009539D4"/>
    <w:rsid w:val="009915AA"/>
    <w:rsid w:val="00992342"/>
    <w:rsid w:val="009A545C"/>
    <w:rsid w:val="009B313B"/>
    <w:rsid w:val="009D759F"/>
    <w:rsid w:val="009F0FDA"/>
    <w:rsid w:val="00A13238"/>
    <w:rsid w:val="00A4502C"/>
    <w:rsid w:val="00A65B21"/>
    <w:rsid w:val="00A83D94"/>
    <w:rsid w:val="00AA3215"/>
    <w:rsid w:val="00AD5681"/>
    <w:rsid w:val="00AF4636"/>
    <w:rsid w:val="00AF6E01"/>
    <w:rsid w:val="00B132BC"/>
    <w:rsid w:val="00B477C9"/>
    <w:rsid w:val="00B51911"/>
    <w:rsid w:val="00BA38A9"/>
    <w:rsid w:val="00BB00E1"/>
    <w:rsid w:val="00BD06C7"/>
    <w:rsid w:val="00BD39F9"/>
    <w:rsid w:val="00C53635"/>
    <w:rsid w:val="00C572DE"/>
    <w:rsid w:val="00C752F0"/>
    <w:rsid w:val="00CA032C"/>
    <w:rsid w:val="00CA1E4B"/>
    <w:rsid w:val="00CA3EAC"/>
    <w:rsid w:val="00CC3D86"/>
    <w:rsid w:val="00CD5AA8"/>
    <w:rsid w:val="00CF588A"/>
    <w:rsid w:val="00D11F24"/>
    <w:rsid w:val="00D13CF5"/>
    <w:rsid w:val="00D226CF"/>
    <w:rsid w:val="00D27689"/>
    <w:rsid w:val="00D40EE7"/>
    <w:rsid w:val="00D43DE7"/>
    <w:rsid w:val="00D542D4"/>
    <w:rsid w:val="00D5502A"/>
    <w:rsid w:val="00D7725F"/>
    <w:rsid w:val="00D818A4"/>
    <w:rsid w:val="00E01935"/>
    <w:rsid w:val="00E07C1A"/>
    <w:rsid w:val="00E205D1"/>
    <w:rsid w:val="00E40513"/>
    <w:rsid w:val="00E87F35"/>
    <w:rsid w:val="00ED2E60"/>
    <w:rsid w:val="00ED6E04"/>
    <w:rsid w:val="00EE491D"/>
    <w:rsid w:val="00F13A6C"/>
    <w:rsid w:val="00F27403"/>
    <w:rsid w:val="00F31466"/>
    <w:rsid w:val="00F43821"/>
    <w:rsid w:val="00FE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CF2E3-F648-4992-926E-120205B4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2116</TotalTime>
  <Pages>1</Pages>
  <Words>11657</Words>
  <Characters>6645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Reinis Pāns</dc:creator>
  <cp:keywords/>
  <dc:description>67083916
Reinis.Pans@fm.gov.lv</dc:description>
  <cp:lastModifiedBy>Lagzdiņa Lelde</cp:lastModifiedBy>
  <cp:revision>33</cp:revision>
  <cp:lastPrinted>2014-08-27T10:11:00Z</cp:lastPrinted>
  <dcterms:created xsi:type="dcterms:W3CDTF">2014-08-01T08:05:00Z</dcterms:created>
  <dcterms:modified xsi:type="dcterms:W3CDTF">2014-08-29T06:34:00Z</dcterms:modified>
</cp:coreProperties>
</file>