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32C7" w:rsidRPr="00621EF8" w:rsidRDefault="00D332C7" w:rsidP="0029506B">
      <w:pPr>
        <w:pStyle w:val="naislab"/>
        <w:spacing w:before="0" w:after="0"/>
        <w:jc w:val="center"/>
        <w:outlineLvl w:val="0"/>
      </w:pPr>
      <w:bookmarkStart w:id="0" w:name="_GoBack"/>
      <w:bookmarkEnd w:id="0"/>
      <w:r w:rsidRPr="00621EF8">
        <w:rPr>
          <w:b/>
          <w:bCs/>
        </w:rPr>
        <w:t xml:space="preserve">Ministru kabineta noteikumu projekta </w:t>
      </w:r>
      <w:r w:rsidR="002073E2" w:rsidRPr="00621EF8">
        <w:rPr>
          <w:b/>
          <w:bCs/>
        </w:rPr>
        <w:t>„Noteikumi par apdrošināšanas atlīdzības apmēru un aprēķināšanas kārtību par personai nodarītajiem nemateriālajiem zaudējumiem”</w:t>
      </w:r>
      <w:r w:rsidR="00B91E5A" w:rsidRPr="00621EF8">
        <w:rPr>
          <w:b/>
          <w:bCs/>
        </w:rPr>
        <w:t xml:space="preserve"> </w:t>
      </w:r>
      <w:r w:rsidR="00852042" w:rsidRPr="00621EF8">
        <w:rPr>
          <w:b/>
        </w:rPr>
        <w:t>sākotnējā</w:t>
      </w:r>
      <w:r w:rsidR="002D3306" w:rsidRPr="00621EF8">
        <w:rPr>
          <w:b/>
        </w:rPr>
        <w:t>s</w:t>
      </w:r>
      <w:r w:rsidR="00852042" w:rsidRPr="00621EF8">
        <w:rPr>
          <w:b/>
        </w:rPr>
        <w:t xml:space="preserve"> ietekmes novērtējuma ziņojums (anotācija)</w:t>
      </w:r>
    </w:p>
    <w:p w:rsidR="0029506B" w:rsidRPr="00621EF8" w:rsidRDefault="0029506B" w:rsidP="0029506B">
      <w:pPr>
        <w:pStyle w:val="naislab"/>
        <w:spacing w:before="0" w:after="0"/>
        <w:jc w:val="center"/>
        <w:outlineLvl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
        <w:gridCol w:w="2779"/>
        <w:gridCol w:w="6190"/>
      </w:tblGrid>
      <w:tr w:rsidR="004A203F" w:rsidRPr="00621EF8" w:rsidTr="00510C10">
        <w:tc>
          <w:tcPr>
            <w:tcW w:w="9464" w:type="dxa"/>
            <w:gridSpan w:val="3"/>
            <w:shd w:val="clear" w:color="auto" w:fill="auto"/>
          </w:tcPr>
          <w:p w:rsidR="004A203F" w:rsidRPr="00621EF8" w:rsidRDefault="004A203F" w:rsidP="000F0F4F">
            <w:pPr>
              <w:pStyle w:val="naisnod"/>
              <w:ind w:left="-142" w:firstLine="142"/>
            </w:pPr>
            <w:r w:rsidRPr="00621EF8">
              <w:t> I Tiesību akta projekta izstrādes nepieciešamība</w:t>
            </w:r>
          </w:p>
        </w:tc>
      </w:tr>
      <w:tr w:rsidR="004A203F" w:rsidRPr="00621EF8" w:rsidTr="00510C10">
        <w:trPr>
          <w:trHeight w:val="630"/>
        </w:trPr>
        <w:tc>
          <w:tcPr>
            <w:tcW w:w="495" w:type="dxa"/>
            <w:shd w:val="clear" w:color="auto" w:fill="auto"/>
          </w:tcPr>
          <w:p w:rsidR="004A203F" w:rsidRPr="00621EF8" w:rsidRDefault="004A203F" w:rsidP="000F0F4F">
            <w:pPr>
              <w:pStyle w:val="naiskr"/>
              <w:ind w:left="-142" w:firstLine="142"/>
              <w:jc w:val="center"/>
            </w:pPr>
            <w:r w:rsidRPr="00621EF8">
              <w:t>1.</w:t>
            </w:r>
          </w:p>
        </w:tc>
        <w:tc>
          <w:tcPr>
            <w:tcW w:w="2779" w:type="dxa"/>
            <w:shd w:val="clear" w:color="auto" w:fill="auto"/>
          </w:tcPr>
          <w:p w:rsidR="004A203F" w:rsidRPr="00621EF8" w:rsidRDefault="004A203F" w:rsidP="000F0F4F">
            <w:pPr>
              <w:pStyle w:val="naiskr"/>
              <w:ind w:left="180" w:right="127" w:hanging="10"/>
              <w:jc w:val="both"/>
            </w:pPr>
            <w:r w:rsidRPr="00621EF8">
              <w:t>Pamatojums</w:t>
            </w:r>
          </w:p>
        </w:tc>
        <w:tc>
          <w:tcPr>
            <w:tcW w:w="6190" w:type="dxa"/>
            <w:shd w:val="clear" w:color="auto" w:fill="auto"/>
          </w:tcPr>
          <w:p w:rsidR="007F0571" w:rsidRPr="00621EF8" w:rsidRDefault="00FA48E6" w:rsidP="007F0571">
            <w:pPr>
              <w:pStyle w:val="naiskr"/>
              <w:ind w:left="129" w:right="127"/>
              <w:jc w:val="both"/>
              <w:rPr>
                <w:bCs/>
              </w:rPr>
            </w:pPr>
            <w:r w:rsidRPr="00621EF8">
              <w:t>Ministru kabineta noteikumu projekts „</w:t>
            </w:r>
            <w:r w:rsidR="003D7E0C" w:rsidRPr="00621EF8">
              <w:rPr>
                <w:bCs/>
              </w:rPr>
              <w:t>Noteikumi par apdrošināšanas atlīdzības apmēru un aprēķināšanas kārtību par personai nodarītajiem nemateriālajiem zaudējumiem</w:t>
            </w:r>
            <w:r w:rsidRPr="00621EF8">
              <w:rPr>
                <w:bCs/>
              </w:rPr>
              <w:t>” (</w:t>
            </w:r>
            <w:r w:rsidRPr="00621EF8">
              <w:t>turpmāk – noteikumu projekts</w:t>
            </w:r>
            <w:r w:rsidRPr="00621EF8">
              <w:rPr>
                <w:bCs/>
              </w:rPr>
              <w:t xml:space="preserve">) </w:t>
            </w:r>
            <w:r w:rsidR="00D27800" w:rsidRPr="00621EF8">
              <w:rPr>
                <w:bCs/>
              </w:rPr>
              <w:t>ir izstrādāts saskaņā ar Sauszemes transportlīdzekļu īpašnieku civiltiesiskās atbildības obligātās apdrošināšanas likuma</w:t>
            </w:r>
            <w:r w:rsidR="006F5061" w:rsidRPr="00621EF8">
              <w:rPr>
                <w:bCs/>
              </w:rPr>
              <w:t xml:space="preserve"> (</w:t>
            </w:r>
            <w:r w:rsidR="006F5061" w:rsidRPr="00621EF8">
              <w:t>turpmāk – OCTA likums</w:t>
            </w:r>
            <w:r w:rsidR="006F5061" w:rsidRPr="00621EF8">
              <w:rPr>
                <w:bCs/>
              </w:rPr>
              <w:t>)</w:t>
            </w:r>
            <w:r w:rsidRPr="00621EF8">
              <w:rPr>
                <w:bCs/>
              </w:rPr>
              <w:t xml:space="preserve"> </w:t>
            </w:r>
            <w:hyperlink r:id="rId11" w:anchor="1" w:tgtFrame="_top" w:tooltip="Sauszemes transportlīdzekļu īpašnieku civiltiesiskās atbildības obligātās apdrošināšanas likums" w:history="1">
              <w:r w:rsidR="00D27800" w:rsidRPr="00621EF8">
                <w:rPr>
                  <w:bCs/>
                </w:rPr>
                <w:t>19.panta</w:t>
              </w:r>
            </w:hyperlink>
            <w:r w:rsidR="00D27800" w:rsidRPr="00621EF8">
              <w:rPr>
                <w:bCs/>
              </w:rPr>
              <w:t xml:space="preserve"> trešo daļu</w:t>
            </w:r>
            <w:r w:rsidRPr="00621EF8">
              <w:rPr>
                <w:bCs/>
              </w:rPr>
              <w:t xml:space="preserve">, kas Ministru kabinetam deleģē noteikt </w:t>
            </w:r>
            <w:r w:rsidR="00D27800" w:rsidRPr="00621EF8">
              <w:rPr>
                <w:bCs/>
              </w:rPr>
              <w:t>apdrošināšanas atlīdzības apmēru un aprēķināšanas kārtību par personai nodarītajiem materiālajiem un nemateriālajiem zaudējumiem</w:t>
            </w:r>
            <w:r w:rsidR="00847377" w:rsidRPr="00621EF8">
              <w:rPr>
                <w:bCs/>
              </w:rPr>
              <w:t xml:space="preserve">. </w:t>
            </w:r>
          </w:p>
          <w:p w:rsidR="0032581E" w:rsidRPr="00621EF8" w:rsidRDefault="00FA48E6" w:rsidP="007F0571">
            <w:pPr>
              <w:pStyle w:val="naiskr"/>
              <w:ind w:left="129" w:right="127"/>
              <w:jc w:val="both"/>
            </w:pPr>
            <w:r w:rsidRPr="00621EF8">
              <w:rPr>
                <w:bCs/>
              </w:rPr>
              <w:t xml:space="preserve">Noteikumu projekts </w:t>
            </w:r>
            <w:r w:rsidR="003E4913" w:rsidRPr="00621EF8">
              <w:rPr>
                <w:bCs/>
              </w:rPr>
              <w:t xml:space="preserve">nodrošina atbilstību </w:t>
            </w:r>
            <w:r w:rsidR="00D27800" w:rsidRPr="00621EF8">
              <w:rPr>
                <w:bCs/>
              </w:rPr>
              <w:t>Eiropas Savienības Tiesas</w:t>
            </w:r>
            <w:r w:rsidR="00F502EE" w:rsidRPr="00621EF8">
              <w:rPr>
                <w:bCs/>
              </w:rPr>
              <w:t xml:space="preserve"> (turpmāk – EST) </w:t>
            </w:r>
            <w:r w:rsidR="00D27800" w:rsidRPr="00621EF8">
              <w:rPr>
                <w:bCs/>
              </w:rPr>
              <w:t>2013.</w:t>
            </w:r>
            <w:r w:rsidR="000A289F" w:rsidRPr="00621EF8">
              <w:rPr>
                <w:bCs/>
              </w:rPr>
              <w:t>gada 24.oktobra</w:t>
            </w:r>
            <w:r w:rsidR="00D27800" w:rsidRPr="00621EF8">
              <w:rPr>
                <w:bCs/>
              </w:rPr>
              <w:t xml:space="preserve"> spriedum</w:t>
            </w:r>
            <w:r w:rsidR="003E4913" w:rsidRPr="00621EF8">
              <w:rPr>
                <w:bCs/>
              </w:rPr>
              <w:t>am</w:t>
            </w:r>
            <w:r w:rsidR="00D27800" w:rsidRPr="00621EF8">
              <w:rPr>
                <w:bCs/>
              </w:rPr>
              <w:t xml:space="preserve"> Drozdovs vs. AAS “Baltikums” lietā (C-277/12</w:t>
            </w:r>
            <w:r w:rsidR="003E4913" w:rsidRPr="00621EF8">
              <w:rPr>
                <w:bCs/>
              </w:rPr>
              <w:t>)</w:t>
            </w:r>
            <w:r w:rsidR="00F502EE" w:rsidRPr="00621EF8">
              <w:t>,</w:t>
            </w:r>
            <w:r w:rsidR="000948A7" w:rsidRPr="00621EF8">
              <w:t xml:space="preserve"> EST </w:t>
            </w:r>
            <w:r w:rsidR="000A289F" w:rsidRPr="00621EF8">
              <w:rPr>
                <w:bCs/>
              </w:rPr>
              <w:t>2013.gada 24.oktobra</w:t>
            </w:r>
            <w:r w:rsidR="000948A7" w:rsidRPr="00621EF8">
              <w:t xml:space="preserve"> spriedumam </w:t>
            </w:r>
            <w:hyperlink r:id="rId12" w:history="1">
              <w:r w:rsidR="000948A7" w:rsidRPr="00621EF8">
                <w:rPr>
                  <w:rStyle w:val="Hyperlink"/>
                  <w:i/>
                  <w:color w:val="auto"/>
                  <w:u w:val="none"/>
                </w:rPr>
                <w:t xml:space="preserve">K.Haasová </w:t>
              </w:r>
              <w:r w:rsidR="000948A7" w:rsidRPr="00621EF8">
                <w:rPr>
                  <w:rStyle w:val="Hyperlink"/>
                  <w:color w:val="auto"/>
                  <w:u w:val="none"/>
                </w:rPr>
                <w:t xml:space="preserve">pret </w:t>
              </w:r>
              <w:r w:rsidR="000948A7" w:rsidRPr="00621EF8">
                <w:rPr>
                  <w:rStyle w:val="Hyperlink"/>
                  <w:i/>
                  <w:color w:val="auto"/>
                  <w:u w:val="none"/>
                </w:rPr>
                <w:t>Rastislav Petrík</w:t>
              </w:r>
              <w:r w:rsidR="000948A7" w:rsidRPr="00621EF8">
                <w:rPr>
                  <w:rStyle w:val="Hyperlink"/>
                  <w:color w:val="auto"/>
                  <w:u w:val="none"/>
                </w:rPr>
                <w:t xml:space="preserve">, </w:t>
              </w:r>
              <w:r w:rsidR="000948A7" w:rsidRPr="00621EF8">
                <w:rPr>
                  <w:rStyle w:val="Hyperlink"/>
                  <w:i/>
                  <w:color w:val="auto"/>
                  <w:u w:val="none"/>
                </w:rPr>
                <w:t xml:space="preserve">Blanka Holingová </w:t>
              </w:r>
              <w:r w:rsidR="000948A7" w:rsidRPr="00621EF8">
                <w:rPr>
                  <w:rStyle w:val="Hyperlink"/>
                  <w:color w:val="auto"/>
                  <w:u w:val="none"/>
                </w:rPr>
                <w:t>(Slovākijas lieta) (</w:t>
              </w:r>
              <w:r w:rsidR="000948A7" w:rsidRPr="00621EF8">
                <w:rPr>
                  <w:rStyle w:val="Hyperlink"/>
                  <w:i/>
                  <w:color w:val="auto"/>
                  <w:u w:val="none"/>
                </w:rPr>
                <w:t>C</w:t>
              </w:r>
              <w:r w:rsidR="000948A7" w:rsidRPr="00621EF8">
                <w:rPr>
                  <w:rStyle w:val="Hyperlink"/>
                  <w:i/>
                  <w:color w:val="auto"/>
                  <w:u w:val="none"/>
                </w:rPr>
                <w:noBreakHyphen/>
                <w:t>22/12</w:t>
              </w:r>
              <w:r w:rsidR="000948A7" w:rsidRPr="00621EF8">
                <w:rPr>
                  <w:rStyle w:val="Hyperlink"/>
                  <w:color w:val="auto"/>
                  <w:u w:val="none"/>
                </w:rPr>
                <w:t>),</w:t>
              </w:r>
            </w:hyperlink>
            <w:r w:rsidR="000948A7" w:rsidRPr="00621EF8">
              <w:rPr>
                <w:rStyle w:val="Hyperlink"/>
                <w:color w:val="auto"/>
                <w:u w:val="none"/>
              </w:rPr>
              <w:t xml:space="preserve"> EST  </w:t>
            </w:r>
            <w:r w:rsidR="000948A7" w:rsidRPr="00621EF8">
              <w:t xml:space="preserve">23.01.2014. spriedumam </w:t>
            </w:r>
            <w:r w:rsidR="000948A7" w:rsidRPr="00621EF8">
              <w:rPr>
                <w:i/>
              </w:rPr>
              <w:t xml:space="preserve">Enrico Petillo, Carlo Petillo v Unipol </w:t>
            </w:r>
            <w:r w:rsidR="000948A7" w:rsidRPr="00621EF8">
              <w:t>(Itālijas lieta)</w:t>
            </w:r>
            <w:r w:rsidR="000948A7" w:rsidRPr="00621EF8">
              <w:rPr>
                <w:i/>
              </w:rPr>
              <w:t xml:space="preserve"> (C- 371/12 )</w:t>
            </w:r>
            <w:r w:rsidR="000948A7" w:rsidRPr="00621EF8">
              <w:rPr>
                <w:bCs/>
              </w:rPr>
              <w:t xml:space="preserve">, no kuriem </w:t>
            </w:r>
            <w:r w:rsidR="00BB5E51" w:rsidRPr="00621EF8">
              <w:rPr>
                <w:bCs/>
              </w:rPr>
              <w:t>secināms</w:t>
            </w:r>
            <w:r w:rsidR="000948A7" w:rsidRPr="00621EF8">
              <w:rPr>
                <w:bCs/>
              </w:rPr>
              <w:t xml:space="preserve">, ka </w:t>
            </w:r>
            <w:r w:rsidR="00BB5E51" w:rsidRPr="00621EF8">
              <w:rPr>
                <w:bCs/>
              </w:rPr>
              <w:t xml:space="preserve">direktīvas OCTA jomā, kuras konsolidētas ar </w:t>
            </w:r>
            <w:r w:rsidR="000948A7" w:rsidRPr="00621EF8">
              <w:t>Eiropas Parlamenta un Padomes 2009.gada 16.septembra direktīv</w:t>
            </w:r>
            <w:r w:rsidR="00BB5E51" w:rsidRPr="00621EF8">
              <w:t>u</w:t>
            </w:r>
            <w:r w:rsidR="000948A7" w:rsidRPr="00621EF8">
              <w:t xml:space="preserve"> </w:t>
            </w:r>
            <w:hyperlink r:id="rId13" w:tgtFrame="_blank" w:tooltip="DIREKTĪVA" w:history="1">
              <w:r w:rsidR="000948A7" w:rsidRPr="00621EF8">
                <w:rPr>
                  <w:rStyle w:val="Hyperlink"/>
                  <w:i/>
                  <w:color w:val="auto"/>
                  <w:u w:val="none"/>
                </w:rPr>
                <w:t>2009/103/EK</w:t>
              </w:r>
            </w:hyperlink>
            <w:r w:rsidR="000948A7" w:rsidRPr="00621EF8">
              <w:t xml:space="preserve"> par civiltiesiskās atbildības apdrošināšanu saistībā ar mehānisko transportlīdzekļu izmantošanu un kontroli saistībā ar pienākumu apdrošināt šādu atbildību</w:t>
            </w:r>
            <w:r w:rsidR="000948A7" w:rsidRPr="00621EF8">
              <w:rPr>
                <w:bCs/>
              </w:rPr>
              <w:t xml:space="preserve"> (turpmāk – Direktīva </w:t>
            </w:r>
            <w:hyperlink r:id="rId14" w:tgtFrame="_blank" w:tooltip="DIREKTĪVA" w:history="1">
              <w:r w:rsidR="000948A7" w:rsidRPr="00621EF8">
                <w:rPr>
                  <w:rStyle w:val="Hyperlink"/>
                  <w:i/>
                  <w:color w:val="auto"/>
                  <w:u w:val="none"/>
                </w:rPr>
                <w:t>2009/103/EK</w:t>
              </w:r>
            </w:hyperlink>
            <w:r w:rsidR="000948A7" w:rsidRPr="00621EF8">
              <w:rPr>
                <w:bCs/>
              </w:rPr>
              <w:t>)</w:t>
            </w:r>
            <w:r w:rsidR="00BB5E51" w:rsidRPr="00621EF8">
              <w:rPr>
                <w:bCs/>
              </w:rPr>
              <w:t>,</w:t>
            </w:r>
            <w:r w:rsidR="000948A7" w:rsidRPr="00621EF8">
              <w:rPr>
                <w:bCs/>
              </w:rPr>
              <w:t xml:space="preserve"> attiecas arī uz personai nodarītajiem nemateriālajiem zaudējumiem, un līdz ar to šim zaudējumu veidam nevar būt zemāks apdrošināšanas atlīdzības limits kā noteikts Direktīvā </w:t>
            </w:r>
            <w:hyperlink r:id="rId15" w:tgtFrame="_blank" w:tooltip="DIREKTĪVA" w:history="1">
              <w:r w:rsidR="000948A7" w:rsidRPr="00621EF8">
                <w:rPr>
                  <w:rStyle w:val="Hyperlink"/>
                  <w:i/>
                  <w:color w:val="auto"/>
                  <w:u w:val="none"/>
                </w:rPr>
                <w:t>2009/103/EK</w:t>
              </w:r>
            </w:hyperlink>
            <w:r w:rsidR="000948A7" w:rsidRPr="00621EF8">
              <w:rPr>
                <w:rStyle w:val="Hyperlink"/>
                <w:i/>
                <w:color w:val="auto"/>
                <w:u w:val="none"/>
              </w:rPr>
              <w:t xml:space="preserve">. </w:t>
            </w:r>
            <w:r w:rsidR="000948A7" w:rsidRPr="00621EF8">
              <w:rPr>
                <w:rStyle w:val="Hyperlink"/>
                <w:color w:val="auto"/>
                <w:u w:val="none"/>
              </w:rPr>
              <w:t xml:space="preserve">Vienlaikus no EST  </w:t>
            </w:r>
            <w:r w:rsidR="000948A7" w:rsidRPr="00621EF8">
              <w:t>2014.</w:t>
            </w:r>
            <w:r w:rsidR="000A289F" w:rsidRPr="00621EF8">
              <w:t>gada 23.janv</w:t>
            </w:r>
            <w:r w:rsidR="00B74260" w:rsidRPr="00621EF8">
              <w:t>āra</w:t>
            </w:r>
            <w:r w:rsidR="000948A7" w:rsidRPr="00621EF8">
              <w:t xml:space="preserve"> sprieduma lietā </w:t>
            </w:r>
            <w:r w:rsidR="000948A7" w:rsidRPr="00621EF8">
              <w:rPr>
                <w:i/>
              </w:rPr>
              <w:t xml:space="preserve">C- 371/12 </w:t>
            </w:r>
            <w:r w:rsidR="000948A7" w:rsidRPr="00621EF8">
              <w:t>izriet, ka dalībvalsts drīkst noteikt aprēķināšanas kārtību par personai nodarītajiem nemateriālajiem zaudējumiem.</w:t>
            </w:r>
            <w:r w:rsidR="0032581E" w:rsidRPr="00621EF8">
              <w:t xml:space="preserve"> </w:t>
            </w:r>
          </w:p>
          <w:p w:rsidR="000D46E2" w:rsidRPr="00621EF8" w:rsidRDefault="007F0571" w:rsidP="00567FE5">
            <w:pPr>
              <w:pStyle w:val="naiskr"/>
              <w:ind w:left="129" w:right="127"/>
              <w:jc w:val="both"/>
              <w:rPr>
                <w:szCs w:val="28"/>
              </w:rPr>
            </w:pPr>
            <w:r w:rsidRPr="00621EF8">
              <w:rPr>
                <w:szCs w:val="28"/>
              </w:rPr>
              <w:t>Apdrošinātāja atbildības limits</w:t>
            </w:r>
            <w:r w:rsidR="000D46E2" w:rsidRPr="00621EF8">
              <w:rPr>
                <w:szCs w:val="28"/>
              </w:rPr>
              <w:t xml:space="preserve">, kas spēkā no 2012.gada 1.jūnija, </w:t>
            </w:r>
            <w:r w:rsidRPr="00621EF8">
              <w:rPr>
                <w:szCs w:val="28"/>
              </w:rPr>
              <w:t xml:space="preserve"> ir noteikts OCTA likuma 15.pant</w:t>
            </w:r>
            <w:r w:rsidR="00CA05D9" w:rsidRPr="00621EF8">
              <w:rPr>
                <w:szCs w:val="28"/>
              </w:rPr>
              <w:t>ā</w:t>
            </w:r>
            <w:r w:rsidR="000D46E2" w:rsidRPr="00621EF8">
              <w:rPr>
                <w:szCs w:val="28"/>
              </w:rPr>
              <w:t xml:space="preserve"> atbilstoši tam, kā to paredz </w:t>
            </w:r>
            <w:r w:rsidR="000D46E2" w:rsidRPr="00621EF8">
              <w:rPr>
                <w:bCs/>
              </w:rPr>
              <w:t xml:space="preserve">Direktīva </w:t>
            </w:r>
            <w:hyperlink r:id="rId16" w:tgtFrame="_blank" w:tooltip="DIREKTĪVA" w:history="1">
              <w:r w:rsidR="000D46E2" w:rsidRPr="00621EF8">
                <w:rPr>
                  <w:rStyle w:val="Hyperlink"/>
                  <w:i/>
                  <w:color w:val="auto"/>
                  <w:u w:val="none"/>
                </w:rPr>
                <w:t>2009/103/EK</w:t>
              </w:r>
            </w:hyperlink>
            <w:r w:rsidR="000D46E2" w:rsidRPr="00621EF8">
              <w:rPr>
                <w:rStyle w:val="Hyperlink"/>
                <w:i/>
                <w:color w:val="auto"/>
                <w:u w:val="none"/>
              </w:rPr>
              <w:t>.</w:t>
            </w:r>
            <w:r w:rsidR="000D46E2" w:rsidRPr="00621EF8">
              <w:rPr>
                <w:rStyle w:val="Hyperlink"/>
                <w:color w:val="auto"/>
                <w:u w:val="none"/>
              </w:rPr>
              <w:t xml:space="preserve"> OCTA likuma pārejas noteikumu 13.punkts </w:t>
            </w:r>
            <w:r w:rsidR="005411D1" w:rsidRPr="00703DE0">
              <w:rPr>
                <w:rStyle w:val="Hyperlink"/>
                <w:color w:val="auto"/>
                <w:u w:val="none"/>
              </w:rPr>
              <w:t xml:space="preserve">noteica </w:t>
            </w:r>
            <w:r w:rsidR="000D46E2" w:rsidRPr="00703DE0">
              <w:rPr>
                <w:rStyle w:val="Hyperlink"/>
                <w:color w:val="auto"/>
                <w:u w:val="none"/>
              </w:rPr>
              <w:t>apdrošināšanas atbildības limitus laika posmā no 2007.gada 1.novembra līdz 2012.gada 31.maijam.</w:t>
            </w:r>
          </w:p>
          <w:p w:rsidR="005C41F4" w:rsidRPr="00621EF8" w:rsidRDefault="00CA05D9" w:rsidP="00567FE5">
            <w:pPr>
              <w:pStyle w:val="naiskr"/>
              <w:ind w:left="129" w:right="127"/>
              <w:jc w:val="both"/>
            </w:pPr>
            <w:r w:rsidRPr="002D7CB2">
              <w:rPr>
                <w:szCs w:val="28"/>
              </w:rPr>
              <w:t xml:space="preserve">OCTA likuma </w:t>
            </w:r>
            <w:r w:rsidRPr="00621EF8">
              <w:t xml:space="preserve">15.panta pirmās daļas 1.punkts </w:t>
            </w:r>
            <w:r w:rsidRPr="003D7219">
              <w:t>nosaka</w:t>
            </w:r>
            <w:r w:rsidRPr="00621EF8">
              <w:rPr>
                <w:color w:val="1F497D"/>
              </w:rPr>
              <w:t xml:space="preserve"> </w:t>
            </w:r>
            <w:r w:rsidRPr="00621EF8">
              <w:t>kopējo apdrošinātāja atbildības limitu gan par personai nodarītajiem materiālajiem zaudējumiem</w:t>
            </w:r>
            <w:r w:rsidRPr="00703DE0">
              <w:t>, gan par personai nodarītajiem nemateriālajiem zaudējumiem</w:t>
            </w:r>
            <w:r w:rsidRPr="00621EF8">
              <w:t xml:space="preserve">. OCTA likuma 19.panta otrajā daļā ir minēti personai nodarīto nemateriālo zaudējumu veidi, bet atbilstoši OCTA likuma 19.panta trešajai daļai apdrošināšanas atlīdzības apmēru un aprēķināšanas kārtību par personai nodarītajiem </w:t>
            </w:r>
            <w:r w:rsidR="005C41F4" w:rsidRPr="00621EF8">
              <w:lastRenderedPageBreak/>
              <w:t xml:space="preserve">materiālajiem un nemateriālajiem </w:t>
            </w:r>
            <w:r w:rsidRPr="00621EF8">
              <w:t>zaudējumiem nosaka Ministru kabinets</w:t>
            </w:r>
            <w:r w:rsidR="000D46E2" w:rsidRPr="00621EF8">
              <w:t xml:space="preserve">. </w:t>
            </w:r>
          </w:p>
          <w:p w:rsidR="005C41F4" w:rsidRPr="00621EF8" w:rsidRDefault="000D46E2" w:rsidP="00567FE5">
            <w:pPr>
              <w:pStyle w:val="naiskr"/>
              <w:ind w:left="129" w:right="127"/>
              <w:jc w:val="both"/>
            </w:pPr>
            <w:r w:rsidRPr="00703DE0">
              <w:t xml:space="preserve">Līdz ar to </w:t>
            </w:r>
            <w:r w:rsidR="00CA05D9" w:rsidRPr="00703DE0">
              <w:t xml:space="preserve">Ministru </w:t>
            </w:r>
            <w:r w:rsidR="00703DE0" w:rsidRPr="00621EF8">
              <w:t>kabinet</w:t>
            </w:r>
            <w:r w:rsidR="00703DE0">
              <w:t xml:space="preserve">s ir izdevis </w:t>
            </w:r>
            <w:r w:rsidR="00CA05D9" w:rsidRPr="00703DE0">
              <w:t>2 noteikum</w:t>
            </w:r>
            <w:r w:rsidR="00703DE0">
              <w:t>us</w:t>
            </w:r>
            <w:r w:rsidRPr="00703DE0">
              <w:t xml:space="preserve"> –</w:t>
            </w:r>
            <w:r w:rsidR="00463C72">
              <w:t xml:space="preserve"> </w:t>
            </w:r>
            <w:r w:rsidR="00CA05D9" w:rsidRPr="00703DE0">
              <w:t>par personai nodarītajiem mat</w:t>
            </w:r>
            <w:r w:rsidRPr="00703DE0">
              <w:t>eriālajiem zaudējumiem (</w:t>
            </w:r>
            <w:r w:rsidRPr="00621EF8">
              <w:rPr>
                <w:i/>
              </w:rPr>
              <w:t>2004.gada 14.decembra Ministru kabineta noteikumi Nr.1008 „Noteikumi par apdrošināšanas atlīdzības apmēru un aprēķināšanas kārtību par personai nodarītajiem materiālajiem zaudējumiem"</w:t>
            </w:r>
            <w:r w:rsidRPr="00621EF8">
              <w:t xml:space="preserve">), un </w:t>
            </w:r>
            <w:r w:rsidR="00CA05D9" w:rsidRPr="00703DE0">
              <w:t xml:space="preserve">par </w:t>
            </w:r>
            <w:r w:rsidR="00CA05D9" w:rsidRPr="00621EF8">
              <w:t>personai nodarītajiem nemateriālajiem zaudējumiem</w:t>
            </w:r>
            <w:r w:rsidRPr="00621EF8">
              <w:t xml:space="preserve"> (</w:t>
            </w:r>
            <w:r w:rsidRPr="00621EF8">
              <w:rPr>
                <w:i/>
              </w:rPr>
              <w:t>2005.gada 17.maija Ministru kabineta noteikumi Nr.331 „Noteikumi par apdrošināšanas atlīdzības apmēru un aprēķināšanas kārtību par personai nodarītajiem nemateriālajiem zaudējumiem", kuri vairs nav atbilstoši iepriekš minētajiem EST spriedumiem)</w:t>
            </w:r>
            <w:r w:rsidR="00CA05D9" w:rsidRPr="00621EF8">
              <w:rPr>
                <w:i/>
              </w:rPr>
              <w:t>.</w:t>
            </w:r>
            <w:r w:rsidR="00CA05D9" w:rsidRPr="00621EF8">
              <w:t xml:space="preserve"> </w:t>
            </w:r>
          </w:p>
          <w:p w:rsidR="005E0713" w:rsidRPr="00016581" w:rsidRDefault="002D7CB2" w:rsidP="005E0713">
            <w:pPr>
              <w:pStyle w:val="naiskr"/>
              <w:ind w:left="129" w:right="127"/>
              <w:jc w:val="both"/>
            </w:pPr>
            <w:r>
              <w:t xml:space="preserve">Tādējādi secināms, ka </w:t>
            </w:r>
            <w:r w:rsidR="00CA05D9" w:rsidRPr="002D7CB2">
              <w:t xml:space="preserve">OCTA likuma 15.panta pirmās daļas 1.punktā noteiktais apdrošinātāja atbildības limits nav attiecināms tikai uz personai nodarītajiem nemateriālajiem </w:t>
            </w:r>
            <w:r w:rsidR="00CA05D9" w:rsidRPr="00016581">
              <w:t xml:space="preserve">zaudējumiem. </w:t>
            </w:r>
          </w:p>
          <w:p w:rsidR="001C4FC5" w:rsidRPr="00621EF8" w:rsidRDefault="005E0713" w:rsidP="003D7219">
            <w:pPr>
              <w:pStyle w:val="naiskr"/>
              <w:spacing w:before="0" w:after="120"/>
              <w:ind w:left="129" w:right="127"/>
              <w:jc w:val="both"/>
            </w:pPr>
            <w:r w:rsidRPr="00016581">
              <w:t>N</w:t>
            </w:r>
            <w:r w:rsidR="00567FE5" w:rsidRPr="00016581">
              <w:t>oteikumu projekta pielikuma I sadaļā norādītā apdrošināšanas atlīdzības apmēra noteikšana</w:t>
            </w:r>
            <w:r w:rsidR="00567FE5" w:rsidRPr="00621EF8">
              <w:t xml:space="preserve">s kārtība </w:t>
            </w:r>
            <w:r w:rsidR="00567FE5" w:rsidRPr="00134DCD">
              <w:t>izstrādāta,</w:t>
            </w:r>
            <w:r w:rsidR="00567FE5" w:rsidRPr="00621EF8">
              <w:t xml:space="preserve"> ņemot vērā Latvijā pastāvošo tiesu praksi morālā kaitējuma apmēra noteikšanā saistībā ar ceļu satiksmes negadījumiem </w:t>
            </w:r>
            <w:r w:rsidRPr="00621EF8">
              <w:t xml:space="preserve"> līdz noteikumu projekta sagatavošanai</w:t>
            </w:r>
            <w:r w:rsidR="00134DCD">
              <w:t xml:space="preserve">, </w:t>
            </w:r>
            <w:r w:rsidRPr="00621EF8">
              <w:t>lai katrā individuālā gadījumā pastāvētu iespēja apdrošinātājam</w:t>
            </w:r>
            <w:r w:rsidR="00A5118C" w:rsidRPr="00621EF8">
              <w:t xml:space="preserve"> (OCTA likuma 1.panta 6.punkts)</w:t>
            </w:r>
            <w:r w:rsidRPr="00621EF8">
              <w:t xml:space="preserve"> vai</w:t>
            </w:r>
            <w:r w:rsidR="0056114C" w:rsidRPr="00621EF8">
              <w:t xml:space="preserve"> </w:t>
            </w:r>
            <w:r w:rsidR="00A5118C" w:rsidRPr="00621EF8">
              <w:t>biedrībai „</w:t>
            </w:r>
            <w:r w:rsidR="0056114C" w:rsidRPr="00621EF8">
              <w:t>Latvijas Transportlīdzekļu apdrošinātāju birojs” (turpmāk - Transportlīdzekļu apdrošinātāju birojs)</w:t>
            </w:r>
            <w:r w:rsidRPr="00621EF8">
              <w:t xml:space="preserve"> vērtēt  un noteikt atbilstošu atlīdzinājumu,  t.i., vienlaikus ievērojot to, kas minēts Satversmes 92. panta treš</w:t>
            </w:r>
            <w:r w:rsidR="001C4FC5" w:rsidRPr="00621EF8">
              <w:t xml:space="preserve">ajā teikumā, t.i., </w:t>
            </w:r>
            <w:r w:rsidRPr="00621EF8">
              <w:t xml:space="preserve">ka </w:t>
            </w:r>
            <w:bookmarkStart w:id="1" w:name="bkm24"/>
            <w:r w:rsidRPr="00621EF8">
              <w:t>nepamatota tiesību aizskāruma gadījumā ikvienam ir tiesības uz atbilstīgu atlīdzinājumu.</w:t>
            </w:r>
            <w:bookmarkEnd w:id="1"/>
            <w:r w:rsidR="001C4FC5" w:rsidRPr="00621EF8">
              <w:t xml:space="preserve"> </w:t>
            </w:r>
          </w:p>
          <w:p w:rsidR="001C4FC5" w:rsidRPr="00340CAA" w:rsidRDefault="001C4FC5" w:rsidP="003D7219">
            <w:pPr>
              <w:pStyle w:val="naiskr"/>
              <w:spacing w:before="0" w:after="120"/>
              <w:ind w:left="129" w:right="127"/>
              <w:jc w:val="both"/>
            </w:pPr>
            <w:r w:rsidRPr="00621EF8">
              <w:t>K</w:t>
            </w:r>
            <w:r w:rsidR="00567FE5" w:rsidRPr="00621EF8">
              <w:t>ā viens no kritērijiem morālā kaitējuma apmēra noteikšanai tiek izmantot</w:t>
            </w:r>
            <w:r w:rsidR="00134DCD">
              <w:t>a</w:t>
            </w:r>
            <w:r w:rsidR="00567FE5" w:rsidRPr="00621EF8">
              <w:t xml:space="preserve"> valstī noteikt</w:t>
            </w:r>
            <w:r w:rsidR="00134DCD">
              <w:t xml:space="preserve">ā </w:t>
            </w:r>
            <w:r w:rsidR="00567FE5" w:rsidRPr="00621EF8">
              <w:t>minimāl</w:t>
            </w:r>
            <w:r w:rsidR="00134DCD">
              <w:t xml:space="preserve">ā </w:t>
            </w:r>
            <w:r w:rsidR="00567FE5" w:rsidRPr="00621EF8">
              <w:t xml:space="preserve"> mēneša darba alg</w:t>
            </w:r>
            <w:r w:rsidR="00134DCD">
              <w:t>a</w:t>
            </w:r>
            <w:r w:rsidR="00340CAA">
              <w:t>. Šis kritērijs</w:t>
            </w:r>
            <w:r w:rsidR="00EF69AA">
              <w:t xml:space="preserve"> noteikumu projektā</w:t>
            </w:r>
            <w:r w:rsidR="00340CAA">
              <w:t xml:space="preserve"> tiek izmantots, lai tiktu izveidota ilgtspējīga un elastīga apdrošināšanas </w:t>
            </w:r>
            <w:r w:rsidR="00340CAA" w:rsidRPr="00134DCD">
              <w:t xml:space="preserve">atlīdzības </w:t>
            </w:r>
            <w:r w:rsidR="00134DCD" w:rsidRPr="003D7219">
              <w:t xml:space="preserve">aprēķināšanas </w:t>
            </w:r>
            <w:r w:rsidR="00340CAA" w:rsidRPr="00134DCD">
              <w:t>kārtība</w:t>
            </w:r>
            <w:r w:rsidR="00340CAA">
              <w:t xml:space="preserve">. </w:t>
            </w:r>
            <w:r w:rsidR="00134DCD">
              <w:t>I</w:t>
            </w:r>
            <w:r w:rsidR="00340CAA" w:rsidRPr="00AD20E5">
              <w:t>zmanto</w:t>
            </w:r>
            <w:r w:rsidR="00340CAA">
              <w:t xml:space="preserve">jot </w:t>
            </w:r>
            <w:r w:rsidR="00340CAA" w:rsidRPr="00AD20E5">
              <w:t>valstī noteikt</w:t>
            </w:r>
            <w:r w:rsidR="00340CAA">
              <w:t>o</w:t>
            </w:r>
            <w:r w:rsidR="00340CAA" w:rsidRPr="00AD20E5">
              <w:t xml:space="preserve"> m</w:t>
            </w:r>
            <w:r w:rsidR="00340CAA">
              <w:t xml:space="preserve">inimālo mēneša darba algu skaitu, tiek </w:t>
            </w:r>
            <w:r w:rsidR="00567FE5" w:rsidRPr="00340CAA">
              <w:t>par</w:t>
            </w:r>
            <w:r w:rsidR="00340CAA">
              <w:t xml:space="preserve">edzēta </w:t>
            </w:r>
            <w:r w:rsidR="00567FE5" w:rsidRPr="00340CAA">
              <w:t>iespēj</w:t>
            </w:r>
            <w:r w:rsidR="00340CAA">
              <w:t>a</w:t>
            </w:r>
            <w:r w:rsidR="00567FE5" w:rsidRPr="00340CAA">
              <w:t xml:space="preserve"> diferencēt arī apdrošināšanas atlīdzīb</w:t>
            </w:r>
            <w:r w:rsidR="00EF69AA">
              <w:t>u</w:t>
            </w:r>
            <w:r w:rsidR="00567FE5" w:rsidRPr="00340CAA">
              <w:t xml:space="preserve"> apmēru atkarībā no ekonomiskā</w:t>
            </w:r>
            <w:r w:rsidR="00134DCD">
              <w:t>s</w:t>
            </w:r>
            <w:r w:rsidR="00567FE5" w:rsidRPr="00340CAA">
              <w:t xml:space="preserve"> situācijas valstī</w:t>
            </w:r>
            <w:r w:rsidR="00340CAA">
              <w:t>. P</w:t>
            </w:r>
            <w:r w:rsidR="00567FE5" w:rsidRPr="00340CAA">
              <w:t xml:space="preserve">alielinot </w:t>
            </w:r>
            <w:r w:rsidRPr="00340CAA">
              <w:t>valstī noteikto minimāl</w:t>
            </w:r>
            <w:r w:rsidR="00EF69AA">
              <w:t>ās</w:t>
            </w:r>
            <w:r w:rsidRPr="00340CAA">
              <w:t xml:space="preserve"> mēneša darba alg</w:t>
            </w:r>
            <w:r w:rsidR="00EF69AA">
              <w:t>as</w:t>
            </w:r>
            <w:r w:rsidRPr="00340CAA">
              <w:t xml:space="preserve"> apmēru, vienlaikus palielināsies arī apdrošināšanas atlīdzība par personai nodarītajiem nemateriālajiem zaudējumiem.</w:t>
            </w:r>
            <w:r w:rsidR="00340CAA">
              <w:t xml:space="preserve"> Ņemot vērā to, ka personai nodarītie nemateriālie zaudējumi</w:t>
            </w:r>
            <w:r w:rsidR="00016581">
              <w:t xml:space="preserve"> un to apmērs ir cieši saistīts ar personas subjektīvo novērtējumu, tad attiecīgi ir nepieciešama vienota kārtība, aprēķina principi nemateriālo zaudējuma apmēra noteikšanai, pēc kuriem varētu vadīties apdrošinātāji, </w:t>
            </w:r>
            <w:r w:rsidR="003E3273" w:rsidRPr="00621EF8">
              <w:t>Transportlīdzekļu apdrošinātāju birojs</w:t>
            </w:r>
            <w:r w:rsidR="00016581">
              <w:t xml:space="preserve"> un tiesas, lai līdzīgos  un salīdzināmos gadījumos arī apdrošināšanas atlīdzības apmērs būtu līdzvērtīgs</w:t>
            </w:r>
            <w:r w:rsidR="003D7CF5">
              <w:t>.</w:t>
            </w:r>
          </w:p>
          <w:p w:rsidR="002D7CB2" w:rsidRPr="00943820" w:rsidRDefault="00436B00" w:rsidP="003D7219">
            <w:pPr>
              <w:spacing w:after="120"/>
              <w:ind w:left="128" w:right="176"/>
              <w:jc w:val="both"/>
            </w:pPr>
            <w:r w:rsidRPr="00340CAA">
              <w:lastRenderedPageBreak/>
              <w:t xml:space="preserve">Lai  </w:t>
            </w:r>
            <w:r w:rsidR="00EF69AA">
              <w:t xml:space="preserve">atlīdzinot </w:t>
            </w:r>
            <w:r w:rsidRPr="00340CAA">
              <w:t xml:space="preserve">par </w:t>
            </w:r>
            <w:r w:rsidR="00EF69AA">
              <w:t>tādu</w:t>
            </w:r>
            <w:r w:rsidRPr="00340CAA">
              <w:t xml:space="preserve"> pašu miesas bojājumu dažādos</w:t>
            </w:r>
            <w:r w:rsidR="00EF69AA">
              <w:t xml:space="preserve"> </w:t>
            </w:r>
            <w:r w:rsidRPr="00340CAA">
              <w:t xml:space="preserve"> zaudējumu veidos ne</w:t>
            </w:r>
            <w:r w:rsidR="00EF69AA">
              <w:t>rastos</w:t>
            </w:r>
            <w:r w:rsidRPr="00340CAA">
              <w:t xml:space="preserve"> būtiskas atšķirības, </w:t>
            </w:r>
            <w:r w:rsidR="00704623" w:rsidRPr="003D7219">
              <w:t>noteikumu projekta pielikuma III sadaļā</w:t>
            </w:r>
            <w:r w:rsidRPr="00621EF8">
              <w:t xml:space="preserve"> „Apdrošināšanas atlīdzības aprēķināšanai piemērojamie procenti atbilstoši miesas bojājumam”</w:t>
            </w:r>
            <w:r w:rsidR="002D7CB2">
              <w:t xml:space="preserve"> ir noteikts veselībai nodarītā kaitējuma izvērtējums procentuāli, par pamatu ņemot šobrīd spēkā esošo Ministru kabineta 2005.gada 17.maija noteikumu </w:t>
            </w:r>
            <w:r w:rsidR="002D7CB2" w:rsidRPr="00AD20E5">
              <w:t>Nr.331 „Noteikumi par apdrošināšanas atlīdzības apmēru un aprēķināšanas kārtību par personai nodarītajiem nemateriālajiem zaudējumiem"</w:t>
            </w:r>
            <w:r w:rsidR="00C948DE">
              <w:t xml:space="preserve"> pielikumā esošos apdrošināšanas atlīdzības aprēķināšanai piemērojam</w:t>
            </w:r>
            <w:r w:rsidR="00EF69AA">
              <w:t>os</w:t>
            </w:r>
            <w:r w:rsidR="00C948DE">
              <w:t xml:space="preserve"> procentus atbilstoši miesas bojājumam, tos </w:t>
            </w:r>
            <w:r w:rsidR="00C948DE" w:rsidRPr="00C948DE">
              <w:t xml:space="preserve">nedaudz koriģējot. </w:t>
            </w:r>
          </w:p>
          <w:p w:rsidR="00C948DE" w:rsidRPr="00AD20E5" w:rsidRDefault="00C948DE" w:rsidP="00C948DE">
            <w:pPr>
              <w:spacing w:after="120"/>
              <w:ind w:left="128" w:right="176"/>
              <w:jc w:val="both"/>
            </w:pPr>
            <w:r w:rsidRPr="00AD20E5">
              <w:t xml:space="preserve">Paskaidrojuma rakstā Ministru kabineta noteikumu projektam </w:t>
            </w:r>
            <w:r w:rsidRPr="00AD20E5">
              <w:rPr>
                <w:bCs/>
              </w:rPr>
              <w:t xml:space="preserve">“Noteikumi par apdrošināšanas atlīdzības apmēru un aprēķināšanas kārtību par personai nodarītajiem nemateriālajiem zaudējumiem” (pieejams - </w:t>
            </w:r>
            <w:hyperlink r:id="rId17" w:history="1">
              <w:r w:rsidRPr="00AD20E5">
                <w:rPr>
                  <w:rStyle w:val="Hyperlink"/>
                </w:rPr>
                <w:t>http://mk.gov.lv/doc/2005/FMPask_030105_1.doc</w:t>
              </w:r>
            </w:hyperlink>
            <w:r w:rsidRPr="00AD20E5">
              <w:t>) ir minēts, ka:</w:t>
            </w:r>
          </w:p>
          <w:p w:rsidR="00C948DE" w:rsidRDefault="00C948DE" w:rsidP="00C948DE">
            <w:pPr>
              <w:spacing w:after="120"/>
              <w:ind w:left="128" w:right="176"/>
              <w:jc w:val="both"/>
            </w:pPr>
            <w:r w:rsidRPr="00AD20E5">
              <w:rPr>
                <w:i/>
              </w:rPr>
              <w:t>„Pielikumā minētie apdrošināšanas atlīdzības aprēķināšanai piemērojamie procenti ir noteikti, ņemot vērā nelaimes gadījumu apdrošināšanā piemērojamos procentus, Valsts Darba nespējas ārstu ekspertīzes komisijas noteiktos invaliditātei piemērojamos procentus un Tiesu medicīnas ekspertīzes praksē piemērojamos procentus</w:t>
            </w:r>
            <w:r w:rsidRPr="00AD20E5">
              <w:t>.”</w:t>
            </w:r>
          </w:p>
          <w:p w:rsidR="00516BF0" w:rsidRPr="00C948DE" w:rsidRDefault="003E3273" w:rsidP="00516BF0">
            <w:pPr>
              <w:spacing w:after="120"/>
              <w:ind w:left="128" w:right="176"/>
              <w:jc w:val="both"/>
            </w:pPr>
            <w:r>
              <w:t>Pielikumā minētos</w:t>
            </w:r>
            <w:r w:rsidRPr="003E3273">
              <w:t xml:space="preserve"> apdrošināšanas atlīdzības aprēķināšanai piemērojam</w:t>
            </w:r>
            <w:r>
              <w:t>os</w:t>
            </w:r>
            <w:r w:rsidRPr="003E3273">
              <w:t xml:space="preserve"> procent</w:t>
            </w:r>
            <w:r>
              <w:t xml:space="preserve">us 2004.gadā </w:t>
            </w:r>
            <w:r w:rsidRPr="003E3273">
              <w:t>izvērtēja gan apdrošināšanas sabiedrību speciālisti-ārsti, gan Valsts tiesu medicīnas ekspertu centra un Veselības un darbspēju ekspertīzes ārstu valsts komisijas pārstāvji.</w:t>
            </w:r>
            <w:r w:rsidR="006D0F6B">
              <w:t xml:space="preserve"> Savukārt, 2013.gadā pielikumā</w:t>
            </w:r>
            <w:r w:rsidR="006D0F6B" w:rsidRPr="00621EF8">
              <w:t xml:space="preserve"> norādīto miesas bojājumu un atbilstoši tiem piemērojamo procentu aktualitāti ir pārskatījusi un precizēju</w:t>
            </w:r>
            <w:r w:rsidR="006D0F6B" w:rsidRPr="00340CAA">
              <w:t>si Transportlīdzekļu apdrošinātāju biroja Personai nodarīto zaudējumu izvērtēšanas ekspertu komisija, kurā ietilpst  </w:t>
            </w:r>
            <w:r w:rsidR="006D0F6B">
              <w:t>a</w:t>
            </w:r>
            <w:r w:rsidR="006D0F6B" w:rsidRPr="00340CAA">
              <w:t>pdrošināšanas sabiedrību pārstāvji - personas, kurām ir augstākā medicīniskā izglītība</w:t>
            </w:r>
            <w:r w:rsidR="00906EBA">
              <w:t xml:space="preserve"> un kas praksē ikdienā strādā apdrošināšanas jomā.</w:t>
            </w:r>
            <w:r w:rsidR="00516BF0">
              <w:t xml:space="preserve"> Pielikumā minētie</w:t>
            </w:r>
            <w:r w:rsidR="00516BF0" w:rsidRPr="003E3273">
              <w:t xml:space="preserve"> apdrošināšanas atlīdzības aprēķināšanai piemērojam</w:t>
            </w:r>
            <w:r w:rsidR="00516BF0">
              <w:t>ie</w:t>
            </w:r>
            <w:r w:rsidR="00516BF0" w:rsidRPr="003E3273">
              <w:t xml:space="preserve"> procent</w:t>
            </w:r>
            <w:r w:rsidR="00516BF0">
              <w:t xml:space="preserve">i ir izstrādāti tā, lai attiecīga smaguma miesas bojājumiem tiktu noteikts atbilstošs procentuālais apmērs atkarībā no tā, kā šis veselībai nodarītais kaitējums ietekmē cietušās personas veselības stāvokli. Jo nopietnāks veselībai nodarītais kaitējums, jo attiecīgi lielāks procentuālais koeficents. Vienlaikus jāpiebilst, ka līdzīga veida aprēķina sistēmas ir pieejamas arī citās valstīs, piem., Itālijā, Vācijā, Francijā un Spānijā. </w:t>
            </w:r>
          </w:p>
          <w:p w:rsidR="003E3273" w:rsidRPr="00C948DE" w:rsidRDefault="003E3273" w:rsidP="00C948DE">
            <w:pPr>
              <w:spacing w:after="120"/>
              <w:ind w:left="128" w:right="176"/>
              <w:jc w:val="both"/>
            </w:pPr>
          </w:p>
          <w:p w:rsidR="00340CAA" w:rsidRDefault="006D0F6B" w:rsidP="003D7219">
            <w:pPr>
              <w:spacing w:after="120"/>
              <w:ind w:left="128" w:right="176"/>
              <w:jc w:val="both"/>
            </w:pPr>
            <w:r>
              <w:lastRenderedPageBreak/>
              <w:t>Precizētais pielikums ir iekļauts n</w:t>
            </w:r>
            <w:r w:rsidR="00943820">
              <w:t>oteikumu projekta pielikuma III sadaļā</w:t>
            </w:r>
            <w:r>
              <w:t>.</w:t>
            </w:r>
          </w:p>
          <w:p w:rsidR="00340CAA" w:rsidRPr="00AD20E5" w:rsidRDefault="001C4FC5" w:rsidP="003D7219">
            <w:pPr>
              <w:spacing w:after="120"/>
              <w:ind w:left="128"/>
              <w:jc w:val="both"/>
              <w:rPr>
                <w:b/>
              </w:rPr>
            </w:pPr>
            <w:r w:rsidRPr="00340CAA">
              <w:t xml:space="preserve">Lai tiktu ievērotas Satversmes 92. panta trešā teikuma prasības, noteikumu projektā ir </w:t>
            </w:r>
            <w:r w:rsidR="00496D1E">
              <w:t>noteikts</w:t>
            </w:r>
            <w:r w:rsidRPr="00340CAA">
              <w:t>, j</w:t>
            </w:r>
            <w:r w:rsidR="00567FE5" w:rsidRPr="00340CAA">
              <w:t>a trešā persona nepiekrīt aprēķinātajam apdrošināšanas atlīdzības apmēram, tad tai ir tiesības vērsties pie apdrošinātāja vai Transportlīdzekļu apdrošinātāju biroja ar lūgumu pārskatīt pieņemto lēmumu par apdrošināšanas atlīdzību, vienlaikus iesniedzot pamatojumu.</w:t>
            </w:r>
            <w:r w:rsidR="00621EF8">
              <w:t xml:space="preserve"> J</w:t>
            </w:r>
            <w:r w:rsidR="00621EF8" w:rsidRPr="00AD20E5">
              <w:t>a apdrošinātājs vai Transportlīdzekļ</w:t>
            </w:r>
            <w:r w:rsidR="00621EF8">
              <w:t>u apdrošinātāju birojs piekritīs trešās personas pamatojumā minētajam, apdrošināšanas atlīdzība</w:t>
            </w:r>
            <w:r w:rsidR="009A78E5">
              <w:t>s apmērs</w:t>
            </w:r>
            <w:r w:rsidR="00621EF8">
              <w:t xml:space="preserve"> tiks pārskatīt</w:t>
            </w:r>
            <w:r w:rsidR="009A78E5">
              <w:t>s</w:t>
            </w:r>
            <w:r w:rsidR="00621EF8">
              <w:t>.</w:t>
            </w:r>
            <w:r w:rsidR="0056114C" w:rsidRPr="00621EF8">
              <w:t xml:space="preserve"> </w:t>
            </w:r>
            <w:r w:rsidR="00621EF8">
              <w:t xml:space="preserve">Savukārt, </w:t>
            </w:r>
            <w:r w:rsidR="00AF160C">
              <w:t>j</w:t>
            </w:r>
            <w:r w:rsidR="00621EF8" w:rsidRPr="00AD20E5">
              <w:t>a apdrošinātājs vai Transportlīdzekļ</w:t>
            </w:r>
            <w:r w:rsidR="00621EF8">
              <w:t xml:space="preserve">u apdrošinātāju birojs nepiekritīs trešās personas pamatojumā minētajam, un </w:t>
            </w:r>
            <w:r w:rsidR="0056114C" w:rsidRPr="00621EF8">
              <w:t>trešā persona nebūs apmierināta ar pārskatīto lēmumu, tad atbilstoši OCTA likuma 39.panta sestajai daļai tai ir tiesības vērsties tiesā</w:t>
            </w:r>
            <w:r w:rsidR="00621EF8" w:rsidRPr="00621EF8">
              <w:t xml:space="preserve"> pret apdrošinātāju vai </w:t>
            </w:r>
            <w:r w:rsidR="00621EF8" w:rsidRPr="003D7219">
              <w:t>Transportlīdzekļu apdrošinātāju biroj</w:t>
            </w:r>
            <w:r w:rsidR="00621EF8" w:rsidRPr="00621EF8">
              <w:t xml:space="preserve">u </w:t>
            </w:r>
            <w:r w:rsidR="0056114C" w:rsidRPr="00621EF8">
              <w:t xml:space="preserve"> savu interešu aizstāvībai</w:t>
            </w:r>
            <w:r w:rsidR="00340CAA">
              <w:t xml:space="preserve">, </w:t>
            </w:r>
            <w:r w:rsidR="00340CAA" w:rsidRPr="00AD20E5">
              <w:t>lai pierādītu  nemateriālo zaudējumu apmēra pamatotību, un šādā gadījumā nemateriālo zaudējumu apmērs t</w:t>
            </w:r>
            <w:r w:rsidR="001F6FCA">
              <w:t>iks</w:t>
            </w:r>
            <w:r w:rsidR="00340CAA" w:rsidRPr="00AD20E5">
              <w:t xml:space="preserve"> atlīdzināts atbilstoši tiesas spriedumā norādītajai summai.</w:t>
            </w:r>
          </w:p>
          <w:p w:rsidR="00340CAA" w:rsidRPr="00621EF8" w:rsidRDefault="00340CAA" w:rsidP="003D7219">
            <w:pPr>
              <w:pStyle w:val="naiskr"/>
              <w:ind w:left="129" w:right="127"/>
              <w:jc w:val="both"/>
              <w:rPr>
                <w:bCs/>
              </w:rPr>
            </w:pPr>
            <w:r w:rsidRPr="00AD20E5">
              <w:rPr>
                <w:rStyle w:val="Hyperlink"/>
                <w:color w:val="auto"/>
                <w:u w:val="none"/>
              </w:rPr>
              <w:t>Noteikumu projektā ir paredzēta aprēķināšanas kārtība, lai pēc vienotiem principiem līdzīgos gadījumos tiktu aprēķināta apdrošināšanas atlīdzība par personai nodarītajiem nemateriālajiem zaudējumiem.</w:t>
            </w:r>
            <w:r>
              <w:rPr>
                <w:rStyle w:val="Hyperlink"/>
                <w:color w:val="auto"/>
                <w:u w:val="none"/>
              </w:rPr>
              <w:t xml:space="preserve"> </w:t>
            </w:r>
            <w:r w:rsidR="00AF160C">
              <w:t>N</w:t>
            </w:r>
            <w:r w:rsidR="005411D1" w:rsidRPr="00AF160C">
              <w:t>oteikumu projektā paredzētā apdrošināšanas atlīdzības kārt</w:t>
            </w:r>
            <w:r w:rsidR="005411D1" w:rsidRPr="00340CAA">
              <w:t xml:space="preserve">ība nenosaka maksimālos atbildības limitus, kas būtu zemāki par OCTA likumā un </w:t>
            </w:r>
            <w:r w:rsidR="005411D1" w:rsidRPr="00340CAA">
              <w:rPr>
                <w:bCs/>
              </w:rPr>
              <w:t xml:space="preserve">Direktīvā </w:t>
            </w:r>
            <w:hyperlink r:id="rId18" w:tgtFrame="_blank" w:tooltip="DIREKTĪVA" w:history="1">
              <w:r w:rsidR="005411D1" w:rsidRPr="003D7219">
                <w:rPr>
                  <w:rStyle w:val="Hyperlink"/>
                  <w:color w:val="auto"/>
                  <w:u w:val="none"/>
                </w:rPr>
                <w:t>2009/103/EK</w:t>
              </w:r>
            </w:hyperlink>
            <w:r w:rsidR="005411D1" w:rsidRPr="003D7219">
              <w:rPr>
                <w:rStyle w:val="Hyperlink"/>
                <w:color w:val="auto"/>
                <w:u w:val="none"/>
              </w:rPr>
              <w:t xml:space="preserve"> min</w:t>
            </w:r>
            <w:r w:rsidR="005411D1" w:rsidRPr="00621EF8">
              <w:rPr>
                <w:rStyle w:val="Hyperlink"/>
                <w:color w:val="auto"/>
                <w:u w:val="none"/>
              </w:rPr>
              <w:t>ētajiem obligātajiem</w:t>
            </w:r>
            <w:r w:rsidR="005411D1" w:rsidRPr="003D7219">
              <w:rPr>
                <w:rStyle w:val="Hyperlink"/>
                <w:color w:val="auto"/>
                <w:u w:val="none"/>
              </w:rPr>
              <w:t xml:space="preserve"> limitiem</w:t>
            </w:r>
            <w:r w:rsidR="005411D1" w:rsidRPr="00621EF8">
              <w:rPr>
                <w:rStyle w:val="Hyperlink"/>
                <w:color w:val="auto"/>
                <w:u w:val="none"/>
              </w:rPr>
              <w:t>, bet gan nosaka apr</w:t>
            </w:r>
            <w:r w:rsidR="005411D1" w:rsidRPr="00AF160C">
              <w:rPr>
                <w:rStyle w:val="Hyperlink"/>
                <w:color w:val="auto"/>
                <w:u w:val="none"/>
              </w:rPr>
              <w:t>ēķināšanas kārtību, paredzot iespēju katru gadījumu vērtēt individu</w:t>
            </w:r>
            <w:r w:rsidR="00AF160C" w:rsidRPr="00AF160C">
              <w:rPr>
                <w:rStyle w:val="Hyperlink"/>
                <w:color w:val="auto"/>
                <w:u w:val="none"/>
              </w:rPr>
              <w:t>āli</w:t>
            </w:r>
            <w:r w:rsidR="00AF160C">
              <w:rPr>
                <w:rStyle w:val="Hyperlink"/>
                <w:color w:val="auto"/>
                <w:u w:val="none"/>
              </w:rPr>
              <w:t xml:space="preserve"> un šādā veidā cenšoties samazināt to gadījumu skaitu, kas tālāk būtu risināmi tiesvedības ceļā.</w:t>
            </w:r>
            <w:r>
              <w:rPr>
                <w:rStyle w:val="Hyperlink"/>
                <w:color w:val="auto"/>
                <w:u w:val="none"/>
              </w:rPr>
              <w:t xml:space="preserve"> </w:t>
            </w:r>
          </w:p>
        </w:tc>
      </w:tr>
      <w:tr w:rsidR="004A203F" w:rsidRPr="00621EF8" w:rsidTr="00510C10">
        <w:trPr>
          <w:trHeight w:val="472"/>
        </w:trPr>
        <w:tc>
          <w:tcPr>
            <w:tcW w:w="495" w:type="dxa"/>
            <w:shd w:val="clear" w:color="auto" w:fill="auto"/>
          </w:tcPr>
          <w:p w:rsidR="004A203F" w:rsidRPr="00621EF8" w:rsidRDefault="004A203F" w:rsidP="000F0F4F">
            <w:pPr>
              <w:pStyle w:val="naiskr"/>
              <w:ind w:left="-142" w:firstLine="142"/>
              <w:jc w:val="center"/>
            </w:pPr>
            <w:r w:rsidRPr="00621EF8">
              <w:lastRenderedPageBreak/>
              <w:t>2.</w:t>
            </w:r>
          </w:p>
        </w:tc>
        <w:tc>
          <w:tcPr>
            <w:tcW w:w="2779" w:type="dxa"/>
            <w:shd w:val="clear" w:color="auto" w:fill="auto"/>
          </w:tcPr>
          <w:p w:rsidR="004A203F" w:rsidRPr="00621EF8" w:rsidRDefault="004A203F" w:rsidP="000F0F4F">
            <w:pPr>
              <w:pStyle w:val="naiskr"/>
              <w:tabs>
                <w:tab w:val="left" w:pos="170"/>
              </w:tabs>
              <w:ind w:left="170" w:right="127"/>
              <w:jc w:val="both"/>
            </w:pPr>
            <w:r w:rsidRPr="00621EF8">
              <w:t>Pašreizējā situācija un problēmas</w:t>
            </w:r>
            <w:r w:rsidR="00651A69" w:rsidRPr="00621EF8">
              <w:t>, kuru risināšanai tiesību akta projekts izstrādāts, tiesiskā regulējuma mērķis un būtība.</w:t>
            </w:r>
          </w:p>
        </w:tc>
        <w:tc>
          <w:tcPr>
            <w:tcW w:w="6190" w:type="dxa"/>
            <w:shd w:val="clear" w:color="auto" w:fill="auto"/>
          </w:tcPr>
          <w:p w:rsidR="00F502EE" w:rsidRPr="00621EF8" w:rsidRDefault="009E0761" w:rsidP="00C2317B">
            <w:pPr>
              <w:pStyle w:val="naiskr"/>
              <w:jc w:val="both"/>
            </w:pPr>
            <w:r w:rsidRPr="00621EF8">
              <w:t>20</w:t>
            </w:r>
            <w:r w:rsidR="00606F32" w:rsidRPr="00621EF8">
              <w:t>05</w:t>
            </w:r>
            <w:r w:rsidRPr="00621EF8">
              <w:t xml:space="preserve">.gada </w:t>
            </w:r>
            <w:r w:rsidR="00606F32" w:rsidRPr="00621EF8">
              <w:t>17.maijā</w:t>
            </w:r>
            <w:r w:rsidRPr="00621EF8">
              <w:t xml:space="preserve"> Ministru kabinets pieņēma noteikumus Nr.</w:t>
            </w:r>
            <w:r w:rsidR="00606F32" w:rsidRPr="00621EF8">
              <w:t>331</w:t>
            </w:r>
            <w:r w:rsidRPr="00621EF8">
              <w:t xml:space="preserve"> „</w:t>
            </w:r>
            <w:r w:rsidR="00606F32" w:rsidRPr="00621EF8">
              <w:t>Noteikumi par apdrošināšanas atlīdzības apmēru un aprēķināšanas kārtību par personai nodarītajiem nemateriālajiem zaudējumiem</w:t>
            </w:r>
            <w:r w:rsidR="00276A92" w:rsidRPr="00621EF8">
              <w:t>", kuros ir noteikti apakšlimiti personai nodarīto nemateriālo zaudējumu atlīdzināšanai</w:t>
            </w:r>
            <w:r w:rsidR="00F502EE" w:rsidRPr="00621EF8">
              <w:t>.</w:t>
            </w:r>
          </w:p>
          <w:p w:rsidR="00651A69" w:rsidRPr="00621EF8" w:rsidRDefault="00606F32" w:rsidP="00C2317B">
            <w:pPr>
              <w:pStyle w:val="naiskr"/>
              <w:jc w:val="both"/>
            </w:pPr>
            <w:r w:rsidRPr="00621EF8">
              <w:rPr>
                <w:iCs/>
              </w:rPr>
              <w:t>Ņemot vērā</w:t>
            </w:r>
            <w:r w:rsidR="009E0761" w:rsidRPr="00621EF8">
              <w:rPr>
                <w:iCs/>
              </w:rPr>
              <w:t xml:space="preserve"> </w:t>
            </w:r>
            <w:r w:rsidR="00F502EE" w:rsidRPr="00621EF8">
              <w:rPr>
                <w:iCs/>
              </w:rPr>
              <w:t>iepriekš minēto</w:t>
            </w:r>
            <w:r w:rsidR="000948A7" w:rsidRPr="00621EF8">
              <w:rPr>
                <w:iCs/>
              </w:rPr>
              <w:t>s</w:t>
            </w:r>
            <w:r w:rsidR="00F502EE" w:rsidRPr="00621EF8">
              <w:rPr>
                <w:iCs/>
              </w:rPr>
              <w:t xml:space="preserve"> </w:t>
            </w:r>
            <w:r w:rsidRPr="00621EF8">
              <w:t>EST spriedumu</w:t>
            </w:r>
            <w:r w:rsidR="000948A7" w:rsidRPr="00621EF8">
              <w:t>s</w:t>
            </w:r>
            <w:r w:rsidR="009E0761" w:rsidRPr="00621EF8">
              <w:rPr>
                <w:iCs/>
              </w:rPr>
              <w:t xml:space="preserve">, </w:t>
            </w:r>
            <w:r w:rsidR="00AB5115" w:rsidRPr="00621EF8">
              <w:rPr>
                <w:bCs/>
                <w:iCs/>
                <w:lang w:eastAsia="en-US"/>
              </w:rPr>
              <w:t>secināms,</w:t>
            </w:r>
            <w:r w:rsidR="00F502EE" w:rsidRPr="00621EF8">
              <w:rPr>
                <w:iCs/>
              </w:rPr>
              <w:t xml:space="preserve"> ka nedrīkst būt noteikti apakšlimiti par personai nodarītajiem nemateriālajiem zaudējumiem, kas ir zemāki par </w:t>
            </w:r>
            <w:r w:rsidR="000948A7" w:rsidRPr="00621EF8">
              <w:t>OCTA likuma 15.panta pirmās daļas 1.punktā noteikto apdrošinātāja atbildības limitu atbilstoši tam</w:t>
            </w:r>
            <w:r w:rsidR="00476601" w:rsidRPr="00621EF8">
              <w:t>,</w:t>
            </w:r>
            <w:r w:rsidR="000948A7" w:rsidRPr="00621EF8">
              <w:t xml:space="preserve"> kā to šobrīd paredz Direktīvas </w:t>
            </w:r>
            <w:hyperlink r:id="rId19" w:tgtFrame="_blank" w:tooltip="DIREKTĪVA" w:history="1">
              <w:r w:rsidR="000948A7" w:rsidRPr="00621EF8">
                <w:rPr>
                  <w:rStyle w:val="Hyperlink"/>
                  <w:i/>
                  <w:color w:val="auto"/>
                  <w:u w:val="none"/>
                </w:rPr>
                <w:t>2009/103/EK</w:t>
              </w:r>
            </w:hyperlink>
            <w:r w:rsidR="000948A7" w:rsidRPr="00621EF8">
              <w:t xml:space="preserve"> 9.panta 1.punkta a) apakšpunkts, kas nosaka obligātās apdrošināšanas minimālo summu, ja nodarīti miesas bojājumi. </w:t>
            </w:r>
          </w:p>
          <w:p w:rsidR="001A02D4" w:rsidRPr="00621EF8" w:rsidRDefault="00AB5115" w:rsidP="001A02D4">
            <w:pPr>
              <w:pStyle w:val="FootnoteText"/>
              <w:jc w:val="both"/>
              <w:rPr>
                <w:sz w:val="24"/>
                <w:szCs w:val="24"/>
              </w:rPr>
            </w:pPr>
            <w:r w:rsidRPr="00621EF8">
              <w:rPr>
                <w:sz w:val="24"/>
                <w:szCs w:val="24"/>
              </w:rPr>
              <w:t xml:space="preserve">Tiesiskā regulējuma mērķis </w:t>
            </w:r>
            <w:r w:rsidR="00651A69" w:rsidRPr="00621EF8">
              <w:rPr>
                <w:sz w:val="24"/>
                <w:szCs w:val="24"/>
              </w:rPr>
              <w:t xml:space="preserve">ir izdot jaunus Ministru kabineta noteikumus par apdrošināšanas atlīdzības apmēru un aprēķināšanas kārtību par personai nodarītajiem nemateriālajiem zaudējumiem atbilstoši OCTA likuma </w:t>
            </w:r>
            <w:r w:rsidR="00651A69" w:rsidRPr="00621EF8">
              <w:rPr>
                <w:sz w:val="24"/>
                <w:szCs w:val="24"/>
              </w:rPr>
              <w:lastRenderedPageBreak/>
              <w:t xml:space="preserve">15.panta </w:t>
            </w:r>
            <w:r w:rsidR="0056114C" w:rsidRPr="00621EF8">
              <w:rPr>
                <w:sz w:val="24"/>
                <w:szCs w:val="24"/>
              </w:rPr>
              <w:t xml:space="preserve">pirmās </w:t>
            </w:r>
            <w:r w:rsidR="00651A69" w:rsidRPr="00621EF8">
              <w:rPr>
                <w:sz w:val="24"/>
                <w:szCs w:val="24"/>
              </w:rPr>
              <w:t>daļa</w:t>
            </w:r>
            <w:r w:rsidR="0056114C" w:rsidRPr="00621EF8">
              <w:rPr>
                <w:sz w:val="24"/>
                <w:szCs w:val="24"/>
              </w:rPr>
              <w:t>s 1.punktam</w:t>
            </w:r>
            <w:r w:rsidR="00651A69" w:rsidRPr="00621EF8">
              <w:rPr>
                <w:sz w:val="24"/>
                <w:szCs w:val="24"/>
              </w:rPr>
              <w:t xml:space="preserve"> un </w:t>
            </w:r>
            <w:r w:rsidR="00651A69" w:rsidRPr="00621EF8">
              <w:rPr>
                <w:bCs/>
                <w:sz w:val="24"/>
                <w:szCs w:val="24"/>
              </w:rPr>
              <w:t xml:space="preserve">iepriekš minētajiem EST spriedumiem. Noteikumu projektā tiek paredzēts, ka noteikumi nosaka </w:t>
            </w:r>
            <w:r w:rsidR="00651A69" w:rsidRPr="00621EF8">
              <w:rPr>
                <w:sz w:val="24"/>
                <w:szCs w:val="24"/>
              </w:rPr>
              <w:t>apdrošināšanas atlīdzības apmēru un aprēķināšanas kārtību sauszemes transportlīdzekļu īpašnieku civiltiesiskās atbildības obligātajā apdrošināšanā par ceļu satiksmes negadīju</w:t>
            </w:r>
            <w:r w:rsidRPr="00621EF8">
              <w:rPr>
                <w:sz w:val="24"/>
                <w:szCs w:val="24"/>
              </w:rPr>
              <w:t>mā personai nodarītajiem nemate</w:t>
            </w:r>
            <w:r w:rsidR="00651A69" w:rsidRPr="00621EF8">
              <w:rPr>
                <w:sz w:val="24"/>
                <w:szCs w:val="24"/>
              </w:rPr>
              <w:t>riālajiem zaudējumiem, nenosakot maksimāli pieļaujamo apdrošināšanas atlīdzības limitu, kā tās ir noteiks spēkā esošajo</w:t>
            </w:r>
            <w:r w:rsidRPr="00621EF8">
              <w:rPr>
                <w:sz w:val="24"/>
                <w:szCs w:val="24"/>
              </w:rPr>
              <w:t xml:space="preserve">s Ministru </w:t>
            </w:r>
            <w:r w:rsidR="00B74260" w:rsidRPr="00621EF8">
              <w:rPr>
                <w:sz w:val="24"/>
                <w:szCs w:val="24"/>
              </w:rPr>
              <w:t>k</w:t>
            </w:r>
            <w:r w:rsidRPr="00621EF8">
              <w:rPr>
                <w:sz w:val="24"/>
                <w:szCs w:val="24"/>
              </w:rPr>
              <w:t>abineta noteikumos,</w:t>
            </w:r>
            <w:r w:rsidR="00651A69" w:rsidRPr="00621EF8">
              <w:rPr>
                <w:sz w:val="24"/>
                <w:szCs w:val="24"/>
              </w:rPr>
              <w:t xml:space="preserve"> bet paredzot iespēju katru gadījumu vērtēt individuāli un arī katrā gadījumā individuāli noteikt apdrošināšanas atlīdzības apmēru.</w:t>
            </w:r>
          </w:p>
          <w:p w:rsidR="00AD2EE5" w:rsidRPr="00621EF8" w:rsidRDefault="00AD2EE5" w:rsidP="001A02D4">
            <w:pPr>
              <w:pStyle w:val="FootnoteText"/>
              <w:jc w:val="both"/>
              <w:rPr>
                <w:sz w:val="24"/>
                <w:szCs w:val="24"/>
              </w:rPr>
            </w:pPr>
          </w:p>
          <w:p w:rsidR="00AD2EE5" w:rsidRPr="00621EF8" w:rsidRDefault="00AD2EE5" w:rsidP="001A02D4">
            <w:pPr>
              <w:pStyle w:val="FootnoteText"/>
              <w:jc w:val="both"/>
              <w:rPr>
                <w:sz w:val="24"/>
                <w:szCs w:val="24"/>
              </w:rPr>
            </w:pPr>
            <w:r w:rsidRPr="00621EF8">
              <w:rPr>
                <w:sz w:val="24"/>
              </w:rPr>
              <w:t xml:space="preserve">Noteikumu projektā tiek paredzēts, ka ar noteikumu spēkā stāšanos tiks atzīti par spēku zaudējušiem Ministru kabineta 2005.gada 17.maija noteikumi Nr.331 "Noteikumi par apdrošināšanas atlīdzības apmēru un aprēķināšanas kārtību par personai </w:t>
            </w:r>
            <w:r w:rsidRPr="00621EF8">
              <w:rPr>
                <w:sz w:val="24"/>
                <w:szCs w:val="24"/>
              </w:rPr>
              <w:t xml:space="preserve">nodarītajiem </w:t>
            </w:r>
            <w:r w:rsidR="00CA05D9" w:rsidRPr="00621EF8">
              <w:rPr>
                <w:sz w:val="24"/>
                <w:szCs w:val="24"/>
              </w:rPr>
              <w:t xml:space="preserve">nemateriālajiem </w:t>
            </w:r>
            <w:r w:rsidRPr="00621EF8">
              <w:rPr>
                <w:sz w:val="24"/>
                <w:szCs w:val="24"/>
              </w:rPr>
              <w:t>zaudējumiem" (Latvijas Vēstnesis, 2005, 80.nr.</w:t>
            </w:r>
            <w:r w:rsidR="00CA05D9" w:rsidRPr="00621EF8">
              <w:rPr>
                <w:sz w:val="24"/>
                <w:szCs w:val="24"/>
              </w:rPr>
              <w:t>, 2013., 189.nr.</w:t>
            </w:r>
            <w:r w:rsidRPr="00621EF8">
              <w:rPr>
                <w:sz w:val="24"/>
                <w:szCs w:val="24"/>
              </w:rPr>
              <w:t>).</w:t>
            </w:r>
          </w:p>
          <w:p w:rsidR="00A73674" w:rsidRPr="00621EF8" w:rsidRDefault="00A73674" w:rsidP="00C2317B">
            <w:pPr>
              <w:pStyle w:val="FootnoteText"/>
              <w:ind w:right="127"/>
              <w:jc w:val="both"/>
              <w:rPr>
                <w:iCs/>
                <w:sz w:val="24"/>
                <w:szCs w:val="24"/>
              </w:rPr>
            </w:pPr>
          </w:p>
        </w:tc>
      </w:tr>
      <w:tr w:rsidR="004A203F" w:rsidRPr="00621EF8" w:rsidTr="00510C10">
        <w:trPr>
          <w:trHeight w:val="476"/>
        </w:trPr>
        <w:tc>
          <w:tcPr>
            <w:tcW w:w="495" w:type="dxa"/>
            <w:shd w:val="clear" w:color="auto" w:fill="auto"/>
          </w:tcPr>
          <w:p w:rsidR="004A203F" w:rsidRPr="00621EF8" w:rsidRDefault="006B377E" w:rsidP="000F0F4F">
            <w:pPr>
              <w:pStyle w:val="naiskr"/>
              <w:ind w:left="-142" w:firstLine="142"/>
              <w:jc w:val="center"/>
            </w:pPr>
            <w:r w:rsidRPr="00621EF8">
              <w:lastRenderedPageBreak/>
              <w:t>3</w:t>
            </w:r>
            <w:r w:rsidR="004A203F" w:rsidRPr="00621EF8">
              <w:t>.</w:t>
            </w:r>
          </w:p>
        </w:tc>
        <w:tc>
          <w:tcPr>
            <w:tcW w:w="2779" w:type="dxa"/>
            <w:shd w:val="clear" w:color="auto" w:fill="auto"/>
          </w:tcPr>
          <w:p w:rsidR="004A203F" w:rsidRPr="00621EF8" w:rsidRDefault="004A203F" w:rsidP="000F0F4F">
            <w:pPr>
              <w:pStyle w:val="naiskr"/>
              <w:ind w:left="170" w:right="127"/>
              <w:jc w:val="both"/>
            </w:pPr>
            <w:r w:rsidRPr="00621EF8">
              <w:t>Projekta izstrādē iesaistītās institūcijas</w:t>
            </w:r>
          </w:p>
        </w:tc>
        <w:tc>
          <w:tcPr>
            <w:tcW w:w="6190" w:type="dxa"/>
            <w:shd w:val="clear" w:color="auto" w:fill="auto"/>
          </w:tcPr>
          <w:p w:rsidR="00983259" w:rsidRPr="00621EF8" w:rsidRDefault="00606F32" w:rsidP="00C2317B">
            <w:pPr>
              <w:pStyle w:val="naiskr"/>
              <w:jc w:val="both"/>
              <w:rPr>
                <w:bCs/>
              </w:rPr>
            </w:pPr>
            <w:r w:rsidRPr="00621EF8">
              <w:t xml:space="preserve">Finanšu ministrija, </w:t>
            </w:r>
            <w:r w:rsidR="006F5061" w:rsidRPr="00621EF8">
              <w:t xml:space="preserve">Tieslietu ministrija, </w:t>
            </w:r>
            <w:r w:rsidR="00F36A48" w:rsidRPr="00621EF8">
              <w:t xml:space="preserve">Transportlīdzekļu apdrošinātāju birojs </w:t>
            </w:r>
            <w:r w:rsidR="004A3A5C" w:rsidRPr="00621EF8">
              <w:t xml:space="preserve"> un tās biedri – apdrošinātāji, kuriem ir tiesības veikt </w:t>
            </w:r>
            <w:r w:rsidR="004A3A5C" w:rsidRPr="00621EF8">
              <w:rPr>
                <w:bCs/>
              </w:rPr>
              <w:t xml:space="preserve">sauszemes transportlīdzekļu īpašnieku civiltiesiskās atbildības obligāto apdrošināšanu. </w:t>
            </w:r>
          </w:p>
          <w:p w:rsidR="004A203F" w:rsidRPr="00621EF8" w:rsidRDefault="00983259" w:rsidP="00C2317B">
            <w:pPr>
              <w:pStyle w:val="naiskr"/>
              <w:jc w:val="both"/>
            </w:pPr>
            <w:r w:rsidRPr="00621EF8">
              <w:t xml:space="preserve">Transportlīdzekļu apdrošinātāju biroja </w:t>
            </w:r>
            <w:r w:rsidRPr="00621EF8">
              <w:rPr>
                <w:iCs/>
              </w:rPr>
              <w:t>Konsultatīvās padomes, kas izveidota saskaņā ar OCTA likuma 49.panta pirmo daļu, 2014.gada 5.februāra sēdē Konsultatīvās padomes locekļi ir iepazīstināti ar to, ka nepieciešamas izmaiņas spēkā esošajā tiesiskajā regulējumā par personai nodarīto nemateriālo zaudējumu atlīdzināšanu.</w:t>
            </w:r>
          </w:p>
        </w:tc>
      </w:tr>
      <w:tr w:rsidR="00AB5115" w:rsidRPr="00621EF8" w:rsidTr="00510C10">
        <w:trPr>
          <w:trHeight w:val="476"/>
        </w:trPr>
        <w:tc>
          <w:tcPr>
            <w:tcW w:w="495" w:type="dxa"/>
            <w:shd w:val="clear" w:color="auto" w:fill="auto"/>
          </w:tcPr>
          <w:p w:rsidR="00AB5115" w:rsidRPr="00621EF8" w:rsidRDefault="00AB5115" w:rsidP="000F0F4F">
            <w:pPr>
              <w:pStyle w:val="naiskr"/>
              <w:ind w:left="-142" w:firstLine="142"/>
              <w:jc w:val="center"/>
            </w:pPr>
            <w:r w:rsidRPr="00621EF8">
              <w:t>4.</w:t>
            </w:r>
          </w:p>
        </w:tc>
        <w:tc>
          <w:tcPr>
            <w:tcW w:w="2779" w:type="dxa"/>
            <w:shd w:val="clear" w:color="auto" w:fill="auto"/>
          </w:tcPr>
          <w:p w:rsidR="00AB5115" w:rsidRPr="00621EF8" w:rsidRDefault="00AB5115" w:rsidP="000F0F4F">
            <w:pPr>
              <w:pStyle w:val="naiskr"/>
              <w:ind w:left="170" w:right="127"/>
              <w:jc w:val="both"/>
            </w:pPr>
            <w:r w:rsidRPr="00621EF8">
              <w:t>Cita informācija</w:t>
            </w:r>
          </w:p>
        </w:tc>
        <w:tc>
          <w:tcPr>
            <w:tcW w:w="6190" w:type="dxa"/>
            <w:shd w:val="clear" w:color="auto" w:fill="auto"/>
          </w:tcPr>
          <w:p w:rsidR="00C2317B" w:rsidRPr="00621EF8" w:rsidRDefault="00C2317B" w:rsidP="00C2317B">
            <w:pPr>
              <w:pStyle w:val="naisf"/>
              <w:spacing w:before="0" w:after="0"/>
              <w:ind w:firstLine="0"/>
            </w:pPr>
            <w:r w:rsidRPr="00621EF8">
              <w:t>Personas, kurām ir tiesības pretendēt uz apdrošināšanas atlīdzību par personai nodarītajiem nemateriālajiem zaudējumiem</w:t>
            </w:r>
            <w:r w:rsidR="00E965E1" w:rsidRPr="00621EF8">
              <w:t>,</w:t>
            </w:r>
            <w:r w:rsidRPr="00621EF8">
              <w:t xml:space="preserve"> izriet no OCTA likuma 1.panta 8.punkta (jēdziena „cietusī persona” definīcijas) un 1.panta 15.punkta (jēdziena „trešā persona” definīcijas), to skatot sistēmiski ar OCTA likuma 19.panta otro daļu, kur noteikti personai nodarīto nemateriālo zaudējumu veidi. </w:t>
            </w:r>
          </w:p>
          <w:p w:rsidR="00C2317B" w:rsidRPr="00621EF8" w:rsidRDefault="00C2317B" w:rsidP="00C2317B">
            <w:pPr>
              <w:pStyle w:val="naisf"/>
              <w:spacing w:before="0" w:after="0"/>
              <w:ind w:firstLine="0"/>
            </w:pPr>
            <w:r w:rsidRPr="00621EF8">
              <w:t>OCTA likuma 19.panta otrā daļa paredz, ka ceļu satiksmes negadījumā personai nodarītie nemateriālie zaudējumi ir zaudējumi, kas saistīti ar sāpēm un garīgām ciešanām sakarā ar:</w:t>
            </w:r>
          </w:p>
          <w:p w:rsidR="00C2317B" w:rsidRPr="00621EF8" w:rsidRDefault="00C2317B" w:rsidP="00C2317B">
            <w:pPr>
              <w:ind w:firstLine="720"/>
              <w:jc w:val="both"/>
            </w:pPr>
            <w:r w:rsidRPr="00621EF8">
              <w:t>1) cietušās personas fizisku traumu;</w:t>
            </w:r>
          </w:p>
          <w:p w:rsidR="00C2317B" w:rsidRPr="00621EF8" w:rsidRDefault="0029506B" w:rsidP="00C2317B">
            <w:pPr>
              <w:ind w:firstLine="720"/>
              <w:jc w:val="both"/>
            </w:pPr>
            <w:r w:rsidRPr="00621EF8">
              <w:t>2)</w:t>
            </w:r>
            <w:r w:rsidR="00C2317B" w:rsidRPr="00621EF8">
              <w:t xml:space="preserve"> cietušās personas sakropļojumu, invaliditāti;</w:t>
            </w:r>
          </w:p>
          <w:p w:rsidR="0029506B" w:rsidRPr="00621EF8" w:rsidRDefault="00C2317B" w:rsidP="0029506B">
            <w:pPr>
              <w:ind w:firstLine="720"/>
              <w:jc w:val="both"/>
            </w:pPr>
            <w:r w:rsidRPr="00621EF8">
              <w:t>3) apgādnieka, apgādājamā vai laulātā nāvi;</w:t>
            </w:r>
          </w:p>
          <w:p w:rsidR="00AB5115" w:rsidRPr="00621EF8" w:rsidRDefault="00C2317B" w:rsidP="0029506B">
            <w:pPr>
              <w:ind w:firstLine="720"/>
              <w:jc w:val="both"/>
            </w:pPr>
            <w:r w:rsidRPr="00621EF8">
              <w:t>4) apgādnieka, apgādājamā vai laulātā 1.grupas invaliditāti.</w:t>
            </w:r>
          </w:p>
          <w:p w:rsidR="003C3847" w:rsidRPr="00621EF8" w:rsidRDefault="003C3847" w:rsidP="003C3847">
            <w:pPr>
              <w:pStyle w:val="ListParagraph"/>
              <w:spacing w:after="0" w:line="240" w:lineRule="auto"/>
              <w:ind w:left="0"/>
              <w:jc w:val="both"/>
              <w:rPr>
                <w:rFonts w:ascii="Times New Roman" w:eastAsia="Times New Roman" w:hAnsi="Times New Roman"/>
                <w:sz w:val="24"/>
                <w:szCs w:val="24"/>
              </w:rPr>
            </w:pPr>
            <w:r w:rsidRPr="00621EF8">
              <w:rPr>
                <w:rFonts w:ascii="Times New Roman" w:eastAsia="Times New Roman" w:hAnsi="Times New Roman"/>
                <w:sz w:val="24"/>
                <w:szCs w:val="24"/>
              </w:rPr>
              <w:t>Atbilstoši OCTA likuma 23.panta sestajai daļai a</w:t>
            </w:r>
            <w:r w:rsidRPr="00621EF8">
              <w:rPr>
                <w:rFonts w:ascii="Times New Roman" w:hAnsi="Times New Roman"/>
                <w:sz w:val="24"/>
                <w:szCs w:val="24"/>
              </w:rPr>
              <w:t xml:space="preserve">pdrošināšanas atlīdzību par zaudējumiem sakarā ar cietušās personas nāvi izmaksā, ja cietušās personas nāve iestājusies gada laikā pēc ceļu satiksmes negadījuma un tiesu medicīnas eksperts vai ārstniecības iestāde apliecina, ka cietušās personas nāve </w:t>
            </w:r>
            <w:r w:rsidRPr="00621EF8">
              <w:rPr>
                <w:rFonts w:ascii="Times New Roman" w:hAnsi="Times New Roman"/>
                <w:sz w:val="24"/>
                <w:szCs w:val="24"/>
              </w:rPr>
              <w:lastRenderedPageBreak/>
              <w:t xml:space="preserve">cēloniski saistīta ar attiecīgo negadījumu. Līdz ar to šī norma attiecināma arī uz noteikumu projektā minētajiem gadījumiem, kad iestājusies </w:t>
            </w:r>
            <w:r w:rsidR="00C26698" w:rsidRPr="00621EF8">
              <w:rPr>
                <w:rFonts w:ascii="Times New Roman" w:eastAsia="Times New Roman" w:hAnsi="Times New Roman"/>
                <w:sz w:val="24"/>
                <w:szCs w:val="24"/>
              </w:rPr>
              <w:t>apgādnieka, apgādājamā vai laulātā nāve.</w:t>
            </w:r>
          </w:p>
          <w:p w:rsidR="007B2A14" w:rsidRPr="00621EF8" w:rsidRDefault="001A4B71" w:rsidP="007B2A14">
            <w:pPr>
              <w:pStyle w:val="ListParagraph"/>
              <w:spacing w:after="0" w:line="240" w:lineRule="auto"/>
              <w:ind w:left="0"/>
              <w:jc w:val="both"/>
              <w:rPr>
                <w:rFonts w:ascii="Times New Roman" w:hAnsi="Times New Roman"/>
                <w:sz w:val="24"/>
                <w:szCs w:val="24"/>
              </w:rPr>
            </w:pPr>
            <w:r w:rsidRPr="00621EF8">
              <w:rPr>
                <w:rFonts w:ascii="Times New Roman" w:eastAsia="Times New Roman" w:hAnsi="Times New Roman"/>
                <w:sz w:val="24"/>
                <w:szCs w:val="24"/>
              </w:rPr>
              <w:t>Atkarībā no konkrētās situācijas un ņemot vērā, piemēram, apstākli, vai mirusī persona ir bijusi nodarbināta, izziņu par mirušā apgādībā bi</w:t>
            </w:r>
            <w:r w:rsidR="0029506B" w:rsidRPr="00621EF8">
              <w:rPr>
                <w:rFonts w:ascii="Times New Roman" w:eastAsia="Times New Roman" w:hAnsi="Times New Roman"/>
                <w:sz w:val="24"/>
                <w:szCs w:val="24"/>
              </w:rPr>
              <w:t xml:space="preserve">jušajām personām </w:t>
            </w:r>
            <w:r w:rsidR="00A378B4" w:rsidRPr="00621EF8">
              <w:rPr>
                <w:rFonts w:ascii="Times New Roman" w:eastAsia="Times New Roman" w:hAnsi="Times New Roman"/>
                <w:sz w:val="24"/>
                <w:szCs w:val="24"/>
              </w:rPr>
              <w:t xml:space="preserve">apdrošināšanas atlīdzības pieprasītājs </w:t>
            </w:r>
            <w:r w:rsidR="0029506B" w:rsidRPr="00621EF8">
              <w:rPr>
                <w:rFonts w:ascii="Times New Roman" w:eastAsia="Times New Roman" w:hAnsi="Times New Roman"/>
                <w:sz w:val="24"/>
                <w:szCs w:val="24"/>
              </w:rPr>
              <w:t xml:space="preserve">var pieprasīt </w:t>
            </w:r>
            <w:r w:rsidRPr="00621EF8">
              <w:rPr>
                <w:rFonts w:ascii="Times New Roman" w:eastAsia="Times New Roman" w:hAnsi="Times New Roman"/>
                <w:sz w:val="24"/>
                <w:szCs w:val="24"/>
              </w:rPr>
              <w:t xml:space="preserve">Valsts ieņēmumu dienestam. </w:t>
            </w:r>
            <w:r w:rsidR="007B2A14" w:rsidRPr="00621EF8">
              <w:rPr>
                <w:rFonts w:ascii="Times New Roman" w:eastAsia="Times New Roman" w:hAnsi="Times New Roman"/>
                <w:sz w:val="24"/>
                <w:szCs w:val="24"/>
              </w:rPr>
              <w:t xml:space="preserve">Savukārt dokuments par to, kā aizgādībā bērns atradās, apdrošinātājam vai </w:t>
            </w:r>
            <w:r w:rsidR="007B2A14" w:rsidRPr="00621EF8">
              <w:rPr>
                <w:rFonts w:ascii="Times New Roman" w:hAnsi="Times New Roman"/>
                <w:sz w:val="24"/>
                <w:szCs w:val="24"/>
              </w:rPr>
              <w:t xml:space="preserve">Transportlīdzekļu apdrošinātāju birojam varētu būt nepieciešams tikai </w:t>
            </w:r>
            <w:r w:rsidR="008A1FCE" w:rsidRPr="00621EF8">
              <w:rPr>
                <w:rFonts w:ascii="Times New Roman" w:hAnsi="Times New Roman"/>
                <w:sz w:val="24"/>
                <w:szCs w:val="24"/>
              </w:rPr>
              <w:t xml:space="preserve">ļoti retos </w:t>
            </w:r>
            <w:r w:rsidR="007B2A14" w:rsidRPr="00621EF8">
              <w:rPr>
                <w:rFonts w:ascii="Times New Roman" w:hAnsi="Times New Roman"/>
                <w:sz w:val="24"/>
                <w:szCs w:val="24"/>
              </w:rPr>
              <w:t xml:space="preserve">gadījumos, kad </w:t>
            </w:r>
            <w:r w:rsidR="007B2A14" w:rsidRPr="00621EF8">
              <w:rPr>
                <w:rFonts w:ascii="Times New Roman" w:eastAsia="Times New Roman" w:hAnsi="Times New Roman"/>
                <w:sz w:val="24"/>
                <w:szCs w:val="24"/>
              </w:rPr>
              <w:t xml:space="preserve"> apdrošinātājs vai </w:t>
            </w:r>
            <w:r w:rsidR="007B2A14" w:rsidRPr="00621EF8">
              <w:rPr>
                <w:rFonts w:ascii="Times New Roman" w:hAnsi="Times New Roman"/>
                <w:sz w:val="24"/>
                <w:szCs w:val="24"/>
              </w:rPr>
              <w:t xml:space="preserve">Transportlīdzekļu apdrošinātāju birojs no atlīdzību lietā esošajiem dokumentiem konstatē, ka bērns varētu būt tikai viena vecāka aizgādībā. Līdz ar to šajos īpašajos gadījumos </w:t>
            </w:r>
            <w:r w:rsidR="007B2A14" w:rsidRPr="00621EF8">
              <w:rPr>
                <w:rFonts w:ascii="Times New Roman" w:eastAsia="Times New Roman" w:hAnsi="Times New Roman"/>
                <w:sz w:val="24"/>
                <w:szCs w:val="24"/>
              </w:rPr>
              <w:t>apdrošinātāj</w:t>
            </w:r>
            <w:r w:rsidR="008A1FCE" w:rsidRPr="00621EF8">
              <w:rPr>
                <w:rFonts w:ascii="Times New Roman" w:eastAsia="Times New Roman" w:hAnsi="Times New Roman"/>
                <w:sz w:val="24"/>
                <w:szCs w:val="24"/>
              </w:rPr>
              <w:t>am</w:t>
            </w:r>
            <w:r w:rsidR="007B2A14" w:rsidRPr="00621EF8">
              <w:rPr>
                <w:rFonts w:ascii="Times New Roman" w:eastAsia="Times New Roman" w:hAnsi="Times New Roman"/>
                <w:sz w:val="24"/>
                <w:szCs w:val="24"/>
              </w:rPr>
              <w:t xml:space="preserve"> vai </w:t>
            </w:r>
            <w:r w:rsidR="007B2A14" w:rsidRPr="00621EF8">
              <w:rPr>
                <w:rFonts w:ascii="Times New Roman" w:hAnsi="Times New Roman"/>
                <w:sz w:val="24"/>
                <w:szCs w:val="24"/>
              </w:rPr>
              <w:t>Transportlīdzekļu apdrošinātāju biroj</w:t>
            </w:r>
            <w:r w:rsidR="008A1FCE" w:rsidRPr="00621EF8">
              <w:rPr>
                <w:rFonts w:ascii="Times New Roman" w:hAnsi="Times New Roman"/>
                <w:sz w:val="24"/>
                <w:szCs w:val="24"/>
              </w:rPr>
              <w:t xml:space="preserve">am būtu nepieciešams saņemt informāciju par to, kā aizgādībā bērns atradās, bet atbilstoši spēkā esošajam tiesiskajam regulējumam ne apdrošinātājs, ne Transportlīdzekļu apdrošinātāju birojs šādu informāciju pieprasīt nevar.  Līdz ar to šī informācija būs jāsniedz pašai  personai, kura pretendē uz apdrošināšanas atlīdzību, t.i., </w:t>
            </w:r>
            <w:r w:rsidR="007B2A14" w:rsidRPr="00621EF8">
              <w:rPr>
                <w:rFonts w:ascii="Times New Roman" w:hAnsi="Times New Roman"/>
                <w:sz w:val="24"/>
                <w:szCs w:val="24"/>
              </w:rPr>
              <w:t>dokumentu (izziņu), kas pamato to, k</w:t>
            </w:r>
            <w:r w:rsidR="0038545E" w:rsidRPr="00621EF8">
              <w:rPr>
                <w:rFonts w:ascii="Times New Roman" w:hAnsi="Times New Roman"/>
                <w:sz w:val="24"/>
                <w:szCs w:val="24"/>
              </w:rPr>
              <w:t>ā</w:t>
            </w:r>
            <w:r w:rsidR="0029506B" w:rsidRPr="00621EF8">
              <w:rPr>
                <w:rFonts w:ascii="Times New Roman" w:hAnsi="Times New Roman"/>
                <w:sz w:val="24"/>
                <w:szCs w:val="24"/>
              </w:rPr>
              <w:t xml:space="preserve"> aizgādībā bērns atradās, piepras</w:t>
            </w:r>
            <w:r w:rsidR="008A1FCE" w:rsidRPr="00621EF8">
              <w:rPr>
                <w:rFonts w:ascii="Times New Roman" w:hAnsi="Times New Roman"/>
                <w:sz w:val="24"/>
                <w:szCs w:val="24"/>
              </w:rPr>
              <w:t xml:space="preserve">ot </w:t>
            </w:r>
            <w:r w:rsidR="007B2A14" w:rsidRPr="00621EF8">
              <w:rPr>
                <w:rFonts w:ascii="Times New Roman" w:eastAsia="Times New Roman" w:hAnsi="Times New Roman"/>
                <w:sz w:val="24"/>
                <w:szCs w:val="24"/>
              </w:rPr>
              <w:t xml:space="preserve">bāriņtiesā. </w:t>
            </w:r>
          </w:p>
          <w:p w:rsidR="00F54B78" w:rsidRPr="00621EF8" w:rsidRDefault="00F54B78" w:rsidP="007B2A14">
            <w:pPr>
              <w:pStyle w:val="ListParagraph"/>
              <w:spacing w:after="0" w:line="240" w:lineRule="auto"/>
              <w:ind w:left="0"/>
              <w:jc w:val="both"/>
              <w:rPr>
                <w:rFonts w:ascii="Times New Roman" w:hAnsi="Times New Roman"/>
                <w:sz w:val="24"/>
                <w:szCs w:val="24"/>
              </w:rPr>
            </w:pPr>
            <w:r w:rsidRPr="00621EF8">
              <w:rPr>
                <w:rFonts w:ascii="Times New Roman" w:eastAsia="Times New Roman" w:hAnsi="Times New Roman"/>
                <w:sz w:val="24"/>
                <w:szCs w:val="24"/>
              </w:rPr>
              <w:t>OCTA likuma 31.pantā ir regulēts jautājums par zaudējumu atlīdzināšanu un tai skaitā šajā pantā ir minēts, ka jāņem vērā arī tas, vai par zaudējumu nodarīšanu vai to apmēra palielināšanu ir atbildīga pati ceļu satiksmes negadījumā iesaistītā persona</w:t>
            </w:r>
            <w:r w:rsidR="0029506B" w:rsidRPr="00621EF8">
              <w:rPr>
                <w:rFonts w:ascii="Times New Roman" w:eastAsia="Times New Roman" w:hAnsi="Times New Roman"/>
                <w:sz w:val="24"/>
                <w:szCs w:val="24"/>
              </w:rPr>
              <w:t>. Piemēram</w:t>
            </w:r>
            <w:r w:rsidR="002E5085" w:rsidRPr="00621EF8">
              <w:rPr>
                <w:rFonts w:ascii="Times New Roman" w:eastAsia="Times New Roman" w:hAnsi="Times New Roman"/>
                <w:sz w:val="24"/>
                <w:szCs w:val="24"/>
              </w:rPr>
              <w:t>, braukšana bez drošības jostas lietošanas, ja var konstatēt cēloņsakarīb</w:t>
            </w:r>
            <w:r w:rsidR="0029506B" w:rsidRPr="00621EF8">
              <w:rPr>
                <w:rFonts w:ascii="Times New Roman" w:eastAsia="Times New Roman" w:hAnsi="Times New Roman"/>
                <w:sz w:val="24"/>
                <w:szCs w:val="24"/>
              </w:rPr>
              <w:t xml:space="preserve">u starp nodarītiem zaudējumiem </w:t>
            </w:r>
            <w:r w:rsidR="002E5085" w:rsidRPr="00621EF8">
              <w:rPr>
                <w:rFonts w:ascii="Times New Roman" w:eastAsia="Times New Roman" w:hAnsi="Times New Roman"/>
                <w:sz w:val="24"/>
                <w:szCs w:val="24"/>
              </w:rPr>
              <w:t xml:space="preserve">un </w:t>
            </w:r>
            <w:r w:rsidR="00E965E1" w:rsidRPr="00621EF8">
              <w:rPr>
                <w:rFonts w:ascii="Times New Roman" w:eastAsia="Times New Roman" w:hAnsi="Times New Roman"/>
                <w:sz w:val="24"/>
                <w:szCs w:val="24"/>
              </w:rPr>
              <w:t xml:space="preserve"> drošības jostas nelietošanu</w:t>
            </w:r>
            <w:r w:rsidR="002E5085" w:rsidRPr="00621EF8">
              <w:rPr>
                <w:rFonts w:ascii="Times New Roman" w:eastAsia="Times New Roman" w:hAnsi="Times New Roman"/>
                <w:sz w:val="24"/>
                <w:szCs w:val="24"/>
              </w:rPr>
              <w:t xml:space="preserve">, </w:t>
            </w:r>
            <w:r w:rsidR="00F54A28" w:rsidRPr="00621EF8">
              <w:rPr>
                <w:rFonts w:ascii="Times New Roman" w:eastAsia="Times New Roman" w:hAnsi="Times New Roman"/>
                <w:sz w:val="24"/>
                <w:szCs w:val="24"/>
              </w:rPr>
              <w:t>ir</w:t>
            </w:r>
            <w:r w:rsidR="002E5085" w:rsidRPr="00621EF8">
              <w:rPr>
                <w:rFonts w:ascii="Times New Roman" w:eastAsia="Times New Roman" w:hAnsi="Times New Roman"/>
                <w:sz w:val="24"/>
                <w:szCs w:val="24"/>
              </w:rPr>
              <w:t xml:space="preserve"> apdrošināšanas atlīdzīb</w:t>
            </w:r>
            <w:r w:rsidR="00F54A28" w:rsidRPr="00621EF8">
              <w:rPr>
                <w:rFonts w:ascii="Times New Roman" w:eastAsia="Times New Roman" w:hAnsi="Times New Roman"/>
                <w:sz w:val="24"/>
                <w:szCs w:val="24"/>
              </w:rPr>
              <w:t>as apmēru</w:t>
            </w:r>
            <w:r w:rsidR="002E5085" w:rsidRPr="00621EF8">
              <w:rPr>
                <w:rFonts w:ascii="Times New Roman" w:eastAsia="Times New Roman" w:hAnsi="Times New Roman"/>
                <w:sz w:val="24"/>
                <w:szCs w:val="24"/>
              </w:rPr>
              <w:t xml:space="preserve"> pazeminošs faktors</w:t>
            </w:r>
            <w:r w:rsidR="00047629" w:rsidRPr="00621EF8">
              <w:rPr>
                <w:rFonts w:ascii="Times New Roman" w:eastAsia="Times New Roman" w:hAnsi="Times New Roman"/>
                <w:sz w:val="24"/>
                <w:szCs w:val="24"/>
              </w:rPr>
              <w:t xml:space="preserve">, </w:t>
            </w:r>
            <w:r w:rsidR="00F54A28" w:rsidRPr="00621EF8">
              <w:rPr>
                <w:rFonts w:ascii="Times New Roman" w:eastAsia="Times New Roman" w:hAnsi="Times New Roman"/>
                <w:sz w:val="24"/>
                <w:szCs w:val="24"/>
              </w:rPr>
              <w:t xml:space="preserve">tāpat arī </w:t>
            </w:r>
            <w:r w:rsidR="00047629" w:rsidRPr="00621EF8">
              <w:rPr>
                <w:rFonts w:ascii="Times New Roman" w:eastAsia="Times New Roman" w:hAnsi="Times New Roman"/>
                <w:sz w:val="24"/>
                <w:szCs w:val="24"/>
              </w:rPr>
              <w:t>OCTA likuma 31.pa</w:t>
            </w:r>
            <w:r w:rsidR="00F54A28" w:rsidRPr="00621EF8">
              <w:rPr>
                <w:rFonts w:ascii="Times New Roman" w:eastAsia="Times New Roman" w:hAnsi="Times New Roman"/>
                <w:sz w:val="24"/>
                <w:szCs w:val="24"/>
              </w:rPr>
              <w:t>n</w:t>
            </w:r>
            <w:r w:rsidR="00047629" w:rsidRPr="00621EF8">
              <w:rPr>
                <w:rFonts w:ascii="Times New Roman" w:eastAsia="Times New Roman" w:hAnsi="Times New Roman"/>
                <w:sz w:val="24"/>
                <w:szCs w:val="24"/>
              </w:rPr>
              <w:t>ta vienpadsmitajā daļā minētais gadījums – ja cietusī persona (transportlīdzekļa pasažieris) zināja vai tai būtu vajadzējis zināt, ka transportlīdzekļa vadītājs ceļu satiksmes negadījuma brīdī bijis alkohola vai citas apreibinošas vielas reibumā.</w:t>
            </w:r>
          </w:p>
        </w:tc>
      </w:tr>
    </w:tbl>
    <w:p w:rsidR="0029506B" w:rsidRPr="00340CAA" w:rsidRDefault="0029506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
        <w:gridCol w:w="2779"/>
        <w:gridCol w:w="6354"/>
      </w:tblGrid>
      <w:tr w:rsidR="0029506B" w:rsidRPr="00621EF8" w:rsidTr="000B4EEE">
        <w:trPr>
          <w:trHeight w:val="476"/>
        </w:trPr>
        <w:tc>
          <w:tcPr>
            <w:tcW w:w="9628" w:type="dxa"/>
            <w:gridSpan w:val="3"/>
            <w:shd w:val="clear" w:color="auto" w:fill="auto"/>
          </w:tcPr>
          <w:p w:rsidR="0029506B" w:rsidRPr="00621EF8" w:rsidRDefault="0029506B" w:rsidP="0029506B">
            <w:pPr>
              <w:pStyle w:val="naisf"/>
              <w:spacing w:before="0" w:after="0"/>
              <w:ind w:firstLine="0"/>
              <w:jc w:val="center"/>
              <w:rPr>
                <w:b/>
              </w:rPr>
            </w:pPr>
            <w:r w:rsidRPr="00621EF8">
              <w:rPr>
                <w:b/>
              </w:rPr>
              <w:t>II. Tiesību akta projekta ietekme uz sabiedrību, tautsaimniecības attīstību un administratīvo slogu</w:t>
            </w:r>
          </w:p>
        </w:tc>
      </w:tr>
      <w:tr w:rsidR="0029506B" w:rsidRPr="00621EF8" w:rsidTr="0029506B">
        <w:trPr>
          <w:trHeight w:val="476"/>
        </w:trPr>
        <w:tc>
          <w:tcPr>
            <w:tcW w:w="495" w:type="dxa"/>
            <w:tcBorders>
              <w:top w:val="single" w:sz="4" w:space="0" w:color="auto"/>
              <w:left w:val="single" w:sz="4" w:space="0" w:color="auto"/>
              <w:bottom w:val="single" w:sz="4" w:space="0" w:color="auto"/>
              <w:right w:val="single" w:sz="4" w:space="0" w:color="auto"/>
            </w:tcBorders>
            <w:shd w:val="clear" w:color="auto" w:fill="auto"/>
          </w:tcPr>
          <w:p w:rsidR="0029506B" w:rsidRPr="00621EF8" w:rsidRDefault="0029506B" w:rsidP="0029506B">
            <w:pPr>
              <w:pStyle w:val="naiskr"/>
              <w:ind w:left="-142" w:firstLine="142"/>
              <w:jc w:val="center"/>
            </w:pPr>
            <w:r w:rsidRPr="00621EF8">
              <w:t>1.</w:t>
            </w:r>
          </w:p>
        </w:tc>
        <w:tc>
          <w:tcPr>
            <w:tcW w:w="2779" w:type="dxa"/>
            <w:tcBorders>
              <w:top w:val="single" w:sz="4" w:space="0" w:color="auto"/>
              <w:left w:val="single" w:sz="4" w:space="0" w:color="auto"/>
              <w:bottom w:val="single" w:sz="4" w:space="0" w:color="auto"/>
              <w:right w:val="single" w:sz="4" w:space="0" w:color="auto"/>
            </w:tcBorders>
            <w:shd w:val="clear" w:color="auto" w:fill="auto"/>
          </w:tcPr>
          <w:p w:rsidR="0029506B" w:rsidRPr="00621EF8" w:rsidRDefault="0029506B" w:rsidP="0029506B">
            <w:pPr>
              <w:pStyle w:val="naiskr"/>
              <w:ind w:left="170" w:right="127"/>
              <w:jc w:val="both"/>
            </w:pPr>
            <w:r w:rsidRPr="00621EF8">
              <w:t>Sabiedrības mērķgrupas, kuras tiesiskais regulējums ietekmē vai varētu ietekmēt</w:t>
            </w:r>
          </w:p>
        </w:tc>
        <w:tc>
          <w:tcPr>
            <w:tcW w:w="6354" w:type="dxa"/>
            <w:tcBorders>
              <w:top w:val="single" w:sz="4" w:space="0" w:color="auto"/>
              <w:left w:val="single" w:sz="4" w:space="0" w:color="auto"/>
              <w:bottom w:val="single" w:sz="4" w:space="0" w:color="auto"/>
              <w:right w:val="single" w:sz="4" w:space="0" w:color="auto"/>
            </w:tcBorders>
            <w:shd w:val="clear" w:color="auto" w:fill="auto"/>
          </w:tcPr>
          <w:p w:rsidR="0029506B" w:rsidRPr="00621EF8" w:rsidRDefault="0029506B" w:rsidP="0029506B">
            <w:pPr>
              <w:pStyle w:val="naisf"/>
              <w:spacing w:before="0" w:after="0"/>
              <w:ind w:firstLine="0"/>
            </w:pPr>
            <w:r w:rsidRPr="00621EF8">
              <w:t>Noteikumu projekta tiesiskais regulējums attiecas uz:</w:t>
            </w:r>
          </w:p>
          <w:p w:rsidR="0029506B" w:rsidRPr="00621EF8" w:rsidRDefault="0029506B" w:rsidP="0029506B">
            <w:pPr>
              <w:pStyle w:val="naiskr"/>
              <w:keepNext/>
              <w:keepLines/>
              <w:numPr>
                <w:ilvl w:val="0"/>
                <w:numId w:val="19"/>
              </w:numPr>
              <w:spacing w:before="0" w:after="0"/>
              <w:ind w:left="0" w:firstLine="363"/>
              <w:jc w:val="both"/>
            </w:pPr>
            <w:r w:rsidRPr="00621EF8">
              <w:lastRenderedPageBreak/>
              <w:t>Transportlīdzekļu apdrošinātāju biroju;</w:t>
            </w:r>
          </w:p>
          <w:p w:rsidR="0029506B" w:rsidRPr="00621EF8" w:rsidRDefault="0029506B" w:rsidP="0029506B">
            <w:pPr>
              <w:pStyle w:val="naiskr"/>
              <w:keepNext/>
              <w:keepLines/>
              <w:numPr>
                <w:ilvl w:val="0"/>
                <w:numId w:val="19"/>
              </w:numPr>
              <w:spacing w:before="0" w:after="0"/>
              <w:ind w:left="0" w:firstLine="363"/>
              <w:jc w:val="both"/>
            </w:pPr>
            <w:r w:rsidRPr="00621EF8">
              <w:t>apdrošināšanas sabiedrībām, kurām ir tiesības veikt sauszemes transportlīdzekļu īpašnieku civiltiesiskās atbildības obligāto apdrošināšanu (11 apdrošināšanas sabiedrības);</w:t>
            </w:r>
          </w:p>
          <w:p w:rsidR="0029506B" w:rsidRPr="00621EF8" w:rsidRDefault="0029506B" w:rsidP="0029506B">
            <w:pPr>
              <w:pStyle w:val="naiskr"/>
              <w:keepNext/>
              <w:keepLines/>
              <w:numPr>
                <w:ilvl w:val="0"/>
                <w:numId w:val="19"/>
              </w:numPr>
              <w:spacing w:before="0" w:after="0"/>
              <w:ind w:left="0" w:firstLine="363"/>
              <w:jc w:val="both"/>
            </w:pPr>
            <w:r w:rsidRPr="00621EF8">
              <w:t>personām, kurām saskaņā ar OCTA likumu ir tiesības saņemt apdrošināšanas atlīdzību par ceļu satiksmes negadījumā personai nodarītajiem nemateriālajiem zaudējumiem, kas saistīti ar sāpēm un garīgām ciešanām cietušās personas fiziskas traumas, sakropļojuma, invaliditātes dēļ, kā arī apgādnieka, apgādājamā vai laulātā nāves dēļ vai tādēļ, ka apgādnieks, apgādājamais vai laulātais kļuvis par 1.grupas invalīdu;</w:t>
            </w:r>
          </w:p>
          <w:p w:rsidR="0029506B" w:rsidRPr="00621EF8" w:rsidRDefault="0029506B" w:rsidP="0029506B">
            <w:pPr>
              <w:pStyle w:val="naiskr"/>
              <w:keepNext/>
              <w:keepLines/>
              <w:numPr>
                <w:ilvl w:val="0"/>
                <w:numId w:val="19"/>
              </w:numPr>
              <w:spacing w:before="0" w:after="0"/>
              <w:ind w:left="0" w:firstLine="363"/>
              <w:jc w:val="both"/>
            </w:pPr>
            <w:r w:rsidRPr="00621EF8">
              <w:t>transportlīdzekļa īpašnieki</w:t>
            </w:r>
            <w:r w:rsidR="00ED5C73" w:rsidRPr="00621EF8">
              <w:t>em</w:t>
            </w:r>
            <w:r w:rsidRPr="00621EF8">
              <w:t>, kuri ir noslēguši  apdrošināšanas līgumu, saskaņā ar kuru transportlīdzekļa īpašnieks uzņemas saistības maksāt apdrošināšanas prēmiju noteiktajā termiņā un apmērā, kā arī izpildīt citas noteiktās saistības, bet apdrošinātājs uzņemas saistības izmaksāt apdrošināšanas atlīdzību, iestājoties apdrošināšanas gadījumam.</w:t>
            </w:r>
          </w:p>
        </w:tc>
      </w:tr>
      <w:tr w:rsidR="0029506B" w:rsidRPr="00621EF8" w:rsidTr="0029506B">
        <w:trPr>
          <w:trHeight w:val="476"/>
        </w:trPr>
        <w:tc>
          <w:tcPr>
            <w:tcW w:w="495" w:type="dxa"/>
            <w:tcBorders>
              <w:top w:val="single" w:sz="4" w:space="0" w:color="auto"/>
              <w:left w:val="single" w:sz="4" w:space="0" w:color="auto"/>
              <w:bottom w:val="single" w:sz="4" w:space="0" w:color="auto"/>
              <w:right w:val="single" w:sz="4" w:space="0" w:color="auto"/>
            </w:tcBorders>
            <w:shd w:val="clear" w:color="auto" w:fill="auto"/>
          </w:tcPr>
          <w:p w:rsidR="0029506B" w:rsidRPr="00621EF8" w:rsidRDefault="0029506B" w:rsidP="0029506B">
            <w:pPr>
              <w:pStyle w:val="naiskr"/>
              <w:ind w:left="-142" w:firstLine="142"/>
              <w:jc w:val="center"/>
            </w:pPr>
            <w:r w:rsidRPr="00621EF8">
              <w:lastRenderedPageBreak/>
              <w:t>2.</w:t>
            </w:r>
          </w:p>
        </w:tc>
        <w:tc>
          <w:tcPr>
            <w:tcW w:w="2779" w:type="dxa"/>
            <w:tcBorders>
              <w:top w:val="single" w:sz="4" w:space="0" w:color="auto"/>
              <w:left w:val="single" w:sz="4" w:space="0" w:color="auto"/>
              <w:bottom w:val="single" w:sz="4" w:space="0" w:color="auto"/>
              <w:right w:val="single" w:sz="4" w:space="0" w:color="auto"/>
            </w:tcBorders>
            <w:shd w:val="clear" w:color="auto" w:fill="auto"/>
          </w:tcPr>
          <w:p w:rsidR="0029506B" w:rsidRPr="00621EF8" w:rsidRDefault="0029506B" w:rsidP="0029506B">
            <w:pPr>
              <w:pStyle w:val="naiskr"/>
              <w:ind w:left="170" w:right="127"/>
              <w:jc w:val="both"/>
            </w:pPr>
            <w:r w:rsidRPr="00621EF8">
              <w:t xml:space="preserve">Tiesiskā regulējuma ietekme uz tautsaimniecību un administratīvo slogu </w:t>
            </w:r>
          </w:p>
        </w:tc>
        <w:tc>
          <w:tcPr>
            <w:tcW w:w="6354" w:type="dxa"/>
            <w:tcBorders>
              <w:top w:val="single" w:sz="4" w:space="0" w:color="auto"/>
              <w:left w:val="single" w:sz="4" w:space="0" w:color="auto"/>
              <w:bottom w:val="single" w:sz="4" w:space="0" w:color="auto"/>
              <w:right w:val="single" w:sz="4" w:space="0" w:color="auto"/>
            </w:tcBorders>
            <w:shd w:val="clear" w:color="auto" w:fill="auto"/>
          </w:tcPr>
          <w:p w:rsidR="0029506B" w:rsidRPr="00621EF8" w:rsidRDefault="0029506B" w:rsidP="0029506B">
            <w:pPr>
              <w:pStyle w:val="naisf"/>
              <w:spacing w:before="0" w:after="0"/>
              <w:ind w:firstLine="0"/>
            </w:pPr>
            <w:r w:rsidRPr="00621EF8">
              <w:t>Iespējamais apdrošināšanas atlīdzības izmaksu pieaugums atbilstoši noteikumu projektam, par pamatu ņemot OCTA informācijas sistēmā esošos statistikas datus par 2011.-2013.gadā pieņemtajiem lēmumiem par apdrošināšanas atlīdzību par nemateriālajiem zaudējumiem izmaksām par CSNg Latvijā (neatkarīgi no CSNg gada) varētu būt aptuveni 1 miljons EUR katrā no iepriekš minētajiem lēmuma pieņemšanas gadiem (skat. anotācijas pielikumu – Excel faila 1 lapa).</w:t>
            </w:r>
          </w:p>
          <w:p w:rsidR="0029506B" w:rsidRPr="00621EF8" w:rsidRDefault="0029506B" w:rsidP="0029506B">
            <w:pPr>
              <w:pStyle w:val="naisf"/>
              <w:spacing w:before="0" w:after="0"/>
            </w:pPr>
            <w:r w:rsidRPr="00621EF8">
              <w:t xml:space="preserve">Iespējamie nākotnes nemateriālo zaudējumu izmaksu apmēri (pesimistiskākajā scenārijā), pamatojoties uz Ceļu satiksmes drošības direkcijas (turpmāk – CSDD) apkopoto informāciju par 2011.-2013.gadā Latvijā notikušajos CSNg cietušo un bojāgājušo skaitu, varētu būt aptuveni 13 miljoni EUR par katru iepriekš minēto CSNg gadu (skat. anotācijas pielikumu Excel faila 2 lapa). Aprēķins tika balstīts uz šādiem pieņēmumiem: </w:t>
            </w:r>
          </w:p>
          <w:p w:rsidR="0029506B" w:rsidRPr="00621EF8" w:rsidRDefault="0029506B" w:rsidP="0029506B">
            <w:pPr>
              <w:pStyle w:val="ListParagraph"/>
              <w:numPr>
                <w:ilvl w:val="0"/>
                <w:numId w:val="22"/>
              </w:numPr>
              <w:spacing w:after="0" w:line="240" w:lineRule="auto"/>
              <w:ind w:left="0" w:firstLine="0"/>
              <w:jc w:val="both"/>
              <w:rPr>
                <w:rFonts w:ascii="Times New Roman" w:eastAsia="Times New Roman" w:hAnsi="Times New Roman"/>
                <w:sz w:val="24"/>
                <w:szCs w:val="24"/>
                <w:lang w:eastAsia="lv-LV"/>
              </w:rPr>
            </w:pPr>
            <w:r w:rsidRPr="00621EF8">
              <w:rPr>
                <w:rFonts w:ascii="Times New Roman" w:eastAsia="Times New Roman" w:hAnsi="Times New Roman"/>
                <w:sz w:val="24"/>
                <w:szCs w:val="24"/>
                <w:lang w:eastAsia="lv-LV"/>
              </w:rPr>
              <w:t>60% no CSDD statistikā uzskaitītajiem CSNg cietušajiem un bojāgājušajiem būtu uzskatāmi par cietušajiem OCTA likuma izpratnē, kuriem būtu veicama izmaksa par nemateriālajiem zaudējumiem (ņemot vērā, ka CSNg, kurā iesaistīts 1 transportlīdzeklis un tā vadītājs, ir relatīvi mazāk nekā CSNg, kuros iesaistīta vairāk nekā 1 persona vai vismaz 2 transportlīdzekļu vadītāji, tad 40% cietušo un bojāgājušo CSDD statistikā tiek uzskatīti par CSNg zaudējumus nodarījušā transportlīdzekļa vadītāju, kuram apdrošināšanas atlīdzība nepienākas);</w:t>
            </w:r>
          </w:p>
          <w:p w:rsidR="0029506B" w:rsidRPr="00621EF8" w:rsidRDefault="0029506B" w:rsidP="0029506B">
            <w:pPr>
              <w:pStyle w:val="ListParagraph"/>
              <w:numPr>
                <w:ilvl w:val="0"/>
                <w:numId w:val="22"/>
              </w:numPr>
              <w:spacing w:after="0" w:line="240" w:lineRule="auto"/>
              <w:ind w:left="0" w:firstLine="0"/>
              <w:jc w:val="both"/>
              <w:rPr>
                <w:rFonts w:ascii="Times New Roman" w:eastAsia="Times New Roman" w:hAnsi="Times New Roman"/>
                <w:sz w:val="24"/>
                <w:szCs w:val="24"/>
                <w:lang w:eastAsia="lv-LV"/>
              </w:rPr>
            </w:pPr>
            <w:r w:rsidRPr="00621EF8">
              <w:rPr>
                <w:rFonts w:ascii="Times New Roman" w:eastAsia="Times New Roman" w:hAnsi="Times New Roman"/>
                <w:sz w:val="24"/>
                <w:szCs w:val="24"/>
                <w:lang w:eastAsia="lv-LV"/>
              </w:rPr>
              <w:t>aprēķinos izmantotais miesas bojājumu smaguma pakāpes, sakropļojuma vai invaliditātes īpatsvars, kā arī CSNg bojāgājušo personu palicēju (trešo personu) skaits tika brīvi izvēlēts, vienlaikus ievērojot dažādo miesas bojājumu smaguma pakāpju, invaliditātes grupu, palicēju skaita biežumus, attiecīgi nosakot, kurš faktors ir ar lielāku īpatsvaru tirgū, salīdzinot ar citiem;</w:t>
            </w:r>
          </w:p>
          <w:p w:rsidR="0029506B" w:rsidRPr="00621EF8" w:rsidRDefault="0029506B" w:rsidP="0029506B">
            <w:pPr>
              <w:pStyle w:val="naisf"/>
              <w:spacing w:before="0" w:after="0"/>
            </w:pPr>
            <w:r w:rsidRPr="00621EF8">
              <w:lastRenderedPageBreak/>
              <w:t>- sabiedrības informētība par nemateriālo zaudējumu atlīdzināšanu OCTA ietvaros varētu ievērojami pieaugt.</w:t>
            </w:r>
          </w:p>
          <w:p w:rsidR="0029506B" w:rsidRPr="00621EF8" w:rsidRDefault="0029506B" w:rsidP="0029506B">
            <w:pPr>
              <w:pStyle w:val="naisf"/>
              <w:spacing w:before="0" w:after="0"/>
            </w:pPr>
            <w:r w:rsidRPr="00621EF8">
              <w:t>Ņemot vērā augstākminēto, nevar izslēgt būtisku OCTA prēmiju pieaugumu.</w:t>
            </w:r>
          </w:p>
        </w:tc>
      </w:tr>
      <w:tr w:rsidR="0029506B" w:rsidRPr="00621EF8" w:rsidTr="0029506B">
        <w:trPr>
          <w:trHeight w:val="476"/>
        </w:trPr>
        <w:tc>
          <w:tcPr>
            <w:tcW w:w="495" w:type="dxa"/>
            <w:tcBorders>
              <w:top w:val="single" w:sz="4" w:space="0" w:color="auto"/>
              <w:left w:val="single" w:sz="4" w:space="0" w:color="auto"/>
              <w:bottom w:val="single" w:sz="4" w:space="0" w:color="auto"/>
              <w:right w:val="single" w:sz="4" w:space="0" w:color="auto"/>
            </w:tcBorders>
            <w:shd w:val="clear" w:color="auto" w:fill="auto"/>
          </w:tcPr>
          <w:p w:rsidR="0029506B" w:rsidRPr="00621EF8" w:rsidRDefault="0029506B" w:rsidP="0029506B">
            <w:pPr>
              <w:pStyle w:val="naiskr"/>
              <w:ind w:left="-142" w:firstLine="142"/>
              <w:jc w:val="center"/>
            </w:pPr>
            <w:r w:rsidRPr="00621EF8">
              <w:lastRenderedPageBreak/>
              <w:t>3.</w:t>
            </w:r>
          </w:p>
        </w:tc>
        <w:tc>
          <w:tcPr>
            <w:tcW w:w="2779" w:type="dxa"/>
            <w:tcBorders>
              <w:top w:val="single" w:sz="4" w:space="0" w:color="auto"/>
              <w:left w:val="single" w:sz="4" w:space="0" w:color="auto"/>
              <w:bottom w:val="single" w:sz="4" w:space="0" w:color="auto"/>
              <w:right w:val="single" w:sz="4" w:space="0" w:color="auto"/>
            </w:tcBorders>
            <w:shd w:val="clear" w:color="auto" w:fill="auto"/>
          </w:tcPr>
          <w:p w:rsidR="0029506B" w:rsidRPr="00621EF8" w:rsidRDefault="0029506B" w:rsidP="00E4293F">
            <w:pPr>
              <w:pStyle w:val="naiskr"/>
              <w:ind w:left="170" w:right="127"/>
              <w:jc w:val="both"/>
            </w:pPr>
            <w:r w:rsidRPr="00621EF8">
              <w:t>Administratīvo izmaksu monetārs novērtējums</w:t>
            </w:r>
          </w:p>
        </w:tc>
        <w:tc>
          <w:tcPr>
            <w:tcW w:w="6354" w:type="dxa"/>
            <w:tcBorders>
              <w:top w:val="single" w:sz="4" w:space="0" w:color="auto"/>
              <w:left w:val="single" w:sz="4" w:space="0" w:color="auto"/>
              <w:bottom w:val="single" w:sz="4" w:space="0" w:color="auto"/>
              <w:right w:val="single" w:sz="4" w:space="0" w:color="auto"/>
            </w:tcBorders>
            <w:shd w:val="clear" w:color="auto" w:fill="auto"/>
          </w:tcPr>
          <w:p w:rsidR="0029506B" w:rsidRPr="00621EF8" w:rsidRDefault="0029506B" w:rsidP="0029506B">
            <w:pPr>
              <w:pStyle w:val="naisf"/>
              <w:spacing w:before="0" w:after="0"/>
              <w:ind w:firstLine="0"/>
            </w:pPr>
            <w:r w:rsidRPr="00621EF8">
              <w:t>Nav.</w:t>
            </w:r>
          </w:p>
        </w:tc>
      </w:tr>
      <w:tr w:rsidR="0029506B" w:rsidRPr="00621EF8" w:rsidTr="0029506B">
        <w:trPr>
          <w:trHeight w:val="476"/>
        </w:trPr>
        <w:tc>
          <w:tcPr>
            <w:tcW w:w="495" w:type="dxa"/>
            <w:tcBorders>
              <w:top w:val="single" w:sz="4" w:space="0" w:color="auto"/>
              <w:left w:val="single" w:sz="4" w:space="0" w:color="auto"/>
              <w:bottom w:val="single" w:sz="4" w:space="0" w:color="auto"/>
              <w:right w:val="single" w:sz="4" w:space="0" w:color="auto"/>
            </w:tcBorders>
            <w:shd w:val="clear" w:color="auto" w:fill="auto"/>
          </w:tcPr>
          <w:p w:rsidR="0029506B" w:rsidRPr="00621EF8" w:rsidRDefault="0029506B" w:rsidP="0029506B">
            <w:pPr>
              <w:pStyle w:val="naiskr"/>
              <w:ind w:left="-142" w:firstLine="142"/>
              <w:jc w:val="center"/>
            </w:pPr>
            <w:r w:rsidRPr="00621EF8">
              <w:t>4.</w:t>
            </w:r>
          </w:p>
        </w:tc>
        <w:tc>
          <w:tcPr>
            <w:tcW w:w="2779" w:type="dxa"/>
            <w:tcBorders>
              <w:top w:val="single" w:sz="4" w:space="0" w:color="auto"/>
              <w:left w:val="single" w:sz="4" w:space="0" w:color="auto"/>
              <w:bottom w:val="single" w:sz="4" w:space="0" w:color="auto"/>
              <w:right w:val="single" w:sz="4" w:space="0" w:color="auto"/>
            </w:tcBorders>
            <w:shd w:val="clear" w:color="auto" w:fill="auto"/>
          </w:tcPr>
          <w:p w:rsidR="0029506B" w:rsidRPr="00621EF8" w:rsidRDefault="0029506B" w:rsidP="00E4293F">
            <w:pPr>
              <w:pStyle w:val="naiskr"/>
              <w:ind w:left="170" w:right="127"/>
              <w:jc w:val="both"/>
            </w:pPr>
            <w:r w:rsidRPr="00621EF8">
              <w:t>Cita informācija</w:t>
            </w:r>
          </w:p>
        </w:tc>
        <w:tc>
          <w:tcPr>
            <w:tcW w:w="6354" w:type="dxa"/>
            <w:tcBorders>
              <w:top w:val="single" w:sz="4" w:space="0" w:color="auto"/>
              <w:left w:val="single" w:sz="4" w:space="0" w:color="auto"/>
              <w:bottom w:val="single" w:sz="4" w:space="0" w:color="auto"/>
              <w:right w:val="single" w:sz="4" w:space="0" w:color="auto"/>
            </w:tcBorders>
            <w:shd w:val="clear" w:color="auto" w:fill="auto"/>
          </w:tcPr>
          <w:p w:rsidR="0029506B" w:rsidRPr="00621EF8" w:rsidRDefault="0029506B" w:rsidP="0029506B">
            <w:pPr>
              <w:pStyle w:val="naisf"/>
              <w:spacing w:before="0" w:after="0"/>
              <w:ind w:firstLine="0"/>
            </w:pPr>
            <w:r w:rsidRPr="00621EF8">
              <w:t>Nav.</w:t>
            </w:r>
          </w:p>
        </w:tc>
      </w:tr>
    </w:tbl>
    <w:p w:rsidR="00983259" w:rsidRPr="00621EF8" w:rsidRDefault="00983259" w:rsidP="0061389E">
      <w:pPr>
        <w:jc w:val="both"/>
      </w:pPr>
    </w:p>
    <w:tbl>
      <w:tblPr>
        <w:tblW w:w="5000" w:type="pct"/>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81"/>
        <w:gridCol w:w="2790"/>
        <w:gridCol w:w="6351"/>
      </w:tblGrid>
      <w:tr w:rsidR="00983259" w:rsidRPr="00621EF8" w:rsidTr="00983259">
        <w:trPr>
          <w:trHeight w:val="450"/>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983259" w:rsidRPr="00621EF8" w:rsidRDefault="00983259" w:rsidP="00126320">
            <w:pPr>
              <w:spacing w:before="100" w:beforeAutospacing="1" w:after="100" w:afterAutospacing="1"/>
              <w:jc w:val="center"/>
              <w:rPr>
                <w:b/>
              </w:rPr>
            </w:pPr>
            <w:r w:rsidRPr="00621EF8">
              <w:rPr>
                <w:b/>
                <w:bCs/>
                <w:lang w:eastAsia="zh-CN"/>
              </w:rPr>
              <w:t>IV. Tiesību akta projekta ietekme uz spēkā esošo tiesību normu sistēmu</w:t>
            </w:r>
          </w:p>
        </w:tc>
      </w:tr>
      <w:tr w:rsidR="00983259" w:rsidRPr="00621EF8" w:rsidTr="00983259">
        <w:trPr>
          <w:jc w:val="center"/>
        </w:trPr>
        <w:tc>
          <w:tcPr>
            <w:tcW w:w="250" w:type="pct"/>
            <w:tcBorders>
              <w:top w:val="outset" w:sz="6" w:space="0" w:color="auto"/>
              <w:left w:val="outset" w:sz="6" w:space="0" w:color="auto"/>
              <w:bottom w:val="outset" w:sz="6" w:space="0" w:color="auto"/>
              <w:right w:val="outset" w:sz="6" w:space="0" w:color="auto"/>
            </w:tcBorders>
            <w:hideMark/>
          </w:tcPr>
          <w:p w:rsidR="00983259" w:rsidRPr="00621EF8" w:rsidRDefault="00983259" w:rsidP="00983259">
            <w:pPr>
              <w:rPr>
                <w:lang w:eastAsia="zh-CN"/>
              </w:rPr>
            </w:pPr>
            <w:r w:rsidRPr="00621EF8">
              <w:rPr>
                <w:lang w:eastAsia="zh-CN"/>
              </w:rPr>
              <w:t>1.</w:t>
            </w:r>
          </w:p>
        </w:tc>
        <w:tc>
          <w:tcPr>
            <w:tcW w:w="1450" w:type="pct"/>
            <w:tcBorders>
              <w:top w:val="outset" w:sz="6" w:space="0" w:color="auto"/>
              <w:left w:val="outset" w:sz="6" w:space="0" w:color="auto"/>
              <w:bottom w:val="outset" w:sz="6" w:space="0" w:color="auto"/>
              <w:right w:val="outset" w:sz="6" w:space="0" w:color="auto"/>
            </w:tcBorders>
            <w:hideMark/>
          </w:tcPr>
          <w:p w:rsidR="00983259" w:rsidRPr="00621EF8" w:rsidRDefault="00983259" w:rsidP="00983259">
            <w:pPr>
              <w:rPr>
                <w:lang w:eastAsia="zh-CN"/>
              </w:rPr>
            </w:pPr>
            <w:r w:rsidRPr="00621EF8">
              <w:rPr>
                <w:lang w:eastAsia="zh-CN"/>
              </w:rPr>
              <w:t>Nepieciešamie saistītie tiesību aktu projekti</w:t>
            </w:r>
          </w:p>
        </w:tc>
        <w:tc>
          <w:tcPr>
            <w:tcW w:w="3300" w:type="pct"/>
            <w:tcBorders>
              <w:top w:val="outset" w:sz="6" w:space="0" w:color="auto"/>
              <w:left w:val="outset" w:sz="6" w:space="0" w:color="auto"/>
              <w:bottom w:val="outset" w:sz="6" w:space="0" w:color="auto"/>
              <w:right w:val="outset" w:sz="6" w:space="0" w:color="auto"/>
            </w:tcBorders>
            <w:hideMark/>
          </w:tcPr>
          <w:p w:rsidR="00983259" w:rsidRPr="00621EF8" w:rsidRDefault="00AD2EE5" w:rsidP="00C2317B">
            <w:pPr>
              <w:jc w:val="both"/>
              <w:rPr>
                <w:lang w:eastAsia="zh-CN"/>
              </w:rPr>
            </w:pPr>
            <w:r w:rsidRPr="00621EF8">
              <w:t>Nav</w:t>
            </w:r>
            <w:r w:rsidR="00ED5C73" w:rsidRPr="00621EF8">
              <w:t>.</w:t>
            </w:r>
          </w:p>
        </w:tc>
      </w:tr>
      <w:tr w:rsidR="00983259" w:rsidRPr="00621EF8" w:rsidTr="00983259">
        <w:trPr>
          <w:jc w:val="center"/>
        </w:trPr>
        <w:tc>
          <w:tcPr>
            <w:tcW w:w="250" w:type="pct"/>
            <w:tcBorders>
              <w:top w:val="outset" w:sz="6" w:space="0" w:color="auto"/>
              <w:left w:val="outset" w:sz="6" w:space="0" w:color="auto"/>
              <w:bottom w:val="outset" w:sz="6" w:space="0" w:color="auto"/>
              <w:right w:val="outset" w:sz="6" w:space="0" w:color="auto"/>
            </w:tcBorders>
            <w:hideMark/>
          </w:tcPr>
          <w:p w:rsidR="00983259" w:rsidRPr="00621EF8" w:rsidRDefault="00983259" w:rsidP="00983259">
            <w:pPr>
              <w:rPr>
                <w:lang w:eastAsia="zh-CN"/>
              </w:rPr>
            </w:pPr>
            <w:r w:rsidRPr="00621EF8">
              <w:rPr>
                <w:lang w:eastAsia="zh-CN"/>
              </w:rPr>
              <w:t>2.</w:t>
            </w:r>
          </w:p>
        </w:tc>
        <w:tc>
          <w:tcPr>
            <w:tcW w:w="1450" w:type="pct"/>
            <w:tcBorders>
              <w:top w:val="outset" w:sz="6" w:space="0" w:color="auto"/>
              <w:left w:val="outset" w:sz="6" w:space="0" w:color="auto"/>
              <w:bottom w:val="outset" w:sz="6" w:space="0" w:color="auto"/>
              <w:right w:val="outset" w:sz="6" w:space="0" w:color="auto"/>
            </w:tcBorders>
            <w:hideMark/>
          </w:tcPr>
          <w:p w:rsidR="00983259" w:rsidRPr="00621EF8" w:rsidRDefault="00983259" w:rsidP="00983259">
            <w:pPr>
              <w:rPr>
                <w:lang w:eastAsia="zh-CN"/>
              </w:rPr>
            </w:pPr>
            <w:r w:rsidRPr="00621EF8">
              <w:rPr>
                <w:lang w:eastAsia="zh-CN"/>
              </w:rPr>
              <w:t>Atbildīgā institūcija</w:t>
            </w:r>
          </w:p>
        </w:tc>
        <w:tc>
          <w:tcPr>
            <w:tcW w:w="3300" w:type="pct"/>
            <w:tcBorders>
              <w:top w:val="outset" w:sz="6" w:space="0" w:color="auto"/>
              <w:left w:val="outset" w:sz="6" w:space="0" w:color="auto"/>
              <w:bottom w:val="outset" w:sz="6" w:space="0" w:color="auto"/>
              <w:right w:val="outset" w:sz="6" w:space="0" w:color="auto"/>
            </w:tcBorders>
            <w:hideMark/>
          </w:tcPr>
          <w:p w:rsidR="00983259" w:rsidRPr="00621EF8" w:rsidRDefault="00D97C32" w:rsidP="00983259">
            <w:pPr>
              <w:rPr>
                <w:lang w:eastAsia="zh-CN"/>
              </w:rPr>
            </w:pPr>
            <w:r w:rsidRPr="00621EF8">
              <w:rPr>
                <w:lang w:eastAsia="zh-CN"/>
              </w:rPr>
              <w:t>Finanšu ministrija, Transportlīdzekļu apdrošinātāju birojs</w:t>
            </w:r>
          </w:p>
        </w:tc>
      </w:tr>
      <w:tr w:rsidR="00983259" w:rsidRPr="00621EF8" w:rsidTr="00983259">
        <w:trPr>
          <w:jc w:val="center"/>
        </w:trPr>
        <w:tc>
          <w:tcPr>
            <w:tcW w:w="250" w:type="pct"/>
            <w:tcBorders>
              <w:top w:val="outset" w:sz="6" w:space="0" w:color="auto"/>
              <w:left w:val="outset" w:sz="6" w:space="0" w:color="auto"/>
              <w:bottom w:val="outset" w:sz="6" w:space="0" w:color="auto"/>
              <w:right w:val="outset" w:sz="6" w:space="0" w:color="auto"/>
            </w:tcBorders>
            <w:hideMark/>
          </w:tcPr>
          <w:p w:rsidR="00983259" w:rsidRPr="00621EF8" w:rsidRDefault="00983259" w:rsidP="00983259">
            <w:pPr>
              <w:rPr>
                <w:lang w:eastAsia="zh-CN"/>
              </w:rPr>
            </w:pPr>
            <w:r w:rsidRPr="00621EF8">
              <w:rPr>
                <w:lang w:eastAsia="zh-CN"/>
              </w:rPr>
              <w:t>3.</w:t>
            </w:r>
          </w:p>
        </w:tc>
        <w:tc>
          <w:tcPr>
            <w:tcW w:w="1450" w:type="pct"/>
            <w:tcBorders>
              <w:top w:val="outset" w:sz="6" w:space="0" w:color="auto"/>
              <w:left w:val="outset" w:sz="6" w:space="0" w:color="auto"/>
              <w:bottom w:val="outset" w:sz="6" w:space="0" w:color="auto"/>
              <w:right w:val="outset" w:sz="6" w:space="0" w:color="auto"/>
            </w:tcBorders>
            <w:hideMark/>
          </w:tcPr>
          <w:p w:rsidR="00983259" w:rsidRPr="00621EF8" w:rsidRDefault="00983259" w:rsidP="00983259">
            <w:pPr>
              <w:rPr>
                <w:lang w:eastAsia="zh-CN"/>
              </w:rPr>
            </w:pPr>
            <w:r w:rsidRPr="00621EF8">
              <w:rPr>
                <w:lang w:eastAsia="zh-CN"/>
              </w:rPr>
              <w:t>Cita informācija</w:t>
            </w:r>
          </w:p>
        </w:tc>
        <w:tc>
          <w:tcPr>
            <w:tcW w:w="3300" w:type="pct"/>
            <w:tcBorders>
              <w:top w:val="outset" w:sz="6" w:space="0" w:color="auto"/>
              <w:left w:val="outset" w:sz="6" w:space="0" w:color="auto"/>
              <w:bottom w:val="outset" w:sz="6" w:space="0" w:color="auto"/>
              <w:right w:val="outset" w:sz="6" w:space="0" w:color="auto"/>
            </w:tcBorders>
            <w:hideMark/>
          </w:tcPr>
          <w:p w:rsidR="00983259" w:rsidRPr="00621EF8" w:rsidRDefault="00D97C32" w:rsidP="00983259">
            <w:pPr>
              <w:spacing w:before="100" w:beforeAutospacing="1" w:after="100" w:afterAutospacing="1"/>
              <w:rPr>
                <w:lang w:eastAsia="zh-CN"/>
              </w:rPr>
            </w:pPr>
            <w:r w:rsidRPr="00621EF8">
              <w:rPr>
                <w:lang w:eastAsia="zh-CN"/>
              </w:rPr>
              <w:t>Nav</w:t>
            </w:r>
          </w:p>
        </w:tc>
      </w:tr>
    </w:tbl>
    <w:p w:rsidR="00983259" w:rsidRPr="00621EF8" w:rsidRDefault="00983259" w:rsidP="00C2317B">
      <w:pPr>
        <w:rPr>
          <w:lang w:eastAsia="zh-CN"/>
        </w:rPr>
      </w:pPr>
      <w:r w:rsidRPr="00621EF8">
        <w:rPr>
          <w:lang w:eastAsia="zh-CN"/>
        </w:rPr>
        <w:t> </w:t>
      </w: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81"/>
        <w:gridCol w:w="2790"/>
        <w:gridCol w:w="6351"/>
      </w:tblGrid>
      <w:tr w:rsidR="00983259" w:rsidRPr="00621EF8" w:rsidTr="00983259">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983259" w:rsidRPr="00621EF8" w:rsidRDefault="00983259" w:rsidP="00983259">
            <w:pPr>
              <w:spacing w:before="100" w:beforeAutospacing="1" w:after="100" w:afterAutospacing="1"/>
              <w:rPr>
                <w:lang w:eastAsia="zh-CN"/>
              </w:rPr>
            </w:pPr>
            <w:r w:rsidRPr="00621EF8">
              <w:rPr>
                <w:b/>
                <w:bCs/>
                <w:lang w:eastAsia="zh-CN"/>
              </w:rPr>
              <w:t>V. Tiesību akta projekta atbilstība Latvijas Republikas starptautiskajām saistībām</w:t>
            </w:r>
          </w:p>
        </w:tc>
      </w:tr>
      <w:tr w:rsidR="00983259" w:rsidRPr="00621EF8" w:rsidTr="00983259">
        <w:tc>
          <w:tcPr>
            <w:tcW w:w="250" w:type="pct"/>
            <w:tcBorders>
              <w:top w:val="outset" w:sz="6" w:space="0" w:color="auto"/>
              <w:left w:val="outset" w:sz="6" w:space="0" w:color="auto"/>
              <w:bottom w:val="outset" w:sz="6" w:space="0" w:color="auto"/>
              <w:right w:val="outset" w:sz="6" w:space="0" w:color="auto"/>
            </w:tcBorders>
            <w:hideMark/>
          </w:tcPr>
          <w:p w:rsidR="00983259" w:rsidRPr="00621EF8" w:rsidRDefault="00983259" w:rsidP="00983259">
            <w:pPr>
              <w:rPr>
                <w:lang w:eastAsia="zh-CN"/>
              </w:rPr>
            </w:pPr>
            <w:r w:rsidRPr="00621EF8">
              <w:rPr>
                <w:lang w:eastAsia="zh-CN"/>
              </w:rPr>
              <w:t>1.</w:t>
            </w:r>
          </w:p>
        </w:tc>
        <w:tc>
          <w:tcPr>
            <w:tcW w:w="4890" w:type="dxa"/>
            <w:tcBorders>
              <w:top w:val="outset" w:sz="6" w:space="0" w:color="auto"/>
              <w:left w:val="outset" w:sz="6" w:space="0" w:color="auto"/>
              <w:bottom w:val="outset" w:sz="6" w:space="0" w:color="auto"/>
              <w:right w:val="outset" w:sz="6" w:space="0" w:color="auto"/>
            </w:tcBorders>
            <w:hideMark/>
          </w:tcPr>
          <w:p w:rsidR="00983259" w:rsidRPr="00621EF8" w:rsidRDefault="00983259" w:rsidP="00983259">
            <w:pPr>
              <w:rPr>
                <w:lang w:eastAsia="zh-CN"/>
              </w:rPr>
            </w:pPr>
            <w:r w:rsidRPr="00621EF8">
              <w:rPr>
                <w:lang w:eastAsia="zh-CN"/>
              </w:rPr>
              <w:t>Saistības pret Eiropas Savienību</w:t>
            </w:r>
          </w:p>
        </w:tc>
        <w:tc>
          <w:tcPr>
            <w:tcW w:w="3300" w:type="pct"/>
            <w:tcBorders>
              <w:top w:val="outset" w:sz="6" w:space="0" w:color="auto"/>
              <w:left w:val="outset" w:sz="6" w:space="0" w:color="auto"/>
              <w:bottom w:val="outset" w:sz="6" w:space="0" w:color="auto"/>
              <w:right w:val="outset" w:sz="6" w:space="0" w:color="auto"/>
            </w:tcBorders>
            <w:hideMark/>
          </w:tcPr>
          <w:p w:rsidR="00E44E3F" w:rsidRPr="00621EF8" w:rsidRDefault="0081381D" w:rsidP="00ED5C73">
            <w:pPr>
              <w:jc w:val="both"/>
            </w:pPr>
            <w:r w:rsidRPr="00621EF8">
              <w:t xml:space="preserve">Eiropas Parlamenta un Padomes 2009.gada 16.septembra </w:t>
            </w:r>
            <w:r w:rsidRPr="00340CAA">
              <w:t xml:space="preserve">direktīva </w:t>
            </w:r>
            <w:hyperlink r:id="rId20" w:tgtFrame="_blank" w:tooltip="DIREKTĪVA" w:history="1">
              <w:r w:rsidRPr="00621EF8">
                <w:rPr>
                  <w:rStyle w:val="Hyperlink"/>
                  <w:i/>
                  <w:color w:val="auto"/>
                  <w:u w:val="none"/>
                </w:rPr>
                <w:t>2009/103/EK</w:t>
              </w:r>
            </w:hyperlink>
            <w:r w:rsidRPr="00621EF8">
              <w:t xml:space="preserve"> par civiltiesiskās atbildības apdrošināšanu saistībā ar mehānisko transportlīdzekļu izmantošanu un kontroli saistībā ar pienākumu apdrošināt šādu atbildību, kas ir iepriekšējo direktīvu par civiltiesiskās atbildības apdrošināšanu saistībā ar mehānisko transportlīdzekļu izmantošanu un kontroli saistībā ar pienākumu apdrošināt šādu atbildību konsolidētā versija.</w:t>
            </w:r>
            <w:r w:rsidR="00ED5C73" w:rsidRPr="00621EF8">
              <w:t xml:space="preserve"> Līdz ar to Latvijai nebija nepieciešams ieviest Direktīvas </w:t>
            </w:r>
            <w:hyperlink r:id="rId21" w:tgtFrame="_blank" w:tooltip="DIREKTĪVA" w:history="1">
              <w:r w:rsidR="00ED5C73" w:rsidRPr="00621EF8">
                <w:rPr>
                  <w:rStyle w:val="Hyperlink"/>
                  <w:i/>
                  <w:color w:val="auto"/>
                  <w:u w:val="none"/>
                </w:rPr>
                <w:t>2009/103/EK</w:t>
              </w:r>
            </w:hyperlink>
            <w:r w:rsidR="00ED5C73" w:rsidRPr="00621EF8">
              <w:rPr>
                <w:rStyle w:val="Hyperlink"/>
                <w:i/>
                <w:color w:val="auto"/>
                <w:u w:val="none"/>
              </w:rPr>
              <w:t xml:space="preserve"> </w:t>
            </w:r>
            <w:r w:rsidR="00ED5C73" w:rsidRPr="00621EF8">
              <w:rPr>
                <w:rStyle w:val="Hyperlink"/>
                <w:color w:val="auto"/>
                <w:u w:val="none"/>
              </w:rPr>
              <w:t xml:space="preserve">prasības, jo šī </w:t>
            </w:r>
            <w:r w:rsidR="00ED5C73" w:rsidRPr="00621EF8">
              <w:t>d</w:t>
            </w:r>
            <w:r w:rsidRPr="00621EF8">
              <w:t>irektīva pēc būtības ir ieviesta ar OCTA likumu</w:t>
            </w:r>
            <w:r w:rsidR="00256CD4" w:rsidRPr="00621EF8">
              <w:t xml:space="preserve"> (</w:t>
            </w:r>
            <w:r w:rsidR="00256CD4" w:rsidRPr="00621EF8">
              <w:rPr>
                <w:i/>
              </w:rPr>
              <w:t>likumprojekta anotācija pieejama http://helios-web.saeima.lv/bi8/lasa?dd=LP0709_0</w:t>
            </w:r>
            <w:r w:rsidR="00256CD4" w:rsidRPr="00621EF8">
              <w:t>) un tā 2007.gada 27.septembra grozījumiem (</w:t>
            </w:r>
            <w:r w:rsidR="00256CD4" w:rsidRPr="00621EF8">
              <w:rPr>
                <w:i/>
              </w:rPr>
              <w:t xml:space="preserve">likumprojekta anotācija pieejama </w:t>
            </w:r>
            <w:hyperlink r:id="rId22" w:history="1">
              <w:r w:rsidR="00E44E3F" w:rsidRPr="00621EF8">
                <w:rPr>
                  <w:rStyle w:val="Hyperlink"/>
                  <w:i/>
                </w:rPr>
                <w:t>http://helios-web.saeima.lv/saeima9/lasa?dd=LP0344_0</w:t>
              </w:r>
            </w:hyperlink>
            <w:r w:rsidR="00256CD4" w:rsidRPr="00621EF8">
              <w:t>)</w:t>
            </w:r>
            <w:r w:rsidR="00E44E3F" w:rsidRPr="00621EF8">
              <w:t>.</w:t>
            </w:r>
          </w:p>
          <w:p w:rsidR="00E44E3F" w:rsidRPr="00621EF8" w:rsidRDefault="00E44E3F" w:rsidP="00ED5C73">
            <w:pPr>
              <w:jc w:val="both"/>
            </w:pPr>
          </w:p>
          <w:p w:rsidR="00E44E3F" w:rsidRPr="00621EF8" w:rsidRDefault="00E44E3F" w:rsidP="00E44E3F">
            <w:pPr>
              <w:jc w:val="both"/>
            </w:pPr>
            <w:r w:rsidRPr="00621EF8">
              <w:t>A</w:t>
            </w:r>
            <w:r w:rsidR="008D4AC8" w:rsidRPr="00621EF8">
              <w:t>r noteikumu projektu tiek paredzēts izslēgt spēkā esošos apakšlimutus par personai nodarītajiem nemateriālajiem zaudējumiem, lai tiesiskais regulējums atbilstu</w:t>
            </w:r>
            <w:r w:rsidRPr="00621EF8">
              <w:t>:</w:t>
            </w:r>
          </w:p>
          <w:p w:rsidR="00E44E3F" w:rsidRPr="00621EF8" w:rsidRDefault="00B47F76" w:rsidP="00E44E3F">
            <w:pPr>
              <w:pStyle w:val="ListParagraph"/>
              <w:numPr>
                <w:ilvl w:val="0"/>
                <w:numId w:val="24"/>
              </w:numPr>
              <w:spacing w:after="0" w:line="240" w:lineRule="auto"/>
              <w:jc w:val="both"/>
              <w:rPr>
                <w:rFonts w:ascii="Times New Roman" w:hAnsi="Times New Roman"/>
                <w:i/>
                <w:sz w:val="24"/>
                <w:szCs w:val="24"/>
              </w:rPr>
            </w:pPr>
            <w:r w:rsidRPr="00621EF8">
              <w:rPr>
                <w:rFonts w:ascii="Times New Roman" w:hAnsi="Times New Roman"/>
                <w:bCs/>
                <w:sz w:val="24"/>
                <w:szCs w:val="24"/>
              </w:rPr>
              <w:t xml:space="preserve">EST </w:t>
            </w:r>
            <w:r w:rsidR="008D4AC8" w:rsidRPr="00621EF8">
              <w:rPr>
                <w:rFonts w:ascii="Times New Roman" w:hAnsi="Times New Roman"/>
                <w:bCs/>
                <w:sz w:val="24"/>
                <w:szCs w:val="24"/>
              </w:rPr>
              <w:t>2013.</w:t>
            </w:r>
            <w:r w:rsidRPr="00621EF8">
              <w:rPr>
                <w:rFonts w:ascii="Times New Roman" w:hAnsi="Times New Roman"/>
                <w:bCs/>
                <w:sz w:val="24"/>
                <w:szCs w:val="24"/>
              </w:rPr>
              <w:t>gada 24.oktobra</w:t>
            </w:r>
            <w:r w:rsidR="008D4AC8" w:rsidRPr="00621EF8">
              <w:rPr>
                <w:rFonts w:ascii="Times New Roman" w:hAnsi="Times New Roman"/>
                <w:bCs/>
                <w:sz w:val="24"/>
                <w:szCs w:val="24"/>
              </w:rPr>
              <w:t xml:space="preserve"> spriedumam Drozdovs vs. AAS “Baltikums” lietā (C-277/12)</w:t>
            </w:r>
            <w:r w:rsidRPr="00621EF8">
              <w:rPr>
                <w:rFonts w:ascii="Times New Roman" w:hAnsi="Times New Roman"/>
                <w:sz w:val="24"/>
                <w:szCs w:val="24"/>
              </w:rPr>
              <w:t xml:space="preserve">, EST </w:t>
            </w:r>
            <w:r w:rsidR="008D4AC8" w:rsidRPr="00621EF8">
              <w:rPr>
                <w:rFonts w:ascii="Times New Roman" w:hAnsi="Times New Roman"/>
                <w:sz w:val="24"/>
                <w:szCs w:val="24"/>
              </w:rPr>
              <w:t>2013.</w:t>
            </w:r>
            <w:r w:rsidRPr="00621EF8">
              <w:rPr>
                <w:rFonts w:ascii="Times New Roman" w:hAnsi="Times New Roman"/>
                <w:sz w:val="24"/>
                <w:szCs w:val="24"/>
              </w:rPr>
              <w:t>gada 24.oktobra</w:t>
            </w:r>
            <w:r w:rsidR="008D4AC8" w:rsidRPr="00621EF8">
              <w:rPr>
                <w:rFonts w:ascii="Times New Roman" w:hAnsi="Times New Roman"/>
                <w:sz w:val="24"/>
                <w:szCs w:val="24"/>
              </w:rPr>
              <w:t xml:space="preserve"> spriedumam </w:t>
            </w:r>
            <w:hyperlink r:id="rId23" w:history="1">
              <w:proofErr w:type="spellStart"/>
              <w:r w:rsidR="008D4AC8" w:rsidRPr="00621EF8">
                <w:rPr>
                  <w:rStyle w:val="Hyperlink"/>
                  <w:rFonts w:ascii="Times New Roman" w:hAnsi="Times New Roman"/>
                  <w:i/>
                  <w:color w:val="auto"/>
                  <w:sz w:val="24"/>
                  <w:szCs w:val="24"/>
                  <w:u w:val="none"/>
                </w:rPr>
                <w:t>K.Haasová</w:t>
              </w:r>
              <w:proofErr w:type="spellEnd"/>
              <w:r w:rsidR="008D4AC8" w:rsidRPr="00621EF8">
                <w:rPr>
                  <w:rStyle w:val="Hyperlink"/>
                  <w:rFonts w:ascii="Times New Roman" w:hAnsi="Times New Roman"/>
                  <w:i/>
                  <w:color w:val="auto"/>
                  <w:sz w:val="24"/>
                  <w:szCs w:val="24"/>
                  <w:u w:val="none"/>
                </w:rPr>
                <w:t xml:space="preserve"> </w:t>
              </w:r>
              <w:r w:rsidR="008D4AC8" w:rsidRPr="00621EF8">
                <w:rPr>
                  <w:rStyle w:val="Hyperlink"/>
                  <w:rFonts w:ascii="Times New Roman" w:hAnsi="Times New Roman"/>
                  <w:color w:val="auto"/>
                  <w:sz w:val="24"/>
                  <w:szCs w:val="24"/>
                  <w:u w:val="none"/>
                </w:rPr>
                <w:t xml:space="preserve">pret </w:t>
              </w:r>
              <w:proofErr w:type="spellStart"/>
              <w:r w:rsidR="008D4AC8" w:rsidRPr="00621EF8">
                <w:rPr>
                  <w:rStyle w:val="Hyperlink"/>
                  <w:rFonts w:ascii="Times New Roman" w:hAnsi="Times New Roman"/>
                  <w:i/>
                  <w:color w:val="auto"/>
                  <w:sz w:val="24"/>
                  <w:szCs w:val="24"/>
                  <w:u w:val="none"/>
                </w:rPr>
                <w:t>Rastislav</w:t>
              </w:r>
              <w:proofErr w:type="spellEnd"/>
              <w:r w:rsidR="008D4AC8" w:rsidRPr="00621EF8">
                <w:rPr>
                  <w:rStyle w:val="Hyperlink"/>
                  <w:rFonts w:ascii="Times New Roman" w:hAnsi="Times New Roman"/>
                  <w:i/>
                  <w:color w:val="auto"/>
                  <w:sz w:val="24"/>
                  <w:szCs w:val="24"/>
                  <w:u w:val="none"/>
                </w:rPr>
                <w:t xml:space="preserve"> </w:t>
              </w:r>
              <w:proofErr w:type="spellStart"/>
              <w:r w:rsidR="008D4AC8" w:rsidRPr="00621EF8">
                <w:rPr>
                  <w:rStyle w:val="Hyperlink"/>
                  <w:rFonts w:ascii="Times New Roman" w:hAnsi="Times New Roman"/>
                  <w:i/>
                  <w:color w:val="auto"/>
                  <w:sz w:val="24"/>
                  <w:szCs w:val="24"/>
                  <w:u w:val="none"/>
                </w:rPr>
                <w:t>Petrík</w:t>
              </w:r>
              <w:proofErr w:type="spellEnd"/>
              <w:r w:rsidR="008D4AC8" w:rsidRPr="00621EF8">
                <w:rPr>
                  <w:rStyle w:val="Hyperlink"/>
                  <w:rFonts w:ascii="Times New Roman" w:hAnsi="Times New Roman"/>
                  <w:color w:val="auto"/>
                  <w:sz w:val="24"/>
                  <w:szCs w:val="24"/>
                  <w:u w:val="none"/>
                </w:rPr>
                <w:t xml:space="preserve">, </w:t>
              </w:r>
              <w:r w:rsidR="008D4AC8" w:rsidRPr="00621EF8">
                <w:rPr>
                  <w:rStyle w:val="Hyperlink"/>
                  <w:rFonts w:ascii="Times New Roman" w:hAnsi="Times New Roman"/>
                  <w:i/>
                  <w:color w:val="auto"/>
                  <w:sz w:val="24"/>
                  <w:szCs w:val="24"/>
                  <w:u w:val="none"/>
                </w:rPr>
                <w:t xml:space="preserve">Blanka </w:t>
              </w:r>
              <w:proofErr w:type="spellStart"/>
              <w:r w:rsidR="008D4AC8" w:rsidRPr="00621EF8">
                <w:rPr>
                  <w:rStyle w:val="Hyperlink"/>
                  <w:rFonts w:ascii="Times New Roman" w:hAnsi="Times New Roman"/>
                  <w:i/>
                  <w:color w:val="auto"/>
                  <w:sz w:val="24"/>
                  <w:szCs w:val="24"/>
                  <w:u w:val="none"/>
                </w:rPr>
                <w:t>Holingová</w:t>
              </w:r>
              <w:proofErr w:type="spellEnd"/>
              <w:r w:rsidR="008D4AC8" w:rsidRPr="00621EF8">
                <w:rPr>
                  <w:rStyle w:val="Hyperlink"/>
                  <w:rFonts w:ascii="Times New Roman" w:hAnsi="Times New Roman"/>
                  <w:i/>
                  <w:color w:val="auto"/>
                  <w:sz w:val="24"/>
                  <w:szCs w:val="24"/>
                  <w:u w:val="none"/>
                </w:rPr>
                <w:t xml:space="preserve"> </w:t>
              </w:r>
              <w:r w:rsidR="008D4AC8" w:rsidRPr="00621EF8">
                <w:rPr>
                  <w:rStyle w:val="Hyperlink"/>
                  <w:rFonts w:ascii="Times New Roman" w:hAnsi="Times New Roman"/>
                  <w:color w:val="auto"/>
                  <w:sz w:val="24"/>
                  <w:szCs w:val="24"/>
                  <w:u w:val="none"/>
                </w:rPr>
                <w:t>(Slovākijas lieta) (</w:t>
              </w:r>
              <w:r w:rsidR="008D4AC8" w:rsidRPr="00621EF8">
                <w:rPr>
                  <w:rStyle w:val="Hyperlink"/>
                  <w:rFonts w:ascii="Times New Roman" w:hAnsi="Times New Roman"/>
                  <w:i/>
                  <w:color w:val="auto"/>
                  <w:sz w:val="24"/>
                  <w:szCs w:val="24"/>
                  <w:u w:val="none"/>
                </w:rPr>
                <w:t>C</w:t>
              </w:r>
              <w:r w:rsidR="008D4AC8" w:rsidRPr="00621EF8">
                <w:rPr>
                  <w:rStyle w:val="Hyperlink"/>
                  <w:rFonts w:ascii="Times New Roman" w:hAnsi="Times New Roman"/>
                  <w:i/>
                  <w:color w:val="auto"/>
                  <w:sz w:val="24"/>
                  <w:szCs w:val="24"/>
                  <w:u w:val="none"/>
                </w:rPr>
                <w:noBreakHyphen/>
                <w:t>22/12</w:t>
              </w:r>
              <w:r w:rsidR="008D4AC8" w:rsidRPr="00621EF8">
                <w:rPr>
                  <w:rStyle w:val="Hyperlink"/>
                  <w:rFonts w:ascii="Times New Roman" w:hAnsi="Times New Roman"/>
                  <w:color w:val="auto"/>
                  <w:sz w:val="24"/>
                  <w:szCs w:val="24"/>
                  <w:u w:val="none"/>
                </w:rPr>
                <w:t>),</w:t>
              </w:r>
            </w:hyperlink>
            <w:r w:rsidR="008D4AC8" w:rsidRPr="00621EF8">
              <w:rPr>
                <w:rStyle w:val="Hyperlink"/>
                <w:rFonts w:ascii="Times New Roman" w:hAnsi="Times New Roman"/>
                <w:color w:val="auto"/>
                <w:sz w:val="24"/>
                <w:szCs w:val="24"/>
                <w:u w:val="none"/>
              </w:rPr>
              <w:t xml:space="preserve"> EST  </w:t>
            </w:r>
            <w:r w:rsidR="008D4AC8" w:rsidRPr="00621EF8">
              <w:rPr>
                <w:rFonts w:ascii="Times New Roman" w:hAnsi="Times New Roman"/>
                <w:sz w:val="24"/>
                <w:szCs w:val="24"/>
              </w:rPr>
              <w:t xml:space="preserve">23.01.2014. spriedumam </w:t>
            </w:r>
            <w:r w:rsidR="008D4AC8" w:rsidRPr="00621EF8">
              <w:rPr>
                <w:rFonts w:ascii="Times New Roman" w:hAnsi="Times New Roman"/>
                <w:i/>
                <w:sz w:val="24"/>
                <w:szCs w:val="24"/>
              </w:rPr>
              <w:t xml:space="preserve">Enrico Petillo, Carlo Petillo v Unipol </w:t>
            </w:r>
            <w:r w:rsidR="008D4AC8" w:rsidRPr="00621EF8">
              <w:rPr>
                <w:rFonts w:ascii="Times New Roman" w:hAnsi="Times New Roman"/>
                <w:sz w:val="24"/>
                <w:szCs w:val="24"/>
              </w:rPr>
              <w:t>(Itālijas lieta)</w:t>
            </w:r>
            <w:r w:rsidR="008D4AC8" w:rsidRPr="00621EF8">
              <w:rPr>
                <w:rFonts w:ascii="Times New Roman" w:hAnsi="Times New Roman"/>
                <w:i/>
                <w:sz w:val="24"/>
                <w:szCs w:val="24"/>
              </w:rPr>
              <w:t xml:space="preserve"> (C- 371/12</w:t>
            </w:r>
            <w:r w:rsidRPr="00621EF8">
              <w:rPr>
                <w:rFonts w:ascii="Times New Roman" w:hAnsi="Times New Roman"/>
                <w:i/>
                <w:sz w:val="24"/>
                <w:szCs w:val="24"/>
              </w:rPr>
              <w:t>)</w:t>
            </w:r>
          </w:p>
          <w:p w:rsidR="00983259" w:rsidRPr="00621EF8" w:rsidRDefault="00E44E3F" w:rsidP="00E44E3F">
            <w:pPr>
              <w:pStyle w:val="ListParagraph"/>
              <w:numPr>
                <w:ilvl w:val="0"/>
                <w:numId w:val="24"/>
              </w:numPr>
              <w:spacing w:after="0" w:line="240" w:lineRule="auto"/>
              <w:jc w:val="both"/>
            </w:pPr>
            <w:r w:rsidRPr="00621EF8">
              <w:rPr>
                <w:rFonts w:ascii="Times New Roman" w:hAnsi="Times New Roman"/>
                <w:sz w:val="24"/>
                <w:szCs w:val="24"/>
              </w:rPr>
              <w:t xml:space="preserve"> Eiropas Brīvās tirdzniecības asociācijas 2008.gada 20.jūnija spriedumam lietā E-8/07 </w:t>
            </w:r>
            <w:r w:rsidRPr="00621EF8">
              <w:rPr>
                <w:rFonts w:ascii="Times New Roman" w:hAnsi="Times New Roman"/>
                <w:i/>
                <w:sz w:val="24"/>
                <w:szCs w:val="24"/>
              </w:rPr>
              <w:t>Celina Nguyen</w:t>
            </w:r>
            <w:r w:rsidRPr="00621EF8">
              <w:rPr>
                <w:rFonts w:ascii="Times New Roman" w:hAnsi="Times New Roman"/>
                <w:sz w:val="24"/>
                <w:szCs w:val="24"/>
              </w:rPr>
              <w:t>, no kura izriet, ka ar Pirmās (</w:t>
            </w:r>
            <w:hyperlink r:id="rId24" w:tgtFrame="_blank" w:tooltip="DIREKTĪVA" w:history="1">
              <w:r w:rsidRPr="00621EF8">
                <w:rPr>
                  <w:rStyle w:val="Hyperlink"/>
                  <w:rFonts w:ascii="Times New Roman" w:hAnsi="Times New Roman"/>
                  <w:sz w:val="24"/>
                  <w:szCs w:val="24"/>
                </w:rPr>
                <w:t>72/166/EEK</w:t>
              </w:r>
            </w:hyperlink>
            <w:r w:rsidRPr="00621EF8">
              <w:rPr>
                <w:rFonts w:ascii="Times New Roman" w:hAnsi="Times New Roman"/>
                <w:sz w:val="24"/>
                <w:szCs w:val="24"/>
              </w:rPr>
              <w:t>), Otrās (</w:t>
            </w:r>
            <w:hyperlink r:id="rId25" w:tgtFrame="_blank" w:tooltip="DIREKTĪVA" w:history="1">
              <w:r w:rsidRPr="00621EF8">
                <w:rPr>
                  <w:rStyle w:val="Hyperlink"/>
                  <w:rFonts w:ascii="Times New Roman" w:hAnsi="Times New Roman"/>
                  <w:sz w:val="24"/>
                  <w:szCs w:val="24"/>
                </w:rPr>
                <w:t>84/5/EEK</w:t>
              </w:r>
            </w:hyperlink>
            <w:r w:rsidRPr="00621EF8">
              <w:rPr>
                <w:rFonts w:ascii="Times New Roman" w:hAnsi="Times New Roman"/>
                <w:sz w:val="24"/>
                <w:szCs w:val="24"/>
              </w:rPr>
              <w:t>) un Trešās (</w:t>
            </w:r>
            <w:hyperlink r:id="rId26" w:tgtFrame="_blank" w:tooltip="DIREKTĪVA" w:history="1">
              <w:r w:rsidRPr="00621EF8">
                <w:rPr>
                  <w:rStyle w:val="Hyperlink"/>
                  <w:rFonts w:ascii="Times New Roman" w:hAnsi="Times New Roman"/>
                  <w:sz w:val="24"/>
                  <w:szCs w:val="24"/>
                </w:rPr>
                <w:t>90/232/EEK</w:t>
              </w:r>
            </w:hyperlink>
            <w:r w:rsidRPr="00621EF8">
              <w:rPr>
                <w:rFonts w:ascii="Times New Roman" w:hAnsi="Times New Roman"/>
                <w:sz w:val="24"/>
                <w:szCs w:val="24"/>
              </w:rPr>
              <w:t>) transportlīdzekļu apdrošināšanas direktīvu nav saderīgs tas, ka atlīdzība par nemateriālajiem zaudējumiem (sāpēm un ciešanām) (</w:t>
            </w:r>
            <w:r w:rsidRPr="00621EF8">
              <w:rPr>
                <w:rFonts w:ascii="Times New Roman" w:hAnsi="Times New Roman"/>
                <w:i/>
                <w:sz w:val="24"/>
                <w:szCs w:val="24"/>
              </w:rPr>
              <w:t>redress for non-economic injury („pain and suffering”)</w:t>
            </w:r>
            <w:r w:rsidRPr="00621EF8">
              <w:rPr>
                <w:rFonts w:ascii="Times New Roman" w:hAnsi="Times New Roman"/>
                <w:sz w:val="24"/>
                <w:szCs w:val="24"/>
              </w:rPr>
              <w:t>), kas ir civiltiesiskās atbildības forma,  netiek ietverta obligātās apdrošināšanas sistēmā</w:t>
            </w:r>
            <w:r w:rsidRPr="00621EF8">
              <w:rPr>
                <w:rFonts w:ascii="Times New Roman" w:hAnsi="Times New Roman"/>
                <w:i/>
                <w:sz w:val="24"/>
                <w:szCs w:val="24"/>
              </w:rPr>
              <w:t>.</w:t>
            </w:r>
          </w:p>
        </w:tc>
      </w:tr>
      <w:tr w:rsidR="00983259" w:rsidRPr="00621EF8" w:rsidTr="00983259">
        <w:tc>
          <w:tcPr>
            <w:tcW w:w="250" w:type="pct"/>
            <w:tcBorders>
              <w:top w:val="outset" w:sz="6" w:space="0" w:color="auto"/>
              <w:left w:val="outset" w:sz="6" w:space="0" w:color="auto"/>
              <w:bottom w:val="outset" w:sz="6" w:space="0" w:color="auto"/>
              <w:right w:val="outset" w:sz="6" w:space="0" w:color="auto"/>
            </w:tcBorders>
            <w:hideMark/>
          </w:tcPr>
          <w:p w:rsidR="00983259" w:rsidRPr="00621EF8" w:rsidRDefault="00983259" w:rsidP="00983259">
            <w:pPr>
              <w:rPr>
                <w:lang w:eastAsia="zh-CN"/>
              </w:rPr>
            </w:pPr>
            <w:r w:rsidRPr="00621EF8">
              <w:rPr>
                <w:lang w:eastAsia="zh-CN"/>
              </w:rPr>
              <w:lastRenderedPageBreak/>
              <w:t>2.</w:t>
            </w:r>
          </w:p>
        </w:tc>
        <w:tc>
          <w:tcPr>
            <w:tcW w:w="4890" w:type="dxa"/>
            <w:tcBorders>
              <w:top w:val="outset" w:sz="6" w:space="0" w:color="auto"/>
              <w:left w:val="outset" w:sz="6" w:space="0" w:color="auto"/>
              <w:bottom w:val="outset" w:sz="6" w:space="0" w:color="auto"/>
              <w:right w:val="outset" w:sz="6" w:space="0" w:color="auto"/>
            </w:tcBorders>
            <w:hideMark/>
          </w:tcPr>
          <w:p w:rsidR="00983259" w:rsidRPr="00621EF8" w:rsidRDefault="00983259" w:rsidP="00983259">
            <w:pPr>
              <w:rPr>
                <w:lang w:eastAsia="zh-CN"/>
              </w:rPr>
            </w:pPr>
            <w:r w:rsidRPr="00621EF8">
              <w:rPr>
                <w:lang w:eastAsia="zh-CN"/>
              </w:rPr>
              <w:t>Citas starptautiskās saistības</w:t>
            </w:r>
          </w:p>
        </w:tc>
        <w:tc>
          <w:tcPr>
            <w:tcW w:w="3300" w:type="pct"/>
            <w:tcBorders>
              <w:top w:val="outset" w:sz="6" w:space="0" w:color="auto"/>
              <w:left w:val="outset" w:sz="6" w:space="0" w:color="auto"/>
              <w:bottom w:val="outset" w:sz="6" w:space="0" w:color="auto"/>
              <w:right w:val="outset" w:sz="6" w:space="0" w:color="auto"/>
            </w:tcBorders>
            <w:hideMark/>
          </w:tcPr>
          <w:p w:rsidR="00983259" w:rsidRPr="00621EF8" w:rsidRDefault="008D4AC8" w:rsidP="00983259">
            <w:pPr>
              <w:rPr>
                <w:lang w:eastAsia="zh-CN"/>
              </w:rPr>
            </w:pPr>
            <w:r w:rsidRPr="00621EF8">
              <w:rPr>
                <w:lang w:eastAsia="zh-CN"/>
              </w:rPr>
              <w:t>Nav.</w:t>
            </w:r>
          </w:p>
        </w:tc>
      </w:tr>
      <w:tr w:rsidR="00983259" w:rsidRPr="00621EF8" w:rsidTr="00983259">
        <w:tc>
          <w:tcPr>
            <w:tcW w:w="250" w:type="pct"/>
            <w:tcBorders>
              <w:top w:val="outset" w:sz="6" w:space="0" w:color="auto"/>
              <w:left w:val="outset" w:sz="6" w:space="0" w:color="auto"/>
              <w:bottom w:val="outset" w:sz="6" w:space="0" w:color="auto"/>
              <w:right w:val="outset" w:sz="6" w:space="0" w:color="auto"/>
            </w:tcBorders>
            <w:hideMark/>
          </w:tcPr>
          <w:p w:rsidR="00983259" w:rsidRPr="00621EF8" w:rsidRDefault="00983259" w:rsidP="00983259">
            <w:pPr>
              <w:rPr>
                <w:lang w:eastAsia="zh-CN"/>
              </w:rPr>
            </w:pPr>
            <w:r w:rsidRPr="00621EF8">
              <w:rPr>
                <w:lang w:eastAsia="zh-CN"/>
              </w:rPr>
              <w:t>3.</w:t>
            </w:r>
          </w:p>
        </w:tc>
        <w:tc>
          <w:tcPr>
            <w:tcW w:w="4890" w:type="dxa"/>
            <w:tcBorders>
              <w:top w:val="outset" w:sz="6" w:space="0" w:color="auto"/>
              <w:left w:val="outset" w:sz="6" w:space="0" w:color="auto"/>
              <w:bottom w:val="outset" w:sz="6" w:space="0" w:color="auto"/>
              <w:right w:val="outset" w:sz="6" w:space="0" w:color="auto"/>
            </w:tcBorders>
            <w:hideMark/>
          </w:tcPr>
          <w:p w:rsidR="00983259" w:rsidRPr="00621EF8" w:rsidRDefault="00983259" w:rsidP="00983259">
            <w:pPr>
              <w:rPr>
                <w:lang w:eastAsia="zh-CN"/>
              </w:rPr>
            </w:pPr>
            <w:r w:rsidRPr="00621EF8">
              <w:rPr>
                <w:lang w:eastAsia="zh-CN"/>
              </w:rPr>
              <w:t>Cita informācija</w:t>
            </w:r>
          </w:p>
        </w:tc>
        <w:tc>
          <w:tcPr>
            <w:tcW w:w="3300" w:type="pct"/>
            <w:tcBorders>
              <w:top w:val="outset" w:sz="6" w:space="0" w:color="auto"/>
              <w:left w:val="outset" w:sz="6" w:space="0" w:color="auto"/>
              <w:bottom w:val="outset" w:sz="6" w:space="0" w:color="auto"/>
              <w:right w:val="outset" w:sz="6" w:space="0" w:color="auto"/>
            </w:tcBorders>
            <w:hideMark/>
          </w:tcPr>
          <w:p w:rsidR="00983259" w:rsidRPr="00621EF8" w:rsidRDefault="00FF640C" w:rsidP="00C2317B">
            <w:pPr>
              <w:jc w:val="both"/>
              <w:rPr>
                <w:lang w:eastAsia="zh-CN"/>
              </w:rPr>
            </w:pPr>
            <w:r w:rsidRPr="00621EF8">
              <w:rPr>
                <w:lang w:eastAsia="zh-CN"/>
              </w:rPr>
              <w:t>Nav.</w:t>
            </w:r>
          </w:p>
        </w:tc>
      </w:tr>
    </w:tbl>
    <w:p w:rsidR="00983259" w:rsidRPr="00621EF8" w:rsidRDefault="00983259" w:rsidP="00C2317B">
      <w:pPr>
        <w:rPr>
          <w:lang w:eastAsia="zh-CN"/>
        </w:rPr>
      </w:pPr>
    </w:p>
    <w:tbl>
      <w:tblPr>
        <w:tblW w:w="5000" w:type="pct"/>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622"/>
      </w:tblGrid>
      <w:tr w:rsidR="00983259" w:rsidRPr="00621EF8" w:rsidTr="00983259">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B6C7D" w:rsidRPr="00621EF8" w:rsidRDefault="009B6C7D" w:rsidP="00764279">
            <w:pPr>
              <w:jc w:val="center"/>
              <w:rPr>
                <w:b/>
                <w:bCs/>
                <w:lang w:eastAsia="zh-CN"/>
              </w:rPr>
            </w:pPr>
            <w:r w:rsidRPr="00621EF8">
              <w:rPr>
                <w:b/>
                <w:bCs/>
                <w:lang w:eastAsia="zh-CN"/>
              </w:rPr>
              <w:t>1.tabula</w:t>
            </w:r>
          </w:p>
          <w:p w:rsidR="00983259" w:rsidRPr="00621EF8" w:rsidRDefault="00983259" w:rsidP="00C2317B">
            <w:pPr>
              <w:jc w:val="center"/>
              <w:rPr>
                <w:lang w:eastAsia="zh-CN"/>
              </w:rPr>
            </w:pPr>
            <w:r w:rsidRPr="00621EF8">
              <w:rPr>
                <w:b/>
                <w:bCs/>
                <w:lang w:eastAsia="zh-CN"/>
              </w:rPr>
              <w:t>Tiesību akta projekta atbilstība ES tiesību aktiem</w:t>
            </w:r>
          </w:p>
        </w:tc>
      </w:tr>
      <w:tr w:rsidR="00C2317B" w:rsidRPr="00621EF8" w:rsidTr="007B751B">
        <w:trPr>
          <w:jc w:val="center"/>
        </w:trPr>
        <w:tc>
          <w:tcPr>
            <w:tcW w:w="5000" w:type="pct"/>
            <w:tcBorders>
              <w:top w:val="outset" w:sz="6" w:space="0" w:color="auto"/>
              <w:left w:val="outset" w:sz="6" w:space="0" w:color="auto"/>
              <w:bottom w:val="outset" w:sz="6" w:space="0" w:color="auto"/>
              <w:right w:val="outset" w:sz="6" w:space="0" w:color="auto"/>
            </w:tcBorders>
            <w:hideMark/>
          </w:tcPr>
          <w:p w:rsidR="00C2317B" w:rsidRPr="00621EF8" w:rsidRDefault="00C2317B" w:rsidP="00C2317B">
            <w:pPr>
              <w:jc w:val="center"/>
              <w:rPr>
                <w:lang w:eastAsia="zh-CN"/>
              </w:rPr>
            </w:pPr>
            <w:r w:rsidRPr="00621EF8">
              <w:rPr>
                <w:lang w:eastAsia="zh-CN"/>
              </w:rPr>
              <w:t>Projekts šo jomu neskar</w:t>
            </w:r>
          </w:p>
        </w:tc>
      </w:tr>
    </w:tbl>
    <w:p w:rsidR="00FF640C" w:rsidRPr="00621EF8" w:rsidRDefault="00FF640C"/>
    <w:tbl>
      <w:tblPr>
        <w:tblW w:w="5000" w:type="pct"/>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622"/>
      </w:tblGrid>
      <w:tr w:rsidR="00983259" w:rsidRPr="00621EF8" w:rsidTr="00983259">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F640C" w:rsidRPr="00621EF8" w:rsidRDefault="00FF640C" w:rsidP="00764279">
            <w:pPr>
              <w:jc w:val="center"/>
              <w:rPr>
                <w:b/>
                <w:bCs/>
                <w:lang w:eastAsia="zh-CN"/>
              </w:rPr>
            </w:pPr>
            <w:r w:rsidRPr="00621EF8">
              <w:rPr>
                <w:b/>
                <w:bCs/>
                <w:lang w:eastAsia="zh-CN"/>
              </w:rPr>
              <w:t>2.tabula</w:t>
            </w:r>
          </w:p>
          <w:p w:rsidR="00983259" w:rsidRPr="00621EF8" w:rsidRDefault="00983259" w:rsidP="00764279">
            <w:pPr>
              <w:jc w:val="center"/>
              <w:rPr>
                <w:lang w:eastAsia="zh-CN"/>
              </w:rPr>
            </w:pPr>
            <w:r w:rsidRPr="00621EF8">
              <w:rPr>
                <w:b/>
                <w:bCs/>
                <w:lang w:eastAsia="zh-CN"/>
              </w:rPr>
              <w:t>Ar tiesību akta projektu izpildītās vai uzņemtās saistības, kas izriet no starptautiskajiem tiesību aktiem vai starptautiskas institūcijas</w:t>
            </w:r>
            <w:r w:rsidR="00FF640C" w:rsidRPr="00621EF8">
              <w:rPr>
                <w:b/>
                <w:bCs/>
                <w:lang w:eastAsia="zh-CN"/>
              </w:rPr>
              <w:t xml:space="preserve"> vai organizācijas dokumentiem. </w:t>
            </w:r>
            <w:r w:rsidRPr="00621EF8">
              <w:rPr>
                <w:b/>
                <w:bCs/>
                <w:lang w:eastAsia="zh-CN"/>
              </w:rPr>
              <w:t>Pasākumi šo saistību izpildei</w:t>
            </w:r>
          </w:p>
        </w:tc>
      </w:tr>
      <w:tr w:rsidR="005F6AB9" w:rsidRPr="00621EF8" w:rsidTr="005F6AB9">
        <w:trPr>
          <w:jc w:val="center"/>
        </w:trPr>
        <w:tc>
          <w:tcPr>
            <w:tcW w:w="5000" w:type="pct"/>
            <w:tcBorders>
              <w:top w:val="outset" w:sz="6" w:space="0" w:color="auto"/>
              <w:left w:val="outset" w:sz="6" w:space="0" w:color="auto"/>
              <w:bottom w:val="outset" w:sz="6" w:space="0" w:color="auto"/>
              <w:right w:val="outset" w:sz="6" w:space="0" w:color="auto"/>
            </w:tcBorders>
            <w:vAlign w:val="center"/>
          </w:tcPr>
          <w:p w:rsidR="005F6AB9" w:rsidRPr="00621EF8" w:rsidRDefault="005F6AB9" w:rsidP="00C2317B">
            <w:pPr>
              <w:jc w:val="center"/>
              <w:rPr>
                <w:lang w:eastAsia="zh-CN"/>
              </w:rPr>
            </w:pPr>
            <w:r w:rsidRPr="00621EF8">
              <w:rPr>
                <w:lang w:eastAsia="zh-CN"/>
              </w:rPr>
              <w:t>Projekts šo jomu neskar</w:t>
            </w:r>
          </w:p>
        </w:tc>
      </w:tr>
    </w:tbl>
    <w:p w:rsidR="00983259" w:rsidRPr="00621EF8" w:rsidRDefault="00983259" w:rsidP="00C2317B">
      <w:pPr>
        <w:rPr>
          <w:lang w:eastAsia="zh-CN"/>
        </w:rPr>
      </w:pPr>
    </w:p>
    <w:tbl>
      <w:tblPr>
        <w:tblW w:w="5000" w:type="pct"/>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81"/>
        <w:gridCol w:w="2887"/>
        <w:gridCol w:w="6254"/>
      </w:tblGrid>
      <w:tr w:rsidR="00983259" w:rsidRPr="00621EF8" w:rsidTr="00983259">
        <w:trPr>
          <w:trHeight w:val="420"/>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983259" w:rsidRPr="00621EF8" w:rsidRDefault="00983259" w:rsidP="00983259">
            <w:pPr>
              <w:spacing w:before="100" w:beforeAutospacing="1" w:after="100" w:afterAutospacing="1"/>
              <w:rPr>
                <w:lang w:eastAsia="zh-CN"/>
              </w:rPr>
            </w:pPr>
            <w:r w:rsidRPr="00621EF8">
              <w:rPr>
                <w:b/>
                <w:bCs/>
                <w:lang w:eastAsia="zh-CN"/>
              </w:rPr>
              <w:t>VI. Sabiedrības līdzdalība un komunikācijas aktivitātes</w:t>
            </w:r>
          </w:p>
        </w:tc>
      </w:tr>
      <w:tr w:rsidR="00983259" w:rsidRPr="00621EF8" w:rsidTr="00983259">
        <w:trPr>
          <w:trHeight w:val="540"/>
          <w:jc w:val="center"/>
        </w:trPr>
        <w:tc>
          <w:tcPr>
            <w:tcW w:w="250" w:type="pct"/>
            <w:tcBorders>
              <w:top w:val="outset" w:sz="6" w:space="0" w:color="auto"/>
              <w:left w:val="outset" w:sz="6" w:space="0" w:color="auto"/>
              <w:bottom w:val="outset" w:sz="6" w:space="0" w:color="auto"/>
              <w:right w:val="outset" w:sz="6" w:space="0" w:color="auto"/>
            </w:tcBorders>
            <w:hideMark/>
          </w:tcPr>
          <w:p w:rsidR="00983259" w:rsidRPr="00621EF8" w:rsidRDefault="00983259" w:rsidP="00983259">
            <w:pPr>
              <w:rPr>
                <w:lang w:eastAsia="zh-CN"/>
              </w:rPr>
            </w:pPr>
            <w:r w:rsidRPr="00621EF8">
              <w:rPr>
                <w:lang w:eastAsia="zh-CN"/>
              </w:rPr>
              <w:t>1.</w:t>
            </w:r>
          </w:p>
        </w:tc>
        <w:tc>
          <w:tcPr>
            <w:tcW w:w="1500" w:type="pct"/>
            <w:tcBorders>
              <w:top w:val="outset" w:sz="6" w:space="0" w:color="auto"/>
              <w:left w:val="outset" w:sz="6" w:space="0" w:color="auto"/>
              <w:bottom w:val="outset" w:sz="6" w:space="0" w:color="auto"/>
              <w:right w:val="outset" w:sz="6" w:space="0" w:color="auto"/>
            </w:tcBorders>
            <w:hideMark/>
          </w:tcPr>
          <w:p w:rsidR="00983259" w:rsidRPr="00621EF8" w:rsidRDefault="00983259" w:rsidP="00983259">
            <w:pPr>
              <w:rPr>
                <w:lang w:eastAsia="zh-CN"/>
              </w:rPr>
            </w:pPr>
            <w:r w:rsidRPr="00621EF8">
              <w:rPr>
                <w:lang w:eastAsia="zh-CN"/>
              </w:rPr>
              <w:t>Plānotās sabiedrības līdzdalības un komunikācijas aktivitātes saistībā ar projektu</w:t>
            </w:r>
          </w:p>
        </w:tc>
        <w:tc>
          <w:tcPr>
            <w:tcW w:w="3250" w:type="pct"/>
            <w:tcBorders>
              <w:top w:val="outset" w:sz="6" w:space="0" w:color="auto"/>
              <w:left w:val="outset" w:sz="6" w:space="0" w:color="auto"/>
              <w:bottom w:val="outset" w:sz="6" w:space="0" w:color="auto"/>
              <w:right w:val="outset" w:sz="6" w:space="0" w:color="auto"/>
            </w:tcBorders>
            <w:hideMark/>
          </w:tcPr>
          <w:p w:rsidR="00983259" w:rsidRPr="00621EF8" w:rsidRDefault="005F6AB9" w:rsidP="0029506B">
            <w:pPr>
              <w:jc w:val="both"/>
              <w:rPr>
                <w:iCs/>
              </w:rPr>
            </w:pPr>
            <w:r w:rsidRPr="00621EF8">
              <w:rPr>
                <w:iCs/>
              </w:rPr>
              <w:t xml:space="preserve">2014.gada 5.februāra sēdē </w:t>
            </w:r>
            <w:r w:rsidR="001164A1" w:rsidRPr="00621EF8">
              <w:t xml:space="preserve">Transportlīdzekļu apdrošinātāju biroja </w:t>
            </w:r>
            <w:r w:rsidR="001164A1" w:rsidRPr="00621EF8">
              <w:rPr>
                <w:iCs/>
              </w:rPr>
              <w:t>Konsultatīvās padomes</w:t>
            </w:r>
            <w:r w:rsidRPr="00621EF8">
              <w:rPr>
                <w:iCs/>
              </w:rPr>
              <w:t xml:space="preserve"> locekļi ir iepazīstināti ar to, ka nepieciešamas izmaiņas spēkā esošajā tiesiskajā regulējumā par personai nodarīto nema</w:t>
            </w:r>
            <w:r w:rsidR="00EE4A60" w:rsidRPr="00621EF8">
              <w:rPr>
                <w:iCs/>
              </w:rPr>
              <w:t>teriālo zaudējumu atlīdzināšanu. Konsultatīvās padomes locekļi atbalsta izmaiņu nepieciešamību spēkā esošajā regulējumā</w:t>
            </w:r>
            <w:r w:rsidR="001164A1" w:rsidRPr="00621EF8">
              <w:rPr>
                <w:iCs/>
              </w:rPr>
              <w:t>.</w:t>
            </w:r>
          </w:p>
          <w:p w:rsidR="005F6AB9" w:rsidRPr="00621EF8" w:rsidRDefault="005F6AB9" w:rsidP="0029506B">
            <w:pPr>
              <w:jc w:val="both"/>
            </w:pPr>
            <w:r w:rsidRPr="00621EF8">
              <w:rPr>
                <w:color w:val="000000"/>
              </w:rPr>
              <w:t xml:space="preserve">2014.gada 6.martā Finanšu ministrijā notika </w:t>
            </w:r>
            <w:r w:rsidRPr="00621EF8">
              <w:rPr>
                <w:bCs/>
                <w:color w:val="000000"/>
              </w:rPr>
              <w:t xml:space="preserve">sanāksme, kurā piedalījās Finanšu ministrijas, Tieslietu ministrijas, Finanšu un kapitāla tirgus komisijas un </w:t>
            </w:r>
            <w:r w:rsidRPr="00621EF8">
              <w:t>Transportlīdzekļu apdrošinātāju biroja pārstāvji, lai rastu risinājumu, kādā veidā būtu iespējams īstenot iepriekš minētajos EST spriedumos secināto, kā rezultātā tika panākta vienošanās, ka labākais risinājums ir jaunu Ministru kabineta noteikumu izstrāde</w:t>
            </w:r>
            <w:r w:rsidR="00951AA4" w:rsidRPr="00621EF8">
              <w:t>, t.i., noteikumu projekta izstrāde.</w:t>
            </w:r>
          </w:p>
          <w:p w:rsidR="00951AA4" w:rsidRPr="00621EF8" w:rsidRDefault="00951AA4" w:rsidP="0029506B">
            <w:pPr>
              <w:jc w:val="both"/>
              <w:rPr>
                <w:lang w:eastAsia="zh-CN"/>
              </w:rPr>
            </w:pPr>
            <w:r w:rsidRPr="00621EF8">
              <w:t xml:space="preserve">Noteikumu projekts saskaņots ar Transportlīdzekļu apdrošinātāju biroju un tā biedriem, </w:t>
            </w:r>
            <w:r w:rsidRPr="00621EF8">
              <w:rPr>
                <w:bCs/>
                <w:color w:val="000000"/>
              </w:rPr>
              <w:t>Finanšu un kapitāla tirgus komisiju un Tieslietu ministriju.</w:t>
            </w:r>
          </w:p>
        </w:tc>
      </w:tr>
      <w:tr w:rsidR="00983259" w:rsidRPr="00621EF8" w:rsidTr="00983259">
        <w:trPr>
          <w:trHeight w:val="330"/>
          <w:jc w:val="center"/>
        </w:trPr>
        <w:tc>
          <w:tcPr>
            <w:tcW w:w="250" w:type="pct"/>
            <w:tcBorders>
              <w:top w:val="outset" w:sz="6" w:space="0" w:color="auto"/>
              <w:left w:val="outset" w:sz="6" w:space="0" w:color="auto"/>
              <w:bottom w:val="outset" w:sz="6" w:space="0" w:color="auto"/>
              <w:right w:val="outset" w:sz="6" w:space="0" w:color="auto"/>
            </w:tcBorders>
            <w:hideMark/>
          </w:tcPr>
          <w:p w:rsidR="00983259" w:rsidRPr="00621EF8" w:rsidRDefault="00983259" w:rsidP="00983259">
            <w:pPr>
              <w:rPr>
                <w:lang w:eastAsia="zh-CN"/>
              </w:rPr>
            </w:pPr>
            <w:r w:rsidRPr="00621EF8">
              <w:rPr>
                <w:lang w:eastAsia="zh-CN"/>
              </w:rPr>
              <w:t>2.</w:t>
            </w:r>
          </w:p>
        </w:tc>
        <w:tc>
          <w:tcPr>
            <w:tcW w:w="1500" w:type="pct"/>
            <w:tcBorders>
              <w:top w:val="outset" w:sz="6" w:space="0" w:color="auto"/>
              <w:left w:val="outset" w:sz="6" w:space="0" w:color="auto"/>
              <w:bottom w:val="outset" w:sz="6" w:space="0" w:color="auto"/>
              <w:right w:val="outset" w:sz="6" w:space="0" w:color="auto"/>
            </w:tcBorders>
            <w:hideMark/>
          </w:tcPr>
          <w:p w:rsidR="00983259" w:rsidRPr="00621EF8" w:rsidRDefault="00983259" w:rsidP="00983259">
            <w:pPr>
              <w:rPr>
                <w:lang w:eastAsia="zh-CN"/>
              </w:rPr>
            </w:pPr>
            <w:r w:rsidRPr="00621EF8">
              <w:rPr>
                <w:lang w:eastAsia="zh-CN"/>
              </w:rPr>
              <w:t>Sabiedrības līdzdalība projekta izstrādē</w:t>
            </w:r>
          </w:p>
        </w:tc>
        <w:tc>
          <w:tcPr>
            <w:tcW w:w="3250" w:type="pct"/>
            <w:tcBorders>
              <w:top w:val="outset" w:sz="6" w:space="0" w:color="auto"/>
              <w:left w:val="outset" w:sz="6" w:space="0" w:color="auto"/>
              <w:bottom w:val="outset" w:sz="6" w:space="0" w:color="auto"/>
              <w:right w:val="outset" w:sz="6" w:space="0" w:color="auto"/>
            </w:tcBorders>
            <w:hideMark/>
          </w:tcPr>
          <w:p w:rsidR="00983259" w:rsidRPr="00621EF8" w:rsidRDefault="00623E9D" w:rsidP="00983259">
            <w:pPr>
              <w:rPr>
                <w:lang w:eastAsia="zh-CN"/>
              </w:rPr>
            </w:pPr>
            <w:r w:rsidRPr="00621EF8">
              <w:rPr>
                <w:lang w:eastAsia="zh-CN"/>
              </w:rPr>
              <w:t>Nav</w:t>
            </w:r>
          </w:p>
        </w:tc>
      </w:tr>
      <w:tr w:rsidR="00983259" w:rsidRPr="00621EF8" w:rsidTr="00983259">
        <w:trPr>
          <w:trHeight w:val="465"/>
          <w:jc w:val="center"/>
        </w:trPr>
        <w:tc>
          <w:tcPr>
            <w:tcW w:w="250" w:type="pct"/>
            <w:tcBorders>
              <w:top w:val="outset" w:sz="6" w:space="0" w:color="auto"/>
              <w:left w:val="outset" w:sz="6" w:space="0" w:color="auto"/>
              <w:bottom w:val="outset" w:sz="6" w:space="0" w:color="auto"/>
              <w:right w:val="outset" w:sz="6" w:space="0" w:color="auto"/>
            </w:tcBorders>
            <w:hideMark/>
          </w:tcPr>
          <w:p w:rsidR="00983259" w:rsidRPr="00621EF8" w:rsidRDefault="00983259" w:rsidP="00983259">
            <w:pPr>
              <w:rPr>
                <w:lang w:eastAsia="zh-CN"/>
              </w:rPr>
            </w:pPr>
            <w:r w:rsidRPr="00621EF8">
              <w:rPr>
                <w:lang w:eastAsia="zh-CN"/>
              </w:rPr>
              <w:t>3.</w:t>
            </w:r>
          </w:p>
        </w:tc>
        <w:tc>
          <w:tcPr>
            <w:tcW w:w="1500" w:type="pct"/>
            <w:tcBorders>
              <w:top w:val="outset" w:sz="6" w:space="0" w:color="auto"/>
              <w:left w:val="outset" w:sz="6" w:space="0" w:color="auto"/>
              <w:bottom w:val="outset" w:sz="6" w:space="0" w:color="auto"/>
              <w:right w:val="outset" w:sz="6" w:space="0" w:color="auto"/>
            </w:tcBorders>
            <w:hideMark/>
          </w:tcPr>
          <w:p w:rsidR="00983259" w:rsidRPr="00621EF8" w:rsidRDefault="00983259" w:rsidP="00983259">
            <w:pPr>
              <w:rPr>
                <w:lang w:eastAsia="zh-CN"/>
              </w:rPr>
            </w:pPr>
            <w:r w:rsidRPr="00621EF8">
              <w:rPr>
                <w:lang w:eastAsia="zh-CN"/>
              </w:rPr>
              <w:t>Sabiedrības līdzdalības rezultāti</w:t>
            </w:r>
          </w:p>
        </w:tc>
        <w:tc>
          <w:tcPr>
            <w:tcW w:w="3250" w:type="pct"/>
            <w:tcBorders>
              <w:top w:val="outset" w:sz="6" w:space="0" w:color="auto"/>
              <w:left w:val="outset" w:sz="6" w:space="0" w:color="auto"/>
              <w:bottom w:val="outset" w:sz="6" w:space="0" w:color="auto"/>
              <w:right w:val="outset" w:sz="6" w:space="0" w:color="auto"/>
            </w:tcBorders>
            <w:hideMark/>
          </w:tcPr>
          <w:p w:rsidR="00983259" w:rsidRPr="00621EF8" w:rsidRDefault="00623E9D" w:rsidP="00983259">
            <w:pPr>
              <w:rPr>
                <w:lang w:eastAsia="zh-CN"/>
              </w:rPr>
            </w:pPr>
            <w:r w:rsidRPr="00621EF8">
              <w:rPr>
                <w:lang w:eastAsia="zh-CN"/>
              </w:rPr>
              <w:t>Nav</w:t>
            </w:r>
          </w:p>
        </w:tc>
      </w:tr>
      <w:tr w:rsidR="00983259" w:rsidRPr="00621EF8" w:rsidTr="00983259">
        <w:trPr>
          <w:trHeight w:val="465"/>
          <w:jc w:val="center"/>
        </w:trPr>
        <w:tc>
          <w:tcPr>
            <w:tcW w:w="250" w:type="pct"/>
            <w:tcBorders>
              <w:top w:val="outset" w:sz="6" w:space="0" w:color="auto"/>
              <w:left w:val="outset" w:sz="6" w:space="0" w:color="auto"/>
              <w:bottom w:val="outset" w:sz="6" w:space="0" w:color="auto"/>
              <w:right w:val="outset" w:sz="6" w:space="0" w:color="auto"/>
            </w:tcBorders>
            <w:hideMark/>
          </w:tcPr>
          <w:p w:rsidR="00983259" w:rsidRPr="00621EF8" w:rsidRDefault="00983259" w:rsidP="00983259">
            <w:pPr>
              <w:rPr>
                <w:lang w:eastAsia="zh-CN"/>
              </w:rPr>
            </w:pPr>
            <w:r w:rsidRPr="00621EF8">
              <w:rPr>
                <w:lang w:eastAsia="zh-CN"/>
              </w:rPr>
              <w:t>4.</w:t>
            </w:r>
          </w:p>
        </w:tc>
        <w:tc>
          <w:tcPr>
            <w:tcW w:w="1500" w:type="pct"/>
            <w:tcBorders>
              <w:top w:val="outset" w:sz="6" w:space="0" w:color="auto"/>
              <w:left w:val="outset" w:sz="6" w:space="0" w:color="auto"/>
              <w:bottom w:val="outset" w:sz="6" w:space="0" w:color="auto"/>
              <w:right w:val="outset" w:sz="6" w:space="0" w:color="auto"/>
            </w:tcBorders>
            <w:hideMark/>
          </w:tcPr>
          <w:p w:rsidR="00983259" w:rsidRPr="00621EF8" w:rsidRDefault="00983259" w:rsidP="00983259">
            <w:pPr>
              <w:rPr>
                <w:lang w:eastAsia="zh-CN"/>
              </w:rPr>
            </w:pPr>
            <w:r w:rsidRPr="00621EF8">
              <w:rPr>
                <w:lang w:eastAsia="zh-CN"/>
              </w:rPr>
              <w:t>Cita informācija</w:t>
            </w:r>
          </w:p>
        </w:tc>
        <w:tc>
          <w:tcPr>
            <w:tcW w:w="3250" w:type="pct"/>
            <w:tcBorders>
              <w:top w:val="outset" w:sz="6" w:space="0" w:color="auto"/>
              <w:left w:val="outset" w:sz="6" w:space="0" w:color="auto"/>
              <w:bottom w:val="outset" w:sz="6" w:space="0" w:color="auto"/>
              <w:right w:val="outset" w:sz="6" w:space="0" w:color="auto"/>
            </w:tcBorders>
            <w:hideMark/>
          </w:tcPr>
          <w:p w:rsidR="00983259" w:rsidRPr="00621EF8" w:rsidRDefault="00623E9D" w:rsidP="00983259">
            <w:pPr>
              <w:spacing w:before="100" w:beforeAutospacing="1" w:after="100" w:afterAutospacing="1"/>
              <w:rPr>
                <w:lang w:eastAsia="zh-CN"/>
              </w:rPr>
            </w:pPr>
            <w:r w:rsidRPr="00621EF8">
              <w:rPr>
                <w:lang w:eastAsia="zh-CN"/>
              </w:rPr>
              <w:t>Nav</w:t>
            </w:r>
          </w:p>
        </w:tc>
      </w:tr>
    </w:tbl>
    <w:p w:rsidR="00983259" w:rsidRPr="00621EF8" w:rsidRDefault="00983259" w:rsidP="00C2317B">
      <w:pPr>
        <w:rPr>
          <w:lang w:eastAsia="zh-CN"/>
        </w:rPr>
      </w:pPr>
    </w:p>
    <w:tbl>
      <w:tblPr>
        <w:tblW w:w="5000" w:type="pct"/>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81"/>
        <w:gridCol w:w="2923"/>
        <w:gridCol w:w="6218"/>
      </w:tblGrid>
      <w:tr w:rsidR="00983259" w:rsidRPr="00621EF8" w:rsidTr="00983259">
        <w:trPr>
          <w:trHeight w:val="375"/>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983259" w:rsidRPr="00621EF8" w:rsidRDefault="00983259" w:rsidP="00983259">
            <w:pPr>
              <w:spacing w:before="100" w:beforeAutospacing="1" w:after="100" w:afterAutospacing="1"/>
              <w:rPr>
                <w:lang w:eastAsia="zh-CN"/>
              </w:rPr>
            </w:pPr>
            <w:r w:rsidRPr="00621EF8">
              <w:rPr>
                <w:b/>
                <w:bCs/>
                <w:lang w:eastAsia="zh-CN"/>
              </w:rPr>
              <w:t>VII. Tiesību akta projekta izpildes nodrošināšana un tās ietekme uz institūcijām</w:t>
            </w:r>
          </w:p>
        </w:tc>
      </w:tr>
      <w:tr w:rsidR="00983259" w:rsidRPr="00621EF8" w:rsidTr="00C2317B">
        <w:trPr>
          <w:trHeight w:val="420"/>
          <w:jc w:val="center"/>
        </w:trPr>
        <w:tc>
          <w:tcPr>
            <w:tcW w:w="250" w:type="pct"/>
            <w:tcBorders>
              <w:top w:val="outset" w:sz="6" w:space="0" w:color="auto"/>
              <w:left w:val="outset" w:sz="6" w:space="0" w:color="auto"/>
              <w:bottom w:val="outset" w:sz="6" w:space="0" w:color="auto"/>
              <w:right w:val="outset" w:sz="6" w:space="0" w:color="auto"/>
            </w:tcBorders>
            <w:hideMark/>
          </w:tcPr>
          <w:p w:rsidR="00983259" w:rsidRPr="00621EF8" w:rsidRDefault="00983259" w:rsidP="00983259">
            <w:pPr>
              <w:rPr>
                <w:lang w:eastAsia="zh-CN"/>
              </w:rPr>
            </w:pPr>
            <w:r w:rsidRPr="00621EF8">
              <w:rPr>
                <w:lang w:eastAsia="zh-CN"/>
              </w:rPr>
              <w:t>1.</w:t>
            </w:r>
          </w:p>
        </w:tc>
        <w:tc>
          <w:tcPr>
            <w:tcW w:w="1519" w:type="pct"/>
            <w:tcBorders>
              <w:top w:val="outset" w:sz="6" w:space="0" w:color="auto"/>
              <w:left w:val="outset" w:sz="6" w:space="0" w:color="auto"/>
              <w:bottom w:val="outset" w:sz="6" w:space="0" w:color="auto"/>
              <w:right w:val="outset" w:sz="6" w:space="0" w:color="auto"/>
            </w:tcBorders>
            <w:hideMark/>
          </w:tcPr>
          <w:p w:rsidR="00983259" w:rsidRPr="00621EF8" w:rsidRDefault="00983259" w:rsidP="00983259">
            <w:pPr>
              <w:rPr>
                <w:lang w:eastAsia="zh-CN"/>
              </w:rPr>
            </w:pPr>
            <w:r w:rsidRPr="00621EF8">
              <w:rPr>
                <w:lang w:eastAsia="zh-CN"/>
              </w:rPr>
              <w:t>Projekta izpildē iesaistītās institūcijas</w:t>
            </w:r>
          </w:p>
        </w:tc>
        <w:tc>
          <w:tcPr>
            <w:tcW w:w="3231" w:type="pct"/>
            <w:tcBorders>
              <w:top w:val="outset" w:sz="6" w:space="0" w:color="auto"/>
              <w:left w:val="outset" w:sz="6" w:space="0" w:color="auto"/>
              <w:bottom w:val="outset" w:sz="6" w:space="0" w:color="auto"/>
              <w:right w:val="outset" w:sz="6" w:space="0" w:color="auto"/>
            </w:tcBorders>
            <w:hideMark/>
          </w:tcPr>
          <w:p w:rsidR="00983259" w:rsidRPr="00621EF8" w:rsidRDefault="0098586E" w:rsidP="008A409D">
            <w:pPr>
              <w:rPr>
                <w:lang w:eastAsia="zh-CN"/>
              </w:rPr>
            </w:pPr>
            <w:r w:rsidRPr="00621EF8">
              <w:rPr>
                <w:lang w:eastAsia="zh-CN"/>
              </w:rPr>
              <w:t xml:space="preserve">Finanšu ministrija, </w:t>
            </w:r>
            <w:r w:rsidRPr="00621EF8">
              <w:t>Transportlīdzekļu apdrošinātāju birojs</w:t>
            </w:r>
            <w:r w:rsidR="00951AA4" w:rsidRPr="00621EF8">
              <w:t xml:space="preserve">, </w:t>
            </w:r>
            <w:r w:rsidR="00951AA4" w:rsidRPr="00621EF8">
              <w:rPr>
                <w:bCs/>
                <w:color w:val="000000"/>
              </w:rPr>
              <w:t>Finanšu un kapitāla tirgus komisija</w:t>
            </w:r>
          </w:p>
        </w:tc>
      </w:tr>
      <w:tr w:rsidR="00983259" w:rsidRPr="00621EF8" w:rsidTr="00C2317B">
        <w:trPr>
          <w:trHeight w:val="450"/>
          <w:jc w:val="center"/>
        </w:trPr>
        <w:tc>
          <w:tcPr>
            <w:tcW w:w="250" w:type="pct"/>
            <w:tcBorders>
              <w:top w:val="outset" w:sz="6" w:space="0" w:color="auto"/>
              <w:left w:val="outset" w:sz="6" w:space="0" w:color="auto"/>
              <w:bottom w:val="outset" w:sz="6" w:space="0" w:color="auto"/>
              <w:right w:val="outset" w:sz="6" w:space="0" w:color="auto"/>
            </w:tcBorders>
            <w:hideMark/>
          </w:tcPr>
          <w:p w:rsidR="00983259" w:rsidRPr="00621EF8" w:rsidRDefault="00983259" w:rsidP="00983259">
            <w:pPr>
              <w:rPr>
                <w:lang w:eastAsia="zh-CN"/>
              </w:rPr>
            </w:pPr>
            <w:r w:rsidRPr="00621EF8">
              <w:rPr>
                <w:lang w:eastAsia="zh-CN"/>
              </w:rPr>
              <w:t>2.</w:t>
            </w:r>
          </w:p>
        </w:tc>
        <w:tc>
          <w:tcPr>
            <w:tcW w:w="1519" w:type="pct"/>
            <w:tcBorders>
              <w:top w:val="outset" w:sz="6" w:space="0" w:color="auto"/>
              <w:left w:val="outset" w:sz="6" w:space="0" w:color="auto"/>
              <w:bottom w:val="outset" w:sz="6" w:space="0" w:color="auto"/>
              <w:right w:val="outset" w:sz="6" w:space="0" w:color="auto"/>
            </w:tcBorders>
            <w:hideMark/>
          </w:tcPr>
          <w:p w:rsidR="00983259" w:rsidRPr="00621EF8" w:rsidRDefault="00983259" w:rsidP="00983259">
            <w:pPr>
              <w:rPr>
                <w:lang w:eastAsia="zh-CN"/>
              </w:rPr>
            </w:pPr>
            <w:r w:rsidRPr="00621EF8">
              <w:rPr>
                <w:lang w:eastAsia="zh-CN"/>
              </w:rPr>
              <w:t xml:space="preserve">Projekta izpildes ietekme uz pārvaldes funkcijām un institucionālo struktūru. </w:t>
            </w:r>
          </w:p>
          <w:p w:rsidR="00983259" w:rsidRPr="00621EF8" w:rsidRDefault="00983259" w:rsidP="00983259">
            <w:pPr>
              <w:spacing w:before="100" w:beforeAutospacing="1" w:after="100" w:afterAutospacing="1"/>
              <w:rPr>
                <w:lang w:eastAsia="zh-CN"/>
              </w:rPr>
            </w:pPr>
            <w:r w:rsidRPr="00621EF8">
              <w:rPr>
                <w:lang w:eastAsia="zh-CN"/>
              </w:rPr>
              <w:t xml:space="preserve">Jaunu institūciju izveide, esošu institūciju likvidācija </w:t>
            </w:r>
            <w:r w:rsidRPr="00621EF8">
              <w:rPr>
                <w:lang w:eastAsia="zh-CN"/>
              </w:rPr>
              <w:lastRenderedPageBreak/>
              <w:t>vai reorganizācija, to ietekme uz institūcijas cilvēkresursiem</w:t>
            </w:r>
          </w:p>
        </w:tc>
        <w:tc>
          <w:tcPr>
            <w:tcW w:w="3231" w:type="pct"/>
            <w:tcBorders>
              <w:top w:val="outset" w:sz="6" w:space="0" w:color="auto"/>
              <w:left w:val="outset" w:sz="6" w:space="0" w:color="auto"/>
              <w:bottom w:val="outset" w:sz="6" w:space="0" w:color="auto"/>
              <w:right w:val="outset" w:sz="6" w:space="0" w:color="auto"/>
            </w:tcBorders>
            <w:hideMark/>
          </w:tcPr>
          <w:p w:rsidR="00983259" w:rsidRPr="00621EF8" w:rsidRDefault="0098586E" w:rsidP="00983259">
            <w:pPr>
              <w:spacing w:before="100" w:beforeAutospacing="1" w:after="100" w:afterAutospacing="1"/>
              <w:rPr>
                <w:lang w:eastAsia="zh-CN"/>
              </w:rPr>
            </w:pPr>
            <w:r w:rsidRPr="00621EF8">
              <w:rPr>
                <w:lang w:eastAsia="zh-CN"/>
              </w:rPr>
              <w:lastRenderedPageBreak/>
              <w:t>Nav</w:t>
            </w:r>
          </w:p>
        </w:tc>
      </w:tr>
      <w:tr w:rsidR="00983259" w:rsidRPr="00621EF8" w:rsidTr="00C2317B">
        <w:trPr>
          <w:trHeight w:val="390"/>
          <w:jc w:val="center"/>
        </w:trPr>
        <w:tc>
          <w:tcPr>
            <w:tcW w:w="250" w:type="pct"/>
            <w:tcBorders>
              <w:top w:val="outset" w:sz="6" w:space="0" w:color="auto"/>
              <w:left w:val="outset" w:sz="6" w:space="0" w:color="auto"/>
              <w:bottom w:val="outset" w:sz="6" w:space="0" w:color="auto"/>
              <w:right w:val="outset" w:sz="6" w:space="0" w:color="auto"/>
            </w:tcBorders>
            <w:hideMark/>
          </w:tcPr>
          <w:p w:rsidR="00983259" w:rsidRPr="00621EF8" w:rsidRDefault="00983259" w:rsidP="00983259">
            <w:pPr>
              <w:rPr>
                <w:lang w:eastAsia="zh-CN"/>
              </w:rPr>
            </w:pPr>
            <w:r w:rsidRPr="00621EF8">
              <w:rPr>
                <w:lang w:eastAsia="zh-CN"/>
              </w:rPr>
              <w:lastRenderedPageBreak/>
              <w:t>3.</w:t>
            </w:r>
          </w:p>
        </w:tc>
        <w:tc>
          <w:tcPr>
            <w:tcW w:w="1519" w:type="pct"/>
            <w:tcBorders>
              <w:top w:val="outset" w:sz="6" w:space="0" w:color="auto"/>
              <w:left w:val="outset" w:sz="6" w:space="0" w:color="auto"/>
              <w:bottom w:val="outset" w:sz="6" w:space="0" w:color="auto"/>
              <w:right w:val="outset" w:sz="6" w:space="0" w:color="auto"/>
            </w:tcBorders>
            <w:hideMark/>
          </w:tcPr>
          <w:p w:rsidR="00983259" w:rsidRPr="00621EF8" w:rsidRDefault="00983259" w:rsidP="00983259">
            <w:pPr>
              <w:rPr>
                <w:lang w:eastAsia="zh-CN"/>
              </w:rPr>
            </w:pPr>
            <w:r w:rsidRPr="00621EF8">
              <w:rPr>
                <w:lang w:eastAsia="zh-CN"/>
              </w:rPr>
              <w:t>Cita informācija</w:t>
            </w:r>
          </w:p>
        </w:tc>
        <w:tc>
          <w:tcPr>
            <w:tcW w:w="3231" w:type="pct"/>
            <w:tcBorders>
              <w:top w:val="outset" w:sz="6" w:space="0" w:color="auto"/>
              <w:left w:val="outset" w:sz="6" w:space="0" w:color="auto"/>
              <w:bottom w:val="outset" w:sz="6" w:space="0" w:color="auto"/>
              <w:right w:val="outset" w:sz="6" w:space="0" w:color="auto"/>
            </w:tcBorders>
            <w:hideMark/>
          </w:tcPr>
          <w:p w:rsidR="00983259" w:rsidRPr="00621EF8" w:rsidRDefault="0098586E" w:rsidP="00983259">
            <w:pPr>
              <w:spacing w:before="100" w:beforeAutospacing="1" w:after="100" w:afterAutospacing="1"/>
              <w:rPr>
                <w:lang w:eastAsia="zh-CN"/>
              </w:rPr>
            </w:pPr>
            <w:r w:rsidRPr="00621EF8">
              <w:rPr>
                <w:lang w:eastAsia="zh-CN"/>
              </w:rPr>
              <w:t>Nav</w:t>
            </w:r>
          </w:p>
        </w:tc>
      </w:tr>
    </w:tbl>
    <w:p w:rsidR="00D36BE9" w:rsidRPr="00621EF8" w:rsidRDefault="00D36BE9" w:rsidP="0061389E">
      <w:pPr>
        <w:jc w:val="both"/>
      </w:pPr>
    </w:p>
    <w:p w:rsidR="00983259" w:rsidRPr="00621EF8" w:rsidRDefault="00D36BE9" w:rsidP="0061389E">
      <w:pPr>
        <w:jc w:val="both"/>
      </w:pPr>
      <w:r w:rsidRPr="00621EF8">
        <w:rPr>
          <w:iCs/>
        </w:rPr>
        <w:t>Anotācijas III sadaļa – projekts šo</w:t>
      </w:r>
      <w:r w:rsidR="00FF640C" w:rsidRPr="00621EF8">
        <w:rPr>
          <w:iCs/>
        </w:rPr>
        <w:t xml:space="preserve"> jomu</w:t>
      </w:r>
      <w:r w:rsidRPr="00621EF8">
        <w:rPr>
          <w:iCs/>
        </w:rPr>
        <w:t xml:space="preserve"> neskar</w:t>
      </w:r>
    </w:p>
    <w:p w:rsidR="00983259" w:rsidRPr="00621EF8" w:rsidRDefault="00983259" w:rsidP="0061389E">
      <w:pPr>
        <w:jc w:val="both"/>
        <w:rPr>
          <w:i/>
        </w:rPr>
      </w:pPr>
    </w:p>
    <w:p w:rsidR="00A779B6" w:rsidRPr="00621EF8" w:rsidRDefault="00A779B6" w:rsidP="0061389E">
      <w:pPr>
        <w:jc w:val="both"/>
      </w:pPr>
    </w:p>
    <w:p w:rsidR="00C3120C" w:rsidRPr="00621EF8" w:rsidRDefault="00C3120C" w:rsidP="0061389E">
      <w:pPr>
        <w:jc w:val="both"/>
      </w:pPr>
    </w:p>
    <w:p w:rsidR="00917D9C" w:rsidRPr="00621EF8" w:rsidRDefault="00B265EF" w:rsidP="005C0F33">
      <w:pPr>
        <w:pStyle w:val="naisf"/>
        <w:ind w:firstLine="0"/>
      </w:pPr>
      <w:r w:rsidRPr="00621EF8">
        <w:t xml:space="preserve">Finanšu ministrs </w:t>
      </w:r>
      <w:r w:rsidRPr="00621EF8">
        <w:tab/>
      </w:r>
      <w:r w:rsidRPr="00621EF8">
        <w:tab/>
      </w:r>
      <w:r w:rsidRPr="00621EF8">
        <w:tab/>
      </w:r>
      <w:r w:rsidR="00D36BE9" w:rsidRPr="00621EF8">
        <w:tab/>
      </w:r>
      <w:r w:rsidR="00D36BE9" w:rsidRPr="00621EF8">
        <w:tab/>
      </w:r>
      <w:r w:rsidR="00D36BE9" w:rsidRPr="00621EF8">
        <w:tab/>
      </w:r>
      <w:r w:rsidR="00D36BE9" w:rsidRPr="00621EF8">
        <w:tab/>
      </w:r>
      <w:r w:rsidR="00917D9C" w:rsidRPr="00621EF8">
        <w:tab/>
      </w:r>
      <w:r w:rsidR="00D36BE9" w:rsidRPr="00621EF8">
        <w:t>A.Vilks</w:t>
      </w:r>
    </w:p>
    <w:p w:rsidR="005D71D7" w:rsidRPr="00621EF8" w:rsidRDefault="005D71D7" w:rsidP="0061389E">
      <w:pPr>
        <w:rPr>
          <w:bCs/>
        </w:rPr>
      </w:pPr>
    </w:p>
    <w:p w:rsidR="005D71D7" w:rsidRPr="00621EF8" w:rsidRDefault="005D71D7" w:rsidP="0061389E">
      <w:pPr>
        <w:jc w:val="both"/>
      </w:pPr>
    </w:p>
    <w:p w:rsidR="00D36BE9" w:rsidRPr="00621EF8" w:rsidRDefault="00D36BE9" w:rsidP="00C2317B">
      <w:pPr>
        <w:jc w:val="both"/>
      </w:pPr>
    </w:p>
    <w:p w:rsidR="00D36BE9" w:rsidRPr="00621EF8" w:rsidRDefault="00D36BE9" w:rsidP="00C2317B">
      <w:pPr>
        <w:jc w:val="both"/>
      </w:pPr>
    </w:p>
    <w:p w:rsidR="00D36BE9" w:rsidRPr="00621EF8" w:rsidRDefault="00D36BE9" w:rsidP="0061389E">
      <w:pPr>
        <w:jc w:val="both"/>
      </w:pPr>
    </w:p>
    <w:p w:rsidR="00D36BE9" w:rsidRPr="00621EF8" w:rsidRDefault="00D36BE9" w:rsidP="0061389E">
      <w:pPr>
        <w:jc w:val="both"/>
      </w:pPr>
    </w:p>
    <w:p w:rsidR="00D36BE9" w:rsidRPr="00621EF8" w:rsidRDefault="00D36BE9" w:rsidP="0061389E">
      <w:pPr>
        <w:jc w:val="both"/>
      </w:pPr>
    </w:p>
    <w:p w:rsidR="00D36BE9" w:rsidRPr="00621EF8" w:rsidRDefault="00D36BE9" w:rsidP="0061389E">
      <w:pPr>
        <w:jc w:val="both"/>
      </w:pPr>
    </w:p>
    <w:p w:rsidR="00D3603E" w:rsidRPr="00621EF8" w:rsidRDefault="00D3603E" w:rsidP="0061389E">
      <w:pPr>
        <w:jc w:val="both"/>
      </w:pPr>
    </w:p>
    <w:p w:rsidR="00D3603E" w:rsidRPr="00621EF8" w:rsidRDefault="00D3603E" w:rsidP="0061389E">
      <w:pPr>
        <w:jc w:val="both"/>
      </w:pPr>
    </w:p>
    <w:p w:rsidR="00D3603E" w:rsidRPr="00621EF8" w:rsidRDefault="00D3603E" w:rsidP="0061389E">
      <w:pPr>
        <w:jc w:val="both"/>
      </w:pPr>
    </w:p>
    <w:p w:rsidR="00D3603E" w:rsidRPr="00621EF8" w:rsidRDefault="00D3603E" w:rsidP="0061389E">
      <w:pPr>
        <w:jc w:val="both"/>
      </w:pPr>
    </w:p>
    <w:p w:rsidR="00D3603E" w:rsidRPr="00621EF8" w:rsidRDefault="00D3603E" w:rsidP="0061389E">
      <w:pPr>
        <w:jc w:val="both"/>
      </w:pPr>
    </w:p>
    <w:p w:rsidR="00D3603E" w:rsidRPr="00621EF8" w:rsidRDefault="00D3603E" w:rsidP="0061389E">
      <w:pPr>
        <w:jc w:val="both"/>
      </w:pPr>
    </w:p>
    <w:p w:rsidR="00D36BE9" w:rsidRPr="00621EF8" w:rsidRDefault="00D36BE9" w:rsidP="0061389E">
      <w:pPr>
        <w:jc w:val="both"/>
      </w:pPr>
    </w:p>
    <w:p w:rsidR="00D36BE9" w:rsidRPr="00621EF8" w:rsidRDefault="00E37CC0" w:rsidP="00D36BE9">
      <w:pPr>
        <w:jc w:val="both"/>
        <w:rPr>
          <w:sz w:val="20"/>
          <w:szCs w:val="20"/>
        </w:rPr>
      </w:pPr>
      <w:r>
        <w:rPr>
          <w:sz w:val="20"/>
          <w:szCs w:val="20"/>
        </w:rPr>
        <w:t>05.06</w:t>
      </w:r>
      <w:r w:rsidR="00D36BE9" w:rsidRPr="00621EF8">
        <w:rPr>
          <w:sz w:val="20"/>
          <w:szCs w:val="20"/>
        </w:rPr>
        <w:t>.2014. 10:15</w:t>
      </w:r>
    </w:p>
    <w:p w:rsidR="00D36BE9" w:rsidRPr="00621EF8" w:rsidRDefault="00E37CC0" w:rsidP="00D36BE9">
      <w:pPr>
        <w:jc w:val="both"/>
        <w:rPr>
          <w:sz w:val="20"/>
          <w:szCs w:val="20"/>
        </w:rPr>
      </w:pPr>
      <w:r>
        <w:rPr>
          <w:sz w:val="20"/>
          <w:szCs w:val="20"/>
        </w:rPr>
        <w:t>2635</w:t>
      </w:r>
    </w:p>
    <w:p w:rsidR="00D36BE9" w:rsidRPr="00621EF8" w:rsidRDefault="00D36BE9" w:rsidP="00D36BE9">
      <w:pPr>
        <w:jc w:val="both"/>
        <w:rPr>
          <w:sz w:val="20"/>
          <w:szCs w:val="20"/>
        </w:rPr>
      </w:pPr>
      <w:r w:rsidRPr="00621EF8">
        <w:rPr>
          <w:sz w:val="20"/>
          <w:szCs w:val="20"/>
        </w:rPr>
        <w:t xml:space="preserve">I.Gailīte </w:t>
      </w:r>
    </w:p>
    <w:p w:rsidR="00D36BE9" w:rsidRPr="00621EF8" w:rsidRDefault="00D36BE9" w:rsidP="00D36BE9">
      <w:pPr>
        <w:jc w:val="both"/>
        <w:rPr>
          <w:sz w:val="20"/>
          <w:szCs w:val="20"/>
        </w:rPr>
      </w:pPr>
      <w:r w:rsidRPr="00621EF8">
        <w:rPr>
          <w:sz w:val="20"/>
          <w:szCs w:val="20"/>
        </w:rPr>
        <w:t xml:space="preserve">67114314 </w:t>
      </w:r>
      <w:hyperlink r:id="rId27" w:history="1">
        <w:r w:rsidRPr="00621EF8">
          <w:rPr>
            <w:rStyle w:val="Hyperlink"/>
            <w:sz w:val="20"/>
            <w:szCs w:val="20"/>
          </w:rPr>
          <w:t>ilze.gailite@ltab.lv</w:t>
        </w:r>
      </w:hyperlink>
      <w:r w:rsidRPr="00621EF8">
        <w:rPr>
          <w:sz w:val="20"/>
          <w:szCs w:val="20"/>
        </w:rPr>
        <w:t xml:space="preserve"> </w:t>
      </w:r>
    </w:p>
    <w:p w:rsidR="00D36BE9" w:rsidRPr="00621EF8" w:rsidRDefault="00D36BE9" w:rsidP="00C2317B">
      <w:pPr>
        <w:jc w:val="both"/>
        <w:rPr>
          <w:sz w:val="20"/>
          <w:szCs w:val="20"/>
        </w:rPr>
      </w:pPr>
      <w:r w:rsidRPr="00621EF8">
        <w:rPr>
          <w:sz w:val="20"/>
          <w:szCs w:val="20"/>
        </w:rPr>
        <w:t>M.Stepiņš</w:t>
      </w:r>
    </w:p>
    <w:p w:rsidR="004404FB" w:rsidRPr="00AE34C4" w:rsidRDefault="00D36BE9" w:rsidP="00C2317B">
      <w:pPr>
        <w:jc w:val="both"/>
        <w:rPr>
          <w:sz w:val="20"/>
          <w:szCs w:val="20"/>
        </w:rPr>
      </w:pPr>
      <w:r w:rsidRPr="00621EF8">
        <w:rPr>
          <w:sz w:val="20"/>
          <w:szCs w:val="20"/>
        </w:rPr>
        <w:t xml:space="preserve">67095490 </w:t>
      </w:r>
      <w:hyperlink r:id="rId28" w:history="1">
        <w:r w:rsidR="00AE34C4" w:rsidRPr="00621EF8">
          <w:rPr>
            <w:rStyle w:val="Hyperlink"/>
            <w:sz w:val="20"/>
            <w:szCs w:val="20"/>
          </w:rPr>
          <w:t>maris.stepins@fm.gov.lv</w:t>
        </w:r>
      </w:hyperlink>
      <w:r w:rsidR="00AE34C4">
        <w:rPr>
          <w:sz w:val="20"/>
          <w:szCs w:val="20"/>
        </w:rPr>
        <w:t xml:space="preserve"> </w:t>
      </w:r>
    </w:p>
    <w:sectPr w:rsidR="004404FB" w:rsidRPr="00AE34C4" w:rsidSect="003457DF">
      <w:headerReference w:type="even" r:id="rId29"/>
      <w:headerReference w:type="default" r:id="rId30"/>
      <w:footerReference w:type="default" r:id="rId31"/>
      <w:footerReference w:type="first" r:id="rId32"/>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35C0" w:rsidRDefault="005535C0">
      <w:r>
        <w:separator/>
      </w:r>
    </w:p>
  </w:endnote>
  <w:endnote w:type="continuationSeparator" w:id="0">
    <w:p w:rsidR="005535C0" w:rsidRDefault="005535C0">
      <w:r>
        <w:continuationSeparator/>
      </w:r>
    </w:p>
  </w:endnote>
  <w:endnote w:type="continuationNotice" w:id="1">
    <w:p w:rsidR="005535C0" w:rsidRDefault="005535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4AC8" w:rsidRPr="00E37CC0" w:rsidRDefault="00E37CC0" w:rsidP="00E37CC0">
    <w:pPr>
      <w:pStyle w:val="Footer"/>
      <w:jc w:val="both"/>
      <w:rPr>
        <w:b/>
        <w:sz w:val="20"/>
        <w:szCs w:val="20"/>
      </w:rPr>
    </w:pPr>
    <w:r>
      <w:rPr>
        <w:sz w:val="20"/>
        <w:szCs w:val="20"/>
      </w:rPr>
      <w:fldChar w:fldCharType="begin"/>
    </w:r>
    <w:r>
      <w:rPr>
        <w:sz w:val="20"/>
        <w:szCs w:val="20"/>
      </w:rPr>
      <w:instrText xml:space="preserve"> FILENAME   \* MERGEFORMAT </w:instrText>
    </w:r>
    <w:r>
      <w:rPr>
        <w:sz w:val="20"/>
        <w:szCs w:val="20"/>
      </w:rPr>
      <w:fldChar w:fldCharType="separate"/>
    </w:r>
    <w:r>
      <w:rPr>
        <w:noProof/>
        <w:sz w:val="20"/>
        <w:szCs w:val="20"/>
      </w:rPr>
      <w:t>FManot_050614_nematr_zaud</w:t>
    </w:r>
    <w:r>
      <w:rPr>
        <w:sz w:val="20"/>
        <w:szCs w:val="20"/>
      </w:rPr>
      <w:fldChar w:fldCharType="end"/>
    </w:r>
    <w:r w:rsidRPr="00231D53">
      <w:rPr>
        <w:sz w:val="20"/>
        <w:szCs w:val="20"/>
      </w:rPr>
      <w:t xml:space="preserve">; </w:t>
    </w:r>
    <w:r w:rsidRPr="00231D53">
      <w:rPr>
        <w:bCs/>
        <w:sz w:val="20"/>
        <w:szCs w:val="20"/>
      </w:rPr>
      <w:t xml:space="preserve">Ministru kabineta noteikumu projekta </w:t>
    </w:r>
    <w:r w:rsidRPr="00606F32">
      <w:rPr>
        <w:sz w:val="20"/>
        <w:szCs w:val="20"/>
      </w:rPr>
      <w:t>„Noteikumi par apdrošināšanas atlīdzības apmēru un aprēķināšanas kārtību par personai nodarītajiem nemateriālajiem zaudējumiem</w:t>
    </w:r>
    <w:r>
      <w:rPr>
        <w:sz w:val="20"/>
        <w:szCs w:val="20"/>
      </w:rPr>
      <w:t>”</w:t>
    </w:r>
    <w:r w:rsidRPr="00231D53">
      <w:rPr>
        <w:sz w:val="20"/>
        <w:szCs w:val="20"/>
      </w:rPr>
      <w:t xml:space="preserve"> sākotnējās ietekmes novērtējuma ziņojums (anotācija</w:t>
    </w:r>
    <w:r>
      <w:rPr>
        <w:sz w:val="20"/>
        <w:szCs w:val="20"/>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4AC8" w:rsidRPr="000B6199" w:rsidRDefault="00E37CC0" w:rsidP="000B6199">
    <w:pPr>
      <w:pStyle w:val="Footer"/>
      <w:jc w:val="both"/>
      <w:rPr>
        <w:b/>
        <w:sz w:val="20"/>
        <w:szCs w:val="20"/>
      </w:rPr>
    </w:pPr>
    <w:r>
      <w:rPr>
        <w:sz w:val="20"/>
        <w:szCs w:val="20"/>
      </w:rPr>
      <w:fldChar w:fldCharType="begin"/>
    </w:r>
    <w:r>
      <w:rPr>
        <w:sz w:val="20"/>
        <w:szCs w:val="20"/>
      </w:rPr>
      <w:instrText xml:space="preserve"> FILENAME   \* MERGEFORMAT </w:instrText>
    </w:r>
    <w:r>
      <w:rPr>
        <w:sz w:val="20"/>
        <w:szCs w:val="20"/>
      </w:rPr>
      <w:fldChar w:fldCharType="separate"/>
    </w:r>
    <w:r>
      <w:rPr>
        <w:noProof/>
        <w:sz w:val="20"/>
        <w:szCs w:val="20"/>
      </w:rPr>
      <w:t>FManot_050614_nematr_zaud</w:t>
    </w:r>
    <w:r>
      <w:rPr>
        <w:sz w:val="20"/>
        <w:szCs w:val="20"/>
      </w:rPr>
      <w:fldChar w:fldCharType="end"/>
    </w:r>
    <w:r w:rsidR="000B6199" w:rsidRPr="00231D53">
      <w:rPr>
        <w:sz w:val="20"/>
        <w:szCs w:val="20"/>
      </w:rPr>
      <w:t xml:space="preserve">; </w:t>
    </w:r>
    <w:r w:rsidR="000B6199" w:rsidRPr="00231D53">
      <w:rPr>
        <w:bCs/>
        <w:sz w:val="20"/>
        <w:szCs w:val="20"/>
      </w:rPr>
      <w:t xml:space="preserve">Ministru kabineta noteikumu projekta </w:t>
    </w:r>
    <w:r w:rsidR="000B6199" w:rsidRPr="00606F32">
      <w:rPr>
        <w:sz w:val="20"/>
        <w:szCs w:val="20"/>
      </w:rPr>
      <w:t>„Noteikumi par apdrošināšanas atlīdzības apmēru un aprēķināšanas kārtību par personai nodarītajiem nemateriālajiem zaudējumiem</w:t>
    </w:r>
    <w:r w:rsidR="000B6199">
      <w:rPr>
        <w:sz w:val="20"/>
        <w:szCs w:val="20"/>
      </w:rPr>
      <w:t>”</w:t>
    </w:r>
    <w:r w:rsidR="000B6199" w:rsidRPr="00231D53">
      <w:rPr>
        <w:sz w:val="20"/>
        <w:szCs w:val="20"/>
      </w:rPr>
      <w:t xml:space="preserve"> sākotnējās ietekmes novērtējuma ziņojums (anotācija</w:t>
    </w:r>
    <w:r w:rsidR="006E4140">
      <w:rPr>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35C0" w:rsidRDefault="005535C0">
      <w:r>
        <w:separator/>
      </w:r>
    </w:p>
  </w:footnote>
  <w:footnote w:type="continuationSeparator" w:id="0">
    <w:p w:rsidR="005535C0" w:rsidRDefault="005535C0">
      <w:r>
        <w:continuationSeparator/>
      </w:r>
    </w:p>
  </w:footnote>
  <w:footnote w:type="continuationNotice" w:id="1">
    <w:p w:rsidR="005535C0" w:rsidRDefault="005535C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4AC8" w:rsidRDefault="008D4AC8" w:rsidP="00190F8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D4AC8" w:rsidRDefault="008D4AC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4AC8" w:rsidRPr="00DB073B" w:rsidRDefault="008D4AC8" w:rsidP="00190F88">
    <w:pPr>
      <w:pStyle w:val="Header"/>
      <w:framePr w:wrap="around" w:vAnchor="text" w:hAnchor="margin" w:xAlign="center" w:y="1"/>
      <w:rPr>
        <w:rStyle w:val="PageNumber"/>
        <w:sz w:val="20"/>
        <w:szCs w:val="20"/>
      </w:rPr>
    </w:pPr>
    <w:r w:rsidRPr="00DB073B">
      <w:rPr>
        <w:rStyle w:val="PageNumber"/>
        <w:sz w:val="20"/>
        <w:szCs w:val="20"/>
      </w:rPr>
      <w:fldChar w:fldCharType="begin"/>
    </w:r>
    <w:r w:rsidRPr="00DB073B">
      <w:rPr>
        <w:rStyle w:val="PageNumber"/>
        <w:sz w:val="20"/>
        <w:szCs w:val="20"/>
      </w:rPr>
      <w:instrText xml:space="preserve">PAGE  </w:instrText>
    </w:r>
    <w:r w:rsidRPr="00DB073B">
      <w:rPr>
        <w:rStyle w:val="PageNumber"/>
        <w:sz w:val="20"/>
        <w:szCs w:val="20"/>
      </w:rPr>
      <w:fldChar w:fldCharType="separate"/>
    </w:r>
    <w:r w:rsidR="00D90869">
      <w:rPr>
        <w:rStyle w:val="PageNumber"/>
        <w:noProof/>
        <w:sz w:val="20"/>
        <w:szCs w:val="20"/>
      </w:rPr>
      <w:t>10</w:t>
    </w:r>
    <w:r w:rsidRPr="00DB073B">
      <w:rPr>
        <w:rStyle w:val="PageNumber"/>
        <w:sz w:val="20"/>
        <w:szCs w:val="20"/>
      </w:rPr>
      <w:fldChar w:fldCharType="end"/>
    </w:r>
  </w:p>
  <w:p w:rsidR="008D4AC8" w:rsidRDefault="008D4A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E4EF7"/>
    <w:multiLevelType w:val="hybridMultilevel"/>
    <w:tmpl w:val="3BE0908A"/>
    <w:lvl w:ilvl="0" w:tplc="8EC0C370">
      <w:start w:val="1"/>
      <w:numFmt w:val="bullet"/>
      <w:lvlText w:val="-"/>
      <w:lvlJc w:val="left"/>
      <w:pPr>
        <w:ind w:left="1440" w:hanging="360"/>
      </w:pPr>
      <w:rPr>
        <w:rFonts w:ascii="Times New Roman" w:eastAsia="SimSun"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
    <w:nsid w:val="05A4145A"/>
    <w:multiLevelType w:val="hybridMultilevel"/>
    <w:tmpl w:val="910605B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3">
    <w:nsid w:val="16D108A6"/>
    <w:multiLevelType w:val="hybridMultilevel"/>
    <w:tmpl w:val="850A728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5">
    <w:nsid w:val="1B9B34B7"/>
    <w:multiLevelType w:val="hybridMultilevel"/>
    <w:tmpl w:val="49188FE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nsid w:val="1C6F0FFE"/>
    <w:multiLevelType w:val="hybridMultilevel"/>
    <w:tmpl w:val="5590DA68"/>
    <w:lvl w:ilvl="0" w:tplc="82B863D2">
      <w:start w:val="1"/>
      <w:numFmt w:val="bullet"/>
      <w:lvlText w:val="-"/>
      <w:lvlJc w:val="left"/>
      <w:pPr>
        <w:tabs>
          <w:tab w:val="num" w:pos="720"/>
        </w:tabs>
        <w:ind w:left="720" w:hanging="360"/>
      </w:pPr>
      <w:rPr>
        <w:rFonts w:ascii="Times New Roman" w:hAnsi="Times New Roman" w:hint="default"/>
      </w:rPr>
    </w:lvl>
    <w:lvl w:ilvl="1" w:tplc="C8BC7B9C" w:tentative="1">
      <w:start w:val="1"/>
      <w:numFmt w:val="bullet"/>
      <w:lvlText w:val="-"/>
      <w:lvlJc w:val="left"/>
      <w:pPr>
        <w:tabs>
          <w:tab w:val="num" w:pos="1440"/>
        </w:tabs>
        <w:ind w:left="1440" w:hanging="360"/>
      </w:pPr>
      <w:rPr>
        <w:rFonts w:ascii="Times New Roman" w:hAnsi="Times New Roman" w:hint="default"/>
      </w:rPr>
    </w:lvl>
    <w:lvl w:ilvl="2" w:tplc="A89A8AEE" w:tentative="1">
      <w:start w:val="1"/>
      <w:numFmt w:val="bullet"/>
      <w:lvlText w:val="-"/>
      <w:lvlJc w:val="left"/>
      <w:pPr>
        <w:tabs>
          <w:tab w:val="num" w:pos="2160"/>
        </w:tabs>
        <w:ind w:left="2160" w:hanging="360"/>
      </w:pPr>
      <w:rPr>
        <w:rFonts w:ascii="Times New Roman" w:hAnsi="Times New Roman" w:hint="default"/>
      </w:rPr>
    </w:lvl>
    <w:lvl w:ilvl="3" w:tplc="451CAAAA" w:tentative="1">
      <w:start w:val="1"/>
      <w:numFmt w:val="bullet"/>
      <w:lvlText w:val="-"/>
      <w:lvlJc w:val="left"/>
      <w:pPr>
        <w:tabs>
          <w:tab w:val="num" w:pos="2880"/>
        </w:tabs>
        <w:ind w:left="2880" w:hanging="360"/>
      </w:pPr>
      <w:rPr>
        <w:rFonts w:ascii="Times New Roman" w:hAnsi="Times New Roman" w:hint="default"/>
      </w:rPr>
    </w:lvl>
    <w:lvl w:ilvl="4" w:tplc="EC7E3C56" w:tentative="1">
      <w:start w:val="1"/>
      <w:numFmt w:val="bullet"/>
      <w:lvlText w:val="-"/>
      <w:lvlJc w:val="left"/>
      <w:pPr>
        <w:tabs>
          <w:tab w:val="num" w:pos="3600"/>
        </w:tabs>
        <w:ind w:left="3600" w:hanging="360"/>
      </w:pPr>
      <w:rPr>
        <w:rFonts w:ascii="Times New Roman" w:hAnsi="Times New Roman" w:hint="default"/>
      </w:rPr>
    </w:lvl>
    <w:lvl w:ilvl="5" w:tplc="40985292" w:tentative="1">
      <w:start w:val="1"/>
      <w:numFmt w:val="bullet"/>
      <w:lvlText w:val="-"/>
      <w:lvlJc w:val="left"/>
      <w:pPr>
        <w:tabs>
          <w:tab w:val="num" w:pos="4320"/>
        </w:tabs>
        <w:ind w:left="4320" w:hanging="360"/>
      </w:pPr>
      <w:rPr>
        <w:rFonts w:ascii="Times New Roman" w:hAnsi="Times New Roman" w:hint="default"/>
      </w:rPr>
    </w:lvl>
    <w:lvl w:ilvl="6" w:tplc="2E967CB8" w:tentative="1">
      <w:start w:val="1"/>
      <w:numFmt w:val="bullet"/>
      <w:lvlText w:val="-"/>
      <w:lvlJc w:val="left"/>
      <w:pPr>
        <w:tabs>
          <w:tab w:val="num" w:pos="5040"/>
        </w:tabs>
        <w:ind w:left="5040" w:hanging="360"/>
      </w:pPr>
      <w:rPr>
        <w:rFonts w:ascii="Times New Roman" w:hAnsi="Times New Roman" w:hint="default"/>
      </w:rPr>
    </w:lvl>
    <w:lvl w:ilvl="7" w:tplc="00F29EC8" w:tentative="1">
      <w:start w:val="1"/>
      <w:numFmt w:val="bullet"/>
      <w:lvlText w:val="-"/>
      <w:lvlJc w:val="left"/>
      <w:pPr>
        <w:tabs>
          <w:tab w:val="num" w:pos="5760"/>
        </w:tabs>
        <w:ind w:left="5760" w:hanging="360"/>
      </w:pPr>
      <w:rPr>
        <w:rFonts w:ascii="Times New Roman" w:hAnsi="Times New Roman" w:hint="default"/>
      </w:rPr>
    </w:lvl>
    <w:lvl w:ilvl="8" w:tplc="DFF2CAAE" w:tentative="1">
      <w:start w:val="1"/>
      <w:numFmt w:val="bullet"/>
      <w:lvlText w:val="-"/>
      <w:lvlJc w:val="left"/>
      <w:pPr>
        <w:tabs>
          <w:tab w:val="num" w:pos="6480"/>
        </w:tabs>
        <w:ind w:left="6480" w:hanging="360"/>
      </w:pPr>
      <w:rPr>
        <w:rFonts w:ascii="Times New Roman" w:hAnsi="Times New Roman" w:hint="default"/>
      </w:rPr>
    </w:lvl>
  </w:abstractNum>
  <w:abstractNum w:abstractNumId="7">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8">
    <w:nsid w:val="23826A8D"/>
    <w:multiLevelType w:val="hybridMultilevel"/>
    <w:tmpl w:val="E772C666"/>
    <w:lvl w:ilvl="0" w:tplc="08D08918">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9">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0">
    <w:nsid w:val="3DAA513D"/>
    <w:multiLevelType w:val="hybridMultilevel"/>
    <w:tmpl w:val="008A039A"/>
    <w:lvl w:ilvl="0" w:tplc="61B85BF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nsid w:val="48744A95"/>
    <w:multiLevelType w:val="hybridMultilevel"/>
    <w:tmpl w:val="FA345D46"/>
    <w:lvl w:ilvl="0" w:tplc="A49EE830">
      <w:start w:val="1"/>
      <w:numFmt w:val="decimal"/>
      <w:lvlText w:val="%1."/>
      <w:lvlJc w:val="left"/>
      <w:pPr>
        <w:tabs>
          <w:tab w:val="num" w:pos="720"/>
        </w:tabs>
        <w:ind w:left="720" w:hanging="36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2">
    <w:nsid w:val="48D72F2E"/>
    <w:multiLevelType w:val="hybridMultilevel"/>
    <w:tmpl w:val="7B04B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9E64DF3"/>
    <w:multiLevelType w:val="hybridMultilevel"/>
    <w:tmpl w:val="39C82E7A"/>
    <w:lvl w:ilvl="0" w:tplc="04260011">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4A124FFD"/>
    <w:multiLevelType w:val="hybridMultilevel"/>
    <w:tmpl w:val="6B56254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5">
    <w:nsid w:val="4A5304C8"/>
    <w:multiLevelType w:val="hybridMultilevel"/>
    <w:tmpl w:val="15A60358"/>
    <w:lvl w:ilvl="0" w:tplc="04260005">
      <w:start w:val="1"/>
      <w:numFmt w:val="bullet"/>
      <w:lvlText w:val=""/>
      <w:lvlJc w:val="left"/>
      <w:pPr>
        <w:ind w:left="849" w:hanging="360"/>
      </w:pPr>
      <w:rPr>
        <w:rFonts w:ascii="Wingdings" w:hAnsi="Wingdings" w:hint="default"/>
      </w:rPr>
    </w:lvl>
    <w:lvl w:ilvl="1" w:tplc="04260003" w:tentative="1">
      <w:start w:val="1"/>
      <w:numFmt w:val="bullet"/>
      <w:lvlText w:val="o"/>
      <w:lvlJc w:val="left"/>
      <w:pPr>
        <w:ind w:left="1569" w:hanging="360"/>
      </w:pPr>
      <w:rPr>
        <w:rFonts w:ascii="Courier New" w:hAnsi="Courier New" w:cs="Courier New" w:hint="default"/>
      </w:rPr>
    </w:lvl>
    <w:lvl w:ilvl="2" w:tplc="04260005" w:tentative="1">
      <w:start w:val="1"/>
      <w:numFmt w:val="bullet"/>
      <w:lvlText w:val=""/>
      <w:lvlJc w:val="left"/>
      <w:pPr>
        <w:ind w:left="2289" w:hanging="360"/>
      </w:pPr>
      <w:rPr>
        <w:rFonts w:ascii="Wingdings" w:hAnsi="Wingdings" w:hint="default"/>
      </w:rPr>
    </w:lvl>
    <w:lvl w:ilvl="3" w:tplc="04260001" w:tentative="1">
      <w:start w:val="1"/>
      <w:numFmt w:val="bullet"/>
      <w:lvlText w:val=""/>
      <w:lvlJc w:val="left"/>
      <w:pPr>
        <w:ind w:left="3009" w:hanging="360"/>
      </w:pPr>
      <w:rPr>
        <w:rFonts w:ascii="Symbol" w:hAnsi="Symbol" w:hint="default"/>
      </w:rPr>
    </w:lvl>
    <w:lvl w:ilvl="4" w:tplc="04260003" w:tentative="1">
      <w:start w:val="1"/>
      <w:numFmt w:val="bullet"/>
      <w:lvlText w:val="o"/>
      <w:lvlJc w:val="left"/>
      <w:pPr>
        <w:ind w:left="3729" w:hanging="360"/>
      </w:pPr>
      <w:rPr>
        <w:rFonts w:ascii="Courier New" w:hAnsi="Courier New" w:cs="Courier New" w:hint="default"/>
      </w:rPr>
    </w:lvl>
    <w:lvl w:ilvl="5" w:tplc="04260005" w:tentative="1">
      <w:start w:val="1"/>
      <w:numFmt w:val="bullet"/>
      <w:lvlText w:val=""/>
      <w:lvlJc w:val="left"/>
      <w:pPr>
        <w:ind w:left="4449" w:hanging="360"/>
      </w:pPr>
      <w:rPr>
        <w:rFonts w:ascii="Wingdings" w:hAnsi="Wingdings" w:hint="default"/>
      </w:rPr>
    </w:lvl>
    <w:lvl w:ilvl="6" w:tplc="04260001" w:tentative="1">
      <w:start w:val="1"/>
      <w:numFmt w:val="bullet"/>
      <w:lvlText w:val=""/>
      <w:lvlJc w:val="left"/>
      <w:pPr>
        <w:ind w:left="5169" w:hanging="360"/>
      </w:pPr>
      <w:rPr>
        <w:rFonts w:ascii="Symbol" w:hAnsi="Symbol" w:hint="default"/>
      </w:rPr>
    </w:lvl>
    <w:lvl w:ilvl="7" w:tplc="04260003" w:tentative="1">
      <w:start w:val="1"/>
      <w:numFmt w:val="bullet"/>
      <w:lvlText w:val="o"/>
      <w:lvlJc w:val="left"/>
      <w:pPr>
        <w:ind w:left="5889" w:hanging="360"/>
      </w:pPr>
      <w:rPr>
        <w:rFonts w:ascii="Courier New" w:hAnsi="Courier New" w:cs="Courier New" w:hint="default"/>
      </w:rPr>
    </w:lvl>
    <w:lvl w:ilvl="8" w:tplc="04260005" w:tentative="1">
      <w:start w:val="1"/>
      <w:numFmt w:val="bullet"/>
      <w:lvlText w:val=""/>
      <w:lvlJc w:val="left"/>
      <w:pPr>
        <w:ind w:left="6609" w:hanging="360"/>
      </w:pPr>
      <w:rPr>
        <w:rFonts w:ascii="Wingdings" w:hAnsi="Wingdings" w:hint="default"/>
      </w:rPr>
    </w:lvl>
  </w:abstractNum>
  <w:abstractNum w:abstractNumId="16">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17">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8">
    <w:nsid w:val="5B3673EE"/>
    <w:multiLevelType w:val="hybridMultilevel"/>
    <w:tmpl w:val="65029564"/>
    <w:lvl w:ilvl="0" w:tplc="04260005">
      <w:start w:val="1"/>
      <w:numFmt w:val="bullet"/>
      <w:lvlText w:val=""/>
      <w:lvlJc w:val="left"/>
      <w:pPr>
        <w:ind w:left="1145" w:hanging="360"/>
      </w:pPr>
      <w:rPr>
        <w:rFonts w:ascii="Wingdings" w:hAnsi="Wingdings" w:hint="default"/>
      </w:rPr>
    </w:lvl>
    <w:lvl w:ilvl="1" w:tplc="04260003" w:tentative="1">
      <w:start w:val="1"/>
      <w:numFmt w:val="bullet"/>
      <w:lvlText w:val="o"/>
      <w:lvlJc w:val="left"/>
      <w:pPr>
        <w:ind w:left="1865" w:hanging="360"/>
      </w:pPr>
      <w:rPr>
        <w:rFonts w:ascii="Courier New" w:hAnsi="Courier New" w:cs="Courier New" w:hint="default"/>
      </w:rPr>
    </w:lvl>
    <w:lvl w:ilvl="2" w:tplc="04260005" w:tentative="1">
      <w:start w:val="1"/>
      <w:numFmt w:val="bullet"/>
      <w:lvlText w:val=""/>
      <w:lvlJc w:val="left"/>
      <w:pPr>
        <w:ind w:left="2585" w:hanging="360"/>
      </w:pPr>
      <w:rPr>
        <w:rFonts w:ascii="Wingdings" w:hAnsi="Wingdings" w:hint="default"/>
      </w:rPr>
    </w:lvl>
    <w:lvl w:ilvl="3" w:tplc="04260001" w:tentative="1">
      <w:start w:val="1"/>
      <w:numFmt w:val="bullet"/>
      <w:lvlText w:val=""/>
      <w:lvlJc w:val="left"/>
      <w:pPr>
        <w:ind w:left="3305" w:hanging="360"/>
      </w:pPr>
      <w:rPr>
        <w:rFonts w:ascii="Symbol" w:hAnsi="Symbol" w:hint="default"/>
      </w:rPr>
    </w:lvl>
    <w:lvl w:ilvl="4" w:tplc="04260003" w:tentative="1">
      <w:start w:val="1"/>
      <w:numFmt w:val="bullet"/>
      <w:lvlText w:val="o"/>
      <w:lvlJc w:val="left"/>
      <w:pPr>
        <w:ind w:left="4025" w:hanging="360"/>
      </w:pPr>
      <w:rPr>
        <w:rFonts w:ascii="Courier New" w:hAnsi="Courier New" w:cs="Courier New" w:hint="default"/>
      </w:rPr>
    </w:lvl>
    <w:lvl w:ilvl="5" w:tplc="04260005" w:tentative="1">
      <w:start w:val="1"/>
      <w:numFmt w:val="bullet"/>
      <w:lvlText w:val=""/>
      <w:lvlJc w:val="left"/>
      <w:pPr>
        <w:ind w:left="4745" w:hanging="360"/>
      </w:pPr>
      <w:rPr>
        <w:rFonts w:ascii="Wingdings" w:hAnsi="Wingdings" w:hint="default"/>
      </w:rPr>
    </w:lvl>
    <w:lvl w:ilvl="6" w:tplc="04260001" w:tentative="1">
      <w:start w:val="1"/>
      <w:numFmt w:val="bullet"/>
      <w:lvlText w:val=""/>
      <w:lvlJc w:val="left"/>
      <w:pPr>
        <w:ind w:left="5465" w:hanging="360"/>
      </w:pPr>
      <w:rPr>
        <w:rFonts w:ascii="Symbol" w:hAnsi="Symbol" w:hint="default"/>
      </w:rPr>
    </w:lvl>
    <w:lvl w:ilvl="7" w:tplc="04260003" w:tentative="1">
      <w:start w:val="1"/>
      <w:numFmt w:val="bullet"/>
      <w:lvlText w:val="o"/>
      <w:lvlJc w:val="left"/>
      <w:pPr>
        <w:ind w:left="6185" w:hanging="360"/>
      </w:pPr>
      <w:rPr>
        <w:rFonts w:ascii="Courier New" w:hAnsi="Courier New" w:cs="Courier New" w:hint="default"/>
      </w:rPr>
    </w:lvl>
    <w:lvl w:ilvl="8" w:tplc="04260005" w:tentative="1">
      <w:start w:val="1"/>
      <w:numFmt w:val="bullet"/>
      <w:lvlText w:val=""/>
      <w:lvlJc w:val="left"/>
      <w:pPr>
        <w:ind w:left="6905" w:hanging="360"/>
      </w:pPr>
      <w:rPr>
        <w:rFonts w:ascii="Wingdings" w:hAnsi="Wingdings" w:hint="default"/>
      </w:rPr>
    </w:lvl>
  </w:abstractNum>
  <w:abstractNum w:abstractNumId="19">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cs="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cs="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cs="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20">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1">
    <w:nsid w:val="623D019A"/>
    <w:multiLevelType w:val="hybridMultilevel"/>
    <w:tmpl w:val="5E9851F6"/>
    <w:lvl w:ilvl="0" w:tplc="04260001">
      <w:start w:val="1"/>
      <w:numFmt w:val="bullet"/>
      <w:lvlText w:val=""/>
      <w:lvlJc w:val="left"/>
      <w:pPr>
        <w:ind w:left="991" w:hanging="360"/>
      </w:pPr>
      <w:rPr>
        <w:rFonts w:ascii="Symbol" w:hAnsi="Symbol" w:hint="default"/>
      </w:rPr>
    </w:lvl>
    <w:lvl w:ilvl="1" w:tplc="04260003" w:tentative="1">
      <w:start w:val="1"/>
      <w:numFmt w:val="bullet"/>
      <w:lvlText w:val="o"/>
      <w:lvlJc w:val="left"/>
      <w:pPr>
        <w:ind w:left="1711" w:hanging="360"/>
      </w:pPr>
      <w:rPr>
        <w:rFonts w:ascii="Courier New" w:hAnsi="Courier New" w:cs="Courier New" w:hint="default"/>
      </w:rPr>
    </w:lvl>
    <w:lvl w:ilvl="2" w:tplc="04260005" w:tentative="1">
      <w:start w:val="1"/>
      <w:numFmt w:val="bullet"/>
      <w:lvlText w:val=""/>
      <w:lvlJc w:val="left"/>
      <w:pPr>
        <w:ind w:left="2431" w:hanging="360"/>
      </w:pPr>
      <w:rPr>
        <w:rFonts w:ascii="Wingdings" w:hAnsi="Wingdings" w:hint="default"/>
      </w:rPr>
    </w:lvl>
    <w:lvl w:ilvl="3" w:tplc="04260001" w:tentative="1">
      <w:start w:val="1"/>
      <w:numFmt w:val="bullet"/>
      <w:lvlText w:val=""/>
      <w:lvlJc w:val="left"/>
      <w:pPr>
        <w:ind w:left="3151" w:hanging="360"/>
      </w:pPr>
      <w:rPr>
        <w:rFonts w:ascii="Symbol" w:hAnsi="Symbol" w:hint="default"/>
      </w:rPr>
    </w:lvl>
    <w:lvl w:ilvl="4" w:tplc="04260003" w:tentative="1">
      <w:start w:val="1"/>
      <w:numFmt w:val="bullet"/>
      <w:lvlText w:val="o"/>
      <w:lvlJc w:val="left"/>
      <w:pPr>
        <w:ind w:left="3871" w:hanging="360"/>
      </w:pPr>
      <w:rPr>
        <w:rFonts w:ascii="Courier New" w:hAnsi="Courier New" w:cs="Courier New" w:hint="default"/>
      </w:rPr>
    </w:lvl>
    <w:lvl w:ilvl="5" w:tplc="04260005" w:tentative="1">
      <w:start w:val="1"/>
      <w:numFmt w:val="bullet"/>
      <w:lvlText w:val=""/>
      <w:lvlJc w:val="left"/>
      <w:pPr>
        <w:ind w:left="4591" w:hanging="360"/>
      </w:pPr>
      <w:rPr>
        <w:rFonts w:ascii="Wingdings" w:hAnsi="Wingdings" w:hint="default"/>
      </w:rPr>
    </w:lvl>
    <w:lvl w:ilvl="6" w:tplc="04260001" w:tentative="1">
      <w:start w:val="1"/>
      <w:numFmt w:val="bullet"/>
      <w:lvlText w:val=""/>
      <w:lvlJc w:val="left"/>
      <w:pPr>
        <w:ind w:left="5311" w:hanging="360"/>
      </w:pPr>
      <w:rPr>
        <w:rFonts w:ascii="Symbol" w:hAnsi="Symbol" w:hint="default"/>
      </w:rPr>
    </w:lvl>
    <w:lvl w:ilvl="7" w:tplc="04260003" w:tentative="1">
      <w:start w:val="1"/>
      <w:numFmt w:val="bullet"/>
      <w:lvlText w:val="o"/>
      <w:lvlJc w:val="left"/>
      <w:pPr>
        <w:ind w:left="6031" w:hanging="360"/>
      </w:pPr>
      <w:rPr>
        <w:rFonts w:ascii="Courier New" w:hAnsi="Courier New" w:cs="Courier New" w:hint="default"/>
      </w:rPr>
    </w:lvl>
    <w:lvl w:ilvl="8" w:tplc="04260005" w:tentative="1">
      <w:start w:val="1"/>
      <w:numFmt w:val="bullet"/>
      <w:lvlText w:val=""/>
      <w:lvlJc w:val="left"/>
      <w:pPr>
        <w:ind w:left="6751" w:hanging="360"/>
      </w:pPr>
      <w:rPr>
        <w:rFonts w:ascii="Wingdings" w:hAnsi="Wingdings" w:hint="default"/>
      </w:rPr>
    </w:lvl>
  </w:abstractNum>
  <w:abstractNum w:abstractNumId="22">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abstractNum w:abstractNumId="23">
    <w:nsid w:val="6641084C"/>
    <w:multiLevelType w:val="hybridMultilevel"/>
    <w:tmpl w:val="192AE9BE"/>
    <w:lvl w:ilvl="0" w:tplc="CB1A42DC">
      <w:start w:val="2"/>
      <w:numFmt w:val="bullet"/>
      <w:lvlText w:val="–"/>
      <w:lvlJc w:val="left"/>
      <w:pPr>
        <w:ind w:left="928" w:hanging="360"/>
      </w:pPr>
      <w:rPr>
        <w:rFonts w:ascii="Times New Roman" w:eastAsia="Times New Roman" w:hAnsi="Times New Roman" w:cs="Times New Roman" w:hint="default"/>
        <w:i w:val="0"/>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24">
    <w:nsid w:val="757E3257"/>
    <w:multiLevelType w:val="hybridMultilevel"/>
    <w:tmpl w:val="F77E406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9"/>
  </w:num>
  <w:num w:numId="2">
    <w:abstractNumId w:val="20"/>
  </w:num>
  <w:num w:numId="3">
    <w:abstractNumId w:val="7"/>
  </w:num>
  <w:num w:numId="4">
    <w:abstractNumId w:val="4"/>
  </w:num>
  <w:num w:numId="5">
    <w:abstractNumId w:val="2"/>
  </w:num>
  <w:num w:numId="6">
    <w:abstractNumId w:val="16"/>
  </w:num>
  <w:num w:numId="7">
    <w:abstractNumId w:val="22"/>
  </w:num>
  <w:num w:numId="8">
    <w:abstractNumId w:val="11"/>
  </w:num>
  <w:num w:numId="9">
    <w:abstractNumId w:val="5"/>
  </w:num>
  <w:num w:numId="10">
    <w:abstractNumId w:val="12"/>
  </w:num>
  <w:num w:numId="11">
    <w:abstractNumId w:val="14"/>
  </w:num>
  <w:num w:numId="12">
    <w:abstractNumId w:val="17"/>
  </w:num>
  <w:num w:numId="13">
    <w:abstractNumId w:val="19"/>
  </w:num>
  <w:num w:numId="14">
    <w:abstractNumId w:val="24"/>
  </w:num>
  <w:num w:numId="15">
    <w:abstractNumId w:val="23"/>
  </w:num>
  <w:num w:numId="16">
    <w:abstractNumId w:val="8"/>
  </w:num>
  <w:num w:numId="17">
    <w:abstractNumId w:val="21"/>
  </w:num>
  <w:num w:numId="18">
    <w:abstractNumId w:val="18"/>
  </w:num>
  <w:num w:numId="19">
    <w:abstractNumId w:val="15"/>
  </w:num>
  <w:num w:numId="20">
    <w:abstractNumId w:val="1"/>
  </w:num>
  <w:num w:numId="21">
    <w:abstractNumId w:val="10"/>
  </w:num>
  <w:num w:numId="22">
    <w:abstractNumId w:val="0"/>
  </w:num>
  <w:num w:numId="23">
    <w:abstractNumId w:val="3"/>
  </w:num>
  <w:num w:numId="24">
    <w:abstractNumId w:val="13"/>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649"/>
    <w:rsid w:val="0000281D"/>
    <w:rsid w:val="00004DC4"/>
    <w:rsid w:val="00011D24"/>
    <w:rsid w:val="000126EC"/>
    <w:rsid w:val="0001274C"/>
    <w:rsid w:val="000132D0"/>
    <w:rsid w:val="00013FF4"/>
    <w:rsid w:val="000151DF"/>
    <w:rsid w:val="00016581"/>
    <w:rsid w:val="00016A37"/>
    <w:rsid w:val="00020FE1"/>
    <w:rsid w:val="00022E13"/>
    <w:rsid w:val="000264EB"/>
    <w:rsid w:val="00032388"/>
    <w:rsid w:val="00032C12"/>
    <w:rsid w:val="00035CE2"/>
    <w:rsid w:val="000363E1"/>
    <w:rsid w:val="0003778B"/>
    <w:rsid w:val="00037CCD"/>
    <w:rsid w:val="00040FE7"/>
    <w:rsid w:val="00043478"/>
    <w:rsid w:val="00047629"/>
    <w:rsid w:val="0005321A"/>
    <w:rsid w:val="0005553B"/>
    <w:rsid w:val="00057E40"/>
    <w:rsid w:val="000604D2"/>
    <w:rsid w:val="00061CF7"/>
    <w:rsid w:val="00065E08"/>
    <w:rsid w:val="00070E68"/>
    <w:rsid w:val="0007252F"/>
    <w:rsid w:val="00082A78"/>
    <w:rsid w:val="000856DA"/>
    <w:rsid w:val="0009005E"/>
    <w:rsid w:val="0009063E"/>
    <w:rsid w:val="000948A7"/>
    <w:rsid w:val="000959A7"/>
    <w:rsid w:val="000A1D68"/>
    <w:rsid w:val="000A289F"/>
    <w:rsid w:val="000A6451"/>
    <w:rsid w:val="000A648B"/>
    <w:rsid w:val="000B064E"/>
    <w:rsid w:val="000B5096"/>
    <w:rsid w:val="000B6199"/>
    <w:rsid w:val="000B69CF"/>
    <w:rsid w:val="000C0ABA"/>
    <w:rsid w:val="000C1502"/>
    <w:rsid w:val="000C40AE"/>
    <w:rsid w:val="000C790C"/>
    <w:rsid w:val="000D46E2"/>
    <w:rsid w:val="000D6C15"/>
    <w:rsid w:val="000E14A0"/>
    <w:rsid w:val="000E442C"/>
    <w:rsid w:val="000E510A"/>
    <w:rsid w:val="000F061D"/>
    <w:rsid w:val="000F0F4F"/>
    <w:rsid w:val="000F42DF"/>
    <w:rsid w:val="001060F1"/>
    <w:rsid w:val="00107A5F"/>
    <w:rsid w:val="001164A1"/>
    <w:rsid w:val="00124F12"/>
    <w:rsid w:val="001256F8"/>
    <w:rsid w:val="001262B1"/>
    <w:rsid w:val="00126320"/>
    <w:rsid w:val="00134DCD"/>
    <w:rsid w:val="00140CAE"/>
    <w:rsid w:val="00143C36"/>
    <w:rsid w:val="00144E3A"/>
    <w:rsid w:val="0014541D"/>
    <w:rsid w:val="00145F0D"/>
    <w:rsid w:val="00146B02"/>
    <w:rsid w:val="0015060C"/>
    <w:rsid w:val="00152D7C"/>
    <w:rsid w:val="00157B87"/>
    <w:rsid w:val="0016018A"/>
    <w:rsid w:val="001610C8"/>
    <w:rsid w:val="00161EA2"/>
    <w:rsid w:val="00161F0E"/>
    <w:rsid w:val="00163CD0"/>
    <w:rsid w:val="00170E2A"/>
    <w:rsid w:val="00172A93"/>
    <w:rsid w:val="001734F8"/>
    <w:rsid w:val="00173B43"/>
    <w:rsid w:val="00183CC2"/>
    <w:rsid w:val="00186F00"/>
    <w:rsid w:val="00187174"/>
    <w:rsid w:val="001900E4"/>
    <w:rsid w:val="00190F88"/>
    <w:rsid w:val="001920E2"/>
    <w:rsid w:val="00193649"/>
    <w:rsid w:val="00193C45"/>
    <w:rsid w:val="00196A75"/>
    <w:rsid w:val="001A02D4"/>
    <w:rsid w:val="001A4066"/>
    <w:rsid w:val="001A4372"/>
    <w:rsid w:val="001A4B71"/>
    <w:rsid w:val="001A6611"/>
    <w:rsid w:val="001A6AE4"/>
    <w:rsid w:val="001B01FD"/>
    <w:rsid w:val="001B4A71"/>
    <w:rsid w:val="001B6B07"/>
    <w:rsid w:val="001C0DAB"/>
    <w:rsid w:val="001C4FC5"/>
    <w:rsid w:val="001C7622"/>
    <w:rsid w:val="001D5B54"/>
    <w:rsid w:val="001D6336"/>
    <w:rsid w:val="001D65D1"/>
    <w:rsid w:val="001E1DBF"/>
    <w:rsid w:val="001E4639"/>
    <w:rsid w:val="001E4A7D"/>
    <w:rsid w:val="001E554F"/>
    <w:rsid w:val="001E78EE"/>
    <w:rsid w:val="001F34EF"/>
    <w:rsid w:val="001F43A8"/>
    <w:rsid w:val="001F5CD6"/>
    <w:rsid w:val="001F6FCA"/>
    <w:rsid w:val="00202937"/>
    <w:rsid w:val="002073E2"/>
    <w:rsid w:val="00207E0D"/>
    <w:rsid w:val="0021110A"/>
    <w:rsid w:val="0021263D"/>
    <w:rsid w:val="00213F0C"/>
    <w:rsid w:val="0021592D"/>
    <w:rsid w:val="00222D76"/>
    <w:rsid w:val="00223EB1"/>
    <w:rsid w:val="002241C3"/>
    <w:rsid w:val="00230DB2"/>
    <w:rsid w:val="00231344"/>
    <w:rsid w:val="00231D53"/>
    <w:rsid w:val="002327DF"/>
    <w:rsid w:val="0023436E"/>
    <w:rsid w:val="0023456B"/>
    <w:rsid w:val="002347C0"/>
    <w:rsid w:val="0023711E"/>
    <w:rsid w:val="00241A6C"/>
    <w:rsid w:val="00242D2B"/>
    <w:rsid w:val="00243902"/>
    <w:rsid w:val="00246584"/>
    <w:rsid w:val="002471D3"/>
    <w:rsid w:val="00252E08"/>
    <w:rsid w:val="00252F47"/>
    <w:rsid w:val="00256CD4"/>
    <w:rsid w:val="00262E2B"/>
    <w:rsid w:val="0026618C"/>
    <w:rsid w:val="00266813"/>
    <w:rsid w:val="00270429"/>
    <w:rsid w:val="002723E9"/>
    <w:rsid w:val="00275BED"/>
    <w:rsid w:val="00276A92"/>
    <w:rsid w:val="00277929"/>
    <w:rsid w:val="0028167F"/>
    <w:rsid w:val="00283B82"/>
    <w:rsid w:val="002846E9"/>
    <w:rsid w:val="00284C34"/>
    <w:rsid w:val="0029066C"/>
    <w:rsid w:val="0029358D"/>
    <w:rsid w:val="0029506B"/>
    <w:rsid w:val="002A454C"/>
    <w:rsid w:val="002B50DB"/>
    <w:rsid w:val="002B5B55"/>
    <w:rsid w:val="002B6A76"/>
    <w:rsid w:val="002C12AB"/>
    <w:rsid w:val="002C220A"/>
    <w:rsid w:val="002C4935"/>
    <w:rsid w:val="002C5BDB"/>
    <w:rsid w:val="002C7CAC"/>
    <w:rsid w:val="002D0449"/>
    <w:rsid w:val="002D3306"/>
    <w:rsid w:val="002D48AA"/>
    <w:rsid w:val="002D7BAA"/>
    <w:rsid w:val="002D7CB2"/>
    <w:rsid w:val="002D7F54"/>
    <w:rsid w:val="002E0DFD"/>
    <w:rsid w:val="002E3FF4"/>
    <w:rsid w:val="002E5085"/>
    <w:rsid w:val="002F2893"/>
    <w:rsid w:val="002F734D"/>
    <w:rsid w:val="002F78C8"/>
    <w:rsid w:val="002F7EF3"/>
    <w:rsid w:val="0030176E"/>
    <w:rsid w:val="00301CF3"/>
    <w:rsid w:val="003039CF"/>
    <w:rsid w:val="00306790"/>
    <w:rsid w:val="003069DB"/>
    <w:rsid w:val="00311B8E"/>
    <w:rsid w:val="00312050"/>
    <w:rsid w:val="003122F9"/>
    <w:rsid w:val="003201D2"/>
    <w:rsid w:val="0032581E"/>
    <w:rsid w:val="0032715C"/>
    <w:rsid w:val="003313A3"/>
    <w:rsid w:val="003363AC"/>
    <w:rsid w:val="00337CA5"/>
    <w:rsid w:val="00340CAA"/>
    <w:rsid w:val="00344D17"/>
    <w:rsid w:val="0034510D"/>
    <w:rsid w:val="003457DF"/>
    <w:rsid w:val="00351D2C"/>
    <w:rsid w:val="00357936"/>
    <w:rsid w:val="00362478"/>
    <w:rsid w:val="0036324A"/>
    <w:rsid w:val="0037138A"/>
    <w:rsid w:val="00373981"/>
    <w:rsid w:val="00375B25"/>
    <w:rsid w:val="0038324D"/>
    <w:rsid w:val="00384FEF"/>
    <w:rsid w:val="0038545E"/>
    <w:rsid w:val="003868CE"/>
    <w:rsid w:val="00396542"/>
    <w:rsid w:val="0039685B"/>
    <w:rsid w:val="003A7F0C"/>
    <w:rsid w:val="003A7F79"/>
    <w:rsid w:val="003B6404"/>
    <w:rsid w:val="003C237C"/>
    <w:rsid w:val="003C3847"/>
    <w:rsid w:val="003D21FF"/>
    <w:rsid w:val="003D4DA5"/>
    <w:rsid w:val="003D4E0B"/>
    <w:rsid w:val="003D7219"/>
    <w:rsid w:val="003D7CF5"/>
    <w:rsid w:val="003D7E0C"/>
    <w:rsid w:val="003E20BB"/>
    <w:rsid w:val="003E3273"/>
    <w:rsid w:val="003E3992"/>
    <w:rsid w:val="003E4913"/>
    <w:rsid w:val="003F0112"/>
    <w:rsid w:val="003F071A"/>
    <w:rsid w:val="003F160B"/>
    <w:rsid w:val="003F3CA3"/>
    <w:rsid w:val="00400032"/>
    <w:rsid w:val="00400B5B"/>
    <w:rsid w:val="0040308B"/>
    <w:rsid w:val="00404843"/>
    <w:rsid w:val="00405A00"/>
    <w:rsid w:val="004158D7"/>
    <w:rsid w:val="00420870"/>
    <w:rsid w:val="00421776"/>
    <w:rsid w:val="00425583"/>
    <w:rsid w:val="0042701E"/>
    <w:rsid w:val="0043163C"/>
    <w:rsid w:val="00436B00"/>
    <w:rsid w:val="0044045B"/>
    <w:rsid w:val="004404FB"/>
    <w:rsid w:val="00441483"/>
    <w:rsid w:val="00441BCB"/>
    <w:rsid w:val="00444DDB"/>
    <w:rsid w:val="004451D7"/>
    <w:rsid w:val="00447242"/>
    <w:rsid w:val="004479B1"/>
    <w:rsid w:val="0045176A"/>
    <w:rsid w:val="00452C79"/>
    <w:rsid w:val="00452EB7"/>
    <w:rsid w:val="00456332"/>
    <w:rsid w:val="00461299"/>
    <w:rsid w:val="00463C72"/>
    <w:rsid w:val="0046523F"/>
    <w:rsid w:val="004655E5"/>
    <w:rsid w:val="00471279"/>
    <w:rsid w:val="00476601"/>
    <w:rsid w:val="004800F9"/>
    <w:rsid w:val="0048369F"/>
    <w:rsid w:val="00484ED5"/>
    <w:rsid w:val="0048712C"/>
    <w:rsid w:val="0049134A"/>
    <w:rsid w:val="00496D1E"/>
    <w:rsid w:val="00497E0A"/>
    <w:rsid w:val="004A203F"/>
    <w:rsid w:val="004A389A"/>
    <w:rsid w:val="004A3A5C"/>
    <w:rsid w:val="004A58CB"/>
    <w:rsid w:val="004B1795"/>
    <w:rsid w:val="004B56DD"/>
    <w:rsid w:val="004B5E3F"/>
    <w:rsid w:val="004C12C0"/>
    <w:rsid w:val="004C1AFD"/>
    <w:rsid w:val="004C24B8"/>
    <w:rsid w:val="004C558B"/>
    <w:rsid w:val="004D1CF5"/>
    <w:rsid w:val="004D29B9"/>
    <w:rsid w:val="004D32A1"/>
    <w:rsid w:val="004D5B7C"/>
    <w:rsid w:val="004D7AFB"/>
    <w:rsid w:val="004E2FFD"/>
    <w:rsid w:val="004E69A6"/>
    <w:rsid w:val="004F19AC"/>
    <w:rsid w:val="004F1F88"/>
    <w:rsid w:val="004F5F1B"/>
    <w:rsid w:val="005014B7"/>
    <w:rsid w:val="00502374"/>
    <w:rsid w:val="00510C10"/>
    <w:rsid w:val="00516072"/>
    <w:rsid w:val="00516BF0"/>
    <w:rsid w:val="00523177"/>
    <w:rsid w:val="005332EC"/>
    <w:rsid w:val="00534418"/>
    <w:rsid w:val="005353AB"/>
    <w:rsid w:val="005411D1"/>
    <w:rsid w:val="00542271"/>
    <w:rsid w:val="00545E4C"/>
    <w:rsid w:val="00547184"/>
    <w:rsid w:val="005535C0"/>
    <w:rsid w:val="005560BC"/>
    <w:rsid w:val="005569A7"/>
    <w:rsid w:val="005573BE"/>
    <w:rsid w:val="00560020"/>
    <w:rsid w:val="00560636"/>
    <w:rsid w:val="0056114C"/>
    <w:rsid w:val="0056168E"/>
    <w:rsid w:val="00567FE5"/>
    <w:rsid w:val="00572700"/>
    <w:rsid w:val="00575D0B"/>
    <w:rsid w:val="00580468"/>
    <w:rsid w:val="0058603B"/>
    <w:rsid w:val="00586B5F"/>
    <w:rsid w:val="00592492"/>
    <w:rsid w:val="00593DE6"/>
    <w:rsid w:val="0059431B"/>
    <w:rsid w:val="00597393"/>
    <w:rsid w:val="005A1EB1"/>
    <w:rsid w:val="005A2596"/>
    <w:rsid w:val="005A39CC"/>
    <w:rsid w:val="005A4E9D"/>
    <w:rsid w:val="005B3781"/>
    <w:rsid w:val="005B44DB"/>
    <w:rsid w:val="005B4730"/>
    <w:rsid w:val="005B56B3"/>
    <w:rsid w:val="005B7A6C"/>
    <w:rsid w:val="005C0F33"/>
    <w:rsid w:val="005C2182"/>
    <w:rsid w:val="005C4009"/>
    <w:rsid w:val="005C41F4"/>
    <w:rsid w:val="005C5F4B"/>
    <w:rsid w:val="005D09C6"/>
    <w:rsid w:val="005D0AD0"/>
    <w:rsid w:val="005D35AB"/>
    <w:rsid w:val="005D71D7"/>
    <w:rsid w:val="005D736E"/>
    <w:rsid w:val="005E05D7"/>
    <w:rsid w:val="005E0713"/>
    <w:rsid w:val="005E41E7"/>
    <w:rsid w:val="005E450F"/>
    <w:rsid w:val="005E6409"/>
    <w:rsid w:val="005E6D81"/>
    <w:rsid w:val="005F0546"/>
    <w:rsid w:val="005F5452"/>
    <w:rsid w:val="005F6AB9"/>
    <w:rsid w:val="005F6B11"/>
    <w:rsid w:val="005F6BB8"/>
    <w:rsid w:val="00606F32"/>
    <w:rsid w:val="006101EE"/>
    <w:rsid w:val="0061389E"/>
    <w:rsid w:val="0061410F"/>
    <w:rsid w:val="0061693E"/>
    <w:rsid w:val="00616B76"/>
    <w:rsid w:val="00616ECF"/>
    <w:rsid w:val="00621EF8"/>
    <w:rsid w:val="0062298A"/>
    <w:rsid w:val="00622990"/>
    <w:rsid w:val="00623E9D"/>
    <w:rsid w:val="00624235"/>
    <w:rsid w:val="0062644A"/>
    <w:rsid w:val="00626514"/>
    <w:rsid w:val="00626589"/>
    <w:rsid w:val="006339A0"/>
    <w:rsid w:val="00637436"/>
    <w:rsid w:val="006413A8"/>
    <w:rsid w:val="00642729"/>
    <w:rsid w:val="00642E56"/>
    <w:rsid w:val="00643407"/>
    <w:rsid w:val="006457E0"/>
    <w:rsid w:val="00645C67"/>
    <w:rsid w:val="00645EAA"/>
    <w:rsid w:val="00647596"/>
    <w:rsid w:val="006515AD"/>
    <w:rsid w:val="00651625"/>
    <w:rsid w:val="00651A69"/>
    <w:rsid w:val="00651E00"/>
    <w:rsid w:val="00657BBC"/>
    <w:rsid w:val="006627DE"/>
    <w:rsid w:val="00664ADB"/>
    <w:rsid w:val="00667BB4"/>
    <w:rsid w:val="00672113"/>
    <w:rsid w:val="00674572"/>
    <w:rsid w:val="0067516D"/>
    <w:rsid w:val="00675F32"/>
    <w:rsid w:val="006843DF"/>
    <w:rsid w:val="00687763"/>
    <w:rsid w:val="00690720"/>
    <w:rsid w:val="00692B0D"/>
    <w:rsid w:val="00693E0E"/>
    <w:rsid w:val="0069686C"/>
    <w:rsid w:val="006A1AE3"/>
    <w:rsid w:val="006B24C6"/>
    <w:rsid w:val="006B377E"/>
    <w:rsid w:val="006B4B74"/>
    <w:rsid w:val="006C30E1"/>
    <w:rsid w:val="006C3C05"/>
    <w:rsid w:val="006C49FA"/>
    <w:rsid w:val="006D0F6B"/>
    <w:rsid w:val="006D48F1"/>
    <w:rsid w:val="006E276A"/>
    <w:rsid w:val="006E3BCB"/>
    <w:rsid w:val="006E4140"/>
    <w:rsid w:val="006F45BE"/>
    <w:rsid w:val="006F4AD0"/>
    <w:rsid w:val="006F5061"/>
    <w:rsid w:val="006F554F"/>
    <w:rsid w:val="006F5DAE"/>
    <w:rsid w:val="006F7AE6"/>
    <w:rsid w:val="007004FC"/>
    <w:rsid w:val="00703650"/>
    <w:rsid w:val="00703DE0"/>
    <w:rsid w:val="00704623"/>
    <w:rsid w:val="00706670"/>
    <w:rsid w:val="007123EE"/>
    <w:rsid w:val="00717858"/>
    <w:rsid w:val="00723482"/>
    <w:rsid w:val="0072417C"/>
    <w:rsid w:val="00730177"/>
    <w:rsid w:val="00734450"/>
    <w:rsid w:val="00736A1F"/>
    <w:rsid w:val="00745F67"/>
    <w:rsid w:val="00752D9D"/>
    <w:rsid w:val="00753DA1"/>
    <w:rsid w:val="00754784"/>
    <w:rsid w:val="00757C6E"/>
    <w:rsid w:val="00761E4C"/>
    <w:rsid w:val="00762BDA"/>
    <w:rsid w:val="00762E92"/>
    <w:rsid w:val="007630F5"/>
    <w:rsid w:val="00764279"/>
    <w:rsid w:val="007665C1"/>
    <w:rsid w:val="00777454"/>
    <w:rsid w:val="007805FD"/>
    <w:rsid w:val="00784422"/>
    <w:rsid w:val="007857A4"/>
    <w:rsid w:val="0078767F"/>
    <w:rsid w:val="00795B34"/>
    <w:rsid w:val="00796C08"/>
    <w:rsid w:val="007A4B65"/>
    <w:rsid w:val="007A59C5"/>
    <w:rsid w:val="007A6D43"/>
    <w:rsid w:val="007B24CF"/>
    <w:rsid w:val="007B2A14"/>
    <w:rsid w:val="007B30D0"/>
    <w:rsid w:val="007B3B54"/>
    <w:rsid w:val="007B3FA0"/>
    <w:rsid w:val="007B5ABE"/>
    <w:rsid w:val="007C2BCC"/>
    <w:rsid w:val="007C4EF0"/>
    <w:rsid w:val="007C57C5"/>
    <w:rsid w:val="007C5DE9"/>
    <w:rsid w:val="007D29E7"/>
    <w:rsid w:val="007E2664"/>
    <w:rsid w:val="007E2C67"/>
    <w:rsid w:val="007E3ABF"/>
    <w:rsid w:val="007E4047"/>
    <w:rsid w:val="007E5BFA"/>
    <w:rsid w:val="007E6689"/>
    <w:rsid w:val="007E731C"/>
    <w:rsid w:val="007F0571"/>
    <w:rsid w:val="007F0A03"/>
    <w:rsid w:val="00803661"/>
    <w:rsid w:val="00803B90"/>
    <w:rsid w:val="00810040"/>
    <w:rsid w:val="008103A5"/>
    <w:rsid w:val="00810E58"/>
    <w:rsid w:val="0081381D"/>
    <w:rsid w:val="00815C47"/>
    <w:rsid w:val="008161C8"/>
    <w:rsid w:val="0082023A"/>
    <w:rsid w:val="00821A7A"/>
    <w:rsid w:val="00822827"/>
    <w:rsid w:val="008253F8"/>
    <w:rsid w:val="00825D2A"/>
    <w:rsid w:val="00826978"/>
    <w:rsid w:val="00832A2B"/>
    <w:rsid w:val="0083666A"/>
    <w:rsid w:val="00837255"/>
    <w:rsid w:val="00846344"/>
    <w:rsid w:val="00846994"/>
    <w:rsid w:val="00847377"/>
    <w:rsid w:val="00850451"/>
    <w:rsid w:val="00852042"/>
    <w:rsid w:val="008534C9"/>
    <w:rsid w:val="0085599D"/>
    <w:rsid w:val="00857E14"/>
    <w:rsid w:val="0086067F"/>
    <w:rsid w:val="00873CDE"/>
    <w:rsid w:val="0087510C"/>
    <w:rsid w:val="00886515"/>
    <w:rsid w:val="008865B3"/>
    <w:rsid w:val="00887B60"/>
    <w:rsid w:val="00894D80"/>
    <w:rsid w:val="008968F5"/>
    <w:rsid w:val="0089738E"/>
    <w:rsid w:val="008A1FCE"/>
    <w:rsid w:val="008A409D"/>
    <w:rsid w:val="008A4FAC"/>
    <w:rsid w:val="008B2144"/>
    <w:rsid w:val="008B279C"/>
    <w:rsid w:val="008B5FDB"/>
    <w:rsid w:val="008C4855"/>
    <w:rsid w:val="008C5536"/>
    <w:rsid w:val="008C5649"/>
    <w:rsid w:val="008D4AC8"/>
    <w:rsid w:val="008D4E4F"/>
    <w:rsid w:val="008E44A2"/>
    <w:rsid w:val="008E697D"/>
    <w:rsid w:val="008E6B30"/>
    <w:rsid w:val="008F461B"/>
    <w:rsid w:val="00903263"/>
    <w:rsid w:val="00906A21"/>
    <w:rsid w:val="00906EBA"/>
    <w:rsid w:val="009079C3"/>
    <w:rsid w:val="00910462"/>
    <w:rsid w:val="00914628"/>
    <w:rsid w:val="00914AB2"/>
    <w:rsid w:val="00915AB1"/>
    <w:rsid w:val="00917532"/>
    <w:rsid w:val="00917D9C"/>
    <w:rsid w:val="00921954"/>
    <w:rsid w:val="009235BA"/>
    <w:rsid w:val="009244A9"/>
    <w:rsid w:val="00924CE2"/>
    <w:rsid w:val="00925B9F"/>
    <w:rsid w:val="00931AED"/>
    <w:rsid w:val="00943515"/>
    <w:rsid w:val="00943820"/>
    <w:rsid w:val="00946441"/>
    <w:rsid w:val="009476A3"/>
    <w:rsid w:val="00947FF1"/>
    <w:rsid w:val="009500F9"/>
    <w:rsid w:val="00951AA4"/>
    <w:rsid w:val="009522A7"/>
    <w:rsid w:val="0095334F"/>
    <w:rsid w:val="00957688"/>
    <w:rsid w:val="00965897"/>
    <w:rsid w:val="0096765C"/>
    <w:rsid w:val="009727E4"/>
    <w:rsid w:val="0098301C"/>
    <w:rsid w:val="00983259"/>
    <w:rsid w:val="0098586E"/>
    <w:rsid w:val="009911B6"/>
    <w:rsid w:val="009934C5"/>
    <w:rsid w:val="00994C0F"/>
    <w:rsid w:val="009A3B6B"/>
    <w:rsid w:val="009A78E5"/>
    <w:rsid w:val="009B22D7"/>
    <w:rsid w:val="009B2DCB"/>
    <w:rsid w:val="009B3F22"/>
    <w:rsid w:val="009B6C7D"/>
    <w:rsid w:val="009B72ED"/>
    <w:rsid w:val="009B7AA1"/>
    <w:rsid w:val="009C4AD2"/>
    <w:rsid w:val="009C6DEB"/>
    <w:rsid w:val="009D0BA6"/>
    <w:rsid w:val="009D279E"/>
    <w:rsid w:val="009D59C6"/>
    <w:rsid w:val="009D6504"/>
    <w:rsid w:val="009D7B5C"/>
    <w:rsid w:val="009E0761"/>
    <w:rsid w:val="009E2DD8"/>
    <w:rsid w:val="009E4D9A"/>
    <w:rsid w:val="009E661A"/>
    <w:rsid w:val="009E7139"/>
    <w:rsid w:val="009F18EB"/>
    <w:rsid w:val="009F4E1C"/>
    <w:rsid w:val="00A03BC6"/>
    <w:rsid w:val="00A06781"/>
    <w:rsid w:val="00A1509C"/>
    <w:rsid w:val="00A202F7"/>
    <w:rsid w:val="00A2686E"/>
    <w:rsid w:val="00A34260"/>
    <w:rsid w:val="00A378B4"/>
    <w:rsid w:val="00A40754"/>
    <w:rsid w:val="00A5118C"/>
    <w:rsid w:val="00A51246"/>
    <w:rsid w:val="00A54942"/>
    <w:rsid w:val="00A54D90"/>
    <w:rsid w:val="00A56521"/>
    <w:rsid w:val="00A61528"/>
    <w:rsid w:val="00A650D8"/>
    <w:rsid w:val="00A70CFD"/>
    <w:rsid w:val="00A70D5E"/>
    <w:rsid w:val="00A72A0B"/>
    <w:rsid w:val="00A73674"/>
    <w:rsid w:val="00A77471"/>
    <w:rsid w:val="00A779B6"/>
    <w:rsid w:val="00A81E42"/>
    <w:rsid w:val="00A82527"/>
    <w:rsid w:val="00A864FE"/>
    <w:rsid w:val="00A86F41"/>
    <w:rsid w:val="00A87D04"/>
    <w:rsid w:val="00A87DC7"/>
    <w:rsid w:val="00A913B5"/>
    <w:rsid w:val="00A950C5"/>
    <w:rsid w:val="00AA1D25"/>
    <w:rsid w:val="00AA7471"/>
    <w:rsid w:val="00AB2B1A"/>
    <w:rsid w:val="00AB397F"/>
    <w:rsid w:val="00AB42C9"/>
    <w:rsid w:val="00AB5115"/>
    <w:rsid w:val="00AB5832"/>
    <w:rsid w:val="00AC2732"/>
    <w:rsid w:val="00AC51F2"/>
    <w:rsid w:val="00AC6095"/>
    <w:rsid w:val="00AD2EE5"/>
    <w:rsid w:val="00AE1117"/>
    <w:rsid w:val="00AE34C4"/>
    <w:rsid w:val="00AE4038"/>
    <w:rsid w:val="00AE5066"/>
    <w:rsid w:val="00AE5611"/>
    <w:rsid w:val="00AE5E24"/>
    <w:rsid w:val="00AE61B7"/>
    <w:rsid w:val="00AE6CBA"/>
    <w:rsid w:val="00AE79AD"/>
    <w:rsid w:val="00AF160C"/>
    <w:rsid w:val="00AF2F04"/>
    <w:rsid w:val="00AF35E4"/>
    <w:rsid w:val="00AF45B9"/>
    <w:rsid w:val="00AF5CDE"/>
    <w:rsid w:val="00B00477"/>
    <w:rsid w:val="00B00828"/>
    <w:rsid w:val="00B008F9"/>
    <w:rsid w:val="00B0601E"/>
    <w:rsid w:val="00B11A57"/>
    <w:rsid w:val="00B124F6"/>
    <w:rsid w:val="00B157DF"/>
    <w:rsid w:val="00B17BD6"/>
    <w:rsid w:val="00B25597"/>
    <w:rsid w:val="00B265EF"/>
    <w:rsid w:val="00B267B9"/>
    <w:rsid w:val="00B32520"/>
    <w:rsid w:val="00B32C05"/>
    <w:rsid w:val="00B33E09"/>
    <w:rsid w:val="00B35CB8"/>
    <w:rsid w:val="00B42BD7"/>
    <w:rsid w:val="00B43A45"/>
    <w:rsid w:val="00B44774"/>
    <w:rsid w:val="00B45C9F"/>
    <w:rsid w:val="00B4770E"/>
    <w:rsid w:val="00B47F76"/>
    <w:rsid w:val="00B50708"/>
    <w:rsid w:val="00B50C68"/>
    <w:rsid w:val="00B51293"/>
    <w:rsid w:val="00B52B1E"/>
    <w:rsid w:val="00B55481"/>
    <w:rsid w:val="00B56C32"/>
    <w:rsid w:val="00B56EDD"/>
    <w:rsid w:val="00B57ACF"/>
    <w:rsid w:val="00B57AEA"/>
    <w:rsid w:val="00B57F08"/>
    <w:rsid w:val="00B61584"/>
    <w:rsid w:val="00B64BB1"/>
    <w:rsid w:val="00B660F3"/>
    <w:rsid w:val="00B71459"/>
    <w:rsid w:val="00B72226"/>
    <w:rsid w:val="00B73166"/>
    <w:rsid w:val="00B74260"/>
    <w:rsid w:val="00B749CE"/>
    <w:rsid w:val="00B75464"/>
    <w:rsid w:val="00B77DA2"/>
    <w:rsid w:val="00B8426C"/>
    <w:rsid w:val="00B90B2B"/>
    <w:rsid w:val="00B91B8D"/>
    <w:rsid w:val="00B91E5A"/>
    <w:rsid w:val="00B933AF"/>
    <w:rsid w:val="00B94E90"/>
    <w:rsid w:val="00BA38B5"/>
    <w:rsid w:val="00BB0A82"/>
    <w:rsid w:val="00BB2BA3"/>
    <w:rsid w:val="00BB3E28"/>
    <w:rsid w:val="00BB5CF1"/>
    <w:rsid w:val="00BB5E51"/>
    <w:rsid w:val="00BB7C94"/>
    <w:rsid w:val="00BC03F4"/>
    <w:rsid w:val="00BC0A9D"/>
    <w:rsid w:val="00BC15BC"/>
    <w:rsid w:val="00BC1BEA"/>
    <w:rsid w:val="00BD1065"/>
    <w:rsid w:val="00BD3016"/>
    <w:rsid w:val="00BE04E1"/>
    <w:rsid w:val="00BE157E"/>
    <w:rsid w:val="00BE6352"/>
    <w:rsid w:val="00BF4337"/>
    <w:rsid w:val="00BF5BC2"/>
    <w:rsid w:val="00BF5D1D"/>
    <w:rsid w:val="00C008E1"/>
    <w:rsid w:val="00C02801"/>
    <w:rsid w:val="00C044CC"/>
    <w:rsid w:val="00C06323"/>
    <w:rsid w:val="00C10305"/>
    <w:rsid w:val="00C1133D"/>
    <w:rsid w:val="00C13C95"/>
    <w:rsid w:val="00C14082"/>
    <w:rsid w:val="00C15F41"/>
    <w:rsid w:val="00C2317B"/>
    <w:rsid w:val="00C253D0"/>
    <w:rsid w:val="00C26698"/>
    <w:rsid w:val="00C27A08"/>
    <w:rsid w:val="00C27F45"/>
    <w:rsid w:val="00C306E0"/>
    <w:rsid w:val="00C3120C"/>
    <w:rsid w:val="00C31312"/>
    <w:rsid w:val="00C326C6"/>
    <w:rsid w:val="00C35295"/>
    <w:rsid w:val="00C36ADD"/>
    <w:rsid w:val="00C36E74"/>
    <w:rsid w:val="00C40595"/>
    <w:rsid w:val="00C41621"/>
    <w:rsid w:val="00C44550"/>
    <w:rsid w:val="00C449FA"/>
    <w:rsid w:val="00C46264"/>
    <w:rsid w:val="00C47406"/>
    <w:rsid w:val="00C5384F"/>
    <w:rsid w:val="00C54CA7"/>
    <w:rsid w:val="00C568DB"/>
    <w:rsid w:val="00C56964"/>
    <w:rsid w:val="00C656D5"/>
    <w:rsid w:val="00C67103"/>
    <w:rsid w:val="00C71BB9"/>
    <w:rsid w:val="00C73040"/>
    <w:rsid w:val="00C73D98"/>
    <w:rsid w:val="00C74859"/>
    <w:rsid w:val="00C854C8"/>
    <w:rsid w:val="00C92228"/>
    <w:rsid w:val="00C948DE"/>
    <w:rsid w:val="00C94C28"/>
    <w:rsid w:val="00C94F1E"/>
    <w:rsid w:val="00C97408"/>
    <w:rsid w:val="00CA05D9"/>
    <w:rsid w:val="00CA4B94"/>
    <w:rsid w:val="00CA5415"/>
    <w:rsid w:val="00CB0247"/>
    <w:rsid w:val="00CB2BFE"/>
    <w:rsid w:val="00CB3440"/>
    <w:rsid w:val="00CB4941"/>
    <w:rsid w:val="00CB4E1B"/>
    <w:rsid w:val="00CC1692"/>
    <w:rsid w:val="00CC2D4B"/>
    <w:rsid w:val="00CC57DA"/>
    <w:rsid w:val="00CD138B"/>
    <w:rsid w:val="00CD3003"/>
    <w:rsid w:val="00CD308E"/>
    <w:rsid w:val="00CD3E31"/>
    <w:rsid w:val="00CD74A3"/>
    <w:rsid w:val="00CE0160"/>
    <w:rsid w:val="00CE0527"/>
    <w:rsid w:val="00CE5B23"/>
    <w:rsid w:val="00CF066D"/>
    <w:rsid w:val="00CF10C8"/>
    <w:rsid w:val="00CF35ED"/>
    <w:rsid w:val="00CF6BC4"/>
    <w:rsid w:val="00CF70AD"/>
    <w:rsid w:val="00CF7729"/>
    <w:rsid w:val="00CF7BD1"/>
    <w:rsid w:val="00D005DA"/>
    <w:rsid w:val="00D107FA"/>
    <w:rsid w:val="00D12275"/>
    <w:rsid w:val="00D12766"/>
    <w:rsid w:val="00D16F56"/>
    <w:rsid w:val="00D20FF4"/>
    <w:rsid w:val="00D24D2C"/>
    <w:rsid w:val="00D27800"/>
    <w:rsid w:val="00D332C7"/>
    <w:rsid w:val="00D35881"/>
    <w:rsid w:val="00D3603E"/>
    <w:rsid w:val="00D36BE9"/>
    <w:rsid w:val="00D437E1"/>
    <w:rsid w:val="00D45195"/>
    <w:rsid w:val="00D47C4E"/>
    <w:rsid w:val="00D50F39"/>
    <w:rsid w:val="00D566F1"/>
    <w:rsid w:val="00D7027C"/>
    <w:rsid w:val="00D70741"/>
    <w:rsid w:val="00D71C47"/>
    <w:rsid w:val="00D810FE"/>
    <w:rsid w:val="00D90869"/>
    <w:rsid w:val="00D9557B"/>
    <w:rsid w:val="00D96098"/>
    <w:rsid w:val="00D97C32"/>
    <w:rsid w:val="00DA0EBF"/>
    <w:rsid w:val="00DA3275"/>
    <w:rsid w:val="00DA39E0"/>
    <w:rsid w:val="00DA5B50"/>
    <w:rsid w:val="00DA7DA5"/>
    <w:rsid w:val="00DB073B"/>
    <w:rsid w:val="00DB2C54"/>
    <w:rsid w:val="00DB3542"/>
    <w:rsid w:val="00DB78F0"/>
    <w:rsid w:val="00DC2E43"/>
    <w:rsid w:val="00DC3592"/>
    <w:rsid w:val="00DC74C3"/>
    <w:rsid w:val="00DC7613"/>
    <w:rsid w:val="00DD095C"/>
    <w:rsid w:val="00DD1330"/>
    <w:rsid w:val="00DD511C"/>
    <w:rsid w:val="00DD69B9"/>
    <w:rsid w:val="00DD6E05"/>
    <w:rsid w:val="00DE0B83"/>
    <w:rsid w:val="00DE1A81"/>
    <w:rsid w:val="00DE1EE9"/>
    <w:rsid w:val="00DE48EB"/>
    <w:rsid w:val="00DE4E10"/>
    <w:rsid w:val="00DE7F6D"/>
    <w:rsid w:val="00E02ABF"/>
    <w:rsid w:val="00E06D35"/>
    <w:rsid w:val="00E14995"/>
    <w:rsid w:val="00E179CD"/>
    <w:rsid w:val="00E17FEF"/>
    <w:rsid w:val="00E23E8D"/>
    <w:rsid w:val="00E26F0A"/>
    <w:rsid w:val="00E3095E"/>
    <w:rsid w:val="00E357CE"/>
    <w:rsid w:val="00E37CC0"/>
    <w:rsid w:val="00E37F98"/>
    <w:rsid w:val="00E43212"/>
    <w:rsid w:val="00E44E3F"/>
    <w:rsid w:val="00E46559"/>
    <w:rsid w:val="00E53F32"/>
    <w:rsid w:val="00E57899"/>
    <w:rsid w:val="00E6516A"/>
    <w:rsid w:val="00E6670C"/>
    <w:rsid w:val="00E66D95"/>
    <w:rsid w:val="00E71180"/>
    <w:rsid w:val="00E71307"/>
    <w:rsid w:val="00E776E8"/>
    <w:rsid w:val="00E82A21"/>
    <w:rsid w:val="00E84BCD"/>
    <w:rsid w:val="00E92C1F"/>
    <w:rsid w:val="00E95CE3"/>
    <w:rsid w:val="00E95D4B"/>
    <w:rsid w:val="00E965E1"/>
    <w:rsid w:val="00EA2E99"/>
    <w:rsid w:val="00EB1030"/>
    <w:rsid w:val="00EB1226"/>
    <w:rsid w:val="00EB199F"/>
    <w:rsid w:val="00EC23F7"/>
    <w:rsid w:val="00EC35B7"/>
    <w:rsid w:val="00EC361B"/>
    <w:rsid w:val="00EC3BD6"/>
    <w:rsid w:val="00EC4BD8"/>
    <w:rsid w:val="00EC63EB"/>
    <w:rsid w:val="00ED1629"/>
    <w:rsid w:val="00ED412F"/>
    <w:rsid w:val="00ED5C73"/>
    <w:rsid w:val="00EE4A60"/>
    <w:rsid w:val="00EF36B2"/>
    <w:rsid w:val="00EF4875"/>
    <w:rsid w:val="00EF69AA"/>
    <w:rsid w:val="00EF6CD5"/>
    <w:rsid w:val="00F04484"/>
    <w:rsid w:val="00F0474D"/>
    <w:rsid w:val="00F11B2B"/>
    <w:rsid w:val="00F12864"/>
    <w:rsid w:val="00F201EC"/>
    <w:rsid w:val="00F208A9"/>
    <w:rsid w:val="00F35B92"/>
    <w:rsid w:val="00F36A48"/>
    <w:rsid w:val="00F4252D"/>
    <w:rsid w:val="00F4624C"/>
    <w:rsid w:val="00F47B96"/>
    <w:rsid w:val="00F502EE"/>
    <w:rsid w:val="00F507C2"/>
    <w:rsid w:val="00F53ABD"/>
    <w:rsid w:val="00F54A28"/>
    <w:rsid w:val="00F54B78"/>
    <w:rsid w:val="00F56350"/>
    <w:rsid w:val="00F57678"/>
    <w:rsid w:val="00F63E57"/>
    <w:rsid w:val="00F63F08"/>
    <w:rsid w:val="00F64235"/>
    <w:rsid w:val="00F7454F"/>
    <w:rsid w:val="00F76FAA"/>
    <w:rsid w:val="00F77988"/>
    <w:rsid w:val="00F77F48"/>
    <w:rsid w:val="00F80582"/>
    <w:rsid w:val="00F81B0E"/>
    <w:rsid w:val="00F82CF1"/>
    <w:rsid w:val="00F87B6F"/>
    <w:rsid w:val="00F87D7C"/>
    <w:rsid w:val="00F91E4B"/>
    <w:rsid w:val="00FA0C4A"/>
    <w:rsid w:val="00FA27C3"/>
    <w:rsid w:val="00FA2CFF"/>
    <w:rsid w:val="00FA48E6"/>
    <w:rsid w:val="00FB30F1"/>
    <w:rsid w:val="00FB53E7"/>
    <w:rsid w:val="00FC43DE"/>
    <w:rsid w:val="00FC5AD9"/>
    <w:rsid w:val="00FD360C"/>
    <w:rsid w:val="00FE3DA5"/>
    <w:rsid w:val="00FE646E"/>
    <w:rsid w:val="00FE6B6A"/>
    <w:rsid w:val="00FF3F6F"/>
    <w:rsid w:val="00FF5381"/>
    <w:rsid w:val="00FF640C"/>
    <w:rsid w:val="00FF70E5"/>
    <w:rsid w:val="00FF7651"/>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674DEC1-B414-40E5-91F6-ED3B464C6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64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rsid w:val="008C5649"/>
    <w:rPr>
      <w:b/>
      <w:bCs/>
      <w:color w:val="333333"/>
    </w:rPr>
  </w:style>
  <w:style w:type="character" w:styleId="CommentReference">
    <w:name w:val="annotation reference"/>
    <w:semiHidden/>
    <w:rsid w:val="008C5649"/>
    <w:rPr>
      <w:sz w:val="16"/>
      <w:szCs w:val="16"/>
    </w:rPr>
  </w:style>
  <w:style w:type="paragraph" w:styleId="CommentText">
    <w:name w:val="annotation text"/>
    <w:basedOn w:val="Normal"/>
    <w:link w:val="CommentTextChar"/>
    <w:semiHidden/>
    <w:rsid w:val="008C5649"/>
    <w:rPr>
      <w:sz w:val="20"/>
      <w:szCs w:val="20"/>
    </w:rPr>
  </w:style>
  <w:style w:type="character" w:customStyle="1" w:styleId="CommentTextChar">
    <w:name w:val="Comment Text Char"/>
    <w:link w:val="CommentText"/>
    <w:semiHidden/>
    <w:rsid w:val="008C5649"/>
    <w:rPr>
      <w:lang w:val="lv-LV" w:eastAsia="lv-LV" w:bidi="ar-SA"/>
    </w:rPr>
  </w:style>
  <w:style w:type="paragraph" w:styleId="BalloonText">
    <w:name w:val="Balloon Text"/>
    <w:basedOn w:val="Normal"/>
    <w:semiHidden/>
    <w:rsid w:val="008C5649"/>
    <w:rPr>
      <w:rFonts w:ascii="Tahoma" w:hAnsi="Tahoma" w:cs="Tahoma"/>
      <w:sz w:val="16"/>
      <w:szCs w:val="16"/>
    </w:rPr>
  </w:style>
  <w:style w:type="table" w:styleId="TableGrid">
    <w:name w:val="Table Grid"/>
    <w:basedOn w:val="TableNormal"/>
    <w:rsid w:val="008C56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8C5649"/>
    <w:rPr>
      <w:sz w:val="20"/>
      <w:szCs w:val="20"/>
    </w:rPr>
  </w:style>
  <w:style w:type="character" w:styleId="FootnoteReference">
    <w:name w:val="footnote reference"/>
    <w:semiHidden/>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rsid w:val="00262E2B"/>
    <w:pPr>
      <w:tabs>
        <w:tab w:val="center" w:pos="4153"/>
        <w:tab w:val="right" w:pos="8306"/>
      </w:tabs>
    </w:pPr>
  </w:style>
  <w:style w:type="character" w:customStyle="1" w:styleId="FooterChar">
    <w:name w:val="Footer Char"/>
    <w:link w:val="Footer"/>
    <w:semiHidden/>
    <w:rsid w:val="00231344"/>
    <w:rPr>
      <w:sz w:val="24"/>
      <w:szCs w:val="24"/>
      <w:lang w:val="lv-LV" w:eastAsia="lv-LV" w:bidi="ar-SA"/>
    </w:rPr>
  </w:style>
  <w:style w:type="character" w:styleId="Hyperlink">
    <w:name w:val="Hyperlink"/>
    <w:uiPriority w:val="99"/>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paragraph" w:styleId="PlainText">
    <w:name w:val="Plain Text"/>
    <w:basedOn w:val="Normal"/>
    <w:link w:val="PlainTextChar"/>
    <w:uiPriority w:val="99"/>
    <w:rsid w:val="00D332C7"/>
    <w:rPr>
      <w:rFonts w:ascii="Courier New" w:hAnsi="Courier New"/>
      <w:sz w:val="28"/>
      <w:szCs w:val="20"/>
      <w:lang w:val="en-GB" w:eastAsia="en-US"/>
    </w:rPr>
  </w:style>
  <w:style w:type="character" w:customStyle="1" w:styleId="PlainTextChar">
    <w:name w:val="Plain Text Char"/>
    <w:link w:val="PlainText"/>
    <w:uiPriority w:val="99"/>
    <w:rsid w:val="00D332C7"/>
    <w:rPr>
      <w:rFonts w:ascii="Courier New" w:hAnsi="Courier New"/>
      <w:sz w:val="28"/>
      <w:lang w:val="en-GB" w:eastAsia="en-US"/>
    </w:rPr>
  </w:style>
  <w:style w:type="paragraph" w:styleId="BodyTextIndent">
    <w:name w:val="Body Text Indent"/>
    <w:basedOn w:val="Normal"/>
    <w:link w:val="BodyTextIndentChar"/>
    <w:rsid w:val="004A203F"/>
    <w:pPr>
      <w:spacing w:after="120" w:line="276" w:lineRule="auto"/>
      <w:ind w:left="283"/>
    </w:pPr>
    <w:rPr>
      <w:rFonts w:ascii="Calibri" w:eastAsia="Calibri" w:hAnsi="Calibri"/>
      <w:sz w:val="22"/>
      <w:szCs w:val="22"/>
      <w:lang w:eastAsia="en-US"/>
    </w:rPr>
  </w:style>
  <w:style w:type="character" w:customStyle="1" w:styleId="BodyTextIndentChar">
    <w:name w:val="Body Text Indent Char"/>
    <w:link w:val="BodyTextIndent"/>
    <w:rsid w:val="004A203F"/>
    <w:rPr>
      <w:rFonts w:ascii="Calibri" w:eastAsia="Calibri" w:hAnsi="Calibri"/>
      <w:sz w:val="22"/>
      <w:szCs w:val="22"/>
      <w:lang w:eastAsia="en-US"/>
    </w:rPr>
  </w:style>
  <w:style w:type="character" w:customStyle="1" w:styleId="HeaderChar">
    <w:name w:val="Header Char"/>
    <w:link w:val="Header"/>
    <w:uiPriority w:val="99"/>
    <w:rsid w:val="005D71D7"/>
    <w:rPr>
      <w:sz w:val="24"/>
      <w:szCs w:val="24"/>
    </w:rPr>
  </w:style>
  <w:style w:type="paragraph" w:styleId="Subtitle">
    <w:name w:val="Subtitle"/>
    <w:basedOn w:val="Normal"/>
    <w:next w:val="Normal"/>
    <w:link w:val="SubtitleChar"/>
    <w:qFormat/>
    <w:rsid w:val="004404FB"/>
    <w:pPr>
      <w:keepNext/>
      <w:keepLines/>
      <w:widowControl w:val="0"/>
      <w:suppressAutoHyphens/>
      <w:spacing w:before="600" w:after="600"/>
      <w:ind w:right="4820"/>
    </w:pPr>
    <w:rPr>
      <w:b/>
      <w:szCs w:val="20"/>
      <w:lang w:eastAsia="en-US"/>
    </w:rPr>
  </w:style>
  <w:style w:type="character" w:customStyle="1" w:styleId="SubtitleChar">
    <w:name w:val="Subtitle Char"/>
    <w:link w:val="Subtitle"/>
    <w:rsid w:val="004404FB"/>
    <w:rPr>
      <w:b/>
      <w:sz w:val="24"/>
      <w:lang w:eastAsia="en-US"/>
    </w:rPr>
  </w:style>
  <w:style w:type="paragraph" w:styleId="NormalWeb">
    <w:name w:val="Normal (Web)"/>
    <w:basedOn w:val="Normal"/>
    <w:uiPriority w:val="99"/>
    <w:rsid w:val="00DC74C3"/>
    <w:pPr>
      <w:spacing w:before="100" w:beforeAutospacing="1" w:after="100" w:afterAutospacing="1"/>
    </w:pPr>
    <w:rPr>
      <w:rFonts w:eastAsia="Calibri"/>
    </w:rPr>
  </w:style>
  <w:style w:type="paragraph" w:styleId="Revision">
    <w:name w:val="Revision"/>
    <w:hidden/>
    <w:uiPriority w:val="99"/>
    <w:semiHidden/>
    <w:rsid w:val="00651A69"/>
    <w:rPr>
      <w:sz w:val="24"/>
      <w:szCs w:val="24"/>
    </w:rPr>
  </w:style>
  <w:style w:type="table" w:styleId="TableProfessional">
    <w:name w:val="Table Professional"/>
    <w:basedOn w:val="TableNormal"/>
    <w:rsid w:val="00A61528"/>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ListParagraph">
    <w:name w:val="List Paragraph"/>
    <w:basedOn w:val="Normal"/>
    <w:uiPriority w:val="34"/>
    <w:qFormat/>
    <w:rsid w:val="00E53F32"/>
    <w:pPr>
      <w:spacing w:after="200" w:line="276" w:lineRule="auto"/>
      <w:ind w:left="720"/>
      <w:contextualSpacing/>
    </w:pPr>
    <w:rPr>
      <w:rFonts w:ascii="Calibri" w:eastAsia="SimSun" w:hAnsi="Calibri"/>
      <w:sz w:val="22"/>
      <w:szCs w:val="22"/>
      <w:lang w:eastAsia="zh-CN"/>
    </w:rPr>
  </w:style>
  <w:style w:type="paragraph" w:styleId="Title">
    <w:name w:val="Title"/>
    <w:basedOn w:val="Normal"/>
    <w:link w:val="TitleChar"/>
    <w:qFormat/>
    <w:rsid w:val="00C2317B"/>
    <w:pPr>
      <w:jc w:val="center"/>
    </w:pPr>
    <w:rPr>
      <w:b/>
      <w:bCs/>
      <w:sz w:val="28"/>
      <w:lang w:eastAsia="en-US"/>
    </w:rPr>
  </w:style>
  <w:style w:type="character" w:customStyle="1" w:styleId="TitleChar">
    <w:name w:val="Title Char"/>
    <w:basedOn w:val="DefaultParagraphFont"/>
    <w:link w:val="Title"/>
    <w:rsid w:val="00C2317B"/>
    <w:rPr>
      <w:b/>
      <w:bCs/>
      <w:sz w:val="28"/>
      <w:szCs w:val="24"/>
      <w:lang w:eastAsia="en-US"/>
    </w:rPr>
  </w:style>
  <w:style w:type="paragraph" w:styleId="BodyText">
    <w:name w:val="Body Text"/>
    <w:basedOn w:val="Normal"/>
    <w:link w:val="BodyTextChar"/>
    <w:semiHidden/>
    <w:unhideWhenUsed/>
    <w:rsid w:val="00621EF8"/>
    <w:pPr>
      <w:spacing w:after="120"/>
    </w:pPr>
  </w:style>
  <w:style w:type="character" w:customStyle="1" w:styleId="BodyTextChar">
    <w:name w:val="Body Text Char"/>
    <w:basedOn w:val="DefaultParagraphFont"/>
    <w:link w:val="BodyText"/>
    <w:semiHidden/>
    <w:rsid w:val="00621EF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818565">
      <w:bodyDiv w:val="1"/>
      <w:marLeft w:val="19"/>
      <w:marRight w:val="19"/>
      <w:marTop w:val="38"/>
      <w:marBottom w:val="38"/>
      <w:divBdr>
        <w:top w:val="none" w:sz="0" w:space="0" w:color="auto"/>
        <w:left w:val="none" w:sz="0" w:space="0" w:color="auto"/>
        <w:bottom w:val="none" w:sz="0" w:space="0" w:color="auto"/>
        <w:right w:val="none" w:sz="0" w:space="0" w:color="auto"/>
      </w:divBdr>
      <w:divsChild>
        <w:div w:id="1043284677">
          <w:marLeft w:val="0"/>
          <w:marRight w:val="0"/>
          <w:marTop w:val="240"/>
          <w:marBottom w:val="0"/>
          <w:divBdr>
            <w:top w:val="none" w:sz="0" w:space="0" w:color="auto"/>
            <w:left w:val="none" w:sz="0" w:space="0" w:color="auto"/>
            <w:bottom w:val="none" w:sz="0" w:space="0" w:color="auto"/>
            <w:right w:val="none" w:sz="0" w:space="0" w:color="auto"/>
          </w:divBdr>
        </w:div>
      </w:divsChild>
    </w:div>
    <w:div w:id="499122566">
      <w:bodyDiv w:val="1"/>
      <w:marLeft w:val="19"/>
      <w:marRight w:val="19"/>
      <w:marTop w:val="38"/>
      <w:marBottom w:val="38"/>
      <w:divBdr>
        <w:top w:val="none" w:sz="0" w:space="0" w:color="auto"/>
        <w:left w:val="none" w:sz="0" w:space="0" w:color="auto"/>
        <w:bottom w:val="none" w:sz="0" w:space="0" w:color="auto"/>
        <w:right w:val="none" w:sz="0" w:space="0" w:color="auto"/>
      </w:divBdr>
      <w:divsChild>
        <w:div w:id="1468015826">
          <w:marLeft w:val="0"/>
          <w:marRight w:val="0"/>
          <w:marTop w:val="240"/>
          <w:marBottom w:val="0"/>
          <w:divBdr>
            <w:top w:val="none" w:sz="0" w:space="0" w:color="auto"/>
            <w:left w:val="none" w:sz="0" w:space="0" w:color="auto"/>
            <w:bottom w:val="none" w:sz="0" w:space="0" w:color="auto"/>
            <w:right w:val="none" w:sz="0" w:space="0" w:color="auto"/>
          </w:divBdr>
        </w:div>
      </w:divsChild>
    </w:div>
    <w:div w:id="507139566">
      <w:bodyDiv w:val="1"/>
      <w:marLeft w:val="0"/>
      <w:marRight w:val="0"/>
      <w:marTop w:val="0"/>
      <w:marBottom w:val="0"/>
      <w:divBdr>
        <w:top w:val="none" w:sz="0" w:space="0" w:color="auto"/>
        <w:left w:val="none" w:sz="0" w:space="0" w:color="auto"/>
        <w:bottom w:val="none" w:sz="0" w:space="0" w:color="auto"/>
        <w:right w:val="none" w:sz="0" w:space="0" w:color="auto"/>
      </w:divBdr>
    </w:div>
    <w:div w:id="618872477">
      <w:bodyDiv w:val="1"/>
      <w:marLeft w:val="30"/>
      <w:marRight w:val="30"/>
      <w:marTop w:val="60"/>
      <w:marBottom w:val="60"/>
      <w:divBdr>
        <w:top w:val="none" w:sz="0" w:space="0" w:color="auto"/>
        <w:left w:val="none" w:sz="0" w:space="0" w:color="auto"/>
        <w:bottom w:val="none" w:sz="0" w:space="0" w:color="auto"/>
        <w:right w:val="none" w:sz="0" w:space="0" w:color="auto"/>
      </w:divBdr>
      <w:divsChild>
        <w:div w:id="1628925690">
          <w:marLeft w:val="0"/>
          <w:marRight w:val="0"/>
          <w:marTop w:val="240"/>
          <w:marBottom w:val="0"/>
          <w:divBdr>
            <w:top w:val="none" w:sz="0" w:space="0" w:color="auto"/>
            <w:left w:val="none" w:sz="0" w:space="0" w:color="auto"/>
            <w:bottom w:val="none" w:sz="0" w:space="0" w:color="auto"/>
            <w:right w:val="none" w:sz="0" w:space="0" w:color="auto"/>
          </w:divBdr>
        </w:div>
      </w:divsChild>
    </w:div>
    <w:div w:id="768309298">
      <w:bodyDiv w:val="1"/>
      <w:marLeft w:val="30"/>
      <w:marRight w:val="30"/>
      <w:marTop w:val="60"/>
      <w:marBottom w:val="60"/>
      <w:divBdr>
        <w:top w:val="none" w:sz="0" w:space="0" w:color="auto"/>
        <w:left w:val="none" w:sz="0" w:space="0" w:color="auto"/>
        <w:bottom w:val="none" w:sz="0" w:space="0" w:color="auto"/>
        <w:right w:val="none" w:sz="0" w:space="0" w:color="auto"/>
      </w:divBdr>
      <w:divsChild>
        <w:div w:id="2060396421">
          <w:marLeft w:val="0"/>
          <w:marRight w:val="0"/>
          <w:marTop w:val="240"/>
          <w:marBottom w:val="0"/>
          <w:divBdr>
            <w:top w:val="none" w:sz="0" w:space="0" w:color="auto"/>
            <w:left w:val="none" w:sz="0" w:space="0" w:color="auto"/>
            <w:bottom w:val="none" w:sz="0" w:space="0" w:color="auto"/>
            <w:right w:val="none" w:sz="0" w:space="0" w:color="auto"/>
          </w:divBdr>
        </w:div>
      </w:divsChild>
    </w:div>
    <w:div w:id="782577541">
      <w:bodyDiv w:val="1"/>
      <w:marLeft w:val="30"/>
      <w:marRight w:val="30"/>
      <w:marTop w:val="60"/>
      <w:marBottom w:val="60"/>
      <w:divBdr>
        <w:top w:val="none" w:sz="0" w:space="0" w:color="auto"/>
        <w:left w:val="none" w:sz="0" w:space="0" w:color="auto"/>
        <w:bottom w:val="none" w:sz="0" w:space="0" w:color="auto"/>
        <w:right w:val="none" w:sz="0" w:space="0" w:color="auto"/>
      </w:divBdr>
      <w:divsChild>
        <w:div w:id="1868565953">
          <w:marLeft w:val="0"/>
          <w:marRight w:val="0"/>
          <w:marTop w:val="240"/>
          <w:marBottom w:val="0"/>
          <w:divBdr>
            <w:top w:val="none" w:sz="0" w:space="0" w:color="auto"/>
            <w:left w:val="none" w:sz="0" w:space="0" w:color="auto"/>
            <w:bottom w:val="none" w:sz="0" w:space="0" w:color="auto"/>
            <w:right w:val="none" w:sz="0" w:space="0" w:color="auto"/>
          </w:divBdr>
        </w:div>
      </w:divsChild>
    </w:div>
    <w:div w:id="875435599">
      <w:bodyDiv w:val="1"/>
      <w:marLeft w:val="0"/>
      <w:marRight w:val="0"/>
      <w:marTop w:val="0"/>
      <w:marBottom w:val="0"/>
      <w:divBdr>
        <w:top w:val="none" w:sz="0" w:space="0" w:color="auto"/>
        <w:left w:val="none" w:sz="0" w:space="0" w:color="auto"/>
        <w:bottom w:val="none" w:sz="0" w:space="0" w:color="auto"/>
        <w:right w:val="none" w:sz="0" w:space="0" w:color="auto"/>
      </w:divBdr>
    </w:div>
    <w:div w:id="991328356">
      <w:bodyDiv w:val="1"/>
      <w:marLeft w:val="0"/>
      <w:marRight w:val="0"/>
      <w:marTop w:val="0"/>
      <w:marBottom w:val="0"/>
      <w:divBdr>
        <w:top w:val="none" w:sz="0" w:space="0" w:color="auto"/>
        <w:left w:val="none" w:sz="0" w:space="0" w:color="auto"/>
        <w:bottom w:val="none" w:sz="0" w:space="0" w:color="auto"/>
        <w:right w:val="none" w:sz="0" w:space="0" w:color="auto"/>
      </w:divBdr>
    </w:div>
    <w:div w:id="1599950092">
      <w:bodyDiv w:val="1"/>
      <w:marLeft w:val="19"/>
      <w:marRight w:val="19"/>
      <w:marTop w:val="38"/>
      <w:marBottom w:val="38"/>
      <w:divBdr>
        <w:top w:val="none" w:sz="0" w:space="0" w:color="auto"/>
        <w:left w:val="none" w:sz="0" w:space="0" w:color="auto"/>
        <w:bottom w:val="none" w:sz="0" w:space="0" w:color="auto"/>
        <w:right w:val="none" w:sz="0" w:space="0" w:color="auto"/>
      </w:divBdr>
      <w:divsChild>
        <w:div w:id="1268738645">
          <w:marLeft w:val="0"/>
          <w:marRight w:val="0"/>
          <w:marTop w:val="240"/>
          <w:marBottom w:val="0"/>
          <w:divBdr>
            <w:top w:val="none" w:sz="0" w:space="0" w:color="auto"/>
            <w:left w:val="none" w:sz="0" w:space="0" w:color="auto"/>
            <w:bottom w:val="none" w:sz="0" w:space="0" w:color="auto"/>
            <w:right w:val="none" w:sz="0" w:space="0" w:color="auto"/>
          </w:divBdr>
        </w:div>
      </w:divsChild>
    </w:div>
    <w:div w:id="1672222664">
      <w:bodyDiv w:val="1"/>
      <w:marLeft w:val="19"/>
      <w:marRight w:val="19"/>
      <w:marTop w:val="38"/>
      <w:marBottom w:val="38"/>
      <w:divBdr>
        <w:top w:val="none" w:sz="0" w:space="0" w:color="auto"/>
        <w:left w:val="none" w:sz="0" w:space="0" w:color="auto"/>
        <w:bottom w:val="none" w:sz="0" w:space="0" w:color="auto"/>
        <w:right w:val="none" w:sz="0" w:space="0" w:color="auto"/>
      </w:divBdr>
      <w:divsChild>
        <w:div w:id="1882788674">
          <w:marLeft w:val="0"/>
          <w:marRight w:val="0"/>
          <w:marTop w:val="240"/>
          <w:marBottom w:val="0"/>
          <w:divBdr>
            <w:top w:val="none" w:sz="0" w:space="0" w:color="auto"/>
            <w:left w:val="none" w:sz="0" w:space="0" w:color="auto"/>
            <w:bottom w:val="none" w:sz="0" w:space="0" w:color="auto"/>
            <w:right w:val="none" w:sz="0" w:space="0" w:color="auto"/>
          </w:divBdr>
        </w:div>
      </w:divsChild>
    </w:div>
    <w:div w:id="1689018829">
      <w:bodyDiv w:val="1"/>
      <w:marLeft w:val="56"/>
      <w:marRight w:val="56"/>
      <w:marTop w:val="112"/>
      <w:marBottom w:val="112"/>
      <w:divBdr>
        <w:top w:val="none" w:sz="0" w:space="0" w:color="auto"/>
        <w:left w:val="none" w:sz="0" w:space="0" w:color="auto"/>
        <w:bottom w:val="none" w:sz="0" w:space="0" w:color="auto"/>
        <w:right w:val="none" w:sz="0" w:space="0" w:color="auto"/>
      </w:divBdr>
      <w:divsChild>
        <w:div w:id="129447315">
          <w:marLeft w:val="0"/>
          <w:marRight w:val="0"/>
          <w:marTop w:val="240"/>
          <w:marBottom w:val="0"/>
          <w:divBdr>
            <w:top w:val="none" w:sz="0" w:space="0" w:color="auto"/>
            <w:left w:val="none" w:sz="0" w:space="0" w:color="auto"/>
            <w:bottom w:val="none" w:sz="0" w:space="0" w:color="auto"/>
            <w:right w:val="none" w:sz="0" w:space="0" w:color="auto"/>
          </w:divBdr>
        </w:div>
      </w:divsChild>
    </w:div>
    <w:div w:id="1865441148">
      <w:bodyDiv w:val="1"/>
      <w:marLeft w:val="0"/>
      <w:marRight w:val="0"/>
      <w:marTop w:val="0"/>
      <w:marBottom w:val="0"/>
      <w:divBdr>
        <w:top w:val="none" w:sz="0" w:space="0" w:color="auto"/>
        <w:left w:val="none" w:sz="0" w:space="0" w:color="auto"/>
        <w:bottom w:val="none" w:sz="0" w:space="0" w:color="auto"/>
        <w:right w:val="none" w:sz="0" w:space="0" w:color="auto"/>
      </w:divBdr>
    </w:div>
    <w:div w:id="1919904583">
      <w:bodyDiv w:val="1"/>
      <w:marLeft w:val="30"/>
      <w:marRight w:val="30"/>
      <w:marTop w:val="60"/>
      <w:marBottom w:val="60"/>
      <w:divBdr>
        <w:top w:val="none" w:sz="0" w:space="0" w:color="auto"/>
        <w:left w:val="none" w:sz="0" w:space="0" w:color="auto"/>
        <w:bottom w:val="none" w:sz="0" w:space="0" w:color="auto"/>
        <w:right w:val="none" w:sz="0" w:space="0" w:color="auto"/>
      </w:divBdr>
      <w:divsChild>
        <w:div w:id="1433932601">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pro.nais.lv/naiser/esdoc.cfm?esid=32009L0103" TargetMode="External"/><Relationship Id="rId18" Type="http://schemas.openxmlformats.org/officeDocument/2006/relationships/hyperlink" Target="http://pro.nais.lv/naiser/esdoc.cfm?esid=32009L0103" TargetMode="External"/><Relationship Id="rId26" Type="http://schemas.openxmlformats.org/officeDocument/2006/relationships/hyperlink" Target="http://pro.nais.lv/naiser/esdoc.cfm?esid=31990L0232" TargetMode="External"/><Relationship Id="rId3" Type="http://schemas.openxmlformats.org/officeDocument/2006/relationships/customXml" Target="../customXml/item3.xml"/><Relationship Id="rId21" Type="http://schemas.openxmlformats.org/officeDocument/2006/relationships/hyperlink" Target="http://pro.nais.lv/naiser/esdoc.cfm?esid=32009L0103"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curia.europa.eu/juris/liste.jsf;jsessionid=9ea7d2dc30db77a57feb77284ff482a0d52dd08aa66a.e34KaxiLc3qMb40Rch0SaxuMa3b0?pro=&amp;lgrec=lv&amp;nat=&amp;oqp=&amp;dates=&amp;lg=&amp;language=lv&amp;jur=C%2CT%2CF&amp;cit=none%252CC%252CCJ%252CR%252C2008E%252C%252C%252C%252C%252C%252C%252C%252C%252C%252Ctrue%252Cfalse%252Cfalse&amp;num=c-22%252F12&amp;td=ALL&amp;pcs=O&amp;avg=&amp;page=1&amp;mat=or&amp;jge=&amp;for=&amp;cid=553148" TargetMode="External"/><Relationship Id="rId17" Type="http://schemas.openxmlformats.org/officeDocument/2006/relationships/hyperlink" Target="http://mk.gov.lv/doc/2005/FMPask_030105_1.doc" TargetMode="External"/><Relationship Id="rId25" Type="http://schemas.openxmlformats.org/officeDocument/2006/relationships/hyperlink" Target="http://pro.nais.lv/naiser/esdoc.cfm?esid=31984L0005"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pro.nais.lv/naiser/esdoc.cfm?esid=32009L0103" TargetMode="External"/><Relationship Id="rId20" Type="http://schemas.openxmlformats.org/officeDocument/2006/relationships/hyperlink" Target="http://pro.nais.lv/naiser/esdoc.cfm?esid=32009L0103"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pro.nais.lv/naiser/text.cfm?Ref=0101032005051700331&amp;Req=0101032005051700331&amp;Key=0103012004040732793&amp;Hash=1" TargetMode="External"/><Relationship Id="rId24" Type="http://schemas.openxmlformats.org/officeDocument/2006/relationships/hyperlink" Target="http://pro.nais.lv/naiser/esdoc.cfm?esid=31972L0166" TargetMode="External"/><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pro.nais.lv/naiser/esdoc.cfm?esid=32009L0103" TargetMode="External"/><Relationship Id="rId23" Type="http://schemas.openxmlformats.org/officeDocument/2006/relationships/hyperlink" Target="http://curia.europa.eu/juris/liste.jsf;jsessionid=9ea7d2dc30db77a57feb77284ff482a0d52dd08aa66a.e34KaxiLc3qMb40Rch0SaxuMa3b0?pro=&amp;lgrec=lv&amp;nat=&amp;oqp=&amp;dates=&amp;lg=&amp;language=lv&amp;jur=C%2CT%2CF&amp;cit=none%252CC%252CCJ%252CR%252C2008E%252C%252C%252C%252C%252C%252C%252C%252C%252C%252Ctrue%252Cfalse%252Cfalse&amp;num=c-22%252F12&amp;td=ALL&amp;pcs=O&amp;avg=&amp;page=1&amp;mat=or&amp;jge=&amp;for=&amp;cid=553148" TargetMode="External"/><Relationship Id="rId28" Type="http://schemas.openxmlformats.org/officeDocument/2006/relationships/hyperlink" Target="mailto:maris.stepins@fm.gov.lv" TargetMode="External"/><Relationship Id="rId10" Type="http://schemas.openxmlformats.org/officeDocument/2006/relationships/endnotes" Target="endnotes.xml"/><Relationship Id="rId19" Type="http://schemas.openxmlformats.org/officeDocument/2006/relationships/hyperlink" Target="http://pro.nais.lv/naiser/esdoc.cfm?esid=32009L0103"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pro.nais.lv/naiser/esdoc.cfm?esid=32009L0103" TargetMode="External"/><Relationship Id="rId22" Type="http://schemas.openxmlformats.org/officeDocument/2006/relationships/hyperlink" Target="http://helios-web.saeima.lv/saeima9/lasa?dd=LP0344_0" TargetMode="External"/><Relationship Id="rId27" Type="http://schemas.openxmlformats.org/officeDocument/2006/relationships/hyperlink" Target="mailto:ilze.gailite@ltab.lv" TargetMode="External"/><Relationship Id="rId3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BBF598-35FB-484E-A26A-90044F0125A5}">
  <ds:schemaRefs>
    <ds:schemaRef ds:uri="http://schemas.openxmlformats.org/officeDocument/2006/bibliography"/>
  </ds:schemaRefs>
</ds:datastoreItem>
</file>

<file path=customXml/itemProps2.xml><?xml version="1.0" encoding="utf-8"?>
<ds:datastoreItem xmlns:ds="http://schemas.openxmlformats.org/officeDocument/2006/customXml" ds:itemID="{BCC589C8-FD93-49E5-87B4-7CDD7C2DA159}">
  <ds:schemaRefs>
    <ds:schemaRef ds:uri="http://schemas.openxmlformats.org/officeDocument/2006/bibliography"/>
  </ds:schemaRefs>
</ds:datastoreItem>
</file>

<file path=customXml/itemProps3.xml><?xml version="1.0" encoding="utf-8"?>
<ds:datastoreItem xmlns:ds="http://schemas.openxmlformats.org/officeDocument/2006/customXml" ds:itemID="{9B4923C8-B098-4AF6-B5B4-B434A66031ED}">
  <ds:schemaRefs>
    <ds:schemaRef ds:uri="http://schemas.openxmlformats.org/officeDocument/2006/bibliography"/>
  </ds:schemaRefs>
</ds:datastoreItem>
</file>

<file path=customXml/itemProps4.xml><?xml version="1.0" encoding="utf-8"?>
<ds:datastoreItem xmlns:ds="http://schemas.openxmlformats.org/officeDocument/2006/customXml" ds:itemID="{FA36DC1E-945A-45DE-8850-8401FFB1C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15823</Words>
  <Characters>9020</Characters>
  <Application>Microsoft Office Word</Application>
  <DocSecurity>0</DocSecurity>
  <Lines>75</Lines>
  <Paragraphs>49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„Noteikumi par apdrošināšanas atlīdzības apmēru un aprēķināšanas kārtību par personai nodarītajiem nemateriālajiem zaudējumiem” sākotnējās ietekmes novērtējuma ziņojums (anotācija)</vt:lpstr>
      <vt:lpstr>MK noteikumu projekts</vt:lpstr>
    </vt:vector>
  </TitlesOfParts>
  <Company>Valsts kanceleja, Politikas koordinācijas departaments</Company>
  <LinksUpToDate>false</LinksUpToDate>
  <CharactersWithSpaces>24794</CharactersWithSpaces>
  <SharedDoc>false</SharedDoc>
  <HLinks>
    <vt:vector size="60" baseType="variant">
      <vt:variant>
        <vt:i4>8192086</vt:i4>
      </vt:variant>
      <vt:variant>
        <vt:i4>27</vt:i4>
      </vt:variant>
      <vt:variant>
        <vt:i4>0</vt:i4>
      </vt:variant>
      <vt:variant>
        <vt:i4>5</vt:i4>
      </vt:variant>
      <vt:variant>
        <vt:lpwstr>mailto:maris.stepins@fm.gov.lv</vt:lpwstr>
      </vt:variant>
      <vt:variant>
        <vt:lpwstr/>
      </vt:variant>
      <vt:variant>
        <vt:i4>1835106</vt:i4>
      </vt:variant>
      <vt:variant>
        <vt:i4>24</vt:i4>
      </vt:variant>
      <vt:variant>
        <vt:i4>0</vt:i4>
      </vt:variant>
      <vt:variant>
        <vt:i4>5</vt:i4>
      </vt:variant>
      <vt:variant>
        <vt:lpwstr>mailto:ilze.gailite@ltab.lv</vt:lpwstr>
      </vt:variant>
      <vt:variant>
        <vt:lpwstr/>
      </vt:variant>
      <vt:variant>
        <vt:i4>7209004</vt:i4>
      </vt:variant>
      <vt:variant>
        <vt:i4>21</vt:i4>
      </vt:variant>
      <vt:variant>
        <vt:i4>0</vt:i4>
      </vt:variant>
      <vt:variant>
        <vt:i4>5</vt:i4>
      </vt:variant>
      <vt:variant>
        <vt:lpwstr>http://curia.europa.eu/juris/liste.jsf;jsessionid=9ea7d2dc30db77a57feb77284ff482a0d52dd08aa66a.e34KaxiLc3qMb40Rch0SaxuMa3b0?pro=&amp;lgrec=lv&amp;nat=&amp;oqp=&amp;dates=&amp;lg=&amp;language=lv&amp;jur=C%2CT%2CF&amp;cit=none%252CC%252CCJ%252CR%252C2008E%252C%252C%252C%252C%252C%252C%252C%252C%252C%252Ctrue%252Cfalse%252Cfalse&amp;num=c-22%252F12&amp;td=ALL&amp;pcs=O&amp;avg=&amp;page=1&amp;mat=or&amp;jge=&amp;for=&amp;cid=553148</vt:lpwstr>
      </vt:variant>
      <vt:variant>
        <vt:lpwstr/>
      </vt:variant>
      <vt:variant>
        <vt:i4>6291558</vt:i4>
      </vt:variant>
      <vt:variant>
        <vt:i4>18</vt:i4>
      </vt:variant>
      <vt:variant>
        <vt:i4>0</vt:i4>
      </vt:variant>
      <vt:variant>
        <vt:i4>5</vt:i4>
      </vt:variant>
      <vt:variant>
        <vt:lpwstr>http://pro.nais.lv/naiser/esdoc.cfm?esid=32009L0103</vt:lpwstr>
      </vt:variant>
      <vt:variant>
        <vt:lpwstr/>
      </vt:variant>
      <vt:variant>
        <vt:i4>6291558</vt:i4>
      </vt:variant>
      <vt:variant>
        <vt:i4>15</vt:i4>
      </vt:variant>
      <vt:variant>
        <vt:i4>0</vt:i4>
      </vt:variant>
      <vt:variant>
        <vt:i4>5</vt:i4>
      </vt:variant>
      <vt:variant>
        <vt:lpwstr>http://pro.nais.lv/naiser/esdoc.cfm?esid=32009L0103</vt:lpwstr>
      </vt:variant>
      <vt:variant>
        <vt:lpwstr/>
      </vt:variant>
      <vt:variant>
        <vt:i4>6291558</vt:i4>
      </vt:variant>
      <vt:variant>
        <vt:i4>12</vt:i4>
      </vt:variant>
      <vt:variant>
        <vt:i4>0</vt:i4>
      </vt:variant>
      <vt:variant>
        <vt:i4>5</vt:i4>
      </vt:variant>
      <vt:variant>
        <vt:lpwstr>http://pro.nais.lv/naiser/esdoc.cfm?esid=32009L0103</vt:lpwstr>
      </vt:variant>
      <vt:variant>
        <vt:lpwstr/>
      </vt:variant>
      <vt:variant>
        <vt:i4>6291558</vt:i4>
      </vt:variant>
      <vt:variant>
        <vt:i4>9</vt:i4>
      </vt:variant>
      <vt:variant>
        <vt:i4>0</vt:i4>
      </vt:variant>
      <vt:variant>
        <vt:i4>5</vt:i4>
      </vt:variant>
      <vt:variant>
        <vt:lpwstr>http://pro.nais.lv/naiser/esdoc.cfm?esid=32009L0103</vt:lpwstr>
      </vt:variant>
      <vt:variant>
        <vt:lpwstr/>
      </vt:variant>
      <vt:variant>
        <vt:i4>6291558</vt:i4>
      </vt:variant>
      <vt:variant>
        <vt:i4>6</vt:i4>
      </vt:variant>
      <vt:variant>
        <vt:i4>0</vt:i4>
      </vt:variant>
      <vt:variant>
        <vt:i4>5</vt:i4>
      </vt:variant>
      <vt:variant>
        <vt:lpwstr>http://pro.nais.lv/naiser/esdoc.cfm?esid=32009L0103</vt:lpwstr>
      </vt:variant>
      <vt:variant>
        <vt:lpwstr/>
      </vt:variant>
      <vt:variant>
        <vt:i4>7209004</vt:i4>
      </vt:variant>
      <vt:variant>
        <vt:i4>3</vt:i4>
      </vt:variant>
      <vt:variant>
        <vt:i4>0</vt:i4>
      </vt:variant>
      <vt:variant>
        <vt:i4>5</vt:i4>
      </vt:variant>
      <vt:variant>
        <vt:lpwstr>http://curia.europa.eu/juris/liste.jsf;jsessionid=9ea7d2dc30db77a57feb77284ff482a0d52dd08aa66a.e34KaxiLc3qMb40Rch0SaxuMa3b0?pro=&amp;lgrec=lv&amp;nat=&amp;oqp=&amp;dates=&amp;lg=&amp;language=lv&amp;jur=C%2CT%2CF&amp;cit=none%252CC%252CCJ%252CR%252C2008E%252C%252C%252C%252C%252C%252C%252C%252C%252C%252Ctrue%252Cfalse%252Cfalse&amp;num=c-22%252F12&amp;td=ALL&amp;pcs=O&amp;avg=&amp;page=1&amp;mat=or&amp;jge=&amp;for=&amp;cid=553148</vt:lpwstr>
      </vt:variant>
      <vt:variant>
        <vt:lpwstr/>
      </vt:variant>
      <vt:variant>
        <vt:i4>2031718</vt:i4>
      </vt:variant>
      <vt:variant>
        <vt:i4>0</vt:i4>
      </vt:variant>
      <vt:variant>
        <vt:i4>0</vt:i4>
      </vt:variant>
      <vt:variant>
        <vt:i4>5</vt:i4>
      </vt:variant>
      <vt:variant>
        <vt:lpwstr>http://pro.nais.lv/naiser/text.cfm?Ref=0101032005051700331&amp;Req=0101032005051700331&amp;Key=0103012004040732793&amp;Hash=1</vt:lpwstr>
      </vt:variant>
      <vt:variant>
        <vt:lpwstr>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„Noteikumi par apdrošināšanas atlīdzības apmēru un aprēķināšanas kārtību par personai nodarītajiem nemateriālajiem zaudējumiem” sākotnējās ietekmes novērtējuma ziņojums (anotācija)</dc:title>
  <dc:subject>anotācija</dc:subject>
  <dc:creator>maris.stepins@fm.gov.lv</dc:creator>
  <dc:description>67095490 maris.stepins@fm.gov.lv</dc:description>
  <cp:lastModifiedBy>Liene Strēlniece</cp:lastModifiedBy>
  <cp:revision>5</cp:revision>
  <cp:lastPrinted>2014-01-29T07:10:00Z</cp:lastPrinted>
  <dcterms:created xsi:type="dcterms:W3CDTF">2014-06-04T09:23:00Z</dcterms:created>
  <dcterms:modified xsi:type="dcterms:W3CDTF">2014-06-06T12:17:00Z</dcterms:modified>
</cp:coreProperties>
</file>