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4956D" w14:textId="1CCE9DA1" w:rsidR="00BF77DF" w:rsidRPr="00DC53B2" w:rsidRDefault="00A630B2" w:rsidP="00A630B2">
      <w:pPr>
        <w:jc w:val="center"/>
        <w:rPr>
          <w:b/>
          <w:sz w:val="28"/>
          <w:szCs w:val="28"/>
        </w:rPr>
      </w:pPr>
      <w:r w:rsidRPr="00A630B2">
        <w:rPr>
          <w:b/>
          <w:sz w:val="28"/>
          <w:szCs w:val="28"/>
        </w:rPr>
        <w:t xml:space="preserve">Ministru kabineta noteikumu </w:t>
      </w:r>
      <w:r w:rsidR="007A5247" w:rsidRPr="00A630B2">
        <w:rPr>
          <w:b/>
          <w:sz w:val="28"/>
          <w:szCs w:val="28"/>
        </w:rPr>
        <w:t>projekt</w:t>
      </w:r>
      <w:r w:rsidR="007A5247">
        <w:rPr>
          <w:b/>
          <w:sz w:val="28"/>
          <w:szCs w:val="28"/>
        </w:rPr>
        <w:t>a</w:t>
      </w:r>
      <w:r w:rsidR="007A5247" w:rsidRPr="00A630B2">
        <w:rPr>
          <w:b/>
          <w:sz w:val="28"/>
          <w:szCs w:val="28"/>
        </w:rPr>
        <w:t xml:space="preserve"> </w:t>
      </w:r>
      <w:r w:rsidRPr="00A630B2">
        <w:rPr>
          <w:b/>
          <w:sz w:val="28"/>
          <w:szCs w:val="28"/>
        </w:rPr>
        <w:t>„Grozījum</w:t>
      </w:r>
      <w:r w:rsidR="00A7162E">
        <w:rPr>
          <w:b/>
          <w:sz w:val="28"/>
          <w:szCs w:val="28"/>
        </w:rPr>
        <w:t>i</w:t>
      </w:r>
      <w:r w:rsidRPr="00A630B2">
        <w:rPr>
          <w:b/>
          <w:sz w:val="28"/>
          <w:szCs w:val="28"/>
        </w:rPr>
        <w:t xml:space="preserve"> </w:t>
      </w:r>
      <w:r w:rsidR="00227CB6">
        <w:rPr>
          <w:b/>
          <w:sz w:val="28"/>
          <w:szCs w:val="28"/>
        </w:rPr>
        <w:t xml:space="preserve">Ministru kabineta </w:t>
      </w:r>
      <w:r w:rsidRPr="00A630B2">
        <w:rPr>
          <w:b/>
          <w:sz w:val="28"/>
          <w:szCs w:val="28"/>
        </w:rPr>
        <w:t>2012.gada 29.maija noteikumos Nr.374 „„</w:t>
      </w:r>
      <w:r w:rsidRPr="00A630B2">
        <w:rPr>
          <w:b/>
          <w:bCs/>
          <w:sz w:val="28"/>
          <w:szCs w:val="28"/>
        </w:rPr>
        <w:t>Līdzfinansējuma piešķiršanas, vadības, uzraudzības un kontroles kārtība sabiedrības integrācijas veicināšanai un nevalstiskā sektora attīstības programmu un projektu īstenošanai</w:t>
      </w:r>
      <w:r w:rsidRPr="00A630B2">
        <w:rPr>
          <w:b/>
          <w:sz w:val="28"/>
          <w:szCs w:val="28"/>
        </w:rPr>
        <w:t xml:space="preserve">”” </w:t>
      </w:r>
      <w:r w:rsidR="00F8143F" w:rsidRPr="00DC53B2">
        <w:rPr>
          <w:b/>
          <w:sz w:val="28"/>
          <w:szCs w:val="28"/>
        </w:rPr>
        <w:t>sākotnējās ietekmes novērtējuma ziņojums (anotācija)</w:t>
      </w:r>
    </w:p>
    <w:p w14:paraId="03854E31" w14:textId="77777777" w:rsidR="00F8143F" w:rsidRPr="00DC53B2" w:rsidRDefault="00F8143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222"/>
        <w:gridCol w:w="6312"/>
      </w:tblGrid>
      <w:tr w:rsidR="00A30E51" w:rsidRPr="00DC53B2" w14:paraId="4D32FC17" w14:textId="77777777" w:rsidTr="00101AA2">
        <w:tc>
          <w:tcPr>
            <w:tcW w:w="9287" w:type="dxa"/>
            <w:gridSpan w:val="3"/>
            <w:shd w:val="clear" w:color="auto" w:fill="auto"/>
          </w:tcPr>
          <w:p w14:paraId="2C156E3E" w14:textId="77777777" w:rsidR="00F8143F" w:rsidRPr="00DC53B2" w:rsidRDefault="009E02AA" w:rsidP="00101AA2">
            <w:pPr>
              <w:jc w:val="center"/>
              <w:rPr>
                <w:b/>
                <w:szCs w:val="24"/>
              </w:rPr>
            </w:pPr>
            <w:r w:rsidRPr="00DC53B2">
              <w:rPr>
                <w:b/>
                <w:szCs w:val="24"/>
              </w:rPr>
              <w:t>I. Tiesību akta projekta izstrādes nepieciešamība</w:t>
            </w:r>
          </w:p>
        </w:tc>
      </w:tr>
      <w:tr w:rsidR="00A30E51" w:rsidRPr="00DC53B2" w14:paraId="23DC12E7" w14:textId="77777777" w:rsidTr="00101AA2">
        <w:tc>
          <w:tcPr>
            <w:tcW w:w="534" w:type="dxa"/>
            <w:shd w:val="clear" w:color="auto" w:fill="auto"/>
          </w:tcPr>
          <w:p w14:paraId="37FDE7B5" w14:textId="77777777" w:rsidR="00F8143F" w:rsidRPr="00DC53B2" w:rsidRDefault="00F8143F">
            <w:pPr>
              <w:rPr>
                <w:szCs w:val="24"/>
              </w:rPr>
            </w:pPr>
            <w:r w:rsidRPr="00DC53B2">
              <w:rPr>
                <w:szCs w:val="24"/>
              </w:rPr>
              <w:t>1.</w:t>
            </w:r>
          </w:p>
        </w:tc>
        <w:tc>
          <w:tcPr>
            <w:tcW w:w="2268" w:type="dxa"/>
            <w:shd w:val="clear" w:color="auto" w:fill="auto"/>
          </w:tcPr>
          <w:p w14:paraId="22AECD11" w14:textId="77777777" w:rsidR="00F8143F" w:rsidRPr="00DC53B2" w:rsidRDefault="00F8143F" w:rsidP="00D40F2C">
            <w:pPr>
              <w:jc w:val="both"/>
              <w:rPr>
                <w:szCs w:val="24"/>
              </w:rPr>
            </w:pPr>
            <w:r w:rsidRPr="00DC53B2">
              <w:rPr>
                <w:szCs w:val="24"/>
              </w:rPr>
              <w:t>Pamatojums</w:t>
            </w:r>
          </w:p>
        </w:tc>
        <w:tc>
          <w:tcPr>
            <w:tcW w:w="6485" w:type="dxa"/>
            <w:shd w:val="clear" w:color="auto" w:fill="auto"/>
          </w:tcPr>
          <w:p w14:paraId="26FDD580" w14:textId="5623D9EE" w:rsidR="00686E7F" w:rsidRPr="008C7C54" w:rsidRDefault="00F02760" w:rsidP="00686E7F">
            <w:pPr>
              <w:tabs>
                <w:tab w:val="left" w:pos="354"/>
              </w:tabs>
              <w:ind w:left="33"/>
              <w:jc w:val="both"/>
              <w:rPr>
                <w:rFonts w:eastAsia="Times New Roman"/>
                <w:iCs/>
                <w:szCs w:val="24"/>
                <w:lang w:eastAsia="lv-LV"/>
              </w:rPr>
            </w:pPr>
            <w:r w:rsidRPr="008C7C54">
              <w:rPr>
                <w:rFonts w:eastAsia="Times New Roman"/>
                <w:iCs/>
                <w:szCs w:val="24"/>
                <w:lang w:eastAsia="lv-LV"/>
              </w:rPr>
              <w:t xml:space="preserve">Ministru kabineta noteikumu projekts </w:t>
            </w:r>
            <w:r w:rsidRPr="008C7C54">
              <w:rPr>
                <w:szCs w:val="24"/>
              </w:rPr>
              <w:t>„Grozījum</w:t>
            </w:r>
            <w:r w:rsidR="00A7162E" w:rsidRPr="008C7C54">
              <w:rPr>
                <w:szCs w:val="24"/>
              </w:rPr>
              <w:t>i</w:t>
            </w:r>
            <w:r w:rsidRPr="008C7C54">
              <w:rPr>
                <w:szCs w:val="24"/>
              </w:rPr>
              <w:t xml:space="preserve"> </w:t>
            </w:r>
            <w:r w:rsidR="003C128B" w:rsidRPr="008C7C54">
              <w:rPr>
                <w:szCs w:val="24"/>
              </w:rPr>
              <w:t xml:space="preserve">Ministru kabineta </w:t>
            </w:r>
            <w:r w:rsidRPr="008C7C54">
              <w:rPr>
                <w:szCs w:val="24"/>
              </w:rPr>
              <w:t>2012.g</w:t>
            </w:r>
            <w:r w:rsidR="001E603F" w:rsidRPr="008C7C54">
              <w:rPr>
                <w:szCs w:val="24"/>
              </w:rPr>
              <w:t xml:space="preserve">ada 29.maija noteikumos Nr.374 </w:t>
            </w:r>
            <w:r w:rsidRPr="008C7C54">
              <w:rPr>
                <w:szCs w:val="24"/>
              </w:rPr>
              <w:t>„</w:t>
            </w:r>
            <w:r w:rsidRPr="008C7C54">
              <w:rPr>
                <w:bCs/>
                <w:szCs w:val="24"/>
              </w:rPr>
              <w:t>Līdzfinansējuma piešķiršanas, vadības, uzraudzības un kontroles kārtība sabiedrības integrācijas veicināšanai un nevalstiskā sektora attīstības programmu un projektu īstenošanai</w:t>
            </w:r>
            <w:r w:rsidRPr="008C7C54">
              <w:rPr>
                <w:szCs w:val="24"/>
              </w:rPr>
              <w:t>”” (turpmāk – noteikumu projekts)</w:t>
            </w:r>
            <w:r w:rsidR="001D197B" w:rsidRPr="008C7C54">
              <w:rPr>
                <w:szCs w:val="24"/>
              </w:rPr>
              <w:t xml:space="preserve"> </w:t>
            </w:r>
            <w:r w:rsidR="000C2EC8" w:rsidRPr="008C7C54">
              <w:rPr>
                <w:szCs w:val="24"/>
              </w:rPr>
              <w:t>izstrādāts</w:t>
            </w:r>
            <w:r w:rsidRPr="008C7C54">
              <w:rPr>
                <w:szCs w:val="24"/>
              </w:rPr>
              <w:t>,</w:t>
            </w:r>
            <w:r w:rsidR="000C2EC8" w:rsidRPr="008C7C54">
              <w:rPr>
                <w:szCs w:val="24"/>
              </w:rPr>
              <w:t xml:space="preserve"> lai nodrošinātu</w:t>
            </w:r>
            <w:r w:rsidRPr="008C7C54">
              <w:rPr>
                <w:szCs w:val="24"/>
              </w:rPr>
              <w:t xml:space="preserve"> </w:t>
            </w:r>
            <w:proofErr w:type="spellStart"/>
            <w:r w:rsidR="00E078F9" w:rsidRPr="008C7C54">
              <w:rPr>
                <w:lang w:eastAsia="ru-RU"/>
              </w:rPr>
              <w:t>Euro</w:t>
            </w:r>
            <w:proofErr w:type="spellEnd"/>
            <w:r w:rsidR="00E078F9" w:rsidRPr="008C7C54">
              <w:rPr>
                <w:lang w:eastAsia="ru-RU"/>
              </w:rPr>
              <w:t xml:space="preserve"> ieviešanas kārtības likuma 32.panta otrās daļas 2.punktu</w:t>
            </w:r>
            <w:r w:rsidR="001D197B" w:rsidRPr="008C7C54">
              <w:rPr>
                <w:rFonts w:eastAsia="Times New Roman"/>
                <w:iCs/>
                <w:szCs w:val="24"/>
                <w:lang w:eastAsia="lv-LV"/>
              </w:rPr>
              <w:t xml:space="preserve"> un</w:t>
            </w:r>
            <w:r w:rsidR="00686E7F" w:rsidRPr="008C7C54">
              <w:rPr>
                <w:rFonts w:eastAsia="Times New Roman"/>
                <w:iCs/>
                <w:szCs w:val="24"/>
                <w:lang w:eastAsia="lv-LV"/>
              </w:rPr>
              <w:t xml:space="preserve"> </w:t>
            </w:r>
            <w:r w:rsidR="00A630B2" w:rsidRPr="008C7C54">
              <w:rPr>
                <w:rFonts w:eastAsia="Times New Roman"/>
                <w:iCs/>
                <w:szCs w:val="24"/>
                <w:lang w:eastAsia="lv-LV"/>
              </w:rPr>
              <w:t>MK 2012.gada 27.jūnija rīkojuma Nr.282 „Par „Koncepciju par normatīvo aktu sakārtošanu saistībā ar eiro iev</w:t>
            </w:r>
            <w:r w:rsidR="00686E7F" w:rsidRPr="008C7C54">
              <w:rPr>
                <w:rFonts w:eastAsia="Times New Roman"/>
                <w:iCs/>
                <w:szCs w:val="24"/>
                <w:lang w:eastAsia="lv-LV"/>
              </w:rPr>
              <w:t xml:space="preserve">iešanu Latvijā”” 7.2.apakšpunktu. </w:t>
            </w:r>
          </w:p>
          <w:p w14:paraId="3BDBD14C" w14:textId="77777777" w:rsidR="00F8143F" w:rsidRPr="008C7C54" w:rsidRDefault="00D40F2C" w:rsidP="00686E7F">
            <w:pPr>
              <w:tabs>
                <w:tab w:val="left" w:pos="354"/>
              </w:tabs>
              <w:ind w:left="33"/>
              <w:jc w:val="both"/>
              <w:rPr>
                <w:rFonts w:eastAsia="Times New Roman"/>
                <w:iCs/>
                <w:szCs w:val="24"/>
                <w:lang w:eastAsia="lv-LV"/>
              </w:rPr>
            </w:pPr>
            <w:r w:rsidRPr="008C7C54">
              <w:rPr>
                <w:rFonts w:eastAsia="Times New Roman"/>
                <w:iCs/>
                <w:szCs w:val="24"/>
                <w:lang w:eastAsia="lv-LV"/>
              </w:rPr>
              <w:t xml:space="preserve">Latvijas Nacionālā </w:t>
            </w:r>
            <w:proofErr w:type="spellStart"/>
            <w:r w:rsidRPr="008C7C54">
              <w:rPr>
                <w:rFonts w:eastAsia="Times New Roman"/>
                <w:i/>
                <w:iCs/>
                <w:szCs w:val="24"/>
                <w:lang w:eastAsia="lv-LV"/>
              </w:rPr>
              <w:t>euro</w:t>
            </w:r>
            <w:proofErr w:type="spellEnd"/>
            <w:r w:rsidRPr="008C7C54">
              <w:rPr>
                <w:rFonts w:eastAsia="Times New Roman"/>
                <w:iCs/>
                <w:szCs w:val="24"/>
                <w:lang w:eastAsia="lv-LV"/>
              </w:rPr>
              <w:t xml:space="preserve"> ieviešanas plāna (apstiprināts ar Ministru kabineta 2013.gada 4.aprīļa rīkojumu Nr.136) 1.pielikuma J2.2.3 pasākums.</w:t>
            </w:r>
          </w:p>
          <w:p w14:paraId="3AFB0648" w14:textId="7BE170D6" w:rsidR="00B162D9" w:rsidRPr="008C7C54" w:rsidRDefault="00B162D9" w:rsidP="00B162D9">
            <w:pPr>
              <w:suppressAutoHyphens/>
              <w:ind w:firstLine="709"/>
              <w:jc w:val="both"/>
              <w:rPr>
                <w:iCs/>
                <w:szCs w:val="24"/>
              </w:rPr>
            </w:pPr>
            <w:r w:rsidRPr="008C7C54">
              <w:rPr>
                <w:rFonts w:eastAsia="Times New Roman"/>
                <w:bCs/>
                <w:iCs/>
                <w:szCs w:val="24"/>
                <w:lang w:eastAsia="zh-CN"/>
              </w:rPr>
              <w:t xml:space="preserve">Saskaņā ar 2013.gada 20.jūnija likuma „Grozījumi Publisko iepirkumu likumā” 34.pantu </w:t>
            </w:r>
            <w:r w:rsidRPr="008C7C54">
              <w:rPr>
                <w:szCs w:val="24"/>
              </w:rPr>
              <w:t>2014.gada 1.janvārī</w:t>
            </w:r>
            <w:r w:rsidRPr="008C7C54">
              <w:rPr>
                <w:rFonts w:eastAsia="Times New Roman"/>
                <w:bCs/>
                <w:iCs/>
                <w:szCs w:val="24"/>
                <w:lang w:eastAsia="zh-CN"/>
              </w:rPr>
              <w:t xml:space="preserve"> </w:t>
            </w:r>
            <w:r w:rsidRPr="008C7C54">
              <w:rPr>
                <w:szCs w:val="24"/>
              </w:rPr>
              <w:t>spēku zaudēja</w:t>
            </w:r>
            <w:r w:rsidRPr="008C7C54">
              <w:rPr>
                <w:rFonts w:eastAsia="Times New Roman"/>
                <w:bCs/>
                <w:iCs/>
                <w:szCs w:val="24"/>
                <w:lang w:eastAsia="zh-CN"/>
              </w:rPr>
              <w:t xml:space="preserve"> Publisko iepirkumu likuma </w:t>
            </w:r>
            <w:r w:rsidRPr="008C7C54">
              <w:rPr>
                <w:szCs w:val="24"/>
              </w:rPr>
              <w:t>39.pants</w:t>
            </w:r>
            <w:r w:rsidR="006F7C4F" w:rsidRPr="008C7C54">
              <w:rPr>
                <w:szCs w:val="24"/>
              </w:rPr>
              <w:t>, savukārt</w:t>
            </w:r>
            <w:r w:rsidR="006F7C4F" w:rsidRPr="008C7C54">
              <w:rPr>
                <w:iCs/>
                <w:szCs w:val="24"/>
              </w:rPr>
              <w:t xml:space="preserve"> Ministru kabineta 2012.gada 29.maija noteikumi Nr.374 „</w:t>
            </w:r>
            <w:r w:rsidR="006F7C4F" w:rsidRPr="008C7C54">
              <w:rPr>
                <w:bCs/>
                <w:szCs w:val="24"/>
              </w:rPr>
              <w:t>Līdzfinansējuma piešķiršanas, vadības, uzraudzības un kontroles kārtība sabiedrības integrācijas veicināšanai un nevalstiskā sektora attīstības programmu un projektu īstenošanai</w:t>
            </w:r>
            <w:r w:rsidR="006F7C4F" w:rsidRPr="008C7C54">
              <w:rPr>
                <w:iCs/>
                <w:szCs w:val="24"/>
              </w:rPr>
              <w:t>” (turpmāk – MK noteikumi Nr.374)  satur atsauci</w:t>
            </w:r>
            <w:r w:rsidR="001E603F" w:rsidRPr="008C7C54">
              <w:rPr>
                <w:iCs/>
                <w:szCs w:val="24"/>
              </w:rPr>
              <w:t xml:space="preserve"> uz</w:t>
            </w:r>
            <w:r w:rsidR="006F7C4F" w:rsidRPr="008C7C54">
              <w:rPr>
                <w:iCs/>
                <w:szCs w:val="24"/>
              </w:rPr>
              <w:t xml:space="preserve"> minēt</w:t>
            </w:r>
            <w:r w:rsidR="00A85882" w:rsidRPr="008C7C54">
              <w:rPr>
                <w:iCs/>
                <w:szCs w:val="24"/>
              </w:rPr>
              <w:t>ā</w:t>
            </w:r>
            <w:r w:rsidR="006F7C4F" w:rsidRPr="008C7C54">
              <w:rPr>
                <w:iCs/>
                <w:szCs w:val="24"/>
              </w:rPr>
              <w:t xml:space="preserve"> likuma 39.pantu.</w:t>
            </w:r>
          </w:p>
          <w:p w14:paraId="72F45E8C" w14:textId="6F73AAE6" w:rsidR="00A85882" w:rsidRPr="008C7C54" w:rsidRDefault="00A85882" w:rsidP="00E078F9">
            <w:pPr>
              <w:suppressAutoHyphens/>
              <w:ind w:firstLine="709"/>
              <w:jc w:val="both"/>
              <w:rPr>
                <w:szCs w:val="24"/>
              </w:rPr>
            </w:pPr>
          </w:p>
        </w:tc>
      </w:tr>
      <w:tr w:rsidR="00A30E51" w:rsidRPr="00DC53B2" w14:paraId="26F9EB6E" w14:textId="77777777" w:rsidTr="00101AA2">
        <w:tc>
          <w:tcPr>
            <w:tcW w:w="534" w:type="dxa"/>
            <w:shd w:val="clear" w:color="auto" w:fill="auto"/>
          </w:tcPr>
          <w:p w14:paraId="4CCDED14" w14:textId="77777777" w:rsidR="00F8143F" w:rsidRPr="00DC53B2" w:rsidRDefault="00F8143F">
            <w:pPr>
              <w:rPr>
                <w:szCs w:val="24"/>
              </w:rPr>
            </w:pPr>
            <w:r w:rsidRPr="00DC53B2">
              <w:rPr>
                <w:szCs w:val="24"/>
              </w:rPr>
              <w:t>2.</w:t>
            </w:r>
          </w:p>
        </w:tc>
        <w:tc>
          <w:tcPr>
            <w:tcW w:w="2268" w:type="dxa"/>
            <w:shd w:val="clear" w:color="auto" w:fill="auto"/>
          </w:tcPr>
          <w:p w14:paraId="130CE4D8" w14:textId="77777777" w:rsidR="00F8143F" w:rsidRPr="00DC53B2" w:rsidRDefault="00F8143F">
            <w:pPr>
              <w:rPr>
                <w:szCs w:val="24"/>
              </w:rPr>
            </w:pPr>
            <w:r w:rsidRPr="00DC53B2">
              <w:rPr>
                <w:szCs w:val="24"/>
              </w:rPr>
              <w:t>Pašreizējā situācija un problēmas, kuru risināšanai tiesību akta projekts izstrādāts, tiesiskā regulējuma mērķis un būtība</w:t>
            </w:r>
          </w:p>
        </w:tc>
        <w:tc>
          <w:tcPr>
            <w:tcW w:w="6485" w:type="dxa"/>
            <w:shd w:val="clear" w:color="auto" w:fill="auto"/>
          </w:tcPr>
          <w:p w14:paraId="164E2D62" w14:textId="21B04226" w:rsidR="00B162D9" w:rsidRPr="008C7C54" w:rsidRDefault="00B162D9" w:rsidP="006F7FD8">
            <w:pPr>
              <w:jc w:val="both"/>
              <w:rPr>
                <w:iCs/>
                <w:szCs w:val="24"/>
              </w:rPr>
            </w:pPr>
            <w:r w:rsidRPr="008C7C54">
              <w:rPr>
                <w:szCs w:val="24"/>
              </w:rPr>
              <w:t>Ņemot vērā, ka Publisko iepirkumu likuma 39.pants ir zaudējis spēku, ir nepieciešamas izdarīt preciz</w:t>
            </w:r>
            <w:r w:rsidR="006F7C4F" w:rsidRPr="008C7C54">
              <w:rPr>
                <w:szCs w:val="24"/>
              </w:rPr>
              <w:t>ējumu</w:t>
            </w:r>
            <w:r w:rsidRPr="008C7C54">
              <w:rPr>
                <w:iCs/>
                <w:szCs w:val="24"/>
              </w:rPr>
              <w:t xml:space="preserve"> </w:t>
            </w:r>
            <w:r w:rsidR="006F7C4F" w:rsidRPr="008C7C54">
              <w:rPr>
                <w:iCs/>
                <w:szCs w:val="24"/>
              </w:rPr>
              <w:t>MK noteikum</w:t>
            </w:r>
            <w:r w:rsidR="001E603F" w:rsidRPr="008C7C54">
              <w:rPr>
                <w:iCs/>
                <w:szCs w:val="24"/>
              </w:rPr>
              <w:t>u</w:t>
            </w:r>
            <w:r w:rsidRPr="008C7C54">
              <w:rPr>
                <w:iCs/>
                <w:szCs w:val="24"/>
              </w:rPr>
              <w:t xml:space="preserve"> Nr.374 8.1.</w:t>
            </w:r>
            <w:r w:rsidR="00A85882" w:rsidRPr="008C7C54">
              <w:rPr>
                <w:iCs/>
                <w:szCs w:val="24"/>
              </w:rPr>
              <w:t>apakš</w:t>
            </w:r>
            <w:r w:rsidRPr="008C7C54">
              <w:rPr>
                <w:iCs/>
                <w:szCs w:val="24"/>
              </w:rPr>
              <w:t>punktā</w:t>
            </w:r>
            <w:r w:rsidR="001E603F" w:rsidRPr="008C7C54">
              <w:rPr>
                <w:iCs/>
                <w:szCs w:val="24"/>
              </w:rPr>
              <w:t>, precizējot atsauci uz Publisko</w:t>
            </w:r>
            <w:r w:rsidRPr="008C7C54">
              <w:rPr>
                <w:iCs/>
                <w:szCs w:val="24"/>
              </w:rPr>
              <w:t xml:space="preserve"> iepirkum</w:t>
            </w:r>
            <w:r w:rsidR="001E603F" w:rsidRPr="008C7C54">
              <w:rPr>
                <w:iCs/>
                <w:szCs w:val="24"/>
              </w:rPr>
              <w:t>u</w:t>
            </w:r>
            <w:r w:rsidRPr="008C7C54">
              <w:rPr>
                <w:iCs/>
                <w:szCs w:val="24"/>
              </w:rPr>
              <w:t xml:space="preserve"> likuma </w:t>
            </w:r>
            <w:r w:rsidRPr="008C7C54">
              <w:rPr>
                <w:szCs w:val="24"/>
              </w:rPr>
              <w:t xml:space="preserve">39.¹ </w:t>
            </w:r>
            <w:r w:rsidRPr="008C7C54">
              <w:rPr>
                <w:iCs/>
                <w:szCs w:val="24"/>
              </w:rPr>
              <w:t xml:space="preserve">pantu. </w:t>
            </w:r>
          </w:p>
          <w:p w14:paraId="6D12D8DB" w14:textId="43702F31" w:rsidR="006F7C4F" w:rsidRPr="008C7C54" w:rsidRDefault="006F7C4F" w:rsidP="006F7FD8">
            <w:pPr>
              <w:jc w:val="both"/>
              <w:rPr>
                <w:iCs/>
                <w:szCs w:val="24"/>
              </w:rPr>
            </w:pPr>
            <w:r w:rsidRPr="008C7C54">
              <w:rPr>
                <w:iCs/>
                <w:szCs w:val="24"/>
              </w:rPr>
              <w:t xml:space="preserve">Noteikumu projekts paredz </w:t>
            </w:r>
            <w:r w:rsidR="00A7162E" w:rsidRPr="008C7C54">
              <w:rPr>
                <w:iCs/>
                <w:szCs w:val="24"/>
              </w:rPr>
              <w:t xml:space="preserve">mainīt </w:t>
            </w:r>
            <w:r w:rsidRPr="008C7C54">
              <w:rPr>
                <w:iCs/>
                <w:szCs w:val="24"/>
              </w:rPr>
              <w:t>MK noteikumu Nr.374 8.1.punkt</w:t>
            </w:r>
            <w:r w:rsidR="00A7162E" w:rsidRPr="008C7C54">
              <w:rPr>
                <w:iCs/>
                <w:szCs w:val="24"/>
              </w:rPr>
              <w:t>ā</w:t>
            </w:r>
            <w:r w:rsidRPr="008C7C54">
              <w:rPr>
                <w:iCs/>
                <w:szCs w:val="24"/>
              </w:rPr>
              <w:t xml:space="preserve"> atsauci no Publisk</w:t>
            </w:r>
            <w:r w:rsidR="001E603F" w:rsidRPr="008C7C54">
              <w:rPr>
                <w:iCs/>
                <w:szCs w:val="24"/>
              </w:rPr>
              <w:t>o</w:t>
            </w:r>
            <w:r w:rsidRPr="008C7C54">
              <w:rPr>
                <w:iCs/>
                <w:szCs w:val="24"/>
              </w:rPr>
              <w:t xml:space="preserve"> iepirkum</w:t>
            </w:r>
            <w:r w:rsidR="001E603F" w:rsidRPr="008C7C54">
              <w:rPr>
                <w:iCs/>
                <w:szCs w:val="24"/>
              </w:rPr>
              <w:t>u</w:t>
            </w:r>
            <w:r w:rsidRPr="008C7C54">
              <w:rPr>
                <w:iCs/>
                <w:szCs w:val="24"/>
              </w:rPr>
              <w:t xml:space="preserve"> likuma 39.panta uz </w:t>
            </w:r>
            <w:r w:rsidRPr="008C7C54">
              <w:rPr>
                <w:szCs w:val="24"/>
              </w:rPr>
              <w:t xml:space="preserve">39.¹ </w:t>
            </w:r>
            <w:r w:rsidR="001E603F" w:rsidRPr="008C7C54">
              <w:rPr>
                <w:iCs/>
                <w:szCs w:val="24"/>
              </w:rPr>
              <w:t xml:space="preserve">pantu </w:t>
            </w:r>
            <w:r w:rsidRPr="008C7C54">
              <w:rPr>
                <w:iCs/>
                <w:szCs w:val="24"/>
              </w:rPr>
              <w:t xml:space="preserve">un aizstāt vārdu “kritērijiem” </w:t>
            </w:r>
            <w:r w:rsidR="001E603F" w:rsidRPr="008C7C54">
              <w:rPr>
                <w:iCs/>
                <w:szCs w:val="24"/>
              </w:rPr>
              <w:t>ar</w:t>
            </w:r>
            <w:r w:rsidRPr="008C7C54">
              <w:rPr>
                <w:iCs/>
                <w:szCs w:val="24"/>
              </w:rPr>
              <w:t xml:space="preserve"> vārdu “</w:t>
            </w:r>
            <w:r w:rsidR="00A85882" w:rsidRPr="008C7C54">
              <w:rPr>
                <w:iCs/>
                <w:szCs w:val="24"/>
              </w:rPr>
              <w:t>gadījumiem</w:t>
            </w:r>
            <w:r w:rsidRPr="008C7C54">
              <w:rPr>
                <w:iCs/>
                <w:szCs w:val="24"/>
              </w:rPr>
              <w:t>”.</w:t>
            </w:r>
          </w:p>
          <w:p w14:paraId="70B3FE5E" w14:textId="17312FC6" w:rsidR="00F8143F" w:rsidRPr="008C7C54" w:rsidRDefault="00D40F2C" w:rsidP="006F7FD8">
            <w:pPr>
              <w:jc w:val="both"/>
              <w:rPr>
                <w:iCs/>
                <w:szCs w:val="24"/>
              </w:rPr>
            </w:pPr>
            <w:r w:rsidRPr="008C7C54">
              <w:rPr>
                <w:iCs/>
                <w:szCs w:val="24"/>
              </w:rPr>
              <w:t xml:space="preserve">Šobrīd </w:t>
            </w:r>
            <w:r w:rsidR="00B162D9" w:rsidRPr="008C7C54">
              <w:rPr>
                <w:iCs/>
                <w:szCs w:val="24"/>
              </w:rPr>
              <w:t>MK noteikumos Nr.374</w:t>
            </w:r>
            <w:r w:rsidR="00BF0979" w:rsidRPr="008C7C54">
              <w:rPr>
                <w:iCs/>
                <w:szCs w:val="24"/>
              </w:rPr>
              <w:t xml:space="preserve"> </w:t>
            </w:r>
            <w:r w:rsidRPr="008C7C54">
              <w:rPr>
                <w:iCs/>
                <w:szCs w:val="24"/>
              </w:rPr>
              <w:t>41.punkts satur</w:t>
            </w:r>
            <w:r w:rsidRPr="008C7C54">
              <w:rPr>
                <w:szCs w:val="24"/>
              </w:rPr>
              <w:t xml:space="preserve"> </w:t>
            </w:r>
            <w:r w:rsidRPr="008C7C54">
              <w:rPr>
                <w:iCs/>
                <w:szCs w:val="24"/>
              </w:rPr>
              <w:t>skaitlisko vērtību latos</w:t>
            </w:r>
            <w:r w:rsidR="00165E7A" w:rsidRPr="008C7C54">
              <w:rPr>
                <w:iCs/>
                <w:szCs w:val="24"/>
              </w:rPr>
              <w:t>,</w:t>
            </w:r>
            <w:r w:rsidR="00165E7A" w:rsidRPr="008C7C54">
              <w:rPr>
                <w:szCs w:val="24"/>
              </w:rPr>
              <w:t xml:space="preserve"> kad  </w:t>
            </w:r>
            <w:r w:rsidR="00E01494" w:rsidRPr="008C7C54">
              <w:rPr>
                <w:szCs w:val="24"/>
              </w:rPr>
              <w:t>Sabiedrības integrācijas fonds</w:t>
            </w:r>
            <w:r w:rsidR="00165E7A" w:rsidRPr="008C7C54">
              <w:rPr>
                <w:szCs w:val="24"/>
              </w:rPr>
              <w:t xml:space="preserve"> izvērtē neatbilstoši izlietotā līdzfinansējuma atgūšanas procesa lietderību un efektivitāti un, ja administratīvie un pārējie izdevumi, kas saistīti ar neatbilstoši izlietotā līdzfinansējuma atgūšanu, ir lielāki par atgūstamo summu, neatbilstoši izlietoto līdzfinansējumu var norakstīt izdevumos.</w:t>
            </w:r>
          </w:p>
          <w:p w14:paraId="44325C6D" w14:textId="7EF08AD2" w:rsidR="00BF0979" w:rsidRPr="008C7C54" w:rsidRDefault="00BF0979">
            <w:pPr>
              <w:jc w:val="both"/>
              <w:rPr>
                <w:szCs w:val="24"/>
              </w:rPr>
            </w:pPr>
            <w:r w:rsidRPr="008C7C54">
              <w:rPr>
                <w:szCs w:val="24"/>
              </w:rPr>
              <w:t>Ņemot vērā, ka 2014.gada 1.janvār</w:t>
            </w:r>
            <w:r w:rsidR="003F7943" w:rsidRPr="008C7C54">
              <w:rPr>
                <w:szCs w:val="24"/>
              </w:rPr>
              <w:t>ī</w:t>
            </w:r>
            <w:r w:rsidRPr="008C7C54">
              <w:rPr>
                <w:szCs w:val="24"/>
              </w:rPr>
              <w:t xml:space="preserve"> Latvija ir pievienojusies </w:t>
            </w:r>
            <w:proofErr w:type="spellStart"/>
            <w:r w:rsidR="00BC1EDC" w:rsidRPr="008C7C54">
              <w:rPr>
                <w:i/>
                <w:szCs w:val="24"/>
              </w:rPr>
              <w:t>euro</w:t>
            </w:r>
            <w:proofErr w:type="spellEnd"/>
            <w:r w:rsidR="00BC1EDC" w:rsidRPr="008C7C54">
              <w:rPr>
                <w:szCs w:val="24"/>
              </w:rPr>
              <w:t xml:space="preserve"> </w:t>
            </w:r>
            <w:r w:rsidRPr="008C7C54">
              <w:rPr>
                <w:szCs w:val="24"/>
              </w:rPr>
              <w:t>zonai un</w:t>
            </w:r>
            <w:r w:rsidR="000C2EC8" w:rsidRPr="008C7C54">
              <w:rPr>
                <w:szCs w:val="24"/>
              </w:rPr>
              <w:t xml:space="preserve"> kopš tā brī</w:t>
            </w:r>
            <w:r w:rsidR="00524E80" w:rsidRPr="008C7C54">
              <w:rPr>
                <w:szCs w:val="24"/>
              </w:rPr>
              <w:t>ž</w:t>
            </w:r>
            <w:r w:rsidR="003F7943" w:rsidRPr="008C7C54">
              <w:rPr>
                <w:szCs w:val="24"/>
              </w:rPr>
              <w:t>a</w:t>
            </w:r>
            <w:r w:rsidR="000C2EC8" w:rsidRPr="008C7C54">
              <w:rPr>
                <w:szCs w:val="24"/>
              </w:rPr>
              <w:t xml:space="preserve"> </w:t>
            </w:r>
            <w:r w:rsidRPr="008C7C54">
              <w:rPr>
                <w:szCs w:val="24"/>
              </w:rPr>
              <w:t xml:space="preserve">likumīgais maksāšanas līdzeklis ir </w:t>
            </w:r>
            <w:proofErr w:type="spellStart"/>
            <w:r w:rsidRPr="008C7C54">
              <w:rPr>
                <w:i/>
                <w:iCs/>
                <w:szCs w:val="24"/>
              </w:rPr>
              <w:t>euro</w:t>
            </w:r>
            <w:proofErr w:type="spellEnd"/>
            <w:r w:rsidRPr="008C7C54">
              <w:rPr>
                <w:szCs w:val="24"/>
              </w:rPr>
              <w:t>, nevis lats, i</w:t>
            </w:r>
            <w:r w:rsidR="006B17DD" w:rsidRPr="008C7C54">
              <w:rPr>
                <w:szCs w:val="24"/>
              </w:rPr>
              <w:t xml:space="preserve">r nepieciešams izdarīt </w:t>
            </w:r>
            <w:r w:rsidR="006B17DD" w:rsidRPr="008C7C54">
              <w:rPr>
                <w:iCs/>
                <w:szCs w:val="24"/>
              </w:rPr>
              <w:t>tehnisko precizējumu</w:t>
            </w:r>
            <w:r w:rsidRPr="008C7C54">
              <w:rPr>
                <w:szCs w:val="24"/>
              </w:rPr>
              <w:t xml:space="preserve"> </w:t>
            </w:r>
            <w:r w:rsidRPr="008C7C54">
              <w:rPr>
                <w:szCs w:val="24"/>
              </w:rPr>
              <w:lastRenderedPageBreak/>
              <w:t>MK noteiku</w:t>
            </w:r>
            <w:r w:rsidR="000C2EC8" w:rsidRPr="008C7C54">
              <w:rPr>
                <w:szCs w:val="24"/>
              </w:rPr>
              <w:t xml:space="preserve">mos Nr.374, </w:t>
            </w:r>
            <w:r w:rsidR="00F02760" w:rsidRPr="008C7C54">
              <w:rPr>
                <w:iCs/>
                <w:szCs w:val="24"/>
              </w:rPr>
              <w:t xml:space="preserve">lai nodrošinātu, ka normas nesatur vārdiskās </w:t>
            </w:r>
            <w:r w:rsidR="003F7943" w:rsidRPr="008C7C54">
              <w:rPr>
                <w:iCs/>
                <w:szCs w:val="24"/>
              </w:rPr>
              <w:t xml:space="preserve">un skaitliskās </w:t>
            </w:r>
            <w:r w:rsidR="00F02760" w:rsidRPr="008C7C54">
              <w:rPr>
                <w:iCs/>
                <w:szCs w:val="24"/>
              </w:rPr>
              <w:t>atsauces uz latiem.</w:t>
            </w:r>
          </w:p>
          <w:p w14:paraId="386C600B" w14:textId="77777777" w:rsidR="00525258" w:rsidRPr="008C7C54" w:rsidRDefault="00525258" w:rsidP="008C7C54">
            <w:pPr>
              <w:jc w:val="both"/>
              <w:rPr>
                <w:iCs/>
                <w:szCs w:val="24"/>
              </w:rPr>
            </w:pPr>
            <w:r w:rsidRPr="008C7C54">
              <w:rPr>
                <w:szCs w:val="24"/>
              </w:rPr>
              <w:t>N</w:t>
            </w:r>
            <w:r w:rsidRPr="008C7C54">
              <w:rPr>
                <w:rFonts w:eastAsia="Times New Roman"/>
                <w:bCs/>
                <w:iCs/>
                <w:szCs w:val="24"/>
                <w:lang w:eastAsia="lv-LV"/>
              </w:rPr>
              <w:t xml:space="preserve">oteikumu projekts paredz </w:t>
            </w:r>
            <w:r w:rsidRPr="008C7C54">
              <w:rPr>
                <w:rFonts w:eastAsia="Arial Unicode MS"/>
                <w:szCs w:val="24"/>
              </w:rPr>
              <w:t xml:space="preserve">aizstāt MK noteikumu Nr.374  </w:t>
            </w:r>
            <w:r w:rsidRPr="008C7C54">
              <w:rPr>
                <w:szCs w:val="24"/>
              </w:rPr>
              <w:t xml:space="preserve">41.punktā skaitli un vārdu „85 latus” ar skaitli un vārdu „120 </w:t>
            </w:r>
            <w:proofErr w:type="spellStart"/>
            <w:r w:rsidRPr="008C7C54">
              <w:rPr>
                <w:i/>
                <w:szCs w:val="24"/>
              </w:rPr>
              <w:t>euro</w:t>
            </w:r>
            <w:proofErr w:type="spellEnd"/>
            <w:r w:rsidRPr="008C7C54">
              <w:rPr>
                <w:i/>
                <w:szCs w:val="24"/>
              </w:rPr>
              <w:t>.</w:t>
            </w:r>
            <w:r w:rsidRPr="008C7C54">
              <w:rPr>
                <w:iCs/>
                <w:szCs w:val="24"/>
              </w:rPr>
              <w:t xml:space="preserve"> [85 / 0,702804 = 120.944].</w:t>
            </w:r>
          </w:p>
          <w:p w14:paraId="0708BD7F" w14:textId="77777777" w:rsidR="00525258" w:rsidRPr="008C7C54" w:rsidRDefault="00525258" w:rsidP="008C7C54">
            <w:pPr>
              <w:jc w:val="both"/>
              <w:rPr>
                <w:szCs w:val="24"/>
              </w:rPr>
            </w:pPr>
            <w:r w:rsidRPr="008C7C54">
              <w:rPr>
                <w:iCs/>
                <w:szCs w:val="24"/>
              </w:rPr>
              <w:t xml:space="preserve"> </w:t>
            </w:r>
            <w:r w:rsidR="009E27BF" w:rsidRPr="008C7C54">
              <w:rPr>
                <w:szCs w:val="24"/>
              </w:rPr>
              <w:t>MK noteikumu Nr.374 41.punktā minētā norma ir pārņemta no līdzīga regulējuma ES fondu ietvaros (skat. 10.08.2010. MK noteikumu Nr.740 „Kārtība, kādā ziņo par Eiropas Savienības struktūrfondu un Kohēzijas fonda ieviešanā konstatētajām neatbilstībām, pieņem lēmumu par piešķirtā finansējuma izlietojumu un atgūst neatbilstošos izdevumus” 19.2.punktu), kā arī līdzīgs regulējums ir noteikts Eiropas Ekonomikas zonas un Norvēģijas finanšu instrumentu ietvaros (skat. 29.01.2013. MK noteikumu Nr.67 „Eiropas Ekonomikas zonas finanšu instrumenta un Norvēģijas finanšu instrumenta 2009.–2014.gada perioda uzraudzības noteikumi” 43.2.punktu).</w:t>
            </w:r>
            <w:r w:rsidR="00E078F9" w:rsidRPr="008C7C54">
              <w:rPr>
                <w:szCs w:val="24"/>
              </w:rPr>
              <w:t xml:space="preserve"> </w:t>
            </w:r>
          </w:p>
          <w:p w14:paraId="4AFE5E0F" w14:textId="2562E8C6" w:rsidR="00525258" w:rsidRPr="008C7C54" w:rsidRDefault="00E078F9" w:rsidP="008C7C54">
            <w:pPr>
              <w:jc w:val="both"/>
              <w:rPr>
                <w:iCs/>
                <w:szCs w:val="24"/>
              </w:rPr>
            </w:pPr>
            <w:r w:rsidRPr="008C7C54">
              <w:rPr>
                <w:szCs w:val="24"/>
              </w:rPr>
              <w:t>Tā kā abos minētajos MK noteikumos 85 LVL ir grozīti uz 120 EUR, lai nodrošinātu vienotu regulējumu</w:t>
            </w:r>
            <w:r w:rsidR="00525258" w:rsidRPr="008C7C54">
              <w:rPr>
                <w:szCs w:val="24"/>
              </w:rPr>
              <w:t xml:space="preserve"> un s</w:t>
            </w:r>
            <w:r w:rsidR="00525258" w:rsidRPr="008C7C54">
              <w:rPr>
                <w:szCs w:val="24"/>
                <w:lang w:eastAsia="ru-RU"/>
              </w:rPr>
              <w:t xml:space="preserve">askaņā ar </w:t>
            </w:r>
            <w:proofErr w:type="spellStart"/>
            <w:r w:rsidR="00525258" w:rsidRPr="008C7C54">
              <w:rPr>
                <w:szCs w:val="24"/>
                <w:lang w:eastAsia="ru-RU"/>
              </w:rPr>
              <w:t>Euro</w:t>
            </w:r>
            <w:proofErr w:type="spellEnd"/>
            <w:r w:rsidR="00525258" w:rsidRPr="008C7C54">
              <w:rPr>
                <w:szCs w:val="24"/>
                <w:lang w:eastAsia="ru-RU"/>
              </w:rPr>
              <w:t xml:space="preserve"> ieviešanas kārtības likuma 32.panta otrās daļas 2.punktu summa noapaļota:120,9441039037911 = 120 </w:t>
            </w:r>
            <w:r w:rsidR="00525258" w:rsidRPr="008C7C54">
              <w:rPr>
                <w:iCs/>
                <w:szCs w:val="24"/>
              </w:rPr>
              <w:t>(skatīt aprēķinu anotācijas pielikumā).</w:t>
            </w:r>
          </w:p>
          <w:p w14:paraId="127B0534" w14:textId="77777777" w:rsidR="00E078F9" w:rsidRPr="008C7C54" w:rsidRDefault="00E078F9" w:rsidP="00E078F9">
            <w:pPr>
              <w:pStyle w:val="CommentText"/>
              <w:jc w:val="both"/>
              <w:rPr>
                <w:sz w:val="24"/>
                <w:szCs w:val="24"/>
              </w:rPr>
            </w:pPr>
            <w:r w:rsidRPr="008C7C54">
              <w:rPr>
                <w:sz w:val="24"/>
                <w:szCs w:val="24"/>
              </w:rPr>
              <w:t xml:space="preserve">Grozītās tiesību normas </w:t>
            </w:r>
            <w:proofErr w:type="spellStart"/>
            <w:r w:rsidRPr="008C7C54">
              <w:rPr>
                <w:i/>
                <w:sz w:val="24"/>
                <w:szCs w:val="24"/>
              </w:rPr>
              <w:t>euro</w:t>
            </w:r>
            <w:proofErr w:type="spellEnd"/>
            <w:r w:rsidRPr="008C7C54">
              <w:rPr>
                <w:sz w:val="24"/>
                <w:szCs w:val="24"/>
              </w:rPr>
              <w:t xml:space="preserve"> valūtā nav personām nelabvēlīgākas par sākotnējo tiesību normu latos un nerada negatīvu ietekmi uz valsts budžetu.</w:t>
            </w:r>
          </w:p>
          <w:p w14:paraId="5B109A3D" w14:textId="38656E7E" w:rsidR="00524E80" w:rsidRPr="008C7C54" w:rsidRDefault="00524E80" w:rsidP="008C7C54">
            <w:pPr>
              <w:pStyle w:val="CommentText"/>
              <w:jc w:val="both"/>
              <w:rPr>
                <w:szCs w:val="24"/>
              </w:rPr>
            </w:pPr>
          </w:p>
        </w:tc>
      </w:tr>
      <w:tr w:rsidR="00A30E51" w:rsidRPr="00DC53B2" w14:paraId="6D9DED30" w14:textId="77777777" w:rsidTr="00101AA2">
        <w:tc>
          <w:tcPr>
            <w:tcW w:w="534" w:type="dxa"/>
            <w:shd w:val="clear" w:color="auto" w:fill="auto"/>
          </w:tcPr>
          <w:p w14:paraId="5CC9A98F" w14:textId="30AD6502" w:rsidR="00F8143F" w:rsidRPr="00DC53B2" w:rsidRDefault="00F8143F">
            <w:pPr>
              <w:rPr>
                <w:szCs w:val="24"/>
              </w:rPr>
            </w:pPr>
            <w:r w:rsidRPr="00DC53B2">
              <w:rPr>
                <w:szCs w:val="24"/>
              </w:rPr>
              <w:lastRenderedPageBreak/>
              <w:t>3.</w:t>
            </w:r>
          </w:p>
        </w:tc>
        <w:tc>
          <w:tcPr>
            <w:tcW w:w="2268" w:type="dxa"/>
            <w:shd w:val="clear" w:color="auto" w:fill="auto"/>
          </w:tcPr>
          <w:p w14:paraId="3F7AC18B" w14:textId="77777777" w:rsidR="00F8143F" w:rsidRPr="00DC53B2" w:rsidRDefault="00F8143F">
            <w:pPr>
              <w:rPr>
                <w:szCs w:val="24"/>
              </w:rPr>
            </w:pPr>
            <w:r w:rsidRPr="00DC53B2">
              <w:rPr>
                <w:szCs w:val="24"/>
              </w:rPr>
              <w:t>Projekta izstrādē</w:t>
            </w:r>
            <w:r w:rsidR="00C64056" w:rsidRPr="00DC53B2">
              <w:rPr>
                <w:szCs w:val="24"/>
              </w:rPr>
              <w:t xml:space="preserve"> </w:t>
            </w:r>
            <w:r w:rsidRPr="00DC53B2">
              <w:rPr>
                <w:szCs w:val="24"/>
              </w:rPr>
              <w:t>iesaistītās institūcijas</w:t>
            </w:r>
          </w:p>
        </w:tc>
        <w:tc>
          <w:tcPr>
            <w:tcW w:w="6485" w:type="dxa"/>
            <w:shd w:val="clear" w:color="auto" w:fill="auto"/>
          </w:tcPr>
          <w:p w14:paraId="635FCF3B" w14:textId="264CA7B9" w:rsidR="00F8143F" w:rsidRPr="00F02760" w:rsidRDefault="0055431B" w:rsidP="00686E7F">
            <w:pPr>
              <w:rPr>
                <w:szCs w:val="24"/>
              </w:rPr>
            </w:pPr>
            <w:r w:rsidRPr="00F02760">
              <w:rPr>
                <w:szCs w:val="24"/>
              </w:rPr>
              <w:t>Sabiedrības integrācijas fonds</w:t>
            </w:r>
            <w:r w:rsidR="004F6FC5" w:rsidRPr="00F02760">
              <w:rPr>
                <w:szCs w:val="24"/>
              </w:rPr>
              <w:t>.</w:t>
            </w:r>
          </w:p>
        </w:tc>
      </w:tr>
      <w:tr w:rsidR="00A30E51" w:rsidRPr="00DC53B2" w14:paraId="64951BE0" w14:textId="77777777" w:rsidTr="00101AA2">
        <w:tc>
          <w:tcPr>
            <w:tcW w:w="534" w:type="dxa"/>
            <w:shd w:val="clear" w:color="auto" w:fill="auto"/>
          </w:tcPr>
          <w:p w14:paraId="5EA133B6" w14:textId="77777777" w:rsidR="00F8143F" w:rsidRPr="00DC53B2" w:rsidRDefault="00F8143F">
            <w:pPr>
              <w:rPr>
                <w:szCs w:val="24"/>
              </w:rPr>
            </w:pPr>
            <w:r w:rsidRPr="00DC53B2">
              <w:rPr>
                <w:szCs w:val="24"/>
              </w:rPr>
              <w:t>4.</w:t>
            </w:r>
          </w:p>
        </w:tc>
        <w:tc>
          <w:tcPr>
            <w:tcW w:w="2268" w:type="dxa"/>
            <w:shd w:val="clear" w:color="auto" w:fill="auto"/>
          </w:tcPr>
          <w:p w14:paraId="6949AEE5" w14:textId="77777777" w:rsidR="00F8143F" w:rsidRPr="00DC53B2" w:rsidRDefault="00F8143F">
            <w:pPr>
              <w:rPr>
                <w:szCs w:val="24"/>
              </w:rPr>
            </w:pPr>
            <w:r w:rsidRPr="00DC53B2">
              <w:rPr>
                <w:szCs w:val="24"/>
              </w:rPr>
              <w:t>Cita informācija</w:t>
            </w:r>
          </w:p>
        </w:tc>
        <w:tc>
          <w:tcPr>
            <w:tcW w:w="6485" w:type="dxa"/>
            <w:shd w:val="clear" w:color="auto" w:fill="auto"/>
          </w:tcPr>
          <w:p w14:paraId="4AC788F8" w14:textId="77777777" w:rsidR="00F8143F" w:rsidRDefault="00F8143F" w:rsidP="00F8143F">
            <w:pPr>
              <w:rPr>
                <w:szCs w:val="24"/>
              </w:rPr>
            </w:pPr>
          </w:p>
          <w:p w14:paraId="63DE5CA5" w14:textId="77777777" w:rsidR="0055431B" w:rsidRPr="00DC53B2" w:rsidRDefault="0055431B" w:rsidP="00F8143F">
            <w:pPr>
              <w:rPr>
                <w:szCs w:val="24"/>
              </w:rPr>
            </w:pPr>
            <w:r>
              <w:rPr>
                <w:szCs w:val="24"/>
              </w:rPr>
              <w:t>Nav</w:t>
            </w:r>
          </w:p>
        </w:tc>
      </w:tr>
    </w:tbl>
    <w:p w14:paraId="475B5CD5" w14:textId="77777777" w:rsidR="00F8143F" w:rsidRPr="00DC53B2" w:rsidRDefault="00F8143F">
      <w:pPr>
        <w:rPr>
          <w:szCs w:val="24"/>
        </w:rPr>
      </w:pPr>
    </w:p>
    <w:p w14:paraId="70592C29" w14:textId="77777777" w:rsidR="00235925" w:rsidRDefault="00235925">
      <w:pPr>
        <w:rPr>
          <w:szCs w:val="24"/>
        </w:rPr>
      </w:pPr>
    </w:p>
    <w:p w14:paraId="28001137" w14:textId="77777777" w:rsidR="001D197B" w:rsidRDefault="001D197B" w:rsidP="00CE40FA">
      <w:pPr>
        <w:ind w:firstLine="720"/>
        <w:rPr>
          <w:sz w:val="26"/>
          <w:szCs w:val="28"/>
          <w:lang w:eastAsia="lv-LV"/>
        </w:rPr>
      </w:pPr>
    </w:p>
    <w:p w14:paraId="25A1293F" w14:textId="6D0A8CC7" w:rsidR="001D197B" w:rsidRDefault="003F7943" w:rsidP="00CE40FA">
      <w:pPr>
        <w:ind w:firstLine="720"/>
        <w:rPr>
          <w:sz w:val="26"/>
          <w:szCs w:val="28"/>
          <w:lang w:eastAsia="lv-LV"/>
        </w:rPr>
      </w:pPr>
      <w:r>
        <w:rPr>
          <w:sz w:val="26"/>
          <w:szCs w:val="28"/>
          <w:lang w:eastAsia="lv-LV"/>
        </w:rPr>
        <w:t>Anotācijas II-VI sadaļa – projekts šo jomu neskar</w:t>
      </w:r>
    </w:p>
    <w:p w14:paraId="32B82D8E" w14:textId="77777777" w:rsidR="001D197B" w:rsidRDefault="001D197B" w:rsidP="00CE40FA">
      <w:pPr>
        <w:ind w:firstLine="720"/>
        <w:rPr>
          <w:sz w:val="26"/>
          <w:szCs w:val="28"/>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73"/>
        <w:gridCol w:w="4521"/>
        <w:gridCol w:w="11"/>
      </w:tblGrid>
      <w:tr w:rsidR="00524E80" w:rsidRPr="00DC53B2" w14:paraId="58949E2B" w14:textId="77777777" w:rsidTr="00115266">
        <w:trPr>
          <w:gridAfter w:val="1"/>
          <w:wAfter w:w="11" w:type="dxa"/>
          <w:trHeight w:val="699"/>
        </w:trPr>
        <w:tc>
          <w:tcPr>
            <w:tcW w:w="9061" w:type="dxa"/>
            <w:gridSpan w:val="3"/>
            <w:shd w:val="clear" w:color="auto" w:fill="auto"/>
          </w:tcPr>
          <w:p w14:paraId="05E4B901" w14:textId="77777777" w:rsidR="00524E80" w:rsidRDefault="00524E80" w:rsidP="00115266">
            <w:pPr>
              <w:jc w:val="center"/>
              <w:rPr>
                <w:b/>
                <w:szCs w:val="24"/>
              </w:rPr>
            </w:pPr>
          </w:p>
          <w:p w14:paraId="3299FD3B" w14:textId="77777777" w:rsidR="00524E80" w:rsidRPr="00DC53B2" w:rsidRDefault="00524E80" w:rsidP="00115266">
            <w:pPr>
              <w:jc w:val="center"/>
              <w:rPr>
                <w:b/>
                <w:szCs w:val="24"/>
              </w:rPr>
            </w:pPr>
            <w:r w:rsidRPr="00DC53B2">
              <w:rPr>
                <w:b/>
                <w:szCs w:val="24"/>
              </w:rPr>
              <w:t>VII. Tiesību akta projekta izpildes nodrošināšana un tās ietekme uz institūcijām</w:t>
            </w:r>
          </w:p>
        </w:tc>
      </w:tr>
      <w:tr w:rsidR="00524E80" w:rsidRPr="00686E7F" w14:paraId="10242B0A" w14:textId="77777777" w:rsidTr="00115266">
        <w:tblPrEx>
          <w:tblCellMar>
            <w:top w:w="28" w:type="dxa"/>
            <w:left w:w="28" w:type="dxa"/>
            <w:bottom w:w="28" w:type="dxa"/>
            <w:right w:w="28" w:type="dxa"/>
          </w:tblCellMar>
          <w:tblLook w:val="0000" w:firstRow="0" w:lastRow="0" w:firstColumn="0" w:lastColumn="0" w:noHBand="0" w:noVBand="0"/>
        </w:tblPrEx>
        <w:trPr>
          <w:trHeight w:val="427"/>
        </w:trPr>
        <w:tc>
          <w:tcPr>
            <w:tcW w:w="567" w:type="dxa"/>
          </w:tcPr>
          <w:p w14:paraId="5884BA60" w14:textId="77777777" w:rsidR="00524E80" w:rsidRPr="00686E7F" w:rsidRDefault="00524E80" w:rsidP="00115266">
            <w:pPr>
              <w:pStyle w:val="naisnod"/>
              <w:spacing w:before="0" w:after="0"/>
              <w:ind w:left="57" w:right="57"/>
              <w:jc w:val="left"/>
              <w:rPr>
                <w:b w:val="0"/>
              </w:rPr>
            </w:pPr>
            <w:r w:rsidRPr="00686E7F">
              <w:rPr>
                <w:b w:val="0"/>
              </w:rPr>
              <w:t>1.</w:t>
            </w:r>
          </w:p>
        </w:tc>
        <w:tc>
          <w:tcPr>
            <w:tcW w:w="3973" w:type="dxa"/>
          </w:tcPr>
          <w:p w14:paraId="76EEDE25" w14:textId="77777777" w:rsidR="00524E80" w:rsidRPr="00686E7F" w:rsidRDefault="00524E80" w:rsidP="00115266">
            <w:pPr>
              <w:pStyle w:val="naisf"/>
              <w:spacing w:before="0" w:after="0"/>
              <w:ind w:left="57" w:right="57" w:firstLine="0"/>
              <w:jc w:val="left"/>
            </w:pPr>
            <w:r w:rsidRPr="00686E7F">
              <w:t xml:space="preserve">Projekta izpildē iesaistītās institūcijas </w:t>
            </w:r>
          </w:p>
        </w:tc>
        <w:tc>
          <w:tcPr>
            <w:tcW w:w="4532" w:type="dxa"/>
            <w:gridSpan w:val="2"/>
          </w:tcPr>
          <w:p w14:paraId="44CD3983" w14:textId="65CB36C7" w:rsidR="00524E80" w:rsidRPr="00686E7F" w:rsidRDefault="00524E80" w:rsidP="00524E80">
            <w:pPr>
              <w:pStyle w:val="naisnod"/>
              <w:spacing w:before="0" w:after="0"/>
              <w:ind w:left="57" w:right="57"/>
              <w:jc w:val="both"/>
              <w:rPr>
                <w:b w:val="0"/>
              </w:rPr>
            </w:pPr>
            <w:r w:rsidRPr="00686E7F">
              <w:rPr>
                <w:b w:val="0"/>
                <w:iCs/>
              </w:rPr>
              <w:t>Sabiedrības integrācijas fonds</w:t>
            </w:r>
          </w:p>
        </w:tc>
      </w:tr>
      <w:tr w:rsidR="00524E80" w:rsidRPr="00686E7F" w14:paraId="14DF87F0" w14:textId="77777777" w:rsidTr="00115266">
        <w:tblPrEx>
          <w:tblCellMar>
            <w:top w:w="28" w:type="dxa"/>
            <w:left w:w="28" w:type="dxa"/>
            <w:bottom w:w="28" w:type="dxa"/>
            <w:right w:w="28" w:type="dxa"/>
          </w:tblCellMar>
          <w:tblLook w:val="0000" w:firstRow="0" w:lastRow="0" w:firstColumn="0" w:lastColumn="0" w:noHBand="0" w:noVBand="0"/>
        </w:tblPrEx>
        <w:trPr>
          <w:trHeight w:val="427"/>
        </w:trPr>
        <w:tc>
          <w:tcPr>
            <w:tcW w:w="567" w:type="dxa"/>
            <w:tcBorders>
              <w:top w:val="single" w:sz="4" w:space="0" w:color="auto"/>
              <w:left w:val="single" w:sz="4" w:space="0" w:color="auto"/>
              <w:bottom w:val="single" w:sz="4" w:space="0" w:color="auto"/>
              <w:right w:val="single" w:sz="4" w:space="0" w:color="auto"/>
            </w:tcBorders>
          </w:tcPr>
          <w:p w14:paraId="5693C6F1" w14:textId="77777777" w:rsidR="00524E80" w:rsidRPr="00686E7F" w:rsidRDefault="00524E80" w:rsidP="00115266">
            <w:pPr>
              <w:pStyle w:val="naisnod"/>
              <w:spacing w:before="0" w:after="0"/>
              <w:ind w:left="57" w:right="57"/>
              <w:jc w:val="left"/>
              <w:rPr>
                <w:b w:val="0"/>
              </w:rPr>
            </w:pPr>
            <w:r w:rsidRPr="00686E7F">
              <w:rPr>
                <w:b w:val="0"/>
              </w:rPr>
              <w:t>2.</w:t>
            </w:r>
          </w:p>
        </w:tc>
        <w:tc>
          <w:tcPr>
            <w:tcW w:w="3973" w:type="dxa"/>
            <w:tcBorders>
              <w:top w:val="single" w:sz="4" w:space="0" w:color="auto"/>
              <w:left w:val="single" w:sz="4" w:space="0" w:color="auto"/>
              <w:bottom w:val="single" w:sz="4" w:space="0" w:color="auto"/>
              <w:right w:val="single" w:sz="4" w:space="0" w:color="auto"/>
            </w:tcBorders>
          </w:tcPr>
          <w:p w14:paraId="7E44011C" w14:textId="77777777" w:rsidR="00524E80" w:rsidRPr="00686E7F" w:rsidRDefault="00524E80" w:rsidP="00115266">
            <w:pPr>
              <w:pStyle w:val="naisf"/>
              <w:spacing w:before="0" w:after="0"/>
              <w:ind w:left="57" w:right="57" w:firstLine="0"/>
              <w:jc w:val="left"/>
            </w:pPr>
            <w:r w:rsidRPr="00686E7F">
              <w:t xml:space="preserve">Projekta izpildes ietekme uz pārvaldes funkcijām </w:t>
            </w:r>
          </w:p>
        </w:tc>
        <w:tc>
          <w:tcPr>
            <w:tcW w:w="4532" w:type="dxa"/>
            <w:gridSpan w:val="2"/>
            <w:tcBorders>
              <w:top w:val="single" w:sz="4" w:space="0" w:color="auto"/>
              <w:left w:val="single" w:sz="4" w:space="0" w:color="auto"/>
              <w:bottom w:val="single" w:sz="4" w:space="0" w:color="auto"/>
              <w:right w:val="single" w:sz="4" w:space="0" w:color="auto"/>
            </w:tcBorders>
          </w:tcPr>
          <w:p w14:paraId="11EB8F27" w14:textId="77777777" w:rsidR="00524E80" w:rsidRPr="00686E7F" w:rsidRDefault="00524E80" w:rsidP="00115266">
            <w:pPr>
              <w:pStyle w:val="naisnod"/>
              <w:spacing w:before="0" w:after="0"/>
              <w:ind w:left="57" w:right="57"/>
              <w:jc w:val="both"/>
              <w:rPr>
                <w:b w:val="0"/>
                <w:iCs/>
              </w:rPr>
            </w:pPr>
            <w:r w:rsidRPr="00686E7F">
              <w:rPr>
                <w:b w:val="0"/>
                <w:iCs/>
              </w:rPr>
              <w:t>Projekts šo jomu neskar</w:t>
            </w:r>
          </w:p>
        </w:tc>
      </w:tr>
      <w:tr w:rsidR="00524E80" w:rsidRPr="00686E7F" w14:paraId="5BF3C828" w14:textId="77777777" w:rsidTr="00115266">
        <w:tblPrEx>
          <w:tblCellMar>
            <w:top w:w="28" w:type="dxa"/>
            <w:left w:w="28" w:type="dxa"/>
            <w:bottom w:w="28" w:type="dxa"/>
            <w:right w:w="28" w:type="dxa"/>
          </w:tblCellMar>
          <w:tblLook w:val="0000" w:firstRow="0" w:lastRow="0" w:firstColumn="0" w:lastColumn="0" w:noHBand="0" w:noVBand="0"/>
        </w:tblPrEx>
        <w:trPr>
          <w:trHeight w:val="427"/>
        </w:trPr>
        <w:tc>
          <w:tcPr>
            <w:tcW w:w="567" w:type="dxa"/>
            <w:tcBorders>
              <w:top w:val="single" w:sz="4" w:space="0" w:color="auto"/>
              <w:left w:val="single" w:sz="4" w:space="0" w:color="auto"/>
              <w:bottom w:val="single" w:sz="4" w:space="0" w:color="auto"/>
              <w:right w:val="single" w:sz="4" w:space="0" w:color="auto"/>
            </w:tcBorders>
          </w:tcPr>
          <w:p w14:paraId="5E6EC193" w14:textId="77777777" w:rsidR="00524E80" w:rsidRPr="00686E7F" w:rsidRDefault="00524E80" w:rsidP="00115266">
            <w:pPr>
              <w:pStyle w:val="naisnod"/>
              <w:spacing w:before="0" w:after="0"/>
              <w:ind w:left="57" w:right="57"/>
              <w:jc w:val="left"/>
              <w:rPr>
                <w:b w:val="0"/>
              </w:rPr>
            </w:pPr>
            <w:r w:rsidRPr="00686E7F">
              <w:rPr>
                <w:b w:val="0"/>
              </w:rPr>
              <w:t>3.</w:t>
            </w:r>
          </w:p>
        </w:tc>
        <w:tc>
          <w:tcPr>
            <w:tcW w:w="3973" w:type="dxa"/>
            <w:tcBorders>
              <w:top w:val="single" w:sz="4" w:space="0" w:color="auto"/>
              <w:left w:val="single" w:sz="4" w:space="0" w:color="auto"/>
              <w:bottom w:val="single" w:sz="4" w:space="0" w:color="auto"/>
              <w:right w:val="single" w:sz="4" w:space="0" w:color="auto"/>
            </w:tcBorders>
          </w:tcPr>
          <w:p w14:paraId="5A0517DE" w14:textId="77777777" w:rsidR="00524E80" w:rsidRPr="00686E7F" w:rsidRDefault="00524E80" w:rsidP="00115266">
            <w:pPr>
              <w:pStyle w:val="naisf"/>
              <w:spacing w:before="0" w:after="0"/>
              <w:ind w:left="57" w:right="57" w:firstLine="0"/>
              <w:jc w:val="left"/>
            </w:pPr>
            <w:r w:rsidRPr="00686E7F">
              <w:t>Projekta izpildes ietekme uz pārvaldes institucionālo struktūru.</w:t>
            </w:r>
          </w:p>
          <w:p w14:paraId="107175F8" w14:textId="77777777" w:rsidR="00524E80" w:rsidRPr="00686E7F" w:rsidRDefault="00524E80" w:rsidP="00115266">
            <w:pPr>
              <w:pStyle w:val="naisf"/>
              <w:spacing w:before="0" w:after="0"/>
              <w:ind w:left="57" w:right="57" w:firstLine="0"/>
              <w:jc w:val="left"/>
            </w:pPr>
            <w:r w:rsidRPr="00686E7F">
              <w:t>Jaunu institūciju izveide</w:t>
            </w:r>
          </w:p>
        </w:tc>
        <w:tc>
          <w:tcPr>
            <w:tcW w:w="4532" w:type="dxa"/>
            <w:gridSpan w:val="2"/>
            <w:tcBorders>
              <w:top w:val="single" w:sz="4" w:space="0" w:color="auto"/>
              <w:left w:val="single" w:sz="4" w:space="0" w:color="auto"/>
              <w:bottom w:val="single" w:sz="4" w:space="0" w:color="auto"/>
              <w:right w:val="single" w:sz="4" w:space="0" w:color="auto"/>
            </w:tcBorders>
          </w:tcPr>
          <w:p w14:paraId="6BC76828" w14:textId="77777777" w:rsidR="00524E80" w:rsidRPr="00686E7F" w:rsidRDefault="00524E80" w:rsidP="00115266">
            <w:pPr>
              <w:pStyle w:val="naisnod"/>
              <w:spacing w:before="0" w:after="0"/>
              <w:ind w:left="57" w:right="57"/>
              <w:jc w:val="both"/>
              <w:rPr>
                <w:b w:val="0"/>
                <w:iCs/>
              </w:rPr>
            </w:pPr>
            <w:r w:rsidRPr="00686E7F">
              <w:rPr>
                <w:b w:val="0"/>
                <w:iCs/>
              </w:rPr>
              <w:t>Projekts šo jomu neskar</w:t>
            </w:r>
          </w:p>
        </w:tc>
      </w:tr>
      <w:tr w:rsidR="00524E80" w:rsidRPr="00686E7F" w14:paraId="409DA703" w14:textId="77777777" w:rsidTr="00115266">
        <w:tblPrEx>
          <w:tblCellMar>
            <w:top w:w="28" w:type="dxa"/>
            <w:left w:w="28" w:type="dxa"/>
            <w:bottom w:w="28" w:type="dxa"/>
            <w:right w:w="28" w:type="dxa"/>
          </w:tblCellMar>
          <w:tblLook w:val="0000" w:firstRow="0" w:lastRow="0" w:firstColumn="0" w:lastColumn="0" w:noHBand="0" w:noVBand="0"/>
        </w:tblPrEx>
        <w:trPr>
          <w:trHeight w:val="427"/>
        </w:trPr>
        <w:tc>
          <w:tcPr>
            <w:tcW w:w="567" w:type="dxa"/>
            <w:tcBorders>
              <w:top w:val="single" w:sz="4" w:space="0" w:color="auto"/>
              <w:left w:val="single" w:sz="4" w:space="0" w:color="auto"/>
              <w:bottom w:val="single" w:sz="4" w:space="0" w:color="auto"/>
              <w:right w:val="single" w:sz="4" w:space="0" w:color="auto"/>
            </w:tcBorders>
          </w:tcPr>
          <w:p w14:paraId="325289AA" w14:textId="77777777" w:rsidR="00524E80" w:rsidRPr="00686E7F" w:rsidRDefault="00524E80" w:rsidP="00115266">
            <w:pPr>
              <w:pStyle w:val="naisnod"/>
              <w:spacing w:before="0" w:after="0"/>
              <w:ind w:left="57" w:right="57"/>
              <w:jc w:val="left"/>
              <w:rPr>
                <w:b w:val="0"/>
              </w:rPr>
            </w:pPr>
            <w:r w:rsidRPr="00686E7F">
              <w:rPr>
                <w:b w:val="0"/>
              </w:rPr>
              <w:t>4.</w:t>
            </w:r>
          </w:p>
        </w:tc>
        <w:tc>
          <w:tcPr>
            <w:tcW w:w="3973" w:type="dxa"/>
            <w:tcBorders>
              <w:top w:val="single" w:sz="4" w:space="0" w:color="auto"/>
              <w:left w:val="single" w:sz="4" w:space="0" w:color="auto"/>
              <w:bottom w:val="single" w:sz="4" w:space="0" w:color="auto"/>
              <w:right w:val="single" w:sz="4" w:space="0" w:color="auto"/>
            </w:tcBorders>
          </w:tcPr>
          <w:p w14:paraId="2377FE26" w14:textId="77777777" w:rsidR="00524E80" w:rsidRPr="00686E7F" w:rsidRDefault="00524E80" w:rsidP="00115266">
            <w:pPr>
              <w:pStyle w:val="naisf"/>
              <w:spacing w:before="0" w:after="0"/>
              <w:ind w:left="57" w:right="57" w:firstLine="0"/>
              <w:jc w:val="left"/>
            </w:pPr>
            <w:r w:rsidRPr="00686E7F">
              <w:t>Projekta izpildes ietekme uz pārvaldes institucionālo struktūru.</w:t>
            </w:r>
          </w:p>
          <w:p w14:paraId="4D5DC4E8" w14:textId="77777777" w:rsidR="00524E80" w:rsidRPr="00686E7F" w:rsidRDefault="00524E80" w:rsidP="00115266">
            <w:pPr>
              <w:pStyle w:val="naisf"/>
              <w:spacing w:before="0" w:after="0"/>
              <w:ind w:left="57" w:right="57" w:firstLine="0"/>
              <w:jc w:val="left"/>
            </w:pPr>
            <w:r w:rsidRPr="00686E7F">
              <w:t>Esošu institūciju likvidācija</w:t>
            </w:r>
          </w:p>
        </w:tc>
        <w:tc>
          <w:tcPr>
            <w:tcW w:w="4532" w:type="dxa"/>
            <w:gridSpan w:val="2"/>
            <w:tcBorders>
              <w:top w:val="single" w:sz="4" w:space="0" w:color="auto"/>
              <w:left w:val="single" w:sz="4" w:space="0" w:color="auto"/>
              <w:bottom w:val="single" w:sz="4" w:space="0" w:color="auto"/>
              <w:right w:val="single" w:sz="4" w:space="0" w:color="auto"/>
            </w:tcBorders>
          </w:tcPr>
          <w:p w14:paraId="2157CE9A" w14:textId="77777777" w:rsidR="00524E80" w:rsidRPr="00686E7F" w:rsidRDefault="00524E80" w:rsidP="00115266">
            <w:pPr>
              <w:pStyle w:val="naisnod"/>
              <w:spacing w:before="0" w:after="0"/>
              <w:ind w:left="57" w:right="57"/>
              <w:jc w:val="both"/>
              <w:rPr>
                <w:b w:val="0"/>
                <w:iCs/>
              </w:rPr>
            </w:pPr>
            <w:r w:rsidRPr="00686E7F">
              <w:rPr>
                <w:b w:val="0"/>
                <w:iCs/>
              </w:rPr>
              <w:t>Projekts šo jomu neskar</w:t>
            </w:r>
          </w:p>
        </w:tc>
      </w:tr>
      <w:tr w:rsidR="00524E80" w:rsidRPr="00CE40FA" w14:paraId="7BB1DFE7" w14:textId="77777777" w:rsidTr="00115266">
        <w:tblPrEx>
          <w:tblCellMar>
            <w:top w:w="28" w:type="dxa"/>
            <w:left w:w="28" w:type="dxa"/>
            <w:bottom w:w="28" w:type="dxa"/>
            <w:right w:w="28" w:type="dxa"/>
          </w:tblCellMar>
          <w:tblLook w:val="0000" w:firstRow="0" w:lastRow="0" w:firstColumn="0" w:lastColumn="0" w:noHBand="0" w:noVBand="0"/>
        </w:tblPrEx>
        <w:trPr>
          <w:trHeight w:val="427"/>
        </w:trPr>
        <w:tc>
          <w:tcPr>
            <w:tcW w:w="567" w:type="dxa"/>
            <w:tcBorders>
              <w:top w:val="single" w:sz="4" w:space="0" w:color="auto"/>
              <w:left w:val="single" w:sz="4" w:space="0" w:color="auto"/>
              <w:bottom w:val="single" w:sz="4" w:space="0" w:color="auto"/>
              <w:right w:val="single" w:sz="4" w:space="0" w:color="auto"/>
            </w:tcBorders>
          </w:tcPr>
          <w:p w14:paraId="7B1CF959" w14:textId="77777777" w:rsidR="00524E80" w:rsidRPr="00CE40FA" w:rsidRDefault="00524E80" w:rsidP="00115266">
            <w:pPr>
              <w:pStyle w:val="naisnod"/>
              <w:spacing w:before="0" w:after="0"/>
              <w:ind w:left="57" w:right="57"/>
              <w:jc w:val="left"/>
              <w:rPr>
                <w:b w:val="0"/>
              </w:rPr>
            </w:pPr>
            <w:r w:rsidRPr="00CE40FA">
              <w:rPr>
                <w:b w:val="0"/>
              </w:rPr>
              <w:lastRenderedPageBreak/>
              <w:t>5.</w:t>
            </w:r>
          </w:p>
        </w:tc>
        <w:tc>
          <w:tcPr>
            <w:tcW w:w="3973" w:type="dxa"/>
            <w:tcBorders>
              <w:top w:val="single" w:sz="4" w:space="0" w:color="auto"/>
              <w:left w:val="single" w:sz="4" w:space="0" w:color="auto"/>
              <w:bottom w:val="single" w:sz="4" w:space="0" w:color="auto"/>
              <w:right w:val="single" w:sz="4" w:space="0" w:color="auto"/>
            </w:tcBorders>
          </w:tcPr>
          <w:p w14:paraId="2196D4AE" w14:textId="77777777" w:rsidR="00524E80" w:rsidRPr="00CE40FA" w:rsidRDefault="00524E80" w:rsidP="00115266">
            <w:pPr>
              <w:pStyle w:val="naisf"/>
              <w:spacing w:before="0" w:after="0"/>
              <w:ind w:left="57" w:right="57" w:firstLine="0"/>
              <w:jc w:val="left"/>
            </w:pPr>
            <w:r w:rsidRPr="00CE40FA">
              <w:t>Projekta izpildes ietekme uz pārvaldes institucionālo struktūru.</w:t>
            </w:r>
          </w:p>
          <w:p w14:paraId="3269C8BD" w14:textId="77777777" w:rsidR="00524E80" w:rsidRPr="00CE40FA" w:rsidRDefault="00524E80" w:rsidP="00115266">
            <w:pPr>
              <w:pStyle w:val="naisf"/>
              <w:spacing w:before="0" w:after="0"/>
              <w:ind w:left="57" w:right="57" w:firstLine="0"/>
              <w:jc w:val="left"/>
            </w:pPr>
            <w:r w:rsidRPr="00CE40FA">
              <w:t>Esošu institūciju reorganizācija</w:t>
            </w:r>
          </w:p>
        </w:tc>
        <w:tc>
          <w:tcPr>
            <w:tcW w:w="4532" w:type="dxa"/>
            <w:gridSpan w:val="2"/>
            <w:tcBorders>
              <w:top w:val="single" w:sz="4" w:space="0" w:color="auto"/>
              <w:left w:val="single" w:sz="4" w:space="0" w:color="auto"/>
              <w:bottom w:val="single" w:sz="4" w:space="0" w:color="auto"/>
              <w:right w:val="single" w:sz="4" w:space="0" w:color="auto"/>
            </w:tcBorders>
          </w:tcPr>
          <w:p w14:paraId="1F46D6F9" w14:textId="77777777" w:rsidR="00524E80" w:rsidRPr="00CE40FA" w:rsidRDefault="00524E80" w:rsidP="00115266">
            <w:pPr>
              <w:pStyle w:val="naisnod"/>
              <w:spacing w:before="0" w:after="0"/>
              <w:ind w:left="57" w:right="57"/>
              <w:jc w:val="both"/>
              <w:rPr>
                <w:b w:val="0"/>
                <w:iCs/>
              </w:rPr>
            </w:pPr>
            <w:r w:rsidRPr="00CE40FA">
              <w:rPr>
                <w:b w:val="0"/>
                <w:iCs/>
              </w:rPr>
              <w:t>Projekts šo jomu neskar</w:t>
            </w:r>
          </w:p>
        </w:tc>
      </w:tr>
      <w:tr w:rsidR="00524E80" w:rsidRPr="00CE40FA" w14:paraId="76BB0311" w14:textId="77777777" w:rsidTr="00115266">
        <w:tblPrEx>
          <w:tblCellMar>
            <w:top w:w="28" w:type="dxa"/>
            <w:left w:w="28" w:type="dxa"/>
            <w:bottom w:w="28" w:type="dxa"/>
            <w:right w:w="28" w:type="dxa"/>
          </w:tblCellMar>
          <w:tblLook w:val="0000" w:firstRow="0" w:lastRow="0" w:firstColumn="0" w:lastColumn="0" w:noHBand="0" w:noVBand="0"/>
        </w:tblPrEx>
        <w:trPr>
          <w:trHeight w:val="427"/>
        </w:trPr>
        <w:tc>
          <w:tcPr>
            <w:tcW w:w="567" w:type="dxa"/>
            <w:tcBorders>
              <w:top w:val="single" w:sz="4" w:space="0" w:color="auto"/>
              <w:left w:val="single" w:sz="4" w:space="0" w:color="auto"/>
              <w:bottom w:val="single" w:sz="4" w:space="0" w:color="auto"/>
              <w:right w:val="single" w:sz="4" w:space="0" w:color="auto"/>
            </w:tcBorders>
          </w:tcPr>
          <w:p w14:paraId="71E78BC3" w14:textId="77777777" w:rsidR="00524E80" w:rsidRPr="00CE40FA" w:rsidRDefault="00524E80" w:rsidP="00115266">
            <w:pPr>
              <w:pStyle w:val="naisnod"/>
              <w:rPr>
                <w:b w:val="0"/>
              </w:rPr>
            </w:pPr>
            <w:r w:rsidRPr="00CE40FA">
              <w:rPr>
                <w:b w:val="0"/>
              </w:rPr>
              <w:t>6.</w:t>
            </w:r>
          </w:p>
        </w:tc>
        <w:tc>
          <w:tcPr>
            <w:tcW w:w="3973" w:type="dxa"/>
            <w:tcBorders>
              <w:top w:val="single" w:sz="4" w:space="0" w:color="auto"/>
              <w:left w:val="single" w:sz="4" w:space="0" w:color="auto"/>
              <w:bottom w:val="single" w:sz="4" w:space="0" w:color="auto"/>
              <w:right w:val="single" w:sz="4" w:space="0" w:color="auto"/>
            </w:tcBorders>
          </w:tcPr>
          <w:p w14:paraId="5AE9B8F1" w14:textId="77777777" w:rsidR="00524E80" w:rsidRPr="00CE40FA" w:rsidRDefault="00524E80" w:rsidP="00115266">
            <w:pPr>
              <w:pStyle w:val="naisf"/>
            </w:pPr>
            <w:r w:rsidRPr="00CE40FA">
              <w:t>Cita informācija</w:t>
            </w:r>
          </w:p>
        </w:tc>
        <w:tc>
          <w:tcPr>
            <w:tcW w:w="4532" w:type="dxa"/>
            <w:gridSpan w:val="2"/>
            <w:tcBorders>
              <w:top w:val="single" w:sz="4" w:space="0" w:color="auto"/>
              <w:left w:val="single" w:sz="4" w:space="0" w:color="auto"/>
              <w:bottom w:val="single" w:sz="4" w:space="0" w:color="auto"/>
              <w:right w:val="single" w:sz="4" w:space="0" w:color="auto"/>
            </w:tcBorders>
          </w:tcPr>
          <w:p w14:paraId="5368CE31" w14:textId="77777777" w:rsidR="00524E80" w:rsidRPr="00CE40FA" w:rsidRDefault="00524E80" w:rsidP="00115266">
            <w:pPr>
              <w:pStyle w:val="naisnod"/>
              <w:jc w:val="both"/>
              <w:rPr>
                <w:b w:val="0"/>
                <w:iCs/>
              </w:rPr>
            </w:pPr>
            <w:r w:rsidRPr="00CE40FA">
              <w:rPr>
                <w:b w:val="0"/>
                <w:iCs/>
              </w:rPr>
              <w:t>Nav</w:t>
            </w:r>
          </w:p>
        </w:tc>
      </w:tr>
    </w:tbl>
    <w:p w14:paraId="121F791E" w14:textId="77777777" w:rsidR="00524E80" w:rsidRDefault="00524E80" w:rsidP="00CE40FA">
      <w:pPr>
        <w:ind w:firstLine="720"/>
        <w:rPr>
          <w:sz w:val="26"/>
          <w:szCs w:val="28"/>
          <w:lang w:eastAsia="lv-LV"/>
        </w:rPr>
      </w:pPr>
    </w:p>
    <w:p w14:paraId="5C76262D" w14:textId="77777777" w:rsidR="00524E80" w:rsidRDefault="00524E80" w:rsidP="00CE40FA">
      <w:pPr>
        <w:ind w:firstLine="720"/>
        <w:rPr>
          <w:sz w:val="26"/>
          <w:szCs w:val="28"/>
          <w:lang w:eastAsia="lv-LV"/>
        </w:rPr>
      </w:pPr>
    </w:p>
    <w:p w14:paraId="7F2F411D" w14:textId="77777777" w:rsidR="0042175C" w:rsidRDefault="0042175C" w:rsidP="0042175C">
      <w:pPr>
        <w:rPr>
          <w:sz w:val="28"/>
          <w:szCs w:val="28"/>
        </w:rPr>
      </w:pPr>
      <w:r>
        <w:rPr>
          <w:sz w:val="28"/>
          <w:szCs w:val="28"/>
        </w:rPr>
        <w:t>Finanšu ministra vietā</w:t>
      </w:r>
    </w:p>
    <w:p w14:paraId="52E1E3E7" w14:textId="77777777" w:rsidR="0042175C" w:rsidRDefault="0042175C" w:rsidP="0042175C">
      <w:pPr>
        <w:rPr>
          <w:sz w:val="20"/>
          <w:szCs w:val="20"/>
        </w:rPr>
      </w:pPr>
      <w:r>
        <w:rPr>
          <w:sz w:val="28"/>
          <w:szCs w:val="28"/>
        </w:rPr>
        <w:t xml:space="preserve">aizsardzības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R.Vējonis</w:t>
      </w:r>
      <w:proofErr w:type="spellEnd"/>
      <w:r>
        <w:rPr>
          <w:sz w:val="28"/>
          <w:szCs w:val="28"/>
        </w:rPr>
        <w:t xml:space="preserve">                                                                                    </w:t>
      </w:r>
    </w:p>
    <w:p w14:paraId="3EF10430" w14:textId="77777777" w:rsidR="0042175C" w:rsidRDefault="0042175C" w:rsidP="0042175C">
      <w:pPr>
        <w:rPr>
          <w:sz w:val="18"/>
          <w:szCs w:val="18"/>
        </w:rPr>
      </w:pPr>
    </w:p>
    <w:p w14:paraId="3F3A7529" w14:textId="77777777" w:rsidR="0042175C" w:rsidRDefault="0042175C" w:rsidP="0042175C">
      <w:pPr>
        <w:tabs>
          <w:tab w:val="center" w:pos="4615"/>
        </w:tabs>
        <w:ind w:right="40"/>
        <w:rPr>
          <w:rFonts w:eastAsiaTheme="minorHAnsi"/>
          <w:sz w:val="18"/>
          <w:szCs w:val="18"/>
        </w:rPr>
      </w:pPr>
    </w:p>
    <w:p w14:paraId="637A5915" w14:textId="77777777" w:rsidR="00CE40FA" w:rsidRDefault="00CE40FA">
      <w:pPr>
        <w:rPr>
          <w:szCs w:val="24"/>
        </w:rPr>
      </w:pPr>
    </w:p>
    <w:p w14:paraId="67B8645A" w14:textId="77777777" w:rsidR="00CE40FA" w:rsidRDefault="00CE40FA">
      <w:pPr>
        <w:rPr>
          <w:szCs w:val="24"/>
        </w:rPr>
      </w:pPr>
    </w:p>
    <w:p w14:paraId="27EEB5DA" w14:textId="7520C145" w:rsidR="00CE40FA" w:rsidRDefault="00CE40FA">
      <w:pPr>
        <w:rPr>
          <w:szCs w:val="24"/>
        </w:rPr>
      </w:pPr>
      <w:r>
        <w:rPr>
          <w:szCs w:val="24"/>
        </w:rPr>
        <w:fldChar w:fldCharType="begin"/>
      </w:r>
      <w:r>
        <w:rPr>
          <w:szCs w:val="24"/>
        </w:rPr>
        <w:instrText xml:space="preserve"> CREATEDATE  \@ "dd.MM.yyyy H:mm"  \* MERGEFORMAT </w:instrText>
      </w:r>
      <w:r>
        <w:rPr>
          <w:szCs w:val="24"/>
        </w:rPr>
        <w:fldChar w:fldCharType="separate"/>
      </w:r>
      <w:r w:rsidR="008C7C54">
        <w:rPr>
          <w:szCs w:val="24"/>
        </w:rPr>
        <w:t>10</w:t>
      </w:r>
      <w:r w:rsidR="003B73A4">
        <w:rPr>
          <w:noProof/>
          <w:szCs w:val="24"/>
        </w:rPr>
        <w:t>.</w:t>
      </w:r>
      <w:r w:rsidR="008C7C54">
        <w:rPr>
          <w:noProof/>
          <w:szCs w:val="24"/>
        </w:rPr>
        <w:t>05</w:t>
      </w:r>
      <w:r>
        <w:rPr>
          <w:noProof/>
          <w:szCs w:val="24"/>
        </w:rPr>
        <w:t>.2014 10:45</w:t>
      </w:r>
      <w:r>
        <w:rPr>
          <w:szCs w:val="24"/>
        </w:rPr>
        <w:fldChar w:fldCharType="end"/>
      </w:r>
    </w:p>
    <w:p w14:paraId="056D3910" w14:textId="37AB78B1" w:rsidR="00227CB6" w:rsidRDefault="00227CB6">
      <w:pPr>
        <w:rPr>
          <w:szCs w:val="24"/>
        </w:rPr>
      </w:pPr>
      <w:r>
        <w:rPr>
          <w:szCs w:val="24"/>
        </w:rPr>
        <w:fldChar w:fldCharType="begin"/>
      </w:r>
      <w:r>
        <w:rPr>
          <w:szCs w:val="24"/>
        </w:rPr>
        <w:instrText xml:space="preserve"> NUMWORDS   \* MERGEFORMAT </w:instrText>
      </w:r>
      <w:r>
        <w:rPr>
          <w:szCs w:val="24"/>
        </w:rPr>
        <w:fldChar w:fldCharType="separate"/>
      </w:r>
      <w:r w:rsidR="0042175C">
        <w:rPr>
          <w:noProof/>
          <w:szCs w:val="24"/>
        </w:rPr>
        <w:t>591</w:t>
      </w:r>
      <w:r>
        <w:rPr>
          <w:szCs w:val="24"/>
        </w:rPr>
        <w:fldChar w:fldCharType="end"/>
      </w:r>
      <w:bookmarkStart w:id="0" w:name="_GoBack"/>
      <w:bookmarkEnd w:id="0"/>
    </w:p>
    <w:p w14:paraId="58DF0CEE" w14:textId="4A32BC9B" w:rsidR="00CE40FA" w:rsidRDefault="00FC702A">
      <w:pPr>
        <w:rPr>
          <w:szCs w:val="24"/>
        </w:rPr>
      </w:pPr>
      <w:r>
        <w:rPr>
          <w:szCs w:val="24"/>
        </w:rPr>
        <w:t>Gutmane</w:t>
      </w:r>
      <w:r w:rsidR="00CE40FA">
        <w:rPr>
          <w:szCs w:val="24"/>
        </w:rPr>
        <w:t>, 67095531;</w:t>
      </w:r>
    </w:p>
    <w:p w14:paraId="7FFFE6E4" w14:textId="77777777" w:rsidR="00CE40FA" w:rsidRDefault="00CE40FA">
      <w:pPr>
        <w:rPr>
          <w:szCs w:val="24"/>
        </w:rPr>
      </w:pPr>
      <w:r>
        <w:rPr>
          <w:szCs w:val="24"/>
        </w:rPr>
        <w:t>Olga.Gutmane@fm.gov.lv</w:t>
      </w:r>
    </w:p>
    <w:p w14:paraId="1749B044" w14:textId="77777777" w:rsidR="00CE40FA" w:rsidRDefault="00CE40FA">
      <w:pPr>
        <w:rPr>
          <w:szCs w:val="24"/>
        </w:rPr>
      </w:pPr>
    </w:p>
    <w:p w14:paraId="00FBE8DD" w14:textId="77777777" w:rsidR="00CE40FA" w:rsidRDefault="00CE40FA">
      <w:pPr>
        <w:rPr>
          <w:szCs w:val="24"/>
        </w:rPr>
      </w:pPr>
    </w:p>
    <w:p w14:paraId="5B2116B0" w14:textId="77777777" w:rsidR="00CE40FA" w:rsidRDefault="00CE40FA">
      <w:pPr>
        <w:rPr>
          <w:szCs w:val="24"/>
        </w:rPr>
      </w:pPr>
    </w:p>
    <w:p w14:paraId="1F7044D1" w14:textId="77777777" w:rsidR="00CE40FA" w:rsidRPr="00DC53B2" w:rsidRDefault="00CE40FA">
      <w:pPr>
        <w:rPr>
          <w:szCs w:val="24"/>
        </w:rPr>
      </w:pPr>
    </w:p>
    <w:sectPr w:rsidR="00CE40FA" w:rsidRPr="00DC53B2" w:rsidSect="001D197B">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8439E" w14:textId="77777777" w:rsidR="00427B2F" w:rsidRDefault="00427B2F" w:rsidP="003911D3">
      <w:r>
        <w:separator/>
      </w:r>
    </w:p>
  </w:endnote>
  <w:endnote w:type="continuationSeparator" w:id="0">
    <w:p w14:paraId="40951A39" w14:textId="77777777" w:rsidR="00427B2F" w:rsidRDefault="00427B2F" w:rsidP="0039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C442" w14:textId="12E89395" w:rsidR="00CE40FA" w:rsidRPr="001D197B" w:rsidRDefault="00A35E7B" w:rsidP="001D197B">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2175C">
      <w:rPr>
        <w:noProof/>
        <w:sz w:val="20"/>
        <w:szCs w:val="20"/>
      </w:rPr>
      <w:t>FManot_100514_Nr374_euro</w:t>
    </w:r>
    <w:r>
      <w:rPr>
        <w:sz w:val="20"/>
        <w:szCs w:val="20"/>
      </w:rPr>
      <w:fldChar w:fldCharType="end"/>
    </w:r>
    <w:r w:rsidR="00CE40FA" w:rsidRPr="001D197B">
      <w:rPr>
        <w:sz w:val="20"/>
        <w:szCs w:val="20"/>
      </w:rPr>
      <w:t>;</w:t>
    </w:r>
    <w:r w:rsidR="001D197B" w:rsidRPr="001D197B">
      <w:rPr>
        <w:sz w:val="20"/>
        <w:szCs w:val="20"/>
      </w:rPr>
      <w:t xml:space="preserve"> Ministru kabineta noteikumu </w:t>
    </w:r>
    <w:r w:rsidR="007A5247" w:rsidRPr="001D197B">
      <w:rPr>
        <w:sz w:val="20"/>
        <w:szCs w:val="20"/>
      </w:rPr>
      <w:t>projekt</w:t>
    </w:r>
    <w:r w:rsidR="007A5247">
      <w:rPr>
        <w:sz w:val="20"/>
        <w:szCs w:val="20"/>
      </w:rPr>
      <w:t>a</w:t>
    </w:r>
    <w:r w:rsidR="007A5247" w:rsidRPr="001D197B">
      <w:rPr>
        <w:sz w:val="20"/>
        <w:szCs w:val="20"/>
      </w:rPr>
      <w:t xml:space="preserve"> </w:t>
    </w:r>
    <w:r w:rsidR="001D197B" w:rsidRPr="001D197B">
      <w:rPr>
        <w:sz w:val="20"/>
        <w:szCs w:val="20"/>
      </w:rPr>
      <w:t>„</w:t>
    </w:r>
    <w:r w:rsidR="00227CB6">
      <w:rPr>
        <w:bCs/>
        <w:sz w:val="20"/>
        <w:szCs w:val="20"/>
      </w:rPr>
      <w:t>Grozījum</w:t>
    </w:r>
    <w:r w:rsidR="00A7162E">
      <w:rPr>
        <w:bCs/>
        <w:sz w:val="20"/>
        <w:szCs w:val="20"/>
      </w:rPr>
      <w:t>i</w:t>
    </w:r>
    <w:r w:rsidR="001D197B" w:rsidRPr="001D197B">
      <w:rPr>
        <w:bCs/>
        <w:sz w:val="20"/>
        <w:szCs w:val="20"/>
      </w:rPr>
      <w:t xml:space="preserve"> Ministru kabineta 2012.gada 29.maija noteikumos Nr.374 </w:t>
    </w:r>
    <w:r w:rsidR="001D197B" w:rsidRPr="001D197B">
      <w:rPr>
        <w:sz w:val="20"/>
        <w:szCs w:val="20"/>
      </w:rPr>
      <w:t>„</w:t>
    </w:r>
    <w:r w:rsidR="001D197B" w:rsidRPr="001D197B">
      <w:rPr>
        <w:bCs/>
        <w:sz w:val="20"/>
        <w:szCs w:val="20"/>
      </w:rPr>
      <w:t>Līdzfinansējuma piešķiršanas, vadības, uzraudzības un kontroles kārtība sabiedrības integrācijas veicināšanai un nevalstiskā sektora attīstības programmu un projektu īstenošanai</w:t>
    </w:r>
    <w:r w:rsidR="001D197B" w:rsidRPr="001D197B">
      <w:rPr>
        <w:sz w:val="20"/>
        <w:szCs w:val="20"/>
      </w:rPr>
      <w:t>”</w:t>
    </w:r>
    <w:r w:rsidR="007A5247">
      <w:rPr>
        <w:sz w:val="20"/>
        <w:szCs w:val="20"/>
      </w:rPr>
      <w:t xml:space="preserve"> </w:t>
    </w:r>
    <w:r w:rsidR="007A5247" w:rsidRPr="007A5247">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D1B4" w14:textId="77777777" w:rsidR="001D197B" w:rsidRDefault="001D197B" w:rsidP="001D197B">
    <w:pPr>
      <w:pStyle w:val="Header"/>
    </w:pPr>
  </w:p>
  <w:p w14:paraId="7EE7D2F5" w14:textId="7F728574" w:rsidR="001D197B" w:rsidRDefault="00A35E7B" w:rsidP="001D197B">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42175C">
      <w:rPr>
        <w:noProof/>
        <w:sz w:val="20"/>
        <w:szCs w:val="20"/>
      </w:rPr>
      <w:t>FManot_100514_Nr374_euro</w:t>
    </w:r>
    <w:r>
      <w:rPr>
        <w:sz w:val="20"/>
        <w:szCs w:val="20"/>
      </w:rPr>
      <w:fldChar w:fldCharType="end"/>
    </w:r>
    <w:r w:rsidR="001D197B" w:rsidRPr="001D197B">
      <w:rPr>
        <w:sz w:val="20"/>
        <w:szCs w:val="20"/>
      </w:rPr>
      <w:t xml:space="preserve">; Ministru kabineta noteikumu </w:t>
    </w:r>
    <w:r w:rsidR="007A5247" w:rsidRPr="001D197B">
      <w:rPr>
        <w:sz w:val="20"/>
        <w:szCs w:val="20"/>
      </w:rPr>
      <w:t>projekt</w:t>
    </w:r>
    <w:r w:rsidR="007A5247">
      <w:rPr>
        <w:sz w:val="20"/>
        <w:szCs w:val="20"/>
      </w:rPr>
      <w:t>a</w:t>
    </w:r>
    <w:r w:rsidR="007A5247" w:rsidRPr="001D197B">
      <w:rPr>
        <w:sz w:val="20"/>
        <w:szCs w:val="20"/>
      </w:rPr>
      <w:t xml:space="preserve"> </w:t>
    </w:r>
    <w:r w:rsidR="001D197B" w:rsidRPr="001D197B">
      <w:rPr>
        <w:sz w:val="20"/>
        <w:szCs w:val="20"/>
      </w:rPr>
      <w:t>„</w:t>
    </w:r>
    <w:r w:rsidR="00227CB6">
      <w:rPr>
        <w:bCs/>
        <w:sz w:val="20"/>
        <w:szCs w:val="20"/>
      </w:rPr>
      <w:t>Grozījum</w:t>
    </w:r>
    <w:r w:rsidR="00A7162E">
      <w:rPr>
        <w:bCs/>
        <w:sz w:val="20"/>
        <w:szCs w:val="20"/>
      </w:rPr>
      <w:t>i</w:t>
    </w:r>
    <w:r w:rsidR="001D197B" w:rsidRPr="001D197B">
      <w:rPr>
        <w:bCs/>
        <w:sz w:val="20"/>
        <w:szCs w:val="20"/>
      </w:rPr>
      <w:t xml:space="preserve"> Ministru kabineta 2012.gada 29.maija noteikumos Nr.374 </w:t>
    </w:r>
    <w:r w:rsidR="001D197B" w:rsidRPr="001D197B">
      <w:rPr>
        <w:sz w:val="20"/>
        <w:szCs w:val="20"/>
      </w:rPr>
      <w:t>„</w:t>
    </w:r>
    <w:r w:rsidR="001D197B" w:rsidRPr="001D197B">
      <w:rPr>
        <w:bCs/>
        <w:sz w:val="20"/>
        <w:szCs w:val="20"/>
      </w:rPr>
      <w:t>Līdzfinansējuma piešķiršanas, vadības, uzraudzības un kontroles kārtība sabiedrības integrācijas veicināšanai un nevalstiskā sektora attīstības programmu un projektu īstenošanai</w:t>
    </w:r>
    <w:r w:rsidR="001D197B" w:rsidRPr="001D197B">
      <w:rPr>
        <w:sz w:val="20"/>
        <w:szCs w:val="20"/>
      </w:rPr>
      <w:t>”</w:t>
    </w:r>
    <w:r w:rsidR="007A5247">
      <w:rPr>
        <w:sz w:val="20"/>
        <w:szCs w:val="20"/>
      </w:rPr>
      <w:t xml:space="preserve"> </w:t>
    </w:r>
    <w:r w:rsidR="007A5247" w:rsidRPr="007A5247">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11E5E" w14:textId="77777777" w:rsidR="00427B2F" w:rsidRDefault="00427B2F" w:rsidP="003911D3">
      <w:r>
        <w:separator/>
      </w:r>
    </w:p>
  </w:footnote>
  <w:footnote w:type="continuationSeparator" w:id="0">
    <w:p w14:paraId="6B59AEAF" w14:textId="77777777" w:rsidR="00427B2F" w:rsidRDefault="00427B2F" w:rsidP="00391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846091"/>
      <w:docPartObj>
        <w:docPartGallery w:val="Page Numbers (Top of Page)"/>
        <w:docPartUnique/>
      </w:docPartObj>
    </w:sdtPr>
    <w:sdtEndPr>
      <w:rPr>
        <w:noProof/>
      </w:rPr>
    </w:sdtEndPr>
    <w:sdtContent>
      <w:p w14:paraId="52B85264" w14:textId="77777777" w:rsidR="001D197B" w:rsidRDefault="001D197B">
        <w:pPr>
          <w:pStyle w:val="Header"/>
          <w:jc w:val="center"/>
        </w:pPr>
        <w:r>
          <w:fldChar w:fldCharType="begin"/>
        </w:r>
        <w:r>
          <w:instrText xml:space="preserve"> PAGE   \* MERGEFORMAT </w:instrText>
        </w:r>
        <w:r>
          <w:fldChar w:fldCharType="separate"/>
        </w:r>
        <w:r w:rsidR="0042175C">
          <w:rPr>
            <w:noProof/>
          </w:rPr>
          <w:t>2</w:t>
        </w:r>
        <w:r>
          <w:rPr>
            <w:noProof/>
          </w:rPr>
          <w:fldChar w:fldCharType="end"/>
        </w:r>
      </w:p>
    </w:sdtContent>
  </w:sdt>
  <w:p w14:paraId="043DB5AD" w14:textId="77777777" w:rsidR="003911D3" w:rsidRDefault="00391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2B"/>
    <w:rsid w:val="00024C0F"/>
    <w:rsid w:val="000350B3"/>
    <w:rsid w:val="00045609"/>
    <w:rsid w:val="000506C8"/>
    <w:rsid w:val="00087536"/>
    <w:rsid w:val="000C1270"/>
    <w:rsid w:val="000C191D"/>
    <w:rsid w:val="000C2EC8"/>
    <w:rsid w:val="00101AA2"/>
    <w:rsid w:val="001214D1"/>
    <w:rsid w:val="00153D3D"/>
    <w:rsid w:val="00165E7A"/>
    <w:rsid w:val="00177C6E"/>
    <w:rsid w:val="001812B1"/>
    <w:rsid w:val="001B6313"/>
    <w:rsid w:val="001D197B"/>
    <w:rsid w:val="001E603F"/>
    <w:rsid w:val="00227CB6"/>
    <w:rsid w:val="00235925"/>
    <w:rsid w:val="00356FE0"/>
    <w:rsid w:val="00374353"/>
    <w:rsid w:val="003911D3"/>
    <w:rsid w:val="003B73A4"/>
    <w:rsid w:val="003C128B"/>
    <w:rsid w:val="003C2248"/>
    <w:rsid w:val="003D6C19"/>
    <w:rsid w:val="003F7943"/>
    <w:rsid w:val="0042175C"/>
    <w:rsid w:val="00427B2F"/>
    <w:rsid w:val="004345AA"/>
    <w:rsid w:val="00463377"/>
    <w:rsid w:val="004701BE"/>
    <w:rsid w:val="0048622B"/>
    <w:rsid w:val="004A1BBC"/>
    <w:rsid w:val="004C145B"/>
    <w:rsid w:val="004C4CD4"/>
    <w:rsid w:val="004E46BE"/>
    <w:rsid w:val="004F6FC5"/>
    <w:rsid w:val="00505939"/>
    <w:rsid w:val="00522CD4"/>
    <w:rsid w:val="00524E80"/>
    <w:rsid w:val="00525258"/>
    <w:rsid w:val="00541DB3"/>
    <w:rsid w:val="0055431B"/>
    <w:rsid w:val="00555321"/>
    <w:rsid w:val="00571EBE"/>
    <w:rsid w:val="005D1BBD"/>
    <w:rsid w:val="00645E9E"/>
    <w:rsid w:val="00667D3A"/>
    <w:rsid w:val="00686E7F"/>
    <w:rsid w:val="006967F0"/>
    <w:rsid w:val="006B17DD"/>
    <w:rsid w:val="006F7C4F"/>
    <w:rsid w:val="006F7FD8"/>
    <w:rsid w:val="00743318"/>
    <w:rsid w:val="00770DEA"/>
    <w:rsid w:val="007A5247"/>
    <w:rsid w:val="007F10A6"/>
    <w:rsid w:val="00830E9B"/>
    <w:rsid w:val="00862B7A"/>
    <w:rsid w:val="008773B4"/>
    <w:rsid w:val="008860F3"/>
    <w:rsid w:val="008B3CDA"/>
    <w:rsid w:val="008C6B7F"/>
    <w:rsid w:val="008C7C54"/>
    <w:rsid w:val="008E31BB"/>
    <w:rsid w:val="008F6BC3"/>
    <w:rsid w:val="00901636"/>
    <w:rsid w:val="0093260F"/>
    <w:rsid w:val="00977E7C"/>
    <w:rsid w:val="009E02AA"/>
    <w:rsid w:val="009E27BF"/>
    <w:rsid w:val="00A30E51"/>
    <w:rsid w:val="00A35E7B"/>
    <w:rsid w:val="00A62E2F"/>
    <w:rsid w:val="00A630B2"/>
    <w:rsid w:val="00A7162E"/>
    <w:rsid w:val="00A72427"/>
    <w:rsid w:val="00A75A15"/>
    <w:rsid w:val="00A85882"/>
    <w:rsid w:val="00A90738"/>
    <w:rsid w:val="00B162D9"/>
    <w:rsid w:val="00B272DE"/>
    <w:rsid w:val="00B622A7"/>
    <w:rsid w:val="00BA39B8"/>
    <w:rsid w:val="00BC1EDC"/>
    <w:rsid w:val="00BC4C77"/>
    <w:rsid w:val="00BF0979"/>
    <w:rsid w:val="00BF77DF"/>
    <w:rsid w:val="00C23278"/>
    <w:rsid w:val="00C25B2B"/>
    <w:rsid w:val="00C34788"/>
    <w:rsid w:val="00C42371"/>
    <w:rsid w:val="00C64056"/>
    <w:rsid w:val="00CE40FA"/>
    <w:rsid w:val="00D03BF1"/>
    <w:rsid w:val="00D40F2C"/>
    <w:rsid w:val="00D6478B"/>
    <w:rsid w:val="00DA1020"/>
    <w:rsid w:val="00DA5CFC"/>
    <w:rsid w:val="00DC53B2"/>
    <w:rsid w:val="00E0061A"/>
    <w:rsid w:val="00E01494"/>
    <w:rsid w:val="00E078F9"/>
    <w:rsid w:val="00E12346"/>
    <w:rsid w:val="00E4272D"/>
    <w:rsid w:val="00E6762E"/>
    <w:rsid w:val="00E86206"/>
    <w:rsid w:val="00E95FB8"/>
    <w:rsid w:val="00EC7027"/>
    <w:rsid w:val="00EF1AC4"/>
    <w:rsid w:val="00F02760"/>
    <w:rsid w:val="00F2716D"/>
    <w:rsid w:val="00F8143F"/>
    <w:rsid w:val="00FA2BF2"/>
    <w:rsid w:val="00FB4C4E"/>
    <w:rsid w:val="00FC37D4"/>
    <w:rsid w:val="00FC702A"/>
    <w:rsid w:val="00FF70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50836"/>
  <w15:chartTrackingRefBased/>
  <w15:docId w15:val="{212C3839-53E7-4351-8C6B-A0CA9F08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11D3"/>
    <w:pPr>
      <w:tabs>
        <w:tab w:val="center" w:pos="4153"/>
        <w:tab w:val="right" w:pos="8306"/>
      </w:tabs>
    </w:pPr>
  </w:style>
  <w:style w:type="character" w:customStyle="1" w:styleId="HeaderChar">
    <w:name w:val="Header Char"/>
    <w:link w:val="Header"/>
    <w:uiPriority w:val="99"/>
    <w:rsid w:val="003911D3"/>
    <w:rPr>
      <w:sz w:val="24"/>
      <w:szCs w:val="22"/>
      <w:lang w:eastAsia="en-US"/>
    </w:rPr>
  </w:style>
  <w:style w:type="paragraph" w:styleId="Footer">
    <w:name w:val="footer"/>
    <w:basedOn w:val="Normal"/>
    <w:link w:val="FooterChar"/>
    <w:uiPriority w:val="99"/>
    <w:unhideWhenUsed/>
    <w:rsid w:val="003911D3"/>
    <w:pPr>
      <w:tabs>
        <w:tab w:val="center" w:pos="4153"/>
        <w:tab w:val="right" w:pos="8306"/>
      </w:tabs>
    </w:pPr>
  </w:style>
  <w:style w:type="character" w:customStyle="1" w:styleId="FooterChar">
    <w:name w:val="Footer Char"/>
    <w:link w:val="Footer"/>
    <w:uiPriority w:val="99"/>
    <w:rsid w:val="003911D3"/>
    <w:rPr>
      <w:sz w:val="24"/>
      <w:szCs w:val="22"/>
      <w:lang w:eastAsia="en-US"/>
    </w:rPr>
  </w:style>
  <w:style w:type="paragraph" w:customStyle="1" w:styleId="naiskr">
    <w:name w:val="naiskr"/>
    <w:basedOn w:val="Normal"/>
    <w:rsid w:val="00BF0979"/>
    <w:pPr>
      <w:spacing w:before="75" w:after="75"/>
    </w:pPr>
    <w:rPr>
      <w:rFonts w:eastAsia="Times New Roman"/>
      <w:szCs w:val="24"/>
      <w:lang w:eastAsia="lv-LV"/>
    </w:rPr>
  </w:style>
  <w:style w:type="paragraph" w:styleId="BalloonText">
    <w:name w:val="Balloon Text"/>
    <w:basedOn w:val="Normal"/>
    <w:link w:val="BalloonTextChar"/>
    <w:uiPriority w:val="99"/>
    <w:semiHidden/>
    <w:unhideWhenUsed/>
    <w:rsid w:val="00E4272D"/>
    <w:rPr>
      <w:rFonts w:ascii="Calibri" w:hAnsi="Calibri"/>
      <w:sz w:val="18"/>
      <w:szCs w:val="18"/>
    </w:rPr>
  </w:style>
  <w:style w:type="character" w:customStyle="1" w:styleId="BalloonTextChar">
    <w:name w:val="Balloon Text Char"/>
    <w:basedOn w:val="DefaultParagraphFont"/>
    <w:link w:val="BalloonText"/>
    <w:uiPriority w:val="99"/>
    <w:semiHidden/>
    <w:rsid w:val="00E4272D"/>
    <w:rPr>
      <w:rFonts w:ascii="Calibri" w:hAnsi="Calibri"/>
      <w:sz w:val="18"/>
      <w:szCs w:val="18"/>
      <w:lang w:eastAsia="en-US"/>
    </w:rPr>
  </w:style>
  <w:style w:type="paragraph" w:customStyle="1" w:styleId="naisf">
    <w:name w:val="naisf"/>
    <w:basedOn w:val="Normal"/>
    <w:rsid w:val="00686E7F"/>
    <w:pPr>
      <w:spacing w:before="75" w:after="75"/>
      <w:ind w:firstLine="375"/>
      <w:jc w:val="both"/>
    </w:pPr>
    <w:rPr>
      <w:rFonts w:eastAsia="Times New Roman"/>
      <w:szCs w:val="24"/>
      <w:lang w:eastAsia="lv-LV"/>
    </w:rPr>
  </w:style>
  <w:style w:type="paragraph" w:customStyle="1" w:styleId="naisnod">
    <w:name w:val="naisnod"/>
    <w:basedOn w:val="Normal"/>
    <w:rsid w:val="00686E7F"/>
    <w:pPr>
      <w:spacing w:before="150" w:after="150"/>
      <w:jc w:val="center"/>
    </w:pPr>
    <w:rPr>
      <w:rFonts w:eastAsia="Times New Roman"/>
      <w:b/>
      <w:bCs/>
      <w:szCs w:val="24"/>
      <w:lang w:eastAsia="lv-LV"/>
    </w:rPr>
  </w:style>
  <w:style w:type="character" w:styleId="CommentReference">
    <w:name w:val="annotation reference"/>
    <w:basedOn w:val="DefaultParagraphFont"/>
    <w:uiPriority w:val="99"/>
    <w:semiHidden/>
    <w:unhideWhenUsed/>
    <w:rsid w:val="003F7943"/>
    <w:rPr>
      <w:sz w:val="16"/>
      <w:szCs w:val="16"/>
    </w:rPr>
  </w:style>
  <w:style w:type="paragraph" w:styleId="CommentText">
    <w:name w:val="annotation text"/>
    <w:basedOn w:val="Normal"/>
    <w:link w:val="CommentTextChar"/>
    <w:uiPriority w:val="99"/>
    <w:semiHidden/>
    <w:unhideWhenUsed/>
    <w:rsid w:val="003F7943"/>
    <w:rPr>
      <w:sz w:val="20"/>
      <w:szCs w:val="20"/>
    </w:rPr>
  </w:style>
  <w:style w:type="character" w:customStyle="1" w:styleId="CommentTextChar">
    <w:name w:val="Comment Text Char"/>
    <w:basedOn w:val="DefaultParagraphFont"/>
    <w:link w:val="CommentText"/>
    <w:uiPriority w:val="99"/>
    <w:semiHidden/>
    <w:rsid w:val="003F7943"/>
    <w:rPr>
      <w:lang w:eastAsia="en-US"/>
    </w:rPr>
  </w:style>
  <w:style w:type="paragraph" w:styleId="CommentSubject">
    <w:name w:val="annotation subject"/>
    <w:basedOn w:val="CommentText"/>
    <w:next w:val="CommentText"/>
    <w:link w:val="CommentSubjectChar"/>
    <w:uiPriority w:val="99"/>
    <w:semiHidden/>
    <w:unhideWhenUsed/>
    <w:rsid w:val="003F7943"/>
    <w:rPr>
      <w:b/>
      <w:bCs/>
    </w:rPr>
  </w:style>
  <w:style w:type="character" w:customStyle="1" w:styleId="CommentSubjectChar">
    <w:name w:val="Comment Subject Char"/>
    <w:basedOn w:val="CommentTextChar"/>
    <w:link w:val="CommentSubject"/>
    <w:uiPriority w:val="99"/>
    <w:semiHidden/>
    <w:rsid w:val="003F79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3C2B-00E0-4F65-AB67-E11A0304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4436</Characters>
  <Application>Microsoft Office Word</Application>
  <DocSecurity>0</DocSecurity>
  <Lines>147</Lines>
  <Paragraphs>61</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29.maija noteikumos Nr.374 „„Līdzfinansējuma piešķiršanas, vadības, uzraudzības un kontroles kārtība sabiedrības integrācijas veicināšanai un nevalstiskā sektora attīstības programmu un projektu īstenošanai”” sākotnējās ietekmes novērtējuma ziņojums (anotācija)</dc:title>
  <dc:subject>anotācija</dc:subject>
  <dc:creator>Olga Gutmane</dc:creator>
  <cp:keywords/>
  <dc:description>Olga.Gutmane@fm.gov.lv; 67095531</dc:description>
  <cp:lastModifiedBy>Olga Gutmane</cp:lastModifiedBy>
  <cp:revision>5</cp:revision>
  <cp:lastPrinted>2014-05-20T06:56:00Z</cp:lastPrinted>
  <dcterms:created xsi:type="dcterms:W3CDTF">2014-05-10T07:39:00Z</dcterms:created>
  <dcterms:modified xsi:type="dcterms:W3CDTF">2014-05-20T06:56:00Z</dcterms:modified>
</cp:coreProperties>
</file>