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1"/>
      </w:tblGrid>
      <w:tr w:rsidR="002C1667" w:rsidRPr="00C70F80" w:rsidTr="00E153BD">
        <w:trPr>
          <w:trHeight w:val="1129"/>
          <w:tblCellSpacing w:w="0" w:type="dxa"/>
        </w:trPr>
        <w:tc>
          <w:tcPr>
            <w:tcW w:w="0" w:type="auto"/>
            <w:vAlign w:val="center"/>
          </w:tcPr>
          <w:p w:rsidR="002C1667" w:rsidRPr="00C70F80" w:rsidRDefault="002C1667" w:rsidP="00E153BD">
            <w:pPr>
              <w:jc w:val="center"/>
              <w:rPr>
                <w:rFonts w:asciiTheme="majorHAnsi" w:hAnsiTheme="majorHAnsi" w:cstheme="majorHAnsi"/>
              </w:rPr>
            </w:pPr>
            <w:bookmarkStart w:id="0" w:name="OLE_LINK1"/>
            <w:bookmarkStart w:id="1" w:name="OLE_LINK2"/>
            <w:bookmarkStart w:id="2" w:name="_GoBack"/>
            <w:bookmarkEnd w:id="2"/>
            <w:r w:rsidRPr="00C70F80">
              <w:rPr>
                <w:rFonts w:asciiTheme="majorHAnsi" w:hAnsiTheme="majorHAnsi" w:cstheme="majorHAnsi"/>
              </w:rPr>
              <w:t>Ministru kabineta rīkojuma projekta</w:t>
            </w:r>
          </w:p>
          <w:p w:rsidR="002C1667" w:rsidRPr="00C70F80" w:rsidRDefault="002C1667" w:rsidP="00E153BD">
            <w:pPr>
              <w:jc w:val="center"/>
              <w:rPr>
                <w:rFonts w:asciiTheme="majorHAnsi" w:hAnsiTheme="majorHAnsi" w:cstheme="majorHAnsi"/>
                <w:b/>
              </w:rPr>
            </w:pPr>
            <w:r w:rsidRPr="00C70F80">
              <w:rPr>
                <w:rFonts w:asciiTheme="majorHAnsi" w:hAnsiTheme="majorHAnsi" w:cstheme="majorHAnsi"/>
                <w:b/>
                <w:bCs/>
              </w:rPr>
              <w:t>„</w:t>
            </w:r>
            <w:r w:rsidRPr="00C70F80">
              <w:rPr>
                <w:rFonts w:asciiTheme="majorHAnsi" w:hAnsiTheme="majorHAnsi" w:cstheme="majorHAnsi"/>
                <w:b/>
              </w:rPr>
              <w:t>Par valsts nekustamās mantas Lomonosova ielā, Rīgā, pārdošanu</w:t>
            </w:r>
            <w:r w:rsidRPr="00C70F80">
              <w:rPr>
                <w:rFonts w:asciiTheme="majorHAnsi" w:hAnsiTheme="majorHAnsi" w:cstheme="majorHAnsi"/>
                <w:b/>
                <w:bCs/>
              </w:rPr>
              <w:t>”</w:t>
            </w:r>
          </w:p>
          <w:p w:rsidR="002C1667" w:rsidRPr="00C70F80" w:rsidRDefault="002C1667" w:rsidP="00E153BD">
            <w:pPr>
              <w:jc w:val="center"/>
              <w:rPr>
                <w:rFonts w:asciiTheme="majorHAnsi" w:hAnsiTheme="majorHAnsi" w:cstheme="majorHAnsi"/>
              </w:rPr>
            </w:pPr>
            <w:r w:rsidRPr="00C70F80">
              <w:rPr>
                <w:rFonts w:asciiTheme="majorHAnsi" w:hAnsiTheme="majorHAnsi" w:cstheme="majorHAnsi"/>
              </w:rPr>
              <w:t xml:space="preserve">precizētais sākotnējās ietekmes novērtējuma ziņojums (anotācija) </w:t>
            </w:r>
          </w:p>
          <w:p w:rsidR="002C1667" w:rsidRPr="00C70F80" w:rsidRDefault="002C1667" w:rsidP="00E153BD">
            <w:pPr>
              <w:jc w:val="center"/>
              <w:rPr>
                <w:rFonts w:asciiTheme="majorHAnsi" w:hAnsiTheme="majorHAnsi" w:cstheme="maj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2C1667" w:rsidRPr="00C70F80" w:rsidTr="00E153BD">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2C1667" w:rsidRPr="00C70F80" w:rsidRDefault="002C1667" w:rsidP="00E153BD">
                  <w:pPr>
                    <w:jc w:val="center"/>
                    <w:rPr>
                      <w:rFonts w:asciiTheme="majorHAnsi" w:hAnsiTheme="majorHAnsi" w:cstheme="majorHAnsi"/>
                      <w:b/>
                    </w:rPr>
                  </w:pPr>
                  <w:r w:rsidRPr="00C70F80">
                    <w:rPr>
                      <w:rFonts w:asciiTheme="majorHAnsi" w:hAnsiTheme="majorHAnsi" w:cstheme="majorHAnsi"/>
                      <w:b/>
                    </w:rPr>
                    <w:t>I. Tiesību akta projekta izstrādes nepieciešamība</w:t>
                  </w:r>
                </w:p>
              </w:tc>
            </w:tr>
            <w:tr w:rsidR="002C1667" w:rsidRPr="00C70F80" w:rsidTr="00E153BD">
              <w:trPr>
                <w:tblCellSpacing w:w="15" w:type="dxa"/>
              </w:trPr>
              <w:tc>
                <w:tcPr>
                  <w:tcW w:w="199"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1.</w:t>
                  </w:r>
                </w:p>
              </w:tc>
              <w:tc>
                <w:tcPr>
                  <w:tcW w:w="964"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Pamatojums</w:t>
                  </w:r>
                </w:p>
              </w:tc>
              <w:tc>
                <w:tcPr>
                  <w:tcW w:w="3773"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Ministru kabineta rīkojuma projekts „Par valsts nekustamās mantas Lomonosova ielā, Rīgā, pārdošanu” (turpmāk – Rīkojuma projekts) sagatavots, lai saskaņā ar Publiskas personas mantas atsavināšanas likuma 4.panta pirmo un otro daļu, 5.panta pirmo un piekto daļu, ievērojot Valsts un pašvaldību īpašuma privatizācijas un privatizācijas sertifikātu izmantošanas pabeigšanas likuma 16.panta otrās daļas nosacījumus, atļautu valsts akciju sabiedrībai „Valsts nekustamie īpašumi” (turpmāk – VNĪ) pārdot izsolē trīs valsts nekustamos īpašumus.</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 xml:space="preserve">Publiskas personas mantas atsavināšanas likuma (turpmāk –Atsavināšanas likums) 4.panta pirmā daļa nosaka, ka </w:t>
                  </w:r>
                  <w:r w:rsidRPr="00C70F80">
                    <w:rPr>
                      <w:rFonts w:asciiTheme="majorHAnsi" w:hAnsiTheme="majorHAnsi" w:cstheme="majorHAnsi"/>
                      <w:i/>
                    </w:rPr>
                    <w:t>valsts mantas atsavināšanu var ierosināt, ja tā nav nepieciešama attiecīgai iestādei vai citām valsts iestādēm to funkciju nodrošināšanai</w:t>
                  </w:r>
                  <w:r w:rsidRPr="00C70F80">
                    <w:rPr>
                      <w:rFonts w:asciiTheme="majorHAnsi" w:hAnsiTheme="majorHAnsi" w:cstheme="majorHAnsi"/>
                    </w:rPr>
                    <w:t xml:space="preserve">. Atsavināšanas likuma 4.panta otrā daļa nosaka, ka </w:t>
                  </w:r>
                  <w:r w:rsidRPr="00C70F80">
                    <w:rPr>
                      <w:rFonts w:asciiTheme="majorHAnsi" w:hAnsiTheme="majorHAnsi" w:cstheme="majorHAnsi"/>
                      <w:i/>
                    </w:rPr>
                    <w:t>publiskas personas mantas atsavināšanu var ierosināt attiecīgās iestādes vadītājs, kuras valdījumā atrodas valsts manta.</w:t>
                  </w:r>
                  <w:r w:rsidRPr="00C70F80">
                    <w:rPr>
                      <w:rFonts w:asciiTheme="majorHAnsi" w:hAnsiTheme="majorHAnsi" w:cstheme="majorHAnsi"/>
                    </w:rPr>
                    <w:t xml:space="preserve"> Atsavināšanas likuma 5.panta pirmā daļa nosaka, ka </w:t>
                  </w:r>
                  <w:r w:rsidRPr="00C70F80">
                    <w:rPr>
                      <w:rFonts w:asciiTheme="majorHAnsi" w:hAnsiTheme="majorHAnsi" w:cstheme="majorHAnsi"/>
                      <w:i/>
                    </w:rPr>
                    <w:t>atļauju atsavināt valsts nekustamo īpašumu dod Ministru kabinets, nosakot arī atsavināšanas veidu</w:t>
                  </w:r>
                  <w:r w:rsidRPr="00C70F80">
                    <w:rPr>
                      <w:rFonts w:asciiTheme="majorHAnsi" w:hAnsiTheme="majorHAnsi" w:cstheme="majorHAnsi"/>
                    </w:rPr>
                    <w:t xml:space="preserve"> un piektā daļa noteic, ka </w:t>
                  </w:r>
                  <w:r w:rsidRPr="00C70F80">
                    <w:rPr>
                      <w:rFonts w:asciiTheme="majorHAnsi" w:hAnsiTheme="majorHAnsi" w:cstheme="majorHAnsi"/>
                      <w:i/>
                    </w:rPr>
                    <w:t>lēmumā par nekustamā īpašuma atsavināšanu tiek noteikts arī atsavināšanas veids.</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 xml:space="preserve">Valsts un pašvaldību īpašuma privatizācijas un privatizācijas sertifikātu izmantošanas pabeigšanas likuma 16.panta otrā daļa nosaka, ka </w:t>
                  </w:r>
                  <w:r w:rsidRPr="00C70F80">
                    <w:rPr>
                      <w:rFonts w:asciiTheme="majorHAnsi" w:hAnsiTheme="majorHAnsi" w:cstheme="majorHAnsi"/>
                      <w:i/>
                    </w:rPr>
                    <w:t>valsts īpašuma objekti, par kuriem līdz pabeigšanas datumam nav saņemts privatizācijas ierosinājums, tiek atsavināti Publiskas personas mantas atsavināšanas likuma noteiktā kārtībā</w:t>
                  </w:r>
                  <w:r w:rsidRPr="00C70F80">
                    <w:rPr>
                      <w:rFonts w:asciiTheme="majorHAnsi" w:hAnsiTheme="majorHAnsi" w:cstheme="majorHAnsi"/>
                    </w:rPr>
                    <w:t>.</w:t>
                  </w:r>
                </w:p>
              </w:tc>
            </w:tr>
            <w:tr w:rsidR="002C1667" w:rsidRPr="00C70F80" w:rsidTr="00E153BD">
              <w:trPr>
                <w:tblCellSpacing w:w="15" w:type="dxa"/>
              </w:trPr>
              <w:tc>
                <w:tcPr>
                  <w:tcW w:w="199"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2.</w:t>
                  </w:r>
                </w:p>
              </w:tc>
              <w:tc>
                <w:tcPr>
                  <w:tcW w:w="964"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Rīkojuma projektā iekļauto nekustamo īpašumu raksturojums:</w:t>
                  </w:r>
                </w:p>
                <w:p w:rsidR="003F0070" w:rsidRDefault="003F0070" w:rsidP="00E153BD">
                  <w:pPr>
                    <w:pStyle w:val="BodyText"/>
                    <w:spacing w:after="0"/>
                    <w:ind w:firstLine="682"/>
                    <w:jc w:val="both"/>
                    <w:rPr>
                      <w:rFonts w:asciiTheme="majorHAnsi" w:hAnsiTheme="majorHAnsi" w:cstheme="majorHAnsi"/>
                      <w:b/>
                    </w:rPr>
                  </w:pP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b/>
                    </w:rPr>
                    <w:t>1.</w:t>
                  </w:r>
                  <w:r w:rsidRPr="00C70F80">
                    <w:rPr>
                      <w:rFonts w:asciiTheme="majorHAnsi" w:hAnsiTheme="majorHAnsi" w:cstheme="majorHAnsi"/>
                    </w:rPr>
                    <w:t xml:space="preserve"> Nekustamais īpašums (nekustamā īpašuma kadastra Nr.0100 046 2031) sastāv no zemes vienības 1198 m² platībā (zemes vienības kadastra apzīmējums 0100 046 2031) un būves – 1890.gadā ekspluatācijā uzsāktas, šobrīd, administratīvās ēkas ar kopējo platību 793,50 m²  (būves kadastra apzīmējums 0100 046 2031 001) – </w:t>
                  </w:r>
                  <w:r w:rsidRPr="00C70F80">
                    <w:rPr>
                      <w:rFonts w:asciiTheme="majorHAnsi" w:hAnsiTheme="majorHAnsi" w:cstheme="majorHAnsi"/>
                      <w:b/>
                    </w:rPr>
                    <w:t>Lomonosova ielā 1 k-6, Rīgā</w:t>
                  </w:r>
                  <w:r w:rsidRPr="00C70F80">
                    <w:rPr>
                      <w:rFonts w:asciiTheme="majorHAnsi" w:hAnsiTheme="majorHAnsi" w:cstheme="majorHAnsi"/>
                    </w:rPr>
                    <w:t xml:space="preserve">. Nekustamā īpašuma kadastrālā vērtība uz 2014.gada 1.janvāri sastāda </w:t>
                  </w:r>
                  <w:r w:rsidR="002A7600">
                    <w:rPr>
                      <w:rFonts w:asciiTheme="majorHAnsi" w:hAnsiTheme="majorHAnsi" w:cstheme="majorHAnsi"/>
                    </w:rPr>
                    <w:t>159 818</w:t>
                  </w:r>
                  <w:r w:rsidRPr="00C70F80">
                    <w:rPr>
                      <w:rFonts w:asciiTheme="majorHAnsi" w:hAnsiTheme="majorHAnsi" w:cstheme="majorHAnsi"/>
                    </w:rPr>
                    <w:t xml:space="preserve"> </w:t>
                  </w:r>
                  <w:r w:rsidRPr="00C70F80">
                    <w:rPr>
                      <w:rFonts w:asciiTheme="majorHAnsi" w:hAnsiTheme="majorHAnsi" w:cstheme="majorHAnsi"/>
                      <w:i/>
                    </w:rPr>
                    <w:t>euro</w:t>
                  </w:r>
                  <w:r w:rsidRPr="00C70F80">
                    <w:rPr>
                      <w:rFonts w:asciiTheme="majorHAnsi" w:hAnsiTheme="majorHAnsi" w:cstheme="majorHAnsi"/>
                    </w:rPr>
                    <w:t xml:space="preserve">. Īpašuma tiesības nostiprinātas Rīgas pilsētas zemesgrāmatas nodalījumā Nr.100000150818 uz valsts vārda Izglītības </w:t>
                  </w:r>
                  <w:r w:rsidR="000E6772">
                    <w:rPr>
                      <w:rFonts w:asciiTheme="majorHAnsi" w:hAnsiTheme="majorHAnsi" w:cstheme="majorHAnsi"/>
                    </w:rPr>
                    <w:t xml:space="preserve">un zinātnes ministrijas </w:t>
                  </w:r>
                  <w:r w:rsidR="000E6772" w:rsidRPr="00C70F80">
                    <w:rPr>
                      <w:rFonts w:asciiTheme="majorHAnsi" w:hAnsiTheme="majorHAnsi" w:cstheme="majorHAnsi"/>
                    </w:rPr>
                    <w:t>(turpmāk - IZM)</w:t>
                  </w:r>
                  <w:r w:rsidR="000E6772">
                    <w:rPr>
                      <w:rFonts w:asciiTheme="majorHAnsi" w:hAnsiTheme="majorHAnsi" w:cstheme="majorHAnsi"/>
                    </w:rPr>
                    <w:t xml:space="preserve"> personā.</w:t>
                  </w: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 xml:space="preserve">Starp </w:t>
                  </w:r>
                  <w:r w:rsidR="000E6772">
                    <w:rPr>
                      <w:rFonts w:asciiTheme="majorHAnsi" w:hAnsiTheme="majorHAnsi" w:cstheme="majorHAnsi"/>
                    </w:rPr>
                    <w:t>IZM</w:t>
                  </w:r>
                  <w:r w:rsidRPr="00C70F80">
                    <w:rPr>
                      <w:rFonts w:asciiTheme="majorHAnsi" w:hAnsiTheme="majorHAnsi" w:cstheme="majorHAnsi"/>
                    </w:rPr>
                    <w:t xml:space="preserve"> un sabiedrību ar ierobežotu atbildību „Informācijas sistēmu menedžmenta augstskola” (turpmāk - Informācijas sistēmu menedžmenta augstskola) pamatojoties uz IZM Nekustamā īpašuma un valsts mantas apsaimniekošanas komisijas 2011.gada 20.aprīļa lēmumu Nr.3998-2011 (prot.Nr.125) 2011.gada 1.jūnijā ir noslēgti:</w:t>
                  </w: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 xml:space="preserve">- Valsts zemes nomas līgums Nr.1-29/15 uz zemesgabala esošās administratīvās ēkas apsaimniekošanai un uzturēšanai, kas ir </w:t>
                  </w:r>
                  <w:r w:rsidRPr="00C70F80">
                    <w:rPr>
                      <w:rFonts w:asciiTheme="majorHAnsi" w:hAnsiTheme="majorHAnsi" w:cstheme="majorHAnsi"/>
                    </w:rPr>
                    <w:lastRenderedPageBreak/>
                    <w:t>spēkā līdz 2021.gada 31.maijam. Pamatojoties uz IZM Nekustamā īpašuma un valsts mantas apsaimniekošanas komisijas 2013.gada 4.septembra lēmumu Nr.4261-2013 (prot.Nr.152) 2013.gada 18.septembrī ir noslēgta vienošanās (IZM reģistrēta 25.09.2013. Nr.1-29/43) par grozījumiem minētajā nomas līgumā, kas paredz tiesības nomas līgumu ierakstīt zemesgrāmatā;</w:t>
                  </w: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 Līgums par valsts nekustamā īpašuma nomu Nr.1-29/13 par īpašuma sastāvā esošas būves – administratīvās ēkas, iznomāšanu izglītības un zinātnes procesa nodrošināšanai, līgums spēkā līdz 2021.gada 31.maijam. Pamatojoties uz IZM Nekustamā īpašuma un valsts mantas apsaimniekošanas komisijas 2013.gada 4.septembra lēmumu Nr.4260-2013 (prot.Nr.152) 2013.gada 18.septembrī ir noslēgta vienošanās (IZM reģistrēta 25.09.2013. Nr.1-29/41) par grozījumiem minētajā nomas līgumā, kas paredz tiesības nomas līgumu ierakstīt zemesgrāmatā</w:t>
                  </w:r>
                </w:p>
                <w:p w:rsidR="002C1667" w:rsidRPr="00C70F80" w:rsidRDefault="002C1667" w:rsidP="00E153BD">
                  <w:pPr>
                    <w:pStyle w:val="BodyText"/>
                    <w:spacing w:after="0"/>
                    <w:ind w:firstLine="682"/>
                    <w:jc w:val="both"/>
                    <w:rPr>
                      <w:rFonts w:asciiTheme="majorHAnsi" w:hAnsiTheme="majorHAnsi" w:cstheme="majorHAnsi"/>
                      <w:b/>
                    </w:rPr>
                  </w:pP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b/>
                    </w:rPr>
                    <w:t>2.</w:t>
                  </w:r>
                  <w:r w:rsidRPr="00C70F80">
                    <w:rPr>
                      <w:rFonts w:asciiTheme="majorHAnsi" w:hAnsiTheme="majorHAnsi" w:cstheme="majorHAnsi"/>
                    </w:rPr>
                    <w:t xml:space="preserve"> Nekustamais īpašums (nekustamā īpašuma kadastra Nr.0100 046 2032) sastāv no zemes vienības 6170 m² platībā (zemes vienības kadastra apzīmējums 0100 046 2032) un būves – 1903.gadā ekspluatācijā uzsākts, šobrīd, mācību korpuss ar kopējo platību 4198,90 m²   (būves kadastra apzīmējums 0100 046 2003 003) – </w:t>
                  </w:r>
                  <w:r w:rsidRPr="00C70F80">
                    <w:rPr>
                      <w:rFonts w:asciiTheme="majorHAnsi" w:hAnsiTheme="majorHAnsi" w:cstheme="majorHAnsi"/>
                      <w:b/>
                    </w:rPr>
                    <w:t>Lomonosova ielā 1 k-7, Rīgā</w:t>
                  </w:r>
                  <w:r w:rsidRPr="00C70F80">
                    <w:rPr>
                      <w:rFonts w:asciiTheme="majorHAnsi" w:hAnsiTheme="majorHAnsi" w:cstheme="majorHAnsi"/>
                    </w:rPr>
                    <w:t xml:space="preserve">. Nekustamā īpašuma kadastrālā vērtība uz 2014.gada 1.janvāri sastāda </w:t>
                  </w:r>
                  <w:r w:rsidR="002A7600">
                    <w:rPr>
                      <w:rFonts w:asciiTheme="majorHAnsi" w:hAnsiTheme="majorHAnsi" w:cstheme="majorHAnsi"/>
                    </w:rPr>
                    <w:t>523 801</w:t>
                  </w:r>
                  <w:r w:rsidRPr="00C70F80">
                    <w:rPr>
                      <w:rFonts w:asciiTheme="majorHAnsi" w:hAnsiTheme="majorHAnsi" w:cstheme="majorHAnsi"/>
                    </w:rPr>
                    <w:t xml:space="preserve"> </w:t>
                  </w:r>
                  <w:r w:rsidRPr="00C70F80">
                    <w:rPr>
                      <w:rFonts w:asciiTheme="majorHAnsi" w:hAnsiTheme="majorHAnsi" w:cstheme="majorHAnsi"/>
                      <w:i/>
                    </w:rPr>
                    <w:t>euro</w:t>
                  </w:r>
                  <w:r w:rsidRPr="00C70F80">
                    <w:rPr>
                      <w:rFonts w:asciiTheme="majorHAnsi" w:hAnsiTheme="majorHAnsi" w:cstheme="majorHAnsi"/>
                    </w:rPr>
                    <w:t xml:space="preserve">. Īpašuma tiesības nostiprinātas Rīgas pilsētas zemesgrāmatas nodalījumā Nr.100000509540 uz valsts vārda </w:t>
                  </w:r>
                  <w:r w:rsidR="000E6772">
                    <w:rPr>
                      <w:rFonts w:asciiTheme="majorHAnsi" w:hAnsiTheme="majorHAnsi" w:cstheme="majorHAnsi"/>
                    </w:rPr>
                    <w:t xml:space="preserve">IZM </w:t>
                  </w:r>
                  <w:r w:rsidRPr="00C70F80">
                    <w:rPr>
                      <w:rFonts w:asciiTheme="majorHAnsi" w:hAnsiTheme="majorHAnsi" w:cstheme="majorHAnsi"/>
                    </w:rPr>
                    <w:t xml:space="preserve"> personā. </w:t>
                  </w: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Pamatojoties uz IZM Nekustamā īpašuma un valsts mantas apsaimniekošanas komisijas 2010.gada 23.aprīļa lēmumu Nr.3840-2010 (prot.Nr.108) starp IZM un Informācijas sistēmu menedžmenta augstskolu 2010.gada 29.aprīlī ir noslēgts zemes nomas līgums Nr.1-29/16 uz zemesgabala esošās mācību korpusa ēkas uzturēšanai un izglītības iestādes attīstīšanai, kas ir spēkā līdz 2020.gada 30.aprīlim. Pamatojoties uz IZM Nekustamā īpašuma un valsts mantas apsaimniekošanas komisijas 2013.gada 4.septembra lēmumu Nr.4263-2013 (prot.Nr.152) 2013.gada 18.septembrī ir noslēgta vienošanās par grozījumiem minētajā nomas līgumā, kas paredz tiesības nomas līgumu ierakstīt zemesgrāmatā;</w:t>
                  </w: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 xml:space="preserve">Pamatojoties uz IZM Nekustamā īpašuma un valsts mantas apsaimniekošanas komisijas 2010.gada 23.aprīļa lēmumu Nr.3839-2010 (prot.Nr.108) starp IZM un Informācijas sistēmu menedžmenta augstskolu 2010.gada 29.aprīlī ir noslēgts Līgums Nr.1-29/15 par valsts nekustamā īpašuma nomu par īpašuma sastāvā esošas būves – mācību korpusa  ēkas, iznomāšanu izglītības un zinātnes procesa nodrošināšanai, arī spēkā līdz 2020.gada 30.aprīlim. Līguma 24.4.apakšpunkts liedz veikt „nomas objekta pārkārtošanu, pārplānošanu un pārveidojumus vai izmaiņas inženiertehnisko tīklu un ierīču konstrukcijā, kā arī neuzstādīt satelītu vai citas antenas bez iznomātāja rakstveida piekrišanas”. Saskaņā ar minēto līguma 24.4.apakšpunktu 2010.gada 15.jūnijā ir noslēgta Vienošanās pie 2010.gada 29.aprīļa Līguma par valsts nekustamā īpašuma nomu, kurā iznomātājs piekrīt, ka nomnieks par saviem līdzekļiem veic valsts nekustamā īpašuma neapdzīvojamo telpu uzlabošanu un </w:t>
                  </w:r>
                  <w:r w:rsidRPr="00C70F80">
                    <w:rPr>
                      <w:rFonts w:asciiTheme="majorHAnsi" w:hAnsiTheme="majorHAnsi" w:cstheme="majorHAnsi"/>
                    </w:rPr>
                    <w:lastRenderedPageBreak/>
                    <w:t xml:space="preserve">pārplānošanu, slēdzot attiecīgus pakalpojumu līgumus, un saskaņā ar vienošanās 2.punktu iznomātājs nomnieka veiktos finanšu līdzekļu ieguldījumus neatlīdzina. Saskaņā ar Informācijas sistēmu menedžmenta augstskolas 2012.gada 25.oktobra vēstuli Nr.S1-24/12-12 </w:t>
                  </w:r>
                  <w:r w:rsidRPr="00C70F80">
                    <w:rPr>
                      <w:rFonts w:asciiTheme="majorHAnsi" w:hAnsiTheme="majorHAnsi" w:cstheme="majorHAnsi"/>
                      <w:b/>
                    </w:rPr>
                    <w:t>ēkas renovācijā ir ieguldīti Ls 1.684.857,25</w:t>
                  </w:r>
                  <w:r w:rsidRPr="00C70F80">
                    <w:rPr>
                      <w:rFonts w:asciiTheme="majorHAnsi" w:hAnsiTheme="majorHAnsi" w:cstheme="majorHAnsi"/>
                    </w:rPr>
                    <w:t xml:space="preserve"> (viens miljons seši simti astoņdesmit četri tūkstoši astoņi simti piecdesmit septiņi lati un 25 santīmi). </w:t>
                  </w: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Pamatojoties uz IZM Nekustamā īpašuma un valsts mantas apsaimniekošanas komisijas 2013.gada 4.septembra lēmumu Nr.4262-2013 (prot.Nr.152) 2013.gada 18.septembrī ir noslēgta vienošanās par grozījumiem minētajā nomas līgumā, kas paredz tiesības nomas līgumu ierakstīt zemesgrāmatā</w:t>
                  </w:r>
                </w:p>
                <w:p w:rsidR="002C1667" w:rsidRPr="00C70F80" w:rsidRDefault="002C1667" w:rsidP="00E153BD">
                  <w:pPr>
                    <w:pStyle w:val="BodyText"/>
                    <w:spacing w:after="0"/>
                    <w:ind w:firstLine="682"/>
                    <w:jc w:val="both"/>
                    <w:rPr>
                      <w:rFonts w:asciiTheme="majorHAnsi" w:hAnsiTheme="majorHAnsi" w:cstheme="majorHAnsi"/>
                      <w:b/>
                    </w:rPr>
                  </w:pP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b/>
                    </w:rPr>
                    <w:t>3.</w:t>
                  </w:r>
                  <w:r w:rsidRPr="00C70F80">
                    <w:rPr>
                      <w:rFonts w:asciiTheme="majorHAnsi" w:hAnsiTheme="majorHAnsi" w:cstheme="majorHAnsi"/>
                    </w:rPr>
                    <w:t xml:space="preserve"> Nekustamais īpašums (nekustamā īpašuma kadastra Nr.0100 046 2025) sastāv no zemes vienības 1995 m² platībā (zemes vienības kadastra apzīmējums 0100 046 2025) – </w:t>
                  </w:r>
                  <w:r w:rsidRPr="00C70F80">
                    <w:rPr>
                      <w:rFonts w:asciiTheme="majorHAnsi" w:hAnsiTheme="majorHAnsi" w:cstheme="majorHAnsi"/>
                      <w:b/>
                    </w:rPr>
                    <w:t>Lomonosova ielā 1 k-14, Rīgā</w:t>
                  </w:r>
                  <w:r w:rsidRPr="00C70F80">
                    <w:rPr>
                      <w:rFonts w:asciiTheme="majorHAnsi" w:hAnsiTheme="majorHAnsi" w:cstheme="majorHAnsi"/>
                    </w:rPr>
                    <w:t>. Nekustamā īpašuma kadastrālā vērtība uz 2014.gada 1.janvāri sastāda 59</w:t>
                  </w:r>
                  <w:r w:rsidR="000E6772">
                    <w:rPr>
                      <w:rFonts w:asciiTheme="majorHAnsi" w:hAnsiTheme="majorHAnsi" w:cstheme="majorHAnsi"/>
                    </w:rPr>
                    <w:t xml:space="preserve"> </w:t>
                  </w:r>
                  <w:r w:rsidRPr="00C70F80">
                    <w:rPr>
                      <w:rFonts w:asciiTheme="majorHAnsi" w:hAnsiTheme="majorHAnsi" w:cstheme="majorHAnsi"/>
                    </w:rPr>
                    <w:t xml:space="preserve">321 </w:t>
                  </w:r>
                  <w:r w:rsidRPr="00C70F80">
                    <w:rPr>
                      <w:rFonts w:asciiTheme="majorHAnsi" w:hAnsiTheme="majorHAnsi" w:cstheme="majorHAnsi"/>
                      <w:i/>
                    </w:rPr>
                    <w:t>euro</w:t>
                  </w:r>
                  <w:r w:rsidRPr="00C70F80">
                    <w:rPr>
                      <w:rFonts w:asciiTheme="majorHAnsi" w:hAnsiTheme="majorHAnsi" w:cstheme="majorHAnsi"/>
                    </w:rPr>
                    <w:t xml:space="preserve">. Īpašuma tiesības nostiprinātas Rīgas pilsētas zemesgrāmatas nodalījumā Nr.100000133397 uz valsts vārda </w:t>
                  </w:r>
                  <w:r w:rsidR="000E6772">
                    <w:rPr>
                      <w:rFonts w:asciiTheme="majorHAnsi" w:hAnsiTheme="majorHAnsi" w:cstheme="majorHAnsi"/>
                    </w:rPr>
                    <w:t>IZM</w:t>
                  </w:r>
                  <w:r w:rsidRPr="00C70F80">
                    <w:rPr>
                      <w:rFonts w:asciiTheme="majorHAnsi" w:hAnsiTheme="majorHAnsi" w:cstheme="majorHAnsi"/>
                    </w:rPr>
                    <w:t xml:space="preserve"> personā. </w:t>
                  </w: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Pamatojoties uz IZM Nekustamā īpašuma un valsts mantas apsaimniekošanas komisijas 2011.gada 20.aprīļa lēmumu Nr.3999-2011 (prot.Nr.125) starp IZM un Informācijas sistēmu menedžmenta augstskolu 2011.gada 1.jūnijā ir noslēgts Valsts zemes nomas līgums Nr.1-29/14 uz zemesgabala esošās administratīvās ēkas daļas apsaimniekošanai un uzturēšanai, kas ir spēkā līdz 2021.gada 31.maijam. Pamatojoties uz IZM Nekustamā īpašuma un valsts mantas apsaimniekošanas komisijas 2013.gada 4.septembra lēmumu Nr.4264-2013 (prot.Nr.152) 2013.gada 18.septembrī ir noslēgta vienošanās par grozījumiem minētajā nomas līgumā, kas paredz tiesības nomas līgumu ierakstīt zemesgrāmatā.</w:t>
                  </w:r>
                </w:p>
                <w:p w:rsidR="002C1667" w:rsidRPr="00C70F80" w:rsidRDefault="002C1667" w:rsidP="00E153BD">
                  <w:pPr>
                    <w:pStyle w:val="BodyText"/>
                    <w:spacing w:after="0"/>
                    <w:ind w:firstLine="682"/>
                    <w:jc w:val="both"/>
                    <w:rPr>
                      <w:rFonts w:asciiTheme="majorHAnsi" w:hAnsiTheme="majorHAnsi" w:cstheme="majorHAnsi"/>
                    </w:rPr>
                  </w:pP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 xml:space="preserve">Pamatojoties uz minētajiem līgumiem un to grozījumiem, nomas tiesība ir nostiprināta attiecīgajos zemesgrāmatas nodalījumos. </w:t>
                  </w:r>
                  <w:r w:rsidRPr="00C70F80">
                    <w:rPr>
                      <w:rFonts w:asciiTheme="majorHAnsi" w:hAnsiTheme="majorHAnsi" w:cstheme="majorHAnsi"/>
                      <w:bCs/>
                    </w:rPr>
                    <w:t>Saskaņā ar</w:t>
                  </w:r>
                  <w:r w:rsidRPr="00C70F80">
                    <w:rPr>
                      <w:rFonts w:asciiTheme="majorHAnsi" w:hAnsiTheme="majorHAnsi" w:cstheme="majorHAnsi"/>
                      <w:b/>
                      <w:bCs/>
                    </w:rPr>
                    <w:t xml:space="preserve"> </w:t>
                  </w:r>
                  <w:r w:rsidRPr="00C70F80">
                    <w:rPr>
                      <w:rFonts w:asciiTheme="majorHAnsi" w:hAnsiTheme="majorHAnsi" w:cstheme="majorHAnsi"/>
                      <w:bCs/>
                    </w:rPr>
                    <w:t>Civillikuma</w:t>
                  </w:r>
                  <w:r w:rsidRPr="00C70F80">
                    <w:rPr>
                      <w:rFonts w:asciiTheme="majorHAnsi" w:hAnsiTheme="majorHAnsi" w:cstheme="majorHAnsi"/>
                      <w:b/>
                      <w:bCs/>
                    </w:rPr>
                    <w:t xml:space="preserve"> </w:t>
                  </w:r>
                  <w:r w:rsidRPr="00C70F80">
                    <w:rPr>
                      <w:rFonts w:asciiTheme="majorHAnsi" w:hAnsiTheme="majorHAnsi" w:cstheme="majorHAnsi"/>
                      <w:bCs/>
                    </w:rPr>
                    <w:t>2126</w:t>
                  </w:r>
                  <w:r w:rsidRPr="00C70F80">
                    <w:rPr>
                      <w:rFonts w:asciiTheme="majorHAnsi" w:hAnsiTheme="majorHAnsi" w:cstheme="majorHAnsi"/>
                      <w:b/>
                      <w:bCs/>
                    </w:rPr>
                    <w:t>.</w:t>
                  </w:r>
                  <w:r w:rsidRPr="00C70F80">
                    <w:rPr>
                      <w:rFonts w:asciiTheme="majorHAnsi" w:hAnsiTheme="majorHAnsi" w:cstheme="majorHAnsi"/>
                      <w:bCs/>
                    </w:rPr>
                    <w:t>pantu tikai</w:t>
                  </w:r>
                  <w:r w:rsidRPr="00C70F80">
                    <w:rPr>
                      <w:rFonts w:asciiTheme="majorHAnsi" w:hAnsiTheme="majorHAnsi" w:cstheme="majorHAnsi"/>
                      <w:b/>
                      <w:bCs/>
                    </w:rPr>
                    <w:t xml:space="preserve"> </w:t>
                  </w:r>
                  <w:r w:rsidRPr="00C70F80">
                    <w:rPr>
                      <w:rFonts w:asciiTheme="majorHAnsi" w:hAnsiTheme="majorHAnsi" w:cstheme="majorHAnsi"/>
                      <w:bCs/>
                      <w:i/>
                    </w:rPr>
                    <w:t>i</w:t>
                  </w:r>
                  <w:r w:rsidRPr="00C70F80">
                    <w:rPr>
                      <w:rFonts w:asciiTheme="majorHAnsi" w:hAnsiTheme="majorHAnsi" w:cstheme="majorHAnsi"/>
                      <w:i/>
                    </w:rPr>
                    <w:t>erakstot nomas vai īres līgumu zemes grāmatās, nomnieks vai īrnieks iegūst lietu tiesību, kas ir spēkā arī pret trešām personām</w:t>
                  </w:r>
                  <w:r w:rsidRPr="00C70F80">
                    <w:rPr>
                      <w:rFonts w:asciiTheme="majorHAnsi" w:hAnsiTheme="majorHAnsi" w:cstheme="majorHAnsi"/>
                    </w:rPr>
                    <w:t xml:space="preserve">. </w:t>
                  </w:r>
                  <w:r w:rsidRPr="00C70F80">
                    <w:rPr>
                      <w:rFonts w:asciiTheme="minorHAnsi" w:hAnsiTheme="minorHAnsi" w:cstheme="minorHAnsi"/>
                    </w:rPr>
                    <w:t xml:space="preserve">Civillikuma </w:t>
                  </w:r>
                  <w:r w:rsidRPr="00C70F80">
                    <w:rPr>
                      <w:rFonts w:asciiTheme="minorHAnsi" w:hAnsiTheme="minorHAnsi" w:cstheme="minorHAnsi"/>
                      <w:bCs/>
                    </w:rPr>
                    <w:t xml:space="preserve">2174.pants noteic, </w:t>
                  </w:r>
                  <w:r w:rsidRPr="00C70F80">
                    <w:rPr>
                      <w:rFonts w:asciiTheme="minorHAnsi" w:hAnsiTheme="minorHAnsi" w:cstheme="minorHAnsi"/>
                      <w:bCs/>
                      <w:i/>
                    </w:rPr>
                    <w:t>k</w:t>
                  </w:r>
                  <w:r w:rsidRPr="00C70F80">
                    <w:rPr>
                      <w:rFonts w:asciiTheme="minorHAnsi" w:hAnsiTheme="minorHAnsi" w:cstheme="minorHAnsi"/>
                      <w:i/>
                    </w:rPr>
                    <w:t>ad iznomātājs nomas priekšmetu atsavina, ieguvējam jāievēro nomas līgums tikai tad, ja tas ierakstīts zemes grāmatās (</w:t>
                  </w:r>
                  <w:hyperlink r:id="rId7" w:anchor="p2126#p2126" w:history="1">
                    <w:r w:rsidRPr="00C70F80">
                      <w:rPr>
                        <w:rStyle w:val="Hyperlink"/>
                        <w:rFonts w:asciiTheme="minorHAnsi" w:hAnsiTheme="minorHAnsi" w:cstheme="minorHAnsi"/>
                        <w:i/>
                        <w:color w:val="auto"/>
                        <w:u w:val="none"/>
                      </w:rPr>
                      <w:t>2126.p</w:t>
                    </w:r>
                  </w:hyperlink>
                  <w:r w:rsidRPr="00C70F80">
                    <w:rPr>
                      <w:rFonts w:asciiTheme="minorHAnsi" w:hAnsiTheme="minorHAnsi" w:cstheme="minorHAnsi"/>
                      <w:i/>
                    </w:rPr>
                    <w:t>.).</w:t>
                  </w:r>
                </w:p>
                <w:p w:rsidR="002C1667" w:rsidRPr="00C70F80" w:rsidRDefault="002C1667" w:rsidP="00E153BD">
                  <w:pPr>
                    <w:pStyle w:val="BodyText"/>
                    <w:spacing w:after="0"/>
                    <w:jc w:val="both"/>
                    <w:rPr>
                      <w:rFonts w:asciiTheme="majorHAnsi" w:hAnsiTheme="majorHAnsi" w:cstheme="majorHAnsi"/>
                    </w:rPr>
                  </w:pPr>
                  <w:r w:rsidRPr="00C70F80">
                    <w:rPr>
                      <w:rFonts w:asciiTheme="majorHAnsi" w:hAnsiTheme="majorHAnsi" w:cstheme="majorHAnsi"/>
                    </w:rPr>
                    <w:t xml:space="preserve">      Visi trīs valsts nekustamie īpašumi turpmāk kopā saukti – Nekustamie īpašumi.</w:t>
                  </w:r>
                </w:p>
                <w:p w:rsidR="002C1667" w:rsidRPr="00C70F80" w:rsidRDefault="002C1667" w:rsidP="00E153BD">
                  <w:pPr>
                    <w:pStyle w:val="BodyText"/>
                    <w:spacing w:after="0"/>
                    <w:jc w:val="both"/>
                    <w:rPr>
                      <w:rFonts w:asciiTheme="majorHAnsi" w:hAnsiTheme="majorHAnsi" w:cstheme="majorHAnsi"/>
                    </w:rPr>
                  </w:pPr>
                </w:p>
                <w:p w:rsidR="002C1667" w:rsidRPr="00C70F80" w:rsidRDefault="002C1667" w:rsidP="00E153BD">
                  <w:pPr>
                    <w:pStyle w:val="BodyText"/>
                    <w:spacing w:after="0"/>
                    <w:ind w:firstLine="682"/>
                    <w:jc w:val="both"/>
                    <w:rPr>
                      <w:rFonts w:asciiTheme="majorHAnsi" w:hAnsiTheme="majorHAnsi" w:cstheme="majorHAnsi"/>
                    </w:rPr>
                  </w:pPr>
                  <w:r w:rsidRPr="00C70F80">
                    <w:rPr>
                      <w:rFonts w:asciiTheme="majorHAnsi" w:hAnsiTheme="majorHAnsi" w:cstheme="majorHAnsi"/>
                    </w:rPr>
                    <w:t>Informācijas sistēmu menedžmenta augstskola 2012.gada 25.oktobrī ar vēstuli Nr.S1-24/13-12 adresētu VNĪ lūdz risināt jautājumu par atsavināšanas procedūras uzsākšanu, vēstule pārsūtīta IZM pēc piekritības.</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 xml:space="preserve">IZM 2013.gada 28.februāra vēstulē Nr.01-17/1032 „Par valsts nekustamo īpašumu atsavināšanu” informē VNĪ, ka Nekustamie īpašumi nav nepieciešami IZM un padotībā esošo iestāžu funkciju nodrošināšanai, par ko arī liecina noslēgtie ilgtermiņa nomas līgumi, kā arī konceptuāli atbalsta Nekustamo īpašumu nodošanu </w:t>
                  </w:r>
                  <w:r w:rsidRPr="00C70F80">
                    <w:rPr>
                      <w:rFonts w:asciiTheme="majorHAnsi" w:hAnsiTheme="majorHAnsi" w:cstheme="majorHAnsi"/>
                    </w:rPr>
                    <w:lastRenderedPageBreak/>
                    <w:t>atsavināšanai un lūdz VNĪ nodrošināt atbilstošu tālāku rīcību.</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IZM ar 2013.gada 25.aprīļa vēstuli ir nosūtījusi informāciju VNĪ par Nekustamo īpašumu uzturēšanas un apsaimniekošanas izdevumiem.</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IZM ar 2014.gada 23.janvāra vēstuli Nr.01-47/417 informē, ka ar nomas līgumiem noteiktās nomas tiesības ir reģistrētas zemesgrāmatā.</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 xml:space="preserve">IZM 2014.gada 26.februāra vēstulē Nr.1-17/982 informē, ka uz vēstules sagatavošanas dienu Informācijas sistēmu menedžmenta augstskolai nav parāda par telpu un zemes nomu, kā arī nav nekustamā īpašuma nodokļa parāda. Informācijas sistēmu menedžmenta augstskolai ir parāds par patērēto elektroenerģiju 16 734,53 </w:t>
                  </w:r>
                  <w:r w:rsidRPr="00C70F80">
                    <w:rPr>
                      <w:rFonts w:asciiTheme="majorHAnsi" w:hAnsiTheme="majorHAnsi" w:cstheme="majorHAnsi"/>
                      <w:i/>
                    </w:rPr>
                    <w:t>euro</w:t>
                  </w:r>
                  <w:r w:rsidRPr="00C70F80">
                    <w:rPr>
                      <w:rFonts w:asciiTheme="majorHAnsi" w:hAnsiTheme="majorHAnsi" w:cstheme="majorHAnsi"/>
                    </w:rPr>
                    <w:t xml:space="preserve"> apmērā, kā arī nav apmaksāts aprēķinātais līgumsods 9 983,92 </w:t>
                  </w:r>
                  <w:r w:rsidRPr="00C70F80">
                    <w:rPr>
                      <w:rFonts w:asciiTheme="majorHAnsi" w:hAnsiTheme="majorHAnsi" w:cstheme="majorHAnsi"/>
                      <w:i/>
                    </w:rPr>
                    <w:t>euro</w:t>
                  </w:r>
                  <w:r w:rsidRPr="00C70F80">
                    <w:rPr>
                      <w:rFonts w:asciiTheme="majorHAnsi" w:hAnsiTheme="majorHAnsi" w:cstheme="majorHAnsi"/>
                    </w:rPr>
                    <w:t xml:space="preserve"> apmērā par nomas maksas un maksas par patērēto elektroenerģiju samaksas kavējumu. Minētos parādus Informācijas sistēmu menedžmenta augstskola apņēmusies samaksāt līdz 2014.gada maijam. Arī 2014.gada 7.aprīļa atzinumā Nr.01-06/1581 IZM informē, ka Informācijas sistēmu menedžmenta augstskolai ir nomas maksas parāds, komunālo maksājumu un nekustamā īpašuma nodokļa parāds par Nekustamiem īpašumiem, kā arī Informācijas sistēmu menedžmenta augstskola nav apmaksājusi uz 2014.gada 16.janvāri aprēķināto līgumsodu 9983,92 </w:t>
                  </w:r>
                  <w:r w:rsidRPr="00C70F80">
                    <w:rPr>
                      <w:rFonts w:asciiTheme="majorHAnsi" w:hAnsiTheme="majorHAnsi" w:cstheme="majorHAnsi"/>
                      <w:i/>
                    </w:rPr>
                    <w:t>euro</w:t>
                  </w:r>
                  <w:r w:rsidRPr="00C70F80">
                    <w:rPr>
                      <w:rFonts w:asciiTheme="majorHAnsi" w:hAnsiTheme="majorHAnsi" w:cstheme="majorHAnsi"/>
                    </w:rPr>
                    <w:t xml:space="preserve"> apmērā par nomas maksas un maksas par patērēto elektroenerģiju samaksas kavējumu, apsolītais samaksas termiņš paliek nemainīgs - 2014.gada maijs.</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IZM 2014.gada 4.marta vēstulē Nr.01-10/1097 ir informējusi Finanšu ministriju par esošajiem nomas līgumiem, faktiski izrakstītiem un saņemtiem pašu ieņēmumiem, kā arī plānotiem pašu ieņēmumiem par telpu un zemes nomu 2012.-2014.gadā. IZM vēstulē informē, ka saistībā ar Informācijas sistēmu menedžmenta augstskolu noslēgtiem pieciem (šajā anotācijā iepriekš minēti) nomas līgumiem:</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 xml:space="preserve"> 2012.gadā izrakstītie rēķini ir Ls 48 734,94 (69 343,57 </w:t>
                  </w:r>
                  <w:r w:rsidRPr="00C70F80">
                    <w:rPr>
                      <w:rFonts w:asciiTheme="majorHAnsi" w:hAnsiTheme="majorHAnsi" w:cstheme="majorHAnsi"/>
                      <w:i/>
                    </w:rPr>
                    <w:t>euro</w:t>
                  </w:r>
                  <w:r w:rsidRPr="00C70F80">
                    <w:rPr>
                      <w:rFonts w:asciiTheme="majorHAnsi" w:hAnsiTheme="majorHAnsi" w:cstheme="majorHAnsi"/>
                    </w:rPr>
                    <w:t xml:space="preserve">) ar PVN un saņemts Ls 32 556,82 (46 324,18 </w:t>
                  </w:r>
                  <w:r w:rsidRPr="00C70F80">
                    <w:rPr>
                      <w:rFonts w:asciiTheme="majorHAnsi" w:hAnsiTheme="majorHAnsi" w:cstheme="majorHAnsi"/>
                      <w:i/>
                    </w:rPr>
                    <w:t>euro</w:t>
                  </w:r>
                  <w:r w:rsidRPr="00C70F80">
                    <w:rPr>
                      <w:rFonts w:asciiTheme="majorHAnsi" w:hAnsiTheme="majorHAnsi" w:cstheme="majorHAnsi"/>
                    </w:rPr>
                    <w:t>) ar PVN;</w:t>
                  </w:r>
                </w:p>
                <w:p w:rsidR="002C1667" w:rsidRPr="00C70F80" w:rsidRDefault="002C1667" w:rsidP="00E153BD">
                  <w:pPr>
                    <w:ind w:firstLine="720"/>
                    <w:jc w:val="both"/>
                    <w:rPr>
                      <w:rFonts w:asciiTheme="majorHAnsi" w:hAnsiTheme="majorHAnsi" w:cstheme="majorHAnsi"/>
                    </w:rPr>
                  </w:pPr>
                  <w:r w:rsidRPr="00C70F80">
                    <w:rPr>
                      <w:rFonts w:asciiTheme="majorHAnsi" w:hAnsiTheme="majorHAnsi" w:cstheme="majorHAnsi"/>
                    </w:rPr>
                    <w:t xml:space="preserve">2013.gadā izrakstītie rēķini ir Ls 48 534,36 (69 058,17 </w:t>
                  </w:r>
                  <w:r w:rsidRPr="00C70F80">
                    <w:rPr>
                      <w:rFonts w:asciiTheme="majorHAnsi" w:hAnsiTheme="majorHAnsi" w:cstheme="majorHAnsi"/>
                      <w:i/>
                    </w:rPr>
                    <w:t>euro</w:t>
                  </w:r>
                  <w:r w:rsidRPr="00C70F80">
                    <w:rPr>
                      <w:rFonts w:asciiTheme="majorHAnsi" w:hAnsiTheme="majorHAnsi" w:cstheme="majorHAnsi"/>
                    </w:rPr>
                    <w:t xml:space="preserve">) ar PVN un saņemts Ls 36 058,15 (51 306.13 </w:t>
                  </w:r>
                  <w:r w:rsidRPr="00C70F80">
                    <w:rPr>
                      <w:rFonts w:asciiTheme="majorHAnsi" w:hAnsiTheme="majorHAnsi" w:cstheme="majorHAnsi"/>
                      <w:i/>
                    </w:rPr>
                    <w:t>euro</w:t>
                  </w:r>
                  <w:r w:rsidRPr="00C70F80">
                    <w:rPr>
                      <w:rFonts w:asciiTheme="majorHAnsi" w:hAnsiTheme="majorHAnsi" w:cstheme="majorHAnsi"/>
                    </w:rPr>
                    <w:t>) ar PVN;</w:t>
                  </w:r>
                </w:p>
                <w:p w:rsidR="002C1667" w:rsidRPr="00C70F80" w:rsidRDefault="002C1667" w:rsidP="00E153BD">
                  <w:pPr>
                    <w:ind w:firstLine="720"/>
                    <w:jc w:val="both"/>
                    <w:rPr>
                      <w:rStyle w:val="Strong"/>
                      <w:b w:val="0"/>
                    </w:rPr>
                  </w:pPr>
                  <w:r w:rsidRPr="00C70F80">
                    <w:rPr>
                      <w:rFonts w:asciiTheme="majorHAnsi" w:hAnsiTheme="majorHAnsi" w:cstheme="majorHAnsi"/>
                    </w:rPr>
                    <w:t xml:space="preserve">2014.gadā izrakstītie rēķini ir 69 058,20 </w:t>
                  </w:r>
                  <w:r w:rsidRPr="00C70F80">
                    <w:rPr>
                      <w:rFonts w:asciiTheme="majorHAnsi" w:hAnsiTheme="majorHAnsi" w:cstheme="majorHAnsi"/>
                      <w:i/>
                    </w:rPr>
                    <w:t>euro</w:t>
                  </w:r>
                  <w:r w:rsidRPr="00C70F80">
                    <w:rPr>
                      <w:rFonts w:asciiTheme="majorHAnsi" w:hAnsiTheme="majorHAnsi" w:cstheme="majorHAnsi"/>
                    </w:rPr>
                    <w:t xml:space="preserve"> ar PVN (Ls      </w:t>
                  </w:r>
                  <w:r w:rsidRPr="0075566C">
                    <w:rPr>
                      <w:rStyle w:val="Strong"/>
                      <w:b w:val="0"/>
                    </w:rPr>
                    <w:t>48 534,38).</w:t>
                  </w:r>
                </w:p>
                <w:p w:rsidR="0075566C" w:rsidRPr="00EC0247" w:rsidRDefault="00331E25" w:rsidP="00331E25">
                  <w:pPr>
                    <w:ind w:firstLine="720"/>
                    <w:jc w:val="both"/>
                    <w:rPr>
                      <w:rFonts w:asciiTheme="majorHAnsi" w:hAnsiTheme="majorHAnsi" w:cstheme="majorHAnsi"/>
                      <w:u w:val="single"/>
                    </w:rPr>
                  </w:pPr>
                  <w:r w:rsidRPr="00EC0247">
                    <w:rPr>
                      <w:rFonts w:asciiTheme="minorHAnsi" w:hAnsiTheme="minorHAnsi" w:cstheme="minorHAnsi"/>
                      <w:u w:val="single"/>
                    </w:rPr>
                    <w:t xml:space="preserve">IZM 2014.gada 8.jūnija vēstulē Nr.01-10/2576 apliecina, ka saskaņā starp IZM un </w:t>
                  </w:r>
                  <w:r w:rsidRPr="00EC0247">
                    <w:rPr>
                      <w:rFonts w:asciiTheme="majorHAnsi" w:hAnsiTheme="majorHAnsi" w:cstheme="majorHAnsi"/>
                      <w:u w:val="single"/>
                    </w:rPr>
                    <w:t>Informācijas sistēmu menedžmenta augstskolu noslēgtajiem nomas līgumiem par valsts nekustamo īpašumu objektu Lomonosova ielā 1 k-6, k-7 un k-14, Rīg</w:t>
                  </w:r>
                  <w:r w:rsidR="00F13EDC">
                    <w:rPr>
                      <w:rFonts w:asciiTheme="majorHAnsi" w:hAnsiTheme="majorHAnsi" w:cstheme="majorHAnsi"/>
                      <w:u w:val="single"/>
                    </w:rPr>
                    <w:t>ā (Nekustamie īpašumi)</w:t>
                  </w:r>
                  <w:r w:rsidRPr="00EC0247">
                    <w:rPr>
                      <w:rFonts w:asciiTheme="majorHAnsi" w:hAnsiTheme="majorHAnsi" w:cstheme="majorHAnsi"/>
                      <w:u w:val="single"/>
                    </w:rPr>
                    <w:t xml:space="preserve"> nomu IZM par 2013.gadu līdz 2014.gada 15.februārim ir saņēmusi </w:t>
                  </w:r>
                  <w:r w:rsidRPr="000F7A60">
                    <w:rPr>
                      <w:rFonts w:asciiTheme="majorHAnsi" w:hAnsiTheme="majorHAnsi" w:cstheme="majorHAnsi"/>
                      <w:b/>
                      <w:u w:val="single"/>
                    </w:rPr>
                    <w:t>EUR 69 058,20</w:t>
                  </w:r>
                  <w:r w:rsidR="000E6772">
                    <w:rPr>
                      <w:rFonts w:asciiTheme="majorHAnsi" w:hAnsiTheme="majorHAnsi" w:cstheme="majorHAnsi"/>
                      <w:u w:val="single"/>
                    </w:rPr>
                    <w:t>, līdz ar to šī</w:t>
                  </w:r>
                  <w:r w:rsidRPr="00EC0247">
                    <w:rPr>
                      <w:rFonts w:asciiTheme="majorHAnsi" w:hAnsiTheme="majorHAnsi" w:cstheme="majorHAnsi"/>
                      <w:u w:val="single"/>
                    </w:rPr>
                    <w:t xml:space="preserve"> arī būtu tā summa, kas būtu piešķirama IZM 2015.gadā un turpmāk ik gadu, lai kompensētu IZM pašu ieņēmumu samazināšanos par minēto valsts nekustamo īpašumu objektu iznomāšanu.</w:t>
                  </w:r>
                </w:p>
                <w:p w:rsidR="00EC0247" w:rsidRDefault="00EC0247" w:rsidP="00EC0247">
                  <w:pPr>
                    <w:ind w:firstLine="720"/>
                    <w:jc w:val="both"/>
                    <w:rPr>
                      <w:rFonts w:asciiTheme="majorHAnsi" w:hAnsiTheme="majorHAnsi" w:cstheme="majorHAnsi"/>
                      <w:u w:val="single"/>
                    </w:rPr>
                  </w:pPr>
                  <w:r w:rsidRPr="00EC0247">
                    <w:rPr>
                      <w:rFonts w:asciiTheme="majorHAnsi" w:hAnsiTheme="majorHAnsi" w:cstheme="majorHAnsi"/>
                      <w:u w:val="single"/>
                    </w:rPr>
                    <w:t>IZM 2014.gada 13.jūnijā ar pavadvēstuli Nr.01-10/2738 ir iesniegusi papildus informāciju par Informācijas sistēmu menedžmenta augstskolas veiktajiem maksājumiem par 2013.gadu.</w:t>
                  </w:r>
                </w:p>
                <w:p w:rsidR="003720E3" w:rsidRDefault="003720E3" w:rsidP="000E6772">
                  <w:pPr>
                    <w:ind w:firstLine="720"/>
                    <w:jc w:val="both"/>
                  </w:pPr>
                  <w:r>
                    <w:t xml:space="preserve">Papildus </w:t>
                  </w:r>
                  <w:r w:rsidR="000E6772">
                    <w:t xml:space="preserve">IZM 2014.gada 9.jūlijā </w:t>
                  </w:r>
                  <w:r w:rsidR="004E0771">
                    <w:t xml:space="preserve">atzinumā Nr.01-06/3245 </w:t>
                  </w:r>
                  <w:r>
                    <w:t>informē, ka uz 2014.gada 7.jūliju Informācijas</w:t>
                  </w:r>
                  <w:r w:rsidR="000E6772">
                    <w:t xml:space="preserve"> sistēmu menedžmenta augstskolai</w:t>
                  </w:r>
                  <w:r>
                    <w:t xml:space="preserve"> ir nomas maksas, komunālo maksājumu un nekustamā </w:t>
                  </w:r>
                  <w:r>
                    <w:lastRenderedPageBreak/>
                    <w:t xml:space="preserve">īpašuma nodokļa parāds par </w:t>
                  </w:r>
                  <w:r>
                    <w:rPr>
                      <w:color w:val="000000"/>
                    </w:rPr>
                    <w:t xml:space="preserve">valsts </w:t>
                  </w:r>
                  <w:r>
                    <w:t>nekustamo īpašumu objektiem Lomonosova ielā 1 k-6, k-7 un k-14, Rīgā</w:t>
                  </w:r>
                  <w:r>
                    <w:rPr>
                      <w:color w:val="000000"/>
                    </w:rPr>
                    <w:t>,</w:t>
                  </w:r>
                  <w:r>
                    <w:t xml:space="preserve"> EUR 27 096,62 (divdesmit septiņi tūkstoši deviņdesmit sešu euro, 62 centu) apmērā (neskaitot rēķinu par 2014.gada jūlija mēnesi), kā arī Informācijas</w:t>
                  </w:r>
                  <w:r w:rsidR="000E6772">
                    <w:t xml:space="preserve"> sistēmu menedžmenta augstskola </w:t>
                  </w:r>
                  <w:r>
                    <w:t>nav apmaksājusi uz 2014.gada 16.janvāri aprēķināto līgumsodu EUR 9983,92 (deviņi tūkstoši deviņi simti astoņdesmit trīs euro, 92 centu) apmērā par nomas maksas un maksas par patērēto elektroenerģiju samaksas kavējumu.</w:t>
                  </w:r>
                  <w:r w:rsidR="000E6772">
                    <w:t xml:space="preserve"> </w:t>
                  </w:r>
                </w:p>
                <w:p w:rsidR="00D96FE2" w:rsidRPr="00C70F80" w:rsidRDefault="00D96FE2" w:rsidP="000E6772">
                  <w:pPr>
                    <w:ind w:firstLine="720"/>
                    <w:jc w:val="both"/>
                    <w:rPr>
                      <w:rFonts w:asciiTheme="minorHAnsi" w:hAnsiTheme="minorHAnsi" w:cstheme="minorHAnsi"/>
                    </w:rPr>
                  </w:pPr>
                  <w:r>
                    <w:t>IZM ir nepieciešams veikt darbības minētā parāda piedziņai.</w:t>
                  </w:r>
                </w:p>
              </w:tc>
            </w:tr>
            <w:tr w:rsidR="002C1667" w:rsidRPr="00C70F80" w:rsidTr="00E153BD">
              <w:trPr>
                <w:tblCellSpacing w:w="15" w:type="dxa"/>
              </w:trPr>
              <w:tc>
                <w:tcPr>
                  <w:tcW w:w="199"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131"/>
                    <w:rPr>
                      <w:rFonts w:asciiTheme="majorHAnsi" w:hAnsiTheme="majorHAnsi" w:cstheme="majorHAnsi"/>
                    </w:rPr>
                  </w:pPr>
                  <w:r w:rsidRPr="00C70F80">
                    <w:rPr>
                      <w:rFonts w:asciiTheme="majorHAnsi" w:hAnsiTheme="majorHAnsi" w:cstheme="majorHAnsi"/>
                    </w:rPr>
                    <w:t>Projekts šo jomu neskar.</w:t>
                  </w:r>
                </w:p>
              </w:tc>
            </w:tr>
            <w:tr w:rsidR="002C1667" w:rsidRPr="00C70F80" w:rsidTr="00E153BD">
              <w:trPr>
                <w:tblCellSpacing w:w="15" w:type="dxa"/>
              </w:trPr>
              <w:tc>
                <w:tcPr>
                  <w:tcW w:w="199"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4.</w:t>
                  </w:r>
                </w:p>
              </w:tc>
              <w:tc>
                <w:tcPr>
                  <w:tcW w:w="964"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303"/>
                    <w:jc w:val="both"/>
                    <w:rPr>
                      <w:rFonts w:asciiTheme="majorHAnsi" w:hAnsiTheme="majorHAnsi" w:cstheme="majorHAnsi"/>
                    </w:rPr>
                  </w:pPr>
                  <w:r w:rsidRPr="00C70F80">
                    <w:rPr>
                      <w:rFonts w:asciiTheme="majorHAnsi" w:hAnsiTheme="majorHAnsi" w:cstheme="majorHAnsi"/>
                    </w:rPr>
                    <w:t xml:space="preserve">  Atbilstoši anotācijas I sadaļas 2.punktā minētajam, ir izstrādāts rīkojuma projekts, kas paredz atļaut VNĪ pārdot izsolē valsts Nekustamo mantu – trīs nekustamos īpašumus, kas ierakstīti zemesgrāmatā uz valsts vārda IZM personā, jo nekustamie īpašumi nav nepieciešami valsts iestāžu un to padotības iestāžu funkciju nodrošināšanai saskaņā ar Valsts pārvaldes iekārtas likumu, un visefektīgāk arī turpmāk Nekustamos īpašumus varēs apsaimniekot privātpersona jau kā savu īpašumu, jo Informācijas sistēmu menedžmenta augstskola ir ieinteresēta arī administratīvās ēkas tālākā renovācijā un ēkām piekrītošās teritorijas tālākā attīstīšanā. Lai īstenotu ieceres Informācijas sistēmu menedžmenta augstskolai nepieciešams veikt ievērojamus ieguldījumus objekta attīstībā, piesaistot līdzekļus. Līdzekļu piesaisti kavē fakts, ka Nekustamie īpašumi nav Informācijas sistēmu menedžmenta augstskolas īpašumi.</w:t>
                  </w:r>
                </w:p>
                <w:p w:rsidR="002C1667" w:rsidRPr="00C70F80" w:rsidRDefault="002C1667" w:rsidP="00E153BD">
                  <w:pPr>
                    <w:ind w:firstLine="303"/>
                    <w:jc w:val="both"/>
                    <w:rPr>
                      <w:rFonts w:asciiTheme="majorHAnsi" w:hAnsiTheme="majorHAnsi" w:cstheme="majorHAnsi"/>
                    </w:rPr>
                  </w:pPr>
                  <w:r w:rsidRPr="00C70F80">
                    <w:rPr>
                      <w:rFonts w:asciiTheme="majorHAnsi" w:hAnsiTheme="majorHAnsi" w:cstheme="majorHAnsi"/>
                    </w:rPr>
                    <w:t xml:space="preserve">Rīkojuma projekts paredz, ka pircējs vai pircēji par valsts nekustamo mantu maksā </w:t>
                  </w:r>
                  <w:r w:rsidRPr="00C70F80">
                    <w:rPr>
                      <w:rFonts w:asciiTheme="majorHAnsi" w:hAnsiTheme="majorHAnsi" w:cstheme="majorHAnsi"/>
                      <w:i/>
                    </w:rPr>
                    <w:t>euro</w:t>
                  </w:r>
                  <w:r w:rsidRPr="00C70F80">
                    <w:rPr>
                      <w:rFonts w:asciiTheme="majorHAnsi" w:hAnsiTheme="majorHAnsi" w:cstheme="majorHAnsi"/>
                    </w:rPr>
                    <w:t>.</w:t>
                  </w:r>
                </w:p>
                <w:p w:rsidR="002C1667" w:rsidRPr="00C70F80" w:rsidRDefault="002C1667" w:rsidP="00E153BD">
                  <w:pPr>
                    <w:ind w:firstLine="303"/>
                    <w:jc w:val="both"/>
                    <w:rPr>
                      <w:rFonts w:asciiTheme="majorHAnsi" w:hAnsiTheme="majorHAnsi" w:cstheme="majorHAnsi"/>
                    </w:rPr>
                  </w:pPr>
                  <w:r w:rsidRPr="00C70F80">
                    <w:rPr>
                      <w:rFonts w:asciiTheme="majorHAnsi" w:hAnsiTheme="majorHAnsi" w:cstheme="majorHAnsi"/>
                    </w:rPr>
                    <w:t>Rīkojuma projekts paredz nekustamā īpašuma valdītājam – IZM, uzdevumu nodot pircējam valsts nekustamo mantu 30 (trīsdesmit) dienu laikā no pirkuma līguma noslēgšanas dienas ar pieņemšanas -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vai pircēju īpašuma tiesību nostiprināšanai zemesgrāmatā, pārdevējs (vai valdītājs) izsniedz pircējam 30 (trīsdesmit) dienu laikā pēc visu saistību izpildes pret pārdevēju.</w:t>
                  </w:r>
                </w:p>
                <w:p w:rsidR="002C1667" w:rsidRPr="00F13EDC" w:rsidRDefault="002C1667" w:rsidP="00F13EDC">
                  <w:pPr>
                    <w:ind w:firstLine="303"/>
                    <w:jc w:val="both"/>
                  </w:pPr>
                  <w:r w:rsidRPr="00F13EDC">
                    <w:t xml:space="preserve">Papildus ir pievienots Ministru kabineta sēdes protokollēmuma projekts, kas paredz </w:t>
                  </w:r>
                  <w:r w:rsidR="00F13EDC" w:rsidRPr="00F13EDC">
                    <w:rPr>
                      <w:color w:val="000000"/>
                      <w:u w:val="single"/>
                    </w:rPr>
                    <w:t xml:space="preserve">Finanšu ministrijai palielināt </w:t>
                  </w:r>
                  <w:r w:rsidR="00F13EDC">
                    <w:rPr>
                      <w:color w:val="000000"/>
                      <w:u w:val="single"/>
                    </w:rPr>
                    <w:t xml:space="preserve">IZM </w:t>
                  </w:r>
                  <w:r w:rsidR="00F13EDC" w:rsidRPr="00F13EDC">
                    <w:rPr>
                      <w:color w:val="000000"/>
                      <w:u w:val="single"/>
                    </w:rPr>
                    <w:t xml:space="preserve">budžeta apakšprogrammas 97.01.00 „Ministrijas centrālā aparāta darbības </w:t>
                  </w:r>
                  <w:r w:rsidR="00F13EDC" w:rsidRPr="00F13EDC">
                    <w:rPr>
                      <w:color w:val="000000"/>
                      <w:u w:val="single"/>
                    </w:rPr>
                    <w:lastRenderedPageBreak/>
                    <w:t>nodrošināšana” bāzes izdevumus 2015.gadam un turpmāk ik gadu</w:t>
                  </w:r>
                  <w:r w:rsidR="00F13EDC">
                    <w:rPr>
                      <w:color w:val="000000"/>
                      <w:u w:val="single"/>
                    </w:rPr>
                    <w:t xml:space="preserve"> EUR</w:t>
                  </w:r>
                  <w:r w:rsidR="00F13EDC" w:rsidRPr="00F13EDC">
                    <w:rPr>
                      <w:color w:val="000000"/>
                      <w:u w:val="single"/>
                    </w:rPr>
                    <w:t xml:space="preserve"> 69 058 apmērā, lai kompensētu </w:t>
                  </w:r>
                  <w:r w:rsidR="00F13EDC">
                    <w:rPr>
                      <w:color w:val="000000"/>
                      <w:u w:val="single"/>
                    </w:rPr>
                    <w:t>IZM</w:t>
                  </w:r>
                  <w:r w:rsidR="00F13EDC" w:rsidRPr="00F13EDC">
                    <w:rPr>
                      <w:color w:val="000000"/>
                      <w:u w:val="single"/>
                    </w:rPr>
                    <w:t xml:space="preserve"> pašu ieņēmumu samazināšanos par </w:t>
                  </w:r>
                  <w:r w:rsidR="00F13EDC" w:rsidRPr="00F13EDC">
                    <w:rPr>
                      <w:u w:val="single"/>
                    </w:rPr>
                    <w:t>nekustamo īpašumu objektu Lomonosova ielā 1 k-6, k-7 un k-14, Rīgā</w:t>
                  </w:r>
                  <w:r w:rsidR="00F13EDC" w:rsidRPr="00F13EDC">
                    <w:rPr>
                      <w:color w:val="000000"/>
                      <w:u w:val="single"/>
                    </w:rPr>
                    <w:t>, iznomāšanu</w:t>
                  </w:r>
                  <w:r w:rsidR="00F13EDC" w:rsidRPr="00F13EDC">
                    <w:t>.</w:t>
                  </w:r>
                </w:p>
              </w:tc>
            </w:tr>
            <w:tr w:rsidR="002C1667" w:rsidRPr="00C70F80" w:rsidTr="00E153BD">
              <w:trPr>
                <w:tblCellSpacing w:w="15" w:type="dxa"/>
              </w:trPr>
              <w:tc>
                <w:tcPr>
                  <w:tcW w:w="199"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lastRenderedPageBreak/>
                    <w:t>5.</w:t>
                  </w:r>
                </w:p>
              </w:tc>
              <w:tc>
                <w:tcPr>
                  <w:tcW w:w="964"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131"/>
                    <w:jc w:val="both"/>
                    <w:rPr>
                      <w:rFonts w:asciiTheme="majorHAnsi" w:hAnsiTheme="majorHAnsi" w:cstheme="majorHAnsi"/>
                    </w:rPr>
                  </w:pPr>
                  <w:r w:rsidRPr="00C70F80">
                    <w:rPr>
                      <w:rFonts w:asciiTheme="majorHAnsi" w:hAnsiTheme="majorHAnsi" w:cstheme="majorHAnsi"/>
                    </w:rPr>
                    <w:t>Projekta izstrādē ir iesaistīta VNĪ un IZM.</w:t>
                  </w:r>
                </w:p>
              </w:tc>
            </w:tr>
            <w:tr w:rsidR="002C1667" w:rsidRPr="00C70F80" w:rsidTr="00E153BD">
              <w:trPr>
                <w:tblCellSpacing w:w="15" w:type="dxa"/>
              </w:trPr>
              <w:tc>
                <w:tcPr>
                  <w:tcW w:w="199"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6.</w:t>
                  </w:r>
                </w:p>
              </w:tc>
              <w:tc>
                <w:tcPr>
                  <w:tcW w:w="964"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303"/>
                    <w:jc w:val="both"/>
                    <w:rPr>
                      <w:rFonts w:asciiTheme="majorHAnsi" w:hAnsiTheme="majorHAnsi" w:cstheme="majorHAnsi"/>
                    </w:rPr>
                  </w:pPr>
                  <w:r w:rsidRPr="00C70F80">
                    <w:rPr>
                      <w:rFonts w:asciiTheme="majorHAnsi" w:hAnsiTheme="majorHAnsi" w:cstheme="majorHAnsi"/>
                    </w:rPr>
                    <w:t>Rīkojuma projektu izstrādā VNĪ savu funkciju un uzdevumu ietvaros saskaņā ar normatīvajos aktos noteikto deleģējumu.</w:t>
                  </w:r>
                </w:p>
                <w:p w:rsidR="002C1667" w:rsidRPr="00C70F80" w:rsidRDefault="004E0771" w:rsidP="00E153BD">
                  <w:pPr>
                    <w:ind w:firstLine="131"/>
                    <w:jc w:val="both"/>
                    <w:rPr>
                      <w:rFonts w:asciiTheme="majorHAnsi" w:hAnsiTheme="majorHAnsi" w:cstheme="majorHAnsi"/>
                    </w:rPr>
                  </w:pPr>
                  <w:r>
                    <w:rPr>
                      <w:rFonts w:asciiTheme="majorHAnsi" w:hAnsiTheme="majorHAnsi" w:cstheme="majorHAnsi"/>
                    </w:rPr>
                    <w:t xml:space="preserve">   </w:t>
                  </w:r>
                  <w:r w:rsidR="002C1667" w:rsidRPr="00C70F80">
                    <w:rPr>
                      <w:rFonts w:asciiTheme="majorHAnsi" w:hAnsiTheme="majorHAnsi" w:cstheme="majorHAnsi"/>
                    </w:rPr>
                    <w:t>Rīkojuma projekta būtība skar Ministru kabineta kompetenci lemt par to vai atļaut vai neatļaut valsts nekustamā īpašuma atsavināšanu. Rīkojuma projektā risinātie jautājumi neparedz ieviest izmaiņas, kas varētu ietekmēt sabiedrības intereses.</w:t>
                  </w:r>
                </w:p>
              </w:tc>
            </w:tr>
            <w:tr w:rsidR="002C1667" w:rsidRPr="00C70F80" w:rsidTr="00E153BD">
              <w:trPr>
                <w:tblCellSpacing w:w="15" w:type="dxa"/>
              </w:trPr>
              <w:tc>
                <w:tcPr>
                  <w:tcW w:w="199"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7.</w:t>
                  </w:r>
                </w:p>
              </w:tc>
              <w:tc>
                <w:tcPr>
                  <w:tcW w:w="964"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rPr>
                      <w:rFonts w:asciiTheme="majorHAnsi" w:hAnsiTheme="majorHAnsi" w:cstheme="majorHAnsi"/>
                    </w:rPr>
                  </w:pPr>
                  <w:r w:rsidRPr="00C70F80">
                    <w:rPr>
                      <w:rFonts w:asciiTheme="majorHAnsi" w:hAnsiTheme="majorHAnsi" w:cstheme="majorHAnsi"/>
                    </w:rPr>
                    <w:t>Cita informācija</w:t>
                  </w:r>
                </w:p>
              </w:tc>
              <w:tc>
                <w:tcPr>
                  <w:tcW w:w="3773" w:type="pct"/>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131"/>
                    <w:rPr>
                      <w:rFonts w:asciiTheme="majorHAnsi" w:hAnsiTheme="majorHAnsi" w:cstheme="majorHAnsi"/>
                    </w:rPr>
                  </w:pPr>
                  <w:r w:rsidRPr="00C70F80">
                    <w:rPr>
                      <w:rFonts w:asciiTheme="majorHAnsi" w:hAnsiTheme="majorHAnsi" w:cstheme="majorHAnsi"/>
                    </w:rPr>
                    <w:t>Nav.</w:t>
                  </w:r>
                </w:p>
              </w:tc>
            </w:tr>
          </w:tbl>
          <w:p w:rsidR="002C1667" w:rsidRPr="00C70F80" w:rsidRDefault="002C1667" w:rsidP="00E153BD">
            <w:pPr>
              <w:pStyle w:val="NormalWeb"/>
              <w:rPr>
                <w:rFonts w:asciiTheme="majorHAnsi" w:hAnsiTheme="majorHAnsi" w:cstheme="majorHAnsi"/>
                <w:szCs w:val="24"/>
              </w:rPr>
            </w:pPr>
          </w:p>
        </w:tc>
      </w:tr>
    </w:tbl>
    <w:p w:rsidR="002C1667" w:rsidRPr="00C70F80" w:rsidRDefault="002C1667" w:rsidP="002C1667">
      <w:pPr>
        <w:pStyle w:val="BodyTextIndent"/>
        <w:ind w:left="0"/>
        <w:rPr>
          <w:rFonts w:asciiTheme="majorHAnsi" w:hAnsiTheme="majorHAnsi" w:cstheme="majorHAnsi"/>
        </w:rPr>
      </w:pPr>
    </w:p>
    <w:p w:rsidR="002C1667" w:rsidRPr="00C70F80" w:rsidRDefault="002C1667" w:rsidP="002C1667">
      <w:pPr>
        <w:pStyle w:val="BodyTextIndent"/>
        <w:ind w:left="0"/>
        <w:rPr>
          <w:rFonts w:asciiTheme="majorHAnsi" w:hAnsiTheme="majorHAnsi" w:cstheme="majorHAnsi"/>
        </w:rPr>
      </w:pPr>
    </w:p>
    <w:p w:rsidR="002C1667" w:rsidRPr="00C70F80" w:rsidRDefault="002C1667" w:rsidP="002C1667">
      <w:pPr>
        <w:pStyle w:val="BodyTextIndent"/>
        <w:ind w:left="0"/>
        <w:rPr>
          <w:rFonts w:asciiTheme="majorHAnsi" w:hAnsiTheme="majorHAnsi" w:cstheme="maj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
        <w:gridCol w:w="2913"/>
        <w:gridCol w:w="5666"/>
      </w:tblGrid>
      <w:tr w:rsidR="002C1667" w:rsidRPr="00C70F80" w:rsidTr="00E153BD">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2C1667" w:rsidRPr="00C70F80" w:rsidRDefault="002C1667" w:rsidP="00E153BD">
            <w:pPr>
              <w:spacing w:before="100" w:beforeAutospacing="1" w:after="100" w:afterAutospacing="1"/>
              <w:jc w:val="center"/>
              <w:rPr>
                <w:rFonts w:asciiTheme="majorHAnsi" w:hAnsiTheme="majorHAnsi" w:cstheme="majorHAnsi"/>
                <w:b/>
              </w:rPr>
            </w:pPr>
            <w:r w:rsidRPr="00C70F80">
              <w:rPr>
                <w:rFonts w:asciiTheme="majorHAnsi" w:hAnsiTheme="majorHAnsi" w:cstheme="majorHAnsi"/>
                <w:b/>
              </w:rPr>
              <w:t>II. Tiesību akta projekta ietekme uz sabiedrību</w:t>
            </w:r>
          </w:p>
        </w:tc>
      </w:tr>
      <w:tr w:rsidR="002C1667" w:rsidRPr="00C70F80" w:rsidTr="00E153BD">
        <w:trPr>
          <w:trHeight w:val="467"/>
          <w:tblCellSpacing w:w="0" w:type="dxa"/>
        </w:trPr>
        <w:tc>
          <w:tcPr>
            <w:tcW w:w="522"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1.</w:t>
            </w:r>
          </w:p>
        </w:tc>
        <w:tc>
          <w:tcPr>
            <w:tcW w:w="2913"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 Sabiedrības mērķgrupa</w:t>
            </w:r>
          </w:p>
        </w:tc>
        <w:tc>
          <w:tcPr>
            <w:tcW w:w="5666"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251"/>
              <w:jc w:val="both"/>
              <w:rPr>
                <w:rFonts w:asciiTheme="majorHAnsi" w:hAnsiTheme="majorHAnsi" w:cstheme="majorHAnsi"/>
              </w:rPr>
            </w:pPr>
            <w:r w:rsidRPr="00C70F80">
              <w:rPr>
                <w:rFonts w:asciiTheme="majorHAnsi" w:hAnsiTheme="majorHAnsi" w:cstheme="majorHAnsi"/>
              </w:rPr>
              <w:t>Projekts šo jomu neskar.</w:t>
            </w:r>
          </w:p>
        </w:tc>
      </w:tr>
      <w:tr w:rsidR="002C1667" w:rsidRPr="00C70F80" w:rsidTr="00E153BD">
        <w:trPr>
          <w:trHeight w:val="523"/>
          <w:tblCellSpacing w:w="0" w:type="dxa"/>
        </w:trPr>
        <w:tc>
          <w:tcPr>
            <w:tcW w:w="522"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2.</w:t>
            </w:r>
          </w:p>
        </w:tc>
        <w:tc>
          <w:tcPr>
            <w:tcW w:w="2913"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 Citas sabiedrības grupas (bez mērķgrupas), kuras tiesiskais regulējums arī ietekmē vai varētu ietekmēt</w:t>
            </w:r>
          </w:p>
        </w:tc>
        <w:tc>
          <w:tcPr>
            <w:tcW w:w="5666"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ind w:firstLine="251"/>
              <w:jc w:val="both"/>
              <w:rPr>
                <w:rFonts w:asciiTheme="majorHAnsi" w:hAnsiTheme="majorHAnsi" w:cstheme="majorHAnsi"/>
              </w:rPr>
            </w:pPr>
            <w:r w:rsidRPr="00C70F80">
              <w:rPr>
                <w:rFonts w:asciiTheme="majorHAnsi" w:hAnsiTheme="majorHAnsi" w:cstheme="majorHAnsi"/>
              </w:rPr>
              <w:t>Jebkurš civiltiesisko attiecību subjekts, kas vēlas izmantot savas subjektīvās tiesības un piedalīties atklātā izsolē.</w:t>
            </w:r>
          </w:p>
        </w:tc>
      </w:tr>
      <w:tr w:rsidR="002C1667" w:rsidRPr="00C70F80" w:rsidTr="00E153BD">
        <w:trPr>
          <w:trHeight w:val="517"/>
          <w:tblCellSpacing w:w="0" w:type="dxa"/>
        </w:trPr>
        <w:tc>
          <w:tcPr>
            <w:tcW w:w="522"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3.</w:t>
            </w:r>
          </w:p>
        </w:tc>
        <w:tc>
          <w:tcPr>
            <w:tcW w:w="2913"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 Tiesiskā regulējuma finansiālā ietekme</w:t>
            </w:r>
          </w:p>
        </w:tc>
        <w:tc>
          <w:tcPr>
            <w:tcW w:w="5666"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ind w:firstLine="251"/>
              <w:jc w:val="both"/>
              <w:rPr>
                <w:rFonts w:asciiTheme="majorHAnsi" w:hAnsiTheme="majorHAnsi" w:cstheme="majorHAnsi"/>
              </w:rPr>
            </w:pPr>
            <w:r w:rsidRPr="00C70F80">
              <w:rPr>
                <w:rFonts w:asciiTheme="majorHAnsi" w:hAnsiTheme="majorHAnsi" w:cstheme="majorHAnsi"/>
              </w:rPr>
              <w:t>Projekts šo jomu neskar.</w:t>
            </w:r>
          </w:p>
        </w:tc>
      </w:tr>
      <w:tr w:rsidR="002C1667" w:rsidRPr="00C70F80" w:rsidTr="00E153BD">
        <w:trPr>
          <w:trHeight w:val="517"/>
          <w:tblCellSpacing w:w="0" w:type="dxa"/>
        </w:trPr>
        <w:tc>
          <w:tcPr>
            <w:tcW w:w="522"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4.</w:t>
            </w:r>
          </w:p>
        </w:tc>
        <w:tc>
          <w:tcPr>
            <w:tcW w:w="2913"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 Tiesiskā regulējuma nefinansiālā ietekme</w:t>
            </w:r>
          </w:p>
        </w:tc>
        <w:tc>
          <w:tcPr>
            <w:tcW w:w="5666"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ind w:firstLine="251"/>
              <w:rPr>
                <w:rFonts w:asciiTheme="majorHAnsi" w:hAnsiTheme="majorHAnsi" w:cstheme="majorHAnsi"/>
              </w:rPr>
            </w:pPr>
            <w:r w:rsidRPr="00C70F80">
              <w:rPr>
                <w:rFonts w:asciiTheme="majorHAnsi" w:hAnsiTheme="majorHAnsi" w:cstheme="majorHAnsi"/>
              </w:rPr>
              <w:t>Projekts šo jomu neskar.</w:t>
            </w:r>
          </w:p>
        </w:tc>
      </w:tr>
      <w:tr w:rsidR="002C1667" w:rsidRPr="00C70F80" w:rsidTr="00E153BD">
        <w:trPr>
          <w:trHeight w:val="531"/>
          <w:tblCellSpacing w:w="0" w:type="dxa"/>
        </w:trPr>
        <w:tc>
          <w:tcPr>
            <w:tcW w:w="522"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5.</w:t>
            </w:r>
          </w:p>
        </w:tc>
        <w:tc>
          <w:tcPr>
            <w:tcW w:w="2913"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 Administratīvās procedūras raksturojums</w:t>
            </w:r>
          </w:p>
        </w:tc>
        <w:tc>
          <w:tcPr>
            <w:tcW w:w="5666"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pStyle w:val="BodyText"/>
              <w:spacing w:after="0"/>
              <w:ind w:firstLine="251"/>
              <w:jc w:val="both"/>
              <w:rPr>
                <w:rFonts w:asciiTheme="majorHAnsi" w:hAnsiTheme="majorHAnsi" w:cstheme="majorHAnsi"/>
              </w:rPr>
            </w:pPr>
            <w:r w:rsidRPr="00C70F80">
              <w:rPr>
                <w:rFonts w:asciiTheme="majorHAnsi" w:hAnsiTheme="majorHAnsi" w:cstheme="majorHAnsi"/>
              </w:rPr>
              <w:t>Projekts šo jomu neskar.</w:t>
            </w:r>
          </w:p>
        </w:tc>
      </w:tr>
      <w:tr w:rsidR="002C1667" w:rsidRPr="00C70F80" w:rsidTr="00E153BD">
        <w:trPr>
          <w:trHeight w:val="357"/>
          <w:tblCellSpacing w:w="0" w:type="dxa"/>
        </w:trPr>
        <w:tc>
          <w:tcPr>
            <w:tcW w:w="522"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6.</w:t>
            </w:r>
          </w:p>
        </w:tc>
        <w:tc>
          <w:tcPr>
            <w:tcW w:w="2913"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 Administratīvo izmaksu monetārs novērtējums</w:t>
            </w:r>
          </w:p>
        </w:tc>
        <w:tc>
          <w:tcPr>
            <w:tcW w:w="5666"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ind w:firstLine="251"/>
              <w:rPr>
                <w:rFonts w:asciiTheme="majorHAnsi" w:hAnsiTheme="majorHAnsi" w:cstheme="majorHAnsi"/>
              </w:rPr>
            </w:pPr>
            <w:r w:rsidRPr="00C70F80">
              <w:rPr>
                <w:rFonts w:asciiTheme="majorHAnsi" w:hAnsiTheme="majorHAnsi" w:cstheme="majorHAnsi"/>
              </w:rPr>
              <w:t>Projekts šo jomu neskar</w:t>
            </w:r>
          </w:p>
        </w:tc>
      </w:tr>
      <w:tr w:rsidR="002C1667" w:rsidRPr="00C70F80" w:rsidTr="00E153BD">
        <w:trPr>
          <w:tblCellSpacing w:w="0" w:type="dxa"/>
        </w:trPr>
        <w:tc>
          <w:tcPr>
            <w:tcW w:w="522"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7.</w:t>
            </w:r>
          </w:p>
        </w:tc>
        <w:tc>
          <w:tcPr>
            <w:tcW w:w="2913"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rPr>
                <w:rFonts w:asciiTheme="majorHAnsi" w:hAnsiTheme="majorHAnsi" w:cstheme="majorHAnsi"/>
              </w:rPr>
            </w:pPr>
            <w:r w:rsidRPr="00C70F80">
              <w:rPr>
                <w:rFonts w:asciiTheme="majorHAnsi" w:hAnsiTheme="majorHAnsi" w:cstheme="majorHAnsi"/>
              </w:rPr>
              <w:t> Cita informācija</w:t>
            </w:r>
          </w:p>
        </w:tc>
        <w:tc>
          <w:tcPr>
            <w:tcW w:w="5666" w:type="dxa"/>
            <w:tcBorders>
              <w:top w:val="outset" w:sz="6" w:space="0" w:color="auto"/>
              <w:left w:val="outset" w:sz="6" w:space="0" w:color="auto"/>
              <w:bottom w:val="outset" w:sz="6" w:space="0" w:color="auto"/>
              <w:right w:val="outset" w:sz="6" w:space="0" w:color="auto"/>
            </w:tcBorders>
          </w:tcPr>
          <w:p w:rsidR="002C1667" w:rsidRPr="00C70F80" w:rsidRDefault="002C1667" w:rsidP="00E153BD">
            <w:pPr>
              <w:spacing w:before="100" w:beforeAutospacing="1" w:after="100" w:afterAutospacing="1"/>
              <w:ind w:firstLine="251"/>
              <w:rPr>
                <w:rFonts w:asciiTheme="majorHAnsi" w:hAnsiTheme="majorHAnsi" w:cstheme="majorHAnsi"/>
              </w:rPr>
            </w:pPr>
            <w:r w:rsidRPr="00C70F80">
              <w:rPr>
                <w:rFonts w:asciiTheme="majorHAnsi" w:hAnsiTheme="majorHAnsi" w:cstheme="majorHAnsi"/>
              </w:rPr>
              <w:t>Nav</w:t>
            </w:r>
          </w:p>
        </w:tc>
      </w:tr>
    </w:tbl>
    <w:p w:rsidR="002C1667" w:rsidRDefault="002C1667" w:rsidP="002C1667">
      <w:pPr>
        <w:spacing w:before="100" w:beforeAutospacing="1" w:after="100" w:afterAutospacing="1"/>
        <w:rPr>
          <w:rFonts w:asciiTheme="majorHAnsi" w:hAnsiTheme="majorHAnsi" w:cstheme="majorHAnsi"/>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5706E1" w:rsidRPr="005706E1" w:rsidTr="005706E1">
        <w:trPr>
          <w:trHeight w:val="360"/>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b/>
                <w:bCs/>
                <w:lang w:eastAsia="en-US"/>
              </w:rPr>
              <w:t>III. Tiesību akta projekta ietekme uz valsts budžetu un pašvaldību budžetiem</w:t>
            </w:r>
          </w:p>
        </w:tc>
      </w:tr>
      <w:tr w:rsidR="005706E1" w:rsidRPr="005706E1" w:rsidTr="005706E1">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b/>
                <w:bCs/>
                <w:lang w:eastAsia="en-US"/>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b/>
                <w:bCs/>
                <w:lang w:eastAsia="en-US"/>
              </w:rPr>
              <w:t>2014.gads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Turpmākie trīs gadi (</w:t>
            </w:r>
            <w:r w:rsidRPr="005706E1">
              <w:rPr>
                <w:i/>
                <w:lang w:eastAsia="en-US"/>
              </w:rPr>
              <w:t>euro</w:t>
            </w:r>
            <w:r w:rsidRPr="005706E1">
              <w:rPr>
                <w:lang w:eastAsia="en-US"/>
              </w:rPr>
              <w:t>)</w:t>
            </w:r>
          </w:p>
        </w:tc>
      </w:tr>
      <w:tr w:rsidR="005706E1" w:rsidRPr="005706E1" w:rsidTr="005706E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b/>
                <w:bCs/>
                <w:lang w:eastAsia="en-US"/>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b/>
                <w:bCs/>
                <w:lang w:eastAsia="en-US"/>
              </w:rPr>
              <w:t>2016</w:t>
            </w:r>
          </w:p>
        </w:tc>
        <w:tc>
          <w:tcPr>
            <w:tcW w:w="5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b/>
                <w:bCs/>
                <w:lang w:eastAsia="en-US"/>
              </w:rPr>
              <w:t>2017</w:t>
            </w:r>
          </w:p>
        </w:tc>
      </w:tr>
      <w:tr w:rsidR="005706E1" w:rsidRPr="005706E1" w:rsidTr="005706E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saskaņā ar valsts budžetu kārtējam gadam</w:t>
            </w:r>
          </w:p>
        </w:tc>
        <w:tc>
          <w:tcPr>
            <w:tcW w:w="8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izmaiņas, salīdzinot ar kārtējo (n) gadu</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lastRenderedPageBreak/>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before="100" w:beforeAutospacing="1" w:after="100" w:afterAutospacing="1" w:line="254" w:lineRule="auto"/>
              <w:rPr>
                <w:lang w:eastAsia="en-US"/>
              </w:rPr>
            </w:pPr>
            <w:r w:rsidRPr="005706E1">
              <w:rPr>
                <w:lang w:eastAsia="en-US"/>
              </w:rPr>
              <w:t>6</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1. Budžeta ieņēmumi:</w:t>
            </w:r>
          </w:p>
        </w:tc>
        <w:tc>
          <w:tcPr>
            <w:tcW w:w="6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8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60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6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5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2. Budžeta izdevumi:</w:t>
            </w:r>
          </w:p>
        </w:tc>
        <w:tc>
          <w:tcPr>
            <w:tcW w:w="6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8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60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6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5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tcPr>
          <w:p w:rsidR="005706E1" w:rsidRPr="005706E1" w:rsidRDefault="005706E1">
            <w:pPr>
              <w:spacing w:line="254" w:lineRule="auto"/>
              <w:rPr>
                <w:lang w:eastAsia="en-US"/>
              </w:rPr>
            </w:pPr>
          </w:p>
        </w:tc>
        <w:tc>
          <w:tcPr>
            <w:tcW w:w="8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60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6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c>
          <w:tcPr>
            <w:tcW w:w="550" w:type="pct"/>
            <w:tcBorders>
              <w:top w:val="outset" w:sz="6" w:space="0" w:color="auto"/>
              <w:left w:val="outset" w:sz="6" w:space="0" w:color="auto"/>
              <w:bottom w:val="outset" w:sz="6" w:space="0" w:color="auto"/>
              <w:right w:val="outset" w:sz="6" w:space="0" w:color="auto"/>
            </w:tcBorders>
          </w:tcPr>
          <w:p w:rsidR="005706E1" w:rsidRPr="005706E1" w:rsidRDefault="005706E1">
            <w:pPr>
              <w:spacing w:line="254" w:lineRule="auto"/>
              <w:rPr>
                <w:lang w:eastAsia="en-US"/>
              </w:rPr>
            </w:pP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3.1. valsts pamatbudžets</w:t>
            </w:r>
          </w:p>
        </w:tc>
        <w:tc>
          <w:tcPr>
            <w:tcW w:w="650" w:type="pc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line="254" w:lineRule="auto"/>
              <w:rPr>
                <w:lang w:eastAsia="en-US"/>
              </w:rPr>
            </w:pPr>
            <w:r w:rsidRPr="005706E1">
              <w:rPr>
                <w:lang w:eastAsia="en-US"/>
              </w:rPr>
              <w:t> 0</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5706E1" w:rsidRPr="005706E1" w:rsidRDefault="005706E1">
            <w:pPr>
              <w:spacing w:before="100" w:beforeAutospacing="1" w:after="100" w:afterAutospacing="1" w:line="254" w:lineRule="auto"/>
              <w:rPr>
                <w:lang w:eastAsia="en-US"/>
              </w:rPr>
            </w:pPr>
            <w:r w:rsidRPr="005706E1">
              <w:rPr>
                <w:lang w:eastAsia="en-US"/>
              </w:rPr>
              <w:t>X</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+69 058</w:t>
            </w:r>
          </w:p>
        </w:tc>
      </w:tr>
      <w:tr w:rsidR="005706E1" w:rsidRPr="005706E1" w:rsidTr="005706E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5706E1" w:rsidRPr="005706E1" w:rsidRDefault="005706E1">
            <w:pPr>
              <w:spacing w:before="100" w:beforeAutospacing="1" w:after="100" w:afterAutospacing="1" w:line="254" w:lineRule="auto"/>
              <w:rPr>
                <w:lang w:eastAsia="en-US"/>
              </w:rPr>
            </w:pPr>
            <w:r w:rsidRPr="005706E1">
              <w:rPr>
                <w:lang w:eastAsia="en-US"/>
              </w:rPr>
              <w:t>X</w:t>
            </w: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c>
          <w:tcPr>
            <w:tcW w:w="8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6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c>
          <w:tcPr>
            <w:tcW w:w="55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spacing w:line="254" w:lineRule="auto"/>
              <w:rPr>
                <w:lang w:eastAsia="en-US"/>
              </w:rPr>
            </w:pPr>
            <w:r w:rsidRPr="005706E1">
              <w:rPr>
                <w:lang w:eastAsia="en-US"/>
              </w:rPr>
              <w:t> 0</w:t>
            </w: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r>
      <w:tr w:rsidR="005706E1" w:rsidRPr="005706E1" w:rsidTr="005706E1">
        <w:trPr>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706E1" w:rsidRPr="005706E1" w:rsidRDefault="005706E1">
            <w:pPr>
              <w:rPr>
                <w:lang w:eastAsia="en-US"/>
              </w:rPr>
            </w:pPr>
          </w:p>
        </w:tc>
      </w:tr>
      <w:tr w:rsidR="005706E1" w:rsidRPr="005706E1" w:rsidTr="005706E1">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5706E1" w:rsidRPr="005706E1" w:rsidRDefault="005706E1">
            <w:pPr>
              <w:spacing w:line="254" w:lineRule="auto"/>
              <w:rPr>
                <w:lang w:eastAsia="en-US"/>
              </w:rPr>
            </w:pPr>
            <w:r w:rsidRPr="005706E1">
              <w:rPr>
                <w:lang w:eastAsia="en-US"/>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5706E1" w:rsidRPr="005706E1" w:rsidRDefault="005706E1" w:rsidP="005706E1">
            <w:pPr>
              <w:ind w:firstLine="306"/>
              <w:jc w:val="both"/>
              <w:rPr>
                <w:lang w:eastAsia="en-US"/>
              </w:rPr>
            </w:pPr>
            <w:r w:rsidRPr="005706E1">
              <w:rPr>
                <w:rFonts w:asciiTheme="majorHAnsi" w:hAnsiTheme="majorHAnsi" w:cstheme="majorHAnsi"/>
                <w:lang w:eastAsia="en-US"/>
              </w:rPr>
              <w:t xml:space="preserve">VNĪ saskaņā ar Atsavināšanas likuma 47.pantu un Ministru kabineta 2011.gada 1.februāra noteikumu Nr.109 „Kārtība, kādā atsavināma publiskas personas manta” 37.punktu valsts nekustamās mantas atsavināšanā iegūtos līdzekļus ieskaitīs valsts pamatbudžeta ieņēmumu kontā. Šobrīd nav iespējams noteikt summu, kas tiks ieskaitīta valsts budžetā, jo pašlaik nav iespējams noteikt Nekustamo īpašumu pārdošanas vērtību, jo atsavināšana (nosacītās cenas </w:t>
            </w:r>
            <w:r w:rsidRPr="005706E1">
              <w:rPr>
                <w:rFonts w:asciiTheme="majorHAnsi" w:hAnsiTheme="majorHAnsi" w:cstheme="majorHAnsi"/>
                <w:lang w:eastAsia="en-US"/>
              </w:rPr>
              <w:lastRenderedPageBreak/>
              <w:t>noteikšana) tiks organizēta pēc Ministru kabineta rīkojuma izdošanas un tā būs atkarīga no nekustamā īpašuma tirgus vērtības vērtēšanas dienā.</w:t>
            </w:r>
            <w:r w:rsidRPr="005706E1">
              <w:rPr>
                <w:lang w:eastAsia="en-US"/>
              </w:rPr>
              <w:t xml:space="preserve"> Nekustamie īpašumi tiks pārdoti izsolē, tātad budžeta ieņēmumus par no atsavināšanas ieņēmumiem valsts budžetā ieskaitāmo finanšu līdzekļu daļu nav iespējams prognozēt, bet ir zināms, ka valsts budžeta ieņēmumu daļa palielināsies par no atsavināšanas ieņēmumiem valsts budžetā ieskaitāmo finanšu līdzekļu daļu.</w:t>
            </w:r>
          </w:p>
          <w:p w:rsidR="005706E1" w:rsidRPr="005706E1" w:rsidRDefault="005706E1" w:rsidP="005706E1">
            <w:pPr>
              <w:jc w:val="both"/>
              <w:rPr>
                <w:lang w:eastAsia="en-US"/>
              </w:rPr>
            </w:pPr>
            <w:r w:rsidRPr="005706E1">
              <w:rPr>
                <w:lang w:eastAsia="en-US"/>
              </w:rPr>
              <w:t xml:space="preserve">Nododot Nekustamos īpašumus atsavināšanai, IZM maksas pakalpojumi un citi pašu ieņēmumi samazināsies par </w:t>
            </w:r>
            <w:r w:rsidRPr="005706E1">
              <w:rPr>
                <w:rStyle w:val="Strong"/>
                <w:lang w:eastAsia="en-US"/>
              </w:rPr>
              <w:t xml:space="preserve">69 058 </w:t>
            </w:r>
            <w:r w:rsidRPr="005706E1">
              <w:rPr>
                <w:rStyle w:val="Strong"/>
                <w:i/>
                <w:lang w:eastAsia="en-US"/>
              </w:rPr>
              <w:t>euro</w:t>
            </w:r>
            <w:r w:rsidRPr="005706E1">
              <w:rPr>
                <w:rStyle w:val="Strong"/>
                <w:lang w:eastAsia="en-US"/>
              </w:rPr>
              <w:t xml:space="preserve"> ar PVN </w:t>
            </w:r>
            <w:r w:rsidRPr="005706E1">
              <w:rPr>
                <w:lang w:eastAsia="en-US"/>
              </w:rPr>
              <w:t xml:space="preserve">gadā, kas ir faktiskie pašu ieņēmumi par telpu un zemes nomu Lomonosova ielā 1, Rīgā, 2013.gadā, kas līdz šim tika izmantoti IZM administratīvās ēkas Vaļņu ielā 2, Rīgā, uzturēšanas izdevumiem. </w:t>
            </w:r>
          </w:p>
        </w:tc>
      </w:tr>
    </w:tbl>
    <w:p w:rsidR="002C1667" w:rsidRPr="00E3747F" w:rsidRDefault="002C1667" w:rsidP="002C1667">
      <w:pPr>
        <w:spacing w:before="100" w:beforeAutospacing="1" w:after="100" w:afterAutospacing="1"/>
        <w:rPr>
          <w:rFonts w:asciiTheme="majorHAnsi" w:hAnsiTheme="majorHAnsi" w:cstheme="majorHAnsi"/>
        </w:rPr>
      </w:pPr>
      <w:r w:rsidRPr="00E3747F">
        <w:rPr>
          <w:rFonts w:asciiTheme="majorHAnsi" w:hAnsiTheme="majorHAnsi" w:cstheme="majorHAnsi"/>
        </w:rPr>
        <w:lastRenderedPageBreak/>
        <w:t>Anotācijas IV, V un VI sadaļa – rīkojuma projekts šīs jomas neskar.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
        <w:gridCol w:w="2226"/>
        <w:gridCol w:w="6695"/>
      </w:tblGrid>
      <w:tr w:rsidR="002C1667" w:rsidRPr="00EE687A" w:rsidTr="00E153BD">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jc w:val="center"/>
              <w:rPr>
                <w:rFonts w:asciiTheme="majorHAnsi" w:hAnsiTheme="majorHAnsi" w:cstheme="majorHAnsi"/>
                <w:b/>
                <w:bCs/>
                <w:sz w:val="22"/>
                <w:szCs w:val="22"/>
              </w:rPr>
            </w:pPr>
            <w:r w:rsidRPr="00EE687A">
              <w:rPr>
                <w:rFonts w:asciiTheme="majorHAnsi" w:hAnsiTheme="majorHAnsi" w:cstheme="majorHAnsi"/>
                <w:b/>
                <w:bCs/>
                <w:sz w:val="22"/>
                <w:szCs w:val="22"/>
              </w:rPr>
              <w:t>VII. Tiesību akta projekta izpildes nodrošināšana un tās ietekme uz institūcijām</w:t>
            </w:r>
          </w:p>
        </w:tc>
      </w:tr>
      <w:tr w:rsidR="002C1667" w:rsidRPr="00EE687A" w:rsidTr="00E153BD">
        <w:trPr>
          <w:tblCellSpacing w:w="15" w:type="dxa"/>
        </w:trPr>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rPr>
                <w:rFonts w:asciiTheme="majorHAnsi" w:hAnsiTheme="majorHAnsi" w:cstheme="majorHAnsi"/>
                <w:sz w:val="22"/>
                <w:szCs w:val="22"/>
              </w:rPr>
            </w:pPr>
            <w:r w:rsidRPr="00EE687A">
              <w:rPr>
                <w:rFonts w:asciiTheme="majorHAnsi" w:hAnsiTheme="majorHAnsi" w:cstheme="majorHAnsi"/>
                <w:sz w:val="22"/>
                <w:szCs w:val="22"/>
              </w:rPr>
              <w:t>1.</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ind w:firstLine="113"/>
              <w:jc w:val="both"/>
              <w:rPr>
                <w:rFonts w:asciiTheme="majorHAnsi" w:hAnsiTheme="majorHAnsi" w:cstheme="majorHAnsi"/>
                <w:sz w:val="22"/>
                <w:szCs w:val="22"/>
              </w:rPr>
            </w:pPr>
            <w:r w:rsidRPr="00EE687A">
              <w:rPr>
                <w:rFonts w:asciiTheme="majorHAnsi" w:hAnsiTheme="majorHAnsi" w:cstheme="majorHAnsi"/>
                <w:sz w:val="22"/>
                <w:szCs w:val="22"/>
                <w:lang w:eastAsia="lv-LV"/>
              </w:rPr>
              <w:t>Par rīkojuma projekta izpildi atbildīgā ir VNĪ un IZM.</w:t>
            </w:r>
          </w:p>
        </w:tc>
      </w:tr>
      <w:tr w:rsidR="002C1667" w:rsidRPr="00EE687A" w:rsidTr="00E153BD">
        <w:trPr>
          <w:tblCellSpacing w:w="15" w:type="dxa"/>
        </w:trPr>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rPr>
                <w:rFonts w:asciiTheme="majorHAnsi" w:hAnsiTheme="majorHAnsi" w:cstheme="majorHAnsi"/>
                <w:sz w:val="22"/>
                <w:szCs w:val="22"/>
              </w:rPr>
            </w:pPr>
            <w:r w:rsidRPr="00EE687A">
              <w:rPr>
                <w:rFonts w:asciiTheme="majorHAnsi" w:hAnsiTheme="majorHAnsi" w:cstheme="majorHAnsi"/>
                <w:sz w:val="22"/>
                <w:szCs w:val="22"/>
              </w:rPr>
              <w:t>2.</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ind w:firstLine="113"/>
              <w:jc w:val="both"/>
              <w:rPr>
                <w:rFonts w:asciiTheme="majorHAnsi" w:hAnsiTheme="majorHAnsi" w:cstheme="majorHAnsi"/>
                <w:sz w:val="22"/>
                <w:szCs w:val="22"/>
              </w:rPr>
            </w:pPr>
            <w:r w:rsidRPr="00EE687A">
              <w:rPr>
                <w:rFonts w:asciiTheme="majorHAnsi" w:hAnsiTheme="majorHAnsi" w:cstheme="majorHAnsi"/>
                <w:sz w:val="22"/>
                <w:szCs w:val="22"/>
                <w:lang w:eastAsia="lv-LV"/>
              </w:rPr>
              <w:t>Rīkojuma projekta izpilde neietekmē VNĪ funkcijas un uzdevumus, tās netiek paplašinātas vai sašaurinātas.</w:t>
            </w:r>
          </w:p>
        </w:tc>
      </w:tr>
      <w:tr w:rsidR="002C1667" w:rsidRPr="00EE687A" w:rsidTr="00E153BD">
        <w:trPr>
          <w:tblCellSpacing w:w="15" w:type="dxa"/>
        </w:trPr>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rPr>
                <w:rFonts w:asciiTheme="majorHAnsi" w:hAnsiTheme="majorHAnsi" w:cstheme="majorHAnsi"/>
                <w:sz w:val="22"/>
                <w:szCs w:val="22"/>
              </w:rPr>
            </w:pPr>
            <w:r w:rsidRPr="00EE687A">
              <w:rPr>
                <w:rFonts w:asciiTheme="majorHAnsi" w:hAnsiTheme="majorHAnsi" w:cstheme="majorHAnsi"/>
                <w:sz w:val="22"/>
                <w:szCs w:val="22"/>
              </w:rPr>
              <w:t>3.</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Projekta izpildes ietekme uz pārvaldes institucionālo struktūru.</w:t>
            </w:r>
          </w:p>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ind w:firstLine="113"/>
              <w:jc w:val="both"/>
              <w:rPr>
                <w:rFonts w:asciiTheme="majorHAnsi" w:hAnsiTheme="majorHAnsi" w:cstheme="majorHAnsi"/>
                <w:sz w:val="22"/>
                <w:szCs w:val="22"/>
              </w:rPr>
            </w:pPr>
            <w:r w:rsidRPr="00EE687A">
              <w:rPr>
                <w:rFonts w:asciiTheme="majorHAnsi" w:hAnsiTheme="majorHAnsi" w:cstheme="majorHAnsi"/>
                <w:sz w:val="22"/>
                <w:szCs w:val="22"/>
                <w:lang w:eastAsia="lv-LV"/>
              </w:rPr>
              <w:t>Saistībā ar rīkojuma projekta izpildi jaunas institūcijas netiek radītas. Rīkojuma projekta izpildi var nodrošināt esošās institūcijas ietvaros, ar tai pieejamiem resursiem.</w:t>
            </w:r>
          </w:p>
        </w:tc>
      </w:tr>
      <w:tr w:rsidR="002C1667" w:rsidRPr="00EE687A" w:rsidTr="00E153BD">
        <w:trPr>
          <w:tblCellSpacing w:w="15" w:type="dxa"/>
        </w:trPr>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rPr>
                <w:rFonts w:asciiTheme="majorHAnsi" w:hAnsiTheme="majorHAnsi" w:cstheme="majorHAnsi"/>
                <w:sz w:val="22"/>
                <w:szCs w:val="22"/>
              </w:rPr>
            </w:pPr>
            <w:r w:rsidRPr="00EE687A">
              <w:rPr>
                <w:rFonts w:asciiTheme="majorHAnsi" w:hAnsiTheme="majorHAnsi" w:cstheme="majorHAnsi"/>
                <w:sz w:val="22"/>
                <w:szCs w:val="22"/>
              </w:rPr>
              <w:t>4.</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Projekta izpildes ietekme uz pārvaldes institucionālo struktūru.</w:t>
            </w:r>
          </w:p>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ind w:firstLine="113"/>
              <w:rPr>
                <w:rFonts w:asciiTheme="majorHAnsi" w:hAnsiTheme="majorHAnsi" w:cstheme="majorHAnsi"/>
                <w:sz w:val="22"/>
                <w:szCs w:val="22"/>
              </w:rPr>
            </w:pPr>
            <w:r w:rsidRPr="00EE687A">
              <w:rPr>
                <w:rFonts w:asciiTheme="majorHAnsi" w:hAnsiTheme="majorHAnsi" w:cstheme="majorHAnsi"/>
                <w:sz w:val="22"/>
                <w:szCs w:val="22"/>
                <w:lang w:eastAsia="lv-LV"/>
              </w:rPr>
              <w:t>Projekts šo jomu neskar.</w:t>
            </w:r>
          </w:p>
        </w:tc>
      </w:tr>
      <w:tr w:rsidR="002C1667" w:rsidRPr="00EE687A" w:rsidTr="00E153BD">
        <w:trPr>
          <w:tblCellSpacing w:w="15" w:type="dxa"/>
        </w:trPr>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rPr>
                <w:rFonts w:asciiTheme="majorHAnsi" w:hAnsiTheme="majorHAnsi" w:cstheme="majorHAnsi"/>
                <w:sz w:val="22"/>
                <w:szCs w:val="22"/>
              </w:rPr>
            </w:pPr>
            <w:r w:rsidRPr="00EE687A">
              <w:rPr>
                <w:rFonts w:asciiTheme="majorHAnsi" w:hAnsiTheme="majorHAnsi" w:cstheme="majorHAnsi"/>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Projekta izpildes ietekme uz pārvaldes institucionālo struktūru.</w:t>
            </w:r>
          </w:p>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ind w:firstLine="113"/>
              <w:rPr>
                <w:rFonts w:asciiTheme="majorHAnsi" w:hAnsiTheme="majorHAnsi" w:cstheme="majorHAnsi"/>
                <w:sz w:val="22"/>
                <w:szCs w:val="22"/>
              </w:rPr>
            </w:pPr>
            <w:r w:rsidRPr="00EE687A">
              <w:rPr>
                <w:rFonts w:asciiTheme="majorHAnsi" w:hAnsiTheme="majorHAnsi" w:cstheme="majorHAnsi"/>
                <w:sz w:val="22"/>
                <w:szCs w:val="22"/>
                <w:lang w:eastAsia="lv-LV"/>
              </w:rPr>
              <w:t>Projekts šo jomu neskar.</w:t>
            </w:r>
          </w:p>
        </w:tc>
      </w:tr>
      <w:tr w:rsidR="002C1667" w:rsidRPr="00EE687A" w:rsidTr="00E153BD">
        <w:trPr>
          <w:tblCellSpacing w:w="15" w:type="dxa"/>
        </w:trPr>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rPr>
                <w:rFonts w:asciiTheme="majorHAnsi" w:hAnsiTheme="majorHAnsi" w:cstheme="majorHAnsi"/>
                <w:sz w:val="22"/>
                <w:szCs w:val="22"/>
              </w:rPr>
            </w:pPr>
            <w:r w:rsidRPr="00EE687A">
              <w:rPr>
                <w:rFonts w:asciiTheme="majorHAnsi" w:hAnsiTheme="majorHAnsi" w:cstheme="majorHAnsi"/>
                <w:sz w:val="22"/>
                <w:szCs w:val="22"/>
              </w:rPr>
              <w:t>6.</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spacing w:before="0" w:beforeAutospacing="0" w:after="0" w:afterAutospacing="0"/>
              <w:rPr>
                <w:rFonts w:asciiTheme="majorHAnsi" w:hAnsiTheme="majorHAnsi" w:cstheme="majorHAnsi"/>
                <w:sz w:val="22"/>
                <w:szCs w:val="22"/>
              </w:rPr>
            </w:pPr>
            <w:r w:rsidRPr="00EE687A">
              <w:rPr>
                <w:rFonts w:asciiTheme="majorHAnsi" w:hAnsiTheme="majorHAnsi" w:cstheme="majorHAnsi"/>
                <w:sz w:val="22"/>
                <w:szCs w:val="22"/>
              </w:rPr>
              <w:t>Cita informācija</w:t>
            </w:r>
          </w:p>
        </w:tc>
        <w:tc>
          <w:tcPr>
            <w:tcW w:w="0" w:type="auto"/>
            <w:tcBorders>
              <w:top w:val="outset" w:sz="6" w:space="0" w:color="auto"/>
              <w:left w:val="outset" w:sz="6" w:space="0" w:color="auto"/>
              <w:bottom w:val="outset" w:sz="6" w:space="0" w:color="auto"/>
              <w:right w:val="outset" w:sz="6" w:space="0" w:color="auto"/>
            </w:tcBorders>
          </w:tcPr>
          <w:p w:rsidR="002C1667" w:rsidRPr="00EE687A" w:rsidRDefault="002C1667" w:rsidP="00E153BD">
            <w:pPr>
              <w:pStyle w:val="NormalWeb"/>
              <w:ind w:firstLine="113"/>
              <w:jc w:val="both"/>
              <w:rPr>
                <w:rFonts w:asciiTheme="majorHAnsi" w:hAnsiTheme="majorHAnsi" w:cstheme="majorHAnsi"/>
                <w:sz w:val="22"/>
                <w:szCs w:val="22"/>
                <w:lang w:eastAsia="lv-LV"/>
              </w:rPr>
            </w:pPr>
            <w:r w:rsidRPr="00EE687A">
              <w:rPr>
                <w:rFonts w:asciiTheme="majorHAnsi" w:hAnsiTheme="majorHAnsi" w:cstheme="majorHAnsi"/>
                <w:sz w:val="22"/>
                <w:szCs w:val="22"/>
                <w:lang w:eastAsia="lv-LV"/>
              </w:rPr>
              <w:t xml:space="preserve">Saskaņā ar Oficiālo publikāciju un tiesiskās informācijas likuma 2. panta pirmo daļu un 3. panta pirmo daļu tiesību aktus publicē oficiālajā izdevumā „Latvijas Vēstnesis”, tos ievietojot elektroniski tīmekļa vietnē www.vestnesis.lv, kā arī būs pieejams bezmaksas normatīvo aktu bāzē </w:t>
            </w:r>
            <w:hyperlink r:id="rId8" w:history="1">
              <w:r w:rsidRPr="00EE687A">
                <w:rPr>
                  <w:rFonts w:asciiTheme="majorHAnsi" w:hAnsiTheme="majorHAnsi" w:cstheme="majorHAnsi"/>
                  <w:sz w:val="22"/>
                  <w:szCs w:val="22"/>
                  <w:lang w:eastAsia="lv-LV"/>
                </w:rPr>
                <w:t>www.likumi.lv</w:t>
              </w:r>
            </w:hyperlink>
            <w:r w:rsidRPr="00EE687A">
              <w:rPr>
                <w:rFonts w:asciiTheme="majorHAnsi" w:hAnsiTheme="majorHAnsi" w:cstheme="majorHAnsi"/>
                <w:sz w:val="22"/>
                <w:szCs w:val="22"/>
                <w:lang w:eastAsia="lv-LV"/>
              </w:rPr>
              <w:t>.</w:t>
            </w:r>
          </w:p>
        </w:tc>
      </w:tr>
    </w:tbl>
    <w:p w:rsidR="002C1667" w:rsidRPr="002E009A" w:rsidRDefault="002C1667" w:rsidP="002C1667">
      <w:pPr>
        <w:pStyle w:val="BodyTextIndent"/>
        <w:ind w:left="0"/>
        <w:rPr>
          <w:rFonts w:asciiTheme="majorHAnsi" w:hAnsiTheme="majorHAnsi" w:cstheme="majorHAnsi"/>
        </w:rPr>
      </w:pPr>
    </w:p>
    <w:p w:rsidR="002E009A" w:rsidRPr="002E009A" w:rsidRDefault="002E009A" w:rsidP="002E009A">
      <w:pPr>
        <w:pStyle w:val="PlainText"/>
        <w:tabs>
          <w:tab w:val="left" w:pos="7200"/>
          <w:tab w:val="right" w:pos="9072"/>
        </w:tabs>
        <w:jc w:val="both"/>
        <w:rPr>
          <w:rFonts w:ascii="Times New Roman" w:hAnsi="Times New Roman"/>
          <w:sz w:val="24"/>
          <w:szCs w:val="24"/>
          <w:lang w:val="lv-LV"/>
        </w:rPr>
      </w:pPr>
      <w:r w:rsidRPr="002E009A">
        <w:rPr>
          <w:rFonts w:ascii="Times New Roman" w:hAnsi="Times New Roman"/>
          <w:sz w:val="24"/>
          <w:szCs w:val="24"/>
        </w:rPr>
        <w:t>Finanšu ministr</w:t>
      </w:r>
      <w:r w:rsidRPr="002E009A">
        <w:rPr>
          <w:rFonts w:ascii="Times New Roman" w:hAnsi="Times New Roman"/>
          <w:sz w:val="24"/>
          <w:szCs w:val="24"/>
          <w:lang w:val="lv-LV"/>
        </w:rPr>
        <w:t>a vietā-</w:t>
      </w:r>
    </w:p>
    <w:p w:rsidR="002E009A" w:rsidRPr="002E009A" w:rsidRDefault="002E009A" w:rsidP="002E009A">
      <w:pPr>
        <w:pStyle w:val="PlainText"/>
        <w:tabs>
          <w:tab w:val="left" w:pos="7200"/>
          <w:tab w:val="right" w:pos="9072"/>
        </w:tabs>
        <w:jc w:val="both"/>
        <w:rPr>
          <w:rFonts w:ascii="Times New Roman" w:hAnsi="Times New Roman"/>
          <w:bCs/>
          <w:sz w:val="24"/>
          <w:szCs w:val="24"/>
          <w:lang w:val="lv-LV"/>
        </w:rPr>
      </w:pPr>
      <w:r w:rsidRPr="002E009A">
        <w:rPr>
          <w:rFonts w:ascii="Times New Roman" w:hAnsi="Times New Roman"/>
          <w:sz w:val="24"/>
          <w:szCs w:val="24"/>
          <w:lang w:val="lv-LV"/>
        </w:rPr>
        <w:t>Iekšlietu ministrs</w:t>
      </w:r>
      <w:r w:rsidRPr="002E009A">
        <w:rPr>
          <w:rFonts w:ascii="Times New Roman" w:hAnsi="Times New Roman"/>
          <w:bCs/>
          <w:sz w:val="24"/>
          <w:szCs w:val="24"/>
        </w:rPr>
        <w:tab/>
      </w:r>
      <w:r w:rsidRPr="002E009A">
        <w:rPr>
          <w:rFonts w:ascii="Times New Roman" w:hAnsi="Times New Roman"/>
          <w:bCs/>
          <w:sz w:val="24"/>
          <w:szCs w:val="24"/>
          <w:lang w:val="lv-LV"/>
        </w:rPr>
        <w:t>R.Kozlovskis</w:t>
      </w:r>
    </w:p>
    <w:p w:rsidR="002C1667" w:rsidRPr="00E3747F" w:rsidRDefault="002E009A" w:rsidP="002C1667">
      <w:pPr>
        <w:ind w:right="611"/>
        <w:rPr>
          <w:rFonts w:asciiTheme="majorHAnsi" w:hAnsiTheme="majorHAnsi" w:cstheme="majorHAnsi"/>
          <w:sz w:val="20"/>
          <w:szCs w:val="20"/>
        </w:rPr>
      </w:pPr>
      <w:r>
        <w:rPr>
          <w:rFonts w:asciiTheme="majorHAnsi" w:hAnsiTheme="majorHAnsi" w:cstheme="majorHAnsi"/>
          <w:sz w:val="20"/>
          <w:szCs w:val="20"/>
        </w:rPr>
        <w:t>28</w:t>
      </w:r>
      <w:r w:rsidR="001961B8">
        <w:rPr>
          <w:rFonts w:asciiTheme="majorHAnsi" w:hAnsiTheme="majorHAnsi" w:cstheme="majorHAnsi"/>
          <w:sz w:val="20"/>
          <w:szCs w:val="20"/>
        </w:rPr>
        <w:t>.07</w:t>
      </w:r>
      <w:r w:rsidR="002C1667" w:rsidRPr="00E3747F">
        <w:rPr>
          <w:rFonts w:asciiTheme="majorHAnsi" w:hAnsiTheme="majorHAnsi" w:cstheme="majorHAnsi"/>
          <w:sz w:val="20"/>
          <w:szCs w:val="20"/>
        </w:rPr>
        <w:t>.2014.</w:t>
      </w:r>
      <w:r>
        <w:rPr>
          <w:rFonts w:asciiTheme="majorHAnsi" w:hAnsiTheme="majorHAnsi" w:cstheme="majorHAnsi"/>
          <w:sz w:val="20"/>
          <w:szCs w:val="20"/>
        </w:rPr>
        <w:t>15:13</w:t>
      </w:r>
    </w:p>
    <w:p w:rsidR="002C1667" w:rsidRPr="00E3747F" w:rsidRDefault="002E009A" w:rsidP="002C1667">
      <w:pPr>
        <w:ind w:right="611"/>
        <w:rPr>
          <w:rFonts w:asciiTheme="majorHAnsi" w:hAnsiTheme="majorHAnsi" w:cstheme="majorHAnsi"/>
          <w:sz w:val="20"/>
          <w:szCs w:val="20"/>
        </w:rPr>
      </w:pPr>
      <w:r>
        <w:rPr>
          <w:rFonts w:asciiTheme="majorHAnsi" w:hAnsiTheme="majorHAnsi" w:cstheme="majorHAnsi"/>
          <w:sz w:val="20"/>
          <w:szCs w:val="20"/>
        </w:rPr>
        <w:t>2581</w:t>
      </w:r>
    </w:p>
    <w:p w:rsidR="002C1667" w:rsidRPr="00E3747F" w:rsidRDefault="002C1667" w:rsidP="002C1667">
      <w:pPr>
        <w:ind w:right="611"/>
        <w:rPr>
          <w:rFonts w:asciiTheme="majorHAnsi" w:hAnsiTheme="majorHAnsi" w:cstheme="majorHAnsi"/>
          <w:sz w:val="20"/>
          <w:szCs w:val="20"/>
        </w:rPr>
      </w:pPr>
      <w:r w:rsidRPr="00E3747F">
        <w:rPr>
          <w:rFonts w:asciiTheme="majorHAnsi" w:hAnsiTheme="majorHAnsi" w:cstheme="majorHAnsi"/>
          <w:sz w:val="20"/>
          <w:szCs w:val="20"/>
        </w:rPr>
        <w:t>S.Lūse 67024904</w:t>
      </w:r>
    </w:p>
    <w:p w:rsidR="00476B76" w:rsidRPr="004E0771" w:rsidRDefault="005C581B" w:rsidP="004E0771">
      <w:pPr>
        <w:ind w:right="611"/>
        <w:rPr>
          <w:rFonts w:asciiTheme="majorHAnsi" w:hAnsiTheme="majorHAnsi" w:cstheme="majorHAnsi"/>
        </w:rPr>
      </w:pPr>
      <w:hyperlink r:id="rId9" w:history="1">
        <w:r w:rsidR="002C1667" w:rsidRPr="00E3747F">
          <w:rPr>
            <w:rStyle w:val="Hyperlink"/>
            <w:rFonts w:asciiTheme="majorHAnsi" w:hAnsiTheme="majorHAnsi" w:cstheme="majorHAnsi"/>
            <w:color w:val="auto"/>
            <w:sz w:val="20"/>
            <w:szCs w:val="20"/>
          </w:rPr>
          <w:t>Santa.Luse@vni.lv</w:t>
        </w:r>
      </w:hyperlink>
      <w:r w:rsidR="002C1667" w:rsidRPr="00E3747F">
        <w:rPr>
          <w:rFonts w:asciiTheme="majorHAnsi" w:hAnsiTheme="majorHAnsi" w:cstheme="majorHAnsi"/>
        </w:rPr>
        <w:tab/>
      </w:r>
    </w:p>
    <w:sectPr w:rsidR="00476B76" w:rsidRPr="004E0771" w:rsidSect="00F366E4">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1B" w:rsidRDefault="005C581B">
      <w:r>
        <w:separator/>
      </w:r>
    </w:p>
  </w:endnote>
  <w:endnote w:type="continuationSeparator" w:id="0">
    <w:p w:rsidR="005C581B" w:rsidRDefault="005C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B4" w:rsidRDefault="00891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Pr="009E423A" w:rsidRDefault="003F0070" w:rsidP="009E423A">
    <w:pPr>
      <w:jc w:val="center"/>
      <w:rPr>
        <w:rFonts w:asciiTheme="majorHAnsi" w:hAnsiTheme="majorHAnsi" w:cstheme="majorHAnsi"/>
        <w:sz w:val="20"/>
        <w:szCs w:val="20"/>
      </w:rPr>
    </w:pPr>
    <w:r w:rsidRPr="009E423A">
      <w:rPr>
        <w:sz w:val="20"/>
        <w:szCs w:val="20"/>
      </w:rPr>
      <w:t>FManot_</w:t>
    </w:r>
    <w:r w:rsidR="008912B4">
      <w:rPr>
        <w:sz w:val="20"/>
        <w:szCs w:val="20"/>
      </w:rPr>
      <w:t>1706</w:t>
    </w:r>
    <w:r>
      <w:rPr>
        <w:sz w:val="20"/>
        <w:szCs w:val="20"/>
      </w:rPr>
      <w:t>14</w:t>
    </w:r>
    <w:r w:rsidRPr="009E423A">
      <w:rPr>
        <w:sz w:val="20"/>
        <w:szCs w:val="20"/>
      </w:rPr>
      <w:t xml:space="preserve">_RLomonosova; </w:t>
    </w:r>
    <w:r w:rsidRPr="009E423A">
      <w:rPr>
        <w:rFonts w:asciiTheme="majorHAnsi" w:hAnsiTheme="majorHAnsi" w:cstheme="majorHAnsi"/>
        <w:sz w:val="20"/>
        <w:szCs w:val="20"/>
      </w:rPr>
      <w:t>Ministru kabineta rīkojuma projekta</w:t>
    </w:r>
    <w:r>
      <w:rPr>
        <w:rFonts w:asciiTheme="majorHAnsi" w:hAnsiTheme="majorHAnsi" w:cstheme="majorHAnsi"/>
        <w:sz w:val="20"/>
        <w:szCs w:val="20"/>
      </w:rPr>
      <w:t xml:space="preserve"> </w:t>
    </w:r>
    <w:r w:rsidRPr="009E423A">
      <w:rPr>
        <w:rFonts w:asciiTheme="majorHAnsi" w:hAnsiTheme="majorHAnsi" w:cstheme="majorHAnsi"/>
        <w:bCs/>
        <w:sz w:val="20"/>
        <w:szCs w:val="20"/>
      </w:rPr>
      <w:t>„</w:t>
    </w:r>
    <w:r w:rsidRPr="009E423A">
      <w:rPr>
        <w:rFonts w:asciiTheme="majorHAnsi" w:hAnsiTheme="majorHAnsi" w:cstheme="majorHAnsi"/>
        <w:sz w:val="20"/>
        <w:szCs w:val="20"/>
      </w:rPr>
      <w:t>Par valsts nekustamās mantas  Lomonosova ielā, Rīgā, pārdošanu</w:t>
    </w:r>
    <w:r w:rsidRPr="009E423A">
      <w:rPr>
        <w:rFonts w:asciiTheme="majorHAnsi" w:hAnsiTheme="majorHAnsi" w:cstheme="majorHAnsi"/>
        <w:bCs/>
        <w:sz w:val="20"/>
        <w:szCs w:val="20"/>
      </w:rPr>
      <w:t>”</w:t>
    </w:r>
    <w:r>
      <w:rPr>
        <w:rFonts w:asciiTheme="majorHAnsi" w:hAnsiTheme="majorHAnsi" w:cstheme="majorHAnsi"/>
        <w:sz w:val="20"/>
        <w:szCs w:val="20"/>
      </w:rPr>
      <w:t xml:space="preserve"> </w:t>
    </w:r>
    <w:r w:rsidRPr="009E423A">
      <w:rPr>
        <w:rFonts w:asciiTheme="majorHAnsi" w:hAnsiTheme="majorHAnsi" w:cstheme="majorHAnsi"/>
        <w:sz w:val="20"/>
        <w:szCs w:val="20"/>
      </w:rPr>
      <w:t>sākotnējās ietekmes novērtējuma ziņojums (anotācija)</w:t>
    </w:r>
    <w:r w:rsidRPr="009E423A">
      <w:rPr>
        <w:rFonts w:asciiTheme="majorHAnsi" w:hAnsiTheme="majorHAnsi" w:cstheme="majorHAnsi"/>
        <w:color w:val="00000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E6" w:rsidRPr="009E423A" w:rsidRDefault="003F0070" w:rsidP="009E423A">
    <w:pPr>
      <w:jc w:val="center"/>
      <w:rPr>
        <w:rFonts w:asciiTheme="majorHAnsi" w:hAnsiTheme="majorHAnsi" w:cstheme="majorHAnsi"/>
        <w:sz w:val="20"/>
        <w:szCs w:val="20"/>
      </w:rPr>
    </w:pPr>
    <w:r w:rsidRPr="009E423A">
      <w:rPr>
        <w:sz w:val="20"/>
        <w:szCs w:val="20"/>
      </w:rPr>
      <w:t>FManot_</w:t>
    </w:r>
    <w:r w:rsidR="008912B4">
      <w:rPr>
        <w:sz w:val="20"/>
        <w:szCs w:val="20"/>
      </w:rPr>
      <w:t>170614</w:t>
    </w:r>
    <w:r w:rsidRPr="009E423A">
      <w:rPr>
        <w:sz w:val="20"/>
        <w:szCs w:val="20"/>
      </w:rPr>
      <w:t xml:space="preserve">_RLomonosova; </w:t>
    </w:r>
    <w:r w:rsidRPr="009E423A">
      <w:rPr>
        <w:rFonts w:asciiTheme="majorHAnsi" w:hAnsiTheme="majorHAnsi" w:cstheme="majorHAnsi"/>
        <w:sz w:val="20"/>
        <w:szCs w:val="20"/>
      </w:rPr>
      <w:t>Ministru kabineta rīkojuma projekta</w:t>
    </w:r>
    <w:r>
      <w:rPr>
        <w:rFonts w:asciiTheme="majorHAnsi" w:hAnsiTheme="majorHAnsi" w:cstheme="majorHAnsi"/>
        <w:sz w:val="20"/>
        <w:szCs w:val="20"/>
      </w:rPr>
      <w:t xml:space="preserve"> </w:t>
    </w:r>
    <w:r w:rsidRPr="009E423A">
      <w:rPr>
        <w:rFonts w:asciiTheme="majorHAnsi" w:hAnsiTheme="majorHAnsi" w:cstheme="majorHAnsi"/>
        <w:bCs/>
        <w:sz w:val="20"/>
        <w:szCs w:val="20"/>
      </w:rPr>
      <w:t>„</w:t>
    </w:r>
    <w:r w:rsidRPr="009E423A">
      <w:rPr>
        <w:rFonts w:asciiTheme="majorHAnsi" w:hAnsiTheme="majorHAnsi" w:cstheme="majorHAnsi"/>
        <w:sz w:val="20"/>
        <w:szCs w:val="20"/>
      </w:rPr>
      <w:t>Par valsts nekustamās mantas  Lomonosova ielā, Rīgā, pārdošanu</w:t>
    </w:r>
    <w:r w:rsidRPr="009E423A">
      <w:rPr>
        <w:rFonts w:asciiTheme="majorHAnsi" w:hAnsiTheme="majorHAnsi" w:cstheme="majorHAnsi"/>
        <w:bCs/>
        <w:sz w:val="20"/>
        <w:szCs w:val="20"/>
      </w:rPr>
      <w:t>”</w:t>
    </w:r>
    <w:r>
      <w:rPr>
        <w:rFonts w:asciiTheme="majorHAnsi" w:hAnsiTheme="majorHAnsi" w:cstheme="majorHAnsi"/>
        <w:sz w:val="20"/>
        <w:szCs w:val="20"/>
      </w:rPr>
      <w:t xml:space="preserve"> </w:t>
    </w:r>
    <w:r w:rsidRPr="009E423A">
      <w:rPr>
        <w:rFonts w:asciiTheme="majorHAnsi" w:hAnsiTheme="majorHAnsi" w:cstheme="majorHAnsi"/>
        <w:sz w:val="20"/>
        <w:szCs w:val="20"/>
      </w:rPr>
      <w:t>sākotnējās ietekmes novērtējuma ziņojums (anotācija)</w:t>
    </w:r>
    <w:r w:rsidRPr="009E423A">
      <w:rPr>
        <w:rFonts w:asciiTheme="majorHAnsi" w:hAnsiTheme="majorHAnsi" w:cstheme="majorHAnsi"/>
        <w:color w:val="000000"/>
        <w:sz w:val="20"/>
        <w:szCs w:val="20"/>
      </w:rPr>
      <w:t xml:space="preserve"> </w:t>
    </w:r>
  </w:p>
  <w:p w:rsidR="00E04E09" w:rsidRPr="00D46672" w:rsidRDefault="005C581B" w:rsidP="00D46672">
    <w:pPr>
      <w:jc w:val="center"/>
      <w:rPr>
        <w:rFonts w:asciiTheme="majorHAnsi" w:hAnsiTheme="majorHAnsi" w:cstheme="majorHAnsi"/>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1B" w:rsidRDefault="005C581B">
      <w:r>
        <w:separator/>
      </w:r>
    </w:p>
  </w:footnote>
  <w:footnote w:type="continuationSeparator" w:id="0">
    <w:p w:rsidR="005C581B" w:rsidRDefault="005C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3F0070"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E09" w:rsidRDefault="005C5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3F0070"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84D">
      <w:rPr>
        <w:rStyle w:val="PageNumber"/>
        <w:noProof/>
      </w:rPr>
      <w:t>8</w:t>
    </w:r>
    <w:r>
      <w:rPr>
        <w:rStyle w:val="PageNumber"/>
      </w:rPr>
      <w:fldChar w:fldCharType="end"/>
    </w:r>
  </w:p>
  <w:p w:rsidR="00E04E09" w:rsidRDefault="005C5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B4" w:rsidRDefault="00891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86627"/>
    <w:multiLevelType w:val="hybridMultilevel"/>
    <w:tmpl w:val="50DC8E92"/>
    <w:lvl w:ilvl="0" w:tplc="65061768">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67"/>
    <w:rsid w:val="000E6772"/>
    <w:rsid w:val="000F7A60"/>
    <w:rsid w:val="0016072C"/>
    <w:rsid w:val="001961B8"/>
    <w:rsid w:val="001B6413"/>
    <w:rsid w:val="002419FF"/>
    <w:rsid w:val="002A7600"/>
    <w:rsid w:val="002B6274"/>
    <w:rsid w:val="002C1667"/>
    <w:rsid w:val="002E009A"/>
    <w:rsid w:val="00331E25"/>
    <w:rsid w:val="003642FC"/>
    <w:rsid w:val="003720E3"/>
    <w:rsid w:val="0037384D"/>
    <w:rsid w:val="003F0070"/>
    <w:rsid w:val="003F3A23"/>
    <w:rsid w:val="00476B76"/>
    <w:rsid w:val="004E0771"/>
    <w:rsid w:val="005706E1"/>
    <w:rsid w:val="005C581B"/>
    <w:rsid w:val="006B6ECD"/>
    <w:rsid w:val="006D2AD5"/>
    <w:rsid w:val="00706300"/>
    <w:rsid w:val="0075566C"/>
    <w:rsid w:val="007B7CCB"/>
    <w:rsid w:val="007F718B"/>
    <w:rsid w:val="0082280B"/>
    <w:rsid w:val="008912B4"/>
    <w:rsid w:val="00910812"/>
    <w:rsid w:val="00AB75B6"/>
    <w:rsid w:val="00BF3FAC"/>
    <w:rsid w:val="00C44A11"/>
    <w:rsid w:val="00D96FE2"/>
    <w:rsid w:val="00EC0247"/>
    <w:rsid w:val="00EE687A"/>
    <w:rsid w:val="00F13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4FDCF-4889-4D9B-81A5-DB7FACB2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6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1667"/>
    <w:pPr>
      <w:tabs>
        <w:tab w:val="center" w:pos="4153"/>
        <w:tab w:val="right" w:pos="8306"/>
      </w:tabs>
    </w:pPr>
  </w:style>
  <w:style w:type="character" w:customStyle="1" w:styleId="HeaderChar">
    <w:name w:val="Header Char"/>
    <w:basedOn w:val="DefaultParagraphFont"/>
    <w:link w:val="Header"/>
    <w:rsid w:val="002C1667"/>
    <w:rPr>
      <w:rFonts w:ascii="Times New Roman" w:eastAsia="Times New Roman" w:hAnsi="Times New Roman" w:cs="Times New Roman"/>
      <w:sz w:val="24"/>
      <w:szCs w:val="24"/>
      <w:lang w:eastAsia="lv-LV"/>
    </w:rPr>
  </w:style>
  <w:style w:type="paragraph" w:styleId="NormalWeb">
    <w:name w:val="Normal (Web)"/>
    <w:basedOn w:val="Normal"/>
    <w:rsid w:val="002C1667"/>
    <w:pPr>
      <w:spacing w:before="100" w:beforeAutospacing="1" w:after="100" w:afterAutospacing="1"/>
    </w:pPr>
    <w:rPr>
      <w:szCs w:val="20"/>
      <w:lang w:eastAsia="en-US"/>
    </w:rPr>
  </w:style>
  <w:style w:type="paragraph" w:styleId="BodyTextIndent">
    <w:name w:val="Body Text Indent"/>
    <w:basedOn w:val="Normal"/>
    <w:link w:val="BodyTextIndentChar"/>
    <w:rsid w:val="002C1667"/>
    <w:pPr>
      <w:spacing w:after="120"/>
      <w:ind w:left="283"/>
    </w:pPr>
  </w:style>
  <w:style w:type="character" w:customStyle="1" w:styleId="BodyTextIndentChar">
    <w:name w:val="Body Text Indent Char"/>
    <w:basedOn w:val="DefaultParagraphFont"/>
    <w:link w:val="BodyTextIndent"/>
    <w:rsid w:val="002C1667"/>
    <w:rPr>
      <w:rFonts w:ascii="Times New Roman" w:eastAsia="Times New Roman" w:hAnsi="Times New Roman" w:cs="Times New Roman"/>
      <w:sz w:val="24"/>
      <w:szCs w:val="24"/>
      <w:lang w:eastAsia="lv-LV"/>
    </w:rPr>
  </w:style>
  <w:style w:type="character" w:styleId="Hyperlink">
    <w:name w:val="Hyperlink"/>
    <w:rsid w:val="002C1667"/>
    <w:rPr>
      <w:color w:val="0000FF"/>
      <w:u w:val="single"/>
    </w:rPr>
  </w:style>
  <w:style w:type="character" w:styleId="PageNumber">
    <w:name w:val="page number"/>
    <w:basedOn w:val="DefaultParagraphFont"/>
    <w:rsid w:val="002C1667"/>
  </w:style>
  <w:style w:type="paragraph" w:styleId="BodyText">
    <w:name w:val="Body Text"/>
    <w:basedOn w:val="Normal"/>
    <w:link w:val="BodyTextChar"/>
    <w:rsid w:val="002C1667"/>
    <w:pPr>
      <w:spacing w:after="120"/>
    </w:pPr>
  </w:style>
  <w:style w:type="character" w:customStyle="1" w:styleId="BodyTextChar">
    <w:name w:val="Body Text Char"/>
    <w:basedOn w:val="DefaultParagraphFont"/>
    <w:link w:val="BodyText"/>
    <w:rsid w:val="002C1667"/>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C1667"/>
    <w:rPr>
      <w:b/>
      <w:bCs/>
    </w:rPr>
  </w:style>
  <w:style w:type="paragraph" w:styleId="ListParagraph">
    <w:name w:val="List Paragraph"/>
    <w:basedOn w:val="Normal"/>
    <w:uiPriority w:val="34"/>
    <w:qFormat/>
    <w:rsid w:val="003F3A23"/>
    <w:pPr>
      <w:ind w:left="720"/>
      <w:contextualSpacing/>
    </w:pPr>
  </w:style>
  <w:style w:type="paragraph" w:styleId="Footer">
    <w:name w:val="footer"/>
    <w:basedOn w:val="Normal"/>
    <w:link w:val="FooterChar"/>
    <w:uiPriority w:val="99"/>
    <w:unhideWhenUsed/>
    <w:rsid w:val="008912B4"/>
    <w:pPr>
      <w:tabs>
        <w:tab w:val="center" w:pos="4153"/>
        <w:tab w:val="right" w:pos="8306"/>
      </w:tabs>
    </w:pPr>
  </w:style>
  <w:style w:type="character" w:customStyle="1" w:styleId="FooterChar">
    <w:name w:val="Footer Char"/>
    <w:basedOn w:val="DefaultParagraphFont"/>
    <w:link w:val="Footer"/>
    <w:uiPriority w:val="99"/>
    <w:rsid w:val="008912B4"/>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2E009A"/>
    <w:pPr>
      <w:snapToGrid w:val="0"/>
    </w:pPr>
    <w:rPr>
      <w:rFonts w:ascii="Courier New" w:hAnsi="Courier New"/>
      <w:sz w:val="28"/>
      <w:szCs w:val="20"/>
      <w:lang w:val="x-none" w:eastAsia="en-US"/>
    </w:rPr>
  </w:style>
  <w:style w:type="character" w:customStyle="1" w:styleId="PlainTextChar">
    <w:name w:val="Plain Text Char"/>
    <w:basedOn w:val="DefaultParagraphFont"/>
    <w:link w:val="PlainText"/>
    <w:uiPriority w:val="99"/>
    <w:semiHidden/>
    <w:rsid w:val="002E009A"/>
    <w:rPr>
      <w:rFonts w:ascii="Courier New" w:eastAsia="Times New Roman" w:hAnsi="Courier New" w:cs="Times New Roman"/>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1616523339">
      <w:bodyDiv w:val="1"/>
      <w:marLeft w:val="0"/>
      <w:marRight w:val="0"/>
      <w:marTop w:val="0"/>
      <w:marBottom w:val="0"/>
      <w:divBdr>
        <w:top w:val="none" w:sz="0" w:space="0" w:color="auto"/>
        <w:left w:val="none" w:sz="0" w:space="0" w:color="auto"/>
        <w:bottom w:val="none" w:sz="0" w:space="0" w:color="auto"/>
        <w:right w:val="none" w:sz="0" w:space="0" w:color="auto"/>
      </w:divBdr>
    </w:div>
    <w:div w:id="1745372381">
      <w:bodyDiv w:val="1"/>
      <w:marLeft w:val="0"/>
      <w:marRight w:val="0"/>
      <w:marTop w:val="0"/>
      <w:marBottom w:val="0"/>
      <w:divBdr>
        <w:top w:val="none" w:sz="0" w:space="0" w:color="auto"/>
        <w:left w:val="none" w:sz="0" w:space="0" w:color="auto"/>
        <w:bottom w:val="none" w:sz="0" w:space="0" w:color="auto"/>
        <w:right w:val="none" w:sz="0" w:space="0" w:color="auto"/>
      </w:divBdr>
    </w:div>
    <w:div w:id="17796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nais.lv/naiser/text.cfm?&amp;KEY=0101011937012832773&amp;waiting=Yes&amp;RequestTimeout=50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ta.Luse@vn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12918</Words>
  <Characters>7364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Anotācija</dc:subject>
  <dc:creator>Santa Lūse</dc:creator>
  <cp:keywords>Par valsts nekustamās mantas Lomonosova ielā , Rīgā, pārdošanu</cp:keywords>
  <dc:description>67024904, Santa.Luse@vni.lv</dc:description>
  <cp:lastModifiedBy>Liene Strēlniece</cp:lastModifiedBy>
  <cp:revision>30</cp:revision>
  <dcterms:created xsi:type="dcterms:W3CDTF">2014-06-17T07:26:00Z</dcterms:created>
  <dcterms:modified xsi:type="dcterms:W3CDTF">2014-08-06T09:37:00Z</dcterms:modified>
</cp:coreProperties>
</file>