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87" w:rsidRPr="00927E3E" w:rsidRDefault="00181687" w:rsidP="005D4877">
      <w:pPr>
        <w:pStyle w:val="naislab"/>
        <w:spacing w:before="0"/>
        <w:jc w:val="center"/>
        <w:outlineLvl w:val="0"/>
        <w:rPr>
          <w:b/>
          <w:sz w:val="28"/>
          <w:szCs w:val="28"/>
        </w:rPr>
      </w:pPr>
      <w:bookmarkStart w:id="0" w:name="_GoBack"/>
      <w:bookmarkEnd w:id="0"/>
      <w:r w:rsidRPr="00927E3E">
        <w:rPr>
          <w:b/>
          <w:sz w:val="28"/>
          <w:szCs w:val="28"/>
        </w:rPr>
        <w:t xml:space="preserve"> Ministru kabineta noteikumu </w:t>
      </w:r>
      <w:r w:rsidR="009C618C" w:rsidRPr="00927E3E">
        <w:rPr>
          <w:b/>
          <w:sz w:val="28"/>
          <w:szCs w:val="28"/>
        </w:rPr>
        <w:t>proj</w:t>
      </w:r>
      <w:r w:rsidRPr="00927E3E">
        <w:rPr>
          <w:b/>
          <w:sz w:val="28"/>
          <w:szCs w:val="28"/>
        </w:rPr>
        <w:t>ekta „</w:t>
      </w:r>
      <w:r w:rsidR="00927E3E" w:rsidRPr="00927E3E">
        <w:rPr>
          <w:b/>
          <w:sz w:val="28"/>
          <w:szCs w:val="28"/>
        </w:rPr>
        <w:t xml:space="preserve">Biometrijas datu </w:t>
      </w:r>
      <w:r w:rsidR="00AA7B8F">
        <w:rPr>
          <w:b/>
          <w:sz w:val="28"/>
          <w:szCs w:val="28"/>
        </w:rPr>
        <w:t>apstrādes s</w:t>
      </w:r>
      <w:r w:rsidRPr="00927E3E">
        <w:rPr>
          <w:b/>
          <w:sz w:val="28"/>
          <w:szCs w:val="28"/>
        </w:rPr>
        <w:t xml:space="preserve">istēmas noteikumi” sākotnējās ietekmes novērtējuma ziņojums (anotācija) </w:t>
      </w:r>
    </w:p>
    <w:p w:rsidR="00181687" w:rsidRPr="00927E3E" w:rsidRDefault="00181687" w:rsidP="009A1CAC">
      <w:pPr>
        <w:pStyle w:val="naislab"/>
        <w:jc w:val="center"/>
        <w:outlineLvl w:val="0"/>
        <w:rPr>
          <w:b/>
          <w:color w:val="FF0000"/>
          <w:sz w:val="12"/>
          <w:szCs w:val="10"/>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11"/>
        <w:gridCol w:w="6258"/>
      </w:tblGrid>
      <w:tr w:rsidR="00181687" w:rsidRPr="00633A59" w:rsidTr="00E06F41">
        <w:trPr>
          <w:trHeight w:val="511"/>
        </w:trPr>
        <w:tc>
          <w:tcPr>
            <w:tcW w:w="9225" w:type="dxa"/>
            <w:gridSpan w:val="3"/>
            <w:vAlign w:val="center"/>
          </w:tcPr>
          <w:p w:rsidR="00181687" w:rsidRPr="00633A59" w:rsidRDefault="00181687" w:rsidP="008C4F6E">
            <w:pPr>
              <w:jc w:val="center"/>
              <w:rPr>
                <w:b/>
              </w:rPr>
            </w:pPr>
            <w:r w:rsidRPr="00633A59">
              <w:rPr>
                <w:b/>
              </w:rPr>
              <w:t>I. Tiesību akta projekta izstrādes nepieciešamība</w:t>
            </w:r>
          </w:p>
        </w:tc>
      </w:tr>
      <w:tr w:rsidR="00181687" w:rsidRPr="00633A59" w:rsidTr="005E6724">
        <w:trPr>
          <w:trHeight w:val="1187"/>
        </w:trPr>
        <w:tc>
          <w:tcPr>
            <w:tcW w:w="556" w:type="dxa"/>
            <w:vAlign w:val="center"/>
          </w:tcPr>
          <w:p w:rsidR="00181687" w:rsidRPr="006A7FA8" w:rsidRDefault="00181687" w:rsidP="008C4F6E">
            <w:pPr>
              <w:jc w:val="center"/>
            </w:pPr>
            <w:r w:rsidRPr="006A7FA8">
              <w:t>1.</w:t>
            </w:r>
          </w:p>
        </w:tc>
        <w:tc>
          <w:tcPr>
            <w:tcW w:w="2411" w:type="dxa"/>
            <w:vAlign w:val="center"/>
          </w:tcPr>
          <w:p w:rsidR="00181687" w:rsidRPr="00633A59" w:rsidRDefault="00181687" w:rsidP="008C4F6E">
            <w:pPr>
              <w:pStyle w:val="naiskr"/>
              <w:ind w:left="180" w:hanging="10"/>
              <w:jc w:val="both"/>
            </w:pPr>
            <w:r w:rsidRPr="006A7FA8">
              <w:t>Pamatojums</w:t>
            </w:r>
          </w:p>
        </w:tc>
        <w:tc>
          <w:tcPr>
            <w:tcW w:w="6258" w:type="dxa"/>
            <w:shd w:val="clear" w:color="auto" w:fill="auto"/>
            <w:vAlign w:val="center"/>
          </w:tcPr>
          <w:p w:rsidR="00181687" w:rsidRPr="00633A59" w:rsidRDefault="00AA7B8F" w:rsidP="00AA7B8F">
            <w:pPr>
              <w:pStyle w:val="naiskr"/>
              <w:ind w:hanging="5"/>
              <w:jc w:val="both"/>
            </w:pPr>
            <w:r w:rsidRPr="006A7FA8">
              <w:t>Biometrijas datu apstrādes sistēmas</w:t>
            </w:r>
            <w:r w:rsidR="00181687" w:rsidRPr="006A7FA8">
              <w:t xml:space="preserve"> likuma </w:t>
            </w:r>
            <w:r w:rsidRPr="006A7FA8">
              <w:t>10.panta trešā</w:t>
            </w:r>
            <w:r w:rsidR="00127636" w:rsidRPr="006A7FA8">
              <w:t xml:space="preserve"> </w:t>
            </w:r>
            <w:r w:rsidR="00C92B38" w:rsidRPr="006A7FA8">
              <w:t>daļ</w:t>
            </w:r>
            <w:r w:rsidR="005E6724" w:rsidRPr="006A7FA8">
              <w:t>a</w:t>
            </w:r>
            <w:r w:rsidRPr="006A7FA8">
              <w:t>, 11.panta sestā daļa un 14.panta otrā daļa</w:t>
            </w:r>
            <w:r w:rsidR="005E6724" w:rsidRPr="006A7FA8">
              <w:t>.</w:t>
            </w:r>
          </w:p>
        </w:tc>
      </w:tr>
      <w:tr w:rsidR="00181687" w:rsidRPr="00633A59" w:rsidTr="002E35FE">
        <w:trPr>
          <w:trHeight w:val="971"/>
        </w:trPr>
        <w:tc>
          <w:tcPr>
            <w:tcW w:w="556" w:type="dxa"/>
            <w:vAlign w:val="center"/>
          </w:tcPr>
          <w:p w:rsidR="00181687" w:rsidRPr="006A7FA8" w:rsidRDefault="00181687" w:rsidP="008C4F6E">
            <w:pPr>
              <w:jc w:val="center"/>
            </w:pPr>
            <w:r w:rsidRPr="006A7FA8">
              <w:t>2.</w:t>
            </w:r>
          </w:p>
        </w:tc>
        <w:tc>
          <w:tcPr>
            <w:tcW w:w="2411" w:type="dxa"/>
            <w:vAlign w:val="center"/>
          </w:tcPr>
          <w:p w:rsidR="00181687" w:rsidRPr="00633A59" w:rsidRDefault="00181687" w:rsidP="00BB550F">
            <w:pPr>
              <w:pStyle w:val="naiskr"/>
              <w:tabs>
                <w:tab w:val="left" w:pos="170"/>
              </w:tabs>
              <w:ind w:left="170"/>
              <w:jc w:val="both"/>
              <w:rPr>
                <w:u w:val="single"/>
              </w:rPr>
            </w:pPr>
            <w:r w:rsidRPr="006A7FA8">
              <w:t>Pašreizējā situācija un problēmas</w:t>
            </w:r>
          </w:p>
        </w:tc>
        <w:tc>
          <w:tcPr>
            <w:tcW w:w="6258" w:type="dxa"/>
            <w:vAlign w:val="center"/>
          </w:tcPr>
          <w:p w:rsidR="00E879EF" w:rsidRPr="006A7FA8" w:rsidRDefault="005E6724" w:rsidP="009E612F">
            <w:pPr>
              <w:pStyle w:val="naiskr"/>
              <w:spacing w:before="0" w:after="0"/>
              <w:jc w:val="both"/>
            </w:pPr>
            <w:r w:rsidRPr="006A7FA8">
              <w:t xml:space="preserve">Šobrīd spēkā esošie Ministru kabineta 2012.gada </w:t>
            </w:r>
            <w:r w:rsidR="009E612F" w:rsidRPr="006A7FA8">
              <w:t>3</w:t>
            </w:r>
            <w:r w:rsidRPr="006A7FA8">
              <w:t>.</w:t>
            </w:r>
            <w:r w:rsidR="009E612F" w:rsidRPr="006A7FA8">
              <w:t>aprīļa</w:t>
            </w:r>
            <w:r w:rsidRPr="006A7FA8">
              <w:t xml:space="preserve"> noteikumi Nr.</w:t>
            </w:r>
            <w:r w:rsidR="009E612F" w:rsidRPr="006A7FA8">
              <w:t>233</w:t>
            </w:r>
            <w:r w:rsidRPr="006A7FA8">
              <w:t xml:space="preserve"> „</w:t>
            </w:r>
            <w:r w:rsidR="009E612F" w:rsidRPr="006A7FA8">
              <w:t>Biometrijas datu apstrādes</w:t>
            </w:r>
            <w:r w:rsidRPr="006A7FA8">
              <w:t xml:space="preserve"> sistēmas noteikumi” </w:t>
            </w:r>
            <w:r w:rsidR="008F452D" w:rsidRPr="006A7FA8">
              <w:t xml:space="preserve">ir izdoti pamatojoties </w:t>
            </w:r>
            <w:r w:rsidR="000F3C0F" w:rsidRPr="006A7FA8">
              <w:t xml:space="preserve">uz Biometrijas datu apstrādes sistēmas likuma 10.panta </w:t>
            </w:r>
            <w:r w:rsidR="005857E9" w:rsidRPr="006A7FA8">
              <w:t>pirmās</w:t>
            </w:r>
            <w:r w:rsidR="000F3C0F" w:rsidRPr="006A7FA8">
              <w:t xml:space="preserve"> daļas, 11.panta </w:t>
            </w:r>
            <w:r w:rsidR="005857E9" w:rsidRPr="006A7FA8">
              <w:t>trešās</w:t>
            </w:r>
            <w:r w:rsidR="000F3C0F" w:rsidRPr="006A7FA8">
              <w:t xml:space="preserve"> daļas un 14.panta </w:t>
            </w:r>
            <w:r w:rsidR="005857E9" w:rsidRPr="006A7FA8">
              <w:t>pirmās</w:t>
            </w:r>
            <w:r w:rsidR="000F3C0F" w:rsidRPr="006A7FA8">
              <w:t xml:space="preserve"> daļas</w:t>
            </w:r>
            <w:r w:rsidR="0074372C" w:rsidRPr="006A7FA8">
              <w:t xml:space="preserve"> </w:t>
            </w:r>
            <w:r w:rsidR="008F452D" w:rsidRPr="006A7FA8">
              <w:t>pamata</w:t>
            </w:r>
            <w:r w:rsidR="0074372C" w:rsidRPr="006A7FA8">
              <w:t xml:space="preserve">. </w:t>
            </w:r>
          </w:p>
          <w:p w:rsidR="00862E0E" w:rsidRPr="006A7FA8" w:rsidRDefault="00862E0E" w:rsidP="00862E0E">
            <w:pPr>
              <w:pStyle w:val="naiskr"/>
              <w:spacing w:before="60" w:after="60"/>
              <w:jc w:val="both"/>
            </w:pPr>
            <w:r w:rsidRPr="006A7FA8">
              <w:t>2013.gada 12.septembrī Saeima pieņēma grozījumus Biometrijas datu apstrādes sistēmas likumā, kuri stājās spēkā 2013.gada 10.oktobrī. Šobrīd Biometrijas datu apstrādes</w:t>
            </w:r>
            <w:r w:rsidR="00076EAB" w:rsidRPr="006A7FA8">
              <w:t xml:space="preserve"> sistēmas likuma 10.panta treš</w:t>
            </w:r>
            <w:r w:rsidRPr="006A7FA8">
              <w:t>ā daļ</w:t>
            </w:r>
            <w:r w:rsidR="00076EAB" w:rsidRPr="006A7FA8">
              <w:t>a, 11.panta sest</w:t>
            </w:r>
            <w:r w:rsidRPr="006A7FA8">
              <w:t>ā daļ</w:t>
            </w:r>
            <w:r w:rsidR="00076EAB" w:rsidRPr="006A7FA8">
              <w:t>a un 14.panta otr</w:t>
            </w:r>
            <w:r w:rsidRPr="006A7FA8">
              <w:t>ā daļ</w:t>
            </w:r>
            <w:r w:rsidR="00076EAB" w:rsidRPr="006A7FA8">
              <w:t>a</w:t>
            </w:r>
            <w:r w:rsidRPr="006A7FA8">
              <w:t xml:space="preserve"> paredz deleģējumu Ministru kabinetam izdot noteikumus par kārtību un apjomu, kādā Biometrijas datu apstrādes sistēmas likuma 10.panta pirmajā daļā minētās iestādes iekļauj un aktualizē datus biometrijas datu apstrādes sistēmā, kā arī minēto darbību veikšanas nosacījumus, biometrijas datu iznīcināšanas kārtību un kārtību un apjomu, kādā Biometrijas datu apstrādes sistēmas likuma 14.panta pirmajā daļā minētās iestādes izmanto biometrijas datu apstrādes sistēmā iekļautos datus.</w:t>
            </w:r>
          </w:p>
          <w:p w:rsidR="00307F5D" w:rsidRPr="006A7FA8" w:rsidRDefault="00D55A1B" w:rsidP="00D55A1B">
            <w:pPr>
              <w:pStyle w:val="naiskr"/>
              <w:spacing w:before="60" w:after="60"/>
              <w:jc w:val="both"/>
            </w:pPr>
            <w:r w:rsidRPr="006A7FA8">
              <w:t>Ministru kabineta noteikumu projekts „Biometrijas datu apstrādes sistēmas noteikumi” (turpmāk – noteikumu projekts) izstrādāts</w:t>
            </w:r>
            <w:r w:rsidR="00076EAB" w:rsidRPr="006A7FA8">
              <w:t xml:space="preserve"> atbilstoši Ministru kabinetam dotajam deleģējumam izdot noteikumus</w:t>
            </w:r>
            <w:r w:rsidRPr="006A7FA8">
              <w:t xml:space="preserve">, pamatojoties uz Biometrijas datu apstrādes sistēmas likuma 10.panta trešo daļu, 11.panta </w:t>
            </w:r>
            <w:r w:rsidR="00076EAB" w:rsidRPr="006A7FA8">
              <w:t>sesto daļu un 14.panta otro daļ</w:t>
            </w:r>
            <w:r w:rsidR="00394687" w:rsidRPr="006A7FA8">
              <w:t>u</w:t>
            </w:r>
            <w:r w:rsidR="00076EAB" w:rsidRPr="006A7FA8">
              <w:t>. Noteikumu projekts aizstās</w:t>
            </w:r>
            <w:r w:rsidR="00307F5D" w:rsidRPr="006A7FA8">
              <w:t xml:space="preserve"> Ministru kabin</w:t>
            </w:r>
            <w:r w:rsidR="00076EAB" w:rsidRPr="006A7FA8">
              <w:t>eta 2012.gada 3.aprīļa noteikumus</w:t>
            </w:r>
            <w:r w:rsidR="00307F5D" w:rsidRPr="006A7FA8">
              <w:t xml:space="preserve"> Nr.233 „Biometrijas datu apstrādes sistēmas noteikumi”</w:t>
            </w:r>
            <w:r w:rsidR="00076EAB" w:rsidRPr="006A7FA8">
              <w:t>, kuri saskaņā ar Biometrijas datu apstrādes sistēmas likuma</w:t>
            </w:r>
            <w:r w:rsidR="00307F5D" w:rsidRPr="006A7FA8">
              <w:t xml:space="preserve"> </w:t>
            </w:r>
            <w:r w:rsidR="00076EAB" w:rsidRPr="006A7FA8">
              <w:t xml:space="preserve">Pārejas noteikumu 5.punktu </w:t>
            </w:r>
            <w:r w:rsidR="00307F5D" w:rsidRPr="006A7FA8">
              <w:t xml:space="preserve">ir spēkā līdz 2013.gada 31.decembrim. </w:t>
            </w:r>
          </w:p>
          <w:p w:rsidR="002F0789" w:rsidRPr="006A7FA8" w:rsidRDefault="001158CC" w:rsidP="001158CC">
            <w:pPr>
              <w:pStyle w:val="naiskr"/>
              <w:jc w:val="both"/>
              <w:rPr>
                <w:iCs/>
              </w:rPr>
            </w:pPr>
            <w:r w:rsidRPr="006A7FA8">
              <w:t xml:space="preserve">Saskaņā ar Biometrijas datu apstrādes sistēmas likuma 10.panta trešajā daļā, 11.panta sestajā daļā un 14.panta otrajā daļā ietverto deleģējumu, Ministru kabinetam jāizdod noteikumi, </w:t>
            </w:r>
            <w:r w:rsidRPr="006A7FA8">
              <w:rPr>
                <w:iCs/>
              </w:rPr>
              <w:t>nosakot tajos kārtību un apjomu, kādā iekļauj, aktualizē, iznīcina un izmanto datus no Biometrijas datu apstrādes sistēmas.</w:t>
            </w:r>
          </w:p>
          <w:p w:rsidR="00BA2E1C" w:rsidRPr="006A7FA8" w:rsidRDefault="001158CC" w:rsidP="003B1A18">
            <w:pPr>
              <w:pStyle w:val="naiskr"/>
              <w:jc w:val="both"/>
              <w:rPr>
                <w:iCs/>
              </w:rPr>
            </w:pPr>
            <w:r w:rsidRPr="006A7FA8">
              <w:rPr>
                <w:iCs/>
              </w:rPr>
              <w:t>Pašreiz spēkā esoš</w:t>
            </w:r>
            <w:r w:rsidR="00076EAB" w:rsidRPr="006A7FA8">
              <w:rPr>
                <w:iCs/>
              </w:rPr>
              <w:t>ais</w:t>
            </w:r>
            <w:r w:rsidRPr="006A7FA8">
              <w:rPr>
                <w:iCs/>
              </w:rPr>
              <w:t xml:space="preserve"> Biometrijas datu apstrādes sistēmas likum</w:t>
            </w:r>
            <w:r w:rsidR="0074372C" w:rsidRPr="006A7FA8">
              <w:rPr>
                <w:iCs/>
              </w:rPr>
              <w:t>s</w:t>
            </w:r>
            <w:r w:rsidRPr="006A7FA8">
              <w:rPr>
                <w:iCs/>
              </w:rPr>
              <w:t xml:space="preserve"> nosaka gadījumus, kuros iegūtie biometrijas dati jāiekļauj Biometrijas datu apstrādes sistēmā, noteikti Biometrijas datu apstrādes sistēmā iekļauto datu izmantošanas mērķi, iestādes, kam pienākums sniegt un aktualizēt datus Biometrijas datu apstrādes sistēmā un kuras tiesīgas izmantot Biometrijas datu apstrādes sistēmu, bet nav noteikta kārtība </w:t>
            </w:r>
            <w:r w:rsidRPr="006A7FA8">
              <w:rPr>
                <w:iCs/>
              </w:rPr>
              <w:lastRenderedPageBreak/>
              <w:t xml:space="preserve">kādā iekļauj, aktualizē un dzēš Biometrijas datu apstrādes sistēmā iekļaujamos datus, prasības </w:t>
            </w:r>
            <w:r w:rsidR="00076EAB" w:rsidRPr="006A7FA8">
              <w:rPr>
                <w:iCs/>
              </w:rPr>
              <w:t>biom</w:t>
            </w:r>
            <w:r w:rsidR="0045391A" w:rsidRPr="006A7FA8">
              <w:rPr>
                <w:iCs/>
              </w:rPr>
              <w:t>e</w:t>
            </w:r>
            <w:r w:rsidR="00076EAB" w:rsidRPr="006A7FA8">
              <w:rPr>
                <w:iCs/>
              </w:rPr>
              <w:t xml:space="preserve">trijas </w:t>
            </w:r>
            <w:r w:rsidRPr="006A7FA8">
              <w:rPr>
                <w:iCs/>
              </w:rPr>
              <w:t xml:space="preserve">datu kvalitātes nodrošināšanai, nav noteikta kārtība, kādā iestādes izmanto Biometrijas datu apstrādes sistēmu, kā arī citi nosacījumi </w:t>
            </w:r>
            <w:r w:rsidR="006C18DD" w:rsidRPr="006A7FA8">
              <w:rPr>
                <w:iCs/>
              </w:rPr>
              <w:t xml:space="preserve">biometrijas </w:t>
            </w:r>
            <w:r w:rsidRPr="006A7FA8">
              <w:rPr>
                <w:iCs/>
              </w:rPr>
              <w:t>datu apstrādei.</w:t>
            </w:r>
          </w:p>
        </w:tc>
      </w:tr>
      <w:tr w:rsidR="00181687" w:rsidRPr="00633A59" w:rsidTr="00E06F41">
        <w:trPr>
          <w:trHeight w:val="839"/>
        </w:trPr>
        <w:tc>
          <w:tcPr>
            <w:tcW w:w="556" w:type="dxa"/>
            <w:vAlign w:val="center"/>
          </w:tcPr>
          <w:p w:rsidR="00181687" w:rsidRPr="006A7FA8" w:rsidRDefault="00181687" w:rsidP="008C4F6E">
            <w:pPr>
              <w:jc w:val="center"/>
            </w:pPr>
            <w:r w:rsidRPr="006A7FA8">
              <w:lastRenderedPageBreak/>
              <w:t>3.</w:t>
            </w:r>
          </w:p>
        </w:tc>
        <w:tc>
          <w:tcPr>
            <w:tcW w:w="2411" w:type="dxa"/>
            <w:vAlign w:val="center"/>
          </w:tcPr>
          <w:p w:rsidR="00181687" w:rsidRPr="00633A59" w:rsidRDefault="00181687" w:rsidP="00830E90">
            <w:pPr>
              <w:pStyle w:val="naiskr"/>
              <w:spacing w:before="60" w:after="60"/>
              <w:ind w:left="170"/>
              <w:jc w:val="both"/>
            </w:pPr>
            <w:r w:rsidRPr="006A7FA8">
              <w:t>Saistītie politikas ietekmes novērtējumi un pētījumi</w:t>
            </w:r>
          </w:p>
        </w:tc>
        <w:tc>
          <w:tcPr>
            <w:tcW w:w="6258" w:type="dxa"/>
            <w:vAlign w:val="center"/>
          </w:tcPr>
          <w:p w:rsidR="00181687" w:rsidRPr="00633A59" w:rsidRDefault="00181687" w:rsidP="00173F19">
            <w:pPr>
              <w:jc w:val="both"/>
              <w:rPr>
                <w:i/>
              </w:rPr>
            </w:pPr>
            <w:r w:rsidRPr="006A7FA8">
              <w:t>Projekts šo jomu neskar</w:t>
            </w:r>
            <w:r w:rsidR="00790A02" w:rsidRPr="006A7FA8">
              <w:t>.</w:t>
            </w:r>
          </w:p>
        </w:tc>
      </w:tr>
      <w:tr w:rsidR="00181687" w:rsidRPr="00633A59" w:rsidTr="00E06F41">
        <w:trPr>
          <w:trHeight w:val="145"/>
        </w:trPr>
        <w:tc>
          <w:tcPr>
            <w:tcW w:w="556" w:type="dxa"/>
            <w:vAlign w:val="center"/>
          </w:tcPr>
          <w:p w:rsidR="00181687" w:rsidRPr="006A7FA8" w:rsidRDefault="00181687" w:rsidP="008C4F6E">
            <w:pPr>
              <w:jc w:val="center"/>
            </w:pPr>
            <w:r w:rsidRPr="006A7FA8">
              <w:t>4.</w:t>
            </w:r>
          </w:p>
        </w:tc>
        <w:tc>
          <w:tcPr>
            <w:tcW w:w="2411" w:type="dxa"/>
            <w:vAlign w:val="center"/>
          </w:tcPr>
          <w:p w:rsidR="00181687" w:rsidRPr="00633A59" w:rsidRDefault="00181687" w:rsidP="008C4F6E">
            <w:pPr>
              <w:pStyle w:val="naiskr"/>
              <w:ind w:left="170"/>
              <w:jc w:val="both"/>
            </w:pPr>
            <w:r w:rsidRPr="006A7FA8">
              <w:t>Tiesiskā regulējuma mērķis un būtība</w:t>
            </w:r>
          </w:p>
        </w:tc>
        <w:tc>
          <w:tcPr>
            <w:tcW w:w="6258" w:type="dxa"/>
            <w:vAlign w:val="center"/>
          </w:tcPr>
          <w:p w:rsidR="003A5572" w:rsidRPr="006A7FA8" w:rsidRDefault="006D7B82" w:rsidP="003A5572">
            <w:pPr>
              <w:spacing w:after="60"/>
              <w:jc w:val="both"/>
            </w:pPr>
            <w:r w:rsidRPr="006A7FA8">
              <w:t>Noteikumu projekts precizē</w:t>
            </w:r>
            <w:r w:rsidR="00226A79" w:rsidRPr="006A7FA8">
              <w:t xml:space="preserve"> </w:t>
            </w:r>
            <w:r w:rsidR="008B5983" w:rsidRPr="006A7FA8">
              <w:t>Biometrijas datu apstrādes</w:t>
            </w:r>
            <w:r w:rsidR="00226A79" w:rsidRPr="006A7FA8">
              <w:t xml:space="preserve"> sistēmā </w:t>
            </w:r>
            <w:r w:rsidR="00394687" w:rsidRPr="006A7FA8">
              <w:t>iekļaujamās informācijas apjomu,</w:t>
            </w:r>
            <w:r w:rsidR="00307F5D" w:rsidRPr="006A7FA8">
              <w:t xml:space="preserve"> </w:t>
            </w:r>
            <w:r w:rsidRPr="006A7FA8">
              <w:t xml:space="preserve">nosaka </w:t>
            </w:r>
            <w:r w:rsidR="00307F5D" w:rsidRPr="006A7FA8">
              <w:t>kārtīb</w:t>
            </w:r>
            <w:r w:rsidR="00394687" w:rsidRPr="006A7FA8">
              <w:t>u</w:t>
            </w:r>
            <w:r w:rsidR="00307F5D" w:rsidRPr="006A7FA8">
              <w:t xml:space="preserve"> kādā izmantojama </w:t>
            </w:r>
            <w:r w:rsidR="00394687" w:rsidRPr="006A7FA8">
              <w:t xml:space="preserve">Biometrijas datu apstrādes </w:t>
            </w:r>
            <w:r w:rsidR="00307F5D" w:rsidRPr="006A7FA8">
              <w:t xml:space="preserve">sistēma, </w:t>
            </w:r>
            <w:r w:rsidR="0045391A" w:rsidRPr="006A7FA8">
              <w:t>kārtību kādā Biometrijas datu a</w:t>
            </w:r>
            <w:r w:rsidR="00394687" w:rsidRPr="006A7FA8">
              <w:t>p</w:t>
            </w:r>
            <w:r w:rsidR="0045391A" w:rsidRPr="006A7FA8">
              <w:t>s</w:t>
            </w:r>
            <w:r w:rsidR="00394687" w:rsidRPr="006A7FA8">
              <w:t xml:space="preserve">trādes sistēmā </w:t>
            </w:r>
            <w:r w:rsidR="00307F5D" w:rsidRPr="006A7FA8">
              <w:t>ievadāmi</w:t>
            </w:r>
            <w:r w:rsidR="00914EBC" w:rsidRPr="006A7FA8">
              <w:t xml:space="preserve"> un aktualizējami</w:t>
            </w:r>
            <w:r w:rsidR="00307F5D" w:rsidRPr="006A7FA8">
              <w:t xml:space="preserve"> dati un </w:t>
            </w:r>
            <w:r w:rsidRPr="006A7FA8">
              <w:t xml:space="preserve">kārtību, kādā </w:t>
            </w:r>
            <w:r w:rsidR="00307F5D" w:rsidRPr="006A7FA8">
              <w:t xml:space="preserve">izmantojams </w:t>
            </w:r>
            <w:r w:rsidRPr="006A7FA8">
              <w:t>Biometrijas datu apstrādes sistēmā</w:t>
            </w:r>
            <w:r w:rsidR="00307F5D" w:rsidRPr="006A7FA8">
              <w:t xml:space="preserve"> esošais datu apjoms.</w:t>
            </w:r>
          </w:p>
          <w:p w:rsidR="00186037" w:rsidRPr="006A7FA8" w:rsidRDefault="00186037" w:rsidP="00186037">
            <w:pPr>
              <w:pStyle w:val="naiskr"/>
              <w:jc w:val="both"/>
              <w:rPr>
                <w:iCs/>
              </w:rPr>
            </w:pPr>
            <w:r w:rsidRPr="006A7FA8">
              <w:rPr>
                <w:iCs/>
              </w:rPr>
              <w:t>Noteikumu projektā norādīts, ka kvalitātes prasības netiek attiecinātas uz datiem, kurus iegūst un ievad</w:t>
            </w:r>
            <w:r w:rsidR="001B38F3">
              <w:rPr>
                <w:iCs/>
              </w:rPr>
              <w:t xml:space="preserve">a </w:t>
            </w:r>
            <w:r w:rsidRPr="006A7FA8">
              <w:rPr>
                <w:iCs/>
              </w:rPr>
              <w:t xml:space="preserve">Biometrijas datu apstrādes sistēmā, veicot operatīvo darbību, pretizlūkošanas vai izlūkošanas darbības. Šāda situācija ir paredzēta, jo minētos datus iegūst personai nezinot līdz ar to nav iespējams lūgt atkārtoti ievadīt biometrijas datus. Biometrijas datu apstrādes sistēma ir veidota tā, lai nodrošinātu apstrādi arī operatīvās darbības, pretizlūkošanas vai izlūkošanas darbību laikā iegūto nekvalitatīvo biometrijas datu gadījumā.  </w:t>
            </w:r>
          </w:p>
          <w:p w:rsidR="00186037" w:rsidRPr="006A7FA8" w:rsidRDefault="00186037" w:rsidP="00186037">
            <w:pPr>
              <w:spacing w:after="60"/>
              <w:jc w:val="both"/>
            </w:pPr>
            <w:r w:rsidRPr="006A7FA8">
              <w:rPr>
                <w:iCs/>
              </w:rPr>
              <w:t>Noteikumu projektā biometrijas datu dažādos iegūšanas gadījumos paredzēts dažāds iegūstamās informācijas apjoms. Šāda situācija izveidojusies, jo šobrīd dažādos procesos tiek iegūti biometrijas dati dažādos apjomos, un to pielietošanas mērķis ir dažāds. Tomēr vislielākais biometrijas datu apstrādes datu apjoms tiek apstrādāts izmeklēšanas darbību rezultātā no aizturētām, aizdomās turētām, apsūdzētām un notiesātām personām. Šāds informācijas apjoms jau šobrīd tiek apstrādāts automatizētā daktiloskopiskās identifikācijas sistēmā LATAFIS. Lielais biometrijas datu apjoms pamatā tiek izmantots noziedzīgu nodarījumu atklāšanai.</w:t>
            </w:r>
          </w:p>
          <w:p w:rsidR="003A5572" w:rsidRPr="006A7FA8" w:rsidRDefault="003A5572" w:rsidP="003A5572">
            <w:pPr>
              <w:spacing w:after="60"/>
              <w:jc w:val="both"/>
            </w:pPr>
            <w:r w:rsidRPr="006A7FA8">
              <w:t>Lai nodrošinātu datu apstrādes samērību ar sabiedrības interesēm, norādām, ka Biometrijas datu apstrādes sistēmas likuma 13.pants nodefinē visus mērķus, kurus ir plānots sasniegt, izmantojot sistēmā iekļautos datus. Piemēram, viens no sistēmā iekļauto datu izmantošanas mērķiem ir noziedzīgu nodarījumu atklāšana (Biometrijas datu apstrādes likuma 13.panta 5.punkts). Tā kā noziegumu vietās atstāto nospiedumu pēdas var būt atstātas no jebkura pirksta, tad, lai realizētu likuma mērķi nepieciešams saglabāt pilnu nospiedumu komplektu par aizdomās turētām, aizturētām, notiesātām vai apsūdzētām personām.</w:t>
            </w:r>
          </w:p>
          <w:p w:rsidR="003A5572" w:rsidRPr="006A7FA8" w:rsidRDefault="003A5572" w:rsidP="003A5572">
            <w:pPr>
              <w:spacing w:after="60"/>
              <w:jc w:val="both"/>
            </w:pPr>
            <w:r w:rsidRPr="006A7FA8">
              <w:t xml:space="preserve">Papildus attiecībā uz visu pirkstu nospiedumu iegūšanu no personas, kurai nav derīga personu apliecinoša dokumenta, norādām, ka saskaņā ar Biometrijas datu apstrādes sistēmas likuma 11.panta piekto daļu šajā gadījumā iegūtos datus </w:t>
            </w:r>
            <w:r w:rsidRPr="006A7FA8">
              <w:lastRenderedPageBreak/>
              <w:t>Biometrijas datu apstrādes sistēmā glabā līdz brīdim, kad persona saņem personu apliecinošu dokumentu, vai arī 10 gadus pēc personas nāves, ja personas nāves fakts reģistrēts Iedzīvotāju reģistrā, vai 75 gadus pēc pirmā ieraksta datuma, ja persona nav reģistrēta Iedzīvotāju reģistrā, ja persona dzīves laikā personu apliecinošu dokumentu nesaņem.</w:t>
            </w:r>
          </w:p>
          <w:p w:rsidR="00B92A04" w:rsidRPr="00633A59" w:rsidRDefault="00B92A04" w:rsidP="00B92A04">
            <w:pPr>
              <w:spacing w:after="60"/>
              <w:jc w:val="both"/>
            </w:pPr>
            <w:r w:rsidRPr="006A7FA8">
              <w:t>Papildus norādām, ka Biometrijas datu apstrādes sistēmas likuma 14.panta pirmajā daļā minētās iestādes Biometrijas datu apstrādes sistēmā iekļauto datus izmantos bez maksas.</w:t>
            </w:r>
          </w:p>
        </w:tc>
      </w:tr>
      <w:tr w:rsidR="00C21EBB" w:rsidRPr="00633A59" w:rsidTr="0021023C">
        <w:trPr>
          <w:trHeight w:val="1701"/>
        </w:trPr>
        <w:tc>
          <w:tcPr>
            <w:tcW w:w="556" w:type="dxa"/>
            <w:vAlign w:val="center"/>
          </w:tcPr>
          <w:p w:rsidR="00C21EBB" w:rsidRPr="006A7FA8" w:rsidRDefault="00C21EBB" w:rsidP="00F27B5F">
            <w:pPr>
              <w:jc w:val="center"/>
            </w:pPr>
            <w:r w:rsidRPr="006A7FA8">
              <w:lastRenderedPageBreak/>
              <w:t>5.</w:t>
            </w:r>
          </w:p>
        </w:tc>
        <w:tc>
          <w:tcPr>
            <w:tcW w:w="2411" w:type="dxa"/>
            <w:vAlign w:val="center"/>
          </w:tcPr>
          <w:p w:rsidR="00C21EBB" w:rsidRPr="00633A59" w:rsidRDefault="00C21EBB" w:rsidP="00F27B5F">
            <w:pPr>
              <w:pStyle w:val="naiskr"/>
              <w:ind w:left="170"/>
              <w:jc w:val="both"/>
            </w:pPr>
            <w:r w:rsidRPr="006A7FA8">
              <w:t>Projekta izstrādē iesaistītās institūcijas</w:t>
            </w:r>
          </w:p>
        </w:tc>
        <w:tc>
          <w:tcPr>
            <w:tcW w:w="6258" w:type="dxa"/>
            <w:vAlign w:val="center"/>
          </w:tcPr>
          <w:p w:rsidR="00C21EBB" w:rsidRPr="006A7FA8" w:rsidRDefault="005C4E80" w:rsidP="00C522A9">
            <w:pPr>
              <w:spacing w:after="60"/>
              <w:jc w:val="both"/>
            </w:pPr>
            <w:r w:rsidRPr="006A7FA8">
              <w:t>Iekšlietu ministrija un Iekšlietu ministrijas Informācijas centrs.</w:t>
            </w:r>
          </w:p>
        </w:tc>
      </w:tr>
      <w:tr w:rsidR="00C21EBB" w:rsidRPr="00633A59" w:rsidTr="00E06F41">
        <w:trPr>
          <w:trHeight w:val="884"/>
        </w:trPr>
        <w:tc>
          <w:tcPr>
            <w:tcW w:w="556" w:type="dxa"/>
            <w:vAlign w:val="center"/>
          </w:tcPr>
          <w:p w:rsidR="00C21EBB" w:rsidRPr="006A7FA8" w:rsidRDefault="00C21EBB" w:rsidP="008C4F6E">
            <w:pPr>
              <w:jc w:val="center"/>
            </w:pPr>
            <w:r w:rsidRPr="006A7FA8">
              <w:t>6.</w:t>
            </w:r>
          </w:p>
        </w:tc>
        <w:tc>
          <w:tcPr>
            <w:tcW w:w="2411" w:type="dxa"/>
            <w:vAlign w:val="center"/>
          </w:tcPr>
          <w:p w:rsidR="00C21EBB" w:rsidRPr="00633A59" w:rsidRDefault="00C21EBB" w:rsidP="00803BF8">
            <w:pPr>
              <w:pStyle w:val="naiskr"/>
              <w:spacing w:before="20" w:after="20"/>
              <w:ind w:left="170"/>
              <w:jc w:val="both"/>
              <w:rPr>
                <w:i/>
                <w:highlight w:val="yellow"/>
              </w:rPr>
            </w:pPr>
            <w:r w:rsidRPr="006A7FA8">
              <w:t>Iemesli, kādēļ netika nodrošināta sabiedrības līdzdalība</w:t>
            </w:r>
          </w:p>
        </w:tc>
        <w:tc>
          <w:tcPr>
            <w:tcW w:w="6258" w:type="dxa"/>
            <w:vAlign w:val="center"/>
          </w:tcPr>
          <w:p w:rsidR="00C21EBB" w:rsidRPr="006A7FA8" w:rsidRDefault="00C21EBB" w:rsidP="008C4F6E">
            <w:pPr>
              <w:pStyle w:val="FootnoteText"/>
              <w:jc w:val="both"/>
              <w:rPr>
                <w:i/>
                <w:sz w:val="24"/>
                <w:szCs w:val="24"/>
              </w:rPr>
            </w:pPr>
            <w:r w:rsidRPr="006A7FA8">
              <w:rPr>
                <w:sz w:val="24"/>
                <w:szCs w:val="24"/>
              </w:rPr>
              <w:t>Projekts šo jomu neskar</w:t>
            </w:r>
            <w:r w:rsidR="00F45B61" w:rsidRPr="006A7FA8">
              <w:rPr>
                <w:sz w:val="24"/>
                <w:szCs w:val="24"/>
              </w:rPr>
              <w:t>.</w:t>
            </w:r>
          </w:p>
        </w:tc>
      </w:tr>
      <w:tr w:rsidR="00C21EBB" w:rsidRPr="00633A59" w:rsidTr="00E06F41">
        <w:trPr>
          <w:trHeight w:val="884"/>
        </w:trPr>
        <w:tc>
          <w:tcPr>
            <w:tcW w:w="556" w:type="dxa"/>
            <w:vAlign w:val="center"/>
          </w:tcPr>
          <w:p w:rsidR="00C21EBB" w:rsidRPr="006A7FA8" w:rsidRDefault="00C21EBB" w:rsidP="00F27B5F">
            <w:pPr>
              <w:jc w:val="center"/>
            </w:pPr>
            <w:r w:rsidRPr="006A7FA8">
              <w:t>7.</w:t>
            </w:r>
          </w:p>
        </w:tc>
        <w:tc>
          <w:tcPr>
            <w:tcW w:w="2411" w:type="dxa"/>
            <w:vAlign w:val="center"/>
          </w:tcPr>
          <w:p w:rsidR="00C21EBB" w:rsidRPr="00633A59" w:rsidRDefault="00C21EBB" w:rsidP="00F27B5F">
            <w:pPr>
              <w:pStyle w:val="naiskr"/>
              <w:spacing w:before="40" w:after="40"/>
              <w:ind w:left="170"/>
              <w:jc w:val="both"/>
            </w:pPr>
            <w:r w:rsidRPr="006A7FA8">
              <w:t>Cita informācija</w:t>
            </w:r>
          </w:p>
        </w:tc>
        <w:tc>
          <w:tcPr>
            <w:tcW w:w="6258" w:type="dxa"/>
            <w:vAlign w:val="center"/>
          </w:tcPr>
          <w:p w:rsidR="00363AC7" w:rsidRPr="00633A59" w:rsidRDefault="006A09C1" w:rsidP="00363AC7">
            <w:pPr>
              <w:jc w:val="both"/>
            </w:pPr>
            <w:r w:rsidRPr="00633A59">
              <w:t>Nav.</w:t>
            </w:r>
          </w:p>
        </w:tc>
      </w:tr>
    </w:tbl>
    <w:p w:rsidR="005122F1" w:rsidRPr="006A7FA8" w:rsidRDefault="005122F1" w:rsidP="00DA16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211"/>
        <w:gridCol w:w="1380"/>
        <w:gridCol w:w="1470"/>
        <w:gridCol w:w="1470"/>
        <w:gridCol w:w="1470"/>
      </w:tblGrid>
      <w:tr w:rsidR="00D435C6" w:rsidRPr="00633A59" w:rsidTr="0021023C">
        <w:trPr>
          <w:trHeight w:val="652"/>
          <w:jc w:val="center"/>
        </w:trPr>
        <w:tc>
          <w:tcPr>
            <w:tcW w:w="0" w:type="auto"/>
            <w:gridSpan w:val="6"/>
          </w:tcPr>
          <w:p w:rsidR="00D435C6" w:rsidRPr="006A7FA8" w:rsidRDefault="00D435C6" w:rsidP="00F27B5F">
            <w:pPr>
              <w:pStyle w:val="naisnod"/>
              <w:spacing w:before="0" w:after="0"/>
              <w:rPr>
                <w:i/>
              </w:rPr>
            </w:pPr>
            <w:r w:rsidRPr="006A7FA8">
              <w:br w:type="page"/>
              <w:t>III. Tiesību akta projekta ietekme uz valsts budžetu un pašvaldību budžetiem</w:t>
            </w:r>
          </w:p>
        </w:tc>
      </w:tr>
      <w:tr w:rsidR="009E5F1F" w:rsidRPr="00633A59" w:rsidTr="0021023C">
        <w:trPr>
          <w:jc w:val="center"/>
        </w:trPr>
        <w:tc>
          <w:tcPr>
            <w:tcW w:w="0" w:type="auto"/>
            <w:vMerge w:val="restart"/>
            <w:vAlign w:val="center"/>
          </w:tcPr>
          <w:p w:rsidR="00D435C6" w:rsidRPr="006A7FA8" w:rsidRDefault="00D435C6" w:rsidP="00F27B5F">
            <w:pPr>
              <w:pStyle w:val="naisf"/>
              <w:spacing w:before="0" w:after="0"/>
              <w:ind w:firstLine="0"/>
              <w:jc w:val="center"/>
              <w:rPr>
                <w:b/>
              </w:rPr>
            </w:pPr>
            <w:r w:rsidRPr="006A7FA8">
              <w:rPr>
                <w:b/>
              </w:rPr>
              <w:t>Rādītāji</w:t>
            </w:r>
          </w:p>
        </w:tc>
        <w:tc>
          <w:tcPr>
            <w:tcW w:w="0" w:type="auto"/>
            <w:gridSpan w:val="2"/>
            <w:vMerge w:val="restart"/>
            <w:vAlign w:val="center"/>
          </w:tcPr>
          <w:p w:rsidR="00D435C6" w:rsidRPr="006A7FA8" w:rsidRDefault="009E5F1F" w:rsidP="009E5F1F">
            <w:pPr>
              <w:pStyle w:val="naisf"/>
              <w:spacing w:before="0" w:after="0"/>
              <w:ind w:firstLine="0"/>
              <w:jc w:val="center"/>
              <w:rPr>
                <w:b/>
              </w:rPr>
            </w:pPr>
            <w:r w:rsidRPr="006A7FA8">
              <w:rPr>
                <w:b/>
              </w:rPr>
              <w:t>2014</w:t>
            </w:r>
            <w:r w:rsidR="00D435C6" w:rsidRPr="006A7FA8">
              <w:rPr>
                <w:b/>
              </w:rPr>
              <w:t>.gads</w:t>
            </w:r>
          </w:p>
        </w:tc>
        <w:tc>
          <w:tcPr>
            <w:tcW w:w="0" w:type="auto"/>
            <w:gridSpan w:val="3"/>
            <w:vAlign w:val="center"/>
          </w:tcPr>
          <w:p w:rsidR="00D435C6" w:rsidRPr="006A7FA8" w:rsidRDefault="00D435C6" w:rsidP="00DA5F70">
            <w:pPr>
              <w:pStyle w:val="naisf"/>
              <w:spacing w:before="0" w:after="0"/>
              <w:ind w:firstLine="0"/>
              <w:jc w:val="center"/>
              <w:rPr>
                <w:b/>
                <w:i/>
              </w:rPr>
            </w:pPr>
            <w:r w:rsidRPr="006A7FA8">
              <w:t>Turpmākie trīs gadi (</w:t>
            </w:r>
            <w:r w:rsidR="00DA5F70" w:rsidRPr="006A7FA8">
              <w:rPr>
                <w:i/>
              </w:rPr>
              <w:t>euro</w:t>
            </w:r>
            <w:r w:rsidRPr="006A7FA8">
              <w:t>)</w:t>
            </w:r>
          </w:p>
        </w:tc>
      </w:tr>
      <w:tr w:rsidR="009E5F1F" w:rsidRPr="00633A59" w:rsidTr="0021023C">
        <w:trPr>
          <w:jc w:val="center"/>
        </w:trPr>
        <w:tc>
          <w:tcPr>
            <w:tcW w:w="0" w:type="auto"/>
            <w:vMerge/>
            <w:vAlign w:val="center"/>
          </w:tcPr>
          <w:p w:rsidR="00D435C6" w:rsidRPr="006A7FA8" w:rsidRDefault="00D435C6" w:rsidP="00F27B5F">
            <w:pPr>
              <w:pStyle w:val="naisf"/>
              <w:spacing w:before="0" w:after="0"/>
              <w:ind w:firstLine="0"/>
              <w:jc w:val="left"/>
              <w:rPr>
                <w:b/>
                <w:i/>
              </w:rPr>
            </w:pPr>
          </w:p>
        </w:tc>
        <w:tc>
          <w:tcPr>
            <w:tcW w:w="0" w:type="auto"/>
            <w:gridSpan w:val="2"/>
            <w:vMerge/>
            <w:vAlign w:val="center"/>
          </w:tcPr>
          <w:p w:rsidR="00D435C6" w:rsidRPr="006A7FA8" w:rsidRDefault="00D435C6" w:rsidP="00F27B5F">
            <w:pPr>
              <w:pStyle w:val="naisf"/>
              <w:spacing w:before="0" w:after="0"/>
              <w:ind w:firstLine="0"/>
              <w:jc w:val="center"/>
              <w:rPr>
                <w:b/>
                <w:i/>
              </w:rPr>
            </w:pPr>
          </w:p>
        </w:tc>
        <w:tc>
          <w:tcPr>
            <w:tcW w:w="0" w:type="auto"/>
            <w:vAlign w:val="center"/>
          </w:tcPr>
          <w:p w:rsidR="00D435C6" w:rsidRPr="006A7FA8" w:rsidRDefault="009E5F1F" w:rsidP="00DA5F70">
            <w:pPr>
              <w:pStyle w:val="naisf"/>
              <w:spacing w:before="0" w:after="0"/>
              <w:ind w:firstLine="0"/>
              <w:jc w:val="center"/>
              <w:rPr>
                <w:b/>
                <w:i/>
              </w:rPr>
            </w:pPr>
            <w:r w:rsidRPr="006A7FA8">
              <w:rPr>
                <w:b/>
                <w:bCs/>
              </w:rPr>
              <w:t>2015</w:t>
            </w:r>
            <w:r w:rsidR="00D435C6" w:rsidRPr="006A7FA8">
              <w:rPr>
                <w:b/>
                <w:bCs/>
              </w:rPr>
              <w:t>.g</w:t>
            </w:r>
            <w:r w:rsidR="00DA5F70" w:rsidRPr="006A7FA8">
              <w:rPr>
                <w:b/>
                <w:bCs/>
              </w:rPr>
              <w:t>ads</w:t>
            </w:r>
          </w:p>
        </w:tc>
        <w:tc>
          <w:tcPr>
            <w:tcW w:w="0" w:type="auto"/>
            <w:vAlign w:val="center"/>
          </w:tcPr>
          <w:p w:rsidR="00D435C6" w:rsidRPr="006A7FA8" w:rsidRDefault="009E5F1F" w:rsidP="00DA5F70">
            <w:pPr>
              <w:pStyle w:val="naisf"/>
              <w:spacing w:before="0" w:after="0"/>
              <w:ind w:firstLine="0"/>
              <w:jc w:val="center"/>
              <w:rPr>
                <w:b/>
                <w:i/>
              </w:rPr>
            </w:pPr>
            <w:r w:rsidRPr="006A7FA8">
              <w:rPr>
                <w:b/>
                <w:bCs/>
              </w:rPr>
              <w:t>2016</w:t>
            </w:r>
            <w:r w:rsidR="00D435C6" w:rsidRPr="006A7FA8">
              <w:rPr>
                <w:b/>
                <w:bCs/>
              </w:rPr>
              <w:t>.g</w:t>
            </w:r>
            <w:r w:rsidR="00DA5F70" w:rsidRPr="006A7FA8">
              <w:rPr>
                <w:b/>
                <w:bCs/>
              </w:rPr>
              <w:t>ads</w:t>
            </w:r>
          </w:p>
        </w:tc>
        <w:tc>
          <w:tcPr>
            <w:tcW w:w="0" w:type="auto"/>
            <w:vAlign w:val="center"/>
          </w:tcPr>
          <w:p w:rsidR="00D435C6" w:rsidRPr="006A7FA8" w:rsidRDefault="009E5F1F" w:rsidP="00DA5F70">
            <w:pPr>
              <w:pStyle w:val="naisf"/>
              <w:spacing w:before="0" w:after="0"/>
              <w:ind w:firstLine="0"/>
              <w:jc w:val="center"/>
              <w:rPr>
                <w:b/>
                <w:i/>
              </w:rPr>
            </w:pPr>
            <w:r w:rsidRPr="006A7FA8">
              <w:rPr>
                <w:b/>
                <w:bCs/>
              </w:rPr>
              <w:t>2017</w:t>
            </w:r>
            <w:r w:rsidR="00D435C6" w:rsidRPr="006A7FA8">
              <w:rPr>
                <w:b/>
                <w:bCs/>
              </w:rPr>
              <w:t>.g</w:t>
            </w:r>
            <w:r w:rsidR="00DA5F70" w:rsidRPr="006A7FA8">
              <w:rPr>
                <w:b/>
                <w:bCs/>
              </w:rPr>
              <w:t>ads</w:t>
            </w:r>
          </w:p>
        </w:tc>
      </w:tr>
      <w:tr w:rsidR="009E5F1F" w:rsidRPr="00633A59" w:rsidTr="0021023C">
        <w:trPr>
          <w:jc w:val="center"/>
        </w:trPr>
        <w:tc>
          <w:tcPr>
            <w:tcW w:w="0" w:type="auto"/>
            <w:vMerge/>
            <w:vAlign w:val="center"/>
          </w:tcPr>
          <w:p w:rsidR="00D435C6" w:rsidRPr="006A7FA8" w:rsidRDefault="00D435C6" w:rsidP="00F27B5F">
            <w:pPr>
              <w:pStyle w:val="naisf"/>
              <w:spacing w:before="0" w:after="0"/>
              <w:ind w:firstLine="0"/>
              <w:jc w:val="left"/>
              <w:rPr>
                <w:b/>
                <w:i/>
              </w:rPr>
            </w:pPr>
          </w:p>
        </w:tc>
        <w:tc>
          <w:tcPr>
            <w:tcW w:w="0" w:type="auto"/>
            <w:vAlign w:val="center"/>
          </w:tcPr>
          <w:p w:rsidR="00D435C6" w:rsidRPr="006A7FA8" w:rsidRDefault="00D435C6" w:rsidP="00F27B5F">
            <w:pPr>
              <w:pStyle w:val="naisf"/>
              <w:spacing w:before="0" w:after="0"/>
              <w:ind w:firstLine="0"/>
              <w:jc w:val="center"/>
              <w:rPr>
                <w:b/>
                <w:i/>
              </w:rPr>
            </w:pPr>
            <w:r w:rsidRPr="006A7FA8">
              <w:t>Saskaņā ar valsts budžetu kārtējam gadam</w:t>
            </w:r>
          </w:p>
        </w:tc>
        <w:tc>
          <w:tcPr>
            <w:tcW w:w="0" w:type="auto"/>
            <w:vAlign w:val="center"/>
          </w:tcPr>
          <w:p w:rsidR="00D435C6" w:rsidRPr="006A7FA8" w:rsidRDefault="00D435C6" w:rsidP="00F27B5F">
            <w:pPr>
              <w:pStyle w:val="naisf"/>
              <w:spacing w:before="0" w:after="0"/>
              <w:ind w:firstLine="0"/>
              <w:jc w:val="center"/>
              <w:rPr>
                <w:b/>
                <w:i/>
              </w:rPr>
            </w:pPr>
            <w:r w:rsidRPr="006A7FA8">
              <w:t>Izmaiņas kārtējā gadā, salīdzinot ar budžetu kārtējam gadam</w:t>
            </w:r>
          </w:p>
        </w:tc>
        <w:tc>
          <w:tcPr>
            <w:tcW w:w="0" w:type="auto"/>
            <w:vAlign w:val="center"/>
          </w:tcPr>
          <w:p w:rsidR="00D435C6" w:rsidRPr="006A7FA8" w:rsidRDefault="00D435C6" w:rsidP="00EB0A7E">
            <w:pPr>
              <w:pStyle w:val="naisf"/>
              <w:spacing w:before="0" w:after="0"/>
              <w:ind w:firstLine="0"/>
              <w:jc w:val="center"/>
              <w:rPr>
                <w:b/>
                <w:i/>
              </w:rPr>
            </w:pPr>
            <w:r w:rsidRPr="006A7FA8">
              <w:t>Izmaiņas, salīdzinot ar kārtējo (201</w:t>
            </w:r>
            <w:r w:rsidR="009E5F1F" w:rsidRPr="006A7FA8">
              <w:t>4</w:t>
            </w:r>
            <w:r w:rsidRPr="006A7FA8">
              <w:t>)gadu</w:t>
            </w:r>
          </w:p>
        </w:tc>
        <w:tc>
          <w:tcPr>
            <w:tcW w:w="0" w:type="auto"/>
            <w:vAlign w:val="center"/>
          </w:tcPr>
          <w:p w:rsidR="00D435C6" w:rsidRPr="006A7FA8" w:rsidRDefault="00D435C6" w:rsidP="00EB0A7E">
            <w:pPr>
              <w:pStyle w:val="naisf"/>
              <w:spacing w:before="0" w:after="0"/>
              <w:ind w:firstLine="0"/>
              <w:jc w:val="center"/>
              <w:rPr>
                <w:b/>
                <w:i/>
              </w:rPr>
            </w:pPr>
            <w:r w:rsidRPr="006A7FA8">
              <w:t>Izmaiņas, salīdzinot ar kārtējo (201</w:t>
            </w:r>
            <w:r w:rsidR="009E5F1F" w:rsidRPr="006A7FA8">
              <w:t>4</w:t>
            </w:r>
            <w:r w:rsidRPr="006A7FA8">
              <w:t>)gadu</w:t>
            </w:r>
          </w:p>
        </w:tc>
        <w:tc>
          <w:tcPr>
            <w:tcW w:w="0" w:type="auto"/>
            <w:vAlign w:val="center"/>
          </w:tcPr>
          <w:p w:rsidR="00D435C6" w:rsidRPr="006A7FA8" w:rsidRDefault="00D435C6" w:rsidP="00EB0A7E">
            <w:pPr>
              <w:pStyle w:val="naisf"/>
              <w:spacing w:before="0" w:after="0"/>
              <w:ind w:firstLine="0"/>
              <w:jc w:val="center"/>
              <w:rPr>
                <w:b/>
                <w:i/>
              </w:rPr>
            </w:pPr>
            <w:r w:rsidRPr="006A7FA8">
              <w:t>Izmaiņas, salīdzinot ar kārtējo (201</w:t>
            </w:r>
            <w:r w:rsidR="009E5F1F" w:rsidRPr="006A7FA8">
              <w:t>4</w:t>
            </w:r>
            <w:r w:rsidRPr="006A7FA8">
              <w:t>)gadu</w:t>
            </w:r>
          </w:p>
        </w:tc>
      </w:tr>
      <w:tr w:rsidR="009E5F1F" w:rsidRPr="00633A59" w:rsidTr="0021023C">
        <w:trPr>
          <w:jc w:val="center"/>
        </w:trPr>
        <w:tc>
          <w:tcPr>
            <w:tcW w:w="0" w:type="auto"/>
            <w:vAlign w:val="center"/>
          </w:tcPr>
          <w:p w:rsidR="00D435C6" w:rsidRPr="006A7FA8" w:rsidRDefault="00D435C6" w:rsidP="00F27B5F">
            <w:pPr>
              <w:pStyle w:val="naisf"/>
              <w:spacing w:before="0" w:after="0"/>
              <w:ind w:firstLine="0"/>
              <w:jc w:val="center"/>
              <w:rPr>
                <w:bCs/>
              </w:rPr>
            </w:pPr>
            <w:r w:rsidRPr="006A7FA8">
              <w:rPr>
                <w:bCs/>
              </w:rPr>
              <w:t>1</w:t>
            </w:r>
          </w:p>
        </w:tc>
        <w:tc>
          <w:tcPr>
            <w:tcW w:w="0" w:type="auto"/>
            <w:vAlign w:val="center"/>
          </w:tcPr>
          <w:p w:rsidR="00D435C6" w:rsidRPr="006A7FA8" w:rsidRDefault="00D435C6" w:rsidP="00F27B5F">
            <w:pPr>
              <w:pStyle w:val="naisf"/>
              <w:spacing w:before="0" w:after="0"/>
              <w:ind w:firstLine="0"/>
              <w:jc w:val="center"/>
              <w:rPr>
                <w:bCs/>
              </w:rPr>
            </w:pPr>
            <w:r w:rsidRPr="006A7FA8">
              <w:rPr>
                <w:bCs/>
              </w:rPr>
              <w:t>2</w:t>
            </w:r>
          </w:p>
        </w:tc>
        <w:tc>
          <w:tcPr>
            <w:tcW w:w="0" w:type="auto"/>
            <w:vAlign w:val="center"/>
          </w:tcPr>
          <w:p w:rsidR="00D435C6" w:rsidRPr="006A7FA8" w:rsidRDefault="00D435C6" w:rsidP="00F27B5F">
            <w:pPr>
              <w:pStyle w:val="naisf"/>
              <w:spacing w:before="0" w:after="0"/>
              <w:ind w:firstLine="0"/>
              <w:jc w:val="center"/>
              <w:rPr>
                <w:bCs/>
              </w:rPr>
            </w:pPr>
            <w:r w:rsidRPr="006A7FA8">
              <w:rPr>
                <w:bCs/>
              </w:rPr>
              <w:t>3</w:t>
            </w:r>
          </w:p>
        </w:tc>
        <w:tc>
          <w:tcPr>
            <w:tcW w:w="0" w:type="auto"/>
            <w:shd w:val="clear" w:color="auto" w:fill="auto"/>
            <w:vAlign w:val="center"/>
          </w:tcPr>
          <w:p w:rsidR="00D435C6" w:rsidRPr="006A7FA8" w:rsidRDefault="00D435C6" w:rsidP="00F27B5F">
            <w:pPr>
              <w:pStyle w:val="naisf"/>
              <w:spacing w:before="0" w:after="0"/>
              <w:ind w:firstLine="0"/>
              <w:jc w:val="center"/>
              <w:rPr>
                <w:bCs/>
              </w:rPr>
            </w:pPr>
            <w:r w:rsidRPr="006A7FA8">
              <w:rPr>
                <w:bCs/>
              </w:rPr>
              <w:t>4</w:t>
            </w:r>
          </w:p>
        </w:tc>
        <w:tc>
          <w:tcPr>
            <w:tcW w:w="0" w:type="auto"/>
            <w:shd w:val="clear" w:color="auto" w:fill="auto"/>
            <w:vAlign w:val="center"/>
          </w:tcPr>
          <w:p w:rsidR="00D435C6" w:rsidRPr="006A7FA8" w:rsidRDefault="00D435C6" w:rsidP="00F27B5F">
            <w:pPr>
              <w:pStyle w:val="naisf"/>
              <w:spacing w:before="0" w:after="0"/>
              <w:ind w:firstLine="0"/>
              <w:jc w:val="center"/>
              <w:rPr>
                <w:bCs/>
              </w:rPr>
            </w:pPr>
            <w:r w:rsidRPr="006A7FA8">
              <w:rPr>
                <w:bCs/>
              </w:rPr>
              <w:t>5</w:t>
            </w:r>
          </w:p>
        </w:tc>
        <w:tc>
          <w:tcPr>
            <w:tcW w:w="0" w:type="auto"/>
            <w:shd w:val="clear" w:color="auto" w:fill="auto"/>
            <w:vAlign w:val="center"/>
          </w:tcPr>
          <w:p w:rsidR="00D435C6" w:rsidRPr="006A7FA8" w:rsidRDefault="00D435C6" w:rsidP="00F27B5F">
            <w:pPr>
              <w:pStyle w:val="naisf"/>
              <w:spacing w:before="0" w:after="0"/>
              <w:ind w:firstLine="0"/>
              <w:jc w:val="center"/>
              <w:rPr>
                <w:bCs/>
              </w:rPr>
            </w:pPr>
            <w:r w:rsidRPr="006A7FA8">
              <w:rPr>
                <w:bCs/>
              </w:rPr>
              <w:t>6</w:t>
            </w:r>
          </w:p>
        </w:tc>
      </w:tr>
      <w:tr w:rsidR="009E5F1F" w:rsidRPr="00633A59" w:rsidTr="0021023C">
        <w:trPr>
          <w:jc w:val="center"/>
        </w:trPr>
        <w:tc>
          <w:tcPr>
            <w:tcW w:w="0" w:type="auto"/>
          </w:tcPr>
          <w:p w:rsidR="009E5F1F" w:rsidRPr="006A7FA8" w:rsidRDefault="0021023C" w:rsidP="00F27B5F">
            <w:pPr>
              <w:pStyle w:val="naisf"/>
              <w:spacing w:before="0" w:after="60"/>
              <w:ind w:left="176" w:firstLine="0"/>
              <w:rPr>
                <w:i/>
              </w:rPr>
            </w:pPr>
            <w:r w:rsidRPr="006A7FA8">
              <w:t>1.</w:t>
            </w:r>
            <w:r w:rsidR="009E5F1F" w:rsidRPr="006A7FA8">
              <w:t>Budžeta ieņēmumi:</w:t>
            </w:r>
          </w:p>
        </w:tc>
        <w:tc>
          <w:tcPr>
            <w:tcW w:w="0" w:type="auto"/>
          </w:tcPr>
          <w:p w:rsidR="009E5F1F" w:rsidRPr="006A7FA8" w:rsidRDefault="009E5F1F" w:rsidP="009E5F1F">
            <w:pPr>
              <w:pStyle w:val="naisf"/>
              <w:spacing w:before="0" w:after="0"/>
              <w:ind w:firstLine="0"/>
              <w:jc w:val="center"/>
            </w:pPr>
            <w:r w:rsidRPr="006A7FA8">
              <w:t>0</w:t>
            </w:r>
          </w:p>
        </w:tc>
        <w:tc>
          <w:tcPr>
            <w:tcW w:w="0" w:type="auto"/>
          </w:tcPr>
          <w:p w:rsidR="009E5F1F" w:rsidRPr="006A7FA8" w:rsidRDefault="009E5F1F" w:rsidP="009E5F1F">
            <w:pPr>
              <w:pStyle w:val="naisf"/>
              <w:spacing w:before="0" w:after="0"/>
              <w:ind w:firstLine="0"/>
              <w:jc w:val="center"/>
            </w:pPr>
            <w:r w:rsidRPr="006A7FA8">
              <w:t>0</w:t>
            </w:r>
          </w:p>
        </w:tc>
        <w:tc>
          <w:tcPr>
            <w:tcW w:w="0" w:type="auto"/>
          </w:tcPr>
          <w:p w:rsidR="009E5F1F" w:rsidRPr="006A7FA8" w:rsidRDefault="00801063" w:rsidP="009E5F1F">
            <w:pPr>
              <w:pStyle w:val="naisf"/>
              <w:spacing w:before="0" w:after="0"/>
              <w:ind w:firstLine="0"/>
              <w:jc w:val="center"/>
            </w:pPr>
            <w:r w:rsidRPr="006A7FA8">
              <w:t>0</w:t>
            </w:r>
          </w:p>
        </w:tc>
        <w:tc>
          <w:tcPr>
            <w:tcW w:w="0" w:type="auto"/>
          </w:tcPr>
          <w:p w:rsidR="009E5F1F" w:rsidRPr="006A7FA8" w:rsidRDefault="00801063" w:rsidP="009E5F1F">
            <w:pPr>
              <w:pStyle w:val="naisf"/>
              <w:spacing w:before="0" w:after="0"/>
              <w:ind w:firstLine="0"/>
              <w:jc w:val="center"/>
            </w:pPr>
            <w:r w:rsidRPr="006A7FA8">
              <w:t>0</w:t>
            </w:r>
          </w:p>
        </w:tc>
        <w:tc>
          <w:tcPr>
            <w:tcW w:w="0" w:type="auto"/>
          </w:tcPr>
          <w:p w:rsidR="009E5F1F" w:rsidRPr="006A7FA8" w:rsidRDefault="00801063" w:rsidP="009E5F1F">
            <w:pPr>
              <w:pStyle w:val="naisf"/>
              <w:spacing w:before="0" w:after="0"/>
              <w:ind w:firstLine="0"/>
              <w:jc w:val="center"/>
            </w:pPr>
            <w:r w:rsidRPr="006A7FA8">
              <w:t>0</w:t>
            </w:r>
          </w:p>
        </w:tc>
      </w:tr>
      <w:tr w:rsidR="009E5F1F" w:rsidRPr="00633A59" w:rsidTr="0021023C">
        <w:trPr>
          <w:jc w:val="center"/>
        </w:trPr>
        <w:tc>
          <w:tcPr>
            <w:tcW w:w="0" w:type="auto"/>
          </w:tcPr>
          <w:p w:rsidR="009E5F1F" w:rsidRPr="006A7FA8" w:rsidRDefault="0021023C" w:rsidP="00F27B5F">
            <w:pPr>
              <w:pStyle w:val="naisf"/>
              <w:spacing w:before="0" w:after="60"/>
              <w:ind w:left="176" w:firstLine="0"/>
              <w:rPr>
                <w:i/>
              </w:rPr>
            </w:pPr>
            <w:r w:rsidRPr="006A7FA8">
              <w:t>1.1.</w:t>
            </w:r>
            <w:r w:rsidR="009E5F1F" w:rsidRPr="006A7FA8">
              <w:t>valsts pamatbudžets, tai skaitā ieņēmumi no maksas pakalpojumiem un citi pašu ieņēmumi</w:t>
            </w:r>
          </w:p>
        </w:tc>
        <w:tc>
          <w:tcPr>
            <w:tcW w:w="0" w:type="auto"/>
          </w:tcPr>
          <w:p w:rsidR="009E5F1F" w:rsidRPr="006A7FA8" w:rsidRDefault="009E5F1F" w:rsidP="009E5F1F">
            <w:pPr>
              <w:pStyle w:val="naisf"/>
              <w:spacing w:before="0" w:after="0"/>
              <w:ind w:firstLine="0"/>
              <w:jc w:val="center"/>
            </w:pPr>
            <w:r w:rsidRPr="006A7FA8">
              <w:t>0</w:t>
            </w:r>
          </w:p>
        </w:tc>
        <w:tc>
          <w:tcPr>
            <w:tcW w:w="0" w:type="auto"/>
          </w:tcPr>
          <w:p w:rsidR="009E5F1F" w:rsidRPr="006A7FA8" w:rsidRDefault="009E5F1F" w:rsidP="009E5F1F">
            <w:pPr>
              <w:pStyle w:val="naisf"/>
              <w:spacing w:before="0" w:after="0"/>
              <w:ind w:firstLine="0"/>
              <w:jc w:val="center"/>
            </w:pPr>
            <w:r w:rsidRPr="006A7FA8">
              <w:t>0</w:t>
            </w:r>
          </w:p>
        </w:tc>
        <w:tc>
          <w:tcPr>
            <w:tcW w:w="0" w:type="auto"/>
          </w:tcPr>
          <w:p w:rsidR="009E5F1F" w:rsidRPr="006A7FA8" w:rsidRDefault="00801063" w:rsidP="009E5F1F">
            <w:pPr>
              <w:pStyle w:val="naisf"/>
              <w:spacing w:before="0" w:after="0"/>
              <w:ind w:firstLine="0"/>
              <w:jc w:val="center"/>
            </w:pPr>
            <w:r w:rsidRPr="006A7FA8">
              <w:t>0</w:t>
            </w:r>
          </w:p>
        </w:tc>
        <w:tc>
          <w:tcPr>
            <w:tcW w:w="0" w:type="auto"/>
          </w:tcPr>
          <w:p w:rsidR="009E5F1F" w:rsidRPr="006A7FA8" w:rsidRDefault="00801063" w:rsidP="009E5F1F">
            <w:pPr>
              <w:pStyle w:val="naisf"/>
              <w:spacing w:before="0" w:after="0"/>
              <w:ind w:firstLine="0"/>
              <w:jc w:val="center"/>
            </w:pPr>
            <w:r w:rsidRPr="006A7FA8">
              <w:t>0</w:t>
            </w:r>
          </w:p>
        </w:tc>
        <w:tc>
          <w:tcPr>
            <w:tcW w:w="0" w:type="auto"/>
          </w:tcPr>
          <w:p w:rsidR="009E5F1F" w:rsidRPr="006A7FA8" w:rsidRDefault="00801063" w:rsidP="009E5F1F">
            <w:pPr>
              <w:pStyle w:val="naisf"/>
              <w:spacing w:before="0" w:after="0"/>
              <w:ind w:firstLine="0"/>
              <w:jc w:val="center"/>
            </w:pPr>
            <w:r w:rsidRPr="006A7FA8">
              <w:t>0</w:t>
            </w:r>
          </w:p>
        </w:tc>
      </w:tr>
      <w:tr w:rsidR="009E5F1F" w:rsidRPr="00633A59" w:rsidTr="0021023C">
        <w:trPr>
          <w:jc w:val="center"/>
        </w:trPr>
        <w:tc>
          <w:tcPr>
            <w:tcW w:w="0" w:type="auto"/>
          </w:tcPr>
          <w:p w:rsidR="009E5F1F" w:rsidRPr="006A7FA8" w:rsidRDefault="0021023C" w:rsidP="00F27B5F">
            <w:pPr>
              <w:pStyle w:val="naisf"/>
              <w:spacing w:before="0" w:after="60"/>
              <w:ind w:left="176" w:firstLine="0"/>
              <w:rPr>
                <w:i/>
              </w:rPr>
            </w:pPr>
            <w:r w:rsidRPr="006A7FA8">
              <w:t>1.2.</w:t>
            </w:r>
            <w:r w:rsidR="009E5F1F" w:rsidRPr="006A7FA8">
              <w:t>valsts speciālais budžets</w:t>
            </w:r>
          </w:p>
        </w:tc>
        <w:tc>
          <w:tcPr>
            <w:tcW w:w="0" w:type="auto"/>
            <w:vAlign w:val="center"/>
          </w:tcPr>
          <w:p w:rsidR="009E5F1F" w:rsidRPr="006A7FA8" w:rsidRDefault="009E5F1F" w:rsidP="009E5F1F">
            <w:pPr>
              <w:pStyle w:val="naisf"/>
              <w:spacing w:before="0" w:after="0"/>
              <w:ind w:firstLine="0"/>
              <w:jc w:val="center"/>
            </w:pPr>
            <w:r w:rsidRPr="006A7FA8">
              <w:t>0</w:t>
            </w:r>
          </w:p>
        </w:tc>
        <w:tc>
          <w:tcPr>
            <w:tcW w:w="0" w:type="auto"/>
            <w:vAlign w:val="center"/>
          </w:tcPr>
          <w:p w:rsidR="009E5F1F" w:rsidRPr="006A7FA8" w:rsidRDefault="009E5F1F"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r>
      <w:tr w:rsidR="009E5F1F" w:rsidRPr="00633A59" w:rsidTr="0021023C">
        <w:trPr>
          <w:jc w:val="center"/>
        </w:trPr>
        <w:tc>
          <w:tcPr>
            <w:tcW w:w="0" w:type="auto"/>
          </w:tcPr>
          <w:p w:rsidR="009E5F1F" w:rsidRPr="006A7FA8" w:rsidRDefault="0021023C" w:rsidP="00F27B5F">
            <w:pPr>
              <w:pStyle w:val="naisf"/>
              <w:spacing w:before="0" w:after="60"/>
              <w:ind w:left="176" w:firstLine="0"/>
              <w:rPr>
                <w:i/>
              </w:rPr>
            </w:pPr>
            <w:r w:rsidRPr="006A7FA8">
              <w:t>1.3.</w:t>
            </w:r>
            <w:r w:rsidR="009E5F1F" w:rsidRPr="006A7FA8">
              <w:t>pašvaldību budžets</w:t>
            </w:r>
          </w:p>
        </w:tc>
        <w:tc>
          <w:tcPr>
            <w:tcW w:w="0" w:type="auto"/>
            <w:vAlign w:val="center"/>
          </w:tcPr>
          <w:p w:rsidR="009E5F1F" w:rsidRPr="006A7FA8" w:rsidRDefault="009E5F1F" w:rsidP="009E5F1F">
            <w:pPr>
              <w:pStyle w:val="naisf"/>
              <w:spacing w:before="0" w:after="0"/>
              <w:ind w:firstLine="0"/>
              <w:jc w:val="center"/>
            </w:pPr>
            <w:r w:rsidRPr="006A7FA8">
              <w:t>0</w:t>
            </w:r>
          </w:p>
        </w:tc>
        <w:tc>
          <w:tcPr>
            <w:tcW w:w="0" w:type="auto"/>
            <w:vAlign w:val="center"/>
          </w:tcPr>
          <w:p w:rsidR="009E5F1F" w:rsidRPr="006A7FA8" w:rsidRDefault="009E5F1F"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r>
      <w:tr w:rsidR="009E5F1F" w:rsidRPr="00633A59" w:rsidTr="0021023C">
        <w:trPr>
          <w:jc w:val="center"/>
        </w:trPr>
        <w:tc>
          <w:tcPr>
            <w:tcW w:w="0" w:type="auto"/>
          </w:tcPr>
          <w:p w:rsidR="009E5F1F" w:rsidRPr="006A7FA8" w:rsidRDefault="009E5F1F" w:rsidP="00F27B5F">
            <w:pPr>
              <w:spacing w:after="60"/>
              <w:ind w:left="176"/>
              <w:jc w:val="both"/>
            </w:pPr>
            <w:r w:rsidRPr="006A7FA8">
              <w:t>2. Budžeta izdevumi:</w:t>
            </w:r>
          </w:p>
        </w:tc>
        <w:tc>
          <w:tcPr>
            <w:tcW w:w="0" w:type="auto"/>
          </w:tcPr>
          <w:p w:rsidR="009E5F1F" w:rsidRPr="006A7FA8" w:rsidRDefault="009E5F1F" w:rsidP="009E5F1F">
            <w:pPr>
              <w:pStyle w:val="naisf"/>
              <w:spacing w:before="0" w:after="0"/>
              <w:ind w:firstLine="0"/>
              <w:jc w:val="center"/>
            </w:pPr>
            <w:r w:rsidRPr="006A7FA8">
              <w:t>0</w:t>
            </w:r>
          </w:p>
        </w:tc>
        <w:tc>
          <w:tcPr>
            <w:tcW w:w="0" w:type="auto"/>
          </w:tcPr>
          <w:p w:rsidR="009E5F1F" w:rsidRPr="006A7FA8" w:rsidRDefault="009E5F1F" w:rsidP="009E5F1F">
            <w:pPr>
              <w:pStyle w:val="naisf"/>
              <w:spacing w:before="0" w:after="0"/>
              <w:ind w:firstLine="0"/>
              <w:jc w:val="center"/>
            </w:pPr>
            <w:r w:rsidRPr="006A7FA8">
              <w:t>0</w:t>
            </w:r>
          </w:p>
        </w:tc>
        <w:tc>
          <w:tcPr>
            <w:tcW w:w="0" w:type="auto"/>
          </w:tcPr>
          <w:p w:rsidR="009E5F1F" w:rsidRPr="006A7FA8" w:rsidRDefault="00801063" w:rsidP="0057047A">
            <w:pPr>
              <w:pStyle w:val="naisf"/>
              <w:spacing w:before="0" w:after="0"/>
              <w:ind w:firstLine="0"/>
              <w:jc w:val="center"/>
            </w:pPr>
            <w:r w:rsidRPr="006A7FA8">
              <w:t>2</w:t>
            </w:r>
            <w:r w:rsidR="00F260FF" w:rsidRPr="006A7FA8">
              <w:t> </w:t>
            </w:r>
            <w:r w:rsidR="0061468A" w:rsidRPr="006A7FA8">
              <w:t>9</w:t>
            </w:r>
            <w:r w:rsidR="005831D3" w:rsidRPr="006A7FA8">
              <w:t>51</w:t>
            </w:r>
            <w:r w:rsidR="00F260FF" w:rsidRPr="006A7FA8">
              <w:t xml:space="preserve"> </w:t>
            </w:r>
            <w:r w:rsidR="0057047A">
              <w:t>691</w:t>
            </w:r>
            <w:r w:rsidR="0021023C" w:rsidRPr="006A7FA8">
              <w:t> </w:t>
            </w:r>
          </w:p>
        </w:tc>
        <w:tc>
          <w:tcPr>
            <w:tcW w:w="0" w:type="auto"/>
            <w:shd w:val="clear" w:color="auto" w:fill="auto"/>
          </w:tcPr>
          <w:p w:rsidR="009E5F1F" w:rsidRPr="006A7FA8" w:rsidRDefault="00914D12" w:rsidP="0057047A">
            <w:pPr>
              <w:pStyle w:val="naisf"/>
              <w:spacing w:before="0" w:after="0"/>
              <w:ind w:firstLine="0"/>
              <w:jc w:val="center"/>
            </w:pPr>
            <w:r w:rsidRPr="006A7FA8">
              <w:t>1</w:t>
            </w:r>
            <w:r w:rsidR="005831D3" w:rsidRPr="006A7FA8">
              <w:t>19</w:t>
            </w:r>
            <w:r w:rsidR="006159C6" w:rsidRPr="006A7FA8">
              <w:t xml:space="preserve"> </w:t>
            </w:r>
            <w:r w:rsidR="005831D3" w:rsidRPr="006A7FA8">
              <w:t>7</w:t>
            </w:r>
            <w:r w:rsidR="006159C6" w:rsidRPr="006A7FA8">
              <w:t>3</w:t>
            </w:r>
            <w:r w:rsidR="0057047A">
              <w:t>1</w:t>
            </w:r>
          </w:p>
        </w:tc>
        <w:tc>
          <w:tcPr>
            <w:tcW w:w="0" w:type="auto"/>
            <w:shd w:val="clear" w:color="auto" w:fill="auto"/>
          </w:tcPr>
          <w:p w:rsidR="009E5F1F" w:rsidRPr="006A7FA8" w:rsidRDefault="006159C6" w:rsidP="0057047A">
            <w:pPr>
              <w:pStyle w:val="naisf"/>
              <w:spacing w:before="0" w:after="0"/>
              <w:ind w:firstLine="0"/>
              <w:jc w:val="center"/>
            </w:pPr>
            <w:r w:rsidRPr="006A7FA8">
              <w:t>119 73</w:t>
            </w:r>
            <w:r w:rsidR="0057047A">
              <w:t>1</w:t>
            </w:r>
          </w:p>
        </w:tc>
      </w:tr>
      <w:tr w:rsidR="0021023C" w:rsidRPr="00633A59" w:rsidTr="0021023C">
        <w:trPr>
          <w:cantSplit/>
          <w:jc w:val="center"/>
        </w:trPr>
        <w:tc>
          <w:tcPr>
            <w:tcW w:w="0" w:type="auto"/>
          </w:tcPr>
          <w:p w:rsidR="0021023C" w:rsidRPr="006A7FA8" w:rsidRDefault="0021023C" w:rsidP="00F27B5F">
            <w:pPr>
              <w:spacing w:after="60"/>
              <w:ind w:left="176"/>
              <w:jc w:val="both"/>
            </w:pPr>
            <w:r w:rsidRPr="006A7FA8">
              <w:lastRenderedPageBreak/>
              <w:t>2.1.valsts pamatbudžets</w:t>
            </w:r>
          </w:p>
        </w:tc>
        <w:tc>
          <w:tcPr>
            <w:tcW w:w="0" w:type="auto"/>
          </w:tcPr>
          <w:p w:rsidR="0021023C" w:rsidRPr="006A7FA8" w:rsidRDefault="0021023C" w:rsidP="009E5F1F">
            <w:pPr>
              <w:pStyle w:val="naisf"/>
              <w:spacing w:before="0" w:after="0"/>
              <w:ind w:left="2160" w:hanging="2160"/>
              <w:jc w:val="center"/>
            </w:pPr>
            <w:r w:rsidRPr="006A7FA8">
              <w:t>0</w:t>
            </w:r>
          </w:p>
        </w:tc>
        <w:tc>
          <w:tcPr>
            <w:tcW w:w="0" w:type="auto"/>
          </w:tcPr>
          <w:p w:rsidR="0021023C" w:rsidRPr="006A7FA8" w:rsidRDefault="0021023C" w:rsidP="009E5F1F">
            <w:pPr>
              <w:pStyle w:val="naisf"/>
              <w:spacing w:before="0" w:after="0"/>
              <w:ind w:left="2160" w:hanging="2160"/>
              <w:jc w:val="center"/>
            </w:pPr>
            <w:r w:rsidRPr="006A7FA8">
              <w:t>0</w:t>
            </w:r>
          </w:p>
        </w:tc>
        <w:tc>
          <w:tcPr>
            <w:tcW w:w="0" w:type="auto"/>
          </w:tcPr>
          <w:p w:rsidR="0021023C" w:rsidRPr="006A7FA8" w:rsidRDefault="000955D3" w:rsidP="0057047A">
            <w:pPr>
              <w:pStyle w:val="naisf"/>
              <w:spacing w:before="0" w:after="0"/>
              <w:ind w:firstLine="0"/>
              <w:jc w:val="center"/>
            </w:pPr>
            <w:r w:rsidRPr="006A7FA8">
              <w:t>2 951 </w:t>
            </w:r>
            <w:r w:rsidR="0057047A">
              <w:t>691</w:t>
            </w:r>
          </w:p>
        </w:tc>
        <w:tc>
          <w:tcPr>
            <w:tcW w:w="0" w:type="auto"/>
            <w:shd w:val="clear" w:color="auto" w:fill="auto"/>
          </w:tcPr>
          <w:p w:rsidR="0021023C" w:rsidRPr="006A7FA8" w:rsidRDefault="006159C6" w:rsidP="0057047A">
            <w:pPr>
              <w:pStyle w:val="naisf"/>
              <w:spacing w:before="0" w:after="0"/>
              <w:ind w:firstLine="0"/>
              <w:jc w:val="center"/>
              <w:rPr>
                <w:i/>
              </w:rPr>
            </w:pPr>
            <w:r w:rsidRPr="006A7FA8">
              <w:t>119 73</w:t>
            </w:r>
            <w:r w:rsidR="0057047A">
              <w:t>1</w:t>
            </w:r>
            <w:r w:rsidR="005831D3" w:rsidRPr="006A7FA8">
              <w:t> </w:t>
            </w:r>
          </w:p>
        </w:tc>
        <w:tc>
          <w:tcPr>
            <w:tcW w:w="0" w:type="auto"/>
            <w:shd w:val="clear" w:color="auto" w:fill="auto"/>
          </w:tcPr>
          <w:p w:rsidR="0021023C" w:rsidRPr="006A7FA8" w:rsidRDefault="006159C6" w:rsidP="0057047A">
            <w:pPr>
              <w:pStyle w:val="naisf"/>
              <w:spacing w:before="0" w:after="0"/>
              <w:ind w:firstLine="0"/>
              <w:jc w:val="center"/>
            </w:pPr>
            <w:r w:rsidRPr="006A7FA8">
              <w:t>119 73</w:t>
            </w:r>
            <w:r w:rsidR="0057047A">
              <w:t>1</w:t>
            </w:r>
          </w:p>
        </w:tc>
      </w:tr>
      <w:tr w:rsidR="009E5F1F" w:rsidRPr="00633A59" w:rsidTr="0021023C">
        <w:trPr>
          <w:jc w:val="center"/>
        </w:trPr>
        <w:tc>
          <w:tcPr>
            <w:tcW w:w="0" w:type="auto"/>
          </w:tcPr>
          <w:p w:rsidR="009E5F1F" w:rsidRPr="006A7FA8" w:rsidRDefault="0021023C" w:rsidP="00F27B5F">
            <w:pPr>
              <w:spacing w:after="60"/>
              <w:ind w:left="176"/>
              <w:jc w:val="both"/>
            </w:pPr>
            <w:r w:rsidRPr="006A7FA8">
              <w:t>2.2.</w:t>
            </w:r>
            <w:r w:rsidR="009E5F1F" w:rsidRPr="006A7FA8">
              <w:t>valsts speciālais budžets</w:t>
            </w:r>
          </w:p>
        </w:tc>
        <w:tc>
          <w:tcPr>
            <w:tcW w:w="0" w:type="auto"/>
            <w:vAlign w:val="center"/>
          </w:tcPr>
          <w:p w:rsidR="009E5F1F" w:rsidRPr="006A7FA8" w:rsidRDefault="009E5F1F" w:rsidP="009E5F1F">
            <w:pPr>
              <w:pStyle w:val="naisf"/>
              <w:spacing w:before="0" w:after="0"/>
              <w:ind w:firstLine="0"/>
              <w:jc w:val="center"/>
            </w:pPr>
            <w:r w:rsidRPr="006A7FA8">
              <w:t>0</w:t>
            </w:r>
          </w:p>
        </w:tc>
        <w:tc>
          <w:tcPr>
            <w:tcW w:w="0" w:type="auto"/>
            <w:vAlign w:val="center"/>
          </w:tcPr>
          <w:p w:rsidR="009E5F1F" w:rsidRPr="006A7FA8" w:rsidRDefault="009E5F1F"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r>
      <w:tr w:rsidR="009E5F1F" w:rsidRPr="00633A59" w:rsidTr="0021023C">
        <w:trPr>
          <w:jc w:val="center"/>
        </w:trPr>
        <w:tc>
          <w:tcPr>
            <w:tcW w:w="0" w:type="auto"/>
          </w:tcPr>
          <w:p w:rsidR="009E5F1F" w:rsidRPr="006A7FA8" w:rsidRDefault="0021023C" w:rsidP="00F27B5F">
            <w:pPr>
              <w:spacing w:after="60"/>
              <w:ind w:left="176"/>
              <w:jc w:val="both"/>
            </w:pPr>
            <w:r w:rsidRPr="006A7FA8">
              <w:t>2.3.</w:t>
            </w:r>
            <w:r w:rsidR="009E5F1F" w:rsidRPr="006A7FA8">
              <w:t xml:space="preserve">pašvaldību budžets </w:t>
            </w:r>
          </w:p>
        </w:tc>
        <w:tc>
          <w:tcPr>
            <w:tcW w:w="0" w:type="auto"/>
            <w:vAlign w:val="center"/>
          </w:tcPr>
          <w:p w:rsidR="009E5F1F" w:rsidRPr="006A7FA8" w:rsidRDefault="009E5F1F" w:rsidP="009E5F1F">
            <w:pPr>
              <w:pStyle w:val="naisf"/>
              <w:spacing w:before="0" w:after="0"/>
              <w:ind w:firstLine="0"/>
              <w:jc w:val="center"/>
            </w:pPr>
            <w:r w:rsidRPr="006A7FA8">
              <w:t>0</w:t>
            </w:r>
          </w:p>
        </w:tc>
        <w:tc>
          <w:tcPr>
            <w:tcW w:w="0" w:type="auto"/>
            <w:vAlign w:val="center"/>
          </w:tcPr>
          <w:p w:rsidR="009E5F1F" w:rsidRPr="006A7FA8" w:rsidRDefault="009E5F1F"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c>
          <w:tcPr>
            <w:tcW w:w="0" w:type="auto"/>
            <w:vAlign w:val="center"/>
          </w:tcPr>
          <w:p w:rsidR="009E5F1F" w:rsidRPr="006A7FA8" w:rsidRDefault="006159C6" w:rsidP="009E5F1F">
            <w:pPr>
              <w:pStyle w:val="naisf"/>
              <w:spacing w:before="0" w:after="0"/>
              <w:ind w:firstLine="0"/>
              <w:jc w:val="center"/>
            </w:pPr>
            <w:r w:rsidRPr="006A7FA8">
              <w:t>0</w:t>
            </w:r>
          </w:p>
        </w:tc>
        <w:tc>
          <w:tcPr>
            <w:tcW w:w="0" w:type="auto"/>
            <w:vAlign w:val="center"/>
          </w:tcPr>
          <w:p w:rsidR="009E5F1F" w:rsidRPr="006A7FA8" w:rsidRDefault="00801063" w:rsidP="009E5F1F">
            <w:pPr>
              <w:pStyle w:val="naisf"/>
              <w:spacing w:before="0" w:after="0"/>
              <w:ind w:firstLine="0"/>
              <w:jc w:val="center"/>
            </w:pPr>
            <w:r w:rsidRPr="006A7FA8">
              <w:t>0</w:t>
            </w:r>
          </w:p>
        </w:tc>
      </w:tr>
      <w:tr w:rsidR="00914D12" w:rsidRPr="00633A59" w:rsidTr="0021023C">
        <w:trPr>
          <w:jc w:val="center"/>
        </w:trPr>
        <w:tc>
          <w:tcPr>
            <w:tcW w:w="0" w:type="auto"/>
          </w:tcPr>
          <w:p w:rsidR="00914D12" w:rsidRPr="006A7FA8" w:rsidRDefault="00914D12" w:rsidP="00F27B5F">
            <w:pPr>
              <w:spacing w:after="60"/>
              <w:ind w:left="176"/>
              <w:jc w:val="both"/>
            </w:pPr>
            <w:r w:rsidRPr="006A7FA8">
              <w:t>3. Finansiālā ietekme:</w:t>
            </w:r>
          </w:p>
        </w:tc>
        <w:tc>
          <w:tcPr>
            <w:tcW w:w="0" w:type="auto"/>
            <w:shd w:val="clear" w:color="auto" w:fill="auto"/>
            <w:vAlign w:val="center"/>
          </w:tcPr>
          <w:p w:rsidR="00914D12" w:rsidRPr="006A7FA8" w:rsidRDefault="00914D12" w:rsidP="009E5F1F">
            <w:pPr>
              <w:pStyle w:val="naisf"/>
              <w:spacing w:before="0" w:after="0"/>
              <w:ind w:firstLine="0"/>
              <w:jc w:val="center"/>
            </w:pPr>
            <w:r w:rsidRPr="006A7FA8">
              <w:t>0</w:t>
            </w:r>
          </w:p>
        </w:tc>
        <w:tc>
          <w:tcPr>
            <w:tcW w:w="0" w:type="auto"/>
            <w:shd w:val="clear" w:color="auto" w:fill="auto"/>
            <w:vAlign w:val="center"/>
          </w:tcPr>
          <w:p w:rsidR="00914D12" w:rsidRPr="006A7FA8" w:rsidRDefault="00914D12" w:rsidP="009E5F1F">
            <w:pPr>
              <w:pStyle w:val="naisf"/>
              <w:spacing w:before="0" w:after="0"/>
              <w:ind w:firstLine="0"/>
              <w:jc w:val="center"/>
            </w:pPr>
            <w:r w:rsidRPr="006A7FA8">
              <w:t>0</w:t>
            </w:r>
          </w:p>
        </w:tc>
        <w:tc>
          <w:tcPr>
            <w:tcW w:w="0" w:type="auto"/>
            <w:shd w:val="clear" w:color="auto" w:fill="auto"/>
          </w:tcPr>
          <w:p w:rsidR="00914D12" w:rsidRPr="006A7FA8" w:rsidRDefault="005831D3" w:rsidP="0057047A">
            <w:pPr>
              <w:pStyle w:val="naisf"/>
              <w:spacing w:before="0" w:after="0"/>
              <w:ind w:firstLine="0"/>
              <w:jc w:val="center"/>
            </w:pPr>
            <w:r w:rsidRPr="006A7FA8">
              <w:t xml:space="preserve">- </w:t>
            </w:r>
            <w:r w:rsidR="000955D3" w:rsidRPr="006A7FA8">
              <w:t>2 951 </w:t>
            </w:r>
            <w:r w:rsidR="0057047A">
              <w:t>691</w:t>
            </w:r>
          </w:p>
        </w:tc>
        <w:tc>
          <w:tcPr>
            <w:tcW w:w="0" w:type="auto"/>
            <w:shd w:val="clear" w:color="auto" w:fill="auto"/>
          </w:tcPr>
          <w:p w:rsidR="00914D12" w:rsidRPr="006A7FA8" w:rsidRDefault="006159C6" w:rsidP="0057047A">
            <w:pPr>
              <w:pStyle w:val="naisf"/>
              <w:spacing w:before="0" w:after="0"/>
              <w:ind w:firstLine="0"/>
              <w:jc w:val="center"/>
            </w:pPr>
            <w:r w:rsidRPr="006A7FA8">
              <w:t>- 119 73</w:t>
            </w:r>
            <w:r w:rsidR="0057047A">
              <w:t>1</w:t>
            </w:r>
          </w:p>
        </w:tc>
        <w:tc>
          <w:tcPr>
            <w:tcW w:w="0" w:type="auto"/>
            <w:shd w:val="clear" w:color="auto" w:fill="auto"/>
          </w:tcPr>
          <w:p w:rsidR="00914D12" w:rsidRPr="006A7FA8" w:rsidRDefault="005831D3" w:rsidP="0057047A">
            <w:pPr>
              <w:pStyle w:val="naisf"/>
              <w:spacing w:before="0" w:after="0"/>
              <w:ind w:firstLine="0"/>
              <w:jc w:val="center"/>
            </w:pPr>
            <w:r w:rsidRPr="006A7FA8">
              <w:t xml:space="preserve">- </w:t>
            </w:r>
            <w:r w:rsidR="006159C6" w:rsidRPr="006A7FA8">
              <w:t>119 73</w:t>
            </w:r>
            <w:r w:rsidR="0057047A">
              <w:t>1</w:t>
            </w:r>
          </w:p>
        </w:tc>
      </w:tr>
      <w:tr w:rsidR="005E31E4" w:rsidRPr="00633A59" w:rsidTr="0021023C">
        <w:trPr>
          <w:jc w:val="center"/>
        </w:trPr>
        <w:tc>
          <w:tcPr>
            <w:tcW w:w="0" w:type="auto"/>
          </w:tcPr>
          <w:p w:rsidR="005E31E4" w:rsidRPr="006A7FA8" w:rsidRDefault="005E31E4" w:rsidP="00F27B5F">
            <w:pPr>
              <w:spacing w:after="60"/>
              <w:ind w:left="176"/>
              <w:jc w:val="both"/>
            </w:pPr>
            <w:r w:rsidRPr="006A7FA8">
              <w:t>3.1.valsts pamatbudžets</w:t>
            </w:r>
          </w:p>
        </w:tc>
        <w:tc>
          <w:tcPr>
            <w:tcW w:w="0" w:type="auto"/>
            <w:shd w:val="clear" w:color="auto" w:fill="auto"/>
            <w:vAlign w:val="center"/>
          </w:tcPr>
          <w:p w:rsidR="005E31E4" w:rsidRPr="006A7FA8" w:rsidRDefault="005E31E4" w:rsidP="009E5F1F">
            <w:pPr>
              <w:pStyle w:val="naisf"/>
              <w:spacing w:before="0" w:after="0"/>
              <w:ind w:firstLine="0"/>
              <w:jc w:val="center"/>
            </w:pPr>
            <w:r w:rsidRPr="006A7FA8">
              <w:t>0</w:t>
            </w:r>
          </w:p>
        </w:tc>
        <w:tc>
          <w:tcPr>
            <w:tcW w:w="0" w:type="auto"/>
            <w:shd w:val="clear" w:color="auto" w:fill="auto"/>
            <w:vAlign w:val="center"/>
          </w:tcPr>
          <w:p w:rsidR="005E31E4" w:rsidRPr="006A7FA8" w:rsidRDefault="005E31E4" w:rsidP="009E5F1F">
            <w:pPr>
              <w:pStyle w:val="naisf"/>
              <w:spacing w:before="0" w:after="0"/>
              <w:ind w:firstLine="0"/>
              <w:jc w:val="center"/>
            </w:pPr>
            <w:r w:rsidRPr="006A7FA8">
              <w:t>0</w:t>
            </w:r>
          </w:p>
        </w:tc>
        <w:tc>
          <w:tcPr>
            <w:tcW w:w="0" w:type="auto"/>
            <w:shd w:val="clear" w:color="auto" w:fill="auto"/>
          </w:tcPr>
          <w:p w:rsidR="005E31E4" w:rsidRPr="006A7FA8" w:rsidRDefault="005831D3" w:rsidP="0057047A">
            <w:pPr>
              <w:pStyle w:val="naisf"/>
              <w:spacing w:before="0" w:after="0"/>
              <w:ind w:firstLine="0"/>
              <w:jc w:val="center"/>
            </w:pPr>
            <w:r w:rsidRPr="006A7FA8">
              <w:t xml:space="preserve">- </w:t>
            </w:r>
            <w:r w:rsidR="000955D3" w:rsidRPr="006A7FA8">
              <w:t>2 951 </w:t>
            </w:r>
            <w:r w:rsidR="0057047A">
              <w:t>691</w:t>
            </w:r>
            <w:r w:rsidR="000955D3" w:rsidRPr="006A7FA8">
              <w:t> </w:t>
            </w:r>
          </w:p>
        </w:tc>
        <w:tc>
          <w:tcPr>
            <w:tcW w:w="0" w:type="auto"/>
            <w:shd w:val="clear" w:color="auto" w:fill="auto"/>
          </w:tcPr>
          <w:p w:rsidR="005E31E4" w:rsidRPr="006A7FA8" w:rsidRDefault="005831D3" w:rsidP="0057047A">
            <w:pPr>
              <w:pStyle w:val="naisf"/>
              <w:spacing w:before="0" w:after="0"/>
              <w:ind w:firstLine="0"/>
              <w:jc w:val="center"/>
            </w:pPr>
            <w:r w:rsidRPr="006A7FA8">
              <w:t xml:space="preserve">- </w:t>
            </w:r>
            <w:r w:rsidR="006159C6" w:rsidRPr="006A7FA8">
              <w:t>119 73</w:t>
            </w:r>
            <w:r w:rsidR="0057047A">
              <w:t>1</w:t>
            </w:r>
          </w:p>
        </w:tc>
        <w:tc>
          <w:tcPr>
            <w:tcW w:w="0" w:type="auto"/>
            <w:shd w:val="clear" w:color="auto" w:fill="auto"/>
          </w:tcPr>
          <w:p w:rsidR="005E31E4" w:rsidRPr="006A7FA8" w:rsidRDefault="005831D3" w:rsidP="0057047A">
            <w:pPr>
              <w:pStyle w:val="naisf"/>
              <w:spacing w:before="0" w:after="0"/>
              <w:ind w:firstLine="0"/>
              <w:jc w:val="center"/>
            </w:pPr>
            <w:r w:rsidRPr="006A7FA8">
              <w:t xml:space="preserve">- </w:t>
            </w:r>
            <w:r w:rsidR="006159C6" w:rsidRPr="006A7FA8">
              <w:t>119 73</w:t>
            </w:r>
            <w:r w:rsidR="0057047A">
              <w:t>1</w:t>
            </w:r>
          </w:p>
        </w:tc>
      </w:tr>
      <w:tr w:rsidR="00EE2849" w:rsidRPr="00633A59" w:rsidTr="0021023C">
        <w:trPr>
          <w:jc w:val="center"/>
        </w:trPr>
        <w:tc>
          <w:tcPr>
            <w:tcW w:w="0" w:type="auto"/>
          </w:tcPr>
          <w:p w:rsidR="00EE2849" w:rsidRPr="006A7FA8" w:rsidRDefault="0021023C" w:rsidP="00F27B5F">
            <w:pPr>
              <w:spacing w:after="60"/>
              <w:ind w:left="176"/>
              <w:jc w:val="both"/>
            </w:pPr>
            <w:r w:rsidRPr="006A7FA8">
              <w:t>3.2.</w:t>
            </w:r>
            <w:r w:rsidR="00EE2849" w:rsidRPr="006A7FA8">
              <w:t>speciālais budžets</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r>
      <w:tr w:rsidR="00EE2849" w:rsidRPr="00633A59" w:rsidTr="0021023C">
        <w:trPr>
          <w:jc w:val="center"/>
        </w:trPr>
        <w:tc>
          <w:tcPr>
            <w:tcW w:w="0" w:type="auto"/>
          </w:tcPr>
          <w:p w:rsidR="00EE2849" w:rsidRPr="006A7FA8" w:rsidRDefault="0021023C" w:rsidP="00F27B5F">
            <w:pPr>
              <w:spacing w:after="60"/>
              <w:ind w:left="176"/>
              <w:jc w:val="both"/>
            </w:pPr>
            <w:r w:rsidRPr="006A7FA8">
              <w:t>3.3.</w:t>
            </w:r>
            <w:r w:rsidR="00EE2849" w:rsidRPr="006A7FA8">
              <w:t xml:space="preserve">pašvaldību budžets </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c>
          <w:tcPr>
            <w:tcW w:w="0" w:type="auto"/>
            <w:shd w:val="clear" w:color="auto" w:fill="auto"/>
            <w:vAlign w:val="center"/>
          </w:tcPr>
          <w:p w:rsidR="00EE2849" w:rsidRPr="006A7FA8" w:rsidRDefault="00EE2849" w:rsidP="009E5F1F">
            <w:pPr>
              <w:pStyle w:val="naisf"/>
              <w:spacing w:before="0" w:after="0"/>
              <w:ind w:firstLine="0"/>
              <w:jc w:val="center"/>
            </w:pPr>
            <w:r w:rsidRPr="006A7FA8">
              <w:t>0</w:t>
            </w:r>
          </w:p>
        </w:tc>
      </w:tr>
      <w:tr w:rsidR="00EE2849" w:rsidRPr="00633A59" w:rsidTr="0021023C">
        <w:trPr>
          <w:jc w:val="center"/>
        </w:trPr>
        <w:tc>
          <w:tcPr>
            <w:tcW w:w="0" w:type="auto"/>
          </w:tcPr>
          <w:p w:rsidR="00EE2849" w:rsidRPr="006A7FA8" w:rsidRDefault="0021023C" w:rsidP="00F27B5F">
            <w:pPr>
              <w:spacing w:after="60"/>
              <w:ind w:left="176"/>
              <w:jc w:val="both"/>
            </w:pPr>
            <w:r w:rsidRPr="006A7FA8">
              <w:t>4.</w:t>
            </w:r>
            <w:r w:rsidR="00EE2849" w:rsidRPr="006A7FA8">
              <w:t>Finanšu līdzekļi papildu izde</w:t>
            </w:r>
            <w:r w:rsidR="00EE2849" w:rsidRPr="006A7FA8">
              <w:softHyphen/>
              <w:t>vumu finansēšanai (kompensējošu izdevumu samazinājumu norāda ar "+" zīmi)</w:t>
            </w:r>
          </w:p>
        </w:tc>
        <w:tc>
          <w:tcPr>
            <w:tcW w:w="0" w:type="auto"/>
            <w:vAlign w:val="center"/>
          </w:tcPr>
          <w:p w:rsidR="00EE2849" w:rsidRPr="006A7FA8" w:rsidRDefault="00EE2849" w:rsidP="009E5F1F">
            <w:pPr>
              <w:pStyle w:val="Header"/>
              <w:jc w:val="center"/>
            </w:pPr>
            <w:r w:rsidRPr="006A7FA8">
              <w:t>X</w:t>
            </w:r>
          </w:p>
        </w:tc>
        <w:tc>
          <w:tcPr>
            <w:tcW w:w="0" w:type="auto"/>
            <w:vAlign w:val="center"/>
          </w:tcPr>
          <w:p w:rsidR="00EE2849" w:rsidRPr="006A7FA8" w:rsidRDefault="00EE2849" w:rsidP="009E5F1F">
            <w:pPr>
              <w:pStyle w:val="Header"/>
              <w:jc w:val="center"/>
            </w:pPr>
            <w:r w:rsidRPr="006A7FA8">
              <w:t>0</w:t>
            </w:r>
          </w:p>
        </w:tc>
        <w:tc>
          <w:tcPr>
            <w:tcW w:w="0" w:type="auto"/>
            <w:vAlign w:val="center"/>
          </w:tcPr>
          <w:p w:rsidR="00EE2849" w:rsidRPr="006A7FA8" w:rsidRDefault="00EE2849" w:rsidP="009E5F1F">
            <w:pPr>
              <w:pStyle w:val="Header"/>
              <w:jc w:val="center"/>
            </w:pPr>
            <w:r w:rsidRPr="006A7FA8">
              <w:t>0</w:t>
            </w:r>
          </w:p>
        </w:tc>
        <w:tc>
          <w:tcPr>
            <w:tcW w:w="0" w:type="auto"/>
            <w:vAlign w:val="center"/>
          </w:tcPr>
          <w:p w:rsidR="00EE2849" w:rsidRPr="006A7FA8" w:rsidRDefault="00EE2849" w:rsidP="009E5F1F">
            <w:pPr>
              <w:pStyle w:val="Header"/>
              <w:jc w:val="center"/>
            </w:pPr>
            <w:r w:rsidRPr="006A7FA8">
              <w:t>0</w:t>
            </w:r>
          </w:p>
        </w:tc>
        <w:tc>
          <w:tcPr>
            <w:tcW w:w="0" w:type="auto"/>
            <w:vAlign w:val="center"/>
          </w:tcPr>
          <w:p w:rsidR="00EE2849" w:rsidRPr="006A7FA8" w:rsidRDefault="00EE2849" w:rsidP="009E5F1F">
            <w:pPr>
              <w:pStyle w:val="Header"/>
              <w:jc w:val="center"/>
            </w:pPr>
            <w:r w:rsidRPr="006A7FA8">
              <w:t>0</w:t>
            </w:r>
          </w:p>
        </w:tc>
      </w:tr>
      <w:tr w:rsidR="005831D3" w:rsidRPr="00633A59" w:rsidTr="0021023C">
        <w:trPr>
          <w:jc w:val="center"/>
        </w:trPr>
        <w:tc>
          <w:tcPr>
            <w:tcW w:w="0" w:type="auto"/>
          </w:tcPr>
          <w:p w:rsidR="005831D3" w:rsidRPr="006A7FA8" w:rsidRDefault="005831D3" w:rsidP="00F27B5F">
            <w:pPr>
              <w:spacing w:after="60"/>
              <w:ind w:left="176"/>
              <w:jc w:val="both"/>
            </w:pPr>
            <w:r w:rsidRPr="006A7FA8">
              <w:t>5.Precizēta finansiālā ietekme:</w:t>
            </w:r>
          </w:p>
        </w:tc>
        <w:tc>
          <w:tcPr>
            <w:tcW w:w="0" w:type="auto"/>
            <w:vMerge w:val="restart"/>
            <w:vAlign w:val="center"/>
          </w:tcPr>
          <w:p w:rsidR="005831D3" w:rsidRPr="006A7FA8" w:rsidRDefault="005831D3" w:rsidP="009E5F1F">
            <w:pPr>
              <w:pStyle w:val="Header"/>
              <w:jc w:val="center"/>
            </w:pPr>
            <w:r w:rsidRPr="006A7FA8">
              <w:t>X</w:t>
            </w:r>
          </w:p>
        </w:tc>
        <w:tc>
          <w:tcPr>
            <w:tcW w:w="0" w:type="auto"/>
            <w:vAlign w:val="center"/>
          </w:tcPr>
          <w:p w:rsidR="005831D3" w:rsidRPr="006A7FA8" w:rsidRDefault="005831D3" w:rsidP="009E5F1F">
            <w:pPr>
              <w:pStyle w:val="Header"/>
              <w:jc w:val="center"/>
            </w:pPr>
            <w:r w:rsidRPr="006A7FA8">
              <w:t>0</w:t>
            </w:r>
          </w:p>
        </w:tc>
        <w:tc>
          <w:tcPr>
            <w:tcW w:w="0" w:type="auto"/>
          </w:tcPr>
          <w:p w:rsidR="005831D3" w:rsidRPr="006A7FA8" w:rsidRDefault="005831D3" w:rsidP="0057047A">
            <w:pPr>
              <w:pStyle w:val="naisf"/>
              <w:spacing w:before="0" w:after="0"/>
              <w:ind w:firstLine="0"/>
              <w:jc w:val="center"/>
            </w:pPr>
            <w:r w:rsidRPr="006A7FA8">
              <w:t xml:space="preserve">- </w:t>
            </w:r>
            <w:r w:rsidR="00975921" w:rsidRPr="006A7FA8">
              <w:t>2 951 </w:t>
            </w:r>
            <w:r w:rsidR="0057047A">
              <w:t>691</w:t>
            </w:r>
            <w:r w:rsidR="00975921" w:rsidRPr="006A7FA8">
              <w:t> </w:t>
            </w:r>
          </w:p>
        </w:tc>
        <w:tc>
          <w:tcPr>
            <w:tcW w:w="0" w:type="auto"/>
          </w:tcPr>
          <w:p w:rsidR="005831D3" w:rsidRPr="006A7FA8" w:rsidRDefault="005831D3" w:rsidP="0057047A">
            <w:pPr>
              <w:pStyle w:val="naisf"/>
              <w:spacing w:before="0" w:after="0"/>
              <w:ind w:firstLine="0"/>
              <w:jc w:val="center"/>
            </w:pPr>
            <w:r w:rsidRPr="006A7FA8">
              <w:t xml:space="preserve">- </w:t>
            </w:r>
            <w:r w:rsidR="00760C2F" w:rsidRPr="006A7FA8">
              <w:t>119 73</w:t>
            </w:r>
            <w:r w:rsidR="0057047A">
              <w:t>1</w:t>
            </w:r>
          </w:p>
        </w:tc>
        <w:tc>
          <w:tcPr>
            <w:tcW w:w="0" w:type="auto"/>
          </w:tcPr>
          <w:p w:rsidR="005831D3" w:rsidRPr="006A7FA8" w:rsidRDefault="005831D3" w:rsidP="0057047A">
            <w:pPr>
              <w:pStyle w:val="naisf"/>
              <w:spacing w:before="0" w:after="0"/>
              <w:ind w:firstLine="0"/>
              <w:jc w:val="center"/>
            </w:pPr>
            <w:r w:rsidRPr="006A7FA8">
              <w:t xml:space="preserve">- </w:t>
            </w:r>
            <w:r w:rsidR="00760C2F" w:rsidRPr="006A7FA8">
              <w:t>119 73</w:t>
            </w:r>
            <w:r w:rsidR="0057047A">
              <w:t>1</w:t>
            </w:r>
          </w:p>
        </w:tc>
      </w:tr>
      <w:tr w:rsidR="005831D3" w:rsidRPr="00633A59" w:rsidTr="0021023C">
        <w:trPr>
          <w:jc w:val="center"/>
        </w:trPr>
        <w:tc>
          <w:tcPr>
            <w:tcW w:w="0" w:type="auto"/>
          </w:tcPr>
          <w:p w:rsidR="005831D3" w:rsidRPr="006A7FA8" w:rsidRDefault="005831D3" w:rsidP="00F27B5F">
            <w:pPr>
              <w:spacing w:after="60"/>
              <w:ind w:left="176"/>
              <w:jc w:val="both"/>
            </w:pPr>
            <w:r w:rsidRPr="006A7FA8">
              <w:t>5.1.valsts pamatbudžets</w:t>
            </w:r>
          </w:p>
        </w:tc>
        <w:tc>
          <w:tcPr>
            <w:tcW w:w="0" w:type="auto"/>
            <w:vMerge/>
            <w:vAlign w:val="center"/>
          </w:tcPr>
          <w:p w:rsidR="005831D3" w:rsidRPr="006A7FA8" w:rsidRDefault="005831D3" w:rsidP="00F27B5F">
            <w:pPr>
              <w:pStyle w:val="naisf"/>
              <w:spacing w:before="0" w:after="0"/>
              <w:ind w:firstLine="0"/>
              <w:jc w:val="left"/>
            </w:pPr>
          </w:p>
        </w:tc>
        <w:tc>
          <w:tcPr>
            <w:tcW w:w="0" w:type="auto"/>
            <w:vAlign w:val="center"/>
          </w:tcPr>
          <w:p w:rsidR="005831D3" w:rsidRPr="006A7FA8" w:rsidRDefault="005831D3" w:rsidP="009E5F1F">
            <w:pPr>
              <w:pStyle w:val="naisf"/>
              <w:spacing w:before="0" w:after="0"/>
              <w:ind w:firstLine="0"/>
              <w:jc w:val="center"/>
            </w:pPr>
            <w:r w:rsidRPr="006A7FA8">
              <w:t>0</w:t>
            </w:r>
          </w:p>
        </w:tc>
        <w:tc>
          <w:tcPr>
            <w:tcW w:w="0" w:type="auto"/>
          </w:tcPr>
          <w:p w:rsidR="005831D3" w:rsidRPr="006A7FA8" w:rsidRDefault="005831D3" w:rsidP="0057047A">
            <w:pPr>
              <w:pStyle w:val="naisf"/>
              <w:spacing w:before="0" w:after="0"/>
              <w:ind w:firstLine="0"/>
              <w:jc w:val="center"/>
            </w:pPr>
            <w:r w:rsidRPr="006A7FA8">
              <w:t xml:space="preserve">- </w:t>
            </w:r>
            <w:r w:rsidR="00975921" w:rsidRPr="006A7FA8">
              <w:t>2 951 </w:t>
            </w:r>
            <w:r w:rsidR="0057047A">
              <w:t>691</w:t>
            </w:r>
            <w:r w:rsidR="00975921" w:rsidRPr="006A7FA8">
              <w:t> </w:t>
            </w:r>
          </w:p>
        </w:tc>
        <w:tc>
          <w:tcPr>
            <w:tcW w:w="0" w:type="auto"/>
          </w:tcPr>
          <w:p w:rsidR="005831D3" w:rsidRPr="006A7FA8" w:rsidRDefault="005831D3" w:rsidP="0057047A">
            <w:pPr>
              <w:pStyle w:val="naisf"/>
              <w:spacing w:before="0" w:after="0"/>
              <w:ind w:firstLine="0"/>
              <w:jc w:val="center"/>
            </w:pPr>
            <w:r w:rsidRPr="006A7FA8">
              <w:t xml:space="preserve">- </w:t>
            </w:r>
            <w:r w:rsidR="00760C2F" w:rsidRPr="006A7FA8">
              <w:t>119 73</w:t>
            </w:r>
            <w:r w:rsidR="0057047A">
              <w:t>1</w:t>
            </w:r>
          </w:p>
        </w:tc>
        <w:tc>
          <w:tcPr>
            <w:tcW w:w="0" w:type="auto"/>
          </w:tcPr>
          <w:p w:rsidR="005831D3" w:rsidRPr="006A7FA8" w:rsidRDefault="005831D3" w:rsidP="0057047A">
            <w:pPr>
              <w:pStyle w:val="naisf"/>
              <w:spacing w:before="0" w:after="0"/>
              <w:ind w:firstLine="0"/>
              <w:jc w:val="center"/>
            </w:pPr>
            <w:r w:rsidRPr="006A7FA8">
              <w:t xml:space="preserve">- </w:t>
            </w:r>
            <w:r w:rsidR="00760C2F" w:rsidRPr="006A7FA8">
              <w:t>119 73</w:t>
            </w:r>
            <w:r w:rsidR="0057047A">
              <w:t>1</w:t>
            </w:r>
          </w:p>
        </w:tc>
      </w:tr>
      <w:tr w:rsidR="005831D3" w:rsidRPr="00633A59" w:rsidTr="0021023C">
        <w:trPr>
          <w:jc w:val="center"/>
        </w:trPr>
        <w:tc>
          <w:tcPr>
            <w:tcW w:w="0" w:type="auto"/>
          </w:tcPr>
          <w:p w:rsidR="005831D3" w:rsidRPr="006A7FA8" w:rsidRDefault="005831D3" w:rsidP="00F27B5F">
            <w:pPr>
              <w:spacing w:after="60"/>
              <w:ind w:left="176"/>
              <w:jc w:val="both"/>
            </w:pPr>
            <w:r w:rsidRPr="006A7FA8">
              <w:t>5.2.speciālais budžets</w:t>
            </w:r>
          </w:p>
        </w:tc>
        <w:tc>
          <w:tcPr>
            <w:tcW w:w="0" w:type="auto"/>
            <w:vMerge/>
            <w:vAlign w:val="center"/>
          </w:tcPr>
          <w:p w:rsidR="005831D3" w:rsidRPr="006A7FA8" w:rsidRDefault="005831D3" w:rsidP="00F27B5F">
            <w:pPr>
              <w:pStyle w:val="naisf"/>
              <w:spacing w:before="0" w:after="0"/>
              <w:ind w:firstLine="0"/>
              <w:jc w:val="left"/>
            </w:pPr>
          </w:p>
        </w:tc>
        <w:tc>
          <w:tcPr>
            <w:tcW w:w="0" w:type="auto"/>
            <w:vAlign w:val="center"/>
          </w:tcPr>
          <w:p w:rsidR="005831D3" w:rsidRPr="006A7FA8" w:rsidRDefault="005831D3" w:rsidP="009E5F1F">
            <w:pPr>
              <w:pStyle w:val="naisf"/>
              <w:spacing w:before="0" w:after="0"/>
              <w:ind w:firstLine="0"/>
              <w:jc w:val="center"/>
            </w:pPr>
            <w:r w:rsidRPr="006A7FA8">
              <w:t>0</w:t>
            </w:r>
          </w:p>
        </w:tc>
        <w:tc>
          <w:tcPr>
            <w:tcW w:w="0" w:type="auto"/>
            <w:vAlign w:val="center"/>
          </w:tcPr>
          <w:p w:rsidR="005831D3" w:rsidRPr="006A7FA8" w:rsidRDefault="005831D3" w:rsidP="00EE2849">
            <w:pPr>
              <w:pStyle w:val="naisf"/>
              <w:spacing w:before="0" w:after="0"/>
              <w:ind w:firstLine="0"/>
              <w:jc w:val="center"/>
            </w:pPr>
            <w:r w:rsidRPr="006A7FA8">
              <w:t>0</w:t>
            </w:r>
          </w:p>
        </w:tc>
        <w:tc>
          <w:tcPr>
            <w:tcW w:w="0" w:type="auto"/>
            <w:vAlign w:val="center"/>
          </w:tcPr>
          <w:p w:rsidR="005831D3" w:rsidRPr="006A7FA8" w:rsidRDefault="005831D3" w:rsidP="00EE2849">
            <w:pPr>
              <w:pStyle w:val="naisf"/>
              <w:spacing w:before="0" w:after="0"/>
              <w:ind w:firstLine="0"/>
              <w:jc w:val="center"/>
            </w:pPr>
            <w:r w:rsidRPr="006A7FA8">
              <w:t>0</w:t>
            </w:r>
          </w:p>
        </w:tc>
        <w:tc>
          <w:tcPr>
            <w:tcW w:w="0" w:type="auto"/>
            <w:vAlign w:val="center"/>
          </w:tcPr>
          <w:p w:rsidR="005831D3" w:rsidRPr="006A7FA8" w:rsidRDefault="005831D3" w:rsidP="00EE2849">
            <w:pPr>
              <w:pStyle w:val="naisf"/>
              <w:spacing w:before="0" w:after="0"/>
              <w:ind w:firstLine="0"/>
              <w:jc w:val="center"/>
            </w:pPr>
            <w:r w:rsidRPr="006A7FA8">
              <w:t>0</w:t>
            </w:r>
          </w:p>
        </w:tc>
      </w:tr>
      <w:tr w:rsidR="005831D3" w:rsidRPr="00633A59" w:rsidTr="0021023C">
        <w:trPr>
          <w:jc w:val="center"/>
        </w:trPr>
        <w:tc>
          <w:tcPr>
            <w:tcW w:w="0" w:type="auto"/>
          </w:tcPr>
          <w:p w:rsidR="005831D3" w:rsidRPr="006A7FA8" w:rsidRDefault="005831D3" w:rsidP="00F27B5F">
            <w:pPr>
              <w:spacing w:after="60"/>
              <w:ind w:left="176"/>
              <w:jc w:val="both"/>
            </w:pPr>
            <w:r w:rsidRPr="006A7FA8">
              <w:t xml:space="preserve">5.3.pašvaldību budžets </w:t>
            </w:r>
          </w:p>
        </w:tc>
        <w:tc>
          <w:tcPr>
            <w:tcW w:w="0" w:type="auto"/>
            <w:vMerge/>
            <w:vAlign w:val="center"/>
          </w:tcPr>
          <w:p w:rsidR="005831D3" w:rsidRPr="006A7FA8" w:rsidRDefault="005831D3" w:rsidP="00F27B5F">
            <w:pPr>
              <w:pStyle w:val="naisf"/>
              <w:spacing w:before="0" w:after="0"/>
              <w:ind w:firstLine="0"/>
              <w:jc w:val="left"/>
            </w:pPr>
          </w:p>
        </w:tc>
        <w:tc>
          <w:tcPr>
            <w:tcW w:w="0" w:type="auto"/>
            <w:vAlign w:val="center"/>
          </w:tcPr>
          <w:p w:rsidR="005831D3" w:rsidRPr="006A7FA8" w:rsidRDefault="005831D3" w:rsidP="009E5F1F">
            <w:pPr>
              <w:pStyle w:val="naisf"/>
              <w:spacing w:before="0" w:after="0"/>
              <w:ind w:firstLine="0"/>
              <w:jc w:val="center"/>
            </w:pPr>
            <w:r w:rsidRPr="006A7FA8">
              <w:t>0</w:t>
            </w:r>
          </w:p>
        </w:tc>
        <w:tc>
          <w:tcPr>
            <w:tcW w:w="0" w:type="auto"/>
            <w:vAlign w:val="center"/>
          </w:tcPr>
          <w:p w:rsidR="005831D3" w:rsidRPr="006A7FA8" w:rsidRDefault="005831D3" w:rsidP="00EE2849">
            <w:pPr>
              <w:pStyle w:val="naisf"/>
              <w:spacing w:before="0" w:after="0"/>
              <w:ind w:firstLine="0"/>
              <w:jc w:val="center"/>
            </w:pPr>
            <w:r w:rsidRPr="006A7FA8">
              <w:t>0</w:t>
            </w:r>
          </w:p>
        </w:tc>
        <w:tc>
          <w:tcPr>
            <w:tcW w:w="0" w:type="auto"/>
            <w:vAlign w:val="center"/>
          </w:tcPr>
          <w:p w:rsidR="005831D3" w:rsidRPr="006A7FA8" w:rsidRDefault="005831D3" w:rsidP="00EE2849">
            <w:pPr>
              <w:pStyle w:val="naisf"/>
              <w:spacing w:before="0" w:after="0"/>
              <w:ind w:firstLine="0"/>
              <w:jc w:val="center"/>
            </w:pPr>
            <w:r w:rsidRPr="006A7FA8">
              <w:t>0</w:t>
            </w:r>
          </w:p>
        </w:tc>
        <w:tc>
          <w:tcPr>
            <w:tcW w:w="0" w:type="auto"/>
            <w:vAlign w:val="center"/>
          </w:tcPr>
          <w:p w:rsidR="005831D3" w:rsidRPr="006A7FA8" w:rsidRDefault="005831D3" w:rsidP="00EE2849">
            <w:pPr>
              <w:pStyle w:val="naisf"/>
              <w:spacing w:before="0" w:after="0"/>
              <w:ind w:firstLine="0"/>
              <w:jc w:val="center"/>
            </w:pPr>
            <w:r w:rsidRPr="006A7FA8">
              <w:t>0</w:t>
            </w:r>
          </w:p>
        </w:tc>
      </w:tr>
      <w:tr w:rsidR="005831D3" w:rsidRPr="00633A59" w:rsidTr="0021023C">
        <w:trPr>
          <w:jc w:val="center"/>
        </w:trPr>
        <w:tc>
          <w:tcPr>
            <w:tcW w:w="0" w:type="auto"/>
          </w:tcPr>
          <w:p w:rsidR="005831D3" w:rsidRPr="006A7FA8" w:rsidRDefault="005831D3" w:rsidP="00F27B5F">
            <w:pPr>
              <w:spacing w:after="60"/>
              <w:ind w:left="176"/>
              <w:jc w:val="both"/>
            </w:pPr>
            <w:r w:rsidRPr="006A7FA8">
              <w:t>6.Detalizēts ieņēmumu un izdevu</w:t>
            </w:r>
            <w:r w:rsidRPr="006A7FA8">
              <w:softHyphen/>
              <w:t>mu aprēķins (ja nepieciešams, detalizētu ieņēmumu un izdevumu aprēķinu var pievienot anotācijas pielikumā):</w:t>
            </w:r>
          </w:p>
        </w:tc>
        <w:tc>
          <w:tcPr>
            <w:tcW w:w="0" w:type="auto"/>
            <w:gridSpan w:val="5"/>
            <w:vMerge w:val="restart"/>
          </w:tcPr>
          <w:p w:rsidR="00D93994" w:rsidRPr="006A7FA8" w:rsidRDefault="005831D3" w:rsidP="00D93994">
            <w:pPr>
              <w:jc w:val="both"/>
              <w:rPr>
                <w:bCs/>
              </w:rPr>
            </w:pPr>
            <w:r w:rsidRPr="006A7FA8">
              <w:rPr>
                <w:bCs/>
              </w:rPr>
              <w:t>Detalizēts aprēķins iekļauts informatīvajā ziņojumā „Par nepieciešamo aprīkojumu darbam ar Biometrijas datu apstrādes sistēmu” (pieņemts zināšanai Ministru kabineta 2013.gada 8.augusta sēdē (prot. Nr.43, 1.§)).</w:t>
            </w:r>
            <w:r w:rsidR="000955D3" w:rsidRPr="006A7FA8">
              <w:rPr>
                <w:bCs/>
              </w:rPr>
              <w:t xml:space="preserve"> Ievērojot, ka likumā „Par valsts budžetu 2014.gadam” </w:t>
            </w:r>
            <w:r w:rsidR="00F64C7F" w:rsidRPr="006A7FA8">
              <w:t xml:space="preserve">Korupcijas novēršanas un apkarošanas biroja izvirzītajai  </w:t>
            </w:r>
            <w:r w:rsidR="000955D3" w:rsidRPr="006A7FA8">
              <w:t xml:space="preserve">jaunajai politikas iniciatīvai „Biometrijas datu apstrādes sistēmas likuma prasību nodrošināšana” ir paredzēts finansējums 20 432 </w:t>
            </w:r>
            <w:r w:rsidR="000955D3" w:rsidRPr="006A7FA8">
              <w:rPr>
                <w:i/>
              </w:rPr>
              <w:t>euro</w:t>
            </w:r>
            <w:r w:rsidR="000955D3" w:rsidRPr="006A7FA8">
              <w:t xml:space="preserve"> apmērā, par minēto summu samazināts </w:t>
            </w:r>
            <w:r w:rsidR="000955D3" w:rsidRPr="006A7FA8">
              <w:rPr>
                <w:bCs/>
              </w:rPr>
              <w:t>nepieciešamo papildu valsts budžeta līdzekļu apjoms</w:t>
            </w:r>
            <w:r w:rsidR="00F64C7F" w:rsidRPr="006A7FA8">
              <w:rPr>
                <w:bCs/>
              </w:rPr>
              <w:t>.</w:t>
            </w:r>
          </w:p>
          <w:p w:rsidR="00435025" w:rsidRPr="006A7FA8" w:rsidRDefault="00F64C7F" w:rsidP="00D93994">
            <w:pPr>
              <w:jc w:val="both"/>
              <w:rPr>
                <w:b/>
                <w:bCs/>
              </w:rPr>
            </w:pPr>
            <w:r w:rsidRPr="006A7FA8">
              <w:rPr>
                <w:b/>
                <w:bCs/>
              </w:rPr>
              <w:t xml:space="preserve">Prognozētie izdevumi - </w:t>
            </w:r>
            <w:r w:rsidR="00D93994" w:rsidRPr="006A7FA8">
              <w:rPr>
                <w:b/>
                <w:bCs/>
              </w:rPr>
              <w:t xml:space="preserve">Kopā: </w:t>
            </w:r>
          </w:p>
          <w:p w:rsidR="00D93994" w:rsidRPr="006A7FA8" w:rsidRDefault="00D93994" w:rsidP="00D93994">
            <w:pPr>
              <w:jc w:val="both"/>
              <w:rPr>
                <w:b/>
                <w:bCs/>
              </w:rPr>
            </w:pPr>
            <w:r w:rsidRPr="006A7FA8">
              <w:rPr>
                <w:b/>
                <w:bCs/>
              </w:rPr>
              <w:t>201</w:t>
            </w:r>
            <w:r w:rsidR="000955D3" w:rsidRPr="006A7FA8">
              <w:rPr>
                <w:b/>
                <w:bCs/>
              </w:rPr>
              <w:t>5</w:t>
            </w:r>
            <w:r w:rsidRPr="006A7FA8">
              <w:rPr>
                <w:b/>
                <w:bCs/>
              </w:rPr>
              <w:t>.gadā –</w:t>
            </w:r>
            <w:r w:rsidR="00AC246D" w:rsidRPr="006A7FA8">
              <w:rPr>
                <w:b/>
                <w:bCs/>
              </w:rPr>
              <w:t xml:space="preserve"> </w:t>
            </w:r>
            <w:r w:rsidR="00975921" w:rsidRPr="006A7FA8">
              <w:rPr>
                <w:b/>
              </w:rPr>
              <w:t>2 951 </w:t>
            </w:r>
            <w:r w:rsidR="006837A9">
              <w:rPr>
                <w:b/>
              </w:rPr>
              <w:t>691</w:t>
            </w:r>
            <w:r w:rsidR="00975921" w:rsidRPr="006A7FA8">
              <w:rPr>
                <w:b/>
              </w:rPr>
              <w:t> </w:t>
            </w:r>
            <w:r w:rsidR="00975921" w:rsidRPr="006A7FA8">
              <w:rPr>
                <w:b/>
                <w:i/>
              </w:rPr>
              <w:t>euro</w:t>
            </w:r>
            <w:r w:rsidRPr="006A7FA8">
              <w:rPr>
                <w:b/>
                <w:bCs/>
              </w:rPr>
              <w:t>;</w:t>
            </w:r>
          </w:p>
          <w:p w:rsidR="00D93994" w:rsidRPr="006A7FA8" w:rsidRDefault="00D93994" w:rsidP="00D93994">
            <w:pPr>
              <w:jc w:val="both"/>
              <w:rPr>
                <w:bCs/>
              </w:rPr>
            </w:pPr>
            <w:r w:rsidRPr="006A7FA8">
              <w:rPr>
                <w:b/>
                <w:bCs/>
              </w:rPr>
              <w:t>201</w:t>
            </w:r>
            <w:r w:rsidR="000955D3" w:rsidRPr="006A7FA8">
              <w:rPr>
                <w:b/>
                <w:bCs/>
              </w:rPr>
              <w:t>6</w:t>
            </w:r>
            <w:r w:rsidRPr="006A7FA8">
              <w:rPr>
                <w:b/>
                <w:bCs/>
              </w:rPr>
              <w:t>.gadā un turpmāk katru gadu –</w:t>
            </w:r>
            <w:r w:rsidR="00764BED" w:rsidRPr="006A7FA8">
              <w:rPr>
                <w:b/>
                <w:bCs/>
              </w:rPr>
              <w:t>119 73</w:t>
            </w:r>
            <w:r w:rsidR="006837A9">
              <w:rPr>
                <w:b/>
                <w:bCs/>
              </w:rPr>
              <w:t>1</w:t>
            </w:r>
            <w:r w:rsidR="00764BED" w:rsidRPr="006A7FA8">
              <w:rPr>
                <w:b/>
                <w:bCs/>
              </w:rPr>
              <w:t xml:space="preserve"> </w:t>
            </w:r>
            <w:r w:rsidR="00764BED" w:rsidRPr="006A7FA8">
              <w:rPr>
                <w:b/>
                <w:i/>
              </w:rPr>
              <w:t>euro</w:t>
            </w:r>
            <w:r w:rsidRPr="006A7FA8">
              <w:rPr>
                <w:bCs/>
              </w:rPr>
              <w:t>;</w:t>
            </w:r>
          </w:p>
          <w:p w:rsidR="00D93994" w:rsidRPr="006A7FA8" w:rsidRDefault="00D93994" w:rsidP="00D93994">
            <w:pPr>
              <w:jc w:val="both"/>
              <w:rPr>
                <w:bCs/>
              </w:rPr>
            </w:pPr>
            <w:r w:rsidRPr="006A7FA8">
              <w:rPr>
                <w:bCs/>
              </w:rPr>
              <w:t>tajā skaitā:</w:t>
            </w:r>
          </w:p>
          <w:p w:rsidR="00CA4F00" w:rsidRPr="006A7FA8" w:rsidRDefault="00D93994" w:rsidP="00D93994">
            <w:pPr>
              <w:jc w:val="both"/>
              <w:rPr>
                <w:b/>
                <w:bCs/>
              </w:rPr>
            </w:pPr>
            <w:r w:rsidRPr="006A7FA8">
              <w:rPr>
                <w:b/>
                <w:bCs/>
              </w:rPr>
              <w:t>Iekšlietu ministrijai (Iekšlietu ministrijas Informācijas centram)</w:t>
            </w:r>
          </w:p>
          <w:p w:rsidR="00CA4F00" w:rsidRPr="006A7FA8" w:rsidRDefault="00CA4F00" w:rsidP="00D93994">
            <w:pPr>
              <w:jc w:val="both"/>
              <w:rPr>
                <w:b/>
                <w:bCs/>
              </w:rPr>
            </w:pPr>
            <w:r w:rsidRPr="006A7FA8">
              <w:rPr>
                <w:b/>
                <w:bCs/>
              </w:rPr>
              <w:t>201</w:t>
            </w:r>
            <w:r w:rsidR="000955D3" w:rsidRPr="006A7FA8">
              <w:rPr>
                <w:b/>
                <w:bCs/>
              </w:rPr>
              <w:t>5</w:t>
            </w:r>
            <w:r w:rsidRPr="006A7FA8">
              <w:rPr>
                <w:b/>
                <w:bCs/>
              </w:rPr>
              <w:t>.gadā –</w:t>
            </w:r>
            <w:r w:rsidR="00F64C7F" w:rsidRPr="006A7FA8">
              <w:rPr>
                <w:b/>
                <w:bCs/>
              </w:rPr>
              <w:t xml:space="preserve"> </w:t>
            </w:r>
            <w:r w:rsidR="00975921" w:rsidRPr="006A7FA8">
              <w:rPr>
                <w:b/>
                <w:bCs/>
              </w:rPr>
              <w:t>2 625 284</w:t>
            </w:r>
            <w:r w:rsidR="00975921" w:rsidRPr="006A7FA8">
              <w:rPr>
                <w:b/>
                <w:i/>
              </w:rPr>
              <w:t xml:space="preserve"> euro</w:t>
            </w:r>
            <w:r w:rsidRPr="006A7FA8">
              <w:rPr>
                <w:b/>
                <w:bCs/>
              </w:rPr>
              <w:t>;</w:t>
            </w:r>
            <w:r w:rsidR="00D93994" w:rsidRPr="006A7FA8">
              <w:rPr>
                <w:b/>
                <w:bCs/>
              </w:rPr>
              <w:t xml:space="preserve"> </w:t>
            </w:r>
          </w:p>
          <w:p w:rsidR="00CA4F00" w:rsidRPr="006A7FA8" w:rsidRDefault="00CA4F00" w:rsidP="00CA4F00">
            <w:pPr>
              <w:jc w:val="both"/>
              <w:rPr>
                <w:b/>
                <w:bCs/>
              </w:rPr>
            </w:pPr>
            <w:r w:rsidRPr="006A7FA8">
              <w:rPr>
                <w:b/>
                <w:bCs/>
              </w:rPr>
              <w:t>201</w:t>
            </w:r>
            <w:r w:rsidR="000955D3" w:rsidRPr="006A7FA8">
              <w:rPr>
                <w:b/>
                <w:bCs/>
              </w:rPr>
              <w:t>6</w:t>
            </w:r>
            <w:r w:rsidRPr="006A7FA8">
              <w:rPr>
                <w:b/>
                <w:bCs/>
              </w:rPr>
              <w:t>.gadā un turpmāk katru gadu –</w:t>
            </w:r>
            <w:r w:rsidR="00764BED" w:rsidRPr="006A7FA8">
              <w:rPr>
                <w:b/>
                <w:bCs/>
              </w:rPr>
              <w:t xml:space="preserve"> 92 5</w:t>
            </w:r>
            <w:r w:rsidR="006837A9">
              <w:rPr>
                <w:b/>
                <w:bCs/>
              </w:rPr>
              <w:t>39</w:t>
            </w:r>
            <w:r w:rsidR="00764BED" w:rsidRPr="006A7FA8">
              <w:rPr>
                <w:b/>
                <w:bCs/>
              </w:rPr>
              <w:t xml:space="preserve"> </w:t>
            </w:r>
            <w:r w:rsidR="00764BED" w:rsidRPr="006A7FA8">
              <w:rPr>
                <w:b/>
                <w:i/>
              </w:rPr>
              <w:t>euro</w:t>
            </w:r>
            <w:r w:rsidR="00435025" w:rsidRPr="006A7FA8">
              <w:rPr>
                <w:b/>
                <w:bCs/>
              </w:rPr>
              <w:t>;</w:t>
            </w:r>
          </w:p>
          <w:p w:rsidR="00435025" w:rsidRPr="006A7FA8" w:rsidRDefault="00D93994" w:rsidP="00435025">
            <w:pPr>
              <w:jc w:val="both"/>
              <w:rPr>
                <w:b/>
                <w:bCs/>
              </w:rPr>
            </w:pPr>
            <w:r w:rsidRPr="006A7FA8">
              <w:rPr>
                <w:b/>
                <w:bCs/>
              </w:rPr>
              <w:t>Tieslietu ministrijai</w:t>
            </w:r>
            <w:r w:rsidR="00435025" w:rsidRPr="006A7FA8">
              <w:rPr>
                <w:b/>
                <w:bCs/>
              </w:rPr>
              <w:t xml:space="preserve"> – kopā:</w:t>
            </w:r>
          </w:p>
          <w:p w:rsidR="00435025" w:rsidRPr="006A7FA8" w:rsidRDefault="00435025" w:rsidP="00435025">
            <w:pPr>
              <w:jc w:val="both"/>
              <w:rPr>
                <w:b/>
                <w:bCs/>
              </w:rPr>
            </w:pPr>
            <w:r w:rsidRPr="006A7FA8">
              <w:rPr>
                <w:b/>
                <w:bCs/>
              </w:rPr>
              <w:t>201</w:t>
            </w:r>
            <w:r w:rsidR="000955D3" w:rsidRPr="006A7FA8">
              <w:rPr>
                <w:b/>
                <w:bCs/>
              </w:rPr>
              <w:t>5</w:t>
            </w:r>
            <w:r w:rsidRPr="006A7FA8">
              <w:rPr>
                <w:b/>
                <w:bCs/>
              </w:rPr>
              <w:t>.gadā –</w:t>
            </w:r>
            <w:r w:rsidR="00F64C7F" w:rsidRPr="006A7FA8">
              <w:rPr>
                <w:b/>
                <w:bCs/>
              </w:rPr>
              <w:t xml:space="preserve"> </w:t>
            </w:r>
            <w:r w:rsidR="00975921" w:rsidRPr="006A7FA8">
              <w:rPr>
                <w:b/>
                <w:bCs/>
              </w:rPr>
              <w:t>296 </w:t>
            </w:r>
            <w:r w:rsidR="006837A9">
              <w:rPr>
                <w:b/>
                <w:bCs/>
              </w:rPr>
              <w:t>014</w:t>
            </w:r>
            <w:r w:rsidR="00975921" w:rsidRPr="006A7FA8">
              <w:rPr>
                <w:b/>
                <w:bCs/>
              </w:rPr>
              <w:t xml:space="preserve"> </w:t>
            </w:r>
            <w:r w:rsidR="00975921" w:rsidRPr="006A7FA8">
              <w:rPr>
                <w:b/>
                <w:i/>
              </w:rPr>
              <w:t>euro</w:t>
            </w:r>
            <w:r w:rsidRPr="006A7FA8">
              <w:rPr>
                <w:b/>
                <w:bCs/>
              </w:rPr>
              <w:t>;</w:t>
            </w:r>
          </w:p>
          <w:p w:rsidR="00435025" w:rsidRPr="006A7FA8" w:rsidRDefault="00435025" w:rsidP="00435025">
            <w:pPr>
              <w:jc w:val="both"/>
              <w:rPr>
                <w:b/>
                <w:bCs/>
              </w:rPr>
            </w:pPr>
            <w:r w:rsidRPr="006A7FA8">
              <w:rPr>
                <w:b/>
                <w:bCs/>
              </w:rPr>
              <w:t>201</w:t>
            </w:r>
            <w:r w:rsidR="000955D3" w:rsidRPr="006A7FA8">
              <w:rPr>
                <w:b/>
                <w:bCs/>
              </w:rPr>
              <w:t>6</w:t>
            </w:r>
            <w:r w:rsidRPr="006A7FA8">
              <w:rPr>
                <w:b/>
                <w:bCs/>
              </w:rPr>
              <w:t xml:space="preserve">.gadā un turpmāk katru gadu – </w:t>
            </w:r>
            <w:r w:rsidR="00D309F1" w:rsidRPr="006A7FA8">
              <w:rPr>
                <w:b/>
                <w:bCs/>
              </w:rPr>
              <w:t xml:space="preserve">25 194 </w:t>
            </w:r>
            <w:r w:rsidR="00D309F1" w:rsidRPr="006A7FA8">
              <w:rPr>
                <w:b/>
                <w:i/>
              </w:rPr>
              <w:t>euro</w:t>
            </w:r>
            <w:r w:rsidR="00AC246D" w:rsidRPr="006A7FA8">
              <w:rPr>
                <w:b/>
                <w:i/>
              </w:rPr>
              <w:t>;</w:t>
            </w:r>
          </w:p>
          <w:p w:rsidR="00435025" w:rsidRPr="006A7FA8" w:rsidRDefault="00435025" w:rsidP="00435025">
            <w:pPr>
              <w:jc w:val="both"/>
              <w:rPr>
                <w:bCs/>
              </w:rPr>
            </w:pPr>
            <w:r w:rsidRPr="006A7FA8">
              <w:rPr>
                <w:bCs/>
              </w:rPr>
              <w:t>no tā:</w:t>
            </w:r>
          </w:p>
          <w:p w:rsidR="00435025" w:rsidRPr="006A7FA8" w:rsidRDefault="00D93994" w:rsidP="00435025">
            <w:pPr>
              <w:jc w:val="both"/>
              <w:rPr>
                <w:bCs/>
              </w:rPr>
            </w:pPr>
            <w:r w:rsidRPr="006A7FA8">
              <w:rPr>
                <w:bCs/>
              </w:rPr>
              <w:lastRenderedPageBreak/>
              <w:t>Ieslodzījuma vietu pārvaldei</w:t>
            </w:r>
          </w:p>
          <w:p w:rsidR="00435025" w:rsidRPr="006A7FA8" w:rsidRDefault="00435025" w:rsidP="00435025">
            <w:pPr>
              <w:jc w:val="both"/>
              <w:rPr>
                <w:bCs/>
              </w:rPr>
            </w:pPr>
            <w:r w:rsidRPr="006A7FA8">
              <w:rPr>
                <w:bCs/>
              </w:rPr>
              <w:t>201</w:t>
            </w:r>
            <w:r w:rsidR="000955D3" w:rsidRPr="006A7FA8">
              <w:rPr>
                <w:bCs/>
              </w:rPr>
              <w:t>5</w:t>
            </w:r>
            <w:r w:rsidRPr="006A7FA8">
              <w:rPr>
                <w:bCs/>
              </w:rPr>
              <w:t>.gadā –</w:t>
            </w:r>
            <w:r w:rsidR="00975921" w:rsidRPr="006A7FA8">
              <w:rPr>
                <w:bCs/>
              </w:rPr>
              <w:t>286</w:t>
            </w:r>
            <w:r w:rsidR="00C31187" w:rsidRPr="006A7FA8">
              <w:rPr>
                <w:bCs/>
              </w:rPr>
              <w:t> </w:t>
            </w:r>
            <w:r w:rsidR="00975921" w:rsidRPr="006A7FA8">
              <w:rPr>
                <w:bCs/>
              </w:rPr>
              <w:t>05</w:t>
            </w:r>
            <w:r w:rsidR="006837A9">
              <w:rPr>
                <w:bCs/>
              </w:rPr>
              <w:t>4</w:t>
            </w:r>
            <w:r w:rsidR="00C31187" w:rsidRPr="006A7FA8">
              <w:rPr>
                <w:bCs/>
              </w:rPr>
              <w:t xml:space="preserve"> </w:t>
            </w:r>
            <w:r w:rsidR="00975921" w:rsidRPr="006A7FA8">
              <w:rPr>
                <w:i/>
              </w:rPr>
              <w:t>euro</w:t>
            </w:r>
            <w:r w:rsidRPr="006A7FA8">
              <w:rPr>
                <w:bCs/>
              </w:rPr>
              <w:t>;</w:t>
            </w:r>
          </w:p>
          <w:p w:rsidR="00435025" w:rsidRPr="006A7FA8" w:rsidRDefault="00435025" w:rsidP="00435025">
            <w:pPr>
              <w:jc w:val="both"/>
              <w:rPr>
                <w:bCs/>
              </w:rPr>
            </w:pPr>
            <w:r w:rsidRPr="006A7FA8">
              <w:rPr>
                <w:bCs/>
              </w:rPr>
              <w:t>201</w:t>
            </w:r>
            <w:r w:rsidR="000955D3" w:rsidRPr="006A7FA8">
              <w:rPr>
                <w:bCs/>
              </w:rPr>
              <w:t>6</w:t>
            </w:r>
            <w:r w:rsidRPr="006A7FA8">
              <w:rPr>
                <w:bCs/>
              </w:rPr>
              <w:t>.gadā un turpmāk katru gadu –</w:t>
            </w:r>
            <w:r w:rsidR="00F64C7F" w:rsidRPr="006A7FA8">
              <w:rPr>
                <w:bCs/>
              </w:rPr>
              <w:t xml:space="preserve"> </w:t>
            </w:r>
            <w:r w:rsidR="00D309F1" w:rsidRPr="006A7FA8">
              <w:rPr>
                <w:bCs/>
              </w:rPr>
              <w:t xml:space="preserve">24 980 </w:t>
            </w:r>
            <w:r w:rsidR="00D309F1" w:rsidRPr="006A7FA8">
              <w:rPr>
                <w:i/>
              </w:rPr>
              <w:t>euro</w:t>
            </w:r>
            <w:r w:rsidRPr="006A7FA8">
              <w:rPr>
                <w:bCs/>
              </w:rPr>
              <w:t>;</w:t>
            </w:r>
          </w:p>
          <w:p w:rsidR="00435025" w:rsidRPr="006A7FA8" w:rsidRDefault="00435025" w:rsidP="00435025">
            <w:pPr>
              <w:jc w:val="both"/>
              <w:rPr>
                <w:bCs/>
              </w:rPr>
            </w:pPr>
            <w:r w:rsidRPr="006A7FA8">
              <w:rPr>
                <w:bCs/>
              </w:rPr>
              <w:t>Satversmes aizsardzības birojam</w:t>
            </w:r>
          </w:p>
          <w:p w:rsidR="00435025" w:rsidRPr="006A7FA8" w:rsidRDefault="00435025" w:rsidP="00435025">
            <w:pPr>
              <w:jc w:val="both"/>
              <w:rPr>
                <w:bCs/>
              </w:rPr>
            </w:pPr>
            <w:r w:rsidRPr="006A7FA8">
              <w:rPr>
                <w:bCs/>
              </w:rPr>
              <w:t>201</w:t>
            </w:r>
            <w:r w:rsidR="000955D3" w:rsidRPr="006A7FA8">
              <w:rPr>
                <w:bCs/>
              </w:rPr>
              <w:t>5</w:t>
            </w:r>
            <w:r w:rsidRPr="006A7FA8">
              <w:rPr>
                <w:bCs/>
              </w:rPr>
              <w:t>.gadā –</w:t>
            </w:r>
            <w:r w:rsidR="00975921" w:rsidRPr="006A7FA8">
              <w:rPr>
                <w:bCs/>
              </w:rPr>
              <w:t xml:space="preserve"> </w:t>
            </w:r>
            <w:r w:rsidR="006837A9">
              <w:rPr>
                <w:bCs/>
              </w:rPr>
              <w:t>9 960</w:t>
            </w:r>
            <w:r w:rsidR="00975921" w:rsidRPr="006A7FA8">
              <w:rPr>
                <w:bCs/>
              </w:rPr>
              <w:t xml:space="preserve"> </w:t>
            </w:r>
            <w:r w:rsidR="00975921" w:rsidRPr="006A7FA8">
              <w:rPr>
                <w:i/>
              </w:rPr>
              <w:t>euro</w:t>
            </w:r>
            <w:r w:rsidRPr="006A7FA8">
              <w:rPr>
                <w:bCs/>
              </w:rPr>
              <w:t>;</w:t>
            </w:r>
          </w:p>
          <w:p w:rsidR="00435025" w:rsidRPr="006A7FA8" w:rsidRDefault="00435025" w:rsidP="00435025">
            <w:pPr>
              <w:jc w:val="both"/>
              <w:rPr>
                <w:bCs/>
              </w:rPr>
            </w:pPr>
            <w:r w:rsidRPr="006A7FA8">
              <w:rPr>
                <w:bCs/>
              </w:rPr>
              <w:t>201</w:t>
            </w:r>
            <w:r w:rsidR="000955D3" w:rsidRPr="006A7FA8">
              <w:rPr>
                <w:bCs/>
              </w:rPr>
              <w:t>6</w:t>
            </w:r>
            <w:r w:rsidRPr="006A7FA8">
              <w:rPr>
                <w:bCs/>
              </w:rPr>
              <w:t>.gadā un turpmāk katru gadu –</w:t>
            </w:r>
            <w:r w:rsidR="00F64C7F" w:rsidRPr="006A7FA8">
              <w:rPr>
                <w:bCs/>
              </w:rPr>
              <w:t xml:space="preserve"> </w:t>
            </w:r>
            <w:r w:rsidR="00D309F1" w:rsidRPr="006A7FA8">
              <w:rPr>
                <w:bCs/>
              </w:rPr>
              <w:t xml:space="preserve">214 </w:t>
            </w:r>
            <w:r w:rsidR="00D309F1" w:rsidRPr="006A7FA8">
              <w:rPr>
                <w:i/>
              </w:rPr>
              <w:t>euro</w:t>
            </w:r>
            <w:r w:rsidRPr="006A7FA8">
              <w:rPr>
                <w:bCs/>
              </w:rPr>
              <w:t>;</w:t>
            </w:r>
          </w:p>
          <w:p w:rsidR="00435025" w:rsidRPr="006A7FA8" w:rsidRDefault="00D93994" w:rsidP="00435025">
            <w:pPr>
              <w:jc w:val="both"/>
              <w:rPr>
                <w:b/>
                <w:bCs/>
              </w:rPr>
            </w:pPr>
            <w:r w:rsidRPr="006A7FA8">
              <w:rPr>
                <w:b/>
                <w:bCs/>
              </w:rPr>
              <w:t>Aizsardzības ministrijai</w:t>
            </w:r>
          </w:p>
          <w:p w:rsidR="00435025" w:rsidRPr="006A7FA8" w:rsidRDefault="00435025" w:rsidP="00435025">
            <w:pPr>
              <w:jc w:val="both"/>
              <w:rPr>
                <w:b/>
                <w:bCs/>
              </w:rPr>
            </w:pPr>
            <w:r w:rsidRPr="006A7FA8">
              <w:rPr>
                <w:b/>
                <w:bCs/>
              </w:rPr>
              <w:t>201</w:t>
            </w:r>
            <w:r w:rsidR="000955D3" w:rsidRPr="006A7FA8">
              <w:rPr>
                <w:b/>
                <w:bCs/>
              </w:rPr>
              <w:t>5</w:t>
            </w:r>
            <w:r w:rsidRPr="006A7FA8">
              <w:rPr>
                <w:b/>
                <w:bCs/>
              </w:rPr>
              <w:t>.gadā –</w:t>
            </w:r>
            <w:r w:rsidR="00F64C7F" w:rsidRPr="006A7FA8">
              <w:rPr>
                <w:b/>
                <w:bCs/>
              </w:rPr>
              <w:t xml:space="preserve"> </w:t>
            </w:r>
            <w:r w:rsidR="00C31187" w:rsidRPr="006A7FA8">
              <w:rPr>
                <w:b/>
                <w:bCs/>
              </w:rPr>
              <w:t>30 39</w:t>
            </w:r>
            <w:r w:rsidR="006837A9">
              <w:rPr>
                <w:b/>
                <w:bCs/>
              </w:rPr>
              <w:t>3</w:t>
            </w:r>
            <w:r w:rsidR="00C31187" w:rsidRPr="006A7FA8">
              <w:rPr>
                <w:b/>
                <w:bCs/>
              </w:rPr>
              <w:t xml:space="preserve"> </w:t>
            </w:r>
            <w:r w:rsidR="00C31187" w:rsidRPr="006A7FA8">
              <w:rPr>
                <w:b/>
                <w:i/>
              </w:rPr>
              <w:t>euro</w:t>
            </w:r>
            <w:r w:rsidR="00AC246D" w:rsidRPr="006A7FA8">
              <w:rPr>
                <w:b/>
                <w:bCs/>
              </w:rPr>
              <w:t>;</w:t>
            </w:r>
          </w:p>
          <w:p w:rsidR="00435025" w:rsidRPr="006A7FA8" w:rsidRDefault="00435025" w:rsidP="00435025">
            <w:pPr>
              <w:jc w:val="both"/>
              <w:rPr>
                <w:b/>
                <w:bCs/>
              </w:rPr>
            </w:pPr>
            <w:r w:rsidRPr="006A7FA8">
              <w:rPr>
                <w:b/>
                <w:bCs/>
              </w:rPr>
              <w:t>201</w:t>
            </w:r>
            <w:r w:rsidR="000955D3" w:rsidRPr="006A7FA8">
              <w:rPr>
                <w:b/>
                <w:bCs/>
              </w:rPr>
              <w:t>6</w:t>
            </w:r>
            <w:r w:rsidRPr="006A7FA8">
              <w:rPr>
                <w:b/>
                <w:bCs/>
              </w:rPr>
              <w:t>.gadā un turpmāk katru gadu –</w:t>
            </w:r>
            <w:r w:rsidR="00D309F1" w:rsidRPr="006A7FA8">
              <w:rPr>
                <w:b/>
                <w:bCs/>
              </w:rPr>
              <w:t>1</w:t>
            </w:r>
            <w:r w:rsidR="00B03981">
              <w:rPr>
                <w:b/>
                <w:bCs/>
              </w:rPr>
              <w:t xml:space="preserve"> </w:t>
            </w:r>
            <w:r w:rsidR="00D309F1" w:rsidRPr="006A7FA8">
              <w:rPr>
                <w:b/>
                <w:bCs/>
              </w:rPr>
              <w:t>99</w:t>
            </w:r>
            <w:r w:rsidR="006837A9">
              <w:rPr>
                <w:b/>
                <w:bCs/>
              </w:rPr>
              <w:t>8</w:t>
            </w:r>
            <w:r w:rsidR="00D309F1" w:rsidRPr="006A7FA8">
              <w:rPr>
                <w:b/>
                <w:bCs/>
              </w:rPr>
              <w:t xml:space="preserve"> </w:t>
            </w:r>
            <w:r w:rsidR="00D309F1" w:rsidRPr="006A7FA8">
              <w:rPr>
                <w:b/>
                <w:i/>
              </w:rPr>
              <w:t>euro;</w:t>
            </w:r>
          </w:p>
          <w:p w:rsidR="00435025" w:rsidRPr="006A7FA8" w:rsidRDefault="00435025" w:rsidP="00435025">
            <w:pPr>
              <w:jc w:val="both"/>
              <w:rPr>
                <w:bCs/>
              </w:rPr>
            </w:pPr>
            <w:r w:rsidRPr="006A7FA8">
              <w:rPr>
                <w:bCs/>
              </w:rPr>
              <w:t>no tā:</w:t>
            </w:r>
          </w:p>
          <w:p w:rsidR="00435025" w:rsidRPr="006A7FA8" w:rsidRDefault="00435025" w:rsidP="00435025">
            <w:pPr>
              <w:jc w:val="both"/>
              <w:rPr>
                <w:bCs/>
              </w:rPr>
            </w:pPr>
            <w:r w:rsidRPr="006A7FA8">
              <w:rPr>
                <w:bCs/>
              </w:rPr>
              <w:t>Militārajai policijai</w:t>
            </w:r>
          </w:p>
          <w:p w:rsidR="00435025" w:rsidRPr="006A7FA8" w:rsidRDefault="00435025" w:rsidP="00435025">
            <w:pPr>
              <w:jc w:val="both"/>
              <w:rPr>
                <w:bCs/>
              </w:rPr>
            </w:pPr>
            <w:r w:rsidRPr="006A7FA8">
              <w:rPr>
                <w:bCs/>
              </w:rPr>
              <w:t>201</w:t>
            </w:r>
            <w:r w:rsidR="000955D3" w:rsidRPr="006A7FA8">
              <w:rPr>
                <w:bCs/>
              </w:rPr>
              <w:t>5</w:t>
            </w:r>
            <w:r w:rsidRPr="006A7FA8">
              <w:rPr>
                <w:bCs/>
              </w:rPr>
              <w:t>.gadā –</w:t>
            </w:r>
            <w:r w:rsidR="00C31187" w:rsidRPr="006A7FA8">
              <w:rPr>
                <w:bCs/>
              </w:rPr>
              <w:t xml:space="preserve">20 433 </w:t>
            </w:r>
            <w:r w:rsidR="00C31187" w:rsidRPr="006A7FA8">
              <w:rPr>
                <w:i/>
              </w:rPr>
              <w:t>euro;</w:t>
            </w:r>
            <w:r w:rsidR="00C31187" w:rsidRPr="006A7FA8">
              <w:rPr>
                <w:bCs/>
              </w:rPr>
              <w:t xml:space="preserve"> </w:t>
            </w:r>
          </w:p>
          <w:p w:rsidR="00435025" w:rsidRPr="006A7FA8" w:rsidRDefault="00435025" w:rsidP="00435025">
            <w:pPr>
              <w:jc w:val="both"/>
              <w:rPr>
                <w:bCs/>
              </w:rPr>
            </w:pPr>
            <w:r w:rsidRPr="006A7FA8">
              <w:rPr>
                <w:bCs/>
              </w:rPr>
              <w:t>201</w:t>
            </w:r>
            <w:r w:rsidR="000955D3" w:rsidRPr="006A7FA8">
              <w:rPr>
                <w:bCs/>
              </w:rPr>
              <w:t>6</w:t>
            </w:r>
            <w:r w:rsidRPr="006A7FA8">
              <w:rPr>
                <w:bCs/>
              </w:rPr>
              <w:t>.gadā un turpmāk katru gadu –</w:t>
            </w:r>
            <w:r w:rsidR="00D309F1" w:rsidRPr="006A7FA8">
              <w:rPr>
                <w:bCs/>
              </w:rPr>
              <w:t>1</w:t>
            </w:r>
            <w:r w:rsidR="00B03981">
              <w:rPr>
                <w:bCs/>
              </w:rPr>
              <w:t xml:space="preserve"> </w:t>
            </w:r>
            <w:r w:rsidR="00D309F1" w:rsidRPr="006A7FA8">
              <w:rPr>
                <w:bCs/>
              </w:rPr>
              <w:t>78</w:t>
            </w:r>
            <w:r w:rsidR="006837A9">
              <w:rPr>
                <w:bCs/>
              </w:rPr>
              <w:t>4</w:t>
            </w:r>
            <w:r w:rsidR="00D309F1" w:rsidRPr="006A7FA8">
              <w:rPr>
                <w:bCs/>
              </w:rPr>
              <w:t xml:space="preserve"> </w:t>
            </w:r>
            <w:r w:rsidR="00D309F1" w:rsidRPr="006A7FA8">
              <w:rPr>
                <w:i/>
              </w:rPr>
              <w:t>euro;</w:t>
            </w:r>
          </w:p>
          <w:p w:rsidR="00435025" w:rsidRPr="006A7FA8" w:rsidRDefault="00435025" w:rsidP="00435025">
            <w:pPr>
              <w:jc w:val="both"/>
              <w:rPr>
                <w:bCs/>
              </w:rPr>
            </w:pPr>
            <w:r w:rsidRPr="006A7FA8">
              <w:rPr>
                <w:bCs/>
              </w:rPr>
              <w:t>Militārās izlūkošanas un drošības dienestam</w:t>
            </w:r>
          </w:p>
          <w:p w:rsidR="00435025" w:rsidRPr="006A7FA8" w:rsidRDefault="00435025" w:rsidP="00435025">
            <w:pPr>
              <w:jc w:val="both"/>
              <w:rPr>
                <w:bCs/>
              </w:rPr>
            </w:pPr>
            <w:r w:rsidRPr="006A7FA8">
              <w:rPr>
                <w:bCs/>
              </w:rPr>
              <w:t>201</w:t>
            </w:r>
            <w:r w:rsidR="000955D3" w:rsidRPr="006A7FA8">
              <w:rPr>
                <w:bCs/>
              </w:rPr>
              <w:t>5</w:t>
            </w:r>
            <w:r w:rsidRPr="006A7FA8">
              <w:rPr>
                <w:bCs/>
              </w:rPr>
              <w:t>.gadā –</w:t>
            </w:r>
            <w:r w:rsidR="00C31187" w:rsidRPr="006A7FA8">
              <w:rPr>
                <w:bCs/>
              </w:rPr>
              <w:t xml:space="preserve"> 9</w:t>
            </w:r>
            <w:r w:rsidR="006837A9">
              <w:rPr>
                <w:bCs/>
              </w:rPr>
              <w:t xml:space="preserve"> </w:t>
            </w:r>
            <w:r w:rsidR="00C31187" w:rsidRPr="006A7FA8">
              <w:rPr>
                <w:bCs/>
              </w:rPr>
              <w:t>96</w:t>
            </w:r>
            <w:r w:rsidR="002048A9">
              <w:rPr>
                <w:bCs/>
              </w:rPr>
              <w:t>0</w:t>
            </w:r>
            <w:r w:rsidR="00C31187" w:rsidRPr="006A7FA8">
              <w:rPr>
                <w:bCs/>
              </w:rPr>
              <w:t xml:space="preserve"> </w:t>
            </w:r>
            <w:r w:rsidR="00C31187" w:rsidRPr="006A7FA8">
              <w:rPr>
                <w:i/>
              </w:rPr>
              <w:t>euro</w:t>
            </w:r>
            <w:r w:rsidR="002946FD" w:rsidRPr="006A7FA8">
              <w:rPr>
                <w:i/>
              </w:rPr>
              <w:t>;</w:t>
            </w:r>
            <w:r w:rsidR="00C31187" w:rsidRPr="006A7FA8">
              <w:rPr>
                <w:bCs/>
              </w:rPr>
              <w:t xml:space="preserve"> </w:t>
            </w:r>
          </w:p>
          <w:p w:rsidR="00DA5F70" w:rsidRPr="006A7FA8" w:rsidRDefault="00435025" w:rsidP="00D309F1">
            <w:pPr>
              <w:jc w:val="both"/>
              <w:rPr>
                <w:bCs/>
              </w:rPr>
            </w:pPr>
            <w:r w:rsidRPr="006A7FA8">
              <w:rPr>
                <w:bCs/>
              </w:rPr>
              <w:t>201</w:t>
            </w:r>
            <w:r w:rsidR="000955D3" w:rsidRPr="006A7FA8">
              <w:rPr>
                <w:bCs/>
              </w:rPr>
              <w:t>6</w:t>
            </w:r>
            <w:r w:rsidRPr="006A7FA8">
              <w:rPr>
                <w:bCs/>
              </w:rPr>
              <w:t>.gadā un turpmāk katru gadu –</w:t>
            </w:r>
            <w:r w:rsidR="00D309F1" w:rsidRPr="006A7FA8">
              <w:rPr>
                <w:bCs/>
              </w:rPr>
              <w:t xml:space="preserve"> 214 </w:t>
            </w:r>
            <w:r w:rsidR="00D309F1" w:rsidRPr="006A7FA8">
              <w:rPr>
                <w:i/>
              </w:rPr>
              <w:t>euro.</w:t>
            </w:r>
            <w:r w:rsidR="00D93994" w:rsidRPr="006A7FA8">
              <w:rPr>
                <w:bCs/>
              </w:rPr>
              <w:t xml:space="preserve"> </w:t>
            </w:r>
          </w:p>
        </w:tc>
      </w:tr>
      <w:tr w:rsidR="005831D3" w:rsidRPr="00633A59" w:rsidTr="0021023C">
        <w:trPr>
          <w:jc w:val="center"/>
        </w:trPr>
        <w:tc>
          <w:tcPr>
            <w:tcW w:w="0" w:type="auto"/>
          </w:tcPr>
          <w:p w:rsidR="005831D3" w:rsidRPr="006A7FA8" w:rsidRDefault="005831D3" w:rsidP="00F27B5F">
            <w:pPr>
              <w:spacing w:after="60"/>
              <w:ind w:left="176"/>
              <w:jc w:val="both"/>
            </w:pPr>
            <w:r w:rsidRPr="006A7FA8">
              <w:t>6.1.detalizēts ieņēmumu aprēķins</w:t>
            </w:r>
          </w:p>
        </w:tc>
        <w:tc>
          <w:tcPr>
            <w:tcW w:w="0" w:type="auto"/>
            <w:gridSpan w:val="5"/>
            <w:vMerge/>
          </w:tcPr>
          <w:p w:rsidR="005831D3" w:rsidRPr="006A7FA8" w:rsidRDefault="005831D3" w:rsidP="00D93994">
            <w:pPr>
              <w:jc w:val="both"/>
              <w:rPr>
                <w:bCs/>
              </w:rPr>
            </w:pPr>
          </w:p>
        </w:tc>
      </w:tr>
      <w:tr w:rsidR="005831D3" w:rsidRPr="00633A59" w:rsidTr="0021023C">
        <w:trPr>
          <w:trHeight w:val="547"/>
          <w:jc w:val="center"/>
        </w:trPr>
        <w:tc>
          <w:tcPr>
            <w:tcW w:w="0" w:type="auto"/>
          </w:tcPr>
          <w:p w:rsidR="005831D3" w:rsidRPr="006A7FA8" w:rsidRDefault="005831D3" w:rsidP="00F27B5F">
            <w:pPr>
              <w:spacing w:after="60"/>
              <w:ind w:left="176"/>
              <w:jc w:val="both"/>
            </w:pPr>
            <w:r w:rsidRPr="006A7FA8">
              <w:t>6.2.detalizēts izdevumu aprēķins</w:t>
            </w:r>
          </w:p>
        </w:tc>
        <w:tc>
          <w:tcPr>
            <w:tcW w:w="0" w:type="auto"/>
            <w:gridSpan w:val="5"/>
            <w:vMerge/>
          </w:tcPr>
          <w:p w:rsidR="005831D3" w:rsidRPr="006A7FA8" w:rsidRDefault="005831D3" w:rsidP="00D93994">
            <w:pPr>
              <w:jc w:val="both"/>
              <w:rPr>
                <w:bCs/>
              </w:rPr>
            </w:pPr>
          </w:p>
        </w:tc>
      </w:tr>
      <w:tr w:rsidR="005831D3" w:rsidRPr="00633A59" w:rsidTr="0021023C">
        <w:trPr>
          <w:jc w:val="center"/>
        </w:trPr>
        <w:tc>
          <w:tcPr>
            <w:tcW w:w="0" w:type="auto"/>
          </w:tcPr>
          <w:p w:rsidR="005831D3" w:rsidRPr="006A7FA8" w:rsidRDefault="005831D3" w:rsidP="00F27B5F">
            <w:pPr>
              <w:spacing w:after="60"/>
              <w:ind w:left="176"/>
              <w:jc w:val="both"/>
            </w:pPr>
            <w:r w:rsidRPr="006A7FA8">
              <w:lastRenderedPageBreak/>
              <w:t>7.Cita informācija</w:t>
            </w:r>
          </w:p>
        </w:tc>
        <w:tc>
          <w:tcPr>
            <w:tcW w:w="0" w:type="auto"/>
            <w:gridSpan w:val="5"/>
          </w:tcPr>
          <w:p w:rsidR="00DA5F70" w:rsidRPr="006A7FA8" w:rsidRDefault="00096F45" w:rsidP="004C0673">
            <w:pPr>
              <w:jc w:val="both"/>
            </w:pPr>
            <w:r w:rsidRPr="006A7FA8">
              <w:t>Saskaņā ar Ministru kabineta 201</w:t>
            </w:r>
            <w:r w:rsidR="00023E78">
              <w:t>3</w:t>
            </w:r>
            <w:r w:rsidRPr="006A7FA8">
              <w:t>.gada 8.augusta sēdē (prot.Nr.43, 1.</w:t>
            </w:r>
            <w:r w:rsidRPr="006A7FA8">
              <w:rPr>
                <w:bCs/>
              </w:rPr>
              <w:t>§,2.punkts)</w:t>
            </w:r>
            <w:r w:rsidRPr="006A7FA8">
              <w:t xml:space="preserve"> doto uzdevumu </w:t>
            </w:r>
            <w:r w:rsidR="005831D3" w:rsidRPr="006A7FA8">
              <w:t xml:space="preserve">Iekšlietu ministrija sagatavoja un iesniedza (Iekšlietu ministrijas 2013.gada 4.jūlija vēstule Nr.1-38/1498 Finanšu ministrijai un 2013.gada 4.jūnija vēstule Nr.1-38/1499 Pārresoru koordinācijas centram) jauno politikas iniciatīvu „Aprīkojuma iegāde darbam ar Biometrijas datu apstrādes sistēmu”, kurā norādīts Iekšlietu ministrijai papildu nepieciešamais finansējums 2014.gadam – Ls 1 845 060, 2015.gadam </w:t>
            </w:r>
            <w:r w:rsidR="00DA5F70" w:rsidRPr="006A7FA8">
              <w:t xml:space="preserve">un turpmāk katru gadu </w:t>
            </w:r>
            <w:r w:rsidR="005831D3" w:rsidRPr="006A7FA8">
              <w:t xml:space="preserve">– </w:t>
            </w:r>
            <w:r w:rsidR="00F13B31" w:rsidRPr="006A7FA8">
              <w:t>Ls 65 037</w:t>
            </w:r>
            <w:r w:rsidR="005831D3" w:rsidRPr="006A7FA8">
              <w:t xml:space="preserve">. </w:t>
            </w:r>
          </w:p>
          <w:p w:rsidR="005831D3" w:rsidRPr="006A7FA8" w:rsidRDefault="005831D3" w:rsidP="004C0673">
            <w:pPr>
              <w:jc w:val="both"/>
            </w:pPr>
            <w:r w:rsidRPr="006A7FA8">
              <w:t>Likumā „Par valsts budžetu 2014.gadam” papildu nepieciešamais finansējums Iekšlietu ministrijas jaun</w:t>
            </w:r>
            <w:r w:rsidR="00F64C7F" w:rsidRPr="006A7FA8">
              <w:t>ajai</w:t>
            </w:r>
            <w:r w:rsidRPr="006A7FA8">
              <w:t xml:space="preserve"> politikas iniciatīvai „Aprīkojuma iegāde darbam ar Biometrijas datu apstrādes sistēmu” nav</w:t>
            </w:r>
            <w:r w:rsidR="00096F45" w:rsidRPr="006A7FA8">
              <w:t xml:space="preserve"> paredzēts</w:t>
            </w:r>
            <w:r w:rsidRPr="006A7FA8">
              <w:t>.</w:t>
            </w:r>
            <w:r w:rsidR="00A91077" w:rsidRPr="006A7FA8">
              <w:t xml:space="preserve"> </w:t>
            </w:r>
          </w:p>
          <w:p w:rsidR="00740FC6" w:rsidRPr="006A7FA8" w:rsidRDefault="00740FC6" w:rsidP="004C0673">
            <w:pPr>
              <w:jc w:val="both"/>
            </w:pPr>
            <w:r w:rsidRPr="006A7FA8">
              <w:t>Arī Aizsardzības ministrijai un Tieslietu ministrijai nepieciešamais finansējums nav piešķirts.</w:t>
            </w:r>
          </w:p>
          <w:p w:rsidR="00A91077" w:rsidRPr="006A7FA8" w:rsidRDefault="00A91077" w:rsidP="00740FC6">
            <w:pPr>
              <w:jc w:val="both"/>
            </w:pPr>
            <w:r w:rsidRPr="006A7FA8">
              <w:t xml:space="preserve">Korupcijas novēršanas un apkarošanas biroja jaunajai politikas iniciatīvai „Biometrijas datu apstrādes sistēmas likuma prasību nodrošināšana” </w:t>
            </w:r>
            <w:r w:rsidR="00F64C7F" w:rsidRPr="006A7FA8">
              <w:t xml:space="preserve">2014.gadam </w:t>
            </w:r>
            <w:r w:rsidRPr="006A7FA8">
              <w:t xml:space="preserve">ir paredzēts finansējums 20 432 </w:t>
            </w:r>
            <w:r w:rsidRPr="006A7FA8">
              <w:rPr>
                <w:i/>
              </w:rPr>
              <w:t>euro</w:t>
            </w:r>
            <w:r w:rsidRPr="006A7FA8">
              <w:t xml:space="preserve"> apmērā</w:t>
            </w:r>
            <w:r w:rsidR="00740FC6" w:rsidRPr="006A7FA8">
              <w:t>.</w:t>
            </w:r>
            <w:r w:rsidRPr="006A7FA8">
              <w:t xml:space="preserve"> </w:t>
            </w:r>
          </w:p>
          <w:p w:rsidR="00740FC6" w:rsidRPr="006A7FA8" w:rsidRDefault="00740FC6" w:rsidP="0057047A">
            <w:pPr>
              <w:jc w:val="both"/>
            </w:pPr>
            <w:r w:rsidRPr="006A7FA8">
              <w:t xml:space="preserve">Noteikumu projektam pievienots Ministru kabineta protokollēmuma projekts, kas paredz </w:t>
            </w:r>
            <w:r w:rsidR="00F40BFA" w:rsidRPr="006A7FA8">
              <w:t>jautājumu par papildu valsts budžeta līdzekļu piešķiršanu Biometrijas datu apstrādes sistēmas darbībai nepieciešamā aprīkojuma iegādei un uzturēšanai 2 951 </w:t>
            </w:r>
            <w:r w:rsidR="0057047A">
              <w:t>691</w:t>
            </w:r>
            <w:r w:rsidR="00F40BFA" w:rsidRPr="006A7FA8">
              <w:t> </w:t>
            </w:r>
            <w:r w:rsidR="00F40BFA" w:rsidRPr="006A7FA8">
              <w:rPr>
                <w:i/>
              </w:rPr>
              <w:t>euro</w:t>
            </w:r>
            <w:r w:rsidR="00F40BFA" w:rsidRPr="006A7FA8">
              <w:t xml:space="preserve"> apmērā</w:t>
            </w:r>
            <w:r w:rsidR="00DD3D82" w:rsidRPr="006A7FA8">
              <w:t xml:space="preserve"> </w:t>
            </w:r>
            <w:r w:rsidR="00F40BFA" w:rsidRPr="006A7FA8">
              <w:t xml:space="preserve">2015.gadam un </w:t>
            </w:r>
            <w:r w:rsidR="00DD3D82" w:rsidRPr="006A7FA8">
              <w:t>119 73</w:t>
            </w:r>
            <w:r w:rsidR="0057047A">
              <w:t>1</w:t>
            </w:r>
            <w:r w:rsidR="00DD3D82" w:rsidRPr="006A7FA8">
              <w:t xml:space="preserve"> </w:t>
            </w:r>
            <w:r w:rsidR="00DD3D82" w:rsidRPr="006A7FA8">
              <w:rPr>
                <w:i/>
              </w:rPr>
              <w:t>euro</w:t>
            </w:r>
            <w:r w:rsidR="00DD3D82" w:rsidRPr="006A7FA8">
              <w:t xml:space="preserve"> </w:t>
            </w:r>
            <w:r w:rsidR="00F40BFA" w:rsidRPr="006A7FA8">
              <w:t xml:space="preserve">apmērā turpmākajiem gadiem (tajā skaitā: Iekšlietu ministrijai (Iekšlietu ministrijas Informācijas centram) - </w:t>
            </w:r>
            <w:r w:rsidR="00DD3D82" w:rsidRPr="006A7FA8">
              <w:t xml:space="preserve">2 625 284 </w:t>
            </w:r>
            <w:r w:rsidR="00DD3D82" w:rsidRPr="006A7FA8">
              <w:rPr>
                <w:i/>
              </w:rPr>
              <w:t>euro</w:t>
            </w:r>
            <w:r w:rsidR="00DD3D82" w:rsidRPr="006A7FA8">
              <w:t xml:space="preserve"> </w:t>
            </w:r>
            <w:r w:rsidR="00F40BFA" w:rsidRPr="006A7FA8">
              <w:t>201</w:t>
            </w:r>
            <w:r w:rsidR="00DD3D82" w:rsidRPr="006A7FA8">
              <w:t>5</w:t>
            </w:r>
            <w:r w:rsidR="00F40BFA" w:rsidRPr="006A7FA8">
              <w:t xml:space="preserve">.gadā un </w:t>
            </w:r>
            <w:r w:rsidR="00F27B5F" w:rsidRPr="006A7FA8">
              <w:t>92 5</w:t>
            </w:r>
            <w:r w:rsidR="0057047A">
              <w:t>39</w:t>
            </w:r>
            <w:r w:rsidR="00F27B5F" w:rsidRPr="006A7FA8">
              <w:t xml:space="preserve"> </w:t>
            </w:r>
            <w:r w:rsidR="00F27B5F" w:rsidRPr="006A7FA8">
              <w:rPr>
                <w:i/>
              </w:rPr>
              <w:t>euro</w:t>
            </w:r>
            <w:r w:rsidR="00F27B5F" w:rsidRPr="006A7FA8">
              <w:t xml:space="preserve"> </w:t>
            </w:r>
            <w:r w:rsidR="00F40BFA" w:rsidRPr="006A7FA8">
              <w:t>turpmākajos gados, Tieslietu ministrijai (t.sk. Ieslodzījuma vietu pārvaldei -</w:t>
            </w:r>
            <w:r w:rsidR="009B35F0" w:rsidRPr="006A7FA8">
              <w:t xml:space="preserve"> </w:t>
            </w:r>
            <w:r w:rsidR="00F27B5F" w:rsidRPr="006A7FA8">
              <w:t>286 05</w:t>
            </w:r>
            <w:r w:rsidR="0057047A">
              <w:t>4</w:t>
            </w:r>
            <w:r w:rsidR="00F27B5F" w:rsidRPr="006A7FA8">
              <w:t xml:space="preserve"> </w:t>
            </w:r>
            <w:r w:rsidR="00F27B5F" w:rsidRPr="006A7FA8">
              <w:rPr>
                <w:i/>
              </w:rPr>
              <w:t>euro</w:t>
            </w:r>
            <w:r w:rsidR="00F40BFA" w:rsidRPr="006A7FA8">
              <w:t xml:space="preserve">, Satversmes aizsardzības birojam </w:t>
            </w:r>
            <w:r w:rsidR="0057047A">
              <w:t>–</w:t>
            </w:r>
            <w:r w:rsidR="009B35F0" w:rsidRPr="006A7FA8">
              <w:t xml:space="preserve"> </w:t>
            </w:r>
            <w:r w:rsidR="0057047A">
              <w:t>9 960</w:t>
            </w:r>
            <w:r w:rsidR="00F27B5F" w:rsidRPr="006A7FA8">
              <w:t xml:space="preserve"> </w:t>
            </w:r>
            <w:r w:rsidR="00F27B5F" w:rsidRPr="006A7FA8">
              <w:rPr>
                <w:i/>
              </w:rPr>
              <w:t>euro</w:t>
            </w:r>
            <w:r w:rsidR="00F40BFA" w:rsidRPr="006A7FA8">
              <w:t xml:space="preserve"> 201</w:t>
            </w:r>
            <w:r w:rsidR="00F27B5F" w:rsidRPr="006A7FA8">
              <w:t>5</w:t>
            </w:r>
            <w:r w:rsidR="00F40BFA" w:rsidRPr="006A7FA8">
              <w:t xml:space="preserve">.gadā un attiecīgi </w:t>
            </w:r>
            <w:r w:rsidR="00F27B5F" w:rsidRPr="006A7FA8">
              <w:t xml:space="preserve">24 980 </w:t>
            </w:r>
            <w:r w:rsidR="00F27B5F" w:rsidRPr="006A7FA8">
              <w:rPr>
                <w:i/>
              </w:rPr>
              <w:t>euro</w:t>
            </w:r>
            <w:r w:rsidR="00F27B5F" w:rsidRPr="006A7FA8">
              <w:t xml:space="preserve"> </w:t>
            </w:r>
            <w:r w:rsidR="00F40BFA" w:rsidRPr="006A7FA8">
              <w:t xml:space="preserve">un </w:t>
            </w:r>
            <w:r w:rsidR="00F27B5F" w:rsidRPr="006A7FA8">
              <w:t xml:space="preserve">214 </w:t>
            </w:r>
            <w:r w:rsidR="00F27B5F" w:rsidRPr="006A7FA8">
              <w:rPr>
                <w:i/>
              </w:rPr>
              <w:t>euro</w:t>
            </w:r>
            <w:r w:rsidR="00F27B5F" w:rsidRPr="006A7FA8">
              <w:t xml:space="preserve"> </w:t>
            </w:r>
            <w:r w:rsidR="00F40BFA" w:rsidRPr="006A7FA8">
              <w:t>turpmākajos gados) - 201</w:t>
            </w:r>
            <w:r w:rsidR="00F27B5F" w:rsidRPr="006A7FA8">
              <w:t>5</w:t>
            </w:r>
            <w:r w:rsidR="00F40BFA" w:rsidRPr="006A7FA8">
              <w:t xml:space="preserve">.gadā </w:t>
            </w:r>
            <w:r w:rsidR="00F27B5F" w:rsidRPr="006A7FA8">
              <w:t>296 </w:t>
            </w:r>
            <w:r w:rsidR="0057047A">
              <w:t>014</w:t>
            </w:r>
            <w:r w:rsidR="00F27B5F" w:rsidRPr="006A7FA8">
              <w:t xml:space="preserve"> </w:t>
            </w:r>
            <w:r w:rsidR="00F27B5F" w:rsidRPr="006A7FA8">
              <w:rPr>
                <w:i/>
              </w:rPr>
              <w:t>euro</w:t>
            </w:r>
            <w:r w:rsidR="00F27B5F" w:rsidRPr="006A7FA8">
              <w:t xml:space="preserve"> </w:t>
            </w:r>
            <w:r w:rsidR="00F40BFA" w:rsidRPr="006A7FA8">
              <w:t xml:space="preserve">un </w:t>
            </w:r>
            <w:r w:rsidR="00F27B5F" w:rsidRPr="006A7FA8">
              <w:t xml:space="preserve">25 194 </w:t>
            </w:r>
            <w:r w:rsidR="00F27B5F" w:rsidRPr="006A7FA8">
              <w:rPr>
                <w:i/>
              </w:rPr>
              <w:t>euro</w:t>
            </w:r>
            <w:r w:rsidR="00F27B5F" w:rsidRPr="006A7FA8">
              <w:t xml:space="preserve"> </w:t>
            </w:r>
            <w:r w:rsidR="00F40BFA" w:rsidRPr="006A7FA8">
              <w:t xml:space="preserve">turpmākajos gados, Aizsardzības ministrijai (t.sk. Militārajai policijai - </w:t>
            </w:r>
            <w:r w:rsidR="00F27B5F" w:rsidRPr="006A7FA8">
              <w:t xml:space="preserve">20 433 </w:t>
            </w:r>
            <w:r w:rsidR="00F27B5F" w:rsidRPr="006A7FA8">
              <w:rPr>
                <w:i/>
              </w:rPr>
              <w:t>euro</w:t>
            </w:r>
            <w:r w:rsidR="00F27B5F" w:rsidRPr="006A7FA8">
              <w:t xml:space="preserve"> </w:t>
            </w:r>
            <w:r w:rsidR="00F40BFA" w:rsidRPr="006A7FA8">
              <w:t xml:space="preserve">un Militārās izlūkošanas un drošības dienestam </w:t>
            </w:r>
            <w:r w:rsidR="0057047A">
              <w:t>–</w:t>
            </w:r>
            <w:r w:rsidR="00F40BFA" w:rsidRPr="006A7FA8">
              <w:t xml:space="preserve"> </w:t>
            </w:r>
            <w:r w:rsidR="00586957" w:rsidRPr="006A7FA8">
              <w:t>9</w:t>
            </w:r>
            <w:r w:rsidR="0057047A">
              <w:t xml:space="preserve"> </w:t>
            </w:r>
            <w:r w:rsidR="00586957" w:rsidRPr="006A7FA8">
              <w:t>96</w:t>
            </w:r>
            <w:r w:rsidR="002048A9">
              <w:t>0</w:t>
            </w:r>
            <w:r w:rsidR="00586957" w:rsidRPr="006A7FA8">
              <w:t xml:space="preserve"> </w:t>
            </w:r>
            <w:r w:rsidR="00586957" w:rsidRPr="006A7FA8">
              <w:rPr>
                <w:i/>
              </w:rPr>
              <w:t>euro</w:t>
            </w:r>
            <w:r w:rsidR="00586957" w:rsidRPr="006A7FA8">
              <w:t xml:space="preserve"> </w:t>
            </w:r>
            <w:r w:rsidR="00F40BFA" w:rsidRPr="006A7FA8">
              <w:t>201</w:t>
            </w:r>
            <w:r w:rsidR="00586957" w:rsidRPr="006A7FA8">
              <w:t>5</w:t>
            </w:r>
            <w:r w:rsidR="00F40BFA" w:rsidRPr="006A7FA8">
              <w:t>.gadā un attiecīgi</w:t>
            </w:r>
            <w:r w:rsidR="00586957" w:rsidRPr="006A7FA8">
              <w:t xml:space="preserve"> 1</w:t>
            </w:r>
            <w:r w:rsidR="00B03981">
              <w:t xml:space="preserve"> </w:t>
            </w:r>
            <w:r w:rsidR="00586957" w:rsidRPr="006A7FA8">
              <w:t>78</w:t>
            </w:r>
            <w:r w:rsidR="0057047A">
              <w:t>4</w:t>
            </w:r>
            <w:r w:rsidR="00586957" w:rsidRPr="006A7FA8">
              <w:t xml:space="preserve"> </w:t>
            </w:r>
            <w:r w:rsidR="00586957" w:rsidRPr="006A7FA8">
              <w:rPr>
                <w:i/>
              </w:rPr>
              <w:t>euro</w:t>
            </w:r>
            <w:r w:rsidR="00F40BFA" w:rsidRPr="006A7FA8">
              <w:t xml:space="preserve"> un </w:t>
            </w:r>
            <w:r w:rsidR="00586957" w:rsidRPr="006A7FA8">
              <w:t xml:space="preserve">214 </w:t>
            </w:r>
            <w:r w:rsidR="00586957" w:rsidRPr="006A7FA8">
              <w:rPr>
                <w:i/>
              </w:rPr>
              <w:t>euro</w:t>
            </w:r>
            <w:r w:rsidR="00586957" w:rsidRPr="006A7FA8">
              <w:t xml:space="preserve"> </w:t>
            </w:r>
            <w:r w:rsidR="00F40BFA" w:rsidRPr="006A7FA8">
              <w:t xml:space="preserve">turpmākajos gados) </w:t>
            </w:r>
            <w:r w:rsidR="009B35F0" w:rsidRPr="006A7FA8">
              <w:t xml:space="preserve">- </w:t>
            </w:r>
            <w:r w:rsidR="00586957" w:rsidRPr="006A7FA8">
              <w:t>30 39</w:t>
            </w:r>
            <w:r w:rsidR="0057047A">
              <w:t>3</w:t>
            </w:r>
            <w:r w:rsidR="00586957" w:rsidRPr="006A7FA8">
              <w:t xml:space="preserve"> </w:t>
            </w:r>
            <w:r w:rsidR="00586957" w:rsidRPr="006A7FA8">
              <w:rPr>
                <w:i/>
              </w:rPr>
              <w:t>euro</w:t>
            </w:r>
            <w:r w:rsidR="00586957" w:rsidRPr="006A7FA8">
              <w:t xml:space="preserve"> </w:t>
            </w:r>
            <w:r w:rsidR="00F40BFA" w:rsidRPr="006A7FA8">
              <w:t>201</w:t>
            </w:r>
            <w:r w:rsidR="00586957" w:rsidRPr="006A7FA8">
              <w:t>5</w:t>
            </w:r>
            <w:r w:rsidR="00F40BFA" w:rsidRPr="006A7FA8">
              <w:t xml:space="preserve">.gadā un </w:t>
            </w:r>
            <w:r w:rsidR="00586957" w:rsidRPr="006A7FA8">
              <w:t>1</w:t>
            </w:r>
            <w:r w:rsidR="00B03981">
              <w:t xml:space="preserve"> </w:t>
            </w:r>
            <w:r w:rsidR="00586957" w:rsidRPr="006A7FA8">
              <w:t>99</w:t>
            </w:r>
            <w:r w:rsidR="0057047A">
              <w:t>8</w:t>
            </w:r>
            <w:r w:rsidR="00586957" w:rsidRPr="006A7FA8">
              <w:t xml:space="preserve"> </w:t>
            </w:r>
            <w:r w:rsidR="00586957" w:rsidRPr="006A7FA8">
              <w:rPr>
                <w:i/>
              </w:rPr>
              <w:t>euro</w:t>
            </w:r>
            <w:r w:rsidR="00586957" w:rsidRPr="006A7FA8">
              <w:t xml:space="preserve"> </w:t>
            </w:r>
            <w:r w:rsidR="00F40BFA" w:rsidRPr="006A7FA8">
              <w:t>turpmākajos gados izskatīt Ministru kabinetā vienlaikus ar visu ministriju un centrālo valsts iestāžu j</w:t>
            </w:r>
            <w:r w:rsidR="00586957" w:rsidRPr="006A7FA8">
              <w:t xml:space="preserve">auno politikas iniciatīvu pieteikumiem likumprojekta „Par vidēja termiņa budžeta ietvaru </w:t>
            </w:r>
            <w:r w:rsidR="00586957" w:rsidRPr="006A7FA8">
              <w:lastRenderedPageBreak/>
              <w:t>2015., 2016. un 2017.gadam” un likumprojekta „Par valsts budžetu 2015.gadam” sagatavošanas procesā.</w:t>
            </w:r>
          </w:p>
        </w:tc>
      </w:tr>
    </w:tbl>
    <w:p w:rsidR="00873E9A" w:rsidRPr="006A7FA8" w:rsidRDefault="00873E9A" w:rsidP="00DA1605"/>
    <w:p w:rsidR="00B32DCD" w:rsidRPr="006A7FA8" w:rsidRDefault="00B32DCD" w:rsidP="00DA1605"/>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6379"/>
      </w:tblGrid>
      <w:tr w:rsidR="00181687" w:rsidRPr="00633A59" w:rsidTr="00E06F41">
        <w:trPr>
          <w:trHeight w:val="541"/>
        </w:trPr>
        <w:tc>
          <w:tcPr>
            <w:tcW w:w="9214" w:type="dxa"/>
            <w:gridSpan w:val="3"/>
            <w:vAlign w:val="center"/>
          </w:tcPr>
          <w:p w:rsidR="00181687" w:rsidRPr="00633A59" w:rsidRDefault="00181687" w:rsidP="008C4F6E">
            <w:pPr>
              <w:jc w:val="center"/>
              <w:rPr>
                <w:b/>
              </w:rPr>
            </w:pPr>
            <w:r w:rsidRPr="00633A59">
              <w:rPr>
                <w:b/>
              </w:rPr>
              <w:t>VI. Sabiedrības līdzdalība un šīs līdzdalības rezultāti</w:t>
            </w:r>
          </w:p>
        </w:tc>
      </w:tr>
      <w:tr w:rsidR="00181687" w:rsidRPr="00633A59" w:rsidTr="005122F1">
        <w:trPr>
          <w:trHeight w:val="1331"/>
        </w:trPr>
        <w:tc>
          <w:tcPr>
            <w:tcW w:w="567" w:type="dxa"/>
            <w:vAlign w:val="center"/>
          </w:tcPr>
          <w:p w:rsidR="00181687" w:rsidRPr="00633A59" w:rsidRDefault="00181687" w:rsidP="008C4F6E">
            <w:pPr>
              <w:jc w:val="center"/>
            </w:pPr>
            <w:r w:rsidRPr="006A7FA8">
              <w:t>1.</w:t>
            </w:r>
          </w:p>
        </w:tc>
        <w:tc>
          <w:tcPr>
            <w:tcW w:w="2268" w:type="dxa"/>
            <w:vAlign w:val="center"/>
          </w:tcPr>
          <w:p w:rsidR="00181687" w:rsidRPr="00633A59" w:rsidRDefault="00181687" w:rsidP="00DB439B">
            <w:pPr>
              <w:autoSpaceDE w:val="0"/>
              <w:autoSpaceDN w:val="0"/>
              <w:adjustRightInd w:val="0"/>
              <w:ind w:left="176"/>
              <w:jc w:val="both"/>
            </w:pPr>
            <w:r w:rsidRPr="006A7FA8">
              <w:t>Sabiedrības informēšana par projekta izstrādes uzsākšanu</w:t>
            </w:r>
          </w:p>
        </w:tc>
        <w:tc>
          <w:tcPr>
            <w:tcW w:w="6379" w:type="dxa"/>
            <w:vAlign w:val="center"/>
          </w:tcPr>
          <w:p w:rsidR="00181687" w:rsidRPr="00633A59" w:rsidRDefault="00085440" w:rsidP="008526DC">
            <w:pPr>
              <w:jc w:val="both"/>
            </w:pPr>
            <w:r w:rsidRPr="006A7FA8">
              <w:t>Noteikumu projekts pirms izsludināšanas Valsts sekretāru sanāksmē publicēts Iekšlietu ministrijas</w:t>
            </w:r>
            <w:r w:rsidR="00F45B61" w:rsidRPr="006A7FA8">
              <w:t xml:space="preserve"> </w:t>
            </w:r>
            <w:r w:rsidRPr="006A7FA8">
              <w:t>mājas lapā.</w:t>
            </w:r>
          </w:p>
        </w:tc>
      </w:tr>
      <w:tr w:rsidR="00181687" w:rsidRPr="00633A59" w:rsidTr="008D024F">
        <w:trPr>
          <w:trHeight w:val="1204"/>
        </w:trPr>
        <w:tc>
          <w:tcPr>
            <w:tcW w:w="567" w:type="dxa"/>
            <w:vAlign w:val="center"/>
          </w:tcPr>
          <w:p w:rsidR="00181687" w:rsidRPr="00633A59" w:rsidRDefault="00181687" w:rsidP="008C4F6E">
            <w:pPr>
              <w:jc w:val="center"/>
            </w:pPr>
            <w:r w:rsidRPr="006A7FA8">
              <w:t>2.</w:t>
            </w:r>
          </w:p>
        </w:tc>
        <w:tc>
          <w:tcPr>
            <w:tcW w:w="2268" w:type="dxa"/>
            <w:vAlign w:val="center"/>
          </w:tcPr>
          <w:p w:rsidR="00181687" w:rsidRPr="00633A59" w:rsidRDefault="00181687" w:rsidP="00DB439B">
            <w:pPr>
              <w:autoSpaceDE w:val="0"/>
              <w:autoSpaceDN w:val="0"/>
              <w:adjustRightInd w:val="0"/>
              <w:ind w:left="176"/>
              <w:jc w:val="both"/>
            </w:pPr>
            <w:r w:rsidRPr="006A7FA8">
              <w:t>Sabiedrības līdzdalība projekta izstrādē</w:t>
            </w:r>
          </w:p>
        </w:tc>
        <w:tc>
          <w:tcPr>
            <w:tcW w:w="6379" w:type="dxa"/>
            <w:vAlign w:val="center"/>
          </w:tcPr>
          <w:p w:rsidR="00181687" w:rsidRPr="00633A59" w:rsidRDefault="00085440" w:rsidP="00085440">
            <w:pPr>
              <w:jc w:val="both"/>
              <w:rPr>
                <w:b/>
              </w:rPr>
            </w:pPr>
            <w:r w:rsidRPr="006A7FA8">
              <w:t>Līdz noteikumu projekta izsludināšanai Valsts sekretāru sanāksmē komentāri par projektu nav saņemti.</w:t>
            </w:r>
          </w:p>
        </w:tc>
      </w:tr>
      <w:tr w:rsidR="00181687" w:rsidRPr="00633A59" w:rsidTr="008D024F">
        <w:trPr>
          <w:trHeight w:val="697"/>
        </w:trPr>
        <w:tc>
          <w:tcPr>
            <w:tcW w:w="567" w:type="dxa"/>
            <w:vAlign w:val="center"/>
          </w:tcPr>
          <w:p w:rsidR="00181687" w:rsidRPr="00633A59" w:rsidRDefault="00181687" w:rsidP="008C4F6E">
            <w:pPr>
              <w:jc w:val="center"/>
            </w:pPr>
            <w:r w:rsidRPr="006A7FA8">
              <w:t>3.</w:t>
            </w:r>
          </w:p>
        </w:tc>
        <w:tc>
          <w:tcPr>
            <w:tcW w:w="2268" w:type="dxa"/>
            <w:vAlign w:val="center"/>
          </w:tcPr>
          <w:p w:rsidR="00181687" w:rsidRPr="00633A59" w:rsidRDefault="00181687" w:rsidP="00DB439B">
            <w:pPr>
              <w:autoSpaceDE w:val="0"/>
              <w:autoSpaceDN w:val="0"/>
              <w:adjustRightInd w:val="0"/>
              <w:ind w:left="176"/>
              <w:jc w:val="both"/>
            </w:pPr>
            <w:r w:rsidRPr="006A7FA8">
              <w:t>Sabiedrības līdzdalības rezultāti</w:t>
            </w:r>
          </w:p>
        </w:tc>
        <w:tc>
          <w:tcPr>
            <w:tcW w:w="6379" w:type="dxa"/>
            <w:vAlign w:val="center"/>
          </w:tcPr>
          <w:p w:rsidR="00181687" w:rsidRPr="00633A59" w:rsidRDefault="00085440" w:rsidP="00526E80">
            <w:pPr>
              <w:jc w:val="both"/>
            </w:pPr>
            <w:r w:rsidRPr="006A7FA8">
              <w:t>Projekts šo jomu neskar.</w:t>
            </w:r>
          </w:p>
        </w:tc>
      </w:tr>
      <w:tr w:rsidR="00181687" w:rsidRPr="00633A59" w:rsidTr="008D024F">
        <w:trPr>
          <w:trHeight w:val="693"/>
        </w:trPr>
        <w:tc>
          <w:tcPr>
            <w:tcW w:w="567" w:type="dxa"/>
            <w:vAlign w:val="center"/>
          </w:tcPr>
          <w:p w:rsidR="00181687" w:rsidRPr="00633A59" w:rsidRDefault="00181687" w:rsidP="008C4F6E">
            <w:pPr>
              <w:jc w:val="center"/>
            </w:pPr>
            <w:r w:rsidRPr="006A7FA8">
              <w:t>4.</w:t>
            </w:r>
          </w:p>
        </w:tc>
        <w:tc>
          <w:tcPr>
            <w:tcW w:w="2268" w:type="dxa"/>
            <w:vAlign w:val="center"/>
          </w:tcPr>
          <w:p w:rsidR="00181687" w:rsidRPr="00633A59" w:rsidRDefault="00181687" w:rsidP="00DB439B">
            <w:pPr>
              <w:autoSpaceDE w:val="0"/>
              <w:autoSpaceDN w:val="0"/>
              <w:adjustRightInd w:val="0"/>
              <w:ind w:left="176"/>
              <w:jc w:val="both"/>
            </w:pPr>
            <w:r w:rsidRPr="006A7FA8">
              <w:t>Saeimas un ekspertu līdzdalība</w:t>
            </w:r>
          </w:p>
        </w:tc>
        <w:tc>
          <w:tcPr>
            <w:tcW w:w="6379" w:type="dxa"/>
            <w:vAlign w:val="center"/>
          </w:tcPr>
          <w:p w:rsidR="00181687" w:rsidRPr="00633A59" w:rsidRDefault="00181687" w:rsidP="00DB439B">
            <w:r w:rsidRPr="006A7FA8">
              <w:t>Projekts šo jomu neskar</w:t>
            </w:r>
            <w:r w:rsidR="0017039E" w:rsidRPr="006A7FA8">
              <w:t>.</w:t>
            </w:r>
          </w:p>
        </w:tc>
      </w:tr>
      <w:tr w:rsidR="00181687" w:rsidRPr="00633A59" w:rsidTr="00E06F41">
        <w:trPr>
          <w:trHeight w:val="541"/>
        </w:trPr>
        <w:tc>
          <w:tcPr>
            <w:tcW w:w="567" w:type="dxa"/>
            <w:vAlign w:val="center"/>
          </w:tcPr>
          <w:p w:rsidR="00181687" w:rsidRPr="00633A59" w:rsidRDefault="00181687" w:rsidP="008C4F6E">
            <w:pPr>
              <w:jc w:val="center"/>
            </w:pPr>
            <w:r w:rsidRPr="006A7FA8">
              <w:t>5.</w:t>
            </w:r>
          </w:p>
        </w:tc>
        <w:tc>
          <w:tcPr>
            <w:tcW w:w="2268" w:type="dxa"/>
            <w:vAlign w:val="center"/>
          </w:tcPr>
          <w:p w:rsidR="00181687" w:rsidRPr="00633A59" w:rsidRDefault="00181687" w:rsidP="00DB439B">
            <w:pPr>
              <w:autoSpaceDE w:val="0"/>
              <w:autoSpaceDN w:val="0"/>
              <w:adjustRightInd w:val="0"/>
              <w:ind w:left="176"/>
              <w:jc w:val="both"/>
            </w:pPr>
            <w:r w:rsidRPr="006A7FA8">
              <w:t>Cita informācija</w:t>
            </w:r>
          </w:p>
        </w:tc>
        <w:tc>
          <w:tcPr>
            <w:tcW w:w="6379" w:type="dxa"/>
            <w:vAlign w:val="center"/>
          </w:tcPr>
          <w:p w:rsidR="00181687" w:rsidRPr="00633A59" w:rsidRDefault="00181687" w:rsidP="00DB439B">
            <w:r w:rsidRPr="006A7FA8">
              <w:t>Nav.</w:t>
            </w:r>
          </w:p>
        </w:tc>
      </w:tr>
    </w:tbl>
    <w:p w:rsidR="00CB7B0F" w:rsidRPr="00927E3E" w:rsidRDefault="00CB7B0F" w:rsidP="00DA1605">
      <w:pPr>
        <w:rPr>
          <w:sz w:val="22"/>
          <w:szCs w:val="22"/>
        </w:rPr>
      </w:pPr>
    </w:p>
    <w:p w:rsidR="00CB7B0F" w:rsidRPr="00927E3E" w:rsidRDefault="00CB7B0F" w:rsidP="00DA1605">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6379"/>
      </w:tblGrid>
      <w:tr w:rsidR="00181687" w:rsidRPr="00633A59" w:rsidTr="00E06F41">
        <w:trPr>
          <w:trHeight w:val="532"/>
        </w:trPr>
        <w:tc>
          <w:tcPr>
            <w:tcW w:w="9214" w:type="dxa"/>
            <w:gridSpan w:val="3"/>
            <w:vAlign w:val="center"/>
          </w:tcPr>
          <w:p w:rsidR="00181687" w:rsidRPr="00633A59" w:rsidRDefault="00181687" w:rsidP="008C4F6E">
            <w:pPr>
              <w:jc w:val="center"/>
              <w:rPr>
                <w:b/>
              </w:rPr>
            </w:pPr>
            <w:r w:rsidRPr="006A7FA8">
              <w:rPr>
                <w:b/>
                <w:szCs w:val="22"/>
              </w:rPr>
              <w:t>VII. Tiesību akta projekta izpildes nodrošināšana un tās ietekme uz institūcijām</w:t>
            </w:r>
          </w:p>
        </w:tc>
      </w:tr>
      <w:tr w:rsidR="00C15A1E" w:rsidRPr="00633A59" w:rsidTr="0017039E">
        <w:trPr>
          <w:trHeight w:val="1376"/>
        </w:trPr>
        <w:tc>
          <w:tcPr>
            <w:tcW w:w="567" w:type="dxa"/>
            <w:vAlign w:val="center"/>
          </w:tcPr>
          <w:p w:rsidR="00C15A1E" w:rsidRPr="00633A59" w:rsidRDefault="00C15A1E" w:rsidP="00E23708">
            <w:pPr>
              <w:jc w:val="center"/>
            </w:pPr>
            <w:r w:rsidRPr="006A7FA8">
              <w:rPr>
                <w:szCs w:val="22"/>
              </w:rPr>
              <w:t>1.</w:t>
            </w:r>
          </w:p>
        </w:tc>
        <w:tc>
          <w:tcPr>
            <w:tcW w:w="2268" w:type="dxa"/>
            <w:vAlign w:val="center"/>
          </w:tcPr>
          <w:p w:rsidR="0017039E" w:rsidRPr="00633A59" w:rsidRDefault="00C15A1E" w:rsidP="00E23708">
            <w:pPr>
              <w:pStyle w:val="naisf"/>
              <w:spacing w:before="0" w:after="0"/>
              <w:ind w:firstLine="0"/>
            </w:pPr>
            <w:r w:rsidRPr="006A7FA8">
              <w:rPr>
                <w:szCs w:val="22"/>
              </w:rPr>
              <w:t>Projekta izpildē iesaistītās institūcijas</w:t>
            </w:r>
          </w:p>
          <w:p w:rsidR="00C15A1E" w:rsidRPr="00633A59" w:rsidRDefault="00C15A1E" w:rsidP="00E23708"/>
        </w:tc>
        <w:tc>
          <w:tcPr>
            <w:tcW w:w="6379" w:type="dxa"/>
            <w:vAlign w:val="center"/>
          </w:tcPr>
          <w:p w:rsidR="00C15A1E" w:rsidRPr="00633A59" w:rsidRDefault="00290F50" w:rsidP="00E23708">
            <w:pPr>
              <w:pStyle w:val="naisnod"/>
              <w:spacing w:before="0" w:after="0"/>
              <w:jc w:val="both"/>
            </w:pPr>
            <w:r w:rsidRPr="006A7FA8">
              <w:rPr>
                <w:b w:val="0"/>
                <w:szCs w:val="22"/>
              </w:rPr>
              <w:t xml:space="preserve">Valsts policija, Finanšu policija, Militārā policija, Ieslodzījuma vietu pārvalde, Korupcijas novēršanas un apkarošanas birojs, muitas iestādes, Valsts robežsardze, Valsts drošības iestādes, Ārlietu ministrija, Ceļu satiksmes drošības direkcija, Latvijas Jūras administrācija, Pilsonības un migrāciju lietu pārvalde, prokuratūra, tiesa, Iekšlietu ministrijas Informācijas centrs, </w:t>
            </w:r>
            <w:r w:rsidR="009E506F" w:rsidRPr="006A7FA8">
              <w:rPr>
                <w:b w:val="0"/>
                <w:szCs w:val="22"/>
              </w:rPr>
              <w:t xml:space="preserve">ārstniecības iestāžu reģistrā iekļautās stacionārās ārstniecības iestādes, kas nodrošina neatliekamās medicīniskās palīdzības sniegšanu </w:t>
            </w:r>
            <w:r w:rsidR="00085440" w:rsidRPr="006A7FA8">
              <w:rPr>
                <w:b w:val="0"/>
                <w:szCs w:val="22"/>
              </w:rPr>
              <w:t>un</w:t>
            </w:r>
            <w:r w:rsidR="009E506F" w:rsidRPr="006A7FA8">
              <w:rPr>
                <w:b w:val="0"/>
                <w:szCs w:val="22"/>
              </w:rPr>
              <w:t xml:space="preserve"> pašvaldības policija</w:t>
            </w:r>
            <w:r w:rsidR="00F45B61" w:rsidRPr="006A7FA8">
              <w:rPr>
                <w:b w:val="0"/>
                <w:szCs w:val="22"/>
              </w:rPr>
              <w:t>.</w:t>
            </w:r>
          </w:p>
        </w:tc>
      </w:tr>
      <w:tr w:rsidR="008D024F" w:rsidRPr="00633A59" w:rsidTr="00E23708">
        <w:trPr>
          <w:trHeight w:val="944"/>
        </w:trPr>
        <w:tc>
          <w:tcPr>
            <w:tcW w:w="567" w:type="dxa"/>
            <w:vAlign w:val="center"/>
          </w:tcPr>
          <w:p w:rsidR="008D024F" w:rsidRPr="00633A59" w:rsidRDefault="008D024F" w:rsidP="00E23708">
            <w:pPr>
              <w:jc w:val="center"/>
            </w:pPr>
            <w:r w:rsidRPr="006A7FA8">
              <w:rPr>
                <w:szCs w:val="22"/>
              </w:rPr>
              <w:t>2.</w:t>
            </w:r>
          </w:p>
        </w:tc>
        <w:tc>
          <w:tcPr>
            <w:tcW w:w="2268" w:type="dxa"/>
            <w:vAlign w:val="center"/>
          </w:tcPr>
          <w:p w:rsidR="008D024F" w:rsidRPr="00633A59" w:rsidRDefault="008D024F" w:rsidP="00E23708">
            <w:pPr>
              <w:pStyle w:val="naisf"/>
              <w:spacing w:before="0" w:after="0"/>
              <w:ind w:left="170" w:firstLine="0"/>
            </w:pPr>
            <w:r w:rsidRPr="006A7FA8">
              <w:rPr>
                <w:szCs w:val="22"/>
              </w:rPr>
              <w:t>Projekta izpildes ietekme uz pārvaldes funkcijām</w:t>
            </w:r>
          </w:p>
        </w:tc>
        <w:tc>
          <w:tcPr>
            <w:tcW w:w="6379" w:type="dxa"/>
            <w:vAlign w:val="center"/>
          </w:tcPr>
          <w:p w:rsidR="008D024F" w:rsidRPr="00633A59" w:rsidRDefault="007B5660" w:rsidP="00E23708">
            <w:pPr>
              <w:pStyle w:val="naisnod"/>
              <w:spacing w:before="0" w:after="0"/>
              <w:ind w:right="181"/>
              <w:jc w:val="both"/>
              <w:rPr>
                <w:b w:val="0"/>
                <w:i/>
              </w:rPr>
            </w:pPr>
            <w:r w:rsidRPr="006A7FA8">
              <w:rPr>
                <w:b w:val="0"/>
                <w:szCs w:val="22"/>
              </w:rPr>
              <w:t>Noteikumu projekts neparedz jaunu institūciju veidošanu, kā arī esošo ins</w:t>
            </w:r>
            <w:r w:rsidR="00F555B9" w:rsidRPr="006A7FA8">
              <w:rPr>
                <w:b w:val="0"/>
                <w:szCs w:val="22"/>
              </w:rPr>
              <w:t>ti</w:t>
            </w:r>
            <w:r w:rsidRPr="006A7FA8">
              <w:rPr>
                <w:b w:val="0"/>
                <w:szCs w:val="22"/>
              </w:rPr>
              <w:t>tūciju funkciju paplašināšanu.</w:t>
            </w:r>
          </w:p>
        </w:tc>
      </w:tr>
      <w:tr w:rsidR="008D024F" w:rsidRPr="00633A59" w:rsidTr="0041781F">
        <w:trPr>
          <w:trHeight w:val="431"/>
        </w:trPr>
        <w:tc>
          <w:tcPr>
            <w:tcW w:w="567" w:type="dxa"/>
            <w:vAlign w:val="center"/>
          </w:tcPr>
          <w:p w:rsidR="008D024F" w:rsidRPr="00633A59" w:rsidRDefault="008D024F" w:rsidP="00E23708">
            <w:pPr>
              <w:jc w:val="center"/>
            </w:pPr>
            <w:r w:rsidRPr="006A7FA8">
              <w:rPr>
                <w:szCs w:val="22"/>
              </w:rPr>
              <w:t>3.</w:t>
            </w:r>
          </w:p>
        </w:tc>
        <w:tc>
          <w:tcPr>
            <w:tcW w:w="2268" w:type="dxa"/>
            <w:vAlign w:val="center"/>
          </w:tcPr>
          <w:p w:rsidR="008D024F" w:rsidRPr="00633A59" w:rsidRDefault="008D024F" w:rsidP="00E23708">
            <w:pPr>
              <w:pStyle w:val="naisf"/>
              <w:spacing w:before="0" w:after="0"/>
              <w:ind w:left="170" w:firstLine="0"/>
            </w:pPr>
            <w:r w:rsidRPr="006A7FA8">
              <w:rPr>
                <w:szCs w:val="22"/>
              </w:rPr>
              <w:t>Projekta izpildes ietekme uz pārvaldes institucionālo struktūru.</w:t>
            </w:r>
          </w:p>
          <w:p w:rsidR="008D024F" w:rsidRPr="00633A59" w:rsidRDefault="008D024F" w:rsidP="00E23708">
            <w:pPr>
              <w:pStyle w:val="naisf"/>
              <w:spacing w:before="0" w:after="0"/>
              <w:ind w:left="170" w:firstLine="0"/>
            </w:pPr>
            <w:r w:rsidRPr="006A7FA8">
              <w:rPr>
                <w:szCs w:val="22"/>
              </w:rPr>
              <w:t>Jaunu institūciju izveide.</w:t>
            </w:r>
          </w:p>
        </w:tc>
        <w:tc>
          <w:tcPr>
            <w:tcW w:w="6379" w:type="dxa"/>
            <w:vAlign w:val="center"/>
          </w:tcPr>
          <w:p w:rsidR="008D024F" w:rsidRPr="00633A59" w:rsidRDefault="008D024F" w:rsidP="00E23708">
            <w:pPr>
              <w:pStyle w:val="naisnod"/>
              <w:spacing w:before="0" w:after="0"/>
              <w:jc w:val="both"/>
              <w:rPr>
                <w:b w:val="0"/>
                <w:i/>
              </w:rPr>
            </w:pPr>
            <w:r w:rsidRPr="006A7FA8">
              <w:rPr>
                <w:b w:val="0"/>
                <w:szCs w:val="22"/>
              </w:rPr>
              <w:t>Jauna</w:t>
            </w:r>
            <w:r w:rsidR="0017039E" w:rsidRPr="006A7FA8">
              <w:rPr>
                <w:b w:val="0"/>
                <w:szCs w:val="22"/>
              </w:rPr>
              <w:t>s</w:t>
            </w:r>
            <w:r w:rsidRPr="006A7FA8">
              <w:rPr>
                <w:b w:val="0"/>
                <w:szCs w:val="22"/>
              </w:rPr>
              <w:t xml:space="preserve"> institūcija</w:t>
            </w:r>
            <w:r w:rsidR="0017039E" w:rsidRPr="006A7FA8">
              <w:rPr>
                <w:b w:val="0"/>
                <w:szCs w:val="22"/>
              </w:rPr>
              <w:t>s</w:t>
            </w:r>
            <w:r w:rsidRPr="006A7FA8">
              <w:rPr>
                <w:b w:val="0"/>
                <w:szCs w:val="22"/>
              </w:rPr>
              <w:t xml:space="preserve"> netiks izveidota</w:t>
            </w:r>
            <w:r w:rsidR="0017039E" w:rsidRPr="006A7FA8">
              <w:rPr>
                <w:b w:val="0"/>
                <w:szCs w:val="22"/>
              </w:rPr>
              <w:t>s</w:t>
            </w:r>
            <w:r w:rsidRPr="006A7FA8">
              <w:rPr>
                <w:b w:val="0"/>
                <w:szCs w:val="22"/>
              </w:rPr>
              <w:t>.</w:t>
            </w:r>
          </w:p>
        </w:tc>
      </w:tr>
      <w:tr w:rsidR="008D024F" w:rsidRPr="00633A59" w:rsidTr="00E23708">
        <w:trPr>
          <w:trHeight w:val="416"/>
        </w:trPr>
        <w:tc>
          <w:tcPr>
            <w:tcW w:w="567" w:type="dxa"/>
            <w:vAlign w:val="center"/>
          </w:tcPr>
          <w:p w:rsidR="008D024F" w:rsidRPr="00633A59" w:rsidRDefault="008D024F" w:rsidP="00E23708">
            <w:pPr>
              <w:jc w:val="center"/>
            </w:pPr>
            <w:r w:rsidRPr="006A7FA8">
              <w:rPr>
                <w:szCs w:val="22"/>
              </w:rPr>
              <w:t>4.</w:t>
            </w:r>
          </w:p>
        </w:tc>
        <w:tc>
          <w:tcPr>
            <w:tcW w:w="2268" w:type="dxa"/>
            <w:vAlign w:val="center"/>
          </w:tcPr>
          <w:p w:rsidR="008D024F" w:rsidRPr="00633A59" w:rsidRDefault="008D024F" w:rsidP="00E23708">
            <w:pPr>
              <w:pStyle w:val="naisf"/>
              <w:spacing w:before="0" w:after="0"/>
              <w:ind w:left="170" w:firstLine="0"/>
            </w:pPr>
            <w:r w:rsidRPr="006A7FA8">
              <w:rPr>
                <w:szCs w:val="22"/>
              </w:rPr>
              <w:t>Projekta izpildes ietekme uz pārvaldes institucionālo struktūru.</w:t>
            </w:r>
          </w:p>
          <w:p w:rsidR="008D024F" w:rsidRPr="00633A59" w:rsidRDefault="008D024F" w:rsidP="00E23708">
            <w:pPr>
              <w:pStyle w:val="naisf"/>
              <w:spacing w:before="0" w:after="0"/>
              <w:ind w:left="170" w:firstLine="0"/>
            </w:pPr>
            <w:r w:rsidRPr="006A7FA8">
              <w:rPr>
                <w:szCs w:val="22"/>
              </w:rPr>
              <w:lastRenderedPageBreak/>
              <w:t>Esošu institūciju likvidācija.</w:t>
            </w:r>
          </w:p>
        </w:tc>
        <w:tc>
          <w:tcPr>
            <w:tcW w:w="6379" w:type="dxa"/>
            <w:vAlign w:val="center"/>
          </w:tcPr>
          <w:p w:rsidR="008D024F" w:rsidRPr="00633A59" w:rsidRDefault="008D024F" w:rsidP="00E23708">
            <w:pPr>
              <w:pStyle w:val="naisnod"/>
              <w:spacing w:before="0" w:after="0"/>
              <w:jc w:val="both"/>
              <w:rPr>
                <w:b w:val="0"/>
                <w:i/>
              </w:rPr>
            </w:pPr>
            <w:r w:rsidRPr="006A7FA8">
              <w:rPr>
                <w:b w:val="0"/>
                <w:szCs w:val="22"/>
              </w:rPr>
              <w:lastRenderedPageBreak/>
              <w:t>Esošās institūcijas netiks likvidētas.</w:t>
            </w:r>
          </w:p>
        </w:tc>
      </w:tr>
      <w:tr w:rsidR="008D024F" w:rsidRPr="00633A59" w:rsidTr="00E06F41">
        <w:trPr>
          <w:trHeight w:val="1549"/>
        </w:trPr>
        <w:tc>
          <w:tcPr>
            <w:tcW w:w="567" w:type="dxa"/>
            <w:vAlign w:val="center"/>
          </w:tcPr>
          <w:p w:rsidR="008D024F" w:rsidRPr="00633A59" w:rsidRDefault="008D024F" w:rsidP="00E23708">
            <w:pPr>
              <w:jc w:val="center"/>
            </w:pPr>
            <w:r w:rsidRPr="006A7FA8">
              <w:rPr>
                <w:szCs w:val="22"/>
              </w:rPr>
              <w:lastRenderedPageBreak/>
              <w:t>5.</w:t>
            </w:r>
          </w:p>
        </w:tc>
        <w:tc>
          <w:tcPr>
            <w:tcW w:w="2268" w:type="dxa"/>
            <w:vAlign w:val="center"/>
          </w:tcPr>
          <w:p w:rsidR="008D024F" w:rsidRPr="00633A59" w:rsidRDefault="008D024F" w:rsidP="00E23708">
            <w:pPr>
              <w:pStyle w:val="naisf"/>
              <w:spacing w:before="0" w:after="0"/>
              <w:ind w:left="170" w:firstLine="0"/>
            </w:pPr>
            <w:r w:rsidRPr="006A7FA8">
              <w:rPr>
                <w:szCs w:val="22"/>
              </w:rPr>
              <w:t>Projekta izpildes ietekme uz pārvaldes institucionālo struktūru.</w:t>
            </w:r>
          </w:p>
          <w:p w:rsidR="008D024F" w:rsidRPr="00633A59" w:rsidRDefault="008D024F" w:rsidP="00E23708">
            <w:pPr>
              <w:pStyle w:val="naisf"/>
              <w:spacing w:before="0" w:after="0"/>
              <w:ind w:left="170" w:firstLine="0"/>
            </w:pPr>
            <w:r w:rsidRPr="006A7FA8">
              <w:rPr>
                <w:szCs w:val="22"/>
              </w:rPr>
              <w:t>Esošu institūciju reorganizācija.</w:t>
            </w:r>
          </w:p>
        </w:tc>
        <w:tc>
          <w:tcPr>
            <w:tcW w:w="6379" w:type="dxa"/>
            <w:vAlign w:val="center"/>
          </w:tcPr>
          <w:p w:rsidR="008D024F" w:rsidRPr="00633A59" w:rsidRDefault="00C57E67" w:rsidP="00E23708">
            <w:pPr>
              <w:pStyle w:val="naisnod"/>
              <w:spacing w:before="0" w:after="0"/>
              <w:jc w:val="both"/>
              <w:rPr>
                <w:b w:val="0"/>
                <w:i/>
              </w:rPr>
            </w:pPr>
            <w:r w:rsidRPr="006A7FA8">
              <w:rPr>
                <w:b w:val="0"/>
                <w:szCs w:val="22"/>
              </w:rPr>
              <w:t>In</w:t>
            </w:r>
            <w:r w:rsidR="008D024F" w:rsidRPr="006A7FA8">
              <w:rPr>
                <w:b w:val="0"/>
                <w:szCs w:val="22"/>
              </w:rPr>
              <w:t>stitūciju reorganizācija</w:t>
            </w:r>
            <w:r w:rsidRPr="006A7FA8">
              <w:rPr>
                <w:b w:val="0"/>
                <w:szCs w:val="22"/>
              </w:rPr>
              <w:t xml:space="preserve"> nenotiks</w:t>
            </w:r>
            <w:r w:rsidR="008D024F" w:rsidRPr="006A7FA8">
              <w:rPr>
                <w:b w:val="0"/>
                <w:szCs w:val="22"/>
              </w:rPr>
              <w:t>.</w:t>
            </w:r>
          </w:p>
        </w:tc>
      </w:tr>
      <w:tr w:rsidR="008D024F" w:rsidRPr="00633A59" w:rsidTr="00E06F41">
        <w:trPr>
          <w:trHeight w:val="511"/>
        </w:trPr>
        <w:tc>
          <w:tcPr>
            <w:tcW w:w="567" w:type="dxa"/>
            <w:vAlign w:val="center"/>
          </w:tcPr>
          <w:p w:rsidR="008D024F" w:rsidRPr="00633A59" w:rsidRDefault="008D024F" w:rsidP="00E23708">
            <w:pPr>
              <w:jc w:val="center"/>
            </w:pPr>
            <w:r w:rsidRPr="006A7FA8">
              <w:rPr>
                <w:szCs w:val="22"/>
              </w:rPr>
              <w:t>6.</w:t>
            </w:r>
          </w:p>
        </w:tc>
        <w:tc>
          <w:tcPr>
            <w:tcW w:w="2268" w:type="dxa"/>
            <w:vAlign w:val="center"/>
          </w:tcPr>
          <w:p w:rsidR="008D024F" w:rsidRPr="00633A59" w:rsidRDefault="008D024F" w:rsidP="00E23708">
            <w:pPr>
              <w:pStyle w:val="naiskr"/>
              <w:spacing w:before="0" w:after="0"/>
              <w:ind w:left="170"/>
              <w:jc w:val="both"/>
            </w:pPr>
            <w:r w:rsidRPr="006A7FA8">
              <w:rPr>
                <w:szCs w:val="22"/>
              </w:rPr>
              <w:t>Cita informācija.</w:t>
            </w:r>
          </w:p>
        </w:tc>
        <w:tc>
          <w:tcPr>
            <w:tcW w:w="6379" w:type="dxa"/>
            <w:vAlign w:val="center"/>
          </w:tcPr>
          <w:p w:rsidR="008D024F" w:rsidRPr="00633A59" w:rsidRDefault="008D024F" w:rsidP="00E23708">
            <w:pPr>
              <w:pStyle w:val="naiskr"/>
              <w:spacing w:before="0" w:after="0"/>
              <w:jc w:val="both"/>
            </w:pPr>
            <w:r w:rsidRPr="006A7FA8">
              <w:rPr>
                <w:szCs w:val="22"/>
              </w:rPr>
              <w:t>Nav.</w:t>
            </w:r>
          </w:p>
        </w:tc>
      </w:tr>
    </w:tbl>
    <w:p w:rsidR="00181687" w:rsidRPr="00927E3E" w:rsidRDefault="00181687" w:rsidP="00742378">
      <w:pPr>
        <w:widowControl w:val="0"/>
        <w:outlineLvl w:val="0"/>
        <w:rPr>
          <w:sz w:val="20"/>
          <w:szCs w:val="20"/>
        </w:rPr>
      </w:pPr>
    </w:p>
    <w:p w:rsidR="00181687" w:rsidRPr="00927E3E" w:rsidRDefault="00181687" w:rsidP="00E06F41">
      <w:r w:rsidRPr="00927E3E">
        <w:t xml:space="preserve">Anotācijas </w:t>
      </w:r>
      <w:r w:rsidR="00FC04E4" w:rsidRPr="00927E3E">
        <w:t xml:space="preserve">II, </w:t>
      </w:r>
      <w:r w:rsidRPr="00927E3E">
        <w:t>III</w:t>
      </w:r>
      <w:r w:rsidR="0017039E" w:rsidRPr="00927E3E">
        <w:t>, IV</w:t>
      </w:r>
      <w:r w:rsidRPr="00927E3E">
        <w:t xml:space="preserve"> un V sadaļa – projekts š</w:t>
      </w:r>
      <w:r w:rsidR="00703860" w:rsidRPr="00927E3E">
        <w:t>o jomu</w:t>
      </w:r>
      <w:r w:rsidRPr="00927E3E">
        <w:t xml:space="preserve"> neskar</w:t>
      </w:r>
      <w:r w:rsidR="00703860" w:rsidRPr="00927E3E">
        <w:t>.</w:t>
      </w:r>
    </w:p>
    <w:p w:rsidR="008550BE" w:rsidRPr="00927E3E" w:rsidRDefault="008550BE" w:rsidP="00E06F41"/>
    <w:p w:rsidR="00B32DCD" w:rsidRPr="00927E3E" w:rsidRDefault="00B32DCD" w:rsidP="00E06F41"/>
    <w:p w:rsidR="00B95F8D" w:rsidRPr="00927E3E" w:rsidRDefault="00B95F8D" w:rsidP="00742378">
      <w:pPr>
        <w:widowControl w:val="0"/>
        <w:outlineLvl w:val="0"/>
        <w:rPr>
          <w:sz w:val="8"/>
          <w:szCs w:val="20"/>
        </w:rPr>
      </w:pPr>
    </w:p>
    <w:p w:rsidR="00B95F8D" w:rsidRPr="00927E3E" w:rsidRDefault="00B95F8D" w:rsidP="00742378">
      <w:pPr>
        <w:widowControl w:val="0"/>
        <w:outlineLvl w:val="0"/>
        <w:rPr>
          <w:sz w:val="8"/>
          <w:szCs w:val="20"/>
        </w:r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952"/>
      </w:tblGrid>
      <w:tr w:rsidR="008550BE" w:rsidRPr="00927E3E" w:rsidTr="008550BE">
        <w:tc>
          <w:tcPr>
            <w:tcW w:w="6228" w:type="dxa"/>
          </w:tcPr>
          <w:p w:rsidR="008550BE" w:rsidRPr="00927E3E" w:rsidRDefault="008550BE" w:rsidP="000F16B1">
            <w:pPr>
              <w:pStyle w:val="NormalWeb"/>
              <w:spacing w:before="238" w:after="240" w:afterAutospacing="0" w:line="360" w:lineRule="auto"/>
              <w:ind w:right="-51"/>
              <w:rPr>
                <w:rFonts w:ascii="Times New Roman" w:hAnsi="Times New Roman"/>
                <w:sz w:val="28"/>
                <w:szCs w:val="28"/>
              </w:rPr>
            </w:pPr>
            <w:r w:rsidRPr="00927E3E">
              <w:rPr>
                <w:rFonts w:ascii="Times New Roman" w:hAnsi="Times New Roman"/>
                <w:sz w:val="28"/>
                <w:szCs w:val="28"/>
              </w:rPr>
              <w:t>Iekšlietu ministrs</w:t>
            </w:r>
          </w:p>
        </w:tc>
        <w:tc>
          <w:tcPr>
            <w:tcW w:w="2952" w:type="dxa"/>
          </w:tcPr>
          <w:p w:rsidR="008550BE" w:rsidRPr="00927E3E" w:rsidRDefault="008550BE" w:rsidP="000F16B1">
            <w:pPr>
              <w:pStyle w:val="NormalWeb"/>
              <w:spacing w:before="238" w:after="240" w:afterAutospacing="0" w:line="360" w:lineRule="auto"/>
              <w:ind w:right="-51"/>
              <w:rPr>
                <w:rFonts w:ascii="Times New Roman" w:hAnsi="Times New Roman"/>
                <w:sz w:val="28"/>
                <w:szCs w:val="28"/>
              </w:rPr>
            </w:pPr>
            <w:r w:rsidRPr="00927E3E">
              <w:rPr>
                <w:rFonts w:ascii="Times New Roman" w:hAnsi="Times New Roman"/>
                <w:sz w:val="28"/>
                <w:szCs w:val="28"/>
              </w:rPr>
              <w:t>R.Kozlovskis</w:t>
            </w:r>
          </w:p>
        </w:tc>
      </w:tr>
      <w:tr w:rsidR="008550BE" w:rsidRPr="00927E3E" w:rsidTr="008550BE">
        <w:tc>
          <w:tcPr>
            <w:tcW w:w="6228" w:type="dxa"/>
          </w:tcPr>
          <w:p w:rsidR="008550BE" w:rsidRPr="00927E3E" w:rsidRDefault="008550BE" w:rsidP="000F16B1">
            <w:pPr>
              <w:pStyle w:val="NormalWeb"/>
              <w:spacing w:before="238" w:after="240" w:afterAutospacing="0" w:line="360" w:lineRule="auto"/>
              <w:ind w:right="-51"/>
              <w:rPr>
                <w:rFonts w:ascii="Times New Roman" w:hAnsi="Times New Roman"/>
                <w:sz w:val="28"/>
                <w:szCs w:val="28"/>
              </w:rPr>
            </w:pPr>
          </w:p>
        </w:tc>
        <w:tc>
          <w:tcPr>
            <w:tcW w:w="2952" w:type="dxa"/>
          </w:tcPr>
          <w:p w:rsidR="008550BE" w:rsidRPr="00927E3E" w:rsidRDefault="008550BE" w:rsidP="000F16B1">
            <w:pPr>
              <w:pStyle w:val="NormalWeb"/>
              <w:spacing w:before="238" w:after="240" w:afterAutospacing="0" w:line="360" w:lineRule="auto"/>
              <w:ind w:right="-51"/>
              <w:rPr>
                <w:rFonts w:ascii="Times New Roman" w:hAnsi="Times New Roman"/>
                <w:sz w:val="28"/>
                <w:szCs w:val="28"/>
              </w:rPr>
            </w:pPr>
          </w:p>
        </w:tc>
      </w:tr>
      <w:tr w:rsidR="008550BE" w:rsidRPr="00927E3E" w:rsidTr="008550BE">
        <w:tc>
          <w:tcPr>
            <w:tcW w:w="6228" w:type="dxa"/>
          </w:tcPr>
          <w:p w:rsidR="008550BE" w:rsidRPr="00927E3E" w:rsidRDefault="008550BE" w:rsidP="000F16B1">
            <w:pPr>
              <w:pStyle w:val="NormalWeb"/>
              <w:spacing w:before="238" w:after="240" w:afterAutospacing="0" w:line="360" w:lineRule="auto"/>
              <w:ind w:right="-51"/>
              <w:rPr>
                <w:rFonts w:ascii="Times New Roman" w:hAnsi="Times New Roman"/>
                <w:sz w:val="28"/>
                <w:szCs w:val="28"/>
              </w:rPr>
            </w:pPr>
            <w:r w:rsidRPr="00927E3E">
              <w:rPr>
                <w:rFonts w:ascii="Times New Roman" w:hAnsi="Times New Roman"/>
                <w:sz w:val="28"/>
                <w:szCs w:val="28"/>
              </w:rPr>
              <w:t>Vīza: valsts sekretāre</w:t>
            </w:r>
          </w:p>
        </w:tc>
        <w:tc>
          <w:tcPr>
            <w:tcW w:w="2952" w:type="dxa"/>
          </w:tcPr>
          <w:p w:rsidR="008550BE" w:rsidRPr="00927E3E" w:rsidRDefault="008550BE" w:rsidP="000F16B1">
            <w:pPr>
              <w:pStyle w:val="NormalWeb"/>
              <w:spacing w:before="238" w:after="240" w:afterAutospacing="0" w:line="360" w:lineRule="auto"/>
              <w:ind w:right="-51"/>
              <w:rPr>
                <w:rFonts w:ascii="Times New Roman" w:hAnsi="Times New Roman"/>
                <w:sz w:val="28"/>
                <w:szCs w:val="28"/>
              </w:rPr>
            </w:pPr>
            <w:r w:rsidRPr="00927E3E">
              <w:rPr>
                <w:rFonts w:ascii="Times New Roman" w:hAnsi="Times New Roman"/>
                <w:sz w:val="28"/>
                <w:szCs w:val="28"/>
              </w:rPr>
              <w:t>I.Pētersone</w:t>
            </w:r>
            <w:r w:rsidRPr="00927E3E">
              <w:rPr>
                <w:sz w:val="28"/>
                <w:szCs w:val="28"/>
              </w:rPr>
              <w:t>–</w:t>
            </w:r>
            <w:r w:rsidRPr="00927E3E">
              <w:rPr>
                <w:rFonts w:ascii="Times New Roman" w:hAnsi="Times New Roman"/>
                <w:sz w:val="28"/>
                <w:szCs w:val="28"/>
              </w:rPr>
              <w:t>Godmane</w:t>
            </w:r>
          </w:p>
        </w:tc>
      </w:tr>
    </w:tbl>
    <w:p w:rsidR="00C15A1E" w:rsidRPr="00927E3E" w:rsidRDefault="00C15A1E" w:rsidP="007E07DD">
      <w:pPr>
        <w:jc w:val="both"/>
        <w:rPr>
          <w:sz w:val="20"/>
          <w:szCs w:val="20"/>
        </w:rPr>
      </w:pPr>
    </w:p>
    <w:p w:rsidR="00C15A1E" w:rsidRPr="00927E3E" w:rsidRDefault="00C15A1E" w:rsidP="007E07DD">
      <w:pPr>
        <w:jc w:val="both"/>
        <w:rPr>
          <w:sz w:val="20"/>
          <w:szCs w:val="20"/>
        </w:rPr>
      </w:pPr>
    </w:p>
    <w:p w:rsidR="005C4E80" w:rsidRDefault="005C4E80" w:rsidP="007E07DD">
      <w:pPr>
        <w:jc w:val="both"/>
        <w:rPr>
          <w:sz w:val="20"/>
          <w:szCs w:val="20"/>
        </w:rPr>
      </w:pPr>
    </w:p>
    <w:p w:rsidR="00C930B7" w:rsidRDefault="00C930B7" w:rsidP="007E07DD">
      <w:pPr>
        <w:jc w:val="both"/>
        <w:rPr>
          <w:sz w:val="20"/>
          <w:szCs w:val="20"/>
        </w:rPr>
      </w:pPr>
    </w:p>
    <w:p w:rsidR="00C930B7" w:rsidRDefault="00C930B7"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A50E3B" w:rsidRDefault="00A50E3B" w:rsidP="007E07DD">
      <w:pPr>
        <w:jc w:val="both"/>
        <w:rPr>
          <w:sz w:val="20"/>
          <w:szCs w:val="20"/>
        </w:rPr>
      </w:pPr>
    </w:p>
    <w:p w:rsidR="002E5A5F" w:rsidRDefault="002E5A5F" w:rsidP="007E07DD">
      <w:pPr>
        <w:jc w:val="both"/>
        <w:rPr>
          <w:sz w:val="20"/>
          <w:szCs w:val="20"/>
        </w:rPr>
      </w:pPr>
    </w:p>
    <w:p w:rsidR="00985BD2" w:rsidRPr="008A0944" w:rsidRDefault="00673DB5" w:rsidP="00985BD2">
      <w:pPr>
        <w:widowControl w:val="0"/>
        <w:outlineLvl w:val="0"/>
        <w:rPr>
          <w:sz w:val="20"/>
          <w:szCs w:val="20"/>
        </w:rPr>
      </w:pPr>
      <w:r>
        <w:rPr>
          <w:sz w:val="20"/>
          <w:szCs w:val="20"/>
        </w:rPr>
        <w:t>04.03</w:t>
      </w:r>
      <w:r w:rsidR="007730B1">
        <w:rPr>
          <w:sz w:val="20"/>
          <w:szCs w:val="20"/>
        </w:rPr>
        <w:t>.2014. 08:23</w:t>
      </w:r>
    </w:p>
    <w:p w:rsidR="00985BD2" w:rsidRPr="008A0944" w:rsidRDefault="004C1A3A" w:rsidP="00985BD2">
      <w:pPr>
        <w:widowControl w:val="0"/>
        <w:outlineLvl w:val="0"/>
        <w:rPr>
          <w:sz w:val="20"/>
          <w:szCs w:val="20"/>
        </w:rPr>
      </w:pPr>
      <w:r>
        <w:rPr>
          <w:sz w:val="20"/>
          <w:szCs w:val="20"/>
        </w:rPr>
        <w:t>17</w:t>
      </w:r>
      <w:r w:rsidR="00914EBC">
        <w:rPr>
          <w:sz w:val="20"/>
          <w:szCs w:val="20"/>
        </w:rPr>
        <w:t>31</w:t>
      </w:r>
    </w:p>
    <w:p w:rsidR="00985BD2" w:rsidRDefault="00985BD2" w:rsidP="00985BD2">
      <w:pPr>
        <w:widowControl w:val="0"/>
        <w:outlineLvl w:val="0"/>
        <w:rPr>
          <w:sz w:val="20"/>
          <w:szCs w:val="20"/>
        </w:rPr>
      </w:pPr>
      <w:r w:rsidRPr="00BC46C2">
        <w:rPr>
          <w:sz w:val="20"/>
          <w:szCs w:val="20"/>
        </w:rPr>
        <w:t>A.Strode</w:t>
      </w:r>
      <w:r>
        <w:rPr>
          <w:sz w:val="20"/>
          <w:szCs w:val="20"/>
        </w:rPr>
        <w:t xml:space="preserve">, </w:t>
      </w:r>
      <w:r w:rsidRPr="00BC46C2">
        <w:rPr>
          <w:sz w:val="20"/>
          <w:szCs w:val="20"/>
        </w:rPr>
        <w:t>67219602,</w:t>
      </w:r>
    </w:p>
    <w:p w:rsidR="00985BD2" w:rsidRPr="008A0944" w:rsidRDefault="0070027F" w:rsidP="00985BD2">
      <w:pPr>
        <w:widowControl w:val="0"/>
        <w:outlineLvl w:val="0"/>
        <w:rPr>
          <w:sz w:val="20"/>
          <w:szCs w:val="20"/>
        </w:rPr>
      </w:pPr>
      <w:hyperlink r:id="rId8" w:history="1">
        <w:r w:rsidR="00985BD2" w:rsidRPr="00985BD2">
          <w:rPr>
            <w:sz w:val="20"/>
            <w:szCs w:val="20"/>
          </w:rPr>
          <w:t>alda.strode@iem.gov.lv</w:t>
        </w:r>
      </w:hyperlink>
      <w:r w:rsidR="00985BD2">
        <w:rPr>
          <w:sz w:val="20"/>
          <w:szCs w:val="20"/>
        </w:rPr>
        <w:t xml:space="preserve"> </w:t>
      </w:r>
    </w:p>
    <w:p w:rsidR="00181687" w:rsidRPr="00705BA6" w:rsidRDefault="00216C4C" w:rsidP="007E07DD">
      <w:pPr>
        <w:widowControl w:val="0"/>
        <w:outlineLvl w:val="0"/>
        <w:rPr>
          <w:sz w:val="20"/>
          <w:szCs w:val="20"/>
        </w:rPr>
      </w:pPr>
      <w:r w:rsidRPr="00705BA6">
        <w:rPr>
          <w:sz w:val="20"/>
          <w:szCs w:val="20"/>
        </w:rPr>
        <w:t>I.Jansone</w:t>
      </w:r>
      <w:r w:rsidR="00CD110C" w:rsidRPr="00705BA6">
        <w:rPr>
          <w:sz w:val="20"/>
          <w:szCs w:val="20"/>
        </w:rPr>
        <w:t>, 67208</w:t>
      </w:r>
      <w:r w:rsidRPr="00705BA6">
        <w:rPr>
          <w:sz w:val="20"/>
          <w:szCs w:val="20"/>
        </w:rPr>
        <w:t>643</w:t>
      </w:r>
    </w:p>
    <w:p w:rsidR="00181687" w:rsidRPr="00927E3E" w:rsidRDefault="008526DC" w:rsidP="00742378">
      <w:pPr>
        <w:widowControl w:val="0"/>
        <w:outlineLvl w:val="0"/>
        <w:rPr>
          <w:sz w:val="20"/>
          <w:szCs w:val="20"/>
        </w:rPr>
      </w:pPr>
      <w:r w:rsidRPr="00705BA6">
        <w:rPr>
          <w:sz w:val="20"/>
          <w:szCs w:val="20"/>
        </w:rPr>
        <w:t>Ieva.Jansone</w:t>
      </w:r>
      <w:r w:rsidR="00181687" w:rsidRPr="00705BA6">
        <w:rPr>
          <w:sz w:val="20"/>
          <w:szCs w:val="20"/>
        </w:rPr>
        <w:t>@ic.iem</w:t>
      </w:r>
      <w:r w:rsidR="00181687" w:rsidRPr="00927E3E">
        <w:rPr>
          <w:sz w:val="20"/>
          <w:szCs w:val="20"/>
        </w:rPr>
        <w:t>.gov.lv</w:t>
      </w:r>
    </w:p>
    <w:sectPr w:rsidR="00181687" w:rsidRPr="00927E3E" w:rsidSect="0062635B">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6C" w:rsidRDefault="008B496C" w:rsidP="00DA1605">
      <w:r>
        <w:separator/>
      </w:r>
    </w:p>
  </w:endnote>
  <w:endnote w:type="continuationSeparator" w:id="0">
    <w:p w:rsidR="008B496C" w:rsidRDefault="008B496C" w:rsidP="00D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F" w:rsidRPr="0062635B" w:rsidRDefault="00F27B5F" w:rsidP="00335D2E">
    <w:pPr>
      <w:pStyle w:val="Footer"/>
      <w:jc w:val="both"/>
      <w:rPr>
        <w:sz w:val="20"/>
        <w:szCs w:val="20"/>
      </w:rPr>
    </w:pPr>
    <w:r w:rsidRPr="0062635B">
      <w:rPr>
        <w:sz w:val="20"/>
        <w:szCs w:val="20"/>
      </w:rPr>
      <w:fldChar w:fldCharType="begin"/>
    </w:r>
    <w:r w:rsidRPr="0062635B">
      <w:rPr>
        <w:sz w:val="20"/>
        <w:szCs w:val="20"/>
      </w:rPr>
      <w:instrText xml:space="preserve"> FILENAME   \* MERGEFORMAT </w:instrText>
    </w:r>
    <w:r w:rsidRPr="0062635B">
      <w:rPr>
        <w:sz w:val="20"/>
        <w:szCs w:val="20"/>
      </w:rPr>
      <w:fldChar w:fldCharType="separate"/>
    </w:r>
    <w:r w:rsidR="00FB64C9">
      <w:rPr>
        <w:noProof/>
        <w:sz w:val="20"/>
        <w:szCs w:val="20"/>
      </w:rPr>
      <w:t>IEMAnot_040314_BDAS.docx</w:t>
    </w:r>
    <w:r w:rsidRPr="0062635B">
      <w:rPr>
        <w:noProof/>
        <w:sz w:val="20"/>
        <w:szCs w:val="20"/>
      </w:rPr>
      <w:fldChar w:fldCharType="end"/>
    </w:r>
    <w:r w:rsidRPr="0062635B">
      <w:rPr>
        <w:sz w:val="20"/>
        <w:szCs w:val="20"/>
      </w:rPr>
      <w:t>; Ministru kabineta noteikumu projekta „Biometrijas datu apstrādes sistēmas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F" w:rsidRPr="00C930B7" w:rsidRDefault="0070027F" w:rsidP="00C930B7">
    <w:pPr>
      <w:pStyle w:val="Footer"/>
      <w:jc w:val="both"/>
      <w:rPr>
        <w:sz w:val="20"/>
        <w:szCs w:val="20"/>
      </w:rPr>
    </w:pPr>
    <w:r>
      <w:fldChar w:fldCharType="begin"/>
    </w:r>
    <w:r>
      <w:instrText xml:space="preserve"> FILENAME   \* MERGEFORMAT </w:instrText>
    </w:r>
    <w:r>
      <w:fldChar w:fldCharType="separate"/>
    </w:r>
    <w:r w:rsidR="00FB64C9" w:rsidRPr="00FB64C9">
      <w:rPr>
        <w:noProof/>
        <w:sz w:val="20"/>
        <w:szCs w:val="20"/>
      </w:rPr>
      <w:t>IEMAnot_040314_BDAS</w:t>
    </w:r>
    <w:r w:rsidR="00FB64C9">
      <w:rPr>
        <w:noProof/>
      </w:rPr>
      <w:t>.docx</w:t>
    </w:r>
    <w:r>
      <w:rPr>
        <w:noProof/>
      </w:rPr>
      <w:fldChar w:fldCharType="end"/>
    </w:r>
    <w:r w:rsidR="00F27B5F" w:rsidRPr="00311F6F">
      <w:rPr>
        <w:sz w:val="20"/>
        <w:szCs w:val="20"/>
      </w:rPr>
      <w:t>; Ministru kabineta noteikumu projekta „</w:t>
    </w:r>
    <w:r w:rsidR="00F27B5F">
      <w:rPr>
        <w:sz w:val="20"/>
        <w:szCs w:val="20"/>
      </w:rPr>
      <w:t>Biometrijas datu apstrādes</w:t>
    </w:r>
    <w:r w:rsidR="00F27B5F" w:rsidRPr="00311F6F">
      <w:rPr>
        <w:sz w:val="20"/>
        <w:szCs w:val="20"/>
      </w:rPr>
      <w:t xml:space="preserve"> sistēmas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6C" w:rsidRDefault="008B496C" w:rsidP="00DA1605">
      <w:r>
        <w:separator/>
      </w:r>
    </w:p>
  </w:footnote>
  <w:footnote w:type="continuationSeparator" w:id="0">
    <w:p w:rsidR="008B496C" w:rsidRDefault="008B496C" w:rsidP="00DA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F" w:rsidRDefault="00F27B5F" w:rsidP="00953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B5F" w:rsidRDefault="00F27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F" w:rsidRPr="005D4877" w:rsidRDefault="00F27B5F" w:rsidP="009533E3">
    <w:pPr>
      <w:pStyle w:val="Header"/>
      <w:framePr w:wrap="around" w:vAnchor="text" w:hAnchor="margin" w:xAlign="center" w:y="1"/>
      <w:rPr>
        <w:rStyle w:val="PageNumber"/>
        <w:sz w:val="20"/>
      </w:rPr>
    </w:pPr>
    <w:r w:rsidRPr="005D4877">
      <w:rPr>
        <w:rStyle w:val="PageNumber"/>
        <w:sz w:val="22"/>
      </w:rPr>
      <w:fldChar w:fldCharType="begin"/>
    </w:r>
    <w:r w:rsidRPr="005D4877">
      <w:rPr>
        <w:rStyle w:val="PageNumber"/>
        <w:sz w:val="22"/>
      </w:rPr>
      <w:instrText xml:space="preserve">PAGE  </w:instrText>
    </w:r>
    <w:r w:rsidRPr="005D4877">
      <w:rPr>
        <w:rStyle w:val="PageNumber"/>
        <w:sz w:val="22"/>
      </w:rPr>
      <w:fldChar w:fldCharType="separate"/>
    </w:r>
    <w:r w:rsidR="0070027F">
      <w:rPr>
        <w:rStyle w:val="PageNumber"/>
        <w:noProof/>
        <w:sz w:val="22"/>
      </w:rPr>
      <w:t>2</w:t>
    </w:r>
    <w:r w:rsidRPr="005D4877">
      <w:rPr>
        <w:rStyle w:val="PageNumber"/>
        <w:sz w:val="22"/>
      </w:rPr>
      <w:fldChar w:fldCharType="end"/>
    </w:r>
  </w:p>
  <w:p w:rsidR="00F27B5F" w:rsidRDefault="00F27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0DFD"/>
    <w:multiLevelType w:val="hybridMultilevel"/>
    <w:tmpl w:val="C2DC172C"/>
    <w:lvl w:ilvl="0" w:tplc="0426000F">
      <w:start w:val="1"/>
      <w:numFmt w:val="decimal"/>
      <w:lvlText w:val="%1."/>
      <w:lvlJc w:val="left"/>
      <w:pPr>
        <w:tabs>
          <w:tab w:val="num" w:pos="720"/>
        </w:tabs>
        <w:ind w:left="720" w:hanging="360"/>
      </w:pPr>
      <w:rPr>
        <w:rFonts w:cs="Times New Roman"/>
      </w:rPr>
    </w:lvl>
    <w:lvl w:ilvl="1" w:tplc="67102CB2">
      <w:start w:val="1"/>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14D7379B"/>
    <w:multiLevelType w:val="hybridMultilevel"/>
    <w:tmpl w:val="979E268E"/>
    <w:lvl w:ilvl="0" w:tplc="67102CB2">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5786159"/>
    <w:multiLevelType w:val="multilevel"/>
    <w:tmpl w:val="6B062910"/>
    <w:lvl w:ilvl="0">
      <w:start w:val="13"/>
      <w:numFmt w:val="decimal"/>
      <w:lvlText w:val="%1."/>
      <w:lvlJc w:val="left"/>
      <w:pPr>
        <w:ind w:left="480" w:hanging="480"/>
      </w:pPr>
      <w:rPr>
        <w:rFonts w:hint="default"/>
      </w:rPr>
    </w:lvl>
    <w:lvl w:ilvl="1">
      <w:start w:val="1"/>
      <w:numFmt w:val="decimal"/>
      <w:lvlText w:val="%1.%2."/>
      <w:lvlJc w:val="left"/>
      <w:pPr>
        <w:ind w:left="1756" w:hanging="480"/>
      </w:pPr>
      <w:rPr>
        <w:rFonts w:hint="default"/>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nsid w:val="179447C3"/>
    <w:multiLevelType w:val="hybridMultilevel"/>
    <w:tmpl w:val="AB86D5F6"/>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64E6C"/>
    <w:multiLevelType w:val="hybridMultilevel"/>
    <w:tmpl w:val="9380FCD0"/>
    <w:lvl w:ilvl="0" w:tplc="67102CB2">
      <w:start w:val="1"/>
      <w:numFmt w:val="bullet"/>
      <w:lvlText w:val="-"/>
      <w:lvlJc w:val="left"/>
      <w:pPr>
        <w:tabs>
          <w:tab w:val="num" w:pos="360"/>
        </w:tabs>
        <w:ind w:left="360" w:hanging="360"/>
      </w:pPr>
      <w:rPr>
        <w:rFonts w:ascii="Times New Roman" w:eastAsia="Times New Roman" w:hAnsi="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20E23DB7"/>
    <w:multiLevelType w:val="hybridMultilevel"/>
    <w:tmpl w:val="89DE9656"/>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E616DD"/>
    <w:multiLevelType w:val="multilevel"/>
    <w:tmpl w:val="A6A21528"/>
    <w:lvl w:ilvl="0">
      <w:start w:val="10"/>
      <w:numFmt w:val="decimal"/>
      <w:lvlText w:val="%1."/>
      <w:lvlJc w:val="left"/>
      <w:pPr>
        <w:ind w:left="780" w:hanging="780"/>
      </w:pPr>
      <w:rPr>
        <w:rFonts w:cs="Times New Roman" w:hint="default"/>
      </w:rPr>
    </w:lvl>
    <w:lvl w:ilvl="1">
      <w:start w:val="14"/>
      <w:numFmt w:val="decimal"/>
      <w:lvlText w:val="%1.%2."/>
      <w:lvlJc w:val="left"/>
      <w:pPr>
        <w:ind w:left="1330" w:hanging="780"/>
      </w:pPr>
      <w:rPr>
        <w:rFonts w:cs="Times New Roman" w:hint="default"/>
      </w:rPr>
    </w:lvl>
    <w:lvl w:ilvl="2">
      <w:start w:val="1"/>
      <w:numFmt w:val="decimal"/>
      <w:lvlText w:val="%1.%2.%3."/>
      <w:lvlJc w:val="left"/>
      <w:pPr>
        <w:ind w:left="1880" w:hanging="780"/>
      </w:pPr>
      <w:rPr>
        <w:rFonts w:cs="Times New Roman" w:hint="default"/>
      </w:rPr>
    </w:lvl>
    <w:lvl w:ilvl="3">
      <w:start w:val="1"/>
      <w:numFmt w:val="decimal"/>
      <w:lvlText w:val="%1.%2.%3.%4."/>
      <w:lvlJc w:val="left"/>
      <w:pPr>
        <w:ind w:left="2430" w:hanging="78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8">
    <w:nsid w:val="3CF82E92"/>
    <w:multiLevelType w:val="hybridMultilevel"/>
    <w:tmpl w:val="9042CF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3FE97E82"/>
    <w:multiLevelType w:val="hybridMultilevel"/>
    <w:tmpl w:val="3D08BC30"/>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1A340E"/>
    <w:multiLevelType w:val="hybridMultilevel"/>
    <w:tmpl w:val="683EA802"/>
    <w:lvl w:ilvl="0" w:tplc="1DB4C37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A553E01"/>
    <w:multiLevelType w:val="hybridMultilevel"/>
    <w:tmpl w:val="D3DC4398"/>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F701077"/>
    <w:multiLevelType w:val="hybridMultilevel"/>
    <w:tmpl w:val="6A641B54"/>
    <w:lvl w:ilvl="0" w:tplc="67102CB2">
      <w:start w:val="1"/>
      <w:numFmt w:val="bullet"/>
      <w:lvlText w:val="-"/>
      <w:lvlJc w:val="left"/>
      <w:pPr>
        <w:ind w:left="765" w:hanging="360"/>
      </w:pPr>
      <w:rPr>
        <w:rFonts w:ascii="Times New Roman" w:eastAsia="Times New Roman" w:hAnsi="Times New Roman"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4">
    <w:nsid w:val="649C773A"/>
    <w:multiLevelType w:val="hybridMultilevel"/>
    <w:tmpl w:val="7D84BCE6"/>
    <w:lvl w:ilvl="0" w:tplc="F5BE2F4E">
      <w:start w:val="10"/>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B23781"/>
    <w:multiLevelType w:val="hybridMultilevel"/>
    <w:tmpl w:val="16285A4C"/>
    <w:lvl w:ilvl="0" w:tplc="F5BE2F4E">
      <w:start w:val="10"/>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7352F6B"/>
    <w:multiLevelType w:val="hybridMultilevel"/>
    <w:tmpl w:val="8E468D06"/>
    <w:lvl w:ilvl="0" w:tplc="1DB4C376">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6BC12365"/>
    <w:multiLevelType w:val="hybridMultilevel"/>
    <w:tmpl w:val="15A262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6F415C7A"/>
    <w:multiLevelType w:val="hybridMultilevel"/>
    <w:tmpl w:val="0C242FF2"/>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0">
    <w:nsid w:val="7A927832"/>
    <w:multiLevelType w:val="hybridMultilevel"/>
    <w:tmpl w:val="F7D8C7B0"/>
    <w:lvl w:ilvl="0" w:tplc="7EDAF3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0"/>
  </w:num>
  <w:num w:numId="5">
    <w:abstractNumId w:val="4"/>
  </w:num>
  <w:num w:numId="6">
    <w:abstractNumId w:val="19"/>
  </w:num>
  <w:num w:numId="7">
    <w:abstractNumId w:val="17"/>
  </w:num>
  <w:num w:numId="8">
    <w:abstractNumId w:val="1"/>
  </w:num>
  <w:num w:numId="9">
    <w:abstractNumId w:val="16"/>
  </w:num>
  <w:num w:numId="10">
    <w:abstractNumId w:val="10"/>
  </w:num>
  <w:num w:numId="11">
    <w:abstractNumId w:val="7"/>
  </w:num>
  <w:num w:numId="12">
    <w:abstractNumId w:val="11"/>
  </w:num>
  <w:num w:numId="13">
    <w:abstractNumId w:val="5"/>
  </w:num>
  <w:num w:numId="14">
    <w:abstractNumId w:val="3"/>
  </w:num>
  <w:num w:numId="15">
    <w:abstractNumId w:val="18"/>
  </w:num>
  <w:num w:numId="16">
    <w:abstractNumId w:val="9"/>
  </w:num>
  <w:num w:numId="17">
    <w:abstractNumId w:val="13"/>
  </w:num>
  <w:num w:numId="18">
    <w:abstractNumId w:val="12"/>
  </w:num>
  <w:num w:numId="19">
    <w:abstractNumId w:val="2"/>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5"/>
    <w:rsid w:val="00000E9E"/>
    <w:rsid w:val="00005BC3"/>
    <w:rsid w:val="00007EFC"/>
    <w:rsid w:val="000104F1"/>
    <w:rsid w:val="00014AA9"/>
    <w:rsid w:val="00015C47"/>
    <w:rsid w:val="00015E2E"/>
    <w:rsid w:val="00017AA6"/>
    <w:rsid w:val="00017E98"/>
    <w:rsid w:val="0002022E"/>
    <w:rsid w:val="000213F3"/>
    <w:rsid w:val="00023275"/>
    <w:rsid w:val="00023BF3"/>
    <w:rsid w:val="00023E78"/>
    <w:rsid w:val="0002731E"/>
    <w:rsid w:val="00030A12"/>
    <w:rsid w:val="00032997"/>
    <w:rsid w:val="00032ADE"/>
    <w:rsid w:val="0003314C"/>
    <w:rsid w:val="00033FBC"/>
    <w:rsid w:val="000363F8"/>
    <w:rsid w:val="00036A35"/>
    <w:rsid w:val="000422EE"/>
    <w:rsid w:val="00043522"/>
    <w:rsid w:val="000469CA"/>
    <w:rsid w:val="00050851"/>
    <w:rsid w:val="00050D30"/>
    <w:rsid w:val="000517AF"/>
    <w:rsid w:val="00052E94"/>
    <w:rsid w:val="00053902"/>
    <w:rsid w:val="00053C2C"/>
    <w:rsid w:val="0005603B"/>
    <w:rsid w:val="00056463"/>
    <w:rsid w:val="00057C13"/>
    <w:rsid w:val="00060418"/>
    <w:rsid w:val="00061192"/>
    <w:rsid w:val="000635E7"/>
    <w:rsid w:val="000648BC"/>
    <w:rsid w:val="00067054"/>
    <w:rsid w:val="00071327"/>
    <w:rsid w:val="000729F7"/>
    <w:rsid w:val="00072D50"/>
    <w:rsid w:val="00072D5C"/>
    <w:rsid w:val="00074157"/>
    <w:rsid w:val="00074F1D"/>
    <w:rsid w:val="00075061"/>
    <w:rsid w:val="00076257"/>
    <w:rsid w:val="00076EAB"/>
    <w:rsid w:val="00077D41"/>
    <w:rsid w:val="000800DA"/>
    <w:rsid w:val="00080663"/>
    <w:rsid w:val="0008325C"/>
    <w:rsid w:val="000842F9"/>
    <w:rsid w:val="000846FA"/>
    <w:rsid w:val="00085440"/>
    <w:rsid w:val="00087A44"/>
    <w:rsid w:val="00090D00"/>
    <w:rsid w:val="000951E0"/>
    <w:rsid w:val="000955D3"/>
    <w:rsid w:val="0009633C"/>
    <w:rsid w:val="00096F45"/>
    <w:rsid w:val="0009737D"/>
    <w:rsid w:val="00097422"/>
    <w:rsid w:val="000A0A4A"/>
    <w:rsid w:val="000A2045"/>
    <w:rsid w:val="000A3238"/>
    <w:rsid w:val="000A38DD"/>
    <w:rsid w:val="000A38E0"/>
    <w:rsid w:val="000A5D97"/>
    <w:rsid w:val="000A6289"/>
    <w:rsid w:val="000A69A6"/>
    <w:rsid w:val="000A7E07"/>
    <w:rsid w:val="000B0859"/>
    <w:rsid w:val="000B0E36"/>
    <w:rsid w:val="000B11CE"/>
    <w:rsid w:val="000B5853"/>
    <w:rsid w:val="000B5B37"/>
    <w:rsid w:val="000B67C0"/>
    <w:rsid w:val="000B6B22"/>
    <w:rsid w:val="000B7B3A"/>
    <w:rsid w:val="000C2563"/>
    <w:rsid w:val="000C2724"/>
    <w:rsid w:val="000C52C0"/>
    <w:rsid w:val="000C536B"/>
    <w:rsid w:val="000C6B1B"/>
    <w:rsid w:val="000C73B0"/>
    <w:rsid w:val="000C7525"/>
    <w:rsid w:val="000C7C9E"/>
    <w:rsid w:val="000C7F30"/>
    <w:rsid w:val="000D57E9"/>
    <w:rsid w:val="000D6CF7"/>
    <w:rsid w:val="000D7190"/>
    <w:rsid w:val="000D752F"/>
    <w:rsid w:val="000D76A8"/>
    <w:rsid w:val="000E1B75"/>
    <w:rsid w:val="000E4F7A"/>
    <w:rsid w:val="000E59F6"/>
    <w:rsid w:val="000E67E6"/>
    <w:rsid w:val="000F05A5"/>
    <w:rsid w:val="000F1120"/>
    <w:rsid w:val="000F16B1"/>
    <w:rsid w:val="000F30C2"/>
    <w:rsid w:val="000F3C0F"/>
    <w:rsid w:val="000F4FD1"/>
    <w:rsid w:val="000F5BF3"/>
    <w:rsid w:val="000F5FA9"/>
    <w:rsid w:val="000F61B9"/>
    <w:rsid w:val="00100F48"/>
    <w:rsid w:val="001013E6"/>
    <w:rsid w:val="0010168C"/>
    <w:rsid w:val="001035AD"/>
    <w:rsid w:val="00103B84"/>
    <w:rsid w:val="001077AB"/>
    <w:rsid w:val="00107A11"/>
    <w:rsid w:val="00111377"/>
    <w:rsid w:val="0011228B"/>
    <w:rsid w:val="0011524F"/>
    <w:rsid w:val="001155A6"/>
    <w:rsid w:val="001158CC"/>
    <w:rsid w:val="001214C6"/>
    <w:rsid w:val="001219DA"/>
    <w:rsid w:val="0012230F"/>
    <w:rsid w:val="00122609"/>
    <w:rsid w:val="0012483E"/>
    <w:rsid w:val="0012596D"/>
    <w:rsid w:val="00126523"/>
    <w:rsid w:val="00127636"/>
    <w:rsid w:val="00127CEF"/>
    <w:rsid w:val="001357CE"/>
    <w:rsid w:val="00137254"/>
    <w:rsid w:val="001405B7"/>
    <w:rsid w:val="0014201B"/>
    <w:rsid w:val="001455BA"/>
    <w:rsid w:val="001464AC"/>
    <w:rsid w:val="00146B2A"/>
    <w:rsid w:val="00146C47"/>
    <w:rsid w:val="00146FD5"/>
    <w:rsid w:val="00147825"/>
    <w:rsid w:val="001508D0"/>
    <w:rsid w:val="00151A3A"/>
    <w:rsid w:val="00152921"/>
    <w:rsid w:val="00153679"/>
    <w:rsid w:val="00153A7E"/>
    <w:rsid w:val="00155C9D"/>
    <w:rsid w:val="001607B6"/>
    <w:rsid w:val="00160903"/>
    <w:rsid w:val="00161856"/>
    <w:rsid w:val="001641B7"/>
    <w:rsid w:val="00165924"/>
    <w:rsid w:val="00165998"/>
    <w:rsid w:val="0016605C"/>
    <w:rsid w:val="00166961"/>
    <w:rsid w:val="001673C5"/>
    <w:rsid w:val="0017039E"/>
    <w:rsid w:val="00170AD0"/>
    <w:rsid w:val="00170CA0"/>
    <w:rsid w:val="00171805"/>
    <w:rsid w:val="00171C54"/>
    <w:rsid w:val="00173F19"/>
    <w:rsid w:val="00174103"/>
    <w:rsid w:val="00174CB6"/>
    <w:rsid w:val="00175599"/>
    <w:rsid w:val="001760D6"/>
    <w:rsid w:val="00176821"/>
    <w:rsid w:val="00180A11"/>
    <w:rsid w:val="00180BCB"/>
    <w:rsid w:val="0018125D"/>
    <w:rsid w:val="00181687"/>
    <w:rsid w:val="001818AB"/>
    <w:rsid w:val="0018373D"/>
    <w:rsid w:val="00184AD6"/>
    <w:rsid w:val="00184D83"/>
    <w:rsid w:val="00186037"/>
    <w:rsid w:val="001878F4"/>
    <w:rsid w:val="001913EF"/>
    <w:rsid w:val="00192B23"/>
    <w:rsid w:val="00197615"/>
    <w:rsid w:val="001A06FD"/>
    <w:rsid w:val="001A0C96"/>
    <w:rsid w:val="001A1DEB"/>
    <w:rsid w:val="001A365F"/>
    <w:rsid w:val="001A6738"/>
    <w:rsid w:val="001A74BB"/>
    <w:rsid w:val="001A75DF"/>
    <w:rsid w:val="001B0973"/>
    <w:rsid w:val="001B38F3"/>
    <w:rsid w:val="001B71DD"/>
    <w:rsid w:val="001C011B"/>
    <w:rsid w:val="001C10AA"/>
    <w:rsid w:val="001C3A34"/>
    <w:rsid w:val="001C45D4"/>
    <w:rsid w:val="001C6148"/>
    <w:rsid w:val="001C61F5"/>
    <w:rsid w:val="001C76BE"/>
    <w:rsid w:val="001D004F"/>
    <w:rsid w:val="001D43EA"/>
    <w:rsid w:val="001E055D"/>
    <w:rsid w:val="001E135C"/>
    <w:rsid w:val="001E1A80"/>
    <w:rsid w:val="001E1D74"/>
    <w:rsid w:val="001E5A47"/>
    <w:rsid w:val="001F0222"/>
    <w:rsid w:val="001F17E6"/>
    <w:rsid w:val="001F338A"/>
    <w:rsid w:val="001F3F7C"/>
    <w:rsid w:val="001F52A4"/>
    <w:rsid w:val="001F774A"/>
    <w:rsid w:val="00200118"/>
    <w:rsid w:val="0020100C"/>
    <w:rsid w:val="00201218"/>
    <w:rsid w:val="00201EAF"/>
    <w:rsid w:val="00202886"/>
    <w:rsid w:val="0020312F"/>
    <w:rsid w:val="00203B5E"/>
    <w:rsid w:val="00203DD5"/>
    <w:rsid w:val="00203F6A"/>
    <w:rsid w:val="002041AA"/>
    <w:rsid w:val="002042A4"/>
    <w:rsid w:val="002048A9"/>
    <w:rsid w:val="00205021"/>
    <w:rsid w:val="0020571D"/>
    <w:rsid w:val="00205F98"/>
    <w:rsid w:val="00207F77"/>
    <w:rsid w:val="0021023C"/>
    <w:rsid w:val="00211DF9"/>
    <w:rsid w:val="00212554"/>
    <w:rsid w:val="00213E9A"/>
    <w:rsid w:val="00215733"/>
    <w:rsid w:val="00216C4C"/>
    <w:rsid w:val="00217097"/>
    <w:rsid w:val="002179AA"/>
    <w:rsid w:val="00217C95"/>
    <w:rsid w:val="00220605"/>
    <w:rsid w:val="00220BD6"/>
    <w:rsid w:val="002223CF"/>
    <w:rsid w:val="00222842"/>
    <w:rsid w:val="002254E5"/>
    <w:rsid w:val="00226A79"/>
    <w:rsid w:val="002274A8"/>
    <w:rsid w:val="00227545"/>
    <w:rsid w:val="002279D4"/>
    <w:rsid w:val="00227F02"/>
    <w:rsid w:val="0023290B"/>
    <w:rsid w:val="002339B6"/>
    <w:rsid w:val="002349B1"/>
    <w:rsid w:val="00236AE2"/>
    <w:rsid w:val="00237C50"/>
    <w:rsid w:val="0024093B"/>
    <w:rsid w:val="0024247A"/>
    <w:rsid w:val="00242D4C"/>
    <w:rsid w:val="00244C86"/>
    <w:rsid w:val="002451D7"/>
    <w:rsid w:val="00245E5B"/>
    <w:rsid w:val="00251890"/>
    <w:rsid w:val="002523D1"/>
    <w:rsid w:val="00254960"/>
    <w:rsid w:val="00255148"/>
    <w:rsid w:val="00255A1D"/>
    <w:rsid w:val="002574E6"/>
    <w:rsid w:val="00260E00"/>
    <w:rsid w:val="002613BC"/>
    <w:rsid w:val="002614B5"/>
    <w:rsid w:val="00262101"/>
    <w:rsid w:val="00264F4B"/>
    <w:rsid w:val="0026589A"/>
    <w:rsid w:val="002669A2"/>
    <w:rsid w:val="0026782D"/>
    <w:rsid w:val="0027028C"/>
    <w:rsid w:val="00271940"/>
    <w:rsid w:val="00272BBC"/>
    <w:rsid w:val="00273501"/>
    <w:rsid w:val="00273D13"/>
    <w:rsid w:val="00275099"/>
    <w:rsid w:val="00282AF1"/>
    <w:rsid w:val="00283876"/>
    <w:rsid w:val="00284D68"/>
    <w:rsid w:val="002854C7"/>
    <w:rsid w:val="002856D7"/>
    <w:rsid w:val="00285E41"/>
    <w:rsid w:val="00285F87"/>
    <w:rsid w:val="00290F50"/>
    <w:rsid w:val="0029145E"/>
    <w:rsid w:val="00292105"/>
    <w:rsid w:val="00292D60"/>
    <w:rsid w:val="002943CC"/>
    <w:rsid w:val="002946FD"/>
    <w:rsid w:val="00294786"/>
    <w:rsid w:val="00294A7D"/>
    <w:rsid w:val="00295346"/>
    <w:rsid w:val="00296635"/>
    <w:rsid w:val="002969F0"/>
    <w:rsid w:val="00297342"/>
    <w:rsid w:val="00297AE4"/>
    <w:rsid w:val="002A3154"/>
    <w:rsid w:val="002A4776"/>
    <w:rsid w:val="002A47D6"/>
    <w:rsid w:val="002A4C25"/>
    <w:rsid w:val="002A5459"/>
    <w:rsid w:val="002A7688"/>
    <w:rsid w:val="002B3226"/>
    <w:rsid w:val="002B3A95"/>
    <w:rsid w:val="002B3BA8"/>
    <w:rsid w:val="002B5821"/>
    <w:rsid w:val="002B7042"/>
    <w:rsid w:val="002B7388"/>
    <w:rsid w:val="002B7CF8"/>
    <w:rsid w:val="002C0755"/>
    <w:rsid w:val="002C13C5"/>
    <w:rsid w:val="002C1D58"/>
    <w:rsid w:val="002C3763"/>
    <w:rsid w:val="002C43BC"/>
    <w:rsid w:val="002C5024"/>
    <w:rsid w:val="002C5AA7"/>
    <w:rsid w:val="002C659F"/>
    <w:rsid w:val="002C7041"/>
    <w:rsid w:val="002D01A1"/>
    <w:rsid w:val="002D116E"/>
    <w:rsid w:val="002D19B3"/>
    <w:rsid w:val="002D1D4E"/>
    <w:rsid w:val="002D2428"/>
    <w:rsid w:val="002D56D6"/>
    <w:rsid w:val="002D5C74"/>
    <w:rsid w:val="002D7060"/>
    <w:rsid w:val="002E114C"/>
    <w:rsid w:val="002E1565"/>
    <w:rsid w:val="002E280E"/>
    <w:rsid w:val="002E29AE"/>
    <w:rsid w:val="002E35FE"/>
    <w:rsid w:val="002E447A"/>
    <w:rsid w:val="002E4E0A"/>
    <w:rsid w:val="002E54D2"/>
    <w:rsid w:val="002E5A5F"/>
    <w:rsid w:val="002E5FFE"/>
    <w:rsid w:val="002F0789"/>
    <w:rsid w:val="002F2615"/>
    <w:rsid w:val="002F52D5"/>
    <w:rsid w:val="002F5B4C"/>
    <w:rsid w:val="002F643E"/>
    <w:rsid w:val="002F73AA"/>
    <w:rsid w:val="002F7FEC"/>
    <w:rsid w:val="00302B8A"/>
    <w:rsid w:val="003033D9"/>
    <w:rsid w:val="0030402E"/>
    <w:rsid w:val="003049A9"/>
    <w:rsid w:val="00304DA8"/>
    <w:rsid w:val="00304E78"/>
    <w:rsid w:val="00305C01"/>
    <w:rsid w:val="003073DF"/>
    <w:rsid w:val="00307F5D"/>
    <w:rsid w:val="00310768"/>
    <w:rsid w:val="00311F6F"/>
    <w:rsid w:val="0031212E"/>
    <w:rsid w:val="00313897"/>
    <w:rsid w:val="003138D8"/>
    <w:rsid w:val="0031511D"/>
    <w:rsid w:val="00317946"/>
    <w:rsid w:val="00320800"/>
    <w:rsid w:val="003258FC"/>
    <w:rsid w:val="00325955"/>
    <w:rsid w:val="00326F5F"/>
    <w:rsid w:val="003305A0"/>
    <w:rsid w:val="00330D03"/>
    <w:rsid w:val="003325D3"/>
    <w:rsid w:val="00333A26"/>
    <w:rsid w:val="00333A47"/>
    <w:rsid w:val="003342BE"/>
    <w:rsid w:val="00335D2E"/>
    <w:rsid w:val="0033658D"/>
    <w:rsid w:val="003371BF"/>
    <w:rsid w:val="00337624"/>
    <w:rsid w:val="003403BE"/>
    <w:rsid w:val="00340770"/>
    <w:rsid w:val="00342231"/>
    <w:rsid w:val="00342928"/>
    <w:rsid w:val="00342F96"/>
    <w:rsid w:val="003433CE"/>
    <w:rsid w:val="00345DF7"/>
    <w:rsid w:val="0034747C"/>
    <w:rsid w:val="003478D2"/>
    <w:rsid w:val="003500C1"/>
    <w:rsid w:val="0035077C"/>
    <w:rsid w:val="003565F8"/>
    <w:rsid w:val="003606FB"/>
    <w:rsid w:val="00361F75"/>
    <w:rsid w:val="00363680"/>
    <w:rsid w:val="00363AC7"/>
    <w:rsid w:val="00363D6D"/>
    <w:rsid w:val="00371A25"/>
    <w:rsid w:val="00372332"/>
    <w:rsid w:val="0037314D"/>
    <w:rsid w:val="003748F7"/>
    <w:rsid w:val="003756E7"/>
    <w:rsid w:val="00375B67"/>
    <w:rsid w:val="003802F6"/>
    <w:rsid w:val="00380E33"/>
    <w:rsid w:val="00381E10"/>
    <w:rsid w:val="00383D42"/>
    <w:rsid w:val="00384C2C"/>
    <w:rsid w:val="00384F2B"/>
    <w:rsid w:val="00386E5C"/>
    <w:rsid w:val="003877DD"/>
    <w:rsid w:val="0038785A"/>
    <w:rsid w:val="00387D08"/>
    <w:rsid w:val="00391464"/>
    <w:rsid w:val="00392FDA"/>
    <w:rsid w:val="00394270"/>
    <w:rsid w:val="00394687"/>
    <w:rsid w:val="00395845"/>
    <w:rsid w:val="003962D1"/>
    <w:rsid w:val="003A04F4"/>
    <w:rsid w:val="003A5572"/>
    <w:rsid w:val="003A6F85"/>
    <w:rsid w:val="003B1A18"/>
    <w:rsid w:val="003B3A0B"/>
    <w:rsid w:val="003B4A22"/>
    <w:rsid w:val="003B5FCE"/>
    <w:rsid w:val="003B618B"/>
    <w:rsid w:val="003C2084"/>
    <w:rsid w:val="003C2101"/>
    <w:rsid w:val="003C39C8"/>
    <w:rsid w:val="003C69D5"/>
    <w:rsid w:val="003C776E"/>
    <w:rsid w:val="003D1450"/>
    <w:rsid w:val="003D1CF0"/>
    <w:rsid w:val="003D323C"/>
    <w:rsid w:val="003D3C86"/>
    <w:rsid w:val="003D54C8"/>
    <w:rsid w:val="003E1FB9"/>
    <w:rsid w:val="003E3047"/>
    <w:rsid w:val="003E39F8"/>
    <w:rsid w:val="003E4881"/>
    <w:rsid w:val="003E49E1"/>
    <w:rsid w:val="003F02E8"/>
    <w:rsid w:val="003F1DFB"/>
    <w:rsid w:val="003F2811"/>
    <w:rsid w:val="003F4495"/>
    <w:rsid w:val="003F5820"/>
    <w:rsid w:val="003F70AC"/>
    <w:rsid w:val="00402D3E"/>
    <w:rsid w:val="00403467"/>
    <w:rsid w:val="004043E7"/>
    <w:rsid w:val="0040489A"/>
    <w:rsid w:val="00405581"/>
    <w:rsid w:val="00405E5F"/>
    <w:rsid w:val="00406E28"/>
    <w:rsid w:val="004074EB"/>
    <w:rsid w:val="0041045B"/>
    <w:rsid w:val="00410A44"/>
    <w:rsid w:val="00410D6D"/>
    <w:rsid w:val="004114E3"/>
    <w:rsid w:val="00411B70"/>
    <w:rsid w:val="00412AEC"/>
    <w:rsid w:val="00414BB4"/>
    <w:rsid w:val="004150EF"/>
    <w:rsid w:val="004152FF"/>
    <w:rsid w:val="00415397"/>
    <w:rsid w:val="00415457"/>
    <w:rsid w:val="00416200"/>
    <w:rsid w:val="00416B93"/>
    <w:rsid w:val="004175B9"/>
    <w:rsid w:val="0041781F"/>
    <w:rsid w:val="00417EE2"/>
    <w:rsid w:val="004207FD"/>
    <w:rsid w:val="00425DDC"/>
    <w:rsid w:val="00426258"/>
    <w:rsid w:val="004266E0"/>
    <w:rsid w:val="004307AE"/>
    <w:rsid w:val="00432D06"/>
    <w:rsid w:val="004330EF"/>
    <w:rsid w:val="00435025"/>
    <w:rsid w:val="00441C92"/>
    <w:rsid w:val="004423F4"/>
    <w:rsid w:val="00442FB2"/>
    <w:rsid w:val="0044635A"/>
    <w:rsid w:val="004466FB"/>
    <w:rsid w:val="00446C75"/>
    <w:rsid w:val="00451CCC"/>
    <w:rsid w:val="004537AF"/>
    <w:rsid w:val="0045391A"/>
    <w:rsid w:val="00454011"/>
    <w:rsid w:val="00455148"/>
    <w:rsid w:val="00455288"/>
    <w:rsid w:val="004556BC"/>
    <w:rsid w:val="00455E9F"/>
    <w:rsid w:val="0045642E"/>
    <w:rsid w:val="00456DC7"/>
    <w:rsid w:val="00460AE8"/>
    <w:rsid w:val="00460CF8"/>
    <w:rsid w:val="00460F62"/>
    <w:rsid w:val="00464169"/>
    <w:rsid w:val="00464BAE"/>
    <w:rsid w:val="00465C88"/>
    <w:rsid w:val="00477091"/>
    <w:rsid w:val="00477CA6"/>
    <w:rsid w:val="00477EA0"/>
    <w:rsid w:val="00481E21"/>
    <w:rsid w:val="004851FE"/>
    <w:rsid w:val="00485555"/>
    <w:rsid w:val="00491D5D"/>
    <w:rsid w:val="00492248"/>
    <w:rsid w:val="00494FE6"/>
    <w:rsid w:val="00496706"/>
    <w:rsid w:val="004A2589"/>
    <w:rsid w:val="004A3B40"/>
    <w:rsid w:val="004B0C3A"/>
    <w:rsid w:val="004B12F0"/>
    <w:rsid w:val="004B36FC"/>
    <w:rsid w:val="004B4026"/>
    <w:rsid w:val="004B458C"/>
    <w:rsid w:val="004B689C"/>
    <w:rsid w:val="004B6FCD"/>
    <w:rsid w:val="004C0516"/>
    <w:rsid w:val="004C0673"/>
    <w:rsid w:val="004C0D69"/>
    <w:rsid w:val="004C1683"/>
    <w:rsid w:val="004C1A3A"/>
    <w:rsid w:val="004C2F37"/>
    <w:rsid w:val="004C5499"/>
    <w:rsid w:val="004C5A6D"/>
    <w:rsid w:val="004C5EE9"/>
    <w:rsid w:val="004C6A1C"/>
    <w:rsid w:val="004C7BA4"/>
    <w:rsid w:val="004D101C"/>
    <w:rsid w:val="004D112D"/>
    <w:rsid w:val="004D15B1"/>
    <w:rsid w:val="004D397B"/>
    <w:rsid w:val="004D3A64"/>
    <w:rsid w:val="004D432B"/>
    <w:rsid w:val="004D4538"/>
    <w:rsid w:val="004D4BBA"/>
    <w:rsid w:val="004D4F24"/>
    <w:rsid w:val="004D662A"/>
    <w:rsid w:val="004D69CD"/>
    <w:rsid w:val="004D6CE6"/>
    <w:rsid w:val="004D6FED"/>
    <w:rsid w:val="004D7E81"/>
    <w:rsid w:val="004E3ED8"/>
    <w:rsid w:val="004E4F7E"/>
    <w:rsid w:val="004E75BC"/>
    <w:rsid w:val="004F00BB"/>
    <w:rsid w:val="004F249D"/>
    <w:rsid w:val="004F69C4"/>
    <w:rsid w:val="004F7E42"/>
    <w:rsid w:val="00506F41"/>
    <w:rsid w:val="0051009D"/>
    <w:rsid w:val="00511849"/>
    <w:rsid w:val="00511ABE"/>
    <w:rsid w:val="005122F1"/>
    <w:rsid w:val="00512CFF"/>
    <w:rsid w:val="0051354E"/>
    <w:rsid w:val="0051369C"/>
    <w:rsid w:val="00515E51"/>
    <w:rsid w:val="00517521"/>
    <w:rsid w:val="00520982"/>
    <w:rsid w:val="0052137B"/>
    <w:rsid w:val="005218DE"/>
    <w:rsid w:val="00523650"/>
    <w:rsid w:val="005242F5"/>
    <w:rsid w:val="00524B69"/>
    <w:rsid w:val="00524E9E"/>
    <w:rsid w:val="00526E80"/>
    <w:rsid w:val="00531271"/>
    <w:rsid w:val="00534C3A"/>
    <w:rsid w:val="00537009"/>
    <w:rsid w:val="00537AEE"/>
    <w:rsid w:val="00537B3E"/>
    <w:rsid w:val="00543ADD"/>
    <w:rsid w:val="005447D1"/>
    <w:rsid w:val="005459A9"/>
    <w:rsid w:val="00550E5D"/>
    <w:rsid w:val="0055135A"/>
    <w:rsid w:val="00551FFC"/>
    <w:rsid w:val="00552B39"/>
    <w:rsid w:val="00553187"/>
    <w:rsid w:val="005541F4"/>
    <w:rsid w:val="00555C82"/>
    <w:rsid w:val="00562D3B"/>
    <w:rsid w:val="005635C2"/>
    <w:rsid w:val="005656F7"/>
    <w:rsid w:val="0056658D"/>
    <w:rsid w:val="00566B4C"/>
    <w:rsid w:val="0057038F"/>
    <w:rsid w:val="0057047A"/>
    <w:rsid w:val="00571784"/>
    <w:rsid w:val="00571A32"/>
    <w:rsid w:val="00572460"/>
    <w:rsid w:val="00572562"/>
    <w:rsid w:val="0057272F"/>
    <w:rsid w:val="00572E4B"/>
    <w:rsid w:val="005749C8"/>
    <w:rsid w:val="00575678"/>
    <w:rsid w:val="00577A3C"/>
    <w:rsid w:val="00577D8A"/>
    <w:rsid w:val="00581588"/>
    <w:rsid w:val="00581D19"/>
    <w:rsid w:val="005831D3"/>
    <w:rsid w:val="005841F3"/>
    <w:rsid w:val="00584900"/>
    <w:rsid w:val="005857E9"/>
    <w:rsid w:val="00586957"/>
    <w:rsid w:val="00586A1D"/>
    <w:rsid w:val="00590A95"/>
    <w:rsid w:val="00590FCD"/>
    <w:rsid w:val="00592F47"/>
    <w:rsid w:val="00594B6A"/>
    <w:rsid w:val="00596A60"/>
    <w:rsid w:val="00597AFD"/>
    <w:rsid w:val="00597CD8"/>
    <w:rsid w:val="005A0CB3"/>
    <w:rsid w:val="005A46A5"/>
    <w:rsid w:val="005A6666"/>
    <w:rsid w:val="005A672C"/>
    <w:rsid w:val="005A69AE"/>
    <w:rsid w:val="005A7297"/>
    <w:rsid w:val="005B0A40"/>
    <w:rsid w:val="005B27B7"/>
    <w:rsid w:val="005B5FB4"/>
    <w:rsid w:val="005B7049"/>
    <w:rsid w:val="005B75EF"/>
    <w:rsid w:val="005C0153"/>
    <w:rsid w:val="005C12AB"/>
    <w:rsid w:val="005C23EE"/>
    <w:rsid w:val="005C2C32"/>
    <w:rsid w:val="005C3D8F"/>
    <w:rsid w:val="005C3FEC"/>
    <w:rsid w:val="005C4302"/>
    <w:rsid w:val="005C4E80"/>
    <w:rsid w:val="005C65C4"/>
    <w:rsid w:val="005C65CC"/>
    <w:rsid w:val="005C6B15"/>
    <w:rsid w:val="005C7037"/>
    <w:rsid w:val="005C7304"/>
    <w:rsid w:val="005C731D"/>
    <w:rsid w:val="005C76BC"/>
    <w:rsid w:val="005D1B02"/>
    <w:rsid w:val="005D226E"/>
    <w:rsid w:val="005D33F3"/>
    <w:rsid w:val="005D40A5"/>
    <w:rsid w:val="005D40DC"/>
    <w:rsid w:val="005D4877"/>
    <w:rsid w:val="005D5A39"/>
    <w:rsid w:val="005D6DF4"/>
    <w:rsid w:val="005E0640"/>
    <w:rsid w:val="005E0C67"/>
    <w:rsid w:val="005E2271"/>
    <w:rsid w:val="005E23B6"/>
    <w:rsid w:val="005E31E4"/>
    <w:rsid w:val="005E3971"/>
    <w:rsid w:val="005E6724"/>
    <w:rsid w:val="005E723C"/>
    <w:rsid w:val="005E7B7D"/>
    <w:rsid w:val="005F11B1"/>
    <w:rsid w:val="005F1D36"/>
    <w:rsid w:val="005F42D6"/>
    <w:rsid w:val="005F5B51"/>
    <w:rsid w:val="005F7AAB"/>
    <w:rsid w:val="00601944"/>
    <w:rsid w:val="00601993"/>
    <w:rsid w:val="006036DF"/>
    <w:rsid w:val="0060679C"/>
    <w:rsid w:val="006074AB"/>
    <w:rsid w:val="00607B01"/>
    <w:rsid w:val="00611929"/>
    <w:rsid w:val="0061235C"/>
    <w:rsid w:val="0061468A"/>
    <w:rsid w:val="006159C6"/>
    <w:rsid w:val="00621CDB"/>
    <w:rsid w:val="00623032"/>
    <w:rsid w:val="0062458C"/>
    <w:rsid w:val="00624F59"/>
    <w:rsid w:val="00625E28"/>
    <w:rsid w:val="0062635B"/>
    <w:rsid w:val="00631D9F"/>
    <w:rsid w:val="00632237"/>
    <w:rsid w:val="00633A59"/>
    <w:rsid w:val="006404FC"/>
    <w:rsid w:val="006447FF"/>
    <w:rsid w:val="006510D4"/>
    <w:rsid w:val="006515D7"/>
    <w:rsid w:val="006520E1"/>
    <w:rsid w:val="00654844"/>
    <w:rsid w:val="00655787"/>
    <w:rsid w:val="0065627C"/>
    <w:rsid w:val="00656B46"/>
    <w:rsid w:val="0065724D"/>
    <w:rsid w:val="00657391"/>
    <w:rsid w:val="00660988"/>
    <w:rsid w:val="00660E18"/>
    <w:rsid w:val="0066126B"/>
    <w:rsid w:val="00666AC1"/>
    <w:rsid w:val="00670C37"/>
    <w:rsid w:val="00671888"/>
    <w:rsid w:val="00672D11"/>
    <w:rsid w:val="006739F6"/>
    <w:rsid w:val="00673B0C"/>
    <w:rsid w:val="00673DB5"/>
    <w:rsid w:val="00675C8F"/>
    <w:rsid w:val="00676799"/>
    <w:rsid w:val="00677CF3"/>
    <w:rsid w:val="00680312"/>
    <w:rsid w:val="006816F7"/>
    <w:rsid w:val="00682438"/>
    <w:rsid w:val="006837A9"/>
    <w:rsid w:val="006839A5"/>
    <w:rsid w:val="006852E2"/>
    <w:rsid w:val="00685504"/>
    <w:rsid w:val="00693A14"/>
    <w:rsid w:val="00693F0B"/>
    <w:rsid w:val="00693F2A"/>
    <w:rsid w:val="00695DAD"/>
    <w:rsid w:val="00695DC4"/>
    <w:rsid w:val="00695E18"/>
    <w:rsid w:val="0069621F"/>
    <w:rsid w:val="006A09C1"/>
    <w:rsid w:val="006A2BC0"/>
    <w:rsid w:val="006A4E22"/>
    <w:rsid w:val="006A515B"/>
    <w:rsid w:val="006A5251"/>
    <w:rsid w:val="006A72E1"/>
    <w:rsid w:val="006A7FA8"/>
    <w:rsid w:val="006B249E"/>
    <w:rsid w:val="006B5CE0"/>
    <w:rsid w:val="006C15BF"/>
    <w:rsid w:val="006C17D7"/>
    <w:rsid w:val="006C18DD"/>
    <w:rsid w:val="006C1AD9"/>
    <w:rsid w:val="006C343A"/>
    <w:rsid w:val="006C3E8B"/>
    <w:rsid w:val="006C6789"/>
    <w:rsid w:val="006D0A64"/>
    <w:rsid w:val="006D0F17"/>
    <w:rsid w:val="006D200D"/>
    <w:rsid w:val="006D2BB2"/>
    <w:rsid w:val="006D30BF"/>
    <w:rsid w:val="006D571B"/>
    <w:rsid w:val="006D5FB8"/>
    <w:rsid w:val="006D7650"/>
    <w:rsid w:val="006D7859"/>
    <w:rsid w:val="006D79D6"/>
    <w:rsid w:val="006D7B1B"/>
    <w:rsid w:val="006D7B82"/>
    <w:rsid w:val="006E2B80"/>
    <w:rsid w:val="006E3B7A"/>
    <w:rsid w:val="006E5057"/>
    <w:rsid w:val="006E68EE"/>
    <w:rsid w:val="006E6B0C"/>
    <w:rsid w:val="006E79E6"/>
    <w:rsid w:val="006F09C9"/>
    <w:rsid w:val="006F2DDA"/>
    <w:rsid w:val="006F4329"/>
    <w:rsid w:val="006F45C0"/>
    <w:rsid w:val="006F49CC"/>
    <w:rsid w:val="006F669C"/>
    <w:rsid w:val="0070027F"/>
    <w:rsid w:val="00700C10"/>
    <w:rsid w:val="00701907"/>
    <w:rsid w:val="0070245D"/>
    <w:rsid w:val="00702BCF"/>
    <w:rsid w:val="0070358C"/>
    <w:rsid w:val="00703860"/>
    <w:rsid w:val="00704AAA"/>
    <w:rsid w:val="00705BA6"/>
    <w:rsid w:val="00706958"/>
    <w:rsid w:val="0071477E"/>
    <w:rsid w:val="00715594"/>
    <w:rsid w:val="00716147"/>
    <w:rsid w:val="007165BA"/>
    <w:rsid w:val="00716951"/>
    <w:rsid w:val="007249FE"/>
    <w:rsid w:val="00725F06"/>
    <w:rsid w:val="007274BF"/>
    <w:rsid w:val="00727F88"/>
    <w:rsid w:val="007330F3"/>
    <w:rsid w:val="00733602"/>
    <w:rsid w:val="00733964"/>
    <w:rsid w:val="00734A54"/>
    <w:rsid w:val="00735F13"/>
    <w:rsid w:val="00736D4F"/>
    <w:rsid w:val="00737B2A"/>
    <w:rsid w:val="00740FC6"/>
    <w:rsid w:val="00742378"/>
    <w:rsid w:val="00742713"/>
    <w:rsid w:val="0074372C"/>
    <w:rsid w:val="007504AF"/>
    <w:rsid w:val="0075282D"/>
    <w:rsid w:val="00752DBD"/>
    <w:rsid w:val="00755078"/>
    <w:rsid w:val="00755091"/>
    <w:rsid w:val="00755451"/>
    <w:rsid w:val="00755492"/>
    <w:rsid w:val="00755A39"/>
    <w:rsid w:val="00755D29"/>
    <w:rsid w:val="00757A0B"/>
    <w:rsid w:val="00757FFE"/>
    <w:rsid w:val="00760C2F"/>
    <w:rsid w:val="007611F1"/>
    <w:rsid w:val="007619F3"/>
    <w:rsid w:val="00762110"/>
    <w:rsid w:val="007626E3"/>
    <w:rsid w:val="007642E4"/>
    <w:rsid w:val="00764BED"/>
    <w:rsid w:val="00765014"/>
    <w:rsid w:val="00765D5A"/>
    <w:rsid w:val="00766EA2"/>
    <w:rsid w:val="00770AA2"/>
    <w:rsid w:val="007722AD"/>
    <w:rsid w:val="007730B1"/>
    <w:rsid w:val="00773C72"/>
    <w:rsid w:val="00774D6B"/>
    <w:rsid w:val="0077544A"/>
    <w:rsid w:val="00777A71"/>
    <w:rsid w:val="007834F6"/>
    <w:rsid w:val="0078418A"/>
    <w:rsid w:val="00784D6A"/>
    <w:rsid w:val="00785097"/>
    <w:rsid w:val="00790A02"/>
    <w:rsid w:val="0079104E"/>
    <w:rsid w:val="007916EA"/>
    <w:rsid w:val="00791854"/>
    <w:rsid w:val="007951CA"/>
    <w:rsid w:val="007958C0"/>
    <w:rsid w:val="00795D68"/>
    <w:rsid w:val="007970A0"/>
    <w:rsid w:val="00797237"/>
    <w:rsid w:val="007978B9"/>
    <w:rsid w:val="00797AB3"/>
    <w:rsid w:val="007A2437"/>
    <w:rsid w:val="007A2884"/>
    <w:rsid w:val="007A3639"/>
    <w:rsid w:val="007A55E0"/>
    <w:rsid w:val="007A5FF4"/>
    <w:rsid w:val="007A60D7"/>
    <w:rsid w:val="007A6B9E"/>
    <w:rsid w:val="007B14FE"/>
    <w:rsid w:val="007B23F9"/>
    <w:rsid w:val="007B371F"/>
    <w:rsid w:val="007B5660"/>
    <w:rsid w:val="007B5A73"/>
    <w:rsid w:val="007C0BDB"/>
    <w:rsid w:val="007C1CE2"/>
    <w:rsid w:val="007C25AB"/>
    <w:rsid w:val="007C4017"/>
    <w:rsid w:val="007C4DF5"/>
    <w:rsid w:val="007C53B0"/>
    <w:rsid w:val="007C5B39"/>
    <w:rsid w:val="007C64CF"/>
    <w:rsid w:val="007C6F2D"/>
    <w:rsid w:val="007C7345"/>
    <w:rsid w:val="007D1DE9"/>
    <w:rsid w:val="007D24DB"/>
    <w:rsid w:val="007D35B3"/>
    <w:rsid w:val="007D3A88"/>
    <w:rsid w:val="007D4B15"/>
    <w:rsid w:val="007D604A"/>
    <w:rsid w:val="007D6E66"/>
    <w:rsid w:val="007E07DD"/>
    <w:rsid w:val="007E0BE2"/>
    <w:rsid w:val="007E2D1C"/>
    <w:rsid w:val="007E2DB0"/>
    <w:rsid w:val="007E3E79"/>
    <w:rsid w:val="007E4BBF"/>
    <w:rsid w:val="007E5E73"/>
    <w:rsid w:val="007E60F8"/>
    <w:rsid w:val="007E7602"/>
    <w:rsid w:val="007F4D80"/>
    <w:rsid w:val="007F4F80"/>
    <w:rsid w:val="007F5DBB"/>
    <w:rsid w:val="007F6E15"/>
    <w:rsid w:val="007F7082"/>
    <w:rsid w:val="007F7F41"/>
    <w:rsid w:val="00801063"/>
    <w:rsid w:val="00801442"/>
    <w:rsid w:val="00803229"/>
    <w:rsid w:val="00803BF8"/>
    <w:rsid w:val="00803DFD"/>
    <w:rsid w:val="008054BD"/>
    <w:rsid w:val="00806208"/>
    <w:rsid w:val="00807D5E"/>
    <w:rsid w:val="008111A4"/>
    <w:rsid w:val="0081121C"/>
    <w:rsid w:val="00811647"/>
    <w:rsid w:val="00811F35"/>
    <w:rsid w:val="0081431B"/>
    <w:rsid w:val="0081451F"/>
    <w:rsid w:val="00816471"/>
    <w:rsid w:val="0081667A"/>
    <w:rsid w:val="008176E8"/>
    <w:rsid w:val="00817912"/>
    <w:rsid w:val="00817982"/>
    <w:rsid w:val="008200AF"/>
    <w:rsid w:val="00821909"/>
    <w:rsid w:val="00821DC1"/>
    <w:rsid w:val="00822E86"/>
    <w:rsid w:val="008239B3"/>
    <w:rsid w:val="00824B42"/>
    <w:rsid w:val="00824EF1"/>
    <w:rsid w:val="00825AD7"/>
    <w:rsid w:val="0082707A"/>
    <w:rsid w:val="00827462"/>
    <w:rsid w:val="00830E90"/>
    <w:rsid w:val="00831304"/>
    <w:rsid w:val="00833D2B"/>
    <w:rsid w:val="008343EA"/>
    <w:rsid w:val="00835B65"/>
    <w:rsid w:val="008368F6"/>
    <w:rsid w:val="00837DE3"/>
    <w:rsid w:val="008418C1"/>
    <w:rsid w:val="00841A3D"/>
    <w:rsid w:val="00841A6D"/>
    <w:rsid w:val="00841FAC"/>
    <w:rsid w:val="00845ECB"/>
    <w:rsid w:val="008526DC"/>
    <w:rsid w:val="00852A81"/>
    <w:rsid w:val="00852F65"/>
    <w:rsid w:val="00853090"/>
    <w:rsid w:val="008550BE"/>
    <w:rsid w:val="00855750"/>
    <w:rsid w:val="008558FB"/>
    <w:rsid w:val="00856CCC"/>
    <w:rsid w:val="00860E31"/>
    <w:rsid w:val="00862E0E"/>
    <w:rsid w:val="00863685"/>
    <w:rsid w:val="00863CE4"/>
    <w:rsid w:val="00865C3D"/>
    <w:rsid w:val="00865CB8"/>
    <w:rsid w:val="00866B5A"/>
    <w:rsid w:val="008673DC"/>
    <w:rsid w:val="00867BD3"/>
    <w:rsid w:val="00871718"/>
    <w:rsid w:val="0087207B"/>
    <w:rsid w:val="00872A4A"/>
    <w:rsid w:val="008736A7"/>
    <w:rsid w:val="00873E9A"/>
    <w:rsid w:val="0087529D"/>
    <w:rsid w:val="00875F95"/>
    <w:rsid w:val="00880333"/>
    <w:rsid w:val="008808BE"/>
    <w:rsid w:val="00881032"/>
    <w:rsid w:val="00882168"/>
    <w:rsid w:val="00884C01"/>
    <w:rsid w:val="00886E8B"/>
    <w:rsid w:val="00893549"/>
    <w:rsid w:val="008952F2"/>
    <w:rsid w:val="008960CB"/>
    <w:rsid w:val="0089716E"/>
    <w:rsid w:val="008A0293"/>
    <w:rsid w:val="008A1062"/>
    <w:rsid w:val="008A1989"/>
    <w:rsid w:val="008A1F96"/>
    <w:rsid w:val="008A5CAA"/>
    <w:rsid w:val="008A794F"/>
    <w:rsid w:val="008B0CB2"/>
    <w:rsid w:val="008B2C6A"/>
    <w:rsid w:val="008B496C"/>
    <w:rsid w:val="008B512A"/>
    <w:rsid w:val="008B512F"/>
    <w:rsid w:val="008B5983"/>
    <w:rsid w:val="008B704A"/>
    <w:rsid w:val="008B7E0E"/>
    <w:rsid w:val="008C07A9"/>
    <w:rsid w:val="008C199D"/>
    <w:rsid w:val="008C1A6D"/>
    <w:rsid w:val="008C4F6E"/>
    <w:rsid w:val="008C66A6"/>
    <w:rsid w:val="008D024F"/>
    <w:rsid w:val="008D3128"/>
    <w:rsid w:val="008D4134"/>
    <w:rsid w:val="008D5586"/>
    <w:rsid w:val="008D5CD6"/>
    <w:rsid w:val="008D67F0"/>
    <w:rsid w:val="008D6B18"/>
    <w:rsid w:val="008E0F9D"/>
    <w:rsid w:val="008E3667"/>
    <w:rsid w:val="008E41E4"/>
    <w:rsid w:val="008E5E14"/>
    <w:rsid w:val="008E6730"/>
    <w:rsid w:val="008F0E3B"/>
    <w:rsid w:val="008F19BB"/>
    <w:rsid w:val="008F2F1B"/>
    <w:rsid w:val="008F349F"/>
    <w:rsid w:val="008F3BA4"/>
    <w:rsid w:val="008F452D"/>
    <w:rsid w:val="008F4D1F"/>
    <w:rsid w:val="008F5686"/>
    <w:rsid w:val="009002BE"/>
    <w:rsid w:val="009017F8"/>
    <w:rsid w:val="0090390D"/>
    <w:rsid w:val="00903FA1"/>
    <w:rsid w:val="009074EC"/>
    <w:rsid w:val="0090758F"/>
    <w:rsid w:val="009079EA"/>
    <w:rsid w:val="00907DF4"/>
    <w:rsid w:val="009110C4"/>
    <w:rsid w:val="00911312"/>
    <w:rsid w:val="00912032"/>
    <w:rsid w:val="0091284E"/>
    <w:rsid w:val="009134ED"/>
    <w:rsid w:val="009137F2"/>
    <w:rsid w:val="0091387E"/>
    <w:rsid w:val="00914D12"/>
    <w:rsid w:val="00914EBC"/>
    <w:rsid w:val="00915CC1"/>
    <w:rsid w:val="0091679D"/>
    <w:rsid w:val="009200FD"/>
    <w:rsid w:val="00920ABE"/>
    <w:rsid w:val="00922EAF"/>
    <w:rsid w:val="00924ECD"/>
    <w:rsid w:val="00927B12"/>
    <w:rsid w:val="00927C4E"/>
    <w:rsid w:val="00927D50"/>
    <w:rsid w:val="00927E28"/>
    <w:rsid w:val="00927E3E"/>
    <w:rsid w:val="00930E55"/>
    <w:rsid w:val="00931E6E"/>
    <w:rsid w:val="00932CE1"/>
    <w:rsid w:val="009333CA"/>
    <w:rsid w:val="00933567"/>
    <w:rsid w:val="0093410F"/>
    <w:rsid w:val="009347BD"/>
    <w:rsid w:val="00934C07"/>
    <w:rsid w:val="00935E59"/>
    <w:rsid w:val="009360C9"/>
    <w:rsid w:val="0093684C"/>
    <w:rsid w:val="00936DE4"/>
    <w:rsid w:val="00940985"/>
    <w:rsid w:val="009425BC"/>
    <w:rsid w:val="009426DA"/>
    <w:rsid w:val="00943F66"/>
    <w:rsid w:val="00945BCB"/>
    <w:rsid w:val="009469CB"/>
    <w:rsid w:val="00946A4F"/>
    <w:rsid w:val="009473DD"/>
    <w:rsid w:val="00947C6A"/>
    <w:rsid w:val="00950C84"/>
    <w:rsid w:val="00953336"/>
    <w:rsid w:val="009533E3"/>
    <w:rsid w:val="00953C2A"/>
    <w:rsid w:val="00954271"/>
    <w:rsid w:val="0095469E"/>
    <w:rsid w:val="00954FE6"/>
    <w:rsid w:val="00955C95"/>
    <w:rsid w:val="0095695C"/>
    <w:rsid w:val="00960AD0"/>
    <w:rsid w:val="0096142A"/>
    <w:rsid w:val="00963C2B"/>
    <w:rsid w:val="00964AEE"/>
    <w:rsid w:val="009666B7"/>
    <w:rsid w:val="0096676C"/>
    <w:rsid w:val="009671AD"/>
    <w:rsid w:val="00967C6D"/>
    <w:rsid w:val="00970622"/>
    <w:rsid w:val="00971773"/>
    <w:rsid w:val="00971877"/>
    <w:rsid w:val="00971B3F"/>
    <w:rsid w:val="00972507"/>
    <w:rsid w:val="00972ED5"/>
    <w:rsid w:val="00974F45"/>
    <w:rsid w:val="00975517"/>
    <w:rsid w:val="00975921"/>
    <w:rsid w:val="00982799"/>
    <w:rsid w:val="00983013"/>
    <w:rsid w:val="00985131"/>
    <w:rsid w:val="00985BD2"/>
    <w:rsid w:val="00985D2F"/>
    <w:rsid w:val="0098604A"/>
    <w:rsid w:val="00986888"/>
    <w:rsid w:val="0099042A"/>
    <w:rsid w:val="00993A34"/>
    <w:rsid w:val="00994902"/>
    <w:rsid w:val="0099693E"/>
    <w:rsid w:val="00996BAF"/>
    <w:rsid w:val="009A1035"/>
    <w:rsid w:val="009A1CAC"/>
    <w:rsid w:val="009A3457"/>
    <w:rsid w:val="009B00FC"/>
    <w:rsid w:val="009B0DFF"/>
    <w:rsid w:val="009B10FE"/>
    <w:rsid w:val="009B15BF"/>
    <w:rsid w:val="009B2BB5"/>
    <w:rsid w:val="009B2DD3"/>
    <w:rsid w:val="009B35F0"/>
    <w:rsid w:val="009B3DB0"/>
    <w:rsid w:val="009B53E0"/>
    <w:rsid w:val="009B6A63"/>
    <w:rsid w:val="009B7CFE"/>
    <w:rsid w:val="009C0942"/>
    <w:rsid w:val="009C2EB2"/>
    <w:rsid w:val="009C36B1"/>
    <w:rsid w:val="009C3DAB"/>
    <w:rsid w:val="009C46C7"/>
    <w:rsid w:val="009C5A02"/>
    <w:rsid w:val="009C618C"/>
    <w:rsid w:val="009D052B"/>
    <w:rsid w:val="009D0E3F"/>
    <w:rsid w:val="009D1747"/>
    <w:rsid w:val="009D2CFA"/>
    <w:rsid w:val="009D347B"/>
    <w:rsid w:val="009D7981"/>
    <w:rsid w:val="009D79D7"/>
    <w:rsid w:val="009D7F5B"/>
    <w:rsid w:val="009E0478"/>
    <w:rsid w:val="009E1915"/>
    <w:rsid w:val="009E1F37"/>
    <w:rsid w:val="009E28BC"/>
    <w:rsid w:val="009E400A"/>
    <w:rsid w:val="009E4348"/>
    <w:rsid w:val="009E506F"/>
    <w:rsid w:val="009E577C"/>
    <w:rsid w:val="009E5905"/>
    <w:rsid w:val="009E5F1F"/>
    <w:rsid w:val="009E612F"/>
    <w:rsid w:val="009E697B"/>
    <w:rsid w:val="009F1013"/>
    <w:rsid w:val="009F170C"/>
    <w:rsid w:val="009F1B12"/>
    <w:rsid w:val="009F411E"/>
    <w:rsid w:val="009F472B"/>
    <w:rsid w:val="009F4F63"/>
    <w:rsid w:val="009F4FD4"/>
    <w:rsid w:val="009F698A"/>
    <w:rsid w:val="00A00FA2"/>
    <w:rsid w:val="00A01EB3"/>
    <w:rsid w:val="00A028F7"/>
    <w:rsid w:val="00A048D9"/>
    <w:rsid w:val="00A05233"/>
    <w:rsid w:val="00A06BAC"/>
    <w:rsid w:val="00A06D35"/>
    <w:rsid w:val="00A10C5F"/>
    <w:rsid w:val="00A1171E"/>
    <w:rsid w:val="00A130A6"/>
    <w:rsid w:val="00A1533D"/>
    <w:rsid w:val="00A20AFC"/>
    <w:rsid w:val="00A20F41"/>
    <w:rsid w:val="00A23052"/>
    <w:rsid w:val="00A2510B"/>
    <w:rsid w:val="00A26656"/>
    <w:rsid w:val="00A26672"/>
    <w:rsid w:val="00A27DB4"/>
    <w:rsid w:val="00A322A4"/>
    <w:rsid w:val="00A33E0E"/>
    <w:rsid w:val="00A35B14"/>
    <w:rsid w:val="00A3743F"/>
    <w:rsid w:val="00A4194F"/>
    <w:rsid w:val="00A45385"/>
    <w:rsid w:val="00A46488"/>
    <w:rsid w:val="00A47EA8"/>
    <w:rsid w:val="00A502BB"/>
    <w:rsid w:val="00A50941"/>
    <w:rsid w:val="00A50E3B"/>
    <w:rsid w:val="00A51A2C"/>
    <w:rsid w:val="00A5375B"/>
    <w:rsid w:val="00A54528"/>
    <w:rsid w:val="00A545CC"/>
    <w:rsid w:val="00A55CD1"/>
    <w:rsid w:val="00A56F15"/>
    <w:rsid w:val="00A625A1"/>
    <w:rsid w:val="00A7075C"/>
    <w:rsid w:val="00A72356"/>
    <w:rsid w:val="00A7240E"/>
    <w:rsid w:val="00A7361E"/>
    <w:rsid w:val="00A7386F"/>
    <w:rsid w:val="00A75A15"/>
    <w:rsid w:val="00A77D7D"/>
    <w:rsid w:val="00A82F9D"/>
    <w:rsid w:val="00A831B7"/>
    <w:rsid w:val="00A84133"/>
    <w:rsid w:val="00A8417B"/>
    <w:rsid w:val="00A852F6"/>
    <w:rsid w:val="00A85EE6"/>
    <w:rsid w:val="00A8625A"/>
    <w:rsid w:val="00A873C9"/>
    <w:rsid w:val="00A878DA"/>
    <w:rsid w:val="00A91077"/>
    <w:rsid w:val="00A9137A"/>
    <w:rsid w:val="00A919BA"/>
    <w:rsid w:val="00A93C6C"/>
    <w:rsid w:val="00AA0B67"/>
    <w:rsid w:val="00AA1DA1"/>
    <w:rsid w:val="00AA5152"/>
    <w:rsid w:val="00AA58AF"/>
    <w:rsid w:val="00AA7B8F"/>
    <w:rsid w:val="00AB00C5"/>
    <w:rsid w:val="00AB1779"/>
    <w:rsid w:val="00AB2196"/>
    <w:rsid w:val="00AB236D"/>
    <w:rsid w:val="00AB2D68"/>
    <w:rsid w:val="00AB321B"/>
    <w:rsid w:val="00AB7BEB"/>
    <w:rsid w:val="00AC0F4E"/>
    <w:rsid w:val="00AC1B43"/>
    <w:rsid w:val="00AC246D"/>
    <w:rsid w:val="00AC2619"/>
    <w:rsid w:val="00AC26E6"/>
    <w:rsid w:val="00AC2D41"/>
    <w:rsid w:val="00AC331A"/>
    <w:rsid w:val="00AC368B"/>
    <w:rsid w:val="00AC469F"/>
    <w:rsid w:val="00AC58CA"/>
    <w:rsid w:val="00AC5CE7"/>
    <w:rsid w:val="00AC60A9"/>
    <w:rsid w:val="00AD004F"/>
    <w:rsid w:val="00AD04CD"/>
    <w:rsid w:val="00AD1D05"/>
    <w:rsid w:val="00AD2528"/>
    <w:rsid w:val="00AE0A22"/>
    <w:rsid w:val="00AE0B51"/>
    <w:rsid w:val="00AE190E"/>
    <w:rsid w:val="00AE7445"/>
    <w:rsid w:val="00AF0145"/>
    <w:rsid w:val="00AF24F8"/>
    <w:rsid w:val="00AF3AA2"/>
    <w:rsid w:val="00AF5C77"/>
    <w:rsid w:val="00AF5F07"/>
    <w:rsid w:val="00AF73E6"/>
    <w:rsid w:val="00B03027"/>
    <w:rsid w:val="00B03981"/>
    <w:rsid w:val="00B04234"/>
    <w:rsid w:val="00B0532A"/>
    <w:rsid w:val="00B06FEC"/>
    <w:rsid w:val="00B07242"/>
    <w:rsid w:val="00B10AB2"/>
    <w:rsid w:val="00B1144A"/>
    <w:rsid w:val="00B16193"/>
    <w:rsid w:val="00B2146F"/>
    <w:rsid w:val="00B21AB7"/>
    <w:rsid w:val="00B21E34"/>
    <w:rsid w:val="00B228D2"/>
    <w:rsid w:val="00B23AF4"/>
    <w:rsid w:val="00B25321"/>
    <w:rsid w:val="00B25790"/>
    <w:rsid w:val="00B26966"/>
    <w:rsid w:val="00B3076C"/>
    <w:rsid w:val="00B31C08"/>
    <w:rsid w:val="00B31CD7"/>
    <w:rsid w:val="00B32DCD"/>
    <w:rsid w:val="00B33522"/>
    <w:rsid w:val="00B3366E"/>
    <w:rsid w:val="00B36A13"/>
    <w:rsid w:val="00B3787B"/>
    <w:rsid w:val="00B4169D"/>
    <w:rsid w:val="00B41D16"/>
    <w:rsid w:val="00B421D2"/>
    <w:rsid w:val="00B51BC6"/>
    <w:rsid w:val="00B51FDF"/>
    <w:rsid w:val="00B53A9E"/>
    <w:rsid w:val="00B549A7"/>
    <w:rsid w:val="00B56A69"/>
    <w:rsid w:val="00B56C6C"/>
    <w:rsid w:val="00B56DE4"/>
    <w:rsid w:val="00B57D89"/>
    <w:rsid w:val="00B6041C"/>
    <w:rsid w:val="00B64046"/>
    <w:rsid w:val="00B6466A"/>
    <w:rsid w:val="00B6577D"/>
    <w:rsid w:val="00B663AB"/>
    <w:rsid w:val="00B67CDD"/>
    <w:rsid w:val="00B67CF2"/>
    <w:rsid w:val="00B71F3D"/>
    <w:rsid w:val="00B7221E"/>
    <w:rsid w:val="00B73252"/>
    <w:rsid w:val="00B7578F"/>
    <w:rsid w:val="00B82E23"/>
    <w:rsid w:val="00B8467D"/>
    <w:rsid w:val="00B855D9"/>
    <w:rsid w:val="00B8600C"/>
    <w:rsid w:val="00B86ECD"/>
    <w:rsid w:val="00B871C9"/>
    <w:rsid w:val="00B87988"/>
    <w:rsid w:val="00B90A49"/>
    <w:rsid w:val="00B913F3"/>
    <w:rsid w:val="00B9230F"/>
    <w:rsid w:val="00B92507"/>
    <w:rsid w:val="00B925B9"/>
    <w:rsid w:val="00B925EF"/>
    <w:rsid w:val="00B92A04"/>
    <w:rsid w:val="00B930A0"/>
    <w:rsid w:val="00B95360"/>
    <w:rsid w:val="00B953B8"/>
    <w:rsid w:val="00B95AA2"/>
    <w:rsid w:val="00B95F8D"/>
    <w:rsid w:val="00BA019E"/>
    <w:rsid w:val="00BA2E1C"/>
    <w:rsid w:val="00BA34E4"/>
    <w:rsid w:val="00BA3B61"/>
    <w:rsid w:val="00BA4660"/>
    <w:rsid w:val="00BA7825"/>
    <w:rsid w:val="00BB0096"/>
    <w:rsid w:val="00BB252A"/>
    <w:rsid w:val="00BB2CBC"/>
    <w:rsid w:val="00BB36EC"/>
    <w:rsid w:val="00BB3D2C"/>
    <w:rsid w:val="00BB550F"/>
    <w:rsid w:val="00BB74B8"/>
    <w:rsid w:val="00BC4D00"/>
    <w:rsid w:val="00BC5B33"/>
    <w:rsid w:val="00BC5C47"/>
    <w:rsid w:val="00BC5E53"/>
    <w:rsid w:val="00BC6BDA"/>
    <w:rsid w:val="00BD392B"/>
    <w:rsid w:val="00BD615D"/>
    <w:rsid w:val="00BD64E9"/>
    <w:rsid w:val="00BD6DB3"/>
    <w:rsid w:val="00BE0552"/>
    <w:rsid w:val="00BE0DA8"/>
    <w:rsid w:val="00BE2A4B"/>
    <w:rsid w:val="00BE45CE"/>
    <w:rsid w:val="00BE49C9"/>
    <w:rsid w:val="00BE4CF1"/>
    <w:rsid w:val="00BE5283"/>
    <w:rsid w:val="00BE5AF3"/>
    <w:rsid w:val="00BE611F"/>
    <w:rsid w:val="00BE7481"/>
    <w:rsid w:val="00C00646"/>
    <w:rsid w:val="00C02B28"/>
    <w:rsid w:val="00C04BF3"/>
    <w:rsid w:val="00C078BC"/>
    <w:rsid w:val="00C11613"/>
    <w:rsid w:val="00C12172"/>
    <w:rsid w:val="00C12BF1"/>
    <w:rsid w:val="00C141F8"/>
    <w:rsid w:val="00C15A1E"/>
    <w:rsid w:val="00C163E6"/>
    <w:rsid w:val="00C168A2"/>
    <w:rsid w:val="00C20CB7"/>
    <w:rsid w:val="00C21664"/>
    <w:rsid w:val="00C2168D"/>
    <w:rsid w:val="00C21EBB"/>
    <w:rsid w:val="00C231F7"/>
    <w:rsid w:val="00C236DA"/>
    <w:rsid w:val="00C24295"/>
    <w:rsid w:val="00C25B6C"/>
    <w:rsid w:val="00C2636B"/>
    <w:rsid w:val="00C26849"/>
    <w:rsid w:val="00C31187"/>
    <w:rsid w:val="00C33019"/>
    <w:rsid w:val="00C35B09"/>
    <w:rsid w:val="00C36286"/>
    <w:rsid w:val="00C36A88"/>
    <w:rsid w:val="00C371E6"/>
    <w:rsid w:val="00C40B64"/>
    <w:rsid w:val="00C4143A"/>
    <w:rsid w:val="00C44927"/>
    <w:rsid w:val="00C45D12"/>
    <w:rsid w:val="00C45EA0"/>
    <w:rsid w:val="00C462C9"/>
    <w:rsid w:val="00C504F3"/>
    <w:rsid w:val="00C522A9"/>
    <w:rsid w:val="00C52B6B"/>
    <w:rsid w:val="00C541C9"/>
    <w:rsid w:val="00C568E9"/>
    <w:rsid w:val="00C56EB6"/>
    <w:rsid w:val="00C57E67"/>
    <w:rsid w:val="00C60ABD"/>
    <w:rsid w:val="00C62C48"/>
    <w:rsid w:val="00C634EF"/>
    <w:rsid w:val="00C65B27"/>
    <w:rsid w:val="00C65CFD"/>
    <w:rsid w:val="00C67835"/>
    <w:rsid w:val="00C67E50"/>
    <w:rsid w:val="00C71C11"/>
    <w:rsid w:val="00C72F17"/>
    <w:rsid w:val="00C74E87"/>
    <w:rsid w:val="00C807BD"/>
    <w:rsid w:val="00C80A77"/>
    <w:rsid w:val="00C81173"/>
    <w:rsid w:val="00C8274B"/>
    <w:rsid w:val="00C8294B"/>
    <w:rsid w:val="00C83376"/>
    <w:rsid w:val="00C849AD"/>
    <w:rsid w:val="00C84C96"/>
    <w:rsid w:val="00C863A9"/>
    <w:rsid w:val="00C914FF"/>
    <w:rsid w:val="00C92B38"/>
    <w:rsid w:val="00C930B7"/>
    <w:rsid w:val="00C9548F"/>
    <w:rsid w:val="00C96559"/>
    <w:rsid w:val="00C977D4"/>
    <w:rsid w:val="00CA2612"/>
    <w:rsid w:val="00CA29E4"/>
    <w:rsid w:val="00CA4C8F"/>
    <w:rsid w:val="00CA4F00"/>
    <w:rsid w:val="00CA57EE"/>
    <w:rsid w:val="00CA61DF"/>
    <w:rsid w:val="00CA6311"/>
    <w:rsid w:val="00CB003F"/>
    <w:rsid w:val="00CB0666"/>
    <w:rsid w:val="00CB07D7"/>
    <w:rsid w:val="00CB1B3F"/>
    <w:rsid w:val="00CB1BAC"/>
    <w:rsid w:val="00CB2881"/>
    <w:rsid w:val="00CB38AE"/>
    <w:rsid w:val="00CB4225"/>
    <w:rsid w:val="00CB7B0F"/>
    <w:rsid w:val="00CC2CB4"/>
    <w:rsid w:val="00CC6810"/>
    <w:rsid w:val="00CC7CC0"/>
    <w:rsid w:val="00CC7F02"/>
    <w:rsid w:val="00CD0DBC"/>
    <w:rsid w:val="00CD110C"/>
    <w:rsid w:val="00CD5F44"/>
    <w:rsid w:val="00CD6203"/>
    <w:rsid w:val="00CD64DA"/>
    <w:rsid w:val="00CD711A"/>
    <w:rsid w:val="00CE0A48"/>
    <w:rsid w:val="00CE0EF4"/>
    <w:rsid w:val="00CE2E9E"/>
    <w:rsid w:val="00CE4E1F"/>
    <w:rsid w:val="00CE5421"/>
    <w:rsid w:val="00CE73E3"/>
    <w:rsid w:val="00CF1617"/>
    <w:rsid w:val="00CF23B8"/>
    <w:rsid w:val="00CF48F9"/>
    <w:rsid w:val="00CF50D1"/>
    <w:rsid w:val="00CF51CD"/>
    <w:rsid w:val="00CF5479"/>
    <w:rsid w:val="00CF54C6"/>
    <w:rsid w:val="00D004F3"/>
    <w:rsid w:val="00D010B4"/>
    <w:rsid w:val="00D0147F"/>
    <w:rsid w:val="00D02D6B"/>
    <w:rsid w:val="00D03D51"/>
    <w:rsid w:val="00D10159"/>
    <w:rsid w:val="00D10DA6"/>
    <w:rsid w:val="00D11BF1"/>
    <w:rsid w:val="00D15F1B"/>
    <w:rsid w:val="00D178E5"/>
    <w:rsid w:val="00D20167"/>
    <w:rsid w:val="00D20483"/>
    <w:rsid w:val="00D21A2D"/>
    <w:rsid w:val="00D21AD1"/>
    <w:rsid w:val="00D226FE"/>
    <w:rsid w:val="00D232A9"/>
    <w:rsid w:val="00D2411A"/>
    <w:rsid w:val="00D251AC"/>
    <w:rsid w:val="00D255E8"/>
    <w:rsid w:val="00D264EC"/>
    <w:rsid w:val="00D27E3C"/>
    <w:rsid w:val="00D27ED3"/>
    <w:rsid w:val="00D309F1"/>
    <w:rsid w:val="00D31891"/>
    <w:rsid w:val="00D350BD"/>
    <w:rsid w:val="00D404A3"/>
    <w:rsid w:val="00D40773"/>
    <w:rsid w:val="00D40CDA"/>
    <w:rsid w:val="00D42442"/>
    <w:rsid w:val="00D435C6"/>
    <w:rsid w:val="00D43AA6"/>
    <w:rsid w:val="00D4444C"/>
    <w:rsid w:val="00D4481B"/>
    <w:rsid w:val="00D44C78"/>
    <w:rsid w:val="00D45550"/>
    <w:rsid w:val="00D4612B"/>
    <w:rsid w:val="00D46A78"/>
    <w:rsid w:val="00D47710"/>
    <w:rsid w:val="00D47A09"/>
    <w:rsid w:val="00D50B26"/>
    <w:rsid w:val="00D5108F"/>
    <w:rsid w:val="00D5111E"/>
    <w:rsid w:val="00D51890"/>
    <w:rsid w:val="00D52E33"/>
    <w:rsid w:val="00D5322B"/>
    <w:rsid w:val="00D54643"/>
    <w:rsid w:val="00D54B15"/>
    <w:rsid w:val="00D55850"/>
    <w:rsid w:val="00D55A1B"/>
    <w:rsid w:val="00D57271"/>
    <w:rsid w:val="00D605B7"/>
    <w:rsid w:val="00D6277E"/>
    <w:rsid w:val="00D66601"/>
    <w:rsid w:val="00D66CEA"/>
    <w:rsid w:val="00D722F7"/>
    <w:rsid w:val="00D7271A"/>
    <w:rsid w:val="00D7390F"/>
    <w:rsid w:val="00D74210"/>
    <w:rsid w:val="00D74452"/>
    <w:rsid w:val="00D80799"/>
    <w:rsid w:val="00D81AF1"/>
    <w:rsid w:val="00D876FD"/>
    <w:rsid w:val="00D87E66"/>
    <w:rsid w:val="00D921AB"/>
    <w:rsid w:val="00D93994"/>
    <w:rsid w:val="00D94468"/>
    <w:rsid w:val="00D94E04"/>
    <w:rsid w:val="00D95330"/>
    <w:rsid w:val="00D95F2E"/>
    <w:rsid w:val="00D975B9"/>
    <w:rsid w:val="00D97BC4"/>
    <w:rsid w:val="00DA1605"/>
    <w:rsid w:val="00DA382D"/>
    <w:rsid w:val="00DA4EF1"/>
    <w:rsid w:val="00DA4FF4"/>
    <w:rsid w:val="00DA5F03"/>
    <w:rsid w:val="00DA5F70"/>
    <w:rsid w:val="00DB0AE6"/>
    <w:rsid w:val="00DB39CD"/>
    <w:rsid w:val="00DB439B"/>
    <w:rsid w:val="00DB5A43"/>
    <w:rsid w:val="00DB5F2F"/>
    <w:rsid w:val="00DB7EB5"/>
    <w:rsid w:val="00DC0339"/>
    <w:rsid w:val="00DC17CC"/>
    <w:rsid w:val="00DC3367"/>
    <w:rsid w:val="00DD0787"/>
    <w:rsid w:val="00DD12B5"/>
    <w:rsid w:val="00DD18DC"/>
    <w:rsid w:val="00DD2D61"/>
    <w:rsid w:val="00DD3D13"/>
    <w:rsid w:val="00DD3D82"/>
    <w:rsid w:val="00DD52CF"/>
    <w:rsid w:val="00DD55F5"/>
    <w:rsid w:val="00DD585D"/>
    <w:rsid w:val="00DD5D54"/>
    <w:rsid w:val="00DE04F0"/>
    <w:rsid w:val="00DE06C8"/>
    <w:rsid w:val="00DE0A1F"/>
    <w:rsid w:val="00DE2675"/>
    <w:rsid w:val="00DE2F16"/>
    <w:rsid w:val="00DE3F50"/>
    <w:rsid w:val="00DE51F3"/>
    <w:rsid w:val="00DE7410"/>
    <w:rsid w:val="00DE7F6F"/>
    <w:rsid w:val="00DF17FE"/>
    <w:rsid w:val="00DF6E36"/>
    <w:rsid w:val="00E0063E"/>
    <w:rsid w:val="00E0098A"/>
    <w:rsid w:val="00E00F5B"/>
    <w:rsid w:val="00E03B16"/>
    <w:rsid w:val="00E04D4C"/>
    <w:rsid w:val="00E0653A"/>
    <w:rsid w:val="00E06F41"/>
    <w:rsid w:val="00E10C4D"/>
    <w:rsid w:val="00E10CBC"/>
    <w:rsid w:val="00E10F78"/>
    <w:rsid w:val="00E10FA2"/>
    <w:rsid w:val="00E118B3"/>
    <w:rsid w:val="00E11B38"/>
    <w:rsid w:val="00E11B3E"/>
    <w:rsid w:val="00E11EF5"/>
    <w:rsid w:val="00E124CD"/>
    <w:rsid w:val="00E136ED"/>
    <w:rsid w:val="00E201DD"/>
    <w:rsid w:val="00E210CA"/>
    <w:rsid w:val="00E21143"/>
    <w:rsid w:val="00E21A12"/>
    <w:rsid w:val="00E23708"/>
    <w:rsid w:val="00E24397"/>
    <w:rsid w:val="00E2579E"/>
    <w:rsid w:val="00E263CA"/>
    <w:rsid w:val="00E26CFF"/>
    <w:rsid w:val="00E27C61"/>
    <w:rsid w:val="00E325A0"/>
    <w:rsid w:val="00E3351A"/>
    <w:rsid w:val="00E35030"/>
    <w:rsid w:val="00E3538E"/>
    <w:rsid w:val="00E35FF1"/>
    <w:rsid w:val="00E365E3"/>
    <w:rsid w:val="00E37F71"/>
    <w:rsid w:val="00E421E5"/>
    <w:rsid w:val="00E43F52"/>
    <w:rsid w:val="00E4744B"/>
    <w:rsid w:val="00E474C9"/>
    <w:rsid w:val="00E503A7"/>
    <w:rsid w:val="00E523EA"/>
    <w:rsid w:val="00E5288E"/>
    <w:rsid w:val="00E533A8"/>
    <w:rsid w:val="00E53578"/>
    <w:rsid w:val="00E55089"/>
    <w:rsid w:val="00E56EBD"/>
    <w:rsid w:val="00E5715E"/>
    <w:rsid w:val="00E63A1F"/>
    <w:rsid w:val="00E656E1"/>
    <w:rsid w:val="00E67055"/>
    <w:rsid w:val="00E715FE"/>
    <w:rsid w:val="00E71D57"/>
    <w:rsid w:val="00E74108"/>
    <w:rsid w:val="00E75164"/>
    <w:rsid w:val="00E75169"/>
    <w:rsid w:val="00E75450"/>
    <w:rsid w:val="00E75D1B"/>
    <w:rsid w:val="00E76134"/>
    <w:rsid w:val="00E776AB"/>
    <w:rsid w:val="00E77C0F"/>
    <w:rsid w:val="00E80618"/>
    <w:rsid w:val="00E80674"/>
    <w:rsid w:val="00E8124C"/>
    <w:rsid w:val="00E81688"/>
    <w:rsid w:val="00E84F16"/>
    <w:rsid w:val="00E879EF"/>
    <w:rsid w:val="00E87F6B"/>
    <w:rsid w:val="00E9160A"/>
    <w:rsid w:val="00E922C6"/>
    <w:rsid w:val="00E943A6"/>
    <w:rsid w:val="00E975AC"/>
    <w:rsid w:val="00EA0277"/>
    <w:rsid w:val="00EA0280"/>
    <w:rsid w:val="00EA172F"/>
    <w:rsid w:val="00EA45D8"/>
    <w:rsid w:val="00EA6027"/>
    <w:rsid w:val="00EB0A7E"/>
    <w:rsid w:val="00EB5618"/>
    <w:rsid w:val="00EB56C1"/>
    <w:rsid w:val="00EC122C"/>
    <w:rsid w:val="00EC2462"/>
    <w:rsid w:val="00EC356F"/>
    <w:rsid w:val="00EC3C75"/>
    <w:rsid w:val="00EC48B6"/>
    <w:rsid w:val="00EC58B2"/>
    <w:rsid w:val="00EC5E49"/>
    <w:rsid w:val="00EC6BB2"/>
    <w:rsid w:val="00ED1C7C"/>
    <w:rsid w:val="00ED28E0"/>
    <w:rsid w:val="00ED3AA4"/>
    <w:rsid w:val="00ED3ACB"/>
    <w:rsid w:val="00ED3CD2"/>
    <w:rsid w:val="00ED5019"/>
    <w:rsid w:val="00ED77A9"/>
    <w:rsid w:val="00EE2356"/>
    <w:rsid w:val="00EE2849"/>
    <w:rsid w:val="00EE34BA"/>
    <w:rsid w:val="00EE459A"/>
    <w:rsid w:val="00EE583E"/>
    <w:rsid w:val="00EE76D7"/>
    <w:rsid w:val="00EF0E02"/>
    <w:rsid w:val="00EF3514"/>
    <w:rsid w:val="00EF3B03"/>
    <w:rsid w:val="00EF661D"/>
    <w:rsid w:val="00EF661E"/>
    <w:rsid w:val="00EF7031"/>
    <w:rsid w:val="00EF76C2"/>
    <w:rsid w:val="00EF7DF2"/>
    <w:rsid w:val="00F000EE"/>
    <w:rsid w:val="00F001DD"/>
    <w:rsid w:val="00F002EA"/>
    <w:rsid w:val="00F00DEA"/>
    <w:rsid w:val="00F019E3"/>
    <w:rsid w:val="00F02DC7"/>
    <w:rsid w:val="00F042CC"/>
    <w:rsid w:val="00F06571"/>
    <w:rsid w:val="00F10319"/>
    <w:rsid w:val="00F104E2"/>
    <w:rsid w:val="00F11101"/>
    <w:rsid w:val="00F122FB"/>
    <w:rsid w:val="00F130C8"/>
    <w:rsid w:val="00F13B31"/>
    <w:rsid w:val="00F148F2"/>
    <w:rsid w:val="00F16150"/>
    <w:rsid w:val="00F161B1"/>
    <w:rsid w:val="00F16844"/>
    <w:rsid w:val="00F17005"/>
    <w:rsid w:val="00F1789C"/>
    <w:rsid w:val="00F21854"/>
    <w:rsid w:val="00F22292"/>
    <w:rsid w:val="00F2252F"/>
    <w:rsid w:val="00F23DE1"/>
    <w:rsid w:val="00F24D00"/>
    <w:rsid w:val="00F24EB8"/>
    <w:rsid w:val="00F25C6C"/>
    <w:rsid w:val="00F260FF"/>
    <w:rsid w:val="00F274C2"/>
    <w:rsid w:val="00F27551"/>
    <w:rsid w:val="00F27B5F"/>
    <w:rsid w:val="00F31686"/>
    <w:rsid w:val="00F334A3"/>
    <w:rsid w:val="00F33606"/>
    <w:rsid w:val="00F34F96"/>
    <w:rsid w:val="00F34FD7"/>
    <w:rsid w:val="00F36B7D"/>
    <w:rsid w:val="00F37B6B"/>
    <w:rsid w:val="00F40BFA"/>
    <w:rsid w:val="00F43CFD"/>
    <w:rsid w:val="00F451AE"/>
    <w:rsid w:val="00F45B61"/>
    <w:rsid w:val="00F5070A"/>
    <w:rsid w:val="00F50760"/>
    <w:rsid w:val="00F51510"/>
    <w:rsid w:val="00F52658"/>
    <w:rsid w:val="00F531B8"/>
    <w:rsid w:val="00F53E00"/>
    <w:rsid w:val="00F553D2"/>
    <w:rsid w:val="00F555B9"/>
    <w:rsid w:val="00F60BF3"/>
    <w:rsid w:val="00F61187"/>
    <w:rsid w:val="00F62344"/>
    <w:rsid w:val="00F644B7"/>
    <w:rsid w:val="00F64C7F"/>
    <w:rsid w:val="00F65002"/>
    <w:rsid w:val="00F657E9"/>
    <w:rsid w:val="00F65F6D"/>
    <w:rsid w:val="00F65FF9"/>
    <w:rsid w:val="00F6711F"/>
    <w:rsid w:val="00F70601"/>
    <w:rsid w:val="00F7366F"/>
    <w:rsid w:val="00F76EE7"/>
    <w:rsid w:val="00F77CA5"/>
    <w:rsid w:val="00F80368"/>
    <w:rsid w:val="00F8470A"/>
    <w:rsid w:val="00F84BD7"/>
    <w:rsid w:val="00F8575C"/>
    <w:rsid w:val="00F85961"/>
    <w:rsid w:val="00F87008"/>
    <w:rsid w:val="00F87219"/>
    <w:rsid w:val="00F878AA"/>
    <w:rsid w:val="00F91220"/>
    <w:rsid w:val="00F91974"/>
    <w:rsid w:val="00F92925"/>
    <w:rsid w:val="00F945BB"/>
    <w:rsid w:val="00F945F1"/>
    <w:rsid w:val="00F9495D"/>
    <w:rsid w:val="00F959D8"/>
    <w:rsid w:val="00F96C77"/>
    <w:rsid w:val="00FA23D0"/>
    <w:rsid w:val="00FA26C5"/>
    <w:rsid w:val="00FA6CE0"/>
    <w:rsid w:val="00FB1675"/>
    <w:rsid w:val="00FB1A0F"/>
    <w:rsid w:val="00FB25BD"/>
    <w:rsid w:val="00FB29C3"/>
    <w:rsid w:val="00FB2BD5"/>
    <w:rsid w:val="00FB335A"/>
    <w:rsid w:val="00FB3563"/>
    <w:rsid w:val="00FB4A79"/>
    <w:rsid w:val="00FB64C9"/>
    <w:rsid w:val="00FB6534"/>
    <w:rsid w:val="00FB68E5"/>
    <w:rsid w:val="00FC04E4"/>
    <w:rsid w:val="00FC079C"/>
    <w:rsid w:val="00FC17F8"/>
    <w:rsid w:val="00FC22CD"/>
    <w:rsid w:val="00FC3B65"/>
    <w:rsid w:val="00FC48EE"/>
    <w:rsid w:val="00FC4D23"/>
    <w:rsid w:val="00FC57AF"/>
    <w:rsid w:val="00FC66FE"/>
    <w:rsid w:val="00FC6AA1"/>
    <w:rsid w:val="00FD145D"/>
    <w:rsid w:val="00FD24EA"/>
    <w:rsid w:val="00FE0844"/>
    <w:rsid w:val="00FE4AF6"/>
    <w:rsid w:val="00FE5C08"/>
    <w:rsid w:val="00FE6015"/>
    <w:rsid w:val="00FE67E2"/>
    <w:rsid w:val="00FE6B1B"/>
    <w:rsid w:val="00FF00DA"/>
    <w:rsid w:val="00FF0E37"/>
    <w:rsid w:val="00FF11E0"/>
    <w:rsid w:val="00FF65BC"/>
    <w:rsid w:val="00FF6B0F"/>
    <w:rsid w:val="00FF6BA2"/>
    <w:rsid w:val="00FF7001"/>
    <w:rsid w:val="00FF70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8ACB8D-F768-46A0-99DB-EDEB4549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A8"/>
    <w:rPr>
      <w:sz w:val="24"/>
      <w:szCs w:val="24"/>
    </w:rPr>
  </w:style>
  <w:style w:type="paragraph" w:styleId="Heading2">
    <w:name w:val="heading 2"/>
    <w:basedOn w:val="Normal"/>
    <w:next w:val="Normal"/>
    <w:link w:val="Heading2Char"/>
    <w:uiPriority w:val="99"/>
    <w:qFormat/>
    <w:rsid w:val="00A913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137A"/>
    <w:rPr>
      <w:rFonts w:ascii="Arial" w:hAnsi="Arial" w:cs="Arial"/>
      <w:b/>
      <w:bCs/>
      <w:i/>
      <w:iCs/>
      <w:sz w:val="28"/>
      <w:szCs w:val="28"/>
    </w:rPr>
  </w:style>
  <w:style w:type="paragraph" w:customStyle="1" w:styleId="naislab">
    <w:name w:val="naislab"/>
    <w:basedOn w:val="Normal"/>
    <w:uiPriority w:val="99"/>
    <w:rsid w:val="00DA1605"/>
    <w:pPr>
      <w:spacing w:before="75" w:after="75"/>
      <w:jc w:val="right"/>
    </w:pPr>
  </w:style>
  <w:style w:type="table" w:styleId="TableGrid">
    <w:name w:val="Table Grid"/>
    <w:basedOn w:val="TableNormal"/>
    <w:rsid w:val="00DA1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1605"/>
    <w:rPr>
      <w:rFonts w:cs="Times New Roman"/>
    </w:rPr>
  </w:style>
  <w:style w:type="paragraph" w:customStyle="1" w:styleId="naiskr">
    <w:name w:val="naiskr"/>
    <w:basedOn w:val="Normal"/>
    <w:rsid w:val="00DA1605"/>
    <w:pPr>
      <w:spacing w:before="75" w:after="75"/>
    </w:pPr>
  </w:style>
  <w:style w:type="paragraph" w:styleId="FootnoteText">
    <w:name w:val="footnote text"/>
    <w:basedOn w:val="Normal"/>
    <w:link w:val="FootnoteTextChar"/>
    <w:uiPriority w:val="99"/>
    <w:rsid w:val="00DA1605"/>
    <w:rPr>
      <w:sz w:val="20"/>
      <w:szCs w:val="20"/>
    </w:rPr>
  </w:style>
  <w:style w:type="character" w:customStyle="1" w:styleId="FootnoteTextChar">
    <w:name w:val="Footnote Text Char"/>
    <w:basedOn w:val="DefaultParagraphFont"/>
    <w:link w:val="FootnoteText"/>
    <w:uiPriority w:val="99"/>
    <w:locked/>
    <w:rsid w:val="00CA2612"/>
    <w:rPr>
      <w:rFonts w:cs="Times New Roman"/>
    </w:rPr>
  </w:style>
  <w:style w:type="paragraph" w:styleId="Header">
    <w:name w:val="header"/>
    <w:basedOn w:val="Normal"/>
    <w:link w:val="HeaderChar"/>
    <w:uiPriority w:val="99"/>
    <w:rsid w:val="00DA1605"/>
    <w:pPr>
      <w:tabs>
        <w:tab w:val="center" w:pos="4153"/>
        <w:tab w:val="right" w:pos="8306"/>
      </w:tabs>
    </w:pPr>
  </w:style>
  <w:style w:type="character" w:customStyle="1" w:styleId="HeaderChar">
    <w:name w:val="Header Char"/>
    <w:basedOn w:val="DefaultParagraphFont"/>
    <w:link w:val="Header"/>
    <w:uiPriority w:val="99"/>
    <w:semiHidden/>
    <w:rsid w:val="00F02C42"/>
    <w:rPr>
      <w:sz w:val="24"/>
      <w:szCs w:val="24"/>
      <w:lang w:val="lv-LV" w:eastAsia="lv-LV"/>
    </w:rPr>
  </w:style>
  <w:style w:type="paragraph" w:styleId="Footer">
    <w:name w:val="footer"/>
    <w:basedOn w:val="Normal"/>
    <w:link w:val="FooterChar"/>
    <w:uiPriority w:val="99"/>
    <w:rsid w:val="00DA1605"/>
    <w:pPr>
      <w:tabs>
        <w:tab w:val="center" w:pos="4153"/>
        <w:tab w:val="right" w:pos="8306"/>
      </w:tabs>
    </w:pPr>
  </w:style>
  <w:style w:type="character" w:customStyle="1" w:styleId="FooterChar">
    <w:name w:val="Footer Char"/>
    <w:basedOn w:val="DefaultParagraphFont"/>
    <w:link w:val="Footer"/>
    <w:uiPriority w:val="99"/>
    <w:semiHidden/>
    <w:locked/>
    <w:rsid w:val="00DA1605"/>
    <w:rPr>
      <w:rFonts w:cs="Times New Roman"/>
      <w:sz w:val="24"/>
      <w:szCs w:val="24"/>
      <w:lang w:val="lv-LV" w:eastAsia="lv-LV" w:bidi="ar-SA"/>
    </w:rPr>
  </w:style>
  <w:style w:type="paragraph" w:customStyle="1" w:styleId="naisnod">
    <w:name w:val="naisnod"/>
    <w:basedOn w:val="Normal"/>
    <w:uiPriority w:val="99"/>
    <w:rsid w:val="00DA1605"/>
    <w:pPr>
      <w:spacing w:before="150" w:after="150"/>
      <w:jc w:val="center"/>
    </w:pPr>
    <w:rPr>
      <w:b/>
      <w:bCs/>
    </w:rPr>
  </w:style>
  <w:style w:type="paragraph" w:customStyle="1" w:styleId="naisf">
    <w:name w:val="naisf"/>
    <w:basedOn w:val="Normal"/>
    <w:rsid w:val="00DA1605"/>
    <w:pPr>
      <w:spacing w:before="75" w:after="75"/>
      <w:ind w:firstLine="375"/>
      <w:jc w:val="both"/>
    </w:pPr>
  </w:style>
  <w:style w:type="paragraph" w:styleId="NormalWeb">
    <w:name w:val="Normal (Web)"/>
    <w:basedOn w:val="Normal"/>
    <w:link w:val="NormalWebChar"/>
    <w:uiPriority w:val="99"/>
    <w:rsid w:val="003565F8"/>
    <w:pPr>
      <w:spacing w:before="100" w:beforeAutospacing="1" w:after="100" w:afterAutospacing="1"/>
    </w:pPr>
    <w:rPr>
      <w:rFonts w:ascii="Verdana" w:hAnsi="Verdana"/>
    </w:rPr>
  </w:style>
  <w:style w:type="paragraph" w:styleId="BodyText">
    <w:name w:val="Body Text"/>
    <w:basedOn w:val="Normal"/>
    <w:link w:val="BodyTextChar"/>
    <w:uiPriority w:val="99"/>
    <w:rsid w:val="00B03027"/>
    <w:rPr>
      <w:sz w:val="28"/>
      <w:lang w:eastAsia="en-US"/>
    </w:rPr>
  </w:style>
  <w:style w:type="character" w:customStyle="1" w:styleId="BodyTextChar">
    <w:name w:val="Body Text Char"/>
    <w:basedOn w:val="DefaultParagraphFont"/>
    <w:link w:val="BodyText"/>
    <w:uiPriority w:val="99"/>
    <w:locked/>
    <w:rsid w:val="00B03027"/>
    <w:rPr>
      <w:rFonts w:eastAsia="Times New Roman" w:cs="Times New Roman"/>
      <w:sz w:val="24"/>
      <w:szCs w:val="24"/>
      <w:lang w:val="lv-LV" w:eastAsia="en-US" w:bidi="ar-SA"/>
    </w:rPr>
  </w:style>
  <w:style w:type="paragraph" w:styleId="NoSpacing">
    <w:name w:val="No Spacing"/>
    <w:uiPriority w:val="99"/>
    <w:qFormat/>
    <w:rsid w:val="00B03027"/>
    <w:rPr>
      <w:sz w:val="24"/>
      <w:szCs w:val="24"/>
    </w:rPr>
  </w:style>
  <w:style w:type="character" w:customStyle="1" w:styleId="NormalWebChar">
    <w:name w:val="Normal (Web) Char"/>
    <w:basedOn w:val="DefaultParagraphFont"/>
    <w:link w:val="NormalWeb"/>
    <w:uiPriority w:val="99"/>
    <w:locked/>
    <w:rsid w:val="00B03027"/>
    <w:rPr>
      <w:rFonts w:ascii="Verdana" w:hAnsi="Verdana" w:cs="Times New Roman"/>
      <w:sz w:val="24"/>
      <w:szCs w:val="24"/>
      <w:lang w:val="lv-LV" w:eastAsia="lv-LV" w:bidi="ar-SA"/>
    </w:rPr>
  </w:style>
  <w:style w:type="character" w:customStyle="1" w:styleId="spelle">
    <w:name w:val="spelle"/>
    <w:basedOn w:val="DefaultParagraphFont"/>
    <w:uiPriority w:val="99"/>
    <w:rsid w:val="00672D11"/>
    <w:rPr>
      <w:rFonts w:cs="Times New Roman"/>
    </w:rPr>
  </w:style>
  <w:style w:type="paragraph" w:styleId="BalloonText">
    <w:name w:val="Balloon Text"/>
    <w:basedOn w:val="Normal"/>
    <w:link w:val="BalloonTextChar"/>
    <w:uiPriority w:val="99"/>
    <w:rsid w:val="00DB39CD"/>
    <w:rPr>
      <w:rFonts w:ascii="Tahoma" w:hAnsi="Tahoma" w:cs="Tahoma"/>
      <w:sz w:val="16"/>
      <w:szCs w:val="16"/>
    </w:rPr>
  </w:style>
  <w:style w:type="character" w:customStyle="1" w:styleId="BalloonTextChar">
    <w:name w:val="Balloon Text Char"/>
    <w:basedOn w:val="DefaultParagraphFont"/>
    <w:link w:val="BalloonText"/>
    <w:uiPriority w:val="99"/>
    <w:locked/>
    <w:rsid w:val="00DB39CD"/>
    <w:rPr>
      <w:rFonts w:ascii="Tahoma" w:hAnsi="Tahoma" w:cs="Tahoma"/>
      <w:sz w:val="16"/>
      <w:szCs w:val="16"/>
    </w:rPr>
  </w:style>
  <w:style w:type="paragraph" w:styleId="ListParagraph">
    <w:name w:val="List Paragraph"/>
    <w:basedOn w:val="Normal"/>
    <w:uiPriority w:val="99"/>
    <w:qFormat/>
    <w:rsid w:val="00757FFE"/>
    <w:pPr>
      <w:ind w:left="720"/>
      <w:contextualSpacing/>
    </w:pPr>
  </w:style>
  <w:style w:type="character" w:styleId="Emphasis">
    <w:name w:val="Emphasis"/>
    <w:basedOn w:val="DefaultParagraphFont"/>
    <w:uiPriority w:val="99"/>
    <w:qFormat/>
    <w:rsid w:val="00DB439B"/>
    <w:rPr>
      <w:rFonts w:cs="Times New Roman"/>
      <w:b/>
      <w:bCs/>
    </w:rPr>
  </w:style>
  <w:style w:type="paragraph" w:styleId="CommentText">
    <w:name w:val="annotation text"/>
    <w:basedOn w:val="Normal"/>
    <w:link w:val="CommentTextChar"/>
    <w:uiPriority w:val="99"/>
    <w:rsid w:val="00EC2462"/>
    <w:pPr>
      <w:ind w:firstLine="709"/>
      <w:jc w:val="both"/>
    </w:pPr>
    <w:rPr>
      <w:sz w:val="20"/>
      <w:szCs w:val="20"/>
      <w:lang w:val="en-US" w:eastAsia="en-US"/>
    </w:rPr>
  </w:style>
  <w:style w:type="character" w:customStyle="1" w:styleId="CommentTextChar">
    <w:name w:val="Comment Text Char"/>
    <w:basedOn w:val="DefaultParagraphFont"/>
    <w:link w:val="CommentText"/>
    <w:uiPriority w:val="99"/>
    <w:locked/>
    <w:rsid w:val="00EC2462"/>
    <w:rPr>
      <w:rFonts w:eastAsia="Times New Roman" w:cs="Times New Roman"/>
      <w:lang w:val="en-US" w:eastAsia="en-US"/>
    </w:rPr>
  </w:style>
  <w:style w:type="character" w:styleId="CommentReference">
    <w:name w:val="annotation reference"/>
    <w:basedOn w:val="DefaultParagraphFont"/>
    <w:uiPriority w:val="99"/>
    <w:rsid w:val="00C33019"/>
    <w:rPr>
      <w:rFonts w:cs="Times New Roman"/>
      <w:sz w:val="16"/>
      <w:szCs w:val="16"/>
    </w:rPr>
  </w:style>
  <w:style w:type="paragraph" w:styleId="CommentSubject">
    <w:name w:val="annotation subject"/>
    <w:basedOn w:val="CommentText"/>
    <w:next w:val="CommentText"/>
    <w:link w:val="CommentSubjectChar"/>
    <w:uiPriority w:val="99"/>
    <w:rsid w:val="00C33019"/>
    <w:pPr>
      <w:ind w:firstLine="0"/>
      <w:jc w:val="left"/>
    </w:pPr>
    <w:rPr>
      <w:b/>
      <w:bCs/>
      <w:lang w:val="lv-LV" w:eastAsia="lv-LV"/>
    </w:rPr>
  </w:style>
  <w:style w:type="character" w:customStyle="1" w:styleId="CommentSubjectChar">
    <w:name w:val="Comment Subject Char"/>
    <w:basedOn w:val="CommentTextChar"/>
    <w:link w:val="CommentSubject"/>
    <w:uiPriority w:val="99"/>
    <w:locked/>
    <w:rsid w:val="00C33019"/>
    <w:rPr>
      <w:rFonts w:eastAsia="Times New Roman" w:cs="Times New Roman"/>
      <w:b/>
      <w:bCs/>
      <w:lang w:val="en-US" w:eastAsia="en-US"/>
    </w:rPr>
  </w:style>
  <w:style w:type="paragraph" w:styleId="DocumentMap">
    <w:name w:val="Document Map"/>
    <w:basedOn w:val="Normal"/>
    <w:link w:val="DocumentMapChar"/>
    <w:uiPriority w:val="99"/>
    <w:rsid w:val="00506F41"/>
    <w:rPr>
      <w:rFonts w:ascii="Tahoma" w:hAnsi="Tahoma" w:cs="Tahoma"/>
      <w:sz w:val="16"/>
      <w:szCs w:val="16"/>
    </w:rPr>
  </w:style>
  <w:style w:type="character" w:customStyle="1" w:styleId="DocumentMapChar">
    <w:name w:val="Document Map Char"/>
    <w:basedOn w:val="DefaultParagraphFont"/>
    <w:link w:val="DocumentMap"/>
    <w:uiPriority w:val="99"/>
    <w:locked/>
    <w:rsid w:val="00506F41"/>
    <w:rPr>
      <w:rFonts w:ascii="Tahoma" w:hAnsi="Tahoma" w:cs="Tahoma"/>
      <w:sz w:val="16"/>
      <w:szCs w:val="16"/>
    </w:rPr>
  </w:style>
  <w:style w:type="character" w:styleId="FootnoteReference">
    <w:name w:val="footnote reference"/>
    <w:basedOn w:val="DefaultParagraphFont"/>
    <w:uiPriority w:val="99"/>
    <w:rsid w:val="00CA2612"/>
    <w:rPr>
      <w:rFonts w:cs="Times New Roman"/>
      <w:vertAlign w:val="superscript"/>
    </w:rPr>
  </w:style>
  <w:style w:type="character" w:styleId="HTMLCite">
    <w:name w:val="HTML Cite"/>
    <w:basedOn w:val="DefaultParagraphFont"/>
    <w:uiPriority w:val="99"/>
    <w:rsid w:val="00CA2612"/>
    <w:rPr>
      <w:rFonts w:cs="Times New Roman"/>
      <w:i/>
      <w:iCs/>
    </w:rPr>
  </w:style>
  <w:style w:type="paragraph" w:styleId="EndnoteText">
    <w:name w:val="endnote text"/>
    <w:basedOn w:val="Normal"/>
    <w:link w:val="EndnoteTextChar"/>
    <w:uiPriority w:val="99"/>
    <w:rsid w:val="00A8417B"/>
    <w:rPr>
      <w:sz w:val="20"/>
      <w:szCs w:val="20"/>
    </w:rPr>
  </w:style>
  <w:style w:type="character" w:customStyle="1" w:styleId="EndnoteTextChar">
    <w:name w:val="Endnote Text Char"/>
    <w:basedOn w:val="DefaultParagraphFont"/>
    <w:link w:val="EndnoteText"/>
    <w:uiPriority w:val="99"/>
    <w:locked/>
    <w:rsid w:val="00A8417B"/>
    <w:rPr>
      <w:rFonts w:cs="Times New Roman"/>
    </w:rPr>
  </w:style>
  <w:style w:type="character" w:styleId="EndnoteReference">
    <w:name w:val="endnote reference"/>
    <w:basedOn w:val="DefaultParagraphFont"/>
    <w:uiPriority w:val="99"/>
    <w:rsid w:val="00A8417B"/>
    <w:rPr>
      <w:rFonts w:cs="Times New Roman"/>
      <w:vertAlign w:val="superscript"/>
    </w:rPr>
  </w:style>
  <w:style w:type="paragraph" w:styleId="HTMLPreformatted">
    <w:name w:val="HTML Preformatted"/>
    <w:basedOn w:val="Normal"/>
    <w:link w:val="HTMLPreformattedChar"/>
    <w:uiPriority w:val="99"/>
    <w:semiHidden/>
    <w:unhideWhenUsed/>
    <w:rsid w:val="00ED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3ACB"/>
    <w:rPr>
      <w:rFonts w:ascii="Courier New" w:hAnsi="Courier New" w:cs="Courier New"/>
    </w:rPr>
  </w:style>
  <w:style w:type="character" w:styleId="Hyperlink">
    <w:name w:val="Hyperlink"/>
    <w:basedOn w:val="DefaultParagraphFont"/>
    <w:uiPriority w:val="99"/>
    <w:semiHidden/>
    <w:unhideWhenUsed/>
    <w:rsid w:val="00ED3ACB"/>
    <w:rPr>
      <w:color w:val="0000FF"/>
      <w:u w:val="single"/>
    </w:rPr>
  </w:style>
  <w:style w:type="paragraph" w:customStyle="1" w:styleId="naisc">
    <w:name w:val="naisc"/>
    <w:basedOn w:val="Normal"/>
    <w:rsid w:val="003A5572"/>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4237">
      <w:marLeft w:val="0"/>
      <w:marRight w:val="0"/>
      <w:marTop w:val="0"/>
      <w:marBottom w:val="0"/>
      <w:divBdr>
        <w:top w:val="none" w:sz="0" w:space="0" w:color="auto"/>
        <w:left w:val="none" w:sz="0" w:space="0" w:color="auto"/>
        <w:bottom w:val="none" w:sz="0" w:space="0" w:color="auto"/>
        <w:right w:val="none" w:sz="0" w:space="0" w:color="auto"/>
      </w:divBdr>
    </w:div>
    <w:div w:id="236984238">
      <w:marLeft w:val="0"/>
      <w:marRight w:val="0"/>
      <w:marTop w:val="0"/>
      <w:marBottom w:val="0"/>
      <w:divBdr>
        <w:top w:val="none" w:sz="0" w:space="0" w:color="auto"/>
        <w:left w:val="none" w:sz="0" w:space="0" w:color="auto"/>
        <w:bottom w:val="none" w:sz="0" w:space="0" w:color="auto"/>
        <w:right w:val="none" w:sz="0" w:space="0" w:color="auto"/>
      </w:divBdr>
      <w:divsChild>
        <w:div w:id="236984248">
          <w:marLeft w:val="0"/>
          <w:marRight w:val="0"/>
          <w:marTop w:val="0"/>
          <w:marBottom w:val="0"/>
          <w:divBdr>
            <w:top w:val="none" w:sz="0" w:space="0" w:color="auto"/>
            <w:left w:val="none" w:sz="0" w:space="0" w:color="auto"/>
            <w:bottom w:val="none" w:sz="0" w:space="0" w:color="auto"/>
            <w:right w:val="none" w:sz="0" w:space="0" w:color="auto"/>
          </w:divBdr>
        </w:div>
      </w:divsChild>
    </w:div>
    <w:div w:id="236984239">
      <w:marLeft w:val="0"/>
      <w:marRight w:val="0"/>
      <w:marTop w:val="0"/>
      <w:marBottom w:val="0"/>
      <w:divBdr>
        <w:top w:val="none" w:sz="0" w:space="0" w:color="auto"/>
        <w:left w:val="none" w:sz="0" w:space="0" w:color="auto"/>
        <w:bottom w:val="none" w:sz="0" w:space="0" w:color="auto"/>
        <w:right w:val="none" w:sz="0" w:space="0" w:color="auto"/>
      </w:divBdr>
      <w:divsChild>
        <w:div w:id="236984246">
          <w:marLeft w:val="0"/>
          <w:marRight w:val="0"/>
          <w:marTop w:val="0"/>
          <w:marBottom w:val="0"/>
          <w:divBdr>
            <w:top w:val="none" w:sz="0" w:space="0" w:color="auto"/>
            <w:left w:val="none" w:sz="0" w:space="0" w:color="auto"/>
            <w:bottom w:val="none" w:sz="0" w:space="0" w:color="auto"/>
            <w:right w:val="none" w:sz="0" w:space="0" w:color="auto"/>
          </w:divBdr>
          <w:divsChild>
            <w:div w:id="236984247">
              <w:marLeft w:val="0"/>
              <w:marRight w:val="0"/>
              <w:marTop w:val="0"/>
              <w:marBottom w:val="0"/>
              <w:divBdr>
                <w:top w:val="none" w:sz="0" w:space="0" w:color="auto"/>
                <w:left w:val="none" w:sz="0" w:space="0" w:color="auto"/>
                <w:bottom w:val="none" w:sz="0" w:space="0" w:color="auto"/>
                <w:right w:val="none" w:sz="0" w:space="0" w:color="auto"/>
              </w:divBdr>
              <w:divsChild>
                <w:div w:id="236984252">
                  <w:marLeft w:val="5240"/>
                  <w:marRight w:val="-60"/>
                  <w:marTop w:val="0"/>
                  <w:marBottom w:val="0"/>
                  <w:divBdr>
                    <w:top w:val="none" w:sz="0" w:space="0" w:color="auto"/>
                    <w:left w:val="none" w:sz="0" w:space="0" w:color="auto"/>
                    <w:bottom w:val="none" w:sz="0" w:space="0" w:color="auto"/>
                    <w:right w:val="none" w:sz="0" w:space="0" w:color="auto"/>
                  </w:divBdr>
                  <w:divsChild>
                    <w:div w:id="236984240">
                      <w:marLeft w:val="0"/>
                      <w:marRight w:val="0"/>
                      <w:marTop w:val="0"/>
                      <w:marBottom w:val="0"/>
                      <w:divBdr>
                        <w:top w:val="none" w:sz="0" w:space="0" w:color="auto"/>
                        <w:left w:val="none" w:sz="0" w:space="0" w:color="auto"/>
                        <w:bottom w:val="none" w:sz="0" w:space="0" w:color="auto"/>
                        <w:right w:val="none" w:sz="0" w:space="0" w:color="auto"/>
                      </w:divBdr>
                      <w:divsChild>
                        <w:div w:id="236984243">
                          <w:marLeft w:val="0"/>
                          <w:marRight w:val="0"/>
                          <w:marTop w:val="0"/>
                          <w:marBottom w:val="580"/>
                          <w:divBdr>
                            <w:top w:val="none" w:sz="0" w:space="0" w:color="auto"/>
                            <w:left w:val="none" w:sz="0" w:space="0" w:color="auto"/>
                            <w:bottom w:val="none" w:sz="0" w:space="0" w:color="auto"/>
                            <w:right w:val="none" w:sz="0" w:space="0" w:color="auto"/>
                          </w:divBdr>
                          <w:divsChild>
                            <w:div w:id="236984235">
                              <w:marLeft w:val="0"/>
                              <w:marRight w:val="0"/>
                              <w:marTop w:val="0"/>
                              <w:marBottom w:val="0"/>
                              <w:divBdr>
                                <w:top w:val="none" w:sz="0" w:space="0" w:color="auto"/>
                                <w:left w:val="none" w:sz="0" w:space="0" w:color="auto"/>
                                <w:bottom w:val="none" w:sz="0" w:space="0" w:color="auto"/>
                                <w:right w:val="none" w:sz="0" w:space="0" w:color="auto"/>
                              </w:divBdr>
                              <w:divsChild>
                                <w:div w:id="2369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84251">
      <w:marLeft w:val="0"/>
      <w:marRight w:val="0"/>
      <w:marTop w:val="0"/>
      <w:marBottom w:val="0"/>
      <w:divBdr>
        <w:top w:val="none" w:sz="0" w:space="0" w:color="auto"/>
        <w:left w:val="none" w:sz="0" w:space="0" w:color="auto"/>
        <w:bottom w:val="none" w:sz="0" w:space="0" w:color="auto"/>
        <w:right w:val="none" w:sz="0" w:space="0" w:color="auto"/>
      </w:divBdr>
      <w:divsChild>
        <w:div w:id="236984249">
          <w:marLeft w:val="0"/>
          <w:marRight w:val="0"/>
          <w:marTop w:val="0"/>
          <w:marBottom w:val="0"/>
          <w:divBdr>
            <w:top w:val="none" w:sz="0" w:space="0" w:color="auto"/>
            <w:left w:val="none" w:sz="0" w:space="0" w:color="auto"/>
            <w:bottom w:val="none" w:sz="0" w:space="0" w:color="auto"/>
            <w:right w:val="none" w:sz="0" w:space="0" w:color="auto"/>
          </w:divBdr>
          <w:divsChild>
            <w:div w:id="236984241">
              <w:marLeft w:val="0"/>
              <w:marRight w:val="0"/>
              <w:marTop w:val="0"/>
              <w:marBottom w:val="0"/>
              <w:divBdr>
                <w:top w:val="none" w:sz="0" w:space="0" w:color="auto"/>
                <w:left w:val="none" w:sz="0" w:space="0" w:color="auto"/>
                <w:bottom w:val="none" w:sz="0" w:space="0" w:color="auto"/>
                <w:right w:val="none" w:sz="0" w:space="0" w:color="auto"/>
              </w:divBdr>
            </w:div>
            <w:div w:id="236984242">
              <w:marLeft w:val="0"/>
              <w:marRight w:val="0"/>
              <w:marTop w:val="0"/>
              <w:marBottom w:val="0"/>
              <w:divBdr>
                <w:top w:val="none" w:sz="0" w:space="0" w:color="auto"/>
                <w:left w:val="none" w:sz="0" w:space="0" w:color="auto"/>
                <w:bottom w:val="none" w:sz="0" w:space="0" w:color="auto"/>
                <w:right w:val="none" w:sz="0" w:space="0" w:color="auto"/>
              </w:divBdr>
            </w:div>
            <w:div w:id="236984244">
              <w:marLeft w:val="0"/>
              <w:marRight w:val="0"/>
              <w:marTop w:val="0"/>
              <w:marBottom w:val="0"/>
              <w:divBdr>
                <w:top w:val="none" w:sz="0" w:space="0" w:color="auto"/>
                <w:left w:val="none" w:sz="0" w:space="0" w:color="auto"/>
                <w:bottom w:val="none" w:sz="0" w:space="0" w:color="auto"/>
                <w:right w:val="none" w:sz="0" w:space="0" w:color="auto"/>
              </w:divBdr>
            </w:div>
            <w:div w:id="236984245">
              <w:marLeft w:val="0"/>
              <w:marRight w:val="0"/>
              <w:marTop w:val="0"/>
              <w:marBottom w:val="0"/>
              <w:divBdr>
                <w:top w:val="none" w:sz="0" w:space="0" w:color="auto"/>
                <w:left w:val="none" w:sz="0" w:space="0" w:color="auto"/>
                <w:bottom w:val="none" w:sz="0" w:space="0" w:color="auto"/>
                <w:right w:val="none" w:sz="0" w:space="0" w:color="auto"/>
              </w:divBdr>
            </w:div>
            <w:div w:id="2369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253">
      <w:marLeft w:val="0"/>
      <w:marRight w:val="0"/>
      <w:marTop w:val="0"/>
      <w:marBottom w:val="0"/>
      <w:divBdr>
        <w:top w:val="none" w:sz="0" w:space="0" w:color="auto"/>
        <w:left w:val="none" w:sz="0" w:space="0" w:color="auto"/>
        <w:bottom w:val="none" w:sz="0" w:space="0" w:color="auto"/>
        <w:right w:val="none" w:sz="0" w:space="0" w:color="auto"/>
      </w:divBdr>
    </w:div>
    <w:div w:id="249697451">
      <w:bodyDiv w:val="1"/>
      <w:marLeft w:val="0"/>
      <w:marRight w:val="0"/>
      <w:marTop w:val="0"/>
      <w:marBottom w:val="0"/>
      <w:divBdr>
        <w:top w:val="none" w:sz="0" w:space="0" w:color="auto"/>
        <w:left w:val="none" w:sz="0" w:space="0" w:color="auto"/>
        <w:bottom w:val="none" w:sz="0" w:space="0" w:color="auto"/>
        <w:right w:val="none" w:sz="0" w:space="0" w:color="auto"/>
      </w:divBdr>
    </w:div>
    <w:div w:id="342242238">
      <w:bodyDiv w:val="1"/>
      <w:marLeft w:val="0"/>
      <w:marRight w:val="0"/>
      <w:marTop w:val="0"/>
      <w:marBottom w:val="0"/>
      <w:divBdr>
        <w:top w:val="none" w:sz="0" w:space="0" w:color="auto"/>
        <w:left w:val="none" w:sz="0" w:space="0" w:color="auto"/>
        <w:bottom w:val="none" w:sz="0" w:space="0" w:color="auto"/>
        <w:right w:val="none" w:sz="0" w:space="0" w:color="auto"/>
      </w:divBdr>
      <w:divsChild>
        <w:div w:id="1043401729">
          <w:marLeft w:val="0"/>
          <w:marRight w:val="0"/>
          <w:marTop w:val="0"/>
          <w:marBottom w:val="0"/>
          <w:divBdr>
            <w:top w:val="none" w:sz="0" w:space="0" w:color="auto"/>
            <w:left w:val="none" w:sz="0" w:space="0" w:color="auto"/>
            <w:bottom w:val="none" w:sz="0" w:space="0" w:color="auto"/>
            <w:right w:val="none" w:sz="0" w:space="0" w:color="auto"/>
          </w:divBdr>
          <w:divsChild>
            <w:div w:id="715785011">
              <w:marLeft w:val="0"/>
              <w:marRight w:val="0"/>
              <w:marTop w:val="0"/>
              <w:marBottom w:val="0"/>
              <w:divBdr>
                <w:top w:val="none" w:sz="0" w:space="0" w:color="auto"/>
                <w:left w:val="none" w:sz="0" w:space="0" w:color="auto"/>
                <w:bottom w:val="none" w:sz="0" w:space="0" w:color="auto"/>
                <w:right w:val="none" w:sz="0" w:space="0" w:color="auto"/>
              </w:divBdr>
              <w:divsChild>
                <w:div w:id="57482730">
                  <w:marLeft w:val="750"/>
                  <w:marRight w:val="0"/>
                  <w:marTop w:val="150"/>
                  <w:marBottom w:val="0"/>
                  <w:divBdr>
                    <w:top w:val="none" w:sz="0" w:space="0" w:color="auto"/>
                    <w:left w:val="none" w:sz="0" w:space="0" w:color="auto"/>
                    <w:bottom w:val="none" w:sz="0" w:space="0" w:color="auto"/>
                    <w:right w:val="none" w:sz="0" w:space="0" w:color="auto"/>
                  </w:divBdr>
                  <w:divsChild>
                    <w:div w:id="2869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40715">
      <w:bodyDiv w:val="1"/>
      <w:marLeft w:val="0"/>
      <w:marRight w:val="0"/>
      <w:marTop w:val="0"/>
      <w:marBottom w:val="0"/>
      <w:divBdr>
        <w:top w:val="none" w:sz="0" w:space="0" w:color="auto"/>
        <w:left w:val="none" w:sz="0" w:space="0" w:color="auto"/>
        <w:bottom w:val="none" w:sz="0" w:space="0" w:color="auto"/>
        <w:right w:val="none" w:sz="0" w:space="0" w:color="auto"/>
      </w:divBdr>
    </w:div>
    <w:div w:id="435684858">
      <w:bodyDiv w:val="1"/>
      <w:marLeft w:val="0"/>
      <w:marRight w:val="0"/>
      <w:marTop w:val="0"/>
      <w:marBottom w:val="0"/>
      <w:divBdr>
        <w:top w:val="none" w:sz="0" w:space="0" w:color="auto"/>
        <w:left w:val="none" w:sz="0" w:space="0" w:color="auto"/>
        <w:bottom w:val="none" w:sz="0" w:space="0" w:color="auto"/>
        <w:right w:val="none" w:sz="0" w:space="0" w:color="auto"/>
      </w:divBdr>
      <w:divsChild>
        <w:div w:id="443615113">
          <w:marLeft w:val="0"/>
          <w:marRight w:val="0"/>
          <w:marTop w:val="0"/>
          <w:marBottom w:val="0"/>
          <w:divBdr>
            <w:top w:val="none" w:sz="0" w:space="0" w:color="auto"/>
            <w:left w:val="none" w:sz="0" w:space="0" w:color="auto"/>
            <w:bottom w:val="none" w:sz="0" w:space="0" w:color="auto"/>
            <w:right w:val="none" w:sz="0" w:space="0" w:color="auto"/>
          </w:divBdr>
        </w:div>
      </w:divsChild>
    </w:div>
    <w:div w:id="443039804">
      <w:bodyDiv w:val="1"/>
      <w:marLeft w:val="0"/>
      <w:marRight w:val="0"/>
      <w:marTop w:val="0"/>
      <w:marBottom w:val="0"/>
      <w:divBdr>
        <w:top w:val="none" w:sz="0" w:space="0" w:color="auto"/>
        <w:left w:val="none" w:sz="0" w:space="0" w:color="auto"/>
        <w:bottom w:val="none" w:sz="0" w:space="0" w:color="auto"/>
        <w:right w:val="none" w:sz="0" w:space="0" w:color="auto"/>
      </w:divBdr>
    </w:div>
    <w:div w:id="796147016">
      <w:bodyDiv w:val="1"/>
      <w:marLeft w:val="0"/>
      <w:marRight w:val="0"/>
      <w:marTop w:val="0"/>
      <w:marBottom w:val="0"/>
      <w:divBdr>
        <w:top w:val="none" w:sz="0" w:space="0" w:color="auto"/>
        <w:left w:val="none" w:sz="0" w:space="0" w:color="auto"/>
        <w:bottom w:val="none" w:sz="0" w:space="0" w:color="auto"/>
        <w:right w:val="none" w:sz="0" w:space="0" w:color="auto"/>
      </w:divBdr>
    </w:div>
    <w:div w:id="843670061">
      <w:bodyDiv w:val="1"/>
      <w:marLeft w:val="0"/>
      <w:marRight w:val="0"/>
      <w:marTop w:val="0"/>
      <w:marBottom w:val="0"/>
      <w:divBdr>
        <w:top w:val="none" w:sz="0" w:space="0" w:color="auto"/>
        <w:left w:val="none" w:sz="0" w:space="0" w:color="auto"/>
        <w:bottom w:val="none" w:sz="0" w:space="0" w:color="auto"/>
        <w:right w:val="none" w:sz="0" w:space="0" w:color="auto"/>
      </w:divBdr>
    </w:div>
    <w:div w:id="995376251">
      <w:bodyDiv w:val="1"/>
      <w:marLeft w:val="0"/>
      <w:marRight w:val="0"/>
      <w:marTop w:val="0"/>
      <w:marBottom w:val="0"/>
      <w:divBdr>
        <w:top w:val="none" w:sz="0" w:space="0" w:color="auto"/>
        <w:left w:val="none" w:sz="0" w:space="0" w:color="auto"/>
        <w:bottom w:val="none" w:sz="0" w:space="0" w:color="auto"/>
        <w:right w:val="none" w:sz="0" w:space="0" w:color="auto"/>
      </w:divBdr>
      <w:divsChild>
        <w:div w:id="1068572352">
          <w:marLeft w:val="0"/>
          <w:marRight w:val="0"/>
          <w:marTop w:val="0"/>
          <w:marBottom w:val="0"/>
          <w:divBdr>
            <w:top w:val="none" w:sz="0" w:space="0" w:color="auto"/>
            <w:left w:val="none" w:sz="0" w:space="0" w:color="auto"/>
            <w:bottom w:val="none" w:sz="0" w:space="0" w:color="auto"/>
            <w:right w:val="none" w:sz="0" w:space="0" w:color="auto"/>
          </w:divBdr>
        </w:div>
      </w:divsChild>
    </w:div>
    <w:div w:id="1003898198">
      <w:bodyDiv w:val="1"/>
      <w:marLeft w:val="0"/>
      <w:marRight w:val="0"/>
      <w:marTop w:val="0"/>
      <w:marBottom w:val="0"/>
      <w:divBdr>
        <w:top w:val="none" w:sz="0" w:space="0" w:color="auto"/>
        <w:left w:val="none" w:sz="0" w:space="0" w:color="auto"/>
        <w:bottom w:val="none" w:sz="0" w:space="0" w:color="auto"/>
        <w:right w:val="none" w:sz="0" w:space="0" w:color="auto"/>
      </w:divBdr>
    </w:div>
    <w:div w:id="1009720379">
      <w:bodyDiv w:val="1"/>
      <w:marLeft w:val="0"/>
      <w:marRight w:val="0"/>
      <w:marTop w:val="0"/>
      <w:marBottom w:val="0"/>
      <w:divBdr>
        <w:top w:val="none" w:sz="0" w:space="0" w:color="auto"/>
        <w:left w:val="none" w:sz="0" w:space="0" w:color="auto"/>
        <w:bottom w:val="none" w:sz="0" w:space="0" w:color="auto"/>
        <w:right w:val="none" w:sz="0" w:space="0" w:color="auto"/>
      </w:divBdr>
      <w:divsChild>
        <w:div w:id="136651907">
          <w:marLeft w:val="0"/>
          <w:marRight w:val="0"/>
          <w:marTop w:val="0"/>
          <w:marBottom w:val="0"/>
          <w:divBdr>
            <w:top w:val="none" w:sz="0" w:space="0" w:color="auto"/>
            <w:left w:val="none" w:sz="0" w:space="0" w:color="auto"/>
            <w:bottom w:val="none" w:sz="0" w:space="0" w:color="auto"/>
            <w:right w:val="none" w:sz="0" w:space="0" w:color="auto"/>
          </w:divBdr>
          <w:divsChild>
            <w:div w:id="787969676">
              <w:marLeft w:val="0"/>
              <w:marRight w:val="0"/>
              <w:marTop w:val="0"/>
              <w:marBottom w:val="0"/>
              <w:divBdr>
                <w:top w:val="none" w:sz="0" w:space="0" w:color="auto"/>
                <w:left w:val="none" w:sz="0" w:space="0" w:color="auto"/>
                <w:bottom w:val="none" w:sz="0" w:space="0" w:color="auto"/>
                <w:right w:val="none" w:sz="0" w:space="0" w:color="auto"/>
              </w:divBdr>
              <w:divsChild>
                <w:div w:id="28723693">
                  <w:marLeft w:val="889"/>
                  <w:marRight w:val="0"/>
                  <w:marTop w:val="178"/>
                  <w:marBottom w:val="0"/>
                  <w:divBdr>
                    <w:top w:val="none" w:sz="0" w:space="0" w:color="auto"/>
                    <w:left w:val="none" w:sz="0" w:space="0" w:color="auto"/>
                    <w:bottom w:val="none" w:sz="0" w:space="0" w:color="auto"/>
                    <w:right w:val="none" w:sz="0" w:space="0" w:color="auto"/>
                  </w:divBdr>
                  <w:divsChild>
                    <w:div w:id="1542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9684">
      <w:bodyDiv w:val="1"/>
      <w:marLeft w:val="0"/>
      <w:marRight w:val="0"/>
      <w:marTop w:val="0"/>
      <w:marBottom w:val="0"/>
      <w:divBdr>
        <w:top w:val="none" w:sz="0" w:space="0" w:color="auto"/>
        <w:left w:val="none" w:sz="0" w:space="0" w:color="auto"/>
        <w:bottom w:val="none" w:sz="0" w:space="0" w:color="auto"/>
        <w:right w:val="none" w:sz="0" w:space="0" w:color="auto"/>
      </w:divBdr>
      <w:divsChild>
        <w:div w:id="297539067">
          <w:marLeft w:val="0"/>
          <w:marRight w:val="0"/>
          <w:marTop w:val="0"/>
          <w:marBottom w:val="0"/>
          <w:divBdr>
            <w:top w:val="none" w:sz="0" w:space="0" w:color="auto"/>
            <w:left w:val="none" w:sz="0" w:space="0" w:color="auto"/>
            <w:bottom w:val="none" w:sz="0" w:space="0" w:color="auto"/>
            <w:right w:val="none" w:sz="0" w:space="0" w:color="auto"/>
          </w:divBdr>
          <w:divsChild>
            <w:div w:id="347567987">
              <w:marLeft w:val="0"/>
              <w:marRight w:val="0"/>
              <w:marTop w:val="0"/>
              <w:marBottom w:val="0"/>
              <w:divBdr>
                <w:top w:val="none" w:sz="0" w:space="0" w:color="auto"/>
                <w:left w:val="none" w:sz="0" w:space="0" w:color="auto"/>
                <w:bottom w:val="none" w:sz="0" w:space="0" w:color="auto"/>
                <w:right w:val="none" w:sz="0" w:space="0" w:color="auto"/>
              </w:divBdr>
              <w:divsChild>
                <w:div w:id="1835417348">
                  <w:marLeft w:val="889"/>
                  <w:marRight w:val="0"/>
                  <w:marTop w:val="178"/>
                  <w:marBottom w:val="0"/>
                  <w:divBdr>
                    <w:top w:val="none" w:sz="0" w:space="0" w:color="auto"/>
                    <w:left w:val="none" w:sz="0" w:space="0" w:color="auto"/>
                    <w:bottom w:val="none" w:sz="0" w:space="0" w:color="auto"/>
                    <w:right w:val="none" w:sz="0" w:space="0" w:color="auto"/>
                  </w:divBdr>
                  <w:divsChild>
                    <w:div w:id="20710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85399">
      <w:bodyDiv w:val="1"/>
      <w:marLeft w:val="0"/>
      <w:marRight w:val="0"/>
      <w:marTop w:val="0"/>
      <w:marBottom w:val="0"/>
      <w:divBdr>
        <w:top w:val="none" w:sz="0" w:space="0" w:color="auto"/>
        <w:left w:val="none" w:sz="0" w:space="0" w:color="auto"/>
        <w:bottom w:val="none" w:sz="0" w:space="0" w:color="auto"/>
        <w:right w:val="none" w:sz="0" w:space="0" w:color="auto"/>
      </w:divBdr>
    </w:div>
    <w:div w:id="1202286205">
      <w:bodyDiv w:val="1"/>
      <w:marLeft w:val="0"/>
      <w:marRight w:val="0"/>
      <w:marTop w:val="0"/>
      <w:marBottom w:val="0"/>
      <w:divBdr>
        <w:top w:val="none" w:sz="0" w:space="0" w:color="auto"/>
        <w:left w:val="none" w:sz="0" w:space="0" w:color="auto"/>
        <w:bottom w:val="none" w:sz="0" w:space="0" w:color="auto"/>
        <w:right w:val="none" w:sz="0" w:space="0" w:color="auto"/>
      </w:divBdr>
    </w:div>
    <w:div w:id="1269506792">
      <w:bodyDiv w:val="1"/>
      <w:marLeft w:val="0"/>
      <w:marRight w:val="0"/>
      <w:marTop w:val="0"/>
      <w:marBottom w:val="0"/>
      <w:divBdr>
        <w:top w:val="none" w:sz="0" w:space="0" w:color="auto"/>
        <w:left w:val="none" w:sz="0" w:space="0" w:color="auto"/>
        <w:bottom w:val="none" w:sz="0" w:space="0" w:color="auto"/>
        <w:right w:val="none" w:sz="0" w:space="0" w:color="auto"/>
      </w:divBdr>
    </w:div>
    <w:div w:id="1311328281">
      <w:bodyDiv w:val="1"/>
      <w:marLeft w:val="0"/>
      <w:marRight w:val="0"/>
      <w:marTop w:val="0"/>
      <w:marBottom w:val="0"/>
      <w:divBdr>
        <w:top w:val="none" w:sz="0" w:space="0" w:color="auto"/>
        <w:left w:val="none" w:sz="0" w:space="0" w:color="auto"/>
        <w:bottom w:val="none" w:sz="0" w:space="0" w:color="auto"/>
        <w:right w:val="none" w:sz="0" w:space="0" w:color="auto"/>
      </w:divBdr>
    </w:div>
    <w:div w:id="1360164741">
      <w:bodyDiv w:val="1"/>
      <w:marLeft w:val="0"/>
      <w:marRight w:val="0"/>
      <w:marTop w:val="0"/>
      <w:marBottom w:val="0"/>
      <w:divBdr>
        <w:top w:val="none" w:sz="0" w:space="0" w:color="auto"/>
        <w:left w:val="none" w:sz="0" w:space="0" w:color="auto"/>
        <w:bottom w:val="none" w:sz="0" w:space="0" w:color="auto"/>
        <w:right w:val="none" w:sz="0" w:space="0" w:color="auto"/>
      </w:divBdr>
    </w:div>
    <w:div w:id="1651867341">
      <w:bodyDiv w:val="1"/>
      <w:marLeft w:val="0"/>
      <w:marRight w:val="0"/>
      <w:marTop w:val="0"/>
      <w:marBottom w:val="0"/>
      <w:divBdr>
        <w:top w:val="none" w:sz="0" w:space="0" w:color="auto"/>
        <w:left w:val="none" w:sz="0" w:space="0" w:color="auto"/>
        <w:bottom w:val="none" w:sz="0" w:space="0" w:color="auto"/>
        <w:right w:val="none" w:sz="0" w:space="0" w:color="auto"/>
      </w:divBdr>
    </w:div>
    <w:div w:id="1851749739">
      <w:bodyDiv w:val="1"/>
      <w:marLeft w:val="0"/>
      <w:marRight w:val="0"/>
      <w:marTop w:val="0"/>
      <w:marBottom w:val="0"/>
      <w:divBdr>
        <w:top w:val="none" w:sz="0" w:space="0" w:color="auto"/>
        <w:left w:val="none" w:sz="0" w:space="0" w:color="auto"/>
        <w:bottom w:val="none" w:sz="0" w:space="0" w:color="auto"/>
        <w:right w:val="none" w:sz="0" w:space="0" w:color="auto"/>
      </w:divBdr>
    </w:div>
    <w:div w:id="1894999033">
      <w:bodyDiv w:val="1"/>
      <w:marLeft w:val="0"/>
      <w:marRight w:val="0"/>
      <w:marTop w:val="0"/>
      <w:marBottom w:val="0"/>
      <w:divBdr>
        <w:top w:val="none" w:sz="0" w:space="0" w:color="auto"/>
        <w:left w:val="none" w:sz="0" w:space="0" w:color="auto"/>
        <w:bottom w:val="none" w:sz="0" w:space="0" w:color="auto"/>
        <w:right w:val="none" w:sz="0" w:space="0" w:color="auto"/>
      </w:divBdr>
      <w:divsChild>
        <w:div w:id="148442716">
          <w:marLeft w:val="0"/>
          <w:marRight w:val="0"/>
          <w:marTop w:val="0"/>
          <w:marBottom w:val="0"/>
          <w:divBdr>
            <w:top w:val="none" w:sz="0" w:space="0" w:color="auto"/>
            <w:left w:val="none" w:sz="0" w:space="0" w:color="auto"/>
            <w:bottom w:val="none" w:sz="0" w:space="0" w:color="auto"/>
            <w:right w:val="none" w:sz="0" w:space="0" w:color="auto"/>
          </w:divBdr>
        </w:div>
      </w:divsChild>
    </w:div>
    <w:div w:id="2077119232">
      <w:bodyDiv w:val="1"/>
      <w:marLeft w:val="0"/>
      <w:marRight w:val="0"/>
      <w:marTop w:val="0"/>
      <w:marBottom w:val="0"/>
      <w:divBdr>
        <w:top w:val="none" w:sz="0" w:space="0" w:color="auto"/>
        <w:left w:val="none" w:sz="0" w:space="0" w:color="auto"/>
        <w:bottom w:val="none" w:sz="0" w:space="0" w:color="auto"/>
        <w:right w:val="none" w:sz="0" w:space="0" w:color="auto"/>
      </w:divBdr>
    </w:div>
    <w:div w:id="2104763947">
      <w:bodyDiv w:val="1"/>
      <w:marLeft w:val="0"/>
      <w:marRight w:val="0"/>
      <w:marTop w:val="0"/>
      <w:marBottom w:val="0"/>
      <w:divBdr>
        <w:top w:val="none" w:sz="0" w:space="0" w:color="auto"/>
        <w:left w:val="none" w:sz="0" w:space="0" w:color="auto"/>
        <w:bottom w:val="none" w:sz="0" w:space="0" w:color="auto"/>
        <w:right w:val="none" w:sz="0" w:space="0" w:color="auto"/>
      </w:divBdr>
      <w:divsChild>
        <w:div w:id="1089044222">
          <w:marLeft w:val="0"/>
          <w:marRight w:val="0"/>
          <w:marTop w:val="0"/>
          <w:marBottom w:val="0"/>
          <w:divBdr>
            <w:top w:val="none" w:sz="0" w:space="0" w:color="auto"/>
            <w:left w:val="none" w:sz="0" w:space="0" w:color="auto"/>
            <w:bottom w:val="none" w:sz="0" w:space="0" w:color="auto"/>
            <w:right w:val="none" w:sz="0" w:space="0" w:color="auto"/>
          </w:divBdr>
          <w:divsChild>
            <w:div w:id="6855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4177-73B8-4B42-9645-158D89B9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1755</Words>
  <Characters>11712</Characters>
  <Application>Microsoft Office Word</Application>
  <DocSecurity>0</DocSecurity>
  <Lines>532</Lines>
  <Paragraphs>269</Paragraphs>
  <ScaleCrop>false</ScaleCrop>
  <HeadingPairs>
    <vt:vector size="2" baseType="variant">
      <vt:variant>
        <vt:lpstr>Title</vt:lpstr>
      </vt:variant>
      <vt:variant>
        <vt:i4>1</vt:i4>
      </vt:variant>
    </vt:vector>
  </HeadingPairs>
  <TitlesOfParts>
    <vt:vector size="1" baseType="lpstr">
      <vt:lpstr/>
    </vt:vector>
  </TitlesOfParts>
  <Company>LR IeM IC</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ieva.jansone@ic.iem.gov.lv</dc:creator>
  <cp:lastModifiedBy>Aiva Urbāne</cp:lastModifiedBy>
  <cp:revision>14</cp:revision>
  <cp:lastPrinted>2014-03-13T07:11:00Z</cp:lastPrinted>
  <dcterms:created xsi:type="dcterms:W3CDTF">2014-02-20T06:53:00Z</dcterms:created>
  <dcterms:modified xsi:type="dcterms:W3CDTF">2014-03-14T13:44:00Z</dcterms:modified>
</cp:coreProperties>
</file>