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F2C9E" w14:textId="77777777" w:rsidR="00616AA6" w:rsidRPr="00EB53EA" w:rsidRDefault="00616AA6" w:rsidP="00116D23">
      <w:pPr>
        <w:jc w:val="center"/>
        <w:rPr>
          <w:b/>
          <w:color w:val="000000"/>
          <w:sz w:val="28"/>
          <w:szCs w:val="28"/>
        </w:rPr>
      </w:pPr>
      <w:r w:rsidRPr="00EB53EA">
        <w:rPr>
          <w:b/>
          <w:sz w:val="28"/>
          <w:szCs w:val="28"/>
        </w:rPr>
        <w:t>Ministru kabineta noteikumu projekta „</w:t>
      </w:r>
      <w:r w:rsidR="00116D23" w:rsidRPr="00EB53EA">
        <w:rPr>
          <w:b/>
          <w:bCs/>
          <w:sz w:val="28"/>
          <w:szCs w:val="28"/>
        </w:rPr>
        <w:t xml:space="preserve">Grozījumi Ministru kabineta </w:t>
      </w:r>
      <w:proofErr w:type="gramStart"/>
      <w:r w:rsidR="00116D23" w:rsidRPr="00EB53EA">
        <w:rPr>
          <w:b/>
          <w:bCs/>
          <w:sz w:val="28"/>
          <w:szCs w:val="28"/>
        </w:rPr>
        <w:t>2010.gada</w:t>
      </w:r>
      <w:proofErr w:type="gramEnd"/>
      <w:r w:rsidR="00116D23" w:rsidRPr="00EB53EA">
        <w:rPr>
          <w:b/>
          <w:bCs/>
          <w:sz w:val="28"/>
          <w:szCs w:val="28"/>
        </w:rPr>
        <w:t xml:space="preserve"> 21.jūnija noteikumos Nr.565 „Noteikumi par valsts un pašvaldību institūciju amatpersonu un darbinieku sociālajām garantijām”</w:t>
      </w:r>
      <w:r w:rsidRPr="00EB53EA">
        <w:rPr>
          <w:b/>
          <w:sz w:val="28"/>
          <w:szCs w:val="28"/>
        </w:rPr>
        <w:t>”</w:t>
      </w:r>
      <w:r w:rsidR="00116D23" w:rsidRPr="00EB53EA">
        <w:rPr>
          <w:b/>
          <w:color w:val="000000"/>
          <w:sz w:val="28"/>
          <w:szCs w:val="28"/>
        </w:rPr>
        <w:t xml:space="preserve"> </w:t>
      </w:r>
      <w:r w:rsidRPr="00EB53EA">
        <w:rPr>
          <w:b/>
          <w:sz w:val="28"/>
          <w:szCs w:val="28"/>
        </w:rPr>
        <w:t>sākotnējās ietekmes novērtējuma ziņojums</w:t>
      </w:r>
      <w:r w:rsidR="00CC496E" w:rsidRPr="00EB53EA">
        <w:rPr>
          <w:b/>
          <w:sz w:val="28"/>
          <w:szCs w:val="28"/>
        </w:rPr>
        <w:t xml:space="preserve"> </w:t>
      </w:r>
      <w:r w:rsidRPr="00EB53EA">
        <w:rPr>
          <w:b/>
          <w:sz w:val="28"/>
          <w:szCs w:val="28"/>
        </w:rPr>
        <w:t>(anotācija)</w:t>
      </w:r>
    </w:p>
    <w:p w14:paraId="4E9F9811" w14:textId="77777777" w:rsidR="00616AA6" w:rsidRPr="00EB53EA" w:rsidRDefault="00616AA6" w:rsidP="00616AA6">
      <w:pPr>
        <w:pStyle w:val="BodyText"/>
        <w:rPr>
          <w:sz w:val="24"/>
        </w:rPr>
      </w:pPr>
    </w:p>
    <w:tbl>
      <w:tblPr>
        <w:tblStyle w:val="TableGrid"/>
        <w:tblW w:w="9133" w:type="dxa"/>
        <w:tblLook w:val="04A0" w:firstRow="1" w:lastRow="0" w:firstColumn="1" w:lastColumn="0" w:noHBand="0" w:noVBand="1"/>
      </w:tblPr>
      <w:tblGrid>
        <w:gridCol w:w="426"/>
        <w:gridCol w:w="108"/>
        <w:gridCol w:w="1837"/>
        <w:gridCol w:w="764"/>
        <w:gridCol w:w="459"/>
        <w:gridCol w:w="1259"/>
        <w:gridCol w:w="217"/>
        <w:gridCol w:w="1185"/>
        <w:gridCol w:w="1412"/>
        <w:gridCol w:w="1466"/>
      </w:tblGrid>
      <w:tr w:rsidR="00616AA6" w:rsidRPr="00EB53EA" w14:paraId="30F37E3F" w14:textId="77777777" w:rsidTr="00F03184">
        <w:tc>
          <w:tcPr>
            <w:tcW w:w="9133" w:type="dxa"/>
            <w:gridSpan w:val="10"/>
          </w:tcPr>
          <w:p w14:paraId="5B99A8F4" w14:textId="77777777" w:rsidR="00616AA6" w:rsidRPr="00EB53EA" w:rsidRDefault="00616AA6" w:rsidP="00710EAA">
            <w:pPr>
              <w:pStyle w:val="BodyText"/>
              <w:spacing w:before="60" w:after="60"/>
              <w:rPr>
                <w:sz w:val="24"/>
              </w:rPr>
            </w:pPr>
            <w:r w:rsidRPr="00EB53EA">
              <w:rPr>
                <w:sz w:val="24"/>
              </w:rPr>
              <w:t>I. Tiesību akta projekta izstrādes nepieciešamība</w:t>
            </w:r>
          </w:p>
        </w:tc>
      </w:tr>
      <w:tr w:rsidR="00616AA6" w:rsidRPr="00EB53EA" w14:paraId="2FA85720" w14:textId="77777777" w:rsidTr="00F03184">
        <w:tc>
          <w:tcPr>
            <w:tcW w:w="426" w:type="dxa"/>
          </w:tcPr>
          <w:p w14:paraId="083EF60E" w14:textId="77777777" w:rsidR="00616AA6" w:rsidRPr="00EB53EA" w:rsidRDefault="00616AA6" w:rsidP="00710EAA">
            <w:pPr>
              <w:spacing w:before="60"/>
            </w:pPr>
            <w:r w:rsidRPr="00EB53EA">
              <w:t>1.</w:t>
            </w:r>
          </w:p>
        </w:tc>
        <w:tc>
          <w:tcPr>
            <w:tcW w:w="2709" w:type="dxa"/>
            <w:gridSpan w:val="3"/>
          </w:tcPr>
          <w:p w14:paraId="72722F48" w14:textId="77777777" w:rsidR="00616AA6" w:rsidRPr="00EB53EA" w:rsidRDefault="00616AA6" w:rsidP="00710EAA">
            <w:pPr>
              <w:spacing w:before="60"/>
            </w:pPr>
            <w:r w:rsidRPr="00EB53EA">
              <w:t>Pamatojums</w:t>
            </w:r>
          </w:p>
        </w:tc>
        <w:tc>
          <w:tcPr>
            <w:tcW w:w="5998" w:type="dxa"/>
            <w:gridSpan w:val="6"/>
          </w:tcPr>
          <w:p w14:paraId="218CBFD7" w14:textId="2AB7A2AD" w:rsidR="00655C91" w:rsidRPr="00EB53EA" w:rsidRDefault="00057968" w:rsidP="00A03CBF">
            <w:pPr>
              <w:spacing w:before="60"/>
              <w:jc w:val="both"/>
            </w:pPr>
            <w:r w:rsidRPr="00EB53EA">
              <w:t xml:space="preserve">Ministru kabineta noteikumu </w:t>
            </w:r>
            <w:r w:rsidR="00736938" w:rsidRPr="00EB53EA">
              <w:t xml:space="preserve">projekts </w:t>
            </w:r>
            <w:r w:rsidRPr="00EB53EA">
              <w:t>„</w:t>
            </w:r>
            <w:r w:rsidR="00CE417F" w:rsidRPr="00EB53EA">
              <w:rPr>
                <w:bCs/>
              </w:rPr>
              <w:t xml:space="preserve">Grozījumi Ministru kabineta </w:t>
            </w:r>
            <w:proofErr w:type="gramStart"/>
            <w:r w:rsidR="00CE417F" w:rsidRPr="00EB53EA">
              <w:rPr>
                <w:bCs/>
              </w:rPr>
              <w:t>2010.gada</w:t>
            </w:r>
            <w:proofErr w:type="gramEnd"/>
            <w:r w:rsidR="00CE417F" w:rsidRPr="00EB53EA">
              <w:rPr>
                <w:bCs/>
              </w:rPr>
              <w:t xml:space="preserve"> 21.jūnija noteikumos Nr.565 „Noteikumi par valsts un pašvaldību institūciju amatpersonu un darbinieku sociālajām garantijām”</w:t>
            </w:r>
            <w:r w:rsidRPr="00EB53EA">
              <w:t>”</w:t>
            </w:r>
            <w:r w:rsidR="00736938" w:rsidRPr="00EB53EA">
              <w:t xml:space="preserve"> (turpmāk –</w:t>
            </w:r>
            <w:r w:rsidRPr="00EB53EA">
              <w:t xml:space="preserve"> projekts</w:t>
            </w:r>
            <w:r w:rsidR="00736938" w:rsidRPr="00EB53EA">
              <w:t>)</w:t>
            </w:r>
            <w:r w:rsidR="0070343E" w:rsidRPr="00EB53EA">
              <w:rPr>
                <w:lang w:eastAsia="lv-LV"/>
              </w:rPr>
              <w:t xml:space="preserve"> izstrādāt</w:t>
            </w:r>
            <w:r w:rsidR="0070343E" w:rsidRPr="00EB53EA">
              <w:t>s</w:t>
            </w:r>
            <w:r w:rsidR="0070343E" w:rsidRPr="00EB53EA">
              <w:rPr>
                <w:lang w:eastAsia="lv-LV"/>
              </w:rPr>
              <w:t xml:space="preserve"> </w:t>
            </w:r>
            <w:r w:rsidR="00755684" w:rsidRPr="00EB53EA">
              <w:rPr>
                <w:lang w:eastAsia="lv-LV"/>
              </w:rPr>
              <w:t xml:space="preserve">saskaņā ar Latvijas Republikas </w:t>
            </w:r>
            <w:r w:rsidR="003D1A40" w:rsidRPr="00EB53EA">
              <w:t>Saeim</w:t>
            </w:r>
            <w:r w:rsidR="00755684" w:rsidRPr="00EB53EA">
              <w:t>as</w:t>
            </w:r>
            <w:r w:rsidR="001E3E86" w:rsidRPr="00EB53EA">
              <w:t xml:space="preserve"> </w:t>
            </w:r>
            <w:r w:rsidR="003D1A40" w:rsidRPr="00EB53EA">
              <w:t>2013.gada 19.decembrī pieņemto likumu</w:t>
            </w:r>
            <w:r w:rsidR="001E3E86" w:rsidRPr="00EB53EA">
              <w:t xml:space="preserve"> „</w:t>
            </w:r>
            <w:r w:rsidR="001E3E86" w:rsidRPr="00EB53EA">
              <w:rPr>
                <w:bCs/>
              </w:rPr>
              <w:t>Grozījumi Valsts un pašvaldību institūciju amatpersonu un darbinieku atlīdzības likumā</w:t>
            </w:r>
            <w:r w:rsidR="001E3E86" w:rsidRPr="00EB53EA">
              <w:t>”</w:t>
            </w:r>
            <w:r w:rsidR="00755684" w:rsidRPr="00EB53EA">
              <w:t xml:space="preserve"> (turpmāk – grozījumi Atlīdzības likumā)</w:t>
            </w:r>
            <w:r w:rsidR="00655C91" w:rsidRPr="00EB53EA">
              <w:t>, kā arī Ministru kabineta 2013.gada 26.novembra sēdē (prot.Nr.63, 34.§, 4.punkts) doto uzdevumu.</w:t>
            </w:r>
          </w:p>
        </w:tc>
      </w:tr>
      <w:tr w:rsidR="00616AA6" w:rsidRPr="00EB53EA" w14:paraId="5FCB99D7" w14:textId="77777777" w:rsidTr="00F03184">
        <w:tc>
          <w:tcPr>
            <w:tcW w:w="426" w:type="dxa"/>
          </w:tcPr>
          <w:p w14:paraId="68232D0E" w14:textId="77777777" w:rsidR="00616AA6" w:rsidRPr="00EB53EA" w:rsidRDefault="00616AA6" w:rsidP="00710EAA">
            <w:pPr>
              <w:spacing w:before="60" w:line="720" w:lineRule="auto"/>
            </w:pPr>
            <w:r w:rsidRPr="00EB53EA">
              <w:t>2.</w:t>
            </w:r>
          </w:p>
        </w:tc>
        <w:tc>
          <w:tcPr>
            <w:tcW w:w="2709" w:type="dxa"/>
            <w:gridSpan w:val="3"/>
          </w:tcPr>
          <w:p w14:paraId="28846866" w14:textId="77777777" w:rsidR="00616AA6" w:rsidRPr="00EB53EA" w:rsidRDefault="00616AA6" w:rsidP="00710EAA">
            <w:pPr>
              <w:spacing w:before="60"/>
            </w:pPr>
            <w:r w:rsidRPr="00EB53EA">
              <w:t>Pašreizējā situācija un problēmas</w:t>
            </w:r>
            <w:r w:rsidR="000F2F91" w:rsidRPr="00EB53EA">
              <w:t>, kuru risināšanai tiesību akta projekts izstrādāts, tiesiskā regulējuma mērķis un būtība</w:t>
            </w:r>
          </w:p>
        </w:tc>
        <w:tc>
          <w:tcPr>
            <w:tcW w:w="5998" w:type="dxa"/>
            <w:gridSpan w:val="6"/>
          </w:tcPr>
          <w:p w14:paraId="7AA5E39F" w14:textId="77777777" w:rsidR="002960EA" w:rsidRPr="00FE7898" w:rsidRDefault="00755684" w:rsidP="002960EA">
            <w:pPr>
              <w:ind w:firstLine="720"/>
              <w:jc w:val="both"/>
            </w:pPr>
            <w:r w:rsidRPr="00FE7898">
              <w:t xml:space="preserve">Saskaņā ar grozījumiem Atlīdzības likumā no </w:t>
            </w:r>
            <w:proofErr w:type="gramStart"/>
            <w:r w:rsidRPr="00FE7898">
              <w:t>2014.gada</w:t>
            </w:r>
            <w:proofErr w:type="gramEnd"/>
            <w:r w:rsidRPr="00FE7898">
              <w:t xml:space="preserve"> 1.janvāra paredzētas šādas izmaiņas </w:t>
            </w:r>
            <w:r w:rsidR="002960EA" w:rsidRPr="00FE7898">
              <w:t xml:space="preserve">pabalstu </w:t>
            </w:r>
            <w:r w:rsidRPr="00FE7898">
              <w:t>sistēmā:</w:t>
            </w:r>
          </w:p>
          <w:p w14:paraId="491A5168" w14:textId="77777777" w:rsidR="002960EA" w:rsidRPr="00FE7898" w:rsidRDefault="002960EA" w:rsidP="002960EA">
            <w:pPr>
              <w:ind w:firstLine="720"/>
              <w:jc w:val="both"/>
            </w:pPr>
            <w:r w:rsidRPr="00FE7898">
              <w:t>1.</w:t>
            </w:r>
            <w:r w:rsidR="006E54B1" w:rsidRPr="00FE7898">
              <w:t xml:space="preserve"> </w:t>
            </w:r>
            <w:r w:rsidR="00FB0D6A" w:rsidRPr="00FE7898">
              <w:t>I</w:t>
            </w:r>
            <w:r w:rsidRPr="00FE7898">
              <w:t>eviesti jauni pabalstu veidi attiecībā uz Iekšlietu ministrijas sistēmas iestāžu un Ieslodzījuma vietu pārvaldes amatpersonām ar speciālajām dienesta pakāpēm</w:t>
            </w:r>
            <w:r w:rsidR="00612D7E" w:rsidRPr="00FE7898">
              <w:t xml:space="preserve">, </w:t>
            </w:r>
            <w:r w:rsidR="00EA7D81" w:rsidRPr="00FE7898">
              <w:t>papildinot Valsts un pašvaldību institūciju amatpersonu un darbinieku atlīdzības likuma</w:t>
            </w:r>
            <w:r w:rsidR="009E0671" w:rsidRPr="00FE7898">
              <w:t xml:space="preserve"> (turpmāk – likums)</w:t>
            </w:r>
            <w:r w:rsidR="00EA7D81" w:rsidRPr="00FE7898">
              <w:t xml:space="preserve"> </w:t>
            </w:r>
            <w:proofErr w:type="gramStart"/>
            <w:r w:rsidR="00612D7E" w:rsidRPr="00FE7898">
              <w:t>19.pantu</w:t>
            </w:r>
            <w:proofErr w:type="gramEnd"/>
            <w:r w:rsidR="00612D7E" w:rsidRPr="00FE7898">
              <w:t xml:space="preserve"> ar</w:t>
            </w:r>
            <w:r w:rsidRPr="00FE7898">
              <w:t>:</w:t>
            </w:r>
          </w:p>
          <w:p w14:paraId="11B1EC5C" w14:textId="77777777" w:rsidR="00FB0D6A" w:rsidRPr="00FE7898" w:rsidRDefault="002960EA" w:rsidP="00FB0D6A">
            <w:pPr>
              <w:ind w:firstLine="720"/>
              <w:jc w:val="both"/>
            </w:pPr>
            <w:r w:rsidRPr="00FE7898">
              <w:t>- 2</w:t>
            </w:r>
            <w:r w:rsidR="00C971D2" w:rsidRPr="00FE7898">
              <w:t>.</w:t>
            </w:r>
            <w:r w:rsidRPr="00FE7898">
              <w:rPr>
                <w:vertAlign w:val="superscript"/>
              </w:rPr>
              <w:t>1</w:t>
            </w:r>
            <w:r w:rsidRPr="00FE7898">
              <w:t xml:space="preserve"> daļu, kas nosaka, ka </w:t>
            </w:r>
            <w:r w:rsidR="00EA526B" w:rsidRPr="00FE7898">
              <w:t xml:space="preserve">amatpersonas </w:t>
            </w:r>
            <w:r w:rsidRPr="00FE7898">
              <w:t>nāves gadījumā, izņemot šā panta ceturtajā daļā minēto gadījumu</w:t>
            </w:r>
            <w:r w:rsidR="00EA526B" w:rsidRPr="00FE7898">
              <w:t xml:space="preserve"> (ja amatpersonu amata (dienesta) pienākumi ir saistīti ar dzīvības vai veselības apdraudējumu (risku) un tās gājušas bojā vai mirušas gada laikā pēc nelaimes gadījuma tajā gūto veselības bojājumu dēļ, šīs amatpersonas tiek apbedītas par valsts budžeta līdzekļiem un to laulātajiem un lejupējiem, bet, ja lejupējo nav, tad tuvākās pakāpes augšupējiem radiniekiem izmaksā vienreizēju pabalstu 100 000 </w:t>
            </w:r>
            <w:proofErr w:type="spellStart"/>
            <w:r w:rsidR="00EA526B" w:rsidRPr="00FE7898">
              <w:rPr>
                <w:i/>
              </w:rPr>
              <w:t>euro</w:t>
            </w:r>
            <w:proofErr w:type="spellEnd"/>
            <w:r w:rsidR="00EA526B" w:rsidRPr="00FE7898">
              <w:rPr>
                <w:i/>
              </w:rPr>
              <w:t xml:space="preserve"> </w:t>
            </w:r>
            <w:r w:rsidR="00EA526B" w:rsidRPr="00FE7898">
              <w:t>apmērā)</w:t>
            </w:r>
            <w:r w:rsidRPr="00FE7898">
              <w:t>, tās laulātais un lejupējie, bet, ja lejupējo nav, tad tuvākās pakāpes augšupējie radinieki papildus šā panta pirmajā daļā</w:t>
            </w:r>
            <w:r w:rsidR="00EA526B" w:rsidRPr="00FE7898">
              <w:t xml:space="preserve"> </w:t>
            </w:r>
            <w:r w:rsidRPr="00FE7898">
              <w:t>noteiktajam pabalstam</w:t>
            </w:r>
            <w:r w:rsidR="00EA526B" w:rsidRPr="00FE7898">
              <w:t xml:space="preserve"> (amatpersonu nāves gadījumā ģimenes loceklis vai persona, kura uzņēmusies amatpersonas apbedīšanu, saņem vienreizēju pabalstu amatpersonai noteiktās mēnešalgas apmērā)</w:t>
            </w:r>
            <w:r w:rsidR="00725865" w:rsidRPr="00FE7898">
              <w:t xml:space="preserve"> </w:t>
            </w:r>
            <w:r w:rsidRPr="00FE7898">
              <w:t xml:space="preserve">saņem vienreizēju pabalstu 12 mēnešalgu apmērā, bet ne </w:t>
            </w:r>
            <w:proofErr w:type="gramStart"/>
            <w:r w:rsidRPr="00FE7898">
              <w:t>mazāku kā</w:t>
            </w:r>
            <w:proofErr w:type="gramEnd"/>
            <w:r w:rsidRPr="00FE7898">
              <w:t xml:space="preserve"> 10 000 </w:t>
            </w:r>
            <w:proofErr w:type="spellStart"/>
            <w:r w:rsidRPr="00FE7898">
              <w:rPr>
                <w:i/>
              </w:rPr>
              <w:t>euro</w:t>
            </w:r>
            <w:proofErr w:type="spellEnd"/>
            <w:r w:rsidR="00612D7E" w:rsidRPr="00FE7898">
              <w:t>;</w:t>
            </w:r>
          </w:p>
          <w:p w14:paraId="71C53646" w14:textId="77777777" w:rsidR="00612D7E" w:rsidRPr="00FE7898" w:rsidRDefault="00612D7E" w:rsidP="002960EA">
            <w:pPr>
              <w:ind w:firstLine="720"/>
              <w:jc w:val="both"/>
            </w:pPr>
            <w:r w:rsidRPr="00FE7898">
              <w:t xml:space="preserve">- </w:t>
            </w:r>
            <w:r w:rsidR="00EA526B" w:rsidRPr="00FE7898">
              <w:t>2</w:t>
            </w:r>
            <w:r w:rsidR="00C971D2" w:rsidRPr="00FE7898">
              <w:t>.</w:t>
            </w:r>
            <w:r w:rsidR="00EA526B" w:rsidRPr="00FE7898">
              <w:rPr>
                <w:vertAlign w:val="superscript"/>
              </w:rPr>
              <w:t>4</w:t>
            </w:r>
            <w:r w:rsidR="00EA526B" w:rsidRPr="00FE7898">
              <w:t xml:space="preserve"> daļu, kas nosaka, ka amatpersona saņem vienreizēju pabalstu 50 procentu apmērā no šā panta 2.</w:t>
            </w:r>
            <w:r w:rsidR="00EA526B" w:rsidRPr="00FE7898">
              <w:rPr>
                <w:vertAlign w:val="superscript"/>
              </w:rPr>
              <w:t>2</w:t>
            </w:r>
            <w:r w:rsidR="00EA526B" w:rsidRPr="00FE7898">
              <w:t xml:space="preserve"> </w:t>
            </w:r>
            <w:r w:rsidR="00753535" w:rsidRPr="00FE7898">
              <w:t xml:space="preserve">(ja amatpersonas, pildot ar dzīvības vai veselības apdraudējumu (risku) saistītus amata (dienesta) pienākumus, ir cietušas nelaimes gadījumā un guvušas ievainojumu vai sakropļojumu vai šo amatpersonu veselībai nodarīts citāds kaitējums (izņemot arodslimību) un 12 mēnešu laikā pēc </w:t>
            </w:r>
            <w:r w:rsidR="00753535" w:rsidRPr="00FE7898">
              <w:lastRenderedPageBreak/>
              <w:t xml:space="preserve">nelaimes gadījuma Veselības un darbspēju ekspertīzes ārstu valsts komisija tām ir noteikusi invaliditāti uz laiku, ne mazāku par vienu gadu, kuras cēlonis ir aktā par nelaimes gadījumu darbā minētais nelaimes gadījums, izmaksā vienreizēju pabalstu: </w:t>
            </w:r>
            <w:r w:rsidR="00725865" w:rsidRPr="00FE7898">
              <w:t xml:space="preserve">I grupas invalīdam — 71 145 </w:t>
            </w:r>
            <w:proofErr w:type="spellStart"/>
            <w:r w:rsidR="00725865" w:rsidRPr="00FE7898">
              <w:rPr>
                <w:i/>
              </w:rPr>
              <w:t>euro</w:t>
            </w:r>
            <w:proofErr w:type="spellEnd"/>
            <w:r w:rsidR="00725865" w:rsidRPr="00FE7898">
              <w:t xml:space="preserve">; II grupas invalīdam — 35 573 </w:t>
            </w:r>
            <w:proofErr w:type="spellStart"/>
            <w:r w:rsidR="00725865" w:rsidRPr="00FE7898">
              <w:rPr>
                <w:i/>
              </w:rPr>
              <w:t>euro</w:t>
            </w:r>
            <w:proofErr w:type="spellEnd"/>
            <w:r w:rsidR="00725865" w:rsidRPr="00FE7898">
              <w:t xml:space="preserve">; III grupas invalīdam — 14 229 </w:t>
            </w:r>
            <w:proofErr w:type="spellStart"/>
            <w:r w:rsidR="00725865" w:rsidRPr="00FE7898">
              <w:rPr>
                <w:i/>
              </w:rPr>
              <w:t>euro</w:t>
            </w:r>
            <w:proofErr w:type="spellEnd"/>
            <w:r w:rsidR="00725865" w:rsidRPr="00FE7898">
              <w:t>)</w:t>
            </w:r>
            <w:r w:rsidR="00C971D2" w:rsidRPr="00FE7898">
              <w:t xml:space="preserve"> </w:t>
            </w:r>
            <w:r w:rsidR="00EA526B" w:rsidRPr="00FE7898">
              <w:t>vai 2.</w:t>
            </w:r>
            <w:r w:rsidR="00EA526B" w:rsidRPr="00FE7898">
              <w:rPr>
                <w:vertAlign w:val="superscript"/>
              </w:rPr>
              <w:t>3</w:t>
            </w:r>
            <w:r w:rsidR="00EA526B" w:rsidRPr="00FE7898">
              <w:t xml:space="preserve"> </w:t>
            </w:r>
            <w:r w:rsidR="007528E2" w:rsidRPr="00FE7898">
              <w:t xml:space="preserve">(ja amatpersonas, pildot ar dzīvības vai veselības apdraudējumu (risku) saistītus amata (dienesta) pienākumus, ir cietušas nelaimes gadījumā un guvušas ievainojumu vai sakropļojumu vai šo amatpersonu veselībai nodarīts citāds kaitējums (izņemot arodslimību), bet tām nav noteikta invaliditāte, izmaksā vienreizēju pabalstu: smaga veselības bojājuma gadījumā — 10 000 </w:t>
            </w:r>
            <w:proofErr w:type="spellStart"/>
            <w:r w:rsidR="007528E2" w:rsidRPr="00FE7898">
              <w:rPr>
                <w:i/>
              </w:rPr>
              <w:t>euro</w:t>
            </w:r>
            <w:proofErr w:type="spellEnd"/>
            <w:r w:rsidR="007528E2" w:rsidRPr="00FE7898">
              <w:t xml:space="preserve">; vidēji smaga veselības bojājuma gadījumā — 5000 </w:t>
            </w:r>
            <w:proofErr w:type="spellStart"/>
            <w:r w:rsidR="007528E2" w:rsidRPr="00FE7898">
              <w:rPr>
                <w:i/>
              </w:rPr>
              <w:t>euro</w:t>
            </w:r>
            <w:proofErr w:type="spellEnd"/>
            <w:r w:rsidR="007528E2" w:rsidRPr="00FE7898">
              <w:t xml:space="preserve">; viegla veselības bojājuma gadījumā — 200 </w:t>
            </w:r>
            <w:proofErr w:type="spellStart"/>
            <w:r w:rsidR="007528E2" w:rsidRPr="00FE7898">
              <w:rPr>
                <w:i/>
              </w:rPr>
              <w:t>euro</w:t>
            </w:r>
            <w:proofErr w:type="spellEnd"/>
            <w:r w:rsidR="007528E2" w:rsidRPr="00FE7898">
              <w:t>, ja pārejošā darba (dienesta) nespēja ilgst vairāk par sešām dienām</w:t>
            </w:r>
            <w:r w:rsidR="00FB0D6A" w:rsidRPr="00FE7898">
              <w:t xml:space="preserve">) </w:t>
            </w:r>
            <w:r w:rsidR="00EA526B" w:rsidRPr="00FE7898">
              <w:t xml:space="preserve">daļā noteiktā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w:t>
            </w:r>
            <w:r w:rsidR="00FB0D6A" w:rsidRPr="00FE7898">
              <w:t>(</w:t>
            </w:r>
            <w:r w:rsidR="00EA526B" w:rsidRPr="00FE7898">
              <w:t>ja pārejošā darba (dienesta) nespēja ilgst vairāk par sešām dienām</w:t>
            </w:r>
            <w:r w:rsidR="00FB0D6A" w:rsidRPr="00FE7898">
              <w:t>)</w:t>
            </w:r>
            <w:r w:rsidR="00EA526B" w:rsidRPr="00FE7898">
              <w:t xml:space="preserve"> veselības bojājumu. </w:t>
            </w:r>
            <w:r w:rsidR="00FB0D6A" w:rsidRPr="00FE7898">
              <w:t>M</w:t>
            </w:r>
            <w:r w:rsidR="00EA526B" w:rsidRPr="00FE7898">
              <w:t>inēto pabalstu neizmaksā, ja nelaimes gadījums noticis laikā, kad tā atradusies cita darba devēja rīcībā, un tas nav bijis saistīts ar dienesta pienākumu izpildi.</w:t>
            </w:r>
          </w:p>
          <w:p w14:paraId="35C005C1" w14:textId="77777777" w:rsidR="00D94C4E" w:rsidRPr="00FE7898" w:rsidRDefault="00FB0D6A" w:rsidP="00D94C4E">
            <w:pPr>
              <w:ind w:firstLine="720"/>
              <w:jc w:val="both"/>
            </w:pPr>
            <w:r w:rsidRPr="00FE7898">
              <w:t>2.</w:t>
            </w:r>
            <w:r w:rsidR="006E54B1" w:rsidRPr="00FE7898">
              <w:t xml:space="preserve"> </w:t>
            </w:r>
            <w:r w:rsidR="00B01423" w:rsidRPr="00FE7898">
              <w:t>Palielināts atsevišķu pabalstu apmērs</w:t>
            </w:r>
            <w:r w:rsidR="00D94C4E" w:rsidRPr="00FE7898">
              <w:t xml:space="preserve"> valsts un pašvaldību institūciju amatpersonām (darbiniekiem)</w:t>
            </w:r>
            <w:r w:rsidR="00B01423" w:rsidRPr="00FE7898">
              <w:t>, vienlaikus paredzot šo pabalstu apmēru noteikt likum</w:t>
            </w:r>
            <w:r w:rsidR="00D94C4E" w:rsidRPr="00FE7898">
              <w:t xml:space="preserve">a </w:t>
            </w:r>
            <w:proofErr w:type="gramStart"/>
            <w:r w:rsidR="00D94C4E" w:rsidRPr="00FE7898">
              <w:t>19.panta</w:t>
            </w:r>
            <w:proofErr w:type="gramEnd"/>
            <w:r w:rsidR="00D94C4E" w:rsidRPr="00FE7898">
              <w:t>:</w:t>
            </w:r>
          </w:p>
          <w:p w14:paraId="22A98D5D" w14:textId="77777777" w:rsidR="00D346C9" w:rsidRPr="00FE7898" w:rsidRDefault="00D94C4E" w:rsidP="00D346C9">
            <w:pPr>
              <w:ind w:firstLine="720"/>
              <w:jc w:val="both"/>
            </w:pPr>
            <w:r w:rsidRPr="00FE7898">
              <w:t>- 2.</w:t>
            </w:r>
            <w:r w:rsidRPr="00FE7898">
              <w:rPr>
                <w:vertAlign w:val="superscript"/>
              </w:rPr>
              <w:t>2</w:t>
            </w:r>
            <w:r w:rsidRPr="00FE7898">
              <w:t xml:space="preserve"> daļā – vienreizējs pabalsts, ja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un 12 mēnešu laikā pēc nelaimes gadījuma Veselības un darbspēju ekspertīzes ārstu valsts komisija tām ir noteikusi invaliditāti uz laiku, ne mazāku par vienu gadu, kuras cēlonis ir aktā par nelaimes gadījumu darbā minētais nelaimes gadījums:</w:t>
            </w:r>
          </w:p>
          <w:p w14:paraId="5DA0F0DD" w14:textId="77777777" w:rsidR="00D346C9" w:rsidRPr="00FE7898" w:rsidRDefault="00D346C9" w:rsidP="00D346C9">
            <w:pPr>
              <w:ind w:firstLine="720"/>
              <w:jc w:val="both"/>
            </w:pPr>
            <w:r w:rsidRPr="00FE7898">
              <w:t>-</w:t>
            </w:r>
            <w:r w:rsidR="00D94C4E" w:rsidRPr="00FE7898">
              <w:t xml:space="preserve"> I grupas invalīdam — 71 145 </w:t>
            </w:r>
            <w:proofErr w:type="spellStart"/>
            <w:r w:rsidR="00D94C4E" w:rsidRPr="00FE7898">
              <w:rPr>
                <w:i/>
              </w:rPr>
              <w:t>euro</w:t>
            </w:r>
            <w:proofErr w:type="spellEnd"/>
            <w:r w:rsidR="00D94C4E" w:rsidRPr="00FE7898">
              <w:t>;</w:t>
            </w:r>
          </w:p>
          <w:p w14:paraId="02454473" w14:textId="77777777" w:rsidR="00D346C9" w:rsidRPr="00FE7898" w:rsidRDefault="00D346C9" w:rsidP="00D346C9">
            <w:pPr>
              <w:ind w:firstLine="720"/>
              <w:jc w:val="both"/>
            </w:pPr>
            <w:r w:rsidRPr="00FE7898">
              <w:t>-</w:t>
            </w:r>
            <w:r w:rsidR="00D94C4E" w:rsidRPr="00FE7898">
              <w:t xml:space="preserve"> II grupas invalīdam — 35 573 </w:t>
            </w:r>
            <w:proofErr w:type="spellStart"/>
            <w:r w:rsidR="00D94C4E" w:rsidRPr="00FE7898">
              <w:rPr>
                <w:i/>
              </w:rPr>
              <w:t>euro</w:t>
            </w:r>
            <w:proofErr w:type="spellEnd"/>
            <w:r w:rsidRPr="00FE7898">
              <w:t xml:space="preserve"> (līdz šim – 28 458 </w:t>
            </w:r>
            <w:proofErr w:type="spellStart"/>
            <w:r w:rsidRPr="00FE7898">
              <w:rPr>
                <w:i/>
              </w:rPr>
              <w:t>euro</w:t>
            </w:r>
            <w:proofErr w:type="spellEnd"/>
            <w:r w:rsidRPr="00FE7898">
              <w:t>)</w:t>
            </w:r>
            <w:r w:rsidR="00D94C4E" w:rsidRPr="00FE7898">
              <w:t>;</w:t>
            </w:r>
          </w:p>
          <w:p w14:paraId="365FB46A" w14:textId="77777777" w:rsidR="00D8120A" w:rsidRPr="00FE7898" w:rsidRDefault="00D346C9" w:rsidP="00D8120A">
            <w:pPr>
              <w:ind w:firstLine="720"/>
              <w:jc w:val="both"/>
            </w:pPr>
            <w:r w:rsidRPr="00FE7898">
              <w:t>-</w:t>
            </w:r>
            <w:r w:rsidR="00D94C4E" w:rsidRPr="00FE7898">
              <w:t xml:space="preserve"> III grupas invalīdam — 14 229 </w:t>
            </w:r>
            <w:proofErr w:type="spellStart"/>
            <w:r w:rsidR="00D94C4E" w:rsidRPr="00FE7898">
              <w:rPr>
                <w:i/>
              </w:rPr>
              <w:t>euro</w:t>
            </w:r>
            <w:proofErr w:type="spellEnd"/>
            <w:r w:rsidRPr="00FE7898">
              <w:t xml:space="preserve"> (līdz šim – 7115 </w:t>
            </w:r>
            <w:proofErr w:type="spellStart"/>
            <w:r w:rsidRPr="00FE7898">
              <w:rPr>
                <w:i/>
              </w:rPr>
              <w:t>euro</w:t>
            </w:r>
            <w:proofErr w:type="spellEnd"/>
            <w:r w:rsidRPr="00FE7898">
              <w:t>);</w:t>
            </w:r>
          </w:p>
          <w:p w14:paraId="109908AD" w14:textId="77777777" w:rsidR="00D65488" w:rsidRPr="00FE7898" w:rsidRDefault="00D346C9" w:rsidP="005C3D9C">
            <w:pPr>
              <w:ind w:firstLine="720"/>
              <w:jc w:val="both"/>
            </w:pPr>
            <w:r w:rsidRPr="00FE7898">
              <w:lastRenderedPageBreak/>
              <w:t>- 2.3 daļā – vienreizējs pabalsts, ja</w:t>
            </w:r>
            <w:r w:rsidR="00D65488" w:rsidRPr="00FE7898">
              <w:t xml:space="preserve"> amatpersonas (darbinieki), izņemot karavīrus, pildot ar dzīvības vai veselības apdraudējumu (risku) saistītus amata (dienesta, darba) pienākumus, ir cietušas nelaimes gadījumā un guvušas ievainojumu vai sakropļojumu vai šo amatpersonu (darbinieku) veselībai nodarīts citāds kaitējums (izņemot arodslimību), bet tām nav noteikta invaliditāte:</w:t>
            </w:r>
          </w:p>
          <w:p w14:paraId="59EE87DF" w14:textId="77777777" w:rsidR="00D65488" w:rsidRPr="00FE7898" w:rsidRDefault="00D65488" w:rsidP="005C3D9C">
            <w:pPr>
              <w:pStyle w:val="tv213"/>
              <w:spacing w:before="0" w:beforeAutospacing="0" w:after="0" w:afterAutospacing="0"/>
              <w:jc w:val="both"/>
              <w:rPr>
                <w:lang w:eastAsia="en-US"/>
              </w:rPr>
            </w:pPr>
            <w:r w:rsidRPr="00FE7898">
              <w:rPr>
                <w:lang w:eastAsia="en-US"/>
              </w:rPr>
              <w:t xml:space="preserve"> - smaga veselības bojājuma gadījumā — 10 000 </w:t>
            </w:r>
            <w:proofErr w:type="spellStart"/>
            <w:r w:rsidRPr="00FE7898">
              <w:rPr>
                <w:i/>
                <w:lang w:eastAsia="en-US"/>
              </w:rPr>
              <w:t>euro</w:t>
            </w:r>
            <w:proofErr w:type="spellEnd"/>
            <w:r w:rsidR="00D01F6B" w:rsidRPr="00FE7898">
              <w:rPr>
                <w:lang w:eastAsia="en-US"/>
              </w:rPr>
              <w:t xml:space="preserve"> (līdz šim – 7114,36 </w:t>
            </w:r>
            <w:proofErr w:type="spellStart"/>
            <w:r w:rsidR="00D01F6B" w:rsidRPr="00FE7898">
              <w:rPr>
                <w:i/>
                <w:lang w:eastAsia="en-US"/>
              </w:rPr>
              <w:t>euro</w:t>
            </w:r>
            <w:proofErr w:type="spellEnd"/>
            <w:r w:rsidR="00D01F6B" w:rsidRPr="00FE7898">
              <w:rPr>
                <w:lang w:eastAsia="en-US"/>
              </w:rPr>
              <w:t>)</w:t>
            </w:r>
            <w:r w:rsidRPr="00FE7898">
              <w:rPr>
                <w:lang w:eastAsia="en-US"/>
              </w:rPr>
              <w:t>;</w:t>
            </w:r>
          </w:p>
          <w:p w14:paraId="2EDF6A9A" w14:textId="77777777" w:rsidR="00D65488" w:rsidRPr="00FE7898" w:rsidRDefault="004430F1" w:rsidP="005C3D9C">
            <w:pPr>
              <w:pStyle w:val="tv213"/>
              <w:spacing w:before="0" w:beforeAutospacing="0" w:after="0" w:afterAutospacing="0"/>
              <w:jc w:val="both"/>
              <w:rPr>
                <w:lang w:eastAsia="en-US"/>
              </w:rPr>
            </w:pPr>
            <w:r w:rsidRPr="00FE7898">
              <w:rPr>
                <w:lang w:eastAsia="en-US"/>
              </w:rPr>
              <w:t>-</w:t>
            </w:r>
            <w:r w:rsidR="00D65488" w:rsidRPr="00FE7898">
              <w:rPr>
                <w:lang w:eastAsia="en-US"/>
              </w:rPr>
              <w:t xml:space="preserve"> vidēji smaga veselības bojājuma gadījumā — 5000 </w:t>
            </w:r>
            <w:proofErr w:type="spellStart"/>
            <w:r w:rsidR="00D65488" w:rsidRPr="00FE7898">
              <w:rPr>
                <w:i/>
                <w:lang w:eastAsia="en-US"/>
              </w:rPr>
              <w:t>euro</w:t>
            </w:r>
            <w:proofErr w:type="spellEnd"/>
            <w:r w:rsidR="00D01F6B" w:rsidRPr="00FE7898">
              <w:rPr>
                <w:lang w:eastAsia="en-US"/>
              </w:rPr>
              <w:t xml:space="preserve"> (līdz </w:t>
            </w:r>
            <w:proofErr w:type="gramStart"/>
            <w:r w:rsidR="00D01F6B" w:rsidRPr="00FE7898">
              <w:rPr>
                <w:lang w:eastAsia="en-US"/>
              </w:rPr>
              <w:t>šim –1</w:t>
            </w:r>
            <w:proofErr w:type="gramEnd"/>
            <w:r w:rsidR="00D01F6B" w:rsidRPr="00FE7898">
              <w:rPr>
                <w:lang w:eastAsia="en-US"/>
              </w:rPr>
              <w:t xml:space="preserve">422,87 </w:t>
            </w:r>
            <w:proofErr w:type="spellStart"/>
            <w:r w:rsidR="00D01F6B" w:rsidRPr="00FE7898">
              <w:rPr>
                <w:i/>
                <w:lang w:eastAsia="en-US"/>
              </w:rPr>
              <w:t>euro</w:t>
            </w:r>
            <w:proofErr w:type="spellEnd"/>
            <w:r w:rsidR="00D01F6B" w:rsidRPr="00FE7898">
              <w:rPr>
                <w:lang w:eastAsia="en-US"/>
              </w:rPr>
              <w:t>)</w:t>
            </w:r>
            <w:r w:rsidR="00D65488" w:rsidRPr="00FE7898">
              <w:rPr>
                <w:lang w:eastAsia="en-US"/>
              </w:rPr>
              <w:t>;</w:t>
            </w:r>
          </w:p>
          <w:p w14:paraId="4C0961B3" w14:textId="77777777" w:rsidR="00977B2E" w:rsidRPr="00FE7898" w:rsidRDefault="004430F1" w:rsidP="005C3D9C">
            <w:pPr>
              <w:pStyle w:val="tv213"/>
              <w:spacing w:before="0" w:beforeAutospacing="0" w:after="0" w:afterAutospacing="0"/>
              <w:jc w:val="both"/>
              <w:rPr>
                <w:lang w:eastAsia="en-US"/>
              </w:rPr>
            </w:pPr>
            <w:r w:rsidRPr="00FE7898">
              <w:rPr>
                <w:lang w:eastAsia="en-US"/>
              </w:rPr>
              <w:t>-</w:t>
            </w:r>
            <w:r w:rsidR="00D65488" w:rsidRPr="00FE7898">
              <w:rPr>
                <w:lang w:eastAsia="en-US"/>
              </w:rPr>
              <w:t xml:space="preserve"> viegla veselības bojājuma gadījumā — 200 </w:t>
            </w:r>
            <w:proofErr w:type="spellStart"/>
            <w:r w:rsidR="00D65488" w:rsidRPr="00FE7898">
              <w:rPr>
                <w:i/>
                <w:lang w:eastAsia="en-US"/>
              </w:rPr>
              <w:t>euro</w:t>
            </w:r>
            <w:proofErr w:type="spellEnd"/>
            <w:r w:rsidR="00D65488" w:rsidRPr="00FE7898">
              <w:rPr>
                <w:lang w:eastAsia="en-US"/>
              </w:rPr>
              <w:t>, ja pārejošā darba (dienesta) nespēja ilgst vairāk par sešām dienām</w:t>
            </w:r>
            <w:r w:rsidR="00D01F6B" w:rsidRPr="00FE7898">
              <w:rPr>
                <w:lang w:eastAsia="en-US"/>
              </w:rPr>
              <w:t xml:space="preserve"> (līdz </w:t>
            </w:r>
            <w:proofErr w:type="gramStart"/>
            <w:r w:rsidR="00D01F6B" w:rsidRPr="00FE7898">
              <w:rPr>
                <w:lang w:eastAsia="en-US"/>
              </w:rPr>
              <w:t>šim –1</w:t>
            </w:r>
            <w:proofErr w:type="gramEnd"/>
            <w:r w:rsidR="00D01F6B" w:rsidRPr="00FE7898">
              <w:rPr>
                <w:lang w:eastAsia="en-US"/>
              </w:rPr>
              <w:t xml:space="preserve">42,29 </w:t>
            </w:r>
            <w:proofErr w:type="spellStart"/>
            <w:r w:rsidR="00D01F6B" w:rsidRPr="00FE7898">
              <w:rPr>
                <w:i/>
                <w:lang w:eastAsia="en-US"/>
              </w:rPr>
              <w:t>euro</w:t>
            </w:r>
            <w:proofErr w:type="spellEnd"/>
            <w:r w:rsidR="00D01F6B" w:rsidRPr="00FE7898">
              <w:rPr>
                <w:lang w:eastAsia="en-US"/>
              </w:rPr>
              <w:t xml:space="preserve"> bez ierobežojošiem nosacījumiem)</w:t>
            </w:r>
            <w:r w:rsidR="00D65488" w:rsidRPr="00FE7898">
              <w:rPr>
                <w:lang w:eastAsia="en-US"/>
              </w:rPr>
              <w:t>.</w:t>
            </w:r>
          </w:p>
          <w:p w14:paraId="30B6A358" w14:textId="530626E8" w:rsidR="001A4AE4" w:rsidRPr="00FE7898" w:rsidRDefault="00070AA3" w:rsidP="00777C69">
            <w:pPr>
              <w:ind w:firstLine="720"/>
              <w:jc w:val="both"/>
            </w:pPr>
            <w:r w:rsidRPr="00FE7898">
              <w:t xml:space="preserve">Minēto pabalstu apmērs noteikts </w:t>
            </w:r>
            <w:r w:rsidR="001A4AE4" w:rsidRPr="00FE7898">
              <w:t xml:space="preserve">arī </w:t>
            </w:r>
            <w:r w:rsidRPr="00FE7898">
              <w:t xml:space="preserve">attiecīgi Ministru kabineta </w:t>
            </w:r>
            <w:proofErr w:type="gramStart"/>
            <w:r w:rsidRPr="00FE7898">
              <w:t>2010.gada</w:t>
            </w:r>
            <w:proofErr w:type="gramEnd"/>
            <w:r w:rsidRPr="00FE7898">
              <w:t xml:space="preserve"> 21.jūnija noteikumu Nr.565 „Noteikumi par valsts un pašvaldību institūciju amatpersonu un darbinieku sociālajām garantijām” (turpmāk – noteikumi Nr.565) 9. </w:t>
            </w:r>
            <w:r w:rsidR="00E75E5B" w:rsidRPr="00FE7898">
              <w:t>u</w:t>
            </w:r>
            <w:r w:rsidRPr="00FE7898">
              <w:t>n 17.punktā.</w:t>
            </w:r>
            <w:r w:rsidR="001A4AE4" w:rsidRPr="00FE7898">
              <w:t xml:space="preserve"> Noteikumos Nr.565 tika izdarīti grozījumi (</w:t>
            </w:r>
            <w:proofErr w:type="gramStart"/>
            <w:r w:rsidR="001A4AE4" w:rsidRPr="00FE7898">
              <w:t>2013.gada</w:t>
            </w:r>
            <w:proofErr w:type="gramEnd"/>
            <w:r w:rsidR="001A4AE4" w:rsidRPr="00FE7898">
              <w:t xml:space="preserve"> 22.oktobra noteikumi Nr.1155), kas stājās spēkā 2014.gada 1.janvārī. </w:t>
            </w:r>
            <w:r w:rsidR="001F692A" w:rsidRPr="00FE7898">
              <w:t xml:space="preserve">Ministru kabineta </w:t>
            </w:r>
            <w:proofErr w:type="gramStart"/>
            <w:r w:rsidR="001F692A" w:rsidRPr="00FE7898">
              <w:t>2013.gada</w:t>
            </w:r>
            <w:proofErr w:type="gramEnd"/>
            <w:r w:rsidR="001F692A" w:rsidRPr="00FE7898">
              <w:t xml:space="preserve"> 19.marta sēdē tika izskatīts un pieņemts zināšanai informatīvais ziņojums „Priekšlikumi par normatīvajos aktos noteikto sociālo garantiju karavīriem un amatpersonām ar speciālajām dienesta pakāpēm iespējamu pilnveidošanu”</w:t>
            </w:r>
            <w:r w:rsidR="004529EF" w:rsidRPr="00FE7898">
              <w:t xml:space="preserve"> </w:t>
            </w:r>
            <w:r w:rsidR="001F692A" w:rsidRPr="00FE7898">
              <w:t>(prot.Nr.15, 36.</w:t>
            </w:r>
            <w:r w:rsidR="00577B09" w:rsidRPr="00FE7898">
              <w:t>§</w:t>
            </w:r>
            <w:r w:rsidR="001F692A" w:rsidRPr="00FE7898">
              <w:t>)</w:t>
            </w:r>
            <w:r w:rsidR="00577B09" w:rsidRPr="00FE7898">
              <w:t xml:space="preserve">, uzdodot </w:t>
            </w:r>
            <w:r w:rsidR="001F692A" w:rsidRPr="00FE7898">
              <w:t xml:space="preserve"> Iekšlietu ministrijai izstrādāt un līdz 2013.gada 31.oktobrim iesniegt izskatīšanai Ministru kabinetā grozījumu Ministru kabineta 2010.gada 21.jūnija noteikumos Nr.565 „Noteikumi par valsts un pašvaldību institūciju amatpersonu un darbinieku sociālajām garantijām”, nosakot, ka amatpersonai, kura, pildot ar dzīvības vai veselības apdraudējumu (risku) saistītus amata (dienesta, darba) pienākumus, ir cietusi nelaimes gadījumā un guvusi ievainojumu vai sakropļojumu vai kuras veselībai nodarīts citāds kaitējums (izņemot arodslimību), ir kļuvusi par I grupas invalīdu, vienreizēja pabalsta apmērs ir 50 000 latu</w:t>
            </w:r>
            <w:r w:rsidR="00577B09" w:rsidRPr="00FE7898">
              <w:t xml:space="preserve"> (71 145 </w:t>
            </w:r>
            <w:proofErr w:type="spellStart"/>
            <w:r w:rsidR="00577B09" w:rsidRPr="00FE7898">
              <w:rPr>
                <w:i/>
              </w:rPr>
              <w:t>euro</w:t>
            </w:r>
            <w:proofErr w:type="spellEnd"/>
            <w:r w:rsidR="00577B09" w:rsidRPr="00FE7898">
              <w:t>)</w:t>
            </w:r>
            <w:r w:rsidR="001F692A" w:rsidRPr="00FE7898">
              <w:t>.</w:t>
            </w:r>
          </w:p>
          <w:p w14:paraId="64A1D3D7" w14:textId="0AEEF088" w:rsidR="00F91CB1" w:rsidRPr="00FE7898" w:rsidRDefault="00EB2636" w:rsidP="00777C69">
            <w:pPr>
              <w:ind w:firstLine="720"/>
              <w:jc w:val="both"/>
            </w:pPr>
            <w:r w:rsidRPr="00FE7898">
              <w:t>Pēc grozījumu izdarīšanas n</w:t>
            </w:r>
            <w:r w:rsidR="00AF000F" w:rsidRPr="00FE7898">
              <w:t xml:space="preserve">oteikumu </w:t>
            </w:r>
            <w:r w:rsidRPr="00FE7898">
              <w:t xml:space="preserve">Nr.565 </w:t>
            </w:r>
            <w:r w:rsidR="00C772F4" w:rsidRPr="00FE7898">
              <w:t>nodaļas „</w:t>
            </w:r>
            <w:r w:rsidR="00AF000F" w:rsidRPr="00FE7898">
              <w:t>Noslēguma jautājum</w:t>
            </w:r>
            <w:r w:rsidR="00C772F4" w:rsidRPr="00FE7898">
              <w:t>i”</w:t>
            </w:r>
            <w:r w:rsidR="00AF000F" w:rsidRPr="00FE7898">
              <w:t xml:space="preserve"> 116.punkts nosaka, ka, ja nelaimes gadījums noticis līdz </w:t>
            </w:r>
            <w:proofErr w:type="gramStart"/>
            <w:r w:rsidR="00AF000F" w:rsidRPr="00FE7898">
              <w:t>2013.gada</w:t>
            </w:r>
            <w:proofErr w:type="gramEnd"/>
            <w:r w:rsidR="00AF000F" w:rsidRPr="00FE7898">
              <w:t xml:space="preserve"> 31.decembrim, </w:t>
            </w:r>
            <w:r w:rsidR="00373890" w:rsidRPr="00FE7898">
              <w:t xml:space="preserve">vienreizēju </w:t>
            </w:r>
            <w:r w:rsidR="00C772F4" w:rsidRPr="00FE7898">
              <w:t>pabalstu personai ar I grupas invaliditāti</w:t>
            </w:r>
            <w:r w:rsidR="00373890" w:rsidRPr="00FE7898">
              <w:t xml:space="preserve"> nosaka 42 687 </w:t>
            </w:r>
            <w:proofErr w:type="spellStart"/>
            <w:r w:rsidR="00373890" w:rsidRPr="00FE7898">
              <w:rPr>
                <w:i/>
              </w:rPr>
              <w:t>euro</w:t>
            </w:r>
            <w:proofErr w:type="spellEnd"/>
            <w:r w:rsidR="00373890" w:rsidRPr="00FE7898">
              <w:t xml:space="preserve"> apmērā, jo</w:t>
            </w:r>
            <w:r w:rsidR="00C772F4" w:rsidRPr="00FE7898">
              <w:t xml:space="preserve"> </w:t>
            </w:r>
            <w:r w:rsidR="00373890" w:rsidRPr="00FE7898">
              <w:t>minētā pabalsta apmērs –</w:t>
            </w:r>
            <w:r w:rsidR="00C772F4" w:rsidRPr="00FE7898">
              <w:t xml:space="preserve"> 71</w:t>
            </w:r>
            <w:r w:rsidR="00373890" w:rsidRPr="00FE7898">
              <w:t xml:space="preserve"> </w:t>
            </w:r>
            <w:r w:rsidR="00C772F4" w:rsidRPr="00FE7898">
              <w:t xml:space="preserve">145 </w:t>
            </w:r>
            <w:proofErr w:type="spellStart"/>
            <w:r w:rsidR="00C772F4" w:rsidRPr="00FE7898">
              <w:rPr>
                <w:i/>
              </w:rPr>
              <w:t>euro</w:t>
            </w:r>
            <w:proofErr w:type="spellEnd"/>
            <w:r w:rsidR="00C772F4" w:rsidRPr="00FE7898">
              <w:t xml:space="preserve"> </w:t>
            </w:r>
            <w:r w:rsidR="00373890" w:rsidRPr="00FE7898">
              <w:t xml:space="preserve">tika noteikts ar 2014.gada 1.janvāri. </w:t>
            </w:r>
            <w:proofErr w:type="gramStart"/>
            <w:r w:rsidR="00373890" w:rsidRPr="00FE7898">
              <w:t>Savukārt,</w:t>
            </w:r>
            <w:proofErr w:type="gramEnd"/>
            <w:r w:rsidR="00373890" w:rsidRPr="00FE7898">
              <w:t xml:space="preserve"> pabalst</w:t>
            </w:r>
            <w:r w:rsidR="004B4D39" w:rsidRPr="00FE7898">
              <w:t>u apmērs</w:t>
            </w:r>
            <w:r w:rsidR="00373890" w:rsidRPr="00FE7898">
              <w:t xml:space="preserve"> </w:t>
            </w:r>
            <w:r w:rsidR="00C772F4" w:rsidRPr="00FE7898">
              <w:t>personai ar II grupas invaliditāti – 28</w:t>
            </w:r>
            <w:r w:rsidR="00373890" w:rsidRPr="00FE7898">
              <w:t xml:space="preserve"> </w:t>
            </w:r>
            <w:r w:rsidR="00C772F4" w:rsidRPr="00FE7898">
              <w:t xml:space="preserve">458 </w:t>
            </w:r>
            <w:proofErr w:type="spellStart"/>
            <w:r w:rsidR="00C772F4" w:rsidRPr="00FE7898">
              <w:rPr>
                <w:i/>
              </w:rPr>
              <w:t>euro</w:t>
            </w:r>
            <w:proofErr w:type="spellEnd"/>
            <w:r w:rsidR="00373890" w:rsidRPr="00FE7898">
              <w:t xml:space="preserve"> un </w:t>
            </w:r>
            <w:r w:rsidR="00C772F4" w:rsidRPr="00FE7898">
              <w:t xml:space="preserve">personai ar III grupas invaliditāti – 7115 </w:t>
            </w:r>
            <w:proofErr w:type="spellStart"/>
            <w:r w:rsidR="00C772F4" w:rsidRPr="00FE7898">
              <w:rPr>
                <w:i/>
              </w:rPr>
              <w:t>euro</w:t>
            </w:r>
            <w:proofErr w:type="spellEnd"/>
            <w:r w:rsidRPr="00FE7898">
              <w:t xml:space="preserve">, kā arī pabalstu atkarībā no gūtā veselības bojājuma smaguma pakāpes apmērs </w:t>
            </w:r>
            <w:r w:rsidR="00373890" w:rsidRPr="00FE7898">
              <w:t>netika mainīt</w:t>
            </w:r>
            <w:r w:rsidRPr="00FE7898">
              <w:t>s</w:t>
            </w:r>
            <w:r w:rsidR="00373890" w:rsidRPr="00FE7898">
              <w:t xml:space="preserve">. </w:t>
            </w:r>
          </w:p>
          <w:tbl>
            <w:tblPr>
              <w:tblW w:w="5000" w:type="pct"/>
              <w:tblCellSpacing w:w="0" w:type="dxa"/>
              <w:tblCellMar>
                <w:left w:w="0" w:type="dxa"/>
                <w:right w:w="0" w:type="dxa"/>
              </w:tblCellMar>
              <w:tblLook w:val="04A0" w:firstRow="1" w:lastRow="0" w:firstColumn="1" w:lastColumn="0" w:noHBand="0" w:noVBand="1"/>
            </w:tblPr>
            <w:tblGrid>
              <w:gridCol w:w="5782"/>
            </w:tblGrid>
            <w:tr w:rsidR="00680236" w:rsidRPr="00FE7898" w14:paraId="5CD78EB3" w14:textId="77777777" w:rsidTr="00680236">
              <w:trPr>
                <w:tblCellSpacing w:w="0" w:type="dxa"/>
              </w:trPr>
              <w:tc>
                <w:tcPr>
                  <w:tcW w:w="0" w:type="auto"/>
                  <w:vAlign w:val="center"/>
                  <w:hideMark/>
                </w:tcPr>
                <w:p w14:paraId="17B6A613" w14:textId="0ADFC878" w:rsidR="005A1B50" w:rsidRPr="00FE7898" w:rsidRDefault="00D20893" w:rsidP="005A1B50">
                  <w:pPr>
                    <w:pStyle w:val="tv213"/>
                    <w:spacing w:before="0" w:beforeAutospacing="0" w:after="0" w:afterAutospacing="0"/>
                    <w:jc w:val="both"/>
                  </w:pPr>
                  <w:r w:rsidRPr="00FE7898">
                    <w:t xml:space="preserve">     </w:t>
                  </w:r>
                  <w:r w:rsidR="00680236" w:rsidRPr="00FE7898">
                    <w:t xml:space="preserve">Ministru kabineta </w:t>
                  </w:r>
                  <w:proofErr w:type="gramStart"/>
                  <w:r w:rsidR="00680236" w:rsidRPr="00FE7898">
                    <w:t>2013.gada</w:t>
                  </w:r>
                  <w:proofErr w:type="gramEnd"/>
                  <w:r w:rsidR="00680236" w:rsidRPr="00FE7898">
                    <w:t xml:space="preserve"> 26.novembra sēdē (prot.Nr.63, 34.§, 4.punkts)</w:t>
                  </w:r>
                  <w:r w:rsidR="00F91CB1" w:rsidRPr="00FE7898">
                    <w:rPr>
                      <w:lang w:eastAsia="en-US"/>
                    </w:rPr>
                    <w:t xml:space="preserve"> “Rīkojuma projekts "Par atbalsta </w:t>
                  </w:r>
                  <w:r w:rsidR="00F91CB1" w:rsidRPr="00FE7898">
                    <w:rPr>
                      <w:lang w:eastAsia="en-US"/>
                    </w:rPr>
                    <w:lastRenderedPageBreak/>
                    <w:t>pasākumiem traģēdijā Rīgā, Priedaines ielā 20, cietušajiem un seku novēršanā iesaistītajiem" tika dots uzdevums – Iekšlietu ministrijai sagatavot un noteiktā kārtībā iesniegt izskatīšanai Ministru kabinetā noteikumu projektu par grozījumiem Ministru kabineta 2010.gada 21.jūnija noteikumos Nr.565 „Noteikumi par valsts un pašvaldību institūciju amatpersonu un darbinieku sociālajām garantijām” (turpmāk – noteikumi Nr.565), paredzot, ka šo noteikumu 17.1.</w:t>
                  </w:r>
                  <w:r w:rsidR="00267391" w:rsidRPr="00FE7898">
                    <w:rPr>
                      <w:lang w:eastAsia="en-US"/>
                    </w:rPr>
                    <w:t>apakš</w:t>
                  </w:r>
                  <w:r w:rsidR="00F91CB1" w:rsidRPr="00FE7898">
                    <w:rPr>
                      <w:lang w:eastAsia="en-US"/>
                    </w:rPr>
                    <w:t>punktā minēto pabalstu izmaksā 71</w:t>
                  </w:r>
                  <w:r w:rsidR="00215D9C" w:rsidRPr="00FE7898">
                    <w:rPr>
                      <w:lang w:eastAsia="en-US"/>
                    </w:rPr>
                    <w:t xml:space="preserve"> </w:t>
                  </w:r>
                  <w:r w:rsidR="00F91CB1" w:rsidRPr="00FE7898">
                    <w:rPr>
                      <w:lang w:eastAsia="en-US"/>
                    </w:rPr>
                    <w:t xml:space="preserve">145 </w:t>
                  </w:r>
                  <w:proofErr w:type="spellStart"/>
                  <w:r w:rsidR="00F91CB1" w:rsidRPr="00FE7898">
                    <w:rPr>
                      <w:i/>
                      <w:lang w:eastAsia="en-US"/>
                    </w:rPr>
                    <w:t>euro</w:t>
                  </w:r>
                  <w:proofErr w:type="spellEnd"/>
                  <w:r w:rsidR="00F91CB1" w:rsidRPr="00FE7898">
                    <w:rPr>
                      <w:lang w:eastAsia="en-US"/>
                    </w:rPr>
                    <w:t xml:space="preserve"> apmērā, ja nelaimes gadījums noticis pēc 2013.gada 20.novembra.</w:t>
                  </w:r>
                  <w:r w:rsidR="00FE77F0" w:rsidRPr="00FE7898">
                    <w:rPr>
                      <w:lang w:eastAsia="en-US"/>
                    </w:rPr>
                    <w:t xml:space="preserve"> Atbilstoši Ministru kabineta dotajam uzdevumam, nepieciešams grozīt noteikumu</w:t>
                  </w:r>
                  <w:r w:rsidR="00F97240" w:rsidRPr="00FE7898">
                    <w:rPr>
                      <w:lang w:eastAsia="en-US"/>
                    </w:rPr>
                    <w:t>s</w:t>
                  </w:r>
                  <w:r w:rsidR="00FE77F0" w:rsidRPr="00FE7898">
                    <w:rPr>
                      <w:lang w:eastAsia="en-US"/>
                    </w:rPr>
                    <w:t xml:space="preserve"> Nr.565, paredzot, ka, ja nelaimes gadījums noticis līdz </w:t>
                  </w:r>
                  <w:proofErr w:type="gramStart"/>
                  <w:r w:rsidR="00FE77F0" w:rsidRPr="00FE7898">
                    <w:rPr>
                      <w:lang w:eastAsia="en-US"/>
                    </w:rPr>
                    <w:t>2013.gada</w:t>
                  </w:r>
                  <w:proofErr w:type="gramEnd"/>
                  <w:r w:rsidR="00FE77F0" w:rsidRPr="00FE7898">
                    <w:rPr>
                      <w:lang w:eastAsia="en-US"/>
                    </w:rPr>
                    <w:t xml:space="preserve"> 20.novembrim,  17.1.</w:t>
                  </w:r>
                  <w:r w:rsidR="00267391" w:rsidRPr="00FE7898">
                    <w:rPr>
                      <w:lang w:eastAsia="en-US"/>
                    </w:rPr>
                    <w:t>apakš</w:t>
                  </w:r>
                  <w:r w:rsidR="00FE77F0" w:rsidRPr="00FE7898">
                    <w:rPr>
                      <w:lang w:eastAsia="en-US"/>
                    </w:rPr>
                    <w:t xml:space="preserve">punktā minēto pabalstu izmaksā 42 687 </w:t>
                  </w:r>
                  <w:proofErr w:type="spellStart"/>
                  <w:r w:rsidR="00FE77F0" w:rsidRPr="00FE7898">
                    <w:rPr>
                      <w:i/>
                      <w:lang w:eastAsia="en-US"/>
                    </w:rPr>
                    <w:t>euro</w:t>
                  </w:r>
                  <w:proofErr w:type="spellEnd"/>
                  <w:r w:rsidR="00FE77F0" w:rsidRPr="00FE7898">
                    <w:rPr>
                      <w:lang w:eastAsia="en-US"/>
                    </w:rPr>
                    <w:t xml:space="preserve"> apmērā</w:t>
                  </w:r>
                  <w:r w:rsidR="00F97240" w:rsidRPr="00FE7898">
                    <w:rPr>
                      <w:lang w:eastAsia="en-US"/>
                    </w:rPr>
                    <w:t xml:space="preserve">, bet, ja nelaimes gadījums noticis pēc 2013.gada 20.novembra –  71 145 </w:t>
                  </w:r>
                  <w:proofErr w:type="spellStart"/>
                  <w:r w:rsidR="00F97240" w:rsidRPr="00FE7898">
                    <w:rPr>
                      <w:i/>
                      <w:lang w:eastAsia="en-US"/>
                    </w:rPr>
                    <w:t>euro</w:t>
                  </w:r>
                  <w:proofErr w:type="spellEnd"/>
                  <w:r w:rsidR="00F97240" w:rsidRPr="00FE7898">
                    <w:rPr>
                      <w:lang w:eastAsia="en-US"/>
                    </w:rPr>
                    <w:t xml:space="preserve"> apmērā. </w:t>
                  </w:r>
                  <w:r w:rsidR="00D71FE1" w:rsidRPr="00FE7898">
                    <w:rPr>
                      <w:lang w:eastAsia="en-US"/>
                    </w:rPr>
                    <w:t xml:space="preserve"> </w:t>
                  </w:r>
                  <w:r w:rsidR="00215D9C" w:rsidRPr="00FE7898">
                    <w:rPr>
                      <w:lang w:eastAsia="en-US"/>
                    </w:rPr>
                    <w:t xml:space="preserve">Ievērojot, ka Zolitūdes traģēdijā </w:t>
                  </w:r>
                  <w:r w:rsidR="004B4D39" w:rsidRPr="00FE7898">
                    <w:rPr>
                      <w:lang w:eastAsia="en-US"/>
                    </w:rPr>
                    <w:t xml:space="preserve">smagāk </w:t>
                  </w:r>
                  <w:r w:rsidR="00215D9C" w:rsidRPr="00FE7898">
                    <w:rPr>
                      <w:lang w:eastAsia="en-US"/>
                    </w:rPr>
                    <w:t xml:space="preserve">cietušie vēl ārstējas, viņiem nav noteikta invaliditātes grupa un veselības bojājuma smaguma pakāpe, līdz ar to būtu taisnīgi, ka, ja nelaimes gadījums noticis pēc </w:t>
                  </w:r>
                  <w:proofErr w:type="gramStart"/>
                  <w:r w:rsidR="00215D9C" w:rsidRPr="00FE7898">
                    <w:rPr>
                      <w:lang w:eastAsia="en-US"/>
                    </w:rPr>
                    <w:t>2013.gada</w:t>
                  </w:r>
                  <w:proofErr w:type="gramEnd"/>
                  <w:r w:rsidR="00215D9C" w:rsidRPr="00FE7898">
                    <w:rPr>
                      <w:lang w:eastAsia="en-US"/>
                    </w:rPr>
                    <w:t xml:space="preserve"> 20.novembra, tiktu noteikts arī pabalsta smaga veselības bojājuma gadījumā, vidēji smaga veselības bojājuma gadījumā un  viegla veselības bojājuma gadījumā apmērā, kāds pašlaik noteikts </w:t>
                  </w:r>
                  <w:r w:rsidR="004B4D39" w:rsidRPr="00FE7898">
                    <w:rPr>
                      <w:lang w:eastAsia="en-US"/>
                    </w:rPr>
                    <w:t>A</w:t>
                  </w:r>
                  <w:r w:rsidR="00215D9C" w:rsidRPr="00FE7898">
                    <w:rPr>
                      <w:lang w:eastAsia="en-US"/>
                    </w:rPr>
                    <w:t>tlīdzības likumā no 2014.gada 1.janvāra. Personām, kurām šie pabalsti jau izmaksāti, veicams pabalsta summas pā</w:t>
                  </w:r>
                  <w:r w:rsidR="002D1149" w:rsidRPr="00FE7898">
                    <w:rPr>
                      <w:lang w:eastAsia="en-US"/>
                    </w:rPr>
                    <w:t xml:space="preserve">rrēķins, papildu izmaksājot pabalsta summas starpību. </w:t>
                  </w:r>
                  <w:r w:rsidR="00215D9C" w:rsidRPr="00FE7898">
                    <w:rPr>
                      <w:lang w:eastAsia="en-US"/>
                    </w:rPr>
                    <w:t xml:space="preserve">Bez tam, </w:t>
                  </w:r>
                  <w:r w:rsidR="002D1149" w:rsidRPr="00FE7898">
                    <w:rPr>
                      <w:lang w:eastAsia="en-US"/>
                    </w:rPr>
                    <w:t xml:space="preserve">Ministru kabinets </w:t>
                  </w:r>
                  <w:proofErr w:type="gramStart"/>
                  <w:r w:rsidR="002D1149" w:rsidRPr="00FE7898">
                    <w:rPr>
                      <w:lang w:eastAsia="en-US"/>
                    </w:rPr>
                    <w:t>2014.gada</w:t>
                  </w:r>
                  <w:proofErr w:type="gramEnd"/>
                  <w:r w:rsidR="002D1149" w:rsidRPr="00FE7898">
                    <w:rPr>
                      <w:lang w:eastAsia="en-US"/>
                    </w:rPr>
                    <w:t xml:space="preserve"> 1.aprīlī ir izdevis rīkojumu Nr.148 “Par finanšu </w:t>
                  </w:r>
                  <w:r w:rsidR="00E807C4" w:rsidRPr="00FE7898">
                    <w:rPr>
                      <w:lang w:eastAsia="en-US"/>
                    </w:rPr>
                    <w:t xml:space="preserve">līdzekļu piešķiršanu no valsts budžeta programmas “Līdzekļi neparedzētiem gadījumiem””, piešķirot pabalstus </w:t>
                  </w:r>
                  <w:r w:rsidR="00010981" w:rsidRPr="00FE7898">
                    <w:rPr>
                      <w:lang w:eastAsia="en-US"/>
                    </w:rPr>
                    <w:t xml:space="preserve">par vidēji smagiem </w:t>
                  </w:r>
                  <w:r w:rsidR="005A1B50" w:rsidRPr="00FE7898">
                    <w:rPr>
                      <w:lang w:eastAsia="en-US"/>
                    </w:rPr>
                    <w:t xml:space="preserve">(5000 </w:t>
                  </w:r>
                  <w:proofErr w:type="spellStart"/>
                  <w:r w:rsidR="005A1B50" w:rsidRPr="00FE7898">
                    <w:rPr>
                      <w:i/>
                      <w:lang w:eastAsia="en-US"/>
                    </w:rPr>
                    <w:t>euro</w:t>
                  </w:r>
                  <w:proofErr w:type="spellEnd"/>
                  <w:r w:rsidR="005A1B50" w:rsidRPr="00FE7898">
                    <w:rPr>
                      <w:lang w:eastAsia="en-US"/>
                    </w:rPr>
                    <w:t xml:space="preserve">) </w:t>
                  </w:r>
                  <w:r w:rsidR="00010981" w:rsidRPr="00FE7898">
                    <w:rPr>
                      <w:lang w:eastAsia="en-US"/>
                    </w:rPr>
                    <w:t xml:space="preserve">un viegliem </w:t>
                  </w:r>
                  <w:r w:rsidR="005A1B50" w:rsidRPr="00FE7898">
                    <w:rPr>
                      <w:lang w:eastAsia="en-US"/>
                    </w:rPr>
                    <w:t xml:space="preserve">(200 </w:t>
                  </w:r>
                  <w:proofErr w:type="spellStart"/>
                  <w:r w:rsidR="005A1B50" w:rsidRPr="00FE7898">
                    <w:rPr>
                      <w:i/>
                      <w:lang w:eastAsia="en-US"/>
                    </w:rPr>
                    <w:t>euro</w:t>
                  </w:r>
                  <w:proofErr w:type="spellEnd"/>
                  <w:r w:rsidR="005A1B50" w:rsidRPr="00FE7898">
                    <w:rPr>
                      <w:lang w:eastAsia="en-US"/>
                    </w:rPr>
                    <w:t xml:space="preserve">) </w:t>
                  </w:r>
                  <w:r w:rsidR="00010981" w:rsidRPr="00FE7898">
                    <w:rPr>
                      <w:lang w:eastAsia="en-US"/>
                    </w:rPr>
                    <w:t>miesas bojājumiem Valsts ieņēmumu dienesta amatpersonām, ar kurām nelaimes gadījums notika 2013.gada nogalē</w:t>
                  </w:r>
                  <w:r w:rsidR="005A1B50" w:rsidRPr="00FE7898">
                    <w:rPr>
                      <w:lang w:eastAsia="en-US"/>
                    </w:rPr>
                    <w:t>.</w:t>
                  </w:r>
                  <w:r w:rsidR="00BA682D" w:rsidRPr="00FE7898">
                    <w:t xml:space="preserve"> </w:t>
                  </w:r>
                </w:p>
                <w:p w14:paraId="4C0AFEA3" w14:textId="550DDC2D" w:rsidR="00BA682D" w:rsidRPr="00FE7898" w:rsidRDefault="00BA682D" w:rsidP="005A1B50">
                  <w:pPr>
                    <w:pStyle w:val="tv213"/>
                    <w:spacing w:before="0" w:beforeAutospacing="0" w:after="0" w:afterAutospacing="0"/>
                    <w:jc w:val="both"/>
                    <w:rPr>
                      <w:lang w:eastAsia="en-US"/>
                    </w:rPr>
                  </w:pPr>
                  <w:r w:rsidRPr="00FE7898">
                    <w:t xml:space="preserve">     </w:t>
                  </w:r>
                  <w:proofErr w:type="gramStart"/>
                  <w:r w:rsidRPr="00FE7898">
                    <w:t>Bez tam</w:t>
                  </w:r>
                  <w:proofErr w:type="gramEnd"/>
                  <w:r w:rsidRPr="00FE7898">
                    <w:t xml:space="preserve">, noteikumu Nr.565 1.3. apakšpunktā noteikts, ka vienreizēju pabalstu, ja amatpersonu (darbinieku), izņemot karavīrus, amata (dienesta, darba) pienākumi ir saistīti ar dzīvības vai veselības apdraudējumu (risku) un tās gājušas bojā vai mirušas gada laikā pēc nelaimes gadījuma tajā gūto veselības bojājumu dēļ (turpmāk – pabalsts sakarā ar amatpersonas (darbinieka) bojāeju), izmaksā amatpersonas (darbinieka) neatraidāmajiem mantiniekiem. Savukārt, likuma </w:t>
                  </w:r>
                  <w:proofErr w:type="gramStart"/>
                  <w:r w:rsidRPr="00FE7898">
                    <w:t>19.panta</w:t>
                  </w:r>
                  <w:proofErr w:type="gramEnd"/>
                  <w:r w:rsidRPr="00FE7898">
                    <w:t xml:space="preserve"> ceturtā daļa nosaka, ka to izmaksā amatpersonas (darbinieka) laulātajiem un lejupējiem, bet, ja lejupējo nav, tad tuvākās pakāpes augšupējiem radiniekiem.</w:t>
                  </w:r>
                </w:p>
              </w:tc>
            </w:tr>
          </w:tbl>
          <w:p w14:paraId="54518C68" w14:textId="5684877A" w:rsidR="00FA0150" w:rsidRPr="00FE7898" w:rsidRDefault="00FA0150" w:rsidP="00FA0150">
            <w:pPr>
              <w:pStyle w:val="tv213"/>
              <w:spacing w:before="0" w:beforeAutospacing="0" w:after="0" w:afterAutospacing="0"/>
              <w:ind w:firstLine="720"/>
              <w:jc w:val="both"/>
              <w:rPr>
                <w:lang w:eastAsia="en-US"/>
              </w:rPr>
            </w:pPr>
            <w:r w:rsidRPr="00FE7898">
              <w:rPr>
                <w:lang w:eastAsia="en-US"/>
              </w:rPr>
              <w:lastRenderedPageBreak/>
              <w:t xml:space="preserve">Projekta mērķis ir noteikt kārtību, kādā Iekšlietu ministrijas sistēmas iestāžu un Ieslodzījuma vietu pārvaldes amatpersonas ar speciālo dienesta pakāpi nāves gadījumā tās laulātajam un lejupējiem, bet, ja lejupējo nav, tad tuvākās pakāpes augšupējiem radiniekiem piešķir un izmaksā vienreizēju pabalstu, un kārtību, kādā piešķir un izmaksā </w:t>
            </w:r>
            <w:r w:rsidRPr="00FE7898">
              <w:rPr>
                <w:lang w:eastAsia="en-US"/>
              </w:rPr>
              <w:lastRenderedPageBreak/>
              <w:t xml:space="preserve">vienreizēju pabalstu Iekšlietu ministrijas sistēmas iestāžu un Ieslodzījuma vietu pārvaldes amatpersonai ar speciālo dienesta pakāpi, ja tā cietusi nelaimes gadījumā, bet nav </w:t>
            </w:r>
            <w:proofErr w:type="gramStart"/>
            <w:r w:rsidRPr="00FE7898">
              <w:rPr>
                <w:lang w:eastAsia="en-US"/>
              </w:rPr>
              <w:t>pildījusi ar dzīvības vai veselības apdraudējumu (risku) saistītus dienesta (amata) pienākumus,</w:t>
            </w:r>
            <w:proofErr w:type="gramEnd"/>
            <w:r w:rsidRPr="00FE7898">
              <w:rPr>
                <w:lang w:eastAsia="en-US"/>
              </w:rPr>
              <w:t xml:space="preserve"> un guvusi ievainojumu vai sakropļojumu vai tās veselībai ir nodarīts citāds kaitējums (izņemot arodslimību)</w:t>
            </w:r>
            <w:r w:rsidR="005A1B50" w:rsidRPr="00FE7898">
              <w:rPr>
                <w:lang w:eastAsia="en-US"/>
              </w:rPr>
              <w:t>, kā arī sakārtot un padarīt labvēlīgāku personām sociālo garantiju regulējumu.</w:t>
            </w:r>
          </w:p>
          <w:p w14:paraId="454BF77E" w14:textId="7C01ADFE" w:rsidR="005A1B50" w:rsidRPr="00FE7898" w:rsidRDefault="005A1B50" w:rsidP="002E1CAD">
            <w:pPr>
              <w:pStyle w:val="tv213"/>
              <w:tabs>
                <w:tab w:val="right" w:pos="5782"/>
              </w:tabs>
              <w:spacing w:before="0" w:beforeAutospacing="0" w:after="0" w:afterAutospacing="0"/>
              <w:ind w:firstLine="720"/>
              <w:jc w:val="both"/>
              <w:rPr>
                <w:u w:val="single"/>
                <w:lang w:eastAsia="en-US"/>
              </w:rPr>
            </w:pPr>
            <w:r w:rsidRPr="00FE7898">
              <w:rPr>
                <w:lang w:eastAsia="en-US"/>
              </w:rPr>
              <w:t>Projekts paredz:</w:t>
            </w:r>
            <w:r w:rsidR="002E1CAD" w:rsidRPr="00FE7898">
              <w:rPr>
                <w:lang w:eastAsia="en-US"/>
              </w:rPr>
              <w:tab/>
            </w:r>
          </w:p>
          <w:p w14:paraId="5784476C" w14:textId="5E0CBDE6" w:rsidR="000F2A4A" w:rsidRPr="00FE7898" w:rsidRDefault="005A1B50" w:rsidP="00FA0150">
            <w:pPr>
              <w:pStyle w:val="tv213"/>
              <w:spacing w:before="0" w:beforeAutospacing="0" w:after="0" w:afterAutospacing="0"/>
              <w:ind w:firstLine="720"/>
              <w:jc w:val="both"/>
              <w:rPr>
                <w:u w:val="single"/>
                <w:lang w:eastAsia="en-US"/>
              </w:rPr>
            </w:pPr>
            <w:r w:rsidRPr="00FE7898">
              <w:rPr>
                <w:lang w:eastAsia="en-US"/>
              </w:rPr>
              <w:t>- l</w:t>
            </w:r>
            <w:r w:rsidR="00FA0150" w:rsidRPr="00FE7898">
              <w:rPr>
                <w:lang w:eastAsia="en-US"/>
              </w:rPr>
              <w:t xml:space="preserve">ai Iekšlietu ministrijas sistēmas iestāžu un Ieslodzījuma vietu pārvaldes amatpersonas ar speciālo dienesta pakāpi laulātais un lejupējie, bet, ja lejupējo nav, tad tuvākās pakāpes augšupējie radinieki saņemtu vienreizēju pabalstu 12 mēnešalgu apmērā, bet ne </w:t>
            </w:r>
            <w:proofErr w:type="gramStart"/>
            <w:r w:rsidR="00FA0150" w:rsidRPr="00FE7898">
              <w:rPr>
                <w:lang w:eastAsia="en-US"/>
              </w:rPr>
              <w:t>mazāku kā</w:t>
            </w:r>
            <w:proofErr w:type="gramEnd"/>
            <w:r w:rsidR="00FA0150" w:rsidRPr="00FE7898">
              <w:rPr>
                <w:lang w:eastAsia="en-US"/>
              </w:rPr>
              <w:t xml:space="preserve"> 10 000 </w:t>
            </w:r>
            <w:proofErr w:type="spellStart"/>
            <w:r w:rsidR="00FA0150" w:rsidRPr="00FE7898">
              <w:rPr>
                <w:i/>
                <w:lang w:eastAsia="en-US"/>
              </w:rPr>
              <w:t>euro</w:t>
            </w:r>
            <w:proofErr w:type="spellEnd"/>
            <w:r w:rsidR="00FA0150" w:rsidRPr="00FE7898">
              <w:rPr>
                <w:lang w:eastAsia="en-US"/>
              </w:rPr>
              <w:t xml:space="preserve"> amatpersonas ar speciālo dienesta pakāpi nāves gadījumā, sešu mēnešu laikā iestādei iesniedz iesniegumu.</w:t>
            </w:r>
            <w:r w:rsidR="00DA3EC5" w:rsidRPr="00FE7898">
              <w:rPr>
                <w:lang w:eastAsia="en-US"/>
              </w:rPr>
              <w:t xml:space="preserve"> Iesnieguma iesniegšanas termiņš</w:t>
            </w:r>
            <w:r w:rsidRPr="00FE7898">
              <w:rPr>
                <w:lang w:eastAsia="en-US"/>
              </w:rPr>
              <w:t xml:space="preserve"> –</w:t>
            </w:r>
            <w:r w:rsidR="00DA3EC5" w:rsidRPr="00FE7898">
              <w:rPr>
                <w:lang w:eastAsia="en-US"/>
              </w:rPr>
              <w:t xml:space="preserve"> seši mēneši </w:t>
            </w:r>
            <w:r w:rsidRPr="00FE7898">
              <w:rPr>
                <w:lang w:eastAsia="en-US"/>
              </w:rPr>
              <w:t>–</w:t>
            </w:r>
            <w:r w:rsidR="00DA3EC5" w:rsidRPr="00FE7898">
              <w:rPr>
                <w:lang w:eastAsia="en-US"/>
              </w:rPr>
              <w:t xml:space="preserve"> ir noteikts tāds pats</w:t>
            </w:r>
            <w:r w:rsidRPr="00FE7898">
              <w:rPr>
                <w:lang w:eastAsia="en-US"/>
              </w:rPr>
              <w:t>,</w:t>
            </w:r>
            <w:r w:rsidR="00DA3EC5" w:rsidRPr="00FE7898">
              <w:rPr>
                <w:lang w:eastAsia="en-US"/>
              </w:rPr>
              <w:t xml:space="preserve"> kā gadījumā, ja amatpersona ar speciālo dienesta pakāpi ir gājusi bojā</w:t>
            </w:r>
            <w:r w:rsidRPr="00FE7898">
              <w:rPr>
                <w:lang w:eastAsia="en-US"/>
              </w:rPr>
              <w:t>,</w:t>
            </w:r>
            <w:r w:rsidR="00DA3EC5" w:rsidRPr="00FE7898">
              <w:rPr>
                <w:lang w:eastAsia="en-US"/>
              </w:rPr>
              <w:t xml:space="preserve"> pildot ar dzīvības un veselības apdraudējumu saistītus dienesta pienākumus</w:t>
            </w:r>
            <w:r w:rsidR="00172FAF" w:rsidRPr="00FE7898">
              <w:rPr>
                <w:lang w:eastAsia="en-US"/>
              </w:rPr>
              <w:t xml:space="preserve"> (23.punkta redakcija)</w:t>
            </w:r>
            <w:r w:rsidR="00DA3EC5" w:rsidRPr="00FE7898">
              <w:rPr>
                <w:lang w:eastAsia="en-US"/>
              </w:rPr>
              <w:t>, un</w:t>
            </w:r>
            <w:proofErr w:type="gramStart"/>
            <w:r w:rsidR="00DA3EC5" w:rsidRPr="00FE7898">
              <w:rPr>
                <w:lang w:eastAsia="en-US"/>
              </w:rPr>
              <w:t xml:space="preserve"> tas ir samazināts no viena gada līdz sešiem mēnešiem bojāgājušās personas</w:t>
            </w:r>
            <w:proofErr w:type="gramEnd"/>
            <w:r w:rsidR="00DA3EC5" w:rsidRPr="00FE7898">
              <w:rPr>
                <w:lang w:eastAsia="en-US"/>
              </w:rPr>
              <w:t xml:space="preserve"> laulātā un radinieku interesēs, lai minētais pabalsts tiktu izmaksāts ātrāk. </w:t>
            </w:r>
            <w:r w:rsidR="000B528F" w:rsidRPr="00FE7898">
              <w:rPr>
                <w:lang w:eastAsia="en-US"/>
              </w:rPr>
              <w:t>P</w:t>
            </w:r>
            <w:r w:rsidR="00DA3EC5" w:rsidRPr="00FE7898">
              <w:rPr>
                <w:lang w:eastAsia="en-US"/>
              </w:rPr>
              <w:t>ašreizējais regulējums ar pieteikšanās termiņu</w:t>
            </w:r>
            <w:r w:rsidR="00DA3EC5" w:rsidRPr="00FE7898">
              <w:rPr>
                <w:u w:val="single"/>
                <w:lang w:eastAsia="en-US"/>
              </w:rPr>
              <w:t xml:space="preserve"> </w:t>
            </w:r>
            <w:r w:rsidR="00DA3EC5" w:rsidRPr="00FE7898">
              <w:rPr>
                <w:lang w:eastAsia="en-US"/>
              </w:rPr>
              <w:t xml:space="preserve">viens gads nozīmē, ka iestādei ir jāgaida </w:t>
            </w:r>
            <w:r w:rsidRPr="00FE7898">
              <w:rPr>
                <w:lang w:eastAsia="en-US"/>
              </w:rPr>
              <w:t xml:space="preserve">pilns </w:t>
            </w:r>
            <w:r w:rsidR="00DA3EC5" w:rsidRPr="00FE7898">
              <w:rPr>
                <w:lang w:eastAsia="en-US"/>
              </w:rPr>
              <w:t>gads, lai sa</w:t>
            </w:r>
            <w:r w:rsidRPr="00FE7898">
              <w:rPr>
                <w:lang w:eastAsia="en-US"/>
              </w:rPr>
              <w:t>ņemtu</w:t>
            </w:r>
            <w:r w:rsidR="00DA3EC5" w:rsidRPr="00FE7898">
              <w:rPr>
                <w:lang w:eastAsia="en-US"/>
              </w:rPr>
              <w:t xml:space="preserve"> visus iespējamos pieteikumus, un tikai pēc tam uzsāktu lēmumu pieņemšanu, kas ir uzskatāms par nesamērīgi ilgu laiku.</w:t>
            </w:r>
            <w:r w:rsidR="00FE77F0" w:rsidRPr="00FE7898">
              <w:rPr>
                <w:lang w:eastAsia="en-US"/>
              </w:rPr>
              <w:t xml:space="preserve"> </w:t>
            </w:r>
            <w:r w:rsidR="00DA3EC5" w:rsidRPr="00FE7898">
              <w:rPr>
                <w:lang w:eastAsia="en-US"/>
              </w:rPr>
              <w:t>Jaunais regulējums nodrošinās, ka gada laikā no nelaimes gadījuma brīža pabalst</w:t>
            </w:r>
            <w:r w:rsidR="000B528F" w:rsidRPr="00FE7898">
              <w:rPr>
                <w:lang w:eastAsia="en-US"/>
              </w:rPr>
              <w:t>a</w:t>
            </w:r>
            <w:r w:rsidR="00DA3EC5" w:rsidRPr="00FE7898">
              <w:rPr>
                <w:lang w:eastAsia="en-US"/>
              </w:rPr>
              <w:t xml:space="preserve"> izmaksas process ir pabeigts</w:t>
            </w:r>
            <w:r w:rsidRPr="00FE7898">
              <w:rPr>
                <w:lang w:eastAsia="en-US"/>
              </w:rPr>
              <w:t>;</w:t>
            </w:r>
          </w:p>
          <w:p w14:paraId="08B4EBAE" w14:textId="54CF9A6C" w:rsidR="00FA0150" w:rsidRPr="00FE7898" w:rsidRDefault="005A1B50" w:rsidP="00FA0150">
            <w:pPr>
              <w:pStyle w:val="tv213"/>
              <w:spacing w:before="0" w:beforeAutospacing="0" w:after="0" w:afterAutospacing="0"/>
              <w:ind w:firstLine="720"/>
              <w:jc w:val="both"/>
              <w:rPr>
                <w:lang w:eastAsia="en-US"/>
              </w:rPr>
            </w:pPr>
            <w:r w:rsidRPr="00FE7898">
              <w:rPr>
                <w:lang w:eastAsia="en-US"/>
              </w:rPr>
              <w:t xml:space="preserve">- papildināt </w:t>
            </w:r>
            <w:r w:rsidR="000F2A4A" w:rsidRPr="00FE7898">
              <w:rPr>
                <w:lang w:eastAsia="en-US"/>
              </w:rPr>
              <w:t>noteikum</w:t>
            </w:r>
            <w:r w:rsidRPr="00FE7898">
              <w:rPr>
                <w:lang w:eastAsia="en-US"/>
              </w:rPr>
              <w:t>us</w:t>
            </w:r>
            <w:r w:rsidR="000F2A4A" w:rsidRPr="00FE7898">
              <w:rPr>
                <w:lang w:eastAsia="en-US"/>
              </w:rPr>
              <w:t xml:space="preserve"> </w:t>
            </w:r>
            <w:r w:rsidRPr="00FE7898">
              <w:rPr>
                <w:lang w:eastAsia="en-US"/>
              </w:rPr>
              <w:t xml:space="preserve">Nr.565 </w:t>
            </w:r>
            <w:r w:rsidR="000F2A4A" w:rsidRPr="00FE7898">
              <w:rPr>
                <w:lang w:eastAsia="en-US"/>
              </w:rPr>
              <w:t>ar jaunu regulējumu (5.</w:t>
            </w:r>
            <w:r w:rsidR="000F2A4A" w:rsidRPr="00FE7898">
              <w:rPr>
                <w:vertAlign w:val="superscript"/>
                <w:lang w:eastAsia="en-US"/>
              </w:rPr>
              <w:t>2</w:t>
            </w:r>
            <w:r w:rsidR="000F2A4A" w:rsidRPr="00FE7898">
              <w:rPr>
                <w:lang w:eastAsia="en-US"/>
              </w:rPr>
              <w:t xml:space="preserve"> un 23.punkt</w:t>
            </w:r>
            <w:r w:rsidR="00F23834" w:rsidRPr="00FE7898">
              <w:rPr>
                <w:lang w:eastAsia="en-US"/>
              </w:rPr>
              <w:t>s</w:t>
            </w:r>
            <w:r w:rsidR="000F2A4A" w:rsidRPr="00FE7898">
              <w:rPr>
                <w:lang w:eastAsia="en-US"/>
              </w:rPr>
              <w:t xml:space="preserve">) ar mērķi aizsargāt bojā gājušās amatpersonas iespējamos radiniekus īpašos gadījumos, ja jebkādu iemeslu dēļ nav bijis juridiski fiksēts radniecības fakts. Jaunais regulējums nevis izslēdz šīs personas no pabalsta saņēmēju loka, bet dod iespēju informēt iestādi par esošo situāciju un saņemt individuālu termiņu, kādā attiecīgos juridiskos </w:t>
            </w:r>
            <w:r w:rsidR="00430403" w:rsidRPr="00FE7898">
              <w:rPr>
                <w:lang w:eastAsia="en-US"/>
              </w:rPr>
              <w:t xml:space="preserve">aspektus </w:t>
            </w:r>
            <w:r w:rsidR="000F2A4A" w:rsidRPr="00FE7898">
              <w:rPr>
                <w:lang w:eastAsia="en-US"/>
              </w:rPr>
              <w:t xml:space="preserve">korekti sakārtot. Regulējums attiecas uz </w:t>
            </w:r>
            <w:r w:rsidR="000B528F" w:rsidRPr="00FE7898">
              <w:rPr>
                <w:lang w:eastAsia="en-US"/>
              </w:rPr>
              <w:t>gadījum</w:t>
            </w:r>
            <w:r w:rsidR="000F2A4A" w:rsidRPr="00FE7898">
              <w:rPr>
                <w:lang w:eastAsia="en-US"/>
              </w:rPr>
              <w:t>iem</w:t>
            </w:r>
            <w:r w:rsidR="000B528F" w:rsidRPr="00FE7898">
              <w:rPr>
                <w:lang w:eastAsia="en-US"/>
              </w:rPr>
              <w:t>,</w:t>
            </w:r>
            <w:r w:rsidR="00FA0150" w:rsidRPr="00FE7898">
              <w:rPr>
                <w:lang w:eastAsia="en-US"/>
              </w:rPr>
              <w:t xml:space="preserve"> ja minēto iesniegumu objektīvu apstākļu dēļ nav iespējams iesniegt sešu mēnešu laikā (piemēram, </w:t>
            </w:r>
            <w:r w:rsidR="00430403" w:rsidRPr="00FE7898">
              <w:rPr>
                <w:lang w:eastAsia="en-US"/>
              </w:rPr>
              <w:t xml:space="preserve">ja amatpersonas nāves brīdī nav piedzimis bērns un laulība nav bijusi reģistrēta, </w:t>
            </w:r>
            <w:r w:rsidR="00FA0150" w:rsidRPr="00FE7898">
              <w:rPr>
                <w:lang w:eastAsia="en-US"/>
              </w:rPr>
              <w:t>paternitātes noteikšana</w:t>
            </w:r>
            <w:r w:rsidR="00C409BA" w:rsidRPr="00FE7898">
              <w:rPr>
                <w:lang w:eastAsia="en-US"/>
              </w:rPr>
              <w:t>s gadījumā</w:t>
            </w:r>
            <w:r w:rsidR="00FA0150" w:rsidRPr="00FE7898">
              <w:rPr>
                <w:lang w:eastAsia="en-US"/>
              </w:rPr>
              <w:t xml:space="preserve">), iesniegumu var iesniegt gada laikā pēc amatpersonas ar speciālo dienesta pakāpi nāves, ja iestāde sešu mēnešu laikā no amatpersonas ar speciālo dienesta pakāpi nāves ir rakstveidā informēta par attiecīgajiem apstākļiem. Savukārt iestāde, ņemot vērā iesniegumā norādītos objektīvos apstākļus, nosaka termiņu radniecību apliecinoša dokumenta kopijas iesniegšanai. Attiecīgi pabalstu amatpersonas ar speciālo dienesta pakāpi nāves gadījumā piešķir vienādās daļās amatpersonas laulātajam un </w:t>
            </w:r>
            <w:r w:rsidR="00FA0150" w:rsidRPr="00FE7898">
              <w:rPr>
                <w:lang w:eastAsia="en-US"/>
              </w:rPr>
              <w:lastRenderedPageBreak/>
              <w:t>lejupējiem, bet</w:t>
            </w:r>
            <w:r w:rsidR="00777C69" w:rsidRPr="00FE7898">
              <w:rPr>
                <w:lang w:eastAsia="en-US"/>
              </w:rPr>
              <w:t>,</w:t>
            </w:r>
            <w:r w:rsidR="00FA0150" w:rsidRPr="00FE7898">
              <w:rPr>
                <w:lang w:eastAsia="en-US"/>
              </w:rPr>
              <w:t xml:space="preserve"> ja lejupējo nav, tad tuvākās pakāpes augšupējiem radiniekiem, kuri ir pieteikušies pabalsta saņemšanai šo noteikumu noteiktajā termiņā. Attiecīgi iestāde mēneša laikā pēc iesnieguma iesniegšanas termiņa beigām pieņem lēmumu par pabalsta amatpersonas ar speciālo dienesta pakāpi nāves gadījumā vai tās daļas piešķiršanu, norādot piešķirtā pabalsta apmēru, vai atteikumu piešķirt pabalstu. </w:t>
            </w:r>
            <w:r w:rsidR="003665C6" w:rsidRPr="00FE7898">
              <w:rPr>
                <w:lang w:eastAsia="en-US"/>
              </w:rPr>
              <w:t>G</w:t>
            </w:r>
            <w:r w:rsidR="00FA0150" w:rsidRPr="00FE7898">
              <w:rPr>
                <w:lang w:eastAsia="en-US"/>
              </w:rPr>
              <w:t>adījumā, kad iestāde ir informēta par objektīviem apstākļiem iesnieguma neiesniegšanai noteiktajā termiņā, pabalsts vai tā daļa tiek rezervēta līdz brīdim, kad tiek iesniegta radniecību apliecinoša dokument</w:t>
            </w:r>
            <w:r w:rsidR="00777C69" w:rsidRPr="00FE7898">
              <w:rPr>
                <w:lang w:eastAsia="en-US"/>
              </w:rPr>
              <w:t>a</w:t>
            </w:r>
            <w:r w:rsidR="00FA0150" w:rsidRPr="00FE7898">
              <w:rPr>
                <w:lang w:eastAsia="en-US"/>
              </w:rPr>
              <w:t xml:space="preserve"> kopija. Gadījumā, ja radniecību apliecinoša dokumentu kopija netiek iesniegta noteiktajā termiņā, iestāde pieņem lēmumu par atteikumu piešķirt pabalstu amatpersonas ar speciālo dienesta pakāpi nāves gadījumā vai tā daļu</w:t>
            </w:r>
            <w:r w:rsidR="00777C69" w:rsidRPr="00FE7898">
              <w:rPr>
                <w:lang w:eastAsia="en-US"/>
              </w:rPr>
              <w:t>,</w:t>
            </w:r>
            <w:r w:rsidR="00FA0150" w:rsidRPr="00FE7898">
              <w:rPr>
                <w:lang w:eastAsia="en-US"/>
              </w:rPr>
              <w:t xml:space="preserve"> un pabalsta vai tās daļa summa tiek proporcionāli izmaksāta citiem pabalsta saņēmējiem, ja tādi ir. Pabalstu amatpersonas ar speciālo dienesta pakāpi nāves gadījumā vai attiecīgās tā daļas summu var izmaksāt divās vienādās daļās, pirmo daļu izmaksājot divu mēnešu laikā pēc lēmuma par pabalsta piešķiršanu pieņemšanas, un otro daļu izmaksājot ne vēlāk kā sešu mēnešu laikā pēc lēmuma par pabalsta piešķiršanu pieņemšanas, pārskaitot pabalstu vai tā daļas summu uz laulātā un lejupējo, bet</w:t>
            </w:r>
            <w:r w:rsidR="00777C69" w:rsidRPr="00FE7898">
              <w:rPr>
                <w:lang w:eastAsia="en-US"/>
              </w:rPr>
              <w:t>,</w:t>
            </w:r>
            <w:r w:rsidR="00FA0150" w:rsidRPr="00FE7898">
              <w:rPr>
                <w:lang w:eastAsia="en-US"/>
              </w:rPr>
              <w:t xml:space="preserve"> ja lejupējo nav, tad tuvākās pakāpes augšupējo radinieku norādīto kontu kredītiestādē</w:t>
            </w:r>
            <w:r w:rsidR="004B3E87" w:rsidRPr="00FE7898">
              <w:rPr>
                <w:lang w:eastAsia="en-US"/>
              </w:rPr>
              <w:t>;</w:t>
            </w:r>
            <w:r w:rsidR="00FA0150" w:rsidRPr="00FE7898">
              <w:rPr>
                <w:lang w:eastAsia="en-US"/>
              </w:rPr>
              <w:t xml:space="preserve"> </w:t>
            </w:r>
          </w:p>
          <w:p w14:paraId="1FC225D7" w14:textId="1802C47A" w:rsidR="004B32B3" w:rsidRPr="00FE7898" w:rsidRDefault="004B3E87" w:rsidP="004B32B3">
            <w:pPr>
              <w:pStyle w:val="tv213"/>
              <w:spacing w:before="0" w:beforeAutospacing="0" w:after="0" w:afterAutospacing="0"/>
              <w:ind w:firstLine="720"/>
              <w:jc w:val="both"/>
              <w:rPr>
                <w:lang w:eastAsia="en-US"/>
              </w:rPr>
            </w:pPr>
            <w:r w:rsidRPr="00FE7898">
              <w:rPr>
                <w:lang w:eastAsia="en-US"/>
              </w:rPr>
              <w:t>- t</w:t>
            </w:r>
            <w:r w:rsidR="00FA0150" w:rsidRPr="00FE7898">
              <w:rPr>
                <w:lang w:eastAsia="en-US"/>
              </w:rPr>
              <w:t>ād</w:t>
            </w:r>
            <w:r w:rsidRPr="00FE7898">
              <w:rPr>
                <w:lang w:eastAsia="en-US"/>
              </w:rPr>
              <w:t xml:space="preserve">u pašu </w:t>
            </w:r>
            <w:r w:rsidR="00FA0150" w:rsidRPr="00FE7898">
              <w:rPr>
                <w:lang w:eastAsia="en-US"/>
              </w:rPr>
              <w:t>regulējum</w:t>
            </w:r>
            <w:r w:rsidRPr="00FE7898">
              <w:rPr>
                <w:lang w:eastAsia="en-US"/>
              </w:rPr>
              <w:t>u</w:t>
            </w:r>
            <w:r w:rsidR="00FA0150" w:rsidRPr="00FE7898">
              <w:rPr>
                <w:lang w:eastAsia="en-US"/>
              </w:rPr>
              <w:t xml:space="preserve"> attiecinā</w:t>
            </w:r>
            <w:r w:rsidRPr="00FE7898">
              <w:rPr>
                <w:lang w:eastAsia="en-US"/>
              </w:rPr>
              <w:t>t arī</w:t>
            </w:r>
            <w:r w:rsidR="00FA0150" w:rsidRPr="00FE7898">
              <w:rPr>
                <w:lang w:eastAsia="en-US"/>
              </w:rPr>
              <w:t xml:space="preserve"> uz vienreizēja pabalsta 100 000 </w:t>
            </w:r>
            <w:proofErr w:type="spellStart"/>
            <w:r w:rsidR="00FA0150" w:rsidRPr="00FE7898">
              <w:rPr>
                <w:i/>
                <w:lang w:eastAsia="en-US"/>
              </w:rPr>
              <w:t>euro</w:t>
            </w:r>
            <w:proofErr w:type="spellEnd"/>
            <w:r w:rsidR="00FA0150" w:rsidRPr="00FE7898">
              <w:rPr>
                <w:lang w:eastAsia="en-US"/>
              </w:rPr>
              <w:t xml:space="preserve"> apmērā saņemšanu, ja amatpersonas (darbinieka), izņemot karavīrus, amata (dienesta, darba) pienākumi ir saistīti ar dzīvības vai veselības apdraudējumu (risku) un tās gājušas bojā vai mirušas gada laikā pēc nelaimes gadījuma tajā gūto veselības bojājumu dēļ</w:t>
            </w:r>
            <w:r w:rsidR="00C64847" w:rsidRPr="00FE7898">
              <w:rPr>
                <w:lang w:eastAsia="en-US"/>
              </w:rPr>
              <w:t>;</w:t>
            </w:r>
          </w:p>
          <w:p w14:paraId="2E2A5F01" w14:textId="1E341FA7" w:rsidR="00762F26" w:rsidRPr="00FE7898" w:rsidRDefault="00C64847" w:rsidP="00C64847">
            <w:pPr>
              <w:pStyle w:val="tv213"/>
              <w:spacing w:before="0" w:beforeAutospacing="0" w:after="0" w:afterAutospacing="0"/>
              <w:ind w:firstLine="720"/>
              <w:jc w:val="both"/>
              <w:rPr>
                <w:u w:val="single"/>
                <w:lang w:eastAsia="en-US"/>
              </w:rPr>
            </w:pPr>
            <w:r w:rsidRPr="00FE7898">
              <w:rPr>
                <w:lang w:eastAsia="en-US"/>
              </w:rPr>
              <w:t>- ņ</w:t>
            </w:r>
            <w:r w:rsidR="00762F26" w:rsidRPr="00FE7898">
              <w:rPr>
                <w:lang w:eastAsia="en-US"/>
              </w:rPr>
              <w:t xml:space="preserve">emot vērā, ka projekts izstrādāts </w:t>
            </w:r>
            <w:r w:rsidR="00717B91" w:rsidRPr="00FE7898">
              <w:rPr>
                <w:lang w:eastAsia="en-US"/>
              </w:rPr>
              <w:t xml:space="preserve">arī </w:t>
            </w:r>
            <w:r w:rsidR="00762F26" w:rsidRPr="00FE7898">
              <w:rPr>
                <w:lang w:eastAsia="en-US"/>
              </w:rPr>
              <w:t xml:space="preserve">saskaņā ar Latvijas Republikas Saeimas </w:t>
            </w:r>
            <w:proofErr w:type="gramStart"/>
            <w:r w:rsidR="00762F26" w:rsidRPr="00FE7898">
              <w:rPr>
                <w:lang w:eastAsia="en-US"/>
              </w:rPr>
              <w:t>2013.gada</w:t>
            </w:r>
            <w:proofErr w:type="gramEnd"/>
            <w:r w:rsidR="00762F26" w:rsidRPr="00FE7898">
              <w:rPr>
                <w:lang w:eastAsia="en-US"/>
              </w:rPr>
              <w:t xml:space="preserve"> 19.decembrī pieņemtajiem grozījumiem  Atlīdzības likumā, kas</w:t>
            </w:r>
            <w:r w:rsidR="00717B91" w:rsidRPr="00FE7898">
              <w:rPr>
                <w:lang w:eastAsia="en-US"/>
              </w:rPr>
              <w:t>,</w:t>
            </w:r>
            <w:r w:rsidR="00762F26" w:rsidRPr="00FE7898">
              <w:rPr>
                <w:lang w:eastAsia="en-US"/>
              </w:rPr>
              <w:t xml:space="preserve"> savukārt</w:t>
            </w:r>
            <w:r w:rsidR="00717B91" w:rsidRPr="00FE7898">
              <w:rPr>
                <w:lang w:eastAsia="en-US"/>
              </w:rPr>
              <w:t>,</w:t>
            </w:r>
            <w:r w:rsidR="00762F26" w:rsidRPr="00FE7898">
              <w:rPr>
                <w:lang w:eastAsia="en-US"/>
              </w:rPr>
              <w:t xml:space="preserve"> ir likumdevēja reakcija saistībā ar 2013.gada 21.novembrī notikušo traģēdiju Zolitūdē lielveikalā MAXIMA, normatīvais regulējums, kas ir labvēlīgāks personām kā līdzšinējais spēkā esošais regulējums</w:t>
            </w:r>
            <w:r w:rsidR="00270572" w:rsidRPr="00FE7898">
              <w:rPr>
                <w:lang w:eastAsia="en-US"/>
              </w:rPr>
              <w:t xml:space="preserve">, tiek attiecināts uz nelaimes gadījumiem, kas notikuši </w:t>
            </w:r>
            <w:r w:rsidR="00221D5F" w:rsidRPr="00FE7898">
              <w:rPr>
                <w:lang w:eastAsia="en-US"/>
              </w:rPr>
              <w:t>laika posmā no</w:t>
            </w:r>
            <w:r w:rsidR="00270572" w:rsidRPr="00FE7898">
              <w:rPr>
                <w:lang w:eastAsia="en-US"/>
              </w:rPr>
              <w:t xml:space="preserve"> norād</w:t>
            </w:r>
            <w:r w:rsidR="00221D5F" w:rsidRPr="00FE7898">
              <w:rPr>
                <w:lang w:eastAsia="en-US"/>
              </w:rPr>
              <w:t>ītā datuma</w:t>
            </w:r>
            <w:r w:rsidR="00942BC7" w:rsidRPr="00FE7898">
              <w:rPr>
                <w:lang w:eastAsia="en-US"/>
              </w:rPr>
              <w:t>;</w:t>
            </w:r>
          </w:p>
          <w:p w14:paraId="76326259" w14:textId="0D41E591" w:rsidR="00FA0150" w:rsidRPr="00FE7898" w:rsidRDefault="00942BC7" w:rsidP="004B32B3">
            <w:pPr>
              <w:pStyle w:val="tv213"/>
              <w:spacing w:before="0" w:beforeAutospacing="0" w:after="0" w:afterAutospacing="0"/>
              <w:ind w:firstLine="720"/>
              <w:jc w:val="both"/>
              <w:rPr>
                <w:lang w:eastAsia="en-US"/>
              </w:rPr>
            </w:pPr>
            <w:r w:rsidRPr="00FE7898">
              <w:rPr>
                <w:lang w:eastAsia="en-US"/>
              </w:rPr>
              <w:t xml:space="preserve">- </w:t>
            </w:r>
            <w:r w:rsidR="00FA0150" w:rsidRPr="00FE7898">
              <w:rPr>
                <w:lang w:eastAsia="en-US"/>
              </w:rPr>
              <w:t xml:space="preserve">vienreizēja pabalsta Iekšlietu ministrijas sistēmas iestāžu un Ieslodzījuma vietu pārvaldes amatpersonai ar speciālo dienesta pakāpi, ja tā cietusi nelaimes gadījumā, bet nav </w:t>
            </w:r>
            <w:proofErr w:type="gramStart"/>
            <w:r w:rsidR="00FA0150" w:rsidRPr="00FE7898">
              <w:rPr>
                <w:lang w:eastAsia="en-US"/>
              </w:rPr>
              <w:t>pildījusi ar dzīvības vai veselības apdraudējumu (risku) saistītus dienesta (amata) pienākumus,</w:t>
            </w:r>
            <w:proofErr w:type="gramEnd"/>
            <w:r w:rsidR="00FA0150" w:rsidRPr="00FE7898">
              <w:rPr>
                <w:lang w:eastAsia="en-US"/>
              </w:rPr>
              <w:t xml:space="preserve"> un guvusi ievainojumu vai sakropļojumu vai tās veselībai ir nodarīts citāds kaitējums (izņemot arodslimību), piešķiršanas un izmaks</w:t>
            </w:r>
            <w:r w:rsidR="00777C69" w:rsidRPr="00FE7898">
              <w:rPr>
                <w:lang w:eastAsia="en-US"/>
              </w:rPr>
              <w:t>a</w:t>
            </w:r>
            <w:r w:rsidR="00FA0150" w:rsidRPr="00FE7898">
              <w:rPr>
                <w:lang w:eastAsia="en-US"/>
              </w:rPr>
              <w:t>s kārtību. Gadījumā, ja amatpersona ar speciālo dienesta pakāpi ir cietusi nelaimes gadījumā, kas nav notici</w:t>
            </w:r>
            <w:r w:rsidRPr="00FE7898">
              <w:rPr>
                <w:lang w:eastAsia="en-US"/>
              </w:rPr>
              <w:t>s</w:t>
            </w:r>
            <w:r w:rsidR="00777C69" w:rsidRPr="00FE7898">
              <w:rPr>
                <w:lang w:eastAsia="en-US"/>
              </w:rPr>
              <w:t>,</w:t>
            </w:r>
            <w:r w:rsidR="00FA0150" w:rsidRPr="00FE7898">
              <w:rPr>
                <w:lang w:eastAsia="en-US"/>
              </w:rPr>
              <w:t xml:space="preserve"> </w:t>
            </w:r>
            <w:r w:rsidR="00FA0150" w:rsidRPr="00FE7898">
              <w:rPr>
                <w:lang w:eastAsia="en-US"/>
              </w:rPr>
              <w:lastRenderedPageBreak/>
              <w:t>pildot ar dzīvības vai veselības apdraudējumu (risku) saistītus dienesta (amata) pienākumus, ir guvusi ievainojumu vai sakropļojumu vai tās veselībai nodarīts citāds kaitējums (izņemot arodslimību) un tai 12 mēnešu laikā pēc nelaimes gadījuma Veselības un darbspēju ekspertīzes ārstu valsts komisija noteikusi invaliditāti uz laiku, ne mazāku par vienu gadu, ne vēlāk kā mēneša laikā pēc invaliditātes grupas piešķiršanas iesniedz iesniegumu iestādei. Savukārt, ja amatpersona ar speciālo dienesta pakāpi ir cietusi nelaimes gadījumā, kas nav noticis</w:t>
            </w:r>
            <w:r w:rsidR="00777C69" w:rsidRPr="00FE7898">
              <w:rPr>
                <w:lang w:eastAsia="en-US"/>
              </w:rPr>
              <w:t>,</w:t>
            </w:r>
            <w:r w:rsidR="00FA0150" w:rsidRPr="00FE7898">
              <w:rPr>
                <w:lang w:eastAsia="en-US"/>
              </w:rPr>
              <w:t xml:space="preserve"> pildot ar dzīvības vai veselības apdraudējumu (risku) saistītus dienesta (amata) pienākumus, ir guvusi smagu, vidēju vai vieglu </w:t>
            </w:r>
            <w:r w:rsidR="00777C69" w:rsidRPr="00FE7898">
              <w:rPr>
                <w:lang w:eastAsia="en-US"/>
              </w:rPr>
              <w:t>(</w:t>
            </w:r>
            <w:r w:rsidR="00FA0150" w:rsidRPr="00FE7898">
              <w:rPr>
                <w:lang w:eastAsia="en-US"/>
              </w:rPr>
              <w:t>ja pārejošā darbnespēja ilgst vairāk par sešām dienām</w:t>
            </w:r>
            <w:r w:rsidR="00777C69" w:rsidRPr="00FE7898">
              <w:rPr>
                <w:lang w:eastAsia="en-US"/>
              </w:rPr>
              <w:t>)</w:t>
            </w:r>
            <w:r w:rsidR="00FA0150" w:rsidRPr="00FE7898">
              <w:rPr>
                <w:lang w:eastAsia="en-US"/>
              </w:rPr>
              <w:t xml:space="preserve"> veselības bojājumu, ne vēlāk mēneša laikā pēc darbnespējas beigšanās pēc nelaimes gadījuma iesniedz iesniegumu iestādei. Gadījumā, ja nelaimes gadījums noticis ārpus dienesta pienākumu izpildes laika, amatpersona ar speciālo dienesta pakāpi papildus minētajam iesniegumam iesniedz iestādei paskaidrojumu par notikušā nelaimes gadījuma apstākļiem, apliecinājumu, ka nepastāv Valsts un pašvaldību institūciju amatpersonu un darbinieku atlīdzības likumā noteiktie pabalstu izmaksas ierobežojumi, un ārstniecības personas izsniegtu izziņu par nelaimes gadījumā gūtajiem veselības bojājumiem</w:t>
            </w:r>
            <w:r w:rsidRPr="00FE7898">
              <w:rPr>
                <w:lang w:eastAsia="en-US"/>
              </w:rPr>
              <w:t>;</w:t>
            </w:r>
          </w:p>
          <w:p w14:paraId="79121884" w14:textId="77777777" w:rsidR="00E9479A" w:rsidRPr="00FE7898" w:rsidRDefault="00E9479A" w:rsidP="005C3D9C">
            <w:pPr>
              <w:pStyle w:val="tv213"/>
              <w:spacing w:before="0" w:beforeAutospacing="0" w:after="0" w:afterAutospacing="0"/>
              <w:jc w:val="both"/>
              <w:rPr>
                <w:lang w:eastAsia="en-US"/>
              </w:rPr>
            </w:pPr>
            <w:r w:rsidRPr="00FE7898">
              <w:rPr>
                <w:lang w:eastAsia="en-US"/>
              </w:rPr>
              <w:t xml:space="preserve">- svītrot normas, kas attiecas uz likuma </w:t>
            </w:r>
            <w:proofErr w:type="gramStart"/>
            <w:r w:rsidRPr="00FE7898">
              <w:rPr>
                <w:lang w:eastAsia="en-US"/>
              </w:rPr>
              <w:t>19.panta</w:t>
            </w:r>
            <w:proofErr w:type="gramEnd"/>
            <w:r w:rsidRPr="00FE7898">
              <w:rPr>
                <w:lang w:eastAsia="en-US"/>
              </w:rPr>
              <w:t xml:space="preserve"> 2.2 un 2.3. daļā minēto pabalstu apmēru;</w:t>
            </w:r>
          </w:p>
          <w:p w14:paraId="464371FE" w14:textId="7CEFEA40" w:rsidR="00E9479A" w:rsidRPr="00FE7898" w:rsidRDefault="00E9479A" w:rsidP="005C3D9C">
            <w:pPr>
              <w:pStyle w:val="tv213"/>
              <w:spacing w:before="0" w:beforeAutospacing="0" w:after="0" w:afterAutospacing="0"/>
              <w:jc w:val="both"/>
              <w:rPr>
                <w:lang w:eastAsia="en-US"/>
              </w:rPr>
            </w:pPr>
            <w:r w:rsidRPr="00FE7898">
              <w:rPr>
                <w:lang w:eastAsia="en-US"/>
              </w:rPr>
              <w:t>- tehniski precizēt regulējumu attiecībā uz personu loku, kuras ir tiesīgas saņemt pabalstu sakarā ar amatpersonas (darbinieka) bojāeju</w:t>
            </w:r>
            <w:r w:rsidR="00942BC7" w:rsidRPr="00FE7898">
              <w:rPr>
                <w:lang w:eastAsia="en-US"/>
              </w:rPr>
              <w:t>.</w:t>
            </w:r>
          </w:p>
          <w:p w14:paraId="44638252" w14:textId="77777777" w:rsidR="00FE7898" w:rsidRPr="00FE7898" w:rsidRDefault="00FE7898" w:rsidP="00FE7898">
            <w:pPr>
              <w:pStyle w:val="tv213"/>
              <w:spacing w:before="0" w:beforeAutospacing="0" w:after="0" w:afterAutospacing="0"/>
              <w:jc w:val="both"/>
              <w:rPr>
                <w:lang w:eastAsia="en-US"/>
              </w:rPr>
            </w:pPr>
            <w:r w:rsidRPr="00FE7898">
              <w:rPr>
                <w:lang w:eastAsia="en-US"/>
              </w:rPr>
              <w:t>- papildināt projektu ar jauniem noslēgumu jautājumiem:</w:t>
            </w:r>
          </w:p>
          <w:p w14:paraId="388B4E91" w14:textId="11282065" w:rsidR="00FE7898" w:rsidRPr="00811808" w:rsidRDefault="00FE7898" w:rsidP="00FE7898">
            <w:pPr>
              <w:pStyle w:val="tv213"/>
              <w:spacing w:before="0" w:beforeAutospacing="0" w:after="0" w:afterAutospacing="0"/>
              <w:ind w:firstLine="721"/>
              <w:jc w:val="both"/>
              <w:rPr>
                <w:bCs/>
              </w:rPr>
            </w:pPr>
            <w:r w:rsidRPr="00811808">
              <w:rPr>
                <w:lang w:eastAsia="en-US"/>
              </w:rPr>
              <w:t xml:space="preserve">1. </w:t>
            </w:r>
            <w:proofErr w:type="gramStart"/>
            <w:r w:rsidRPr="00811808">
              <w:rPr>
                <w:lang w:eastAsia="en-US"/>
              </w:rPr>
              <w:t>2014.gada</w:t>
            </w:r>
            <w:proofErr w:type="gramEnd"/>
            <w:r w:rsidRPr="00811808">
              <w:rPr>
                <w:lang w:eastAsia="en-US"/>
              </w:rPr>
              <w:t xml:space="preserve"> 1.janvārī stājās spēkā grozījumi </w:t>
            </w:r>
            <w:r w:rsidRPr="00811808">
              <w:t xml:space="preserve">Valsts un pašvaldību institūciju amatpersonu un darbinieku atlīdzības likumā, kas paredz Iekšlietu ministrijas sistēmas iestāžu un Ieslodzījuma vietu pārvaldes amatpersonas ar speciālo </w:t>
            </w:r>
            <w:r w:rsidR="00811808">
              <w:t xml:space="preserve">dienesta pakāpi nāves gadījumā </w:t>
            </w:r>
            <w:r w:rsidRPr="00811808">
              <w:t xml:space="preserve">tās laulātais un lejupējie, bet, ja lejupējo nav, tad tuvākās pakāpes augšupējie radinieki papildus </w:t>
            </w:r>
            <w:r w:rsidR="00811808">
              <w:t>19.panta</w:t>
            </w:r>
            <w:r w:rsidRPr="00811808">
              <w:t xml:space="preserve"> pirmajā daļā noteiktajam pabalstam saņem vienreizēju pabalstu 12 mēnešalgu apmērā, bet ne mazāku kā 10 000 </w:t>
            </w:r>
            <w:proofErr w:type="spellStart"/>
            <w:r w:rsidRPr="00811808">
              <w:rPr>
                <w:i/>
                <w:iCs/>
              </w:rPr>
              <w:t>euro</w:t>
            </w:r>
            <w:proofErr w:type="spellEnd"/>
            <w:r w:rsidRPr="00811808">
              <w:t>. Vienlaikus tika paredzēts pilnvarojums Ministru kabinetam noteikt minētā pabalsta piešķiršanas un izmaksas kārtību. Ņemot vērā</w:t>
            </w:r>
            <w:r w:rsidR="00811808">
              <w:t xml:space="preserve"> to, ka noteikumi stāsies spēkā</w:t>
            </w:r>
            <w:r w:rsidRPr="00811808">
              <w:t xml:space="preserve"> </w:t>
            </w:r>
            <w:proofErr w:type="gramStart"/>
            <w:r w:rsidRPr="00811808">
              <w:t>2014.gada</w:t>
            </w:r>
            <w:proofErr w:type="gramEnd"/>
            <w:r w:rsidRPr="00811808">
              <w:t xml:space="preserve"> 1.novembrī un to, ka no 2014.gada 1.janvāra līdz 2014.gada 31.oktobrim Iekšlietu ministrijas sistēmas iestāžu un Ieslodzījuma vietu pārvaldes amatpersonas ar speciālo dienesta pakāpi laulātajam un lejupējiem, bet, ja lejupējo nav, tad tuvākās pakāpes augšupējiem radiniekiem, iespējams, ir jau radušās tiesības saņemt minēto pabalstu, līdz ar to nepieciešams noteikt pārejas regulējumu attiecībā uz tiem pabalsta saņēmējiem, kad netika noteikts regulējums par minētā pabalsta piešķiršanas un saņemšanas kārtību. Lai pārejas regulējumā </w:t>
            </w:r>
            <w:r w:rsidRPr="00811808">
              <w:lastRenderedPageBreak/>
              <w:t xml:space="preserve">noteiktu samērīgu termiņu iesnieguma iesniegšanai, atkarībā no tā, kurā datumā ir iestājusies Iekšlietu ministrijas sistēmas iestāžu un Ieslodzījuma vietu pārvaldes amatpersonas ar speciālo dienesta pakāpi nāve, termiņa aprēķināšanas pamatā tika ņemts </w:t>
            </w:r>
            <w:r w:rsidRPr="00811808">
              <w:rPr>
                <w:bCs/>
              </w:rPr>
              <w:t xml:space="preserve">pašreiz spēkā esošais noteikumu 23.punktā noteiktais viena gada iesnieguma iesniegšanas termiņš. </w:t>
            </w:r>
          </w:p>
          <w:p w14:paraId="5351F527" w14:textId="0141EDC8" w:rsidR="00FE7898" w:rsidRPr="00811808" w:rsidRDefault="00FE7898" w:rsidP="00FE7898">
            <w:pPr>
              <w:pStyle w:val="tv213"/>
              <w:spacing w:before="0" w:beforeAutospacing="0" w:after="0" w:afterAutospacing="0"/>
              <w:ind w:firstLine="721"/>
              <w:jc w:val="both"/>
            </w:pPr>
            <w:r w:rsidRPr="00811808">
              <w:rPr>
                <w:bCs/>
              </w:rPr>
              <w:t xml:space="preserve">2. </w:t>
            </w:r>
            <w:proofErr w:type="gramStart"/>
            <w:r w:rsidRPr="00811808">
              <w:rPr>
                <w:lang w:eastAsia="en-US"/>
              </w:rPr>
              <w:t>2014.gada</w:t>
            </w:r>
            <w:proofErr w:type="gramEnd"/>
            <w:r w:rsidRPr="00811808">
              <w:rPr>
                <w:lang w:eastAsia="en-US"/>
              </w:rPr>
              <w:t xml:space="preserve"> 1.janvārī stājās spēkā grozījumi </w:t>
            </w:r>
            <w:r w:rsidRPr="00811808">
              <w:t xml:space="preserve">Valsts un pašvaldību institūciju amatpersonu un darbinieku atlīdzības likumā, kas paredz, ka Iekšlietu ministrijas sistēmas iestāžu un Ieslodzījuma vietu pārvaldes amatpersona ar speciālo dienesta pakāpi saņem vienreizēju pabalstu 50 procentu apmērā no </w:t>
            </w:r>
            <w:r w:rsidR="00811808">
              <w:t>19.</w:t>
            </w:r>
            <w:r w:rsidRPr="00811808">
              <w:t>panta 2.</w:t>
            </w:r>
            <w:r w:rsidRPr="00811808">
              <w:rPr>
                <w:vertAlign w:val="superscript"/>
              </w:rPr>
              <w:t>2</w:t>
            </w:r>
            <w:r w:rsidRPr="00811808">
              <w:t xml:space="preserve"> vai 2.</w:t>
            </w:r>
            <w:r w:rsidRPr="00811808">
              <w:rPr>
                <w:vertAlign w:val="superscript"/>
              </w:rPr>
              <w:t>3</w:t>
            </w:r>
            <w:r w:rsidRPr="00811808">
              <w:t xml:space="preserve"> daļā noteiktā pabalsta, ja tā cietusi nelaimes gadījumā, bet nav pildījusi ar dzīvības vai veselības apdraudējumu (risku) saistītus dienesta (amata) pienākumus, guvusi ievainojumu vai sakropļojumu vai tās veselībai nodarīts citāds kaitējums (izņemot arodslimību) un tai 12 mēnešu laikā pēc nelaimes gadījuma Veselības un darbspēju ekspertīzes ārstu valsts komisija noteikusi invaliditāti uz laiku, ne mazāku par vienu gadu, vai šī amatpersona guvusi smagu, vidēju vai vieglu [ja pārejošā darba (dienesta) nespēja ilgst vairāk par sešām dienām] veselības bojājumu. Vienlaikus tika paredzēts pilnvarojums Ministru kabinetam noteikt minētā pabalsta piešķiršanas un izmaksas kārtību, kā arī veselības bojājumus, sakarā ar kuriem izmaksā minēto pabalstu. Ņemot vērā to, ka noteikumi stāsies spēkā </w:t>
            </w:r>
            <w:proofErr w:type="gramStart"/>
            <w:r w:rsidRPr="00811808">
              <w:t>2014.gada</w:t>
            </w:r>
            <w:proofErr w:type="gramEnd"/>
            <w:r w:rsidRPr="00811808">
              <w:t xml:space="preserve"> 1.novembrī un to, ka no 2014.gada 1.janvāra līdz 2014.gada 31.oktobrim Iekšlietu ministrijas sistēmas iestāžu un Ieslodzījuma vietu pārvaldes amatpersonai ar speciālo dienesta pakāpi, iespējams, ir jau radušās tiesības saņemt minēto pabalstu, līdz ar to nepieciešams noteikt pārejas regulējumu attiecībā uz tiem pabalstu saņēmējiem, kad netika noteikts regulējums par minētā pabalsta piešķiršanas un saņemšanas kārtību, kā arī netika noteikti veselības bojājumi, sakarā ar kuriem izmaksā minēto pabalstu. Ņemot vērā to, ka projektā paredzētajā noteikumu 22.</w:t>
            </w:r>
            <w:r w:rsidRPr="00811808">
              <w:rPr>
                <w:vertAlign w:val="superscript"/>
              </w:rPr>
              <w:t xml:space="preserve">2 </w:t>
            </w:r>
            <w:r w:rsidRPr="00811808">
              <w:t>un 22.</w:t>
            </w:r>
            <w:r w:rsidRPr="00811808">
              <w:rPr>
                <w:vertAlign w:val="superscript"/>
              </w:rPr>
              <w:t xml:space="preserve">3 </w:t>
            </w:r>
            <w:r w:rsidRPr="00811808">
              <w:t>punktā ir noteikts viena mēneša iesnieguma iesniegšanas termiņš no invaliditātes grupas piešķiršanas vai darbnespējas beigšanās, līdz ar to arī pārejas regulējumā ir noteikts, ja Iekšlietu ministrijas sistēmas iestāžu un ieslodzījuma vietu pārvaldes amatpersonai ar speciālo dienesta pakāpi ir radušās tiesības saņemt nelaimes gadījuma pabalstu Iekšlietu ministrijas sistēmas iestāžu un ieslodzījuma vietu pārvaldes amatpersonai ar speciālo dienesta pakāpi no 2014.gada 1.janvāra līdz 2014.gada 31.oktobrim, tad  iesniegumu ir tiesības iesniegt līdz 2014.gada 1.decembrim.</w:t>
            </w:r>
          </w:p>
          <w:p w14:paraId="0A36C944" w14:textId="77777777" w:rsidR="00FE7898" w:rsidRPr="00811808" w:rsidRDefault="00FE7898" w:rsidP="00FE7898">
            <w:pPr>
              <w:pStyle w:val="tv213"/>
              <w:spacing w:before="0" w:beforeAutospacing="0" w:after="0" w:afterAutospacing="0"/>
              <w:ind w:firstLine="580"/>
              <w:jc w:val="both"/>
            </w:pPr>
            <w:r w:rsidRPr="00811808">
              <w:t xml:space="preserve">3. Projektā ietvertais noteikumu 23.punkts nosaka, lai amatpersonas (darbinieka) laulātais un lejupējie, bet, ja lejupējo nav, tad tuvākās pakāpes augšupējie radinieki, saņemtu pabalstu sakarā ar amatpersonas (darbinieka) </w:t>
            </w:r>
            <w:r w:rsidRPr="00811808">
              <w:lastRenderedPageBreak/>
              <w:t xml:space="preserve">bojāeju, viņi sešu mēnešu laikā pēc amatpersonas (darbinieka) nāves iesniedz institūcijai, kurā amatpersona (darbinieks) ir veikusi amata (dienesta, darba) pienākumus, iesniegumu par pabalsta vai tā daļas piešķiršanu. Pašreiz spēkā esošais noteikumu 23.punkts nosaka, ka iesnieguma iesniegšanas termiņš ir viens gads, līdz ar to iesnieguma iesniegšanas termiņš tiek samazināts no viena gada līdz sešiem mēnešiem. Ņemot vērā to, ka noteikumi stājas spēkā </w:t>
            </w:r>
            <w:proofErr w:type="gramStart"/>
            <w:r w:rsidRPr="00811808">
              <w:t>2014.gada</w:t>
            </w:r>
            <w:proofErr w:type="gramEnd"/>
            <w:r w:rsidRPr="00811808">
              <w:t xml:space="preserve"> 1.novembrī, ir jāparedz pārejas regulējums attiecībā uz amatpersonas (darbinieka) laulāto un lejupējiem, bet, ja lejupējo nav, tad tuvākās pakāpes augšupējiem radiniekiem, kuriem ir radušās tiesības uz minēto pabalstu no 2013.gada 31.oktobra līdz 2014.gada 31.oktobrim. Lai ievērotu samērīgumu principu un tiesiskās paļāvības principu, pārejas regulējums nosaka:</w:t>
            </w:r>
          </w:p>
          <w:p w14:paraId="72D3DEFC" w14:textId="77777777" w:rsidR="00FE7898" w:rsidRPr="00811808" w:rsidRDefault="00FE7898" w:rsidP="00FE7898">
            <w:pPr>
              <w:pStyle w:val="tv213"/>
              <w:spacing w:before="0" w:beforeAutospacing="0" w:after="0" w:afterAutospacing="0"/>
              <w:ind w:firstLine="580"/>
              <w:jc w:val="both"/>
            </w:pPr>
            <w:r w:rsidRPr="00811808">
              <w:t xml:space="preserve">1. ja amatpersonas (darbinieka) nāve iestājusies no </w:t>
            </w:r>
            <w:proofErr w:type="gramStart"/>
            <w:r w:rsidRPr="00811808">
              <w:t>2013.gada</w:t>
            </w:r>
            <w:proofErr w:type="gramEnd"/>
            <w:r w:rsidRPr="00811808">
              <w:t xml:space="preserve"> 31.oktobra līdz 2014.gada 30.aprīlim, tad iesniegums iesniedzams gada laikā no amatpersonas (darbinieka) bojāejas, tādējādi saglabājot pašreiz esošo regulējumu par viena gada iesnieguma iesniegšanas termiņu. Ņemot vērā noteikto viena gada iesnieguma iesniegšanas termiņu, netiek paredzēts pārejas regulējums attiecībā par rakstveida informēšanu par objektīviem apstākļiem, kas liedz iesniegt iesniegumu.</w:t>
            </w:r>
          </w:p>
          <w:p w14:paraId="451E6CF9" w14:textId="77777777" w:rsidR="00FE7898" w:rsidRPr="00FE7898" w:rsidRDefault="00FE7898" w:rsidP="00FE7898">
            <w:pPr>
              <w:pStyle w:val="tv213"/>
              <w:spacing w:before="0" w:beforeAutospacing="0" w:after="0" w:afterAutospacing="0"/>
              <w:ind w:firstLine="580"/>
              <w:jc w:val="both"/>
            </w:pPr>
            <w:r w:rsidRPr="00811808">
              <w:t xml:space="preserve">2. Ja amatpersonas (darbinieka) nāve iestājusies no </w:t>
            </w:r>
            <w:proofErr w:type="gramStart"/>
            <w:r w:rsidRPr="00811808">
              <w:t>2014.gada</w:t>
            </w:r>
            <w:proofErr w:type="gramEnd"/>
            <w:r w:rsidRPr="00811808">
              <w:t xml:space="preserve"> 1.maija līdz 2014.gada 31.oktobrim, tad iesniegums iesniedzams sešu mēnešu laikā no noteikumu spēkā stāšanās brīža (2014.gada 1.novembris).</w:t>
            </w:r>
          </w:p>
          <w:p w14:paraId="525346AF" w14:textId="3169D6D5" w:rsidR="000F1582" w:rsidRPr="00FE7898" w:rsidRDefault="000F1582" w:rsidP="000F1582">
            <w:pPr>
              <w:pStyle w:val="tv213"/>
              <w:spacing w:before="0" w:beforeAutospacing="0" w:after="0" w:afterAutospacing="0"/>
              <w:jc w:val="both"/>
              <w:rPr>
                <w:lang w:eastAsia="en-US"/>
              </w:rPr>
            </w:pPr>
          </w:p>
        </w:tc>
      </w:tr>
      <w:tr w:rsidR="00616AA6" w:rsidRPr="00EB53EA" w14:paraId="799CDE87" w14:textId="77777777" w:rsidTr="00F03184">
        <w:tc>
          <w:tcPr>
            <w:tcW w:w="426" w:type="dxa"/>
          </w:tcPr>
          <w:p w14:paraId="20D9A706" w14:textId="77777777" w:rsidR="00616AA6" w:rsidRPr="00EB53EA" w:rsidRDefault="00616AA6" w:rsidP="00710EAA">
            <w:pPr>
              <w:spacing w:before="60"/>
            </w:pPr>
            <w:r w:rsidRPr="00EB53EA">
              <w:lastRenderedPageBreak/>
              <w:t>3.</w:t>
            </w:r>
          </w:p>
        </w:tc>
        <w:tc>
          <w:tcPr>
            <w:tcW w:w="2709" w:type="dxa"/>
            <w:gridSpan w:val="3"/>
          </w:tcPr>
          <w:p w14:paraId="58E94375" w14:textId="77777777" w:rsidR="00616AA6" w:rsidRPr="00EB53EA" w:rsidRDefault="008C47BE" w:rsidP="00710EAA">
            <w:pPr>
              <w:spacing w:before="60" w:after="60"/>
            </w:pPr>
            <w:r w:rsidRPr="00EB53EA">
              <w:t>Projekta izstrādē iesaistītās institūcijas</w:t>
            </w:r>
          </w:p>
        </w:tc>
        <w:tc>
          <w:tcPr>
            <w:tcW w:w="5998" w:type="dxa"/>
            <w:gridSpan w:val="6"/>
          </w:tcPr>
          <w:p w14:paraId="07CDB4C7" w14:textId="77777777" w:rsidR="00616AA6" w:rsidRPr="00EB53EA" w:rsidRDefault="00C21897" w:rsidP="00777C69">
            <w:pPr>
              <w:autoSpaceDE w:val="0"/>
              <w:autoSpaceDN w:val="0"/>
              <w:adjustRightInd w:val="0"/>
              <w:spacing w:before="60" w:after="60"/>
              <w:jc w:val="both"/>
            </w:pPr>
            <w:r w:rsidRPr="00EB53EA">
              <w:t>Iekšlietu ministrija</w:t>
            </w:r>
            <w:r w:rsidR="00777C69" w:rsidRPr="00EB53EA">
              <w:t>, Iekšlietu ministrijas veselības un sporta centrs.</w:t>
            </w:r>
          </w:p>
        </w:tc>
      </w:tr>
      <w:tr w:rsidR="00616AA6" w:rsidRPr="00EB53EA" w14:paraId="3C5F3A2E" w14:textId="77777777" w:rsidTr="00F03184">
        <w:tc>
          <w:tcPr>
            <w:tcW w:w="426" w:type="dxa"/>
          </w:tcPr>
          <w:p w14:paraId="1211CFA4" w14:textId="77777777" w:rsidR="00616AA6" w:rsidRPr="00EB53EA" w:rsidRDefault="00616AA6" w:rsidP="00710EAA">
            <w:pPr>
              <w:spacing w:before="60"/>
            </w:pPr>
            <w:r w:rsidRPr="00EB53EA">
              <w:t>4.</w:t>
            </w:r>
          </w:p>
        </w:tc>
        <w:tc>
          <w:tcPr>
            <w:tcW w:w="2709" w:type="dxa"/>
            <w:gridSpan w:val="3"/>
          </w:tcPr>
          <w:p w14:paraId="50577DF3" w14:textId="77777777" w:rsidR="00616AA6" w:rsidRPr="00EB53EA" w:rsidRDefault="008C47BE" w:rsidP="00710EAA">
            <w:pPr>
              <w:spacing w:before="60" w:after="60"/>
            </w:pPr>
            <w:r w:rsidRPr="00EB53EA">
              <w:t xml:space="preserve">Cita informācija </w:t>
            </w:r>
          </w:p>
        </w:tc>
        <w:tc>
          <w:tcPr>
            <w:tcW w:w="5998" w:type="dxa"/>
            <w:gridSpan w:val="6"/>
          </w:tcPr>
          <w:p w14:paraId="4787B608" w14:textId="77777777" w:rsidR="00E06CCE" w:rsidRPr="00EB53EA" w:rsidRDefault="00C21897" w:rsidP="00710EAA">
            <w:pPr>
              <w:spacing w:before="60" w:after="60"/>
              <w:jc w:val="both"/>
            </w:pPr>
            <w:r w:rsidRPr="00EB53EA">
              <w:t>Nav.</w:t>
            </w:r>
          </w:p>
        </w:tc>
      </w:tr>
      <w:tr w:rsidR="00E86D2D" w:rsidRPr="00EB53EA" w14:paraId="5B465550" w14:textId="77777777" w:rsidTr="00F03184">
        <w:tc>
          <w:tcPr>
            <w:tcW w:w="9133" w:type="dxa"/>
            <w:gridSpan w:val="10"/>
          </w:tcPr>
          <w:p w14:paraId="2C47D86B" w14:textId="77777777" w:rsidR="00E86D2D" w:rsidRPr="00EB53EA" w:rsidRDefault="00E86D2D" w:rsidP="00710EAA">
            <w:pPr>
              <w:spacing w:before="60" w:after="60"/>
              <w:jc w:val="center"/>
            </w:pPr>
            <w:r w:rsidRPr="00EB53EA">
              <w:rPr>
                <w:b/>
              </w:rPr>
              <w:t>II. Tiesību akta projekta ietekme uz sabiedrību, tautsaimniecības attīstību un administratīvo slogu</w:t>
            </w:r>
          </w:p>
        </w:tc>
      </w:tr>
      <w:tr w:rsidR="00E86D2D" w:rsidRPr="00EB53EA" w14:paraId="57C704B7" w14:textId="77777777" w:rsidTr="00953A72">
        <w:tc>
          <w:tcPr>
            <w:tcW w:w="426" w:type="dxa"/>
          </w:tcPr>
          <w:p w14:paraId="3443D31A" w14:textId="77777777" w:rsidR="00E86D2D" w:rsidRPr="00EB53EA" w:rsidRDefault="00E86D2D" w:rsidP="00953A72">
            <w:r w:rsidRPr="00EB53EA">
              <w:t xml:space="preserve">1. </w:t>
            </w:r>
          </w:p>
        </w:tc>
        <w:tc>
          <w:tcPr>
            <w:tcW w:w="2709" w:type="dxa"/>
            <w:gridSpan w:val="3"/>
          </w:tcPr>
          <w:p w14:paraId="29065BA5" w14:textId="77777777" w:rsidR="00E86D2D" w:rsidRPr="00EB53EA" w:rsidRDefault="00E86D2D" w:rsidP="00710EAA">
            <w:pPr>
              <w:spacing w:before="60" w:after="60"/>
            </w:pPr>
            <w:r w:rsidRPr="00EB53EA">
              <w:t>Sabiedrības mērķgrupas, kuras tiesiskais regulējums ietekmē vai varētu ietekmēt</w:t>
            </w:r>
          </w:p>
        </w:tc>
        <w:tc>
          <w:tcPr>
            <w:tcW w:w="5998" w:type="dxa"/>
            <w:gridSpan w:val="6"/>
          </w:tcPr>
          <w:p w14:paraId="73F6A28E" w14:textId="77777777" w:rsidR="00E86D2D" w:rsidRPr="00EB53EA" w:rsidRDefault="000F1582" w:rsidP="004676D7">
            <w:pPr>
              <w:spacing w:before="60" w:after="60"/>
              <w:jc w:val="both"/>
            </w:pPr>
            <w:r w:rsidRPr="00EB53EA">
              <w:t>Valsts un pašvaldību institūciju amatpersonas (darbinieki), tajā skaitā</w:t>
            </w:r>
            <w:r w:rsidR="003B10C2" w:rsidRPr="00EB53EA">
              <w:t xml:space="preserve"> </w:t>
            </w:r>
            <w:r w:rsidR="00E86D2D" w:rsidRPr="00EB53EA">
              <w:t>Iekšlietu ministrijas sistēmas iestāžu un Ieslodzījuma vietu pārvaldes amatpersonas ar speciālajām dienesta pakāpēm.</w:t>
            </w:r>
          </w:p>
        </w:tc>
      </w:tr>
      <w:tr w:rsidR="00E86D2D" w:rsidRPr="00EB53EA" w14:paraId="6E450FA4" w14:textId="77777777" w:rsidTr="00953A72">
        <w:tc>
          <w:tcPr>
            <w:tcW w:w="426" w:type="dxa"/>
          </w:tcPr>
          <w:p w14:paraId="090CC650" w14:textId="77777777" w:rsidR="00E86D2D" w:rsidRPr="00EB53EA" w:rsidRDefault="00E86D2D" w:rsidP="00953A72">
            <w:r w:rsidRPr="00EB53EA">
              <w:t>2.</w:t>
            </w:r>
          </w:p>
        </w:tc>
        <w:tc>
          <w:tcPr>
            <w:tcW w:w="2709" w:type="dxa"/>
            <w:gridSpan w:val="3"/>
          </w:tcPr>
          <w:p w14:paraId="4A2098C5" w14:textId="77777777" w:rsidR="00E86D2D" w:rsidRPr="00EB53EA" w:rsidRDefault="00E86D2D" w:rsidP="00710EAA">
            <w:pPr>
              <w:spacing w:before="60" w:after="60"/>
            </w:pPr>
            <w:r w:rsidRPr="00EB53EA">
              <w:t>Tiesiskā regulējuma ietekme uz tautsaimniecību un administratīvo slogu</w:t>
            </w:r>
          </w:p>
        </w:tc>
        <w:tc>
          <w:tcPr>
            <w:tcW w:w="5998" w:type="dxa"/>
            <w:gridSpan w:val="6"/>
          </w:tcPr>
          <w:p w14:paraId="5F918FC3" w14:textId="6690C1E3" w:rsidR="00E86D2D" w:rsidRPr="00EB53EA" w:rsidRDefault="00E86D2D" w:rsidP="00FA3806">
            <w:pPr>
              <w:spacing w:before="60" w:after="60"/>
              <w:jc w:val="both"/>
            </w:pPr>
            <w:r w:rsidRPr="00EB53EA">
              <w:t>Sabiedrības grupām un institūcijām projekta tiesiskais regulējums nemaina tiesības un pienākumus, kā arī veicamās darbības.</w:t>
            </w:r>
            <w:r w:rsidR="00FA3806" w:rsidRPr="00EB53EA">
              <w:t xml:space="preserve"> Vienlaikus tas ir labvēlīgāks.</w:t>
            </w:r>
          </w:p>
        </w:tc>
      </w:tr>
      <w:tr w:rsidR="00E86D2D" w:rsidRPr="00EB53EA" w14:paraId="288D41B9" w14:textId="77777777" w:rsidTr="00953A72">
        <w:tc>
          <w:tcPr>
            <w:tcW w:w="426" w:type="dxa"/>
          </w:tcPr>
          <w:p w14:paraId="6A7604AE" w14:textId="77777777" w:rsidR="00E86D2D" w:rsidRPr="00EB53EA" w:rsidRDefault="00E86D2D" w:rsidP="00953A72">
            <w:r w:rsidRPr="00EB53EA">
              <w:t>3.</w:t>
            </w:r>
          </w:p>
        </w:tc>
        <w:tc>
          <w:tcPr>
            <w:tcW w:w="2709" w:type="dxa"/>
            <w:gridSpan w:val="3"/>
          </w:tcPr>
          <w:p w14:paraId="4C9E7C06" w14:textId="77777777" w:rsidR="00E86D2D" w:rsidRPr="00EB53EA" w:rsidRDefault="00E86D2D" w:rsidP="00710EAA">
            <w:pPr>
              <w:spacing w:before="60" w:after="60"/>
            </w:pPr>
            <w:r w:rsidRPr="00EB53EA">
              <w:t>Administratīvo izmaksu monetārs novērtējums</w:t>
            </w:r>
          </w:p>
        </w:tc>
        <w:tc>
          <w:tcPr>
            <w:tcW w:w="5998" w:type="dxa"/>
            <w:gridSpan w:val="6"/>
          </w:tcPr>
          <w:p w14:paraId="7708D2D6" w14:textId="77777777" w:rsidR="00E86D2D" w:rsidRPr="00EB53EA" w:rsidRDefault="00E86D2D" w:rsidP="00710EAA">
            <w:pPr>
              <w:spacing w:before="60" w:after="60"/>
              <w:jc w:val="both"/>
            </w:pPr>
            <w:r w:rsidRPr="00EB53EA">
              <w:t>Projekts šo jomu neskar.</w:t>
            </w:r>
          </w:p>
        </w:tc>
      </w:tr>
      <w:tr w:rsidR="00E86D2D" w:rsidRPr="00EB53EA" w14:paraId="36609A53" w14:textId="77777777" w:rsidTr="00953A72">
        <w:tc>
          <w:tcPr>
            <w:tcW w:w="426" w:type="dxa"/>
          </w:tcPr>
          <w:p w14:paraId="4E1F11ED" w14:textId="77777777" w:rsidR="00E86D2D" w:rsidRPr="00EB53EA" w:rsidRDefault="00E86D2D" w:rsidP="00953A72">
            <w:r w:rsidRPr="00EB53EA">
              <w:t>4.</w:t>
            </w:r>
          </w:p>
        </w:tc>
        <w:tc>
          <w:tcPr>
            <w:tcW w:w="2709" w:type="dxa"/>
            <w:gridSpan w:val="3"/>
          </w:tcPr>
          <w:p w14:paraId="18FF8206" w14:textId="77777777" w:rsidR="00E86D2D" w:rsidRPr="00EB53EA" w:rsidRDefault="00E86D2D" w:rsidP="00710EAA">
            <w:pPr>
              <w:spacing w:before="60" w:after="60"/>
            </w:pPr>
            <w:r w:rsidRPr="00EB53EA">
              <w:t>Cita informācija</w:t>
            </w:r>
          </w:p>
        </w:tc>
        <w:tc>
          <w:tcPr>
            <w:tcW w:w="5998" w:type="dxa"/>
            <w:gridSpan w:val="6"/>
          </w:tcPr>
          <w:p w14:paraId="1D2BDA40" w14:textId="77777777" w:rsidR="00E86D2D" w:rsidRPr="00EB53EA" w:rsidRDefault="00E86D2D" w:rsidP="00710EAA">
            <w:pPr>
              <w:spacing w:before="60" w:after="60"/>
              <w:jc w:val="both"/>
            </w:pPr>
            <w:r w:rsidRPr="00EB53EA">
              <w:t>Nav.</w:t>
            </w:r>
          </w:p>
        </w:tc>
      </w:tr>
      <w:tr w:rsidR="003019EE" w:rsidRPr="00EB53EA" w14:paraId="1B172FBA" w14:textId="77777777" w:rsidTr="008A4EEF">
        <w:trPr>
          <w:trHeight w:val="652"/>
        </w:trPr>
        <w:tc>
          <w:tcPr>
            <w:tcW w:w="9133" w:type="dxa"/>
            <w:gridSpan w:val="10"/>
          </w:tcPr>
          <w:p w14:paraId="330D2A29" w14:textId="77777777" w:rsidR="003019EE" w:rsidRPr="00EB53EA" w:rsidRDefault="003019EE" w:rsidP="00710EAA">
            <w:pPr>
              <w:pStyle w:val="naisnod"/>
              <w:spacing w:before="60" w:after="60"/>
              <w:rPr>
                <w:i/>
                <w:highlight w:val="yellow"/>
              </w:rPr>
            </w:pPr>
            <w:r w:rsidRPr="00EB53EA">
              <w:rPr>
                <w:highlight w:val="yellow"/>
              </w:rPr>
              <w:lastRenderedPageBreak/>
              <w:br w:type="page"/>
            </w:r>
            <w:r w:rsidRPr="00EB53EA">
              <w:t>III. Tiesību akta projekta ietekme uz valsts budžetu un pašvaldību budžetiem</w:t>
            </w:r>
          </w:p>
        </w:tc>
      </w:tr>
      <w:tr w:rsidR="00F03184" w:rsidRPr="00EB53EA" w14:paraId="4E3CD37F" w14:textId="77777777" w:rsidTr="008A4EEF">
        <w:tc>
          <w:tcPr>
            <w:tcW w:w="2371" w:type="dxa"/>
            <w:gridSpan w:val="3"/>
            <w:vMerge w:val="restart"/>
          </w:tcPr>
          <w:p w14:paraId="638EBB53" w14:textId="77777777" w:rsidR="003019EE" w:rsidRPr="00EB53EA" w:rsidRDefault="003019EE" w:rsidP="00E9479A">
            <w:pPr>
              <w:pStyle w:val="naisf"/>
              <w:spacing w:before="0" w:after="0"/>
              <w:ind w:firstLine="0"/>
              <w:jc w:val="center"/>
              <w:rPr>
                <w:b/>
              </w:rPr>
            </w:pPr>
            <w:r w:rsidRPr="00EB53EA">
              <w:rPr>
                <w:b/>
              </w:rPr>
              <w:t>Rādītāji</w:t>
            </w:r>
          </w:p>
        </w:tc>
        <w:tc>
          <w:tcPr>
            <w:tcW w:w="2482" w:type="dxa"/>
            <w:gridSpan w:val="3"/>
            <w:vMerge w:val="restart"/>
          </w:tcPr>
          <w:p w14:paraId="75B5474D" w14:textId="77777777" w:rsidR="003019EE" w:rsidRPr="00EB53EA" w:rsidRDefault="00ED2217" w:rsidP="003B10C2">
            <w:pPr>
              <w:pStyle w:val="naisf"/>
              <w:spacing w:before="0" w:after="0"/>
              <w:ind w:firstLine="0"/>
              <w:jc w:val="center"/>
              <w:rPr>
                <w:b/>
              </w:rPr>
            </w:pPr>
            <w:proofErr w:type="gramStart"/>
            <w:r w:rsidRPr="00EB53EA">
              <w:rPr>
                <w:b/>
              </w:rPr>
              <w:t>201</w:t>
            </w:r>
            <w:r w:rsidR="003B10C2" w:rsidRPr="00EB53EA">
              <w:rPr>
                <w:b/>
              </w:rPr>
              <w:t>4</w:t>
            </w:r>
            <w:r w:rsidR="003019EE" w:rsidRPr="00EB53EA">
              <w:rPr>
                <w:b/>
              </w:rPr>
              <w:t>.gads</w:t>
            </w:r>
            <w:proofErr w:type="gramEnd"/>
          </w:p>
        </w:tc>
        <w:tc>
          <w:tcPr>
            <w:tcW w:w="4280" w:type="dxa"/>
            <w:gridSpan w:val="4"/>
          </w:tcPr>
          <w:p w14:paraId="467D413E" w14:textId="77777777" w:rsidR="003019EE" w:rsidRPr="00EB53EA" w:rsidRDefault="003019EE" w:rsidP="00C477D5">
            <w:pPr>
              <w:pStyle w:val="naisf"/>
              <w:spacing w:before="20" w:after="20"/>
              <w:ind w:firstLine="0"/>
              <w:jc w:val="center"/>
              <w:rPr>
                <w:b/>
                <w:i/>
              </w:rPr>
            </w:pPr>
            <w:r w:rsidRPr="00EB53EA">
              <w:t>Turpmākie trīs gadi (</w:t>
            </w:r>
            <w:proofErr w:type="spellStart"/>
            <w:r w:rsidRPr="00EB53EA">
              <w:rPr>
                <w:i/>
              </w:rPr>
              <w:t>euro</w:t>
            </w:r>
            <w:proofErr w:type="spellEnd"/>
            <w:r w:rsidRPr="00EB53EA">
              <w:t>)</w:t>
            </w:r>
          </w:p>
        </w:tc>
      </w:tr>
      <w:tr w:rsidR="00F03184" w:rsidRPr="00EB53EA" w14:paraId="7458F37C" w14:textId="77777777" w:rsidTr="008A4EEF">
        <w:tc>
          <w:tcPr>
            <w:tcW w:w="2371" w:type="dxa"/>
            <w:gridSpan w:val="3"/>
            <w:vMerge/>
          </w:tcPr>
          <w:p w14:paraId="0E8A7F2A" w14:textId="77777777" w:rsidR="003019EE" w:rsidRPr="00EB53EA" w:rsidRDefault="003019EE" w:rsidP="00E9479A">
            <w:pPr>
              <w:pStyle w:val="naisf"/>
              <w:spacing w:before="0" w:after="0"/>
              <w:ind w:firstLine="0"/>
              <w:jc w:val="center"/>
              <w:rPr>
                <w:b/>
                <w:i/>
              </w:rPr>
            </w:pPr>
          </w:p>
        </w:tc>
        <w:tc>
          <w:tcPr>
            <w:tcW w:w="2482" w:type="dxa"/>
            <w:gridSpan w:val="3"/>
            <w:vMerge/>
          </w:tcPr>
          <w:p w14:paraId="723D216E" w14:textId="77777777" w:rsidR="003019EE" w:rsidRPr="00EB53EA" w:rsidRDefault="003019EE" w:rsidP="00E9479A">
            <w:pPr>
              <w:pStyle w:val="naisf"/>
              <w:spacing w:before="0" w:after="0"/>
              <w:ind w:firstLine="0"/>
              <w:jc w:val="center"/>
              <w:rPr>
                <w:b/>
                <w:i/>
              </w:rPr>
            </w:pPr>
          </w:p>
        </w:tc>
        <w:tc>
          <w:tcPr>
            <w:tcW w:w="1402" w:type="dxa"/>
            <w:gridSpan w:val="2"/>
          </w:tcPr>
          <w:p w14:paraId="2E387B7D" w14:textId="77777777" w:rsidR="003019EE" w:rsidRPr="00EB53EA" w:rsidRDefault="00ED2217" w:rsidP="003B10C2">
            <w:pPr>
              <w:pStyle w:val="naisf"/>
              <w:spacing w:before="20" w:after="20"/>
              <w:ind w:firstLine="0"/>
              <w:jc w:val="center"/>
              <w:rPr>
                <w:b/>
                <w:i/>
              </w:rPr>
            </w:pPr>
            <w:proofErr w:type="gramStart"/>
            <w:r w:rsidRPr="00EB53EA">
              <w:rPr>
                <w:b/>
              </w:rPr>
              <w:t>201</w:t>
            </w:r>
            <w:r w:rsidR="003B10C2" w:rsidRPr="00EB53EA">
              <w:rPr>
                <w:b/>
              </w:rPr>
              <w:t>5</w:t>
            </w:r>
            <w:r w:rsidR="003019EE" w:rsidRPr="00EB53EA">
              <w:rPr>
                <w:b/>
              </w:rPr>
              <w:t>.gads</w:t>
            </w:r>
            <w:proofErr w:type="gramEnd"/>
          </w:p>
        </w:tc>
        <w:tc>
          <w:tcPr>
            <w:tcW w:w="1412" w:type="dxa"/>
          </w:tcPr>
          <w:p w14:paraId="47E62E12" w14:textId="77777777" w:rsidR="003019EE" w:rsidRPr="00EB53EA" w:rsidRDefault="00ED2217" w:rsidP="003B10C2">
            <w:pPr>
              <w:pStyle w:val="naisf"/>
              <w:spacing w:before="20" w:after="20"/>
              <w:ind w:firstLine="0"/>
              <w:jc w:val="center"/>
              <w:rPr>
                <w:b/>
                <w:i/>
              </w:rPr>
            </w:pPr>
            <w:proofErr w:type="gramStart"/>
            <w:r w:rsidRPr="00EB53EA">
              <w:rPr>
                <w:b/>
              </w:rPr>
              <w:t>201</w:t>
            </w:r>
            <w:r w:rsidR="003B10C2" w:rsidRPr="00EB53EA">
              <w:rPr>
                <w:b/>
              </w:rPr>
              <w:t>6</w:t>
            </w:r>
            <w:r w:rsidR="003019EE" w:rsidRPr="00EB53EA">
              <w:rPr>
                <w:b/>
              </w:rPr>
              <w:t>.gads</w:t>
            </w:r>
            <w:proofErr w:type="gramEnd"/>
          </w:p>
        </w:tc>
        <w:tc>
          <w:tcPr>
            <w:tcW w:w="1466" w:type="dxa"/>
          </w:tcPr>
          <w:p w14:paraId="64824333" w14:textId="77777777" w:rsidR="003019EE" w:rsidRPr="00EB53EA" w:rsidRDefault="00ED2217" w:rsidP="003B10C2">
            <w:pPr>
              <w:pStyle w:val="naisf"/>
              <w:spacing w:before="20" w:after="20"/>
              <w:ind w:firstLine="0"/>
              <w:jc w:val="center"/>
              <w:rPr>
                <w:b/>
                <w:i/>
              </w:rPr>
            </w:pPr>
            <w:proofErr w:type="gramStart"/>
            <w:r w:rsidRPr="00EB53EA">
              <w:rPr>
                <w:b/>
              </w:rPr>
              <w:t>201</w:t>
            </w:r>
            <w:r w:rsidR="003B10C2" w:rsidRPr="00EB53EA">
              <w:rPr>
                <w:b/>
              </w:rPr>
              <w:t>7</w:t>
            </w:r>
            <w:r w:rsidR="003019EE" w:rsidRPr="00EB53EA">
              <w:rPr>
                <w:b/>
              </w:rPr>
              <w:t>.gads</w:t>
            </w:r>
            <w:proofErr w:type="gramEnd"/>
          </w:p>
        </w:tc>
      </w:tr>
      <w:tr w:rsidR="00F03184" w:rsidRPr="00EB53EA" w14:paraId="5F91255F" w14:textId="77777777" w:rsidTr="008A4EEF">
        <w:tc>
          <w:tcPr>
            <w:tcW w:w="2371" w:type="dxa"/>
            <w:gridSpan w:val="3"/>
            <w:vMerge/>
          </w:tcPr>
          <w:p w14:paraId="1381D4D6" w14:textId="77777777" w:rsidR="003019EE" w:rsidRPr="00EB53EA" w:rsidRDefault="003019EE" w:rsidP="00E9479A">
            <w:pPr>
              <w:pStyle w:val="naisf"/>
              <w:spacing w:before="0" w:after="0"/>
              <w:ind w:firstLine="0"/>
              <w:jc w:val="center"/>
              <w:rPr>
                <w:b/>
                <w:i/>
                <w:color w:val="000000" w:themeColor="text1"/>
              </w:rPr>
            </w:pPr>
          </w:p>
        </w:tc>
        <w:tc>
          <w:tcPr>
            <w:tcW w:w="1223" w:type="dxa"/>
            <w:gridSpan w:val="2"/>
          </w:tcPr>
          <w:p w14:paraId="76CEC1B9" w14:textId="77777777" w:rsidR="003019EE" w:rsidRPr="00EB53EA" w:rsidRDefault="00C51910" w:rsidP="00C477D5">
            <w:pPr>
              <w:pStyle w:val="naisf"/>
              <w:spacing w:before="20" w:after="20"/>
              <w:ind w:firstLine="0"/>
              <w:jc w:val="center"/>
              <w:rPr>
                <w:b/>
                <w:i/>
                <w:color w:val="000000" w:themeColor="text1"/>
              </w:rPr>
            </w:pPr>
            <w:r w:rsidRPr="00EB53EA">
              <w:rPr>
                <w:color w:val="000000" w:themeColor="text1"/>
              </w:rPr>
              <w:t>s</w:t>
            </w:r>
            <w:r w:rsidR="003019EE" w:rsidRPr="00EB53EA">
              <w:rPr>
                <w:color w:val="000000" w:themeColor="text1"/>
              </w:rPr>
              <w:t>askaņā ar valsts budžetu kārtējam gadam</w:t>
            </w:r>
          </w:p>
        </w:tc>
        <w:tc>
          <w:tcPr>
            <w:tcW w:w="1259" w:type="dxa"/>
          </w:tcPr>
          <w:p w14:paraId="74EAC7F2" w14:textId="77777777" w:rsidR="003019EE" w:rsidRPr="00EB53EA" w:rsidRDefault="00C51910" w:rsidP="00C477D5">
            <w:pPr>
              <w:pStyle w:val="naisf"/>
              <w:spacing w:before="20" w:after="20"/>
              <w:ind w:firstLine="0"/>
              <w:jc w:val="center"/>
              <w:rPr>
                <w:b/>
                <w:i/>
                <w:color w:val="000000" w:themeColor="text1"/>
              </w:rPr>
            </w:pPr>
            <w:r w:rsidRPr="00EB53EA">
              <w:rPr>
                <w:color w:val="000000" w:themeColor="text1"/>
              </w:rPr>
              <w:t>i</w:t>
            </w:r>
            <w:r w:rsidR="003019EE" w:rsidRPr="00EB53EA">
              <w:rPr>
                <w:color w:val="000000" w:themeColor="text1"/>
              </w:rPr>
              <w:t>zmaiņas kārtējā gadā, salīdzinot ar budžetu kārtējam gadam</w:t>
            </w:r>
          </w:p>
        </w:tc>
        <w:tc>
          <w:tcPr>
            <w:tcW w:w="1402" w:type="dxa"/>
            <w:gridSpan w:val="2"/>
          </w:tcPr>
          <w:p w14:paraId="6E0584EC" w14:textId="44A89346" w:rsidR="003019EE" w:rsidRPr="00EB53EA" w:rsidRDefault="00C51910">
            <w:pPr>
              <w:pStyle w:val="naisf"/>
              <w:spacing w:before="20" w:after="20"/>
              <w:ind w:firstLine="0"/>
              <w:jc w:val="center"/>
              <w:rPr>
                <w:b/>
                <w:i/>
                <w:color w:val="000000" w:themeColor="text1"/>
              </w:rPr>
            </w:pPr>
            <w:r w:rsidRPr="00EB53EA">
              <w:rPr>
                <w:color w:val="000000" w:themeColor="text1"/>
              </w:rPr>
              <w:t>i</w:t>
            </w:r>
            <w:r w:rsidR="003019EE" w:rsidRPr="00EB53EA">
              <w:rPr>
                <w:color w:val="000000" w:themeColor="text1"/>
              </w:rPr>
              <w:t xml:space="preserve">zmaiņas, salīdzinot ar kārtējo </w:t>
            </w:r>
            <w:proofErr w:type="gramStart"/>
            <w:r w:rsidR="003019EE" w:rsidRPr="00EB53EA">
              <w:rPr>
                <w:color w:val="000000" w:themeColor="text1"/>
              </w:rPr>
              <w:t>201</w:t>
            </w:r>
            <w:r w:rsidR="000307BA" w:rsidRPr="00EB53EA">
              <w:rPr>
                <w:color w:val="000000" w:themeColor="text1"/>
              </w:rPr>
              <w:t>4</w:t>
            </w:r>
            <w:r w:rsidR="003019EE" w:rsidRPr="00EB53EA">
              <w:rPr>
                <w:color w:val="000000" w:themeColor="text1"/>
              </w:rPr>
              <w:t>.gadu</w:t>
            </w:r>
            <w:proofErr w:type="gramEnd"/>
          </w:p>
        </w:tc>
        <w:tc>
          <w:tcPr>
            <w:tcW w:w="1412" w:type="dxa"/>
          </w:tcPr>
          <w:p w14:paraId="64C9553B" w14:textId="1226AF5C" w:rsidR="003019EE" w:rsidRPr="00EB53EA" w:rsidRDefault="00C51910">
            <w:pPr>
              <w:pStyle w:val="naisf"/>
              <w:spacing w:before="20" w:after="20"/>
              <w:ind w:firstLine="0"/>
              <w:jc w:val="center"/>
              <w:rPr>
                <w:b/>
                <w:i/>
                <w:color w:val="000000" w:themeColor="text1"/>
              </w:rPr>
            </w:pPr>
            <w:r w:rsidRPr="00EB53EA">
              <w:rPr>
                <w:color w:val="000000" w:themeColor="text1"/>
              </w:rPr>
              <w:t>i</w:t>
            </w:r>
            <w:r w:rsidR="003019EE" w:rsidRPr="00EB53EA">
              <w:rPr>
                <w:color w:val="000000" w:themeColor="text1"/>
              </w:rPr>
              <w:t xml:space="preserve">zmaiņas, salīdzinot ar kārtējo </w:t>
            </w:r>
            <w:proofErr w:type="gramStart"/>
            <w:r w:rsidR="003019EE" w:rsidRPr="00EB53EA">
              <w:rPr>
                <w:color w:val="000000" w:themeColor="text1"/>
              </w:rPr>
              <w:t>201</w:t>
            </w:r>
            <w:r w:rsidR="000307BA" w:rsidRPr="00EB53EA">
              <w:rPr>
                <w:color w:val="000000" w:themeColor="text1"/>
              </w:rPr>
              <w:t>4</w:t>
            </w:r>
            <w:r w:rsidR="003019EE" w:rsidRPr="00EB53EA">
              <w:rPr>
                <w:color w:val="000000" w:themeColor="text1"/>
              </w:rPr>
              <w:t>.gadu</w:t>
            </w:r>
            <w:proofErr w:type="gramEnd"/>
          </w:p>
        </w:tc>
        <w:tc>
          <w:tcPr>
            <w:tcW w:w="1466" w:type="dxa"/>
          </w:tcPr>
          <w:p w14:paraId="1AD7B03F" w14:textId="71222879" w:rsidR="003019EE" w:rsidRPr="00EB53EA" w:rsidRDefault="00C51910">
            <w:pPr>
              <w:pStyle w:val="naisf"/>
              <w:spacing w:before="20" w:after="20"/>
              <w:ind w:firstLine="0"/>
              <w:jc w:val="center"/>
              <w:rPr>
                <w:b/>
                <w:i/>
                <w:color w:val="000000" w:themeColor="text1"/>
              </w:rPr>
            </w:pPr>
            <w:r w:rsidRPr="00EB53EA">
              <w:rPr>
                <w:color w:val="000000" w:themeColor="text1"/>
              </w:rPr>
              <w:t>i</w:t>
            </w:r>
            <w:r w:rsidR="003019EE" w:rsidRPr="00EB53EA">
              <w:rPr>
                <w:color w:val="000000" w:themeColor="text1"/>
              </w:rPr>
              <w:t xml:space="preserve">zmaiņas, salīdzinot ar kārtējo </w:t>
            </w:r>
            <w:proofErr w:type="gramStart"/>
            <w:r w:rsidR="003019EE" w:rsidRPr="00EB53EA">
              <w:rPr>
                <w:color w:val="000000" w:themeColor="text1"/>
              </w:rPr>
              <w:t>201</w:t>
            </w:r>
            <w:r w:rsidR="000307BA" w:rsidRPr="00EB53EA">
              <w:rPr>
                <w:color w:val="000000" w:themeColor="text1"/>
              </w:rPr>
              <w:t>4</w:t>
            </w:r>
            <w:r w:rsidR="003019EE" w:rsidRPr="00EB53EA">
              <w:rPr>
                <w:color w:val="000000" w:themeColor="text1"/>
              </w:rPr>
              <w:t>.gadu</w:t>
            </w:r>
            <w:proofErr w:type="gramEnd"/>
          </w:p>
        </w:tc>
      </w:tr>
      <w:tr w:rsidR="00F03184" w:rsidRPr="00EB53EA" w14:paraId="1885E195" w14:textId="77777777" w:rsidTr="008A4EEF">
        <w:tc>
          <w:tcPr>
            <w:tcW w:w="2371" w:type="dxa"/>
            <w:gridSpan w:val="3"/>
          </w:tcPr>
          <w:p w14:paraId="5E538819" w14:textId="77777777" w:rsidR="003019EE" w:rsidRPr="00EB53EA" w:rsidRDefault="003019EE" w:rsidP="00E9479A">
            <w:pPr>
              <w:pStyle w:val="naisf"/>
              <w:spacing w:before="0" w:after="0"/>
              <w:ind w:firstLine="0"/>
              <w:jc w:val="center"/>
              <w:rPr>
                <w:bCs/>
                <w:color w:val="000000" w:themeColor="text1"/>
              </w:rPr>
            </w:pPr>
            <w:r w:rsidRPr="00EB53EA">
              <w:rPr>
                <w:bCs/>
                <w:color w:val="000000" w:themeColor="text1"/>
              </w:rPr>
              <w:t>1</w:t>
            </w:r>
          </w:p>
        </w:tc>
        <w:tc>
          <w:tcPr>
            <w:tcW w:w="1223" w:type="dxa"/>
            <w:gridSpan w:val="2"/>
          </w:tcPr>
          <w:p w14:paraId="45991813" w14:textId="77777777" w:rsidR="003019EE" w:rsidRPr="00EB53EA" w:rsidRDefault="003019EE" w:rsidP="00E9479A">
            <w:pPr>
              <w:pStyle w:val="naisf"/>
              <w:spacing w:before="0" w:after="0"/>
              <w:ind w:firstLine="0"/>
              <w:jc w:val="center"/>
              <w:rPr>
                <w:bCs/>
                <w:color w:val="000000" w:themeColor="text1"/>
              </w:rPr>
            </w:pPr>
            <w:r w:rsidRPr="00EB53EA">
              <w:rPr>
                <w:bCs/>
                <w:color w:val="000000" w:themeColor="text1"/>
              </w:rPr>
              <w:t>2</w:t>
            </w:r>
          </w:p>
        </w:tc>
        <w:tc>
          <w:tcPr>
            <w:tcW w:w="1259" w:type="dxa"/>
          </w:tcPr>
          <w:p w14:paraId="1D3D6772" w14:textId="77777777" w:rsidR="003019EE" w:rsidRPr="00EB53EA" w:rsidRDefault="003019EE" w:rsidP="00E9479A">
            <w:pPr>
              <w:pStyle w:val="naisf"/>
              <w:spacing w:before="0" w:after="0"/>
              <w:ind w:firstLine="0"/>
              <w:jc w:val="center"/>
              <w:rPr>
                <w:bCs/>
                <w:color w:val="000000" w:themeColor="text1"/>
              </w:rPr>
            </w:pPr>
            <w:r w:rsidRPr="00EB53EA">
              <w:rPr>
                <w:bCs/>
                <w:color w:val="000000" w:themeColor="text1"/>
              </w:rPr>
              <w:t>3</w:t>
            </w:r>
          </w:p>
        </w:tc>
        <w:tc>
          <w:tcPr>
            <w:tcW w:w="1402" w:type="dxa"/>
            <w:gridSpan w:val="2"/>
          </w:tcPr>
          <w:p w14:paraId="57B65262" w14:textId="77777777" w:rsidR="003019EE" w:rsidRPr="00EB53EA" w:rsidRDefault="003019EE" w:rsidP="00E9479A">
            <w:pPr>
              <w:pStyle w:val="naisf"/>
              <w:spacing w:before="0" w:after="0"/>
              <w:ind w:firstLine="0"/>
              <w:jc w:val="center"/>
              <w:rPr>
                <w:bCs/>
                <w:color w:val="000000" w:themeColor="text1"/>
              </w:rPr>
            </w:pPr>
            <w:r w:rsidRPr="00EB53EA">
              <w:rPr>
                <w:bCs/>
                <w:color w:val="000000" w:themeColor="text1"/>
              </w:rPr>
              <w:t>4</w:t>
            </w:r>
          </w:p>
        </w:tc>
        <w:tc>
          <w:tcPr>
            <w:tcW w:w="1412" w:type="dxa"/>
          </w:tcPr>
          <w:p w14:paraId="08836EDE" w14:textId="77777777" w:rsidR="003019EE" w:rsidRPr="00EB53EA" w:rsidRDefault="003019EE" w:rsidP="00E9479A">
            <w:pPr>
              <w:pStyle w:val="naisf"/>
              <w:spacing w:before="0" w:after="0"/>
              <w:ind w:firstLine="0"/>
              <w:jc w:val="center"/>
              <w:rPr>
                <w:bCs/>
                <w:color w:val="000000" w:themeColor="text1"/>
              </w:rPr>
            </w:pPr>
            <w:r w:rsidRPr="00EB53EA">
              <w:rPr>
                <w:bCs/>
                <w:color w:val="000000" w:themeColor="text1"/>
              </w:rPr>
              <w:t>5</w:t>
            </w:r>
          </w:p>
        </w:tc>
        <w:tc>
          <w:tcPr>
            <w:tcW w:w="1466" w:type="dxa"/>
          </w:tcPr>
          <w:p w14:paraId="3540F864" w14:textId="77777777" w:rsidR="003019EE" w:rsidRPr="00EB53EA" w:rsidRDefault="003019EE" w:rsidP="00E9479A">
            <w:pPr>
              <w:pStyle w:val="naisf"/>
              <w:spacing w:before="0" w:after="0"/>
              <w:ind w:firstLine="0"/>
              <w:jc w:val="center"/>
              <w:rPr>
                <w:bCs/>
                <w:color w:val="000000" w:themeColor="text1"/>
              </w:rPr>
            </w:pPr>
            <w:r w:rsidRPr="00EB53EA">
              <w:rPr>
                <w:bCs/>
                <w:color w:val="000000" w:themeColor="text1"/>
              </w:rPr>
              <w:t>6</w:t>
            </w:r>
          </w:p>
        </w:tc>
      </w:tr>
      <w:tr w:rsidR="00F03184" w:rsidRPr="00EB53EA" w14:paraId="67A280DA" w14:textId="77777777" w:rsidTr="008A4EEF">
        <w:tc>
          <w:tcPr>
            <w:tcW w:w="2371" w:type="dxa"/>
            <w:gridSpan w:val="3"/>
          </w:tcPr>
          <w:p w14:paraId="632BCF05" w14:textId="77777777" w:rsidR="003019EE" w:rsidRPr="00EB53EA" w:rsidRDefault="00F03184" w:rsidP="00710EAA">
            <w:pPr>
              <w:pStyle w:val="naisf"/>
              <w:spacing w:before="60" w:after="60"/>
              <w:ind w:firstLine="0"/>
              <w:rPr>
                <w:i/>
                <w:color w:val="000000" w:themeColor="text1"/>
              </w:rPr>
            </w:pPr>
            <w:r w:rsidRPr="00EB53EA">
              <w:rPr>
                <w:color w:val="000000" w:themeColor="text1"/>
              </w:rPr>
              <w:t xml:space="preserve">1.Budžeta </w:t>
            </w:r>
            <w:r w:rsidR="003019EE" w:rsidRPr="00EB53EA">
              <w:rPr>
                <w:color w:val="000000" w:themeColor="text1"/>
              </w:rPr>
              <w:t>ieņēmumi:</w:t>
            </w:r>
          </w:p>
        </w:tc>
        <w:tc>
          <w:tcPr>
            <w:tcW w:w="1223" w:type="dxa"/>
            <w:gridSpan w:val="2"/>
          </w:tcPr>
          <w:p w14:paraId="22B1CE02" w14:textId="77777777" w:rsidR="003019EE" w:rsidRPr="00EB53EA" w:rsidRDefault="00C67B32" w:rsidP="004519E2">
            <w:pPr>
              <w:pStyle w:val="naisf"/>
              <w:spacing w:before="0" w:after="0"/>
              <w:ind w:firstLine="0"/>
              <w:jc w:val="center"/>
              <w:rPr>
                <w:color w:val="000000" w:themeColor="text1"/>
              </w:rPr>
            </w:pPr>
            <w:r w:rsidRPr="00EB53EA">
              <w:rPr>
                <w:color w:val="000000" w:themeColor="text1"/>
              </w:rPr>
              <w:t>99 188</w:t>
            </w:r>
          </w:p>
        </w:tc>
        <w:tc>
          <w:tcPr>
            <w:tcW w:w="1259" w:type="dxa"/>
          </w:tcPr>
          <w:p w14:paraId="1A38D861"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02" w:type="dxa"/>
            <w:gridSpan w:val="2"/>
          </w:tcPr>
          <w:p w14:paraId="11D1B6D1"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12" w:type="dxa"/>
          </w:tcPr>
          <w:p w14:paraId="355F1E88"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66" w:type="dxa"/>
          </w:tcPr>
          <w:p w14:paraId="1D232080"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r>
      <w:tr w:rsidR="00F03184" w:rsidRPr="00EB53EA" w14:paraId="2175DB12" w14:textId="77777777" w:rsidTr="008A4EEF">
        <w:tc>
          <w:tcPr>
            <w:tcW w:w="2371" w:type="dxa"/>
            <w:gridSpan w:val="3"/>
          </w:tcPr>
          <w:p w14:paraId="6036076E" w14:textId="77777777" w:rsidR="003019EE" w:rsidRPr="00EB53EA" w:rsidRDefault="00F03184" w:rsidP="00710EAA">
            <w:pPr>
              <w:pStyle w:val="naisf"/>
              <w:spacing w:before="60" w:after="60"/>
              <w:ind w:firstLine="0"/>
              <w:jc w:val="left"/>
              <w:rPr>
                <w:i/>
                <w:color w:val="000000" w:themeColor="text1"/>
              </w:rPr>
            </w:pPr>
            <w:r w:rsidRPr="00EB53EA">
              <w:rPr>
                <w:color w:val="000000" w:themeColor="text1"/>
              </w:rPr>
              <w:t>1.1.</w:t>
            </w:r>
            <w:r w:rsidR="003019EE" w:rsidRPr="00EB53EA">
              <w:rPr>
                <w:color w:val="000000" w:themeColor="text1"/>
              </w:rPr>
              <w:t>valsts pamatbudžets, tai skaitā ieņēmumi no maksas pakalpojumiem un citi pašu ieņēmumi</w:t>
            </w:r>
          </w:p>
        </w:tc>
        <w:tc>
          <w:tcPr>
            <w:tcW w:w="1223" w:type="dxa"/>
            <w:gridSpan w:val="2"/>
          </w:tcPr>
          <w:p w14:paraId="13C7F7CE" w14:textId="77777777" w:rsidR="003019EE" w:rsidRPr="00EB53EA" w:rsidRDefault="00C67B32" w:rsidP="004519E2">
            <w:pPr>
              <w:pStyle w:val="naisf"/>
              <w:spacing w:before="0" w:after="0"/>
              <w:ind w:firstLine="0"/>
              <w:jc w:val="center"/>
              <w:rPr>
                <w:color w:val="000000" w:themeColor="text1"/>
              </w:rPr>
            </w:pPr>
            <w:r w:rsidRPr="00EB53EA">
              <w:rPr>
                <w:color w:val="000000" w:themeColor="text1"/>
              </w:rPr>
              <w:t>99 188</w:t>
            </w:r>
          </w:p>
        </w:tc>
        <w:tc>
          <w:tcPr>
            <w:tcW w:w="1259" w:type="dxa"/>
          </w:tcPr>
          <w:p w14:paraId="797A6270"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02" w:type="dxa"/>
            <w:gridSpan w:val="2"/>
          </w:tcPr>
          <w:p w14:paraId="671F6343"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12" w:type="dxa"/>
          </w:tcPr>
          <w:p w14:paraId="3A2FF5DB"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66" w:type="dxa"/>
          </w:tcPr>
          <w:p w14:paraId="5CF79757"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r>
      <w:tr w:rsidR="00F03184" w:rsidRPr="00EB53EA" w14:paraId="6AC20361" w14:textId="77777777" w:rsidTr="008A4EEF">
        <w:tc>
          <w:tcPr>
            <w:tcW w:w="2371" w:type="dxa"/>
            <w:gridSpan w:val="3"/>
          </w:tcPr>
          <w:p w14:paraId="4161FBAF" w14:textId="77777777" w:rsidR="003019EE" w:rsidRPr="00EB53EA" w:rsidRDefault="003019EE" w:rsidP="00710EAA">
            <w:pPr>
              <w:pStyle w:val="naisf"/>
              <w:spacing w:before="60" w:after="60"/>
              <w:ind w:firstLine="0"/>
              <w:rPr>
                <w:i/>
                <w:color w:val="000000" w:themeColor="text1"/>
              </w:rPr>
            </w:pPr>
            <w:r w:rsidRPr="00EB53EA">
              <w:rPr>
                <w:color w:val="000000" w:themeColor="text1"/>
              </w:rPr>
              <w:t>1.2. valsts speciālais budžets</w:t>
            </w:r>
          </w:p>
        </w:tc>
        <w:tc>
          <w:tcPr>
            <w:tcW w:w="1223" w:type="dxa"/>
            <w:gridSpan w:val="2"/>
          </w:tcPr>
          <w:p w14:paraId="6701409D" w14:textId="77777777" w:rsidR="003019EE" w:rsidRPr="00EB53EA" w:rsidRDefault="00C67B32" w:rsidP="004519E2">
            <w:pPr>
              <w:pStyle w:val="naisf"/>
              <w:spacing w:before="0" w:after="0"/>
              <w:ind w:firstLine="0"/>
              <w:jc w:val="center"/>
              <w:rPr>
                <w:color w:val="000000" w:themeColor="text1"/>
              </w:rPr>
            </w:pPr>
            <w:r w:rsidRPr="00EB53EA">
              <w:rPr>
                <w:color w:val="000000" w:themeColor="text1"/>
              </w:rPr>
              <w:t>0</w:t>
            </w:r>
          </w:p>
        </w:tc>
        <w:tc>
          <w:tcPr>
            <w:tcW w:w="1259" w:type="dxa"/>
          </w:tcPr>
          <w:p w14:paraId="3618B149"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02" w:type="dxa"/>
            <w:gridSpan w:val="2"/>
          </w:tcPr>
          <w:p w14:paraId="6C5606B9"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12" w:type="dxa"/>
          </w:tcPr>
          <w:p w14:paraId="3B4CD2CE"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66" w:type="dxa"/>
          </w:tcPr>
          <w:p w14:paraId="0D3FFC62"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r>
      <w:tr w:rsidR="00F03184" w:rsidRPr="00EB53EA" w14:paraId="28380436" w14:textId="77777777" w:rsidTr="008A4EEF">
        <w:trPr>
          <w:trHeight w:val="628"/>
        </w:trPr>
        <w:tc>
          <w:tcPr>
            <w:tcW w:w="2371" w:type="dxa"/>
            <w:gridSpan w:val="3"/>
          </w:tcPr>
          <w:p w14:paraId="3008A0E4" w14:textId="77777777" w:rsidR="003019EE" w:rsidRPr="00EB53EA" w:rsidRDefault="003019EE" w:rsidP="00710EAA">
            <w:pPr>
              <w:pStyle w:val="naisf"/>
              <w:spacing w:before="60" w:after="60"/>
              <w:ind w:firstLine="0"/>
              <w:jc w:val="left"/>
              <w:rPr>
                <w:i/>
                <w:color w:val="000000" w:themeColor="text1"/>
              </w:rPr>
            </w:pPr>
            <w:r w:rsidRPr="00EB53EA">
              <w:rPr>
                <w:color w:val="000000" w:themeColor="text1"/>
              </w:rPr>
              <w:t>1.3. pašvaldību budžets</w:t>
            </w:r>
          </w:p>
        </w:tc>
        <w:tc>
          <w:tcPr>
            <w:tcW w:w="1223" w:type="dxa"/>
            <w:gridSpan w:val="2"/>
          </w:tcPr>
          <w:p w14:paraId="56111FF2" w14:textId="77777777" w:rsidR="003019EE" w:rsidRPr="00EB53EA" w:rsidRDefault="00C67B32" w:rsidP="004519E2">
            <w:pPr>
              <w:pStyle w:val="naisf"/>
              <w:spacing w:before="0" w:after="0"/>
              <w:ind w:firstLine="0"/>
              <w:jc w:val="center"/>
              <w:rPr>
                <w:color w:val="000000" w:themeColor="text1"/>
              </w:rPr>
            </w:pPr>
            <w:r w:rsidRPr="00EB53EA">
              <w:rPr>
                <w:color w:val="000000" w:themeColor="text1"/>
              </w:rPr>
              <w:t>0</w:t>
            </w:r>
          </w:p>
        </w:tc>
        <w:tc>
          <w:tcPr>
            <w:tcW w:w="1259" w:type="dxa"/>
          </w:tcPr>
          <w:p w14:paraId="6A036DF0"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02" w:type="dxa"/>
            <w:gridSpan w:val="2"/>
          </w:tcPr>
          <w:p w14:paraId="209D8707"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12" w:type="dxa"/>
          </w:tcPr>
          <w:p w14:paraId="5651CE2A"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466" w:type="dxa"/>
          </w:tcPr>
          <w:p w14:paraId="1B5F0B0F"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r>
      <w:tr w:rsidR="00F03184" w:rsidRPr="00EB53EA" w14:paraId="4EE663F9" w14:textId="77777777" w:rsidTr="008A4EEF">
        <w:tc>
          <w:tcPr>
            <w:tcW w:w="2371" w:type="dxa"/>
            <w:gridSpan w:val="3"/>
          </w:tcPr>
          <w:p w14:paraId="08064338" w14:textId="77777777" w:rsidR="003019EE" w:rsidRPr="00EB53EA" w:rsidRDefault="003019EE" w:rsidP="00710EAA">
            <w:pPr>
              <w:spacing w:before="60" w:after="60"/>
              <w:rPr>
                <w:color w:val="000000" w:themeColor="text1"/>
              </w:rPr>
            </w:pPr>
            <w:r w:rsidRPr="00EB53EA">
              <w:rPr>
                <w:color w:val="000000" w:themeColor="text1"/>
              </w:rPr>
              <w:t>2. Budžeta izdevumi:</w:t>
            </w:r>
          </w:p>
        </w:tc>
        <w:tc>
          <w:tcPr>
            <w:tcW w:w="1223" w:type="dxa"/>
            <w:gridSpan w:val="2"/>
          </w:tcPr>
          <w:p w14:paraId="734D6646" w14:textId="77777777" w:rsidR="003019EE" w:rsidRPr="00EB53EA" w:rsidRDefault="00C67B32" w:rsidP="004519E2">
            <w:pPr>
              <w:pStyle w:val="naisf"/>
              <w:spacing w:before="0" w:after="0"/>
              <w:ind w:firstLine="0"/>
              <w:jc w:val="center"/>
              <w:rPr>
                <w:color w:val="000000" w:themeColor="text1"/>
              </w:rPr>
            </w:pPr>
            <w:r w:rsidRPr="00EB53EA">
              <w:rPr>
                <w:color w:val="000000" w:themeColor="text1"/>
              </w:rPr>
              <w:t>99 188</w:t>
            </w:r>
          </w:p>
        </w:tc>
        <w:tc>
          <w:tcPr>
            <w:tcW w:w="1259" w:type="dxa"/>
          </w:tcPr>
          <w:p w14:paraId="7B598EB3" w14:textId="77777777" w:rsidR="003019EE" w:rsidRPr="00EB53EA" w:rsidRDefault="004705F1" w:rsidP="00E9479A">
            <w:pPr>
              <w:pStyle w:val="naisf"/>
              <w:spacing w:before="0" w:after="0"/>
              <w:ind w:firstLine="0"/>
              <w:jc w:val="center"/>
              <w:rPr>
                <w:color w:val="000000" w:themeColor="text1"/>
              </w:rPr>
            </w:pPr>
            <w:r w:rsidRPr="00EB53EA">
              <w:rPr>
                <w:color w:val="000000" w:themeColor="text1"/>
              </w:rPr>
              <w:t>987 909</w:t>
            </w:r>
          </w:p>
        </w:tc>
        <w:tc>
          <w:tcPr>
            <w:tcW w:w="1402" w:type="dxa"/>
            <w:gridSpan w:val="2"/>
          </w:tcPr>
          <w:p w14:paraId="35C47239"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687 909</w:t>
            </w:r>
          </w:p>
        </w:tc>
        <w:tc>
          <w:tcPr>
            <w:tcW w:w="1412" w:type="dxa"/>
          </w:tcPr>
          <w:p w14:paraId="4C5EBEA9"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687 909</w:t>
            </w:r>
          </w:p>
        </w:tc>
        <w:tc>
          <w:tcPr>
            <w:tcW w:w="1466" w:type="dxa"/>
          </w:tcPr>
          <w:p w14:paraId="69C53DF2"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687 909</w:t>
            </w:r>
          </w:p>
        </w:tc>
      </w:tr>
      <w:tr w:rsidR="00F03184" w:rsidRPr="00EB53EA" w14:paraId="0CABD19F" w14:textId="77777777" w:rsidTr="008A4EEF">
        <w:tc>
          <w:tcPr>
            <w:tcW w:w="2371" w:type="dxa"/>
            <w:gridSpan w:val="3"/>
          </w:tcPr>
          <w:p w14:paraId="77963958" w14:textId="77777777" w:rsidR="003019EE" w:rsidRPr="00EB53EA" w:rsidRDefault="003019EE" w:rsidP="00710EAA">
            <w:pPr>
              <w:spacing w:before="60" w:after="60"/>
              <w:rPr>
                <w:color w:val="000000" w:themeColor="text1"/>
              </w:rPr>
            </w:pPr>
            <w:r w:rsidRPr="00EB53EA">
              <w:rPr>
                <w:color w:val="000000" w:themeColor="text1"/>
              </w:rPr>
              <w:t>2.1. valsts pamatbudžets</w:t>
            </w:r>
          </w:p>
        </w:tc>
        <w:tc>
          <w:tcPr>
            <w:tcW w:w="1223" w:type="dxa"/>
            <w:gridSpan w:val="2"/>
          </w:tcPr>
          <w:p w14:paraId="5922E8C4" w14:textId="77777777" w:rsidR="003019EE" w:rsidRPr="00EB53EA" w:rsidRDefault="00C67B32" w:rsidP="004519E2">
            <w:pPr>
              <w:pStyle w:val="naisf"/>
              <w:spacing w:before="0" w:after="0"/>
              <w:ind w:firstLine="0"/>
              <w:jc w:val="center"/>
              <w:rPr>
                <w:color w:val="000000" w:themeColor="text1"/>
              </w:rPr>
            </w:pPr>
            <w:r w:rsidRPr="00EB53EA">
              <w:rPr>
                <w:color w:val="000000" w:themeColor="text1"/>
              </w:rPr>
              <w:t>99 188</w:t>
            </w:r>
          </w:p>
        </w:tc>
        <w:tc>
          <w:tcPr>
            <w:tcW w:w="1259" w:type="dxa"/>
          </w:tcPr>
          <w:p w14:paraId="2B489486" w14:textId="77777777" w:rsidR="003019EE" w:rsidRPr="00EB53EA" w:rsidRDefault="004705F1" w:rsidP="00E9479A">
            <w:pPr>
              <w:pStyle w:val="naisf"/>
              <w:spacing w:before="0" w:after="0"/>
              <w:ind w:firstLine="0"/>
              <w:jc w:val="center"/>
              <w:rPr>
                <w:color w:val="000000" w:themeColor="text1"/>
              </w:rPr>
            </w:pPr>
            <w:r w:rsidRPr="00EB53EA">
              <w:rPr>
                <w:color w:val="000000" w:themeColor="text1"/>
              </w:rPr>
              <w:t>987 909</w:t>
            </w:r>
          </w:p>
        </w:tc>
        <w:tc>
          <w:tcPr>
            <w:tcW w:w="1402" w:type="dxa"/>
            <w:gridSpan w:val="2"/>
          </w:tcPr>
          <w:p w14:paraId="1A76B30C"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687 909</w:t>
            </w:r>
          </w:p>
        </w:tc>
        <w:tc>
          <w:tcPr>
            <w:tcW w:w="1412" w:type="dxa"/>
          </w:tcPr>
          <w:p w14:paraId="56BF8915"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687 909</w:t>
            </w:r>
          </w:p>
        </w:tc>
        <w:tc>
          <w:tcPr>
            <w:tcW w:w="1466" w:type="dxa"/>
          </w:tcPr>
          <w:p w14:paraId="0CFACD8A"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687 909</w:t>
            </w:r>
          </w:p>
        </w:tc>
      </w:tr>
      <w:tr w:rsidR="00F03184" w:rsidRPr="00EB53EA" w14:paraId="0726316F" w14:textId="77777777" w:rsidTr="008A4EEF">
        <w:tc>
          <w:tcPr>
            <w:tcW w:w="2371" w:type="dxa"/>
            <w:gridSpan w:val="3"/>
          </w:tcPr>
          <w:p w14:paraId="369573DD" w14:textId="77777777" w:rsidR="003019EE" w:rsidRPr="00EB53EA" w:rsidRDefault="003019EE" w:rsidP="00710EAA">
            <w:pPr>
              <w:spacing w:before="60" w:after="60"/>
              <w:rPr>
                <w:color w:val="000000" w:themeColor="text1"/>
              </w:rPr>
            </w:pPr>
            <w:r w:rsidRPr="00EB53EA">
              <w:rPr>
                <w:color w:val="000000" w:themeColor="text1"/>
              </w:rPr>
              <w:t>2.2. valsts speciālais budžets</w:t>
            </w:r>
          </w:p>
        </w:tc>
        <w:tc>
          <w:tcPr>
            <w:tcW w:w="1223" w:type="dxa"/>
            <w:gridSpan w:val="2"/>
          </w:tcPr>
          <w:p w14:paraId="1E8ABA7B"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259" w:type="dxa"/>
          </w:tcPr>
          <w:p w14:paraId="4B20C851" w14:textId="77777777" w:rsidR="003019EE" w:rsidRPr="00EB53EA" w:rsidRDefault="007610E4" w:rsidP="007610E4">
            <w:pPr>
              <w:pStyle w:val="naisf"/>
              <w:spacing w:before="0" w:after="0"/>
              <w:ind w:firstLine="0"/>
              <w:jc w:val="center"/>
              <w:rPr>
                <w:color w:val="000000" w:themeColor="text1"/>
              </w:rPr>
            </w:pPr>
            <w:r w:rsidRPr="00EB53EA">
              <w:rPr>
                <w:color w:val="000000" w:themeColor="text1"/>
              </w:rPr>
              <w:t>0</w:t>
            </w:r>
          </w:p>
        </w:tc>
        <w:tc>
          <w:tcPr>
            <w:tcW w:w="1402" w:type="dxa"/>
            <w:gridSpan w:val="2"/>
          </w:tcPr>
          <w:p w14:paraId="43B197C7"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0</w:t>
            </w:r>
          </w:p>
        </w:tc>
        <w:tc>
          <w:tcPr>
            <w:tcW w:w="1412" w:type="dxa"/>
          </w:tcPr>
          <w:p w14:paraId="0F188AA8"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0</w:t>
            </w:r>
          </w:p>
        </w:tc>
        <w:tc>
          <w:tcPr>
            <w:tcW w:w="1466" w:type="dxa"/>
          </w:tcPr>
          <w:p w14:paraId="3B8C0EF2"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0</w:t>
            </w:r>
          </w:p>
        </w:tc>
      </w:tr>
      <w:tr w:rsidR="00F03184" w:rsidRPr="00EB53EA" w14:paraId="6CA7EA91" w14:textId="77777777" w:rsidTr="008A4EEF">
        <w:tc>
          <w:tcPr>
            <w:tcW w:w="2371" w:type="dxa"/>
            <w:gridSpan w:val="3"/>
          </w:tcPr>
          <w:p w14:paraId="5F4328CB" w14:textId="77777777" w:rsidR="003019EE" w:rsidRPr="00EB53EA" w:rsidRDefault="003019EE" w:rsidP="00710EAA">
            <w:pPr>
              <w:spacing w:before="60" w:after="60"/>
              <w:rPr>
                <w:color w:val="000000" w:themeColor="text1"/>
              </w:rPr>
            </w:pPr>
            <w:r w:rsidRPr="00EB53EA">
              <w:rPr>
                <w:color w:val="000000" w:themeColor="text1"/>
              </w:rPr>
              <w:t xml:space="preserve">2.3. pašvaldību budžets </w:t>
            </w:r>
          </w:p>
        </w:tc>
        <w:tc>
          <w:tcPr>
            <w:tcW w:w="1223" w:type="dxa"/>
            <w:gridSpan w:val="2"/>
          </w:tcPr>
          <w:p w14:paraId="2E80D9CD" w14:textId="77777777" w:rsidR="003019EE" w:rsidRPr="00EB53EA" w:rsidRDefault="004519E2" w:rsidP="004519E2">
            <w:pPr>
              <w:pStyle w:val="naisf"/>
              <w:spacing w:before="0" w:after="0"/>
              <w:ind w:firstLine="0"/>
              <w:jc w:val="center"/>
              <w:rPr>
                <w:color w:val="000000" w:themeColor="text1"/>
              </w:rPr>
            </w:pPr>
            <w:r w:rsidRPr="00EB53EA">
              <w:rPr>
                <w:color w:val="000000" w:themeColor="text1"/>
              </w:rPr>
              <w:t>0</w:t>
            </w:r>
          </w:p>
        </w:tc>
        <w:tc>
          <w:tcPr>
            <w:tcW w:w="1259" w:type="dxa"/>
          </w:tcPr>
          <w:p w14:paraId="20305016" w14:textId="77777777" w:rsidR="003019EE" w:rsidRPr="00EB53EA" w:rsidRDefault="007610E4" w:rsidP="007610E4">
            <w:pPr>
              <w:pStyle w:val="naisf"/>
              <w:spacing w:before="0" w:after="0"/>
              <w:ind w:firstLine="0"/>
              <w:jc w:val="center"/>
              <w:rPr>
                <w:color w:val="000000" w:themeColor="text1"/>
              </w:rPr>
            </w:pPr>
            <w:r w:rsidRPr="00EB53EA">
              <w:rPr>
                <w:color w:val="000000" w:themeColor="text1"/>
              </w:rPr>
              <w:t>0</w:t>
            </w:r>
          </w:p>
        </w:tc>
        <w:tc>
          <w:tcPr>
            <w:tcW w:w="1402" w:type="dxa"/>
            <w:gridSpan w:val="2"/>
          </w:tcPr>
          <w:p w14:paraId="787D21D2"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0</w:t>
            </w:r>
          </w:p>
        </w:tc>
        <w:tc>
          <w:tcPr>
            <w:tcW w:w="1412" w:type="dxa"/>
          </w:tcPr>
          <w:p w14:paraId="73878094"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0</w:t>
            </w:r>
          </w:p>
        </w:tc>
        <w:tc>
          <w:tcPr>
            <w:tcW w:w="1466" w:type="dxa"/>
          </w:tcPr>
          <w:p w14:paraId="305CA162"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0</w:t>
            </w:r>
          </w:p>
        </w:tc>
      </w:tr>
      <w:tr w:rsidR="00F03184" w:rsidRPr="00EB53EA" w14:paraId="69231151" w14:textId="77777777" w:rsidTr="008A4EEF">
        <w:tc>
          <w:tcPr>
            <w:tcW w:w="2371" w:type="dxa"/>
            <w:gridSpan w:val="3"/>
          </w:tcPr>
          <w:p w14:paraId="00DE9ED6" w14:textId="77777777" w:rsidR="003019EE" w:rsidRPr="00EB53EA" w:rsidRDefault="003019EE" w:rsidP="00710EAA">
            <w:pPr>
              <w:spacing w:before="60" w:after="60"/>
              <w:rPr>
                <w:color w:val="000000" w:themeColor="text1"/>
              </w:rPr>
            </w:pPr>
            <w:r w:rsidRPr="00EB53EA">
              <w:rPr>
                <w:color w:val="000000" w:themeColor="text1"/>
              </w:rPr>
              <w:t>3. Finansiālā ietekme:</w:t>
            </w:r>
          </w:p>
        </w:tc>
        <w:tc>
          <w:tcPr>
            <w:tcW w:w="1223" w:type="dxa"/>
            <w:gridSpan w:val="2"/>
          </w:tcPr>
          <w:p w14:paraId="7780296B" w14:textId="77777777" w:rsidR="003019EE" w:rsidRPr="00EB53EA" w:rsidRDefault="00201BD9" w:rsidP="00201BD9">
            <w:pPr>
              <w:pStyle w:val="naisf"/>
              <w:spacing w:before="0" w:after="0"/>
              <w:ind w:firstLine="0"/>
              <w:jc w:val="center"/>
              <w:rPr>
                <w:color w:val="000000" w:themeColor="text1"/>
              </w:rPr>
            </w:pPr>
            <w:r w:rsidRPr="00EB53EA">
              <w:rPr>
                <w:color w:val="000000" w:themeColor="text1"/>
              </w:rPr>
              <w:t>0</w:t>
            </w:r>
          </w:p>
        </w:tc>
        <w:tc>
          <w:tcPr>
            <w:tcW w:w="1259" w:type="dxa"/>
          </w:tcPr>
          <w:p w14:paraId="0AC1D820" w14:textId="77777777" w:rsidR="003019EE" w:rsidRPr="00EB53EA" w:rsidRDefault="004705F1" w:rsidP="00201BD9">
            <w:pPr>
              <w:pStyle w:val="naisf"/>
              <w:spacing w:before="0" w:after="0"/>
              <w:ind w:firstLine="0"/>
              <w:jc w:val="center"/>
              <w:rPr>
                <w:color w:val="000000" w:themeColor="text1"/>
              </w:rPr>
            </w:pPr>
            <w:r w:rsidRPr="00EB53EA">
              <w:rPr>
                <w:color w:val="000000" w:themeColor="text1"/>
              </w:rPr>
              <w:t>-</w:t>
            </w:r>
            <w:r w:rsidR="00D4062C" w:rsidRPr="00EB53EA">
              <w:rPr>
                <w:color w:val="000000" w:themeColor="text1"/>
              </w:rPr>
              <w:t xml:space="preserve"> </w:t>
            </w:r>
            <w:r w:rsidRPr="00EB53EA">
              <w:rPr>
                <w:color w:val="000000" w:themeColor="text1"/>
              </w:rPr>
              <w:t>987 909</w:t>
            </w:r>
          </w:p>
        </w:tc>
        <w:tc>
          <w:tcPr>
            <w:tcW w:w="1402" w:type="dxa"/>
            <w:gridSpan w:val="2"/>
          </w:tcPr>
          <w:p w14:paraId="498CF201"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- 687 909</w:t>
            </w:r>
          </w:p>
        </w:tc>
        <w:tc>
          <w:tcPr>
            <w:tcW w:w="1412" w:type="dxa"/>
          </w:tcPr>
          <w:p w14:paraId="3F2CFAE9"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- 687 909</w:t>
            </w:r>
          </w:p>
        </w:tc>
        <w:tc>
          <w:tcPr>
            <w:tcW w:w="1466" w:type="dxa"/>
          </w:tcPr>
          <w:p w14:paraId="3BA2A1B9"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- 687 909</w:t>
            </w:r>
          </w:p>
        </w:tc>
      </w:tr>
      <w:tr w:rsidR="00F03184" w:rsidRPr="00EB53EA" w14:paraId="326A9D1B" w14:textId="77777777" w:rsidTr="008A4EEF">
        <w:tc>
          <w:tcPr>
            <w:tcW w:w="2371" w:type="dxa"/>
            <w:gridSpan w:val="3"/>
          </w:tcPr>
          <w:p w14:paraId="015C4BD6" w14:textId="77777777" w:rsidR="003019EE" w:rsidRPr="00EB53EA" w:rsidRDefault="003019EE" w:rsidP="00710EAA">
            <w:pPr>
              <w:spacing w:before="60" w:after="60"/>
              <w:rPr>
                <w:color w:val="000000" w:themeColor="text1"/>
              </w:rPr>
            </w:pPr>
            <w:r w:rsidRPr="00EB53EA">
              <w:rPr>
                <w:color w:val="000000" w:themeColor="text1"/>
              </w:rPr>
              <w:t>3.1. valsts pamatbudžets</w:t>
            </w:r>
          </w:p>
        </w:tc>
        <w:tc>
          <w:tcPr>
            <w:tcW w:w="1223" w:type="dxa"/>
            <w:gridSpan w:val="2"/>
          </w:tcPr>
          <w:p w14:paraId="4CD60A70" w14:textId="77777777" w:rsidR="003019EE" w:rsidRPr="00EB53EA" w:rsidRDefault="00201BD9" w:rsidP="00201BD9">
            <w:pPr>
              <w:pStyle w:val="naisf"/>
              <w:spacing w:before="0" w:after="0"/>
              <w:ind w:firstLine="0"/>
              <w:jc w:val="center"/>
              <w:rPr>
                <w:color w:val="000000" w:themeColor="text1"/>
              </w:rPr>
            </w:pPr>
            <w:r w:rsidRPr="00EB53EA">
              <w:rPr>
                <w:color w:val="000000" w:themeColor="text1"/>
              </w:rPr>
              <w:t>0</w:t>
            </w:r>
          </w:p>
        </w:tc>
        <w:tc>
          <w:tcPr>
            <w:tcW w:w="1259" w:type="dxa"/>
          </w:tcPr>
          <w:p w14:paraId="4A5B3F48" w14:textId="77777777" w:rsidR="003019EE" w:rsidRPr="00EB53EA" w:rsidRDefault="004705F1" w:rsidP="00201BD9">
            <w:pPr>
              <w:pStyle w:val="naisf"/>
              <w:spacing w:before="0" w:after="0"/>
              <w:ind w:firstLine="0"/>
              <w:jc w:val="center"/>
              <w:rPr>
                <w:color w:val="000000" w:themeColor="text1"/>
              </w:rPr>
            </w:pPr>
            <w:r w:rsidRPr="00EB53EA">
              <w:rPr>
                <w:color w:val="000000" w:themeColor="text1"/>
              </w:rPr>
              <w:t>-</w:t>
            </w:r>
            <w:r w:rsidR="00D4062C" w:rsidRPr="00EB53EA">
              <w:rPr>
                <w:color w:val="000000" w:themeColor="text1"/>
              </w:rPr>
              <w:t xml:space="preserve"> </w:t>
            </w:r>
            <w:r w:rsidRPr="00EB53EA">
              <w:rPr>
                <w:color w:val="000000" w:themeColor="text1"/>
              </w:rPr>
              <w:t>987 909</w:t>
            </w:r>
          </w:p>
        </w:tc>
        <w:tc>
          <w:tcPr>
            <w:tcW w:w="1402" w:type="dxa"/>
            <w:gridSpan w:val="2"/>
          </w:tcPr>
          <w:p w14:paraId="2997953C"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- 687 909</w:t>
            </w:r>
          </w:p>
        </w:tc>
        <w:tc>
          <w:tcPr>
            <w:tcW w:w="1412" w:type="dxa"/>
          </w:tcPr>
          <w:p w14:paraId="3744DDBD"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- 687 909</w:t>
            </w:r>
          </w:p>
        </w:tc>
        <w:tc>
          <w:tcPr>
            <w:tcW w:w="1466" w:type="dxa"/>
          </w:tcPr>
          <w:p w14:paraId="67FB6550" w14:textId="77777777" w:rsidR="003019EE" w:rsidRPr="00EB53EA" w:rsidRDefault="00D4062C" w:rsidP="007610E4">
            <w:pPr>
              <w:pStyle w:val="naisf"/>
              <w:spacing w:before="0" w:after="0"/>
              <w:ind w:firstLine="0"/>
              <w:jc w:val="center"/>
              <w:rPr>
                <w:color w:val="000000" w:themeColor="text1"/>
              </w:rPr>
            </w:pPr>
            <w:r w:rsidRPr="00EB53EA">
              <w:rPr>
                <w:color w:val="000000" w:themeColor="text1"/>
              </w:rPr>
              <w:t>- 687 909</w:t>
            </w:r>
          </w:p>
        </w:tc>
      </w:tr>
      <w:tr w:rsidR="00F03184" w:rsidRPr="00EB53EA" w14:paraId="4971C598" w14:textId="77777777" w:rsidTr="008A4EEF">
        <w:tc>
          <w:tcPr>
            <w:tcW w:w="2371" w:type="dxa"/>
            <w:gridSpan w:val="3"/>
          </w:tcPr>
          <w:p w14:paraId="3F19F5FE" w14:textId="77777777" w:rsidR="003019EE" w:rsidRPr="00EB53EA" w:rsidRDefault="003019EE" w:rsidP="00710EAA">
            <w:pPr>
              <w:spacing w:before="60" w:after="60"/>
              <w:rPr>
                <w:color w:val="000000" w:themeColor="text1"/>
              </w:rPr>
            </w:pPr>
            <w:r w:rsidRPr="00EB53EA">
              <w:rPr>
                <w:color w:val="000000" w:themeColor="text1"/>
              </w:rPr>
              <w:t xml:space="preserve">3.2. </w:t>
            </w:r>
            <w:r w:rsidR="00C51910" w:rsidRPr="00EB53EA">
              <w:rPr>
                <w:color w:val="000000" w:themeColor="text1"/>
              </w:rPr>
              <w:t xml:space="preserve">valsts </w:t>
            </w:r>
            <w:r w:rsidRPr="00EB53EA">
              <w:rPr>
                <w:color w:val="000000" w:themeColor="text1"/>
              </w:rPr>
              <w:t>speciālais budžets</w:t>
            </w:r>
          </w:p>
        </w:tc>
        <w:tc>
          <w:tcPr>
            <w:tcW w:w="1223" w:type="dxa"/>
            <w:gridSpan w:val="2"/>
          </w:tcPr>
          <w:p w14:paraId="61FEDB4D" w14:textId="77777777" w:rsidR="003019EE" w:rsidRPr="00EB53EA" w:rsidRDefault="00201BD9" w:rsidP="00201BD9">
            <w:pPr>
              <w:pStyle w:val="naisf"/>
              <w:spacing w:before="0" w:after="0"/>
              <w:ind w:firstLine="0"/>
              <w:jc w:val="center"/>
              <w:rPr>
                <w:color w:val="000000" w:themeColor="text1"/>
              </w:rPr>
            </w:pPr>
            <w:r w:rsidRPr="00EB53EA">
              <w:rPr>
                <w:color w:val="000000" w:themeColor="text1"/>
              </w:rPr>
              <w:t>0</w:t>
            </w:r>
          </w:p>
        </w:tc>
        <w:tc>
          <w:tcPr>
            <w:tcW w:w="1259" w:type="dxa"/>
          </w:tcPr>
          <w:p w14:paraId="09300480" w14:textId="77777777" w:rsidR="003019EE" w:rsidRPr="00EB53EA" w:rsidRDefault="00201BD9" w:rsidP="00201BD9">
            <w:pPr>
              <w:pStyle w:val="naisf"/>
              <w:spacing w:before="0" w:after="0"/>
              <w:ind w:firstLine="0"/>
              <w:jc w:val="center"/>
              <w:rPr>
                <w:color w:val="000000" w:themeColor="text1"/>
              </w:rPr>
            </w:pPr>
            <w:r w:rsidRPr="00EB53EA">
              <w:rPr>
                <w:color w:val="000000" w:themeColor="text1"/>
              </w:rPr>
              <w:t>0</w:t>
            </w:r>
          </w:p>
        </w:tc>
        <w:tc>
          <w:tcPr>
            <w:tcW w:w="1402" w:type="dxa"/>
            <w:gridSpan w:val="2"/>
          </w:tcPr>
          <w:p w14:paraId="122948B7" w14:textId="77777777" w:rsidR="003019EE" w:rsidRPr="00EB53EA" w:rsidRDefault="00D4062C" w:rsidP="00201BD9">
            <w:pPr>
              <w:pStyle w:val="naisf"/>
              <w:spacing w:before="0" w:after="0"/>
              <w:ind w:firstLine="0"/>
              <w:jc w:val="center"/>
              <w:rPr>
                <w:color w:val="000000" w:themeColor="text1"/>
              </w:rPr>
            </w:pPr>
            <w:r w:rsidRPr="00EB53EA">
              <w:rPr>
                <w:color w:val="000000" w:themeColor="text1"/>
              </w:rPr>
              <w:t>0</w:t>
            </w:r>
          </w:p>
        </w:tc>
        <w:tc>
          <w:tcPr>
            <w:tcW w:w="1412" w:type="dxa"/>
          </w:tcPr>
          <w:p w14:paraId="54D76062" w14:textId="77777777" w:rsidR="003019EE" w:rsidRPr="00EB53EA" w:rsidRDefault="00D4062C" w:rsidP="00201BD9">
            <w:pPr>
              <w:pStyle w:val="naisf"/>
              <w:spacing w:before="0" w:after="0"/>
              <w:ind w:firstLine="0"/>
              <w:jc w:val="center"/>
              <w:rPr>
                <w:color w:val="000000" w:themeColor="text1"/>
              </w:rPr>
            </w:pPr>
            <w:r w:rsidRPr="00EB53EA">
              <w:rPr>
                <w:color w:val="000000" w:themeColor="text1"/>
              </w:rPr>
              <w:t>0</w:t>
            </w:r>
          </w:p>
        </w:tc>
        <w:tc>
          <w:tcPr>
            <w:tcW w:w="1466" w:type="dxa"/>
          </w:tcPr>
          <w:p w14:paraId="65996983" w14:textId="77777777" w:rsidR="003019EE" w:rsidRPr="00EB53EA" w:rsidRDefault="00D4062C" w:rsidP="00201BD9">
            <w:pPr>
              <w:pStyle w:val="naisf"/>
              <w:spacing w:before="0" w:after="0"/>
              <w:ind w:firstLine="0"/>
              <w:jc w:val="center"/>
              <w:rPr>
                <w:color w:val="000000" w:themeColor="text1"/>
              </w:rPr>
            </w:pPr>
            <w:r w:rsidRPr="00EB53EA">
              <w:rPr>
                <w:color w:val="000000" w:themeColor="text1"/>
              </w:rPr>
              <w:t>0</w:t>
            </w:r>
          </w:p>
        </w:tc>
      </w:tr>
      <w:tr w:rsidR="00F03184" w:rsidRPr="00EB53EA" w14:paraId="3423524A" w14:textId="77777777" w:rsidTr="008A4EEF">
        <w:tc>
          <w:tcPr>
            <w:tcW w:w="2371" w:type="dxa"/>
            <w:gridSpan w:val="3"/>
          </w:tcPr>
          <w:p w14:paraId="2CB62D7D" w14:textId="77777777" w:rsidR="003019EE" w:rsidRPr="00EB53EA" w:rsidRDefault="003019EE" w:rsidP="00710EAA">
            <w:pPr>
              <w:spacing w:before="60" w:after="60"/>
              <w:rPr>
                <w:color w:val="000000" w:themeColor="text1"/>
              </w:rPr>
            </w:pPr>
            <w:r w:rsidRPr="00EB53EA">
              <w:rPr>
                <w:color w:val="000000" w:themeColor="text1"/>
              </w:rPr>
              <w:t xml:space="preserve">3.3. pašvaldību budžets </w:t>
            </w:r>
          </w:p>
        </w:tc>
        <w:tc>
          <w:tcPr>
            <w:tcW w:w="1223" w:type="dxa"/>
            <w:gridSpan w:val="2"/>
          </w:tcPr>
          <w:p w14:paraId="63FBE302" w14:textId="77777777" w:rsidR="003019EE" w:rsidRPr="00EB53EA" w:rsidRDefault="00201BD9" w:rsidP="00201BD9">
            <w:pPr>
              <w:pStyle w:val="naisf"/>
              <w:spacing w:before="0" w:after="0"/>
              <w:ind w:firstLine="0"/>
              <w:jc w:val="center"/>
              <w:rPr>
                <w:color w:val="000000" w:themeColor="text1"/>
              </w:rPr>
            </w:pPr>
            <w:r w:rsidRPr="00EB53EA">
              <w:rPr>
                <w:color w:val="000000" w:themeColor="text1"/>
              </w:rPr>
              <w:t>0</w:t>
            </w:r>
          </w:p>
        </w:tc>
        <w:tc>
          <w:tcPr>
            <w:tcW w:w="1259" w:type="dxa"/>
          </w:tcPr>
          <w:p w14:paraId="5140B252" w14:textId="77777777" w:rsidR="003019EE" w:rsidRPr="00EB53EA" w:rsidRDefault="00201BD9" w:rsidP="00201BD9">
            <w:pPr>
              <w:pStyle w:val="naisf"/>
              <w:spacing w:before="0" w:after="0"/>
              <w:ind w:firstLine="0"/>
              <w:jc w:val="center"/>
              <w:rPr>
                <w:color w:val="000000" w:themeColor="text1"/>
              </w:rPr>
            </w:pPr>
            <w:r w:rsidRPr="00EB53EA">
              <w:rPr>
                <w:color w:val="000000" w:themeColor="text1"/>
              </w:rPr>
              <w:t>0</w:t>
            </w:r>
          </w:p>
        </w:tc>
        <w:tc>
          <w:tcPr>
            <w:tcW w:w="1402" w:type="dxa"/>
            <w:gridSpan w:val="2"/>
          </w:tcPr>
          <w:p w14:paraId="3A05D186" w14:textId="77777777" w:rsidR="003019EE" w:rsidRPr="00EB53EA" w:rsidRDefault="00D4062C" w:rsidP="00201BD9">
            <w:pPr>
              <w:pStyle w:val="naisf"/>
              <w:spacing w:before="0" w:after="0"/>
              <w:ind w:firstLine="0"/>
              <w:jc w:val="center"/>
              <w:rPr>
                <w:color w:val="000000" w:themeColor="text1"/>
              </w:rPr>
            </w:pPr>
            <w:r w:rsidRPr="00EB53EA">
              <w:rPr>
                <w:color w:val="000000" w:themeColor="text1"/>
              </w:rPr>
              <w:t>0</w:t>
            </w:r>
          </w:p>
        </w:tc>
        <w:tc>
          <w:tcPr>
            <w:tcW w:w="1412" w:type="dxa"/>
          </w:tcPr>
          <w:p w14:paraId="0C43E470" w14:textId="77777777" w:rsidR="003019EE" w:rsidRPr="00EB53EA" w:rsidRDefault="00D4062C" w:rsidP="00201BD9">
            <w:pPr>
              <w:pStyle w:val="naisf"/>
              <w:spacing w:before="0" w:after="0"/>
              <w:ind w:firstLine="0"/>
              <w:jc w:val="center"/>
              <w:rPr>
                <w:color w:val="000000" w:themeColor="text1"/>
              </w:rPr>
            </w:pPr>
            <w:r w:rsidRPr="00EB53EA">
              <w:rPr>
                <w:color w:val="000000" w:themeColor="text1"/>
              </w:rPr>
              <w:t>0</w:t>
            </w:r>
          </w:p>
        </w:tc>
        <w:tc>
          <w:tcPr>
            <w:tcW w:w="1466" w:type="dxa"/>
          </w:tcPr>
          <w:p w14:paraId="239F5F9A" w14:textId="77777777" w:rsidR="003019EE" w:rsidRPr="00EB53EA" w:rsidRDefault="00D4062C" w:rsidP="00201BD9">
            <w:pPr>
              <w:pStyle w:val="naisf"/>
              <w:spacing w:before="0" w:after="0"/>
              <w:ind w:firstLine="0"/>
              <w:jc w:val="center"/>
              <w:rPr>
                <w:color w:val="000000" w:themeColor="text1"/>
              </w:rPr>
            </w:pPr>
            <w:r w:rsidRPr="00EB53EA">
              <w:rPr>
                <w:color w:val="000000" w:themeColor="text1"/>
              </w:rPr>
              <w:t>0</w:t>
            </w:r>
          </w:p>
        </w:tc>
      </w:tr>
      <w:tr w:rsidR="00F03184" w:rsidRPr="00EB53EA" w14:paraId="503A8931" w14:textId="77777777" w:rsidTr="008A4EEF">
        <w:trPr>
          <w:trHeight w:val="2093"/>
        </w:trPr>
        <w:tc>
          <w:tcPr>
            <w:tcW w:w="2371" w:type="dxa"/>
            <w:gridSpan w:val="3"/>
          </w:tcPr>
          <w:p w14:paraId="4A18B554" w14:textId="77777777" w:rsidR="007610E4" w:rsidRPr="00EB53EA" w:rsidRDefault="007610E4" w:rsidP="00710EAA">
            <w:pPr>
              <w:spacing w:before="60" w:after="60"/>
              <w:rPr>
                <w:color w:val="000000" w:themeColor="text1"/>
              </w:rPr>
            </w:pPr>
            <w:r w:rsidRPr="00EB53EA">
              <w:rPr>
                <w:color w:val="000000" w:themeColor="text1"/>
              </w:rPr>
              <w:lastRenderedPageBreak/>
              <w:t>4. Finanšu līdzekļi papildu izde</w:t>
            </w:r>
            <w:r w:rsidRPr="00EB53EA">
              <w:rPr>
                <w:color w:val="000000" w:themeColor="text1"/>
              </w:rPr>
              <w:softHyphen/>
              <w:t>vumu finansēšanai (kompensējošu izdevumu samazinājumu norāda ar "+" zīmi)</w:t>
            </w:r>
          </w:p>
        </w:tc>
        <w:tc>
          <w:tcPr>
            <w:tcW w:w="1223" w:type="dxa"/>
            <w:gridSpan w:val="2"/>
          </w:tcPr>
          <w:p w14:paraId="30F12631" w14:textId="77777777" w:rsidR="007610E4" w:rsidRPr="00EB53EA" w:rsidRDefault="007610E4" w:rsidP="00E9479A">
            <w:pPr>
              <w:pStyle w:val="naisf"/>
              <w:spacing w:before="0" w:after="0"/>
              <w:ind w:firstLine="0"/>
              <w:jc w:val="center"/>
              <w:rPr>
                <w:i/>
                <w:color w:val="000000" w:themeColor="text1"/>
              </w:rPr>
            </w:pPr>
            <w:r w:rsidRPr="00EB53EA">
              <w:rPr>
                <w:color w:val="000000" w:themeColor="text1"/>
              </w:rPr>
              <w:t>X</w:t>
            </w:r>
          </w:p>
        </w:tc>
        <w:tc>
          <w:tcPr>
            <w:tcW w:w="1259" w:type="dxa"/>
          </w:tcPr>
          <w:p w14:paraId="2E52F500" w14:textId="77777777" w:rsidR="007610E4" w:rsidRPr="00EB53EA" w:rsidRDefault="004705F1" w:rsidP="00E9479A">
            <w:pPr>
              <w:pStyle w:val="naisf"/>
              <w:spacing w:before="0" w:after="0"/>
              <w:ind w:firstLine="0"/>
              <w:jc w:val="center"/>
              <w:rPr>
                <w:color w:val="000000" w:themeColor="text1"/>
              </w:rPr>
            </w:pPr>
            <w:r w:rsidRPr="00EB53EA">
              <w:rPr>
                <w:color w:val="000000" w:themeColor="text1"/>
              </w:rPr>
              <w:t>987 909</w:t>
            </w:r>
          </w:p>
        </w:tc>
        <w:tc>
          <w:tcPr>
            <w:tcW w:w="1402" w:type="dxa"/>
            <w:gridSpan w:val="2"/>
          </w:tcPr>
          <w:p w14:paraId="3F8DDA9D" w14:textId="467791CF" w:rsidR="007610E4" w:rsidRPr="00EB53EA" w:rsidRDefault="00C642A7" w:rsidP="00E9479A">
            <w:pPr>
              <w:pStyle w:val="naisf"/>
              <w:spacing w:before="0" w:after="0"/>
              <w:ind w:firstLine="0"/>
              <w:jc w:val="center"/>
              <w:rPr>
                <w:color w:val="000000" w:themeColor="text1"/>
                <w:highlight w:val="yellow"/>
              </w:rPr>
            </w:pPr>
            <w:r w:rsidRPr="00EB53EA">
              <w:rPr>
                <w:color w:val="000000" w:themeColor="text1"/>
              </w:rPr>
              <w:t>687 909</w:t>
            </w:r>
          </w:p>
        </w:tc>
        <w:tc>
          <w:tcPr>
            <w:tcW w:w="1412" w:type="dxa"/>
          </w:tcPr>
          <w:p w14:paraId="40089C2A" w14:textId="742182BF" w:rsidR="007610E4" w:rsidRPr="00EB53EA" w:rsidRDefault="00C642A7" w:rsidP="00E9479A">
            <w:pPr>
              <w:pStyle w:val="naisf"/>
              <w:spacing w:before="0" w:after="0"/>
              <w:ind w:firstLine="0"/>
              <w:jc w:val="center"/>
              <w:rPr>
                <w:color w:val="000000" w:themeColor="text1"/>
              </w:rPr>
            </w:pPr>
            <w:r w:rsidRPr="00EB53EA">
              <w:rPr>
                <w:color w:val="000000" w:themeColor="text1"/>
              </w:rPr>
              <w:t>687 909</w:t>
            </w:r>
          </w:p>
        </w:tc>
        <w:tc>
          <w:tcPr>
            <w:tcW w:w="1466" w:type="dxa"/>
          </w:tcPr>
          <w:p w14:paraId="255BDD03" w14:textId="44A1BD57" w:rsidR="007610E4" w:rsidRPr="00EB53EA" w:rsidRDefault="00C642A7" w:rsidP="00E9479A">
            <w:pPr>
              <w:pStyle w:val="naisf"/>
              <w:spacing w:before="0" w:after="0"/>
              <w:ind w:firstLine="0"/>
              <w:jc w:val="center"/>
              <w:rPr>
                <w:color w:val="000000" w:themeColor="text1"/>
              </w:rPr>
            </w:pPr>
            <w:r w:rsidRPr="00EB53EA">
              <w:rPr>
                <w:color w:val="000000" w:themeColor="text1"/>
              </w:rPr>
              <w:t>687 909</w:t>
            </w:r>
          </w:p>
        </w:tc>
      </w:tr>
      <w:tr w:rsidR="00F03184" w:rsidRPr="00EB53EA" w14:paraId="463AEE5F" w14:textId="77777777" w:rsidTr="008A4EEF">
        <w:tc>
          <w:tcPr>
            <w:tcW w:w="2371" w:type="dxa"/>
            <w:gridSpan w:val="3"/>
          </w:tcPr>
          <w:p w14:paraId="70ADF31E" w14:textId="77777777" w:rsidR="003019EE" w:rsidRPr="00EB53EA" w:rsidRDefault="003019EE" w:rsidP="00710EAA">
            <w:pPr>
              <w:spacing w:before="60" w:after="60"/>
              <w:rPr>
                <w:color w:val="000000" w:themeColor="text1"/>
              </w:rPr>
            </w:pPr>
            <w:r w:rsidRPr="00EB53EA">
              <w:rPr>
                <w:color w:val="000000" w:themeColor="text1"/>
              </w:rPr>
              <w:t>5. Precizēta finansiālā ietekme:</w:t>
            </w:r>
          </w:p>
        </w:tc>
        <w:tc>
          <w:tcPr>
            <w:tcW w:w="1223" w:type="dxa"/>
            <w:gridSpan w:val="2"/>
            <w:vMerge w:val="restart"/>
          </w:tcPr>
          <w:p w14:paraId="5C54A954" w14:textId="77777777" w:rsidR="003019EE" w:rsidRPr="00EB53EA" w:rsidRDefault="003019EE" w:rsidP="00E9479A">
            <w:pPr>
              <w:pStyle w:val="naisf"/>
              <w:spacing w:before="0" w:after="0"/>
              <w:ind w:firstLine="0"/>
              <w:jc w:val="center"/>
              <w:rPr>
                <w:i/>
                <w:color w:val="000000" w:themeColor="text1"/>
              </w:rPr>
            </w:pPr>
            <w:r w:rsidRPr="00EB53EA">
              <w:rPr>
                <w:color w:val="000000" w:themeColor="text1"/>
              </w:rPr>
              <w:t>X</w:t>
            </w:r>
          </w:p>
        </w:tc>
        <w:tc>
          <w:tcPr>
            <w:tcW w:w="1259" w:type="dxa"/>
          </w:tcPr>
          <w:p w14:paraId="36F0D6DB" w14:textId="77777777" w:rsidR="003019EE" w:rsidRPr="00EB53EA" w:rsidRDefault="00AF666E" w:rsidP="00E9479A">
            <w:pPr>
              <w:pStyle w:val="naisf"/>
              <w:spacing w:before="0" w:after="0"/>
              <w:ind w:firstLine="0"/>
              <w:jc w:val="center"/>
              <w:rPr>
                <w:color w:val="000000" w:themeColor="text1"/>
              </w:rPr>
            </w:pPr>
            <w:r w:rsidRPr="00EB53EA">
              <w:rPr>
                <w:color w:val="000000" w:themeColor="text1"/>
              </w:rPr>
              <w:t>0</w:t>
            </w:r>
          </w:p>
        </w:tc>
        <w:tc>
          <w:tcPr>
            <w:tcW w:w="1402" w:type="dxa"/>
            <w:gridSpan w:val="2"/>
          </w:tcPr>
          <w:p w14:paraId="506F5325" w14:textId="0BE99870" w:rsidR="003019EE" w:rsidRPr="00EB53EA" w:rsidRDefault="00C642A7" w:rsidP="00E9479A">
            <w:pPr>
              <w:pStyle w:val="naisf"/>
              <w:spacing w:before="0" w:after="0"/>
              <w:ind w:firstLine="0"/>
              <w:jc w:val="center"/>
              <w:rPr>
                <w:color w:val="000000" w:themeColor="text1"/>
              </w:rPr>
            </w:pPr>
            <w:r w:rsidRPr="00EB53EA">
              <w:rPr>
                <w:color w:val="000000" w:themeColor="text1"/>
              </w:rPr>
              <w:t>0</w:t>
            </w:r>
          </w:p>
        </w:tc>
        <w:tc>
          <w:tcPr>
            <w:tcW w:w="1412" w:type="dxa"/>
          </w:tcPr>
          <w:p w14:paraId="59D58623" w14:textId="1B89AE65" w:rsidR="003019EE" w:rsidRPr="00EB53EA" w:rsidRDefault="00C642A7" w:rsidP="00E9479A">
            <w:pPr>
              <w:pStyle w:val="naisf"/>
              <w:spacing w:before="0" w:after="0"/>
              <w:ind w:firstLine="0"/>
              <w:jc w:val="center"/>
              <w:rPr>
                <w:color w:val="000000" w:themeColor="text1"/>
              </w:rPr>
            </w:pPr>
            <w:r w:rsidRPr="00EB53EA">
              <w:rPr>
                <w:color w:val="000000" w:themeColor="text1"/>
              </w:rPr>
              <w:t>0</w:t>
            </w:r>
          </w:p>
        </w:tc>
        <w:tc>
          <w:tcPr>
            <w:tcW w:w="1466" w:type="dxa"/>
          </w:tcPr>
          <w:p w14:paraId="6F87C26E" w14:textId="0BF42AE4" w:rsidR="003019EE" w:rsidRPr="00EB53EA" w:rsidRDefault="00C642A7" w:rsidP="00E9479A">
            <w:pPr>
              <w:pStyle w:val="naisf"/>
              <w:spacing w:before="0" w:after="0"/>
              <w:ind w:firstLine="0"/>
              <w:jc w:val="center"/>
              <w:rPr>
                <w:color w:val="000000" w:themeColor="text1"/>
              </w:rPr>
            </w:pPr>
            <w:r w:rsidRPr="00EB53EA">
              <w:rPr>
                <w:color w:val="000000" w:themeColor="text1"/>
              </w:rPr>
              <w:t>0</w:t>
            </w:r>
          </w:p>
        </w:tc>
      </w:tr>
      <w:tr w:rsidR="00F03184" w:rsidRPr="00EB53EA" w14:paraId="1A73D501" w14:textId="77777777" w:rsidTr="008A4EEF">
        <w:tc>
          <w:tcPr>
            <w:tcW w:w="2371" w:type="dxa"/>
            <w:gridSpan w:val="3"/>
          </w:tcPr>
          <w:p w14:paraId="5DD78874" w14:textId="77777777" w:rsidR="003019EE" w:rsidRPr="00EB53EA" w:rsidRDefault="003019EE" w:rsidP="00710EAA">
            <w:pPr>
              <w:spacing w:before="60" w:after="60"/>
              <w:rPr>
                <w:color w:val="000000" w:themeColor="text1"/>
              </w:rPr>
            </w:pPr>
            <w:r w:rsidRPr="00EB53EA">
              <w:rPr>
                <w:color w:val="000000" w:themeColor="text1"/>
              </w:rPr>
              <w:t>5.1. valsts pamatbudžets</w:t>
            </w:r>
          </w:p>
        </w:tc>
        <w:tc>
          <w:tcPr>
            <w:tcW w:w="1223" w:type="dxa"/>
            <w:gridSpan w:val="2"/>
            <w:vMerge/>
          </w:tcPr>
          <w:p w14:paraId="309AB118" w14:textId="77777777" w:rsidR="003019EE" w:rsidRPr="00EB53EA" w:rsidRDefault="003019EE" w:rsidP="00E9479A">
            <w:pPr>
              <w:pStyle w:val="naisf"/>
              <w:spacing w:before="0" w:after="0"/>
              <w:ind w:firstLine="0"/>
              <w:jc w:val="center"/>
              <w:rPr>
                <w:i/>
                <w:color w:val="000000" w:themeColor="text1"/>
                <w:highlight w:val="yellow"/>
              </w:rPr>
            </w:pPr>
          </w:p>
        </w:tc>
        <w:tc>
          <w:tcPr>
            <w:tcW w:w="1259" w:type="dxa"/>
          </w:tcPr>
          <w:p w14:paraId="3988AF39" w14:textId="77777777" w:rsidR="003019EE" w:rsidRPr="00EB53EA" w:rsidRDefault="00AF666E" w:rsidP="009652EF">
            <w:pPr>
              <w:pStyle w:val="naisf"/>
              <w:spacing w:before="0" w:after="0"/>
              <w:ind w:firstLine="0"/>
              <w:jc w:val="center"/>
              <w:rPr>
                <w:color w:val="000000" w:themeColor="text1"/>
              </w:rPr>
            </w:pPr>
            <w:r w:rsidRPr="00EB53EA">
              <w:rPr>
                <w:color w:val="000000" w:themeColor="text1"/>
              </w:rPr>
              <w:t>0</w:t>
            </w:r>
          </w:p>
        </w:tc>
        <w:tc>
          <w:tcPr>
            <w:tcW w:w="1402" w:type="dxa"/>
            <w:gridSpan w:val="2"/>
          </w:tcPr>
          <w:p w14:paraId="4BB6FED0" w14:textId="311E2A45" w:rsidR="003019EE" w:rsidRPr="00EB53EA" w:rsidRDefault="00C642A7" w:rsidP="009652EF">
            <w:pPr>
              <w:pStyle w:val="naisf"/>
              <w:spacing w:before="0" w:after="0"/>
              <w:ind w:firstLine="0"/>
              <w:jc w:val="center"/>
              <w:rPr>
                <w:color w:val="000000" w:themeColor="text1"/>
              </w:rPr>
            </w:pPr>
            <w:r w:rsidRPr="00EB53EA">
              <w:rPr>
                <w:color w:val="000000" w:themeColor="text1"/>
              </w:rPr>
              <w:t>0</w:t>
            </w:r>
          </w:p>
        </w:tc>
        <w:tc>
          <w:tcPr>
            <w:tcW w:w="1412" w:type="dxa"/>
          </w:tcPr>
          <w:p w14:paraId="465A5AFD" w14:textId="6D4870CE" w:rsidR="003019EE" w:rsidRPr="00EB53EA" w:rsidRDefault="00C642A7" w:rsidP="009652EF">
            <w:pPr>
              <w:pStyle w:val="naisf"/>
              <w:spacing w:before="0" w:after="0"/>
              <w:ind w:firstLine="0"/>
              <w:jc w:val="center"/>
              <w:rPr>
                <w:color w:val="000000" w:themeColor="text1"/>
              </w:rPr>
            </w:pPr>
            <w:r w:rsidRPr="00EB53EA">
              <w:rPr>
                <w:color w:val="000000" w:themeColor="text1"/>
              </w:rPr>
              <w:t>0</w:t>
            </w:r>
          </w:p>
        </w:tc>
        <w:tc>
          <w:tcPr>
            <w:tcW w:w="1466" w:type="dxa"/>
          </w:tcPr>
          <w:p w14:paraId="13616531" w14:textId="0F1C8394" w:rsidR="003019EE" w:rsidRPr="00EB53EA" w:rsidRDefault="00C642A7" w:rsidP="009652EF">
            <w:pPr>
              <w:pStyle w:val="naisf"/>
              <w:spacing w:before="0" w:after="0"/>
              <w:ind w:firstLine="0"/>
              <w:jc w:val="center"/>
              <w:rPr>
                <w:color w:val="000000" w:themeColor="text1"/>
              </w:rPr>
            </w:pPr>
            <w:r w:rsidRPr="00EB53EA">
              <w:rPr>
                <w:color w:val="000000" w:themeColor="text1"/>
              </w:rPr>
              <w:t>0</w:t>
            </w:r>
          </w:p>
        </w:tc>
      </w:tr>
      <w:tr w:rsidR="00F03184" w:rsidRPr="00EB53EA" w14:paraId="013D70DC" w14:textId="77777777" w:rsidTr="008A4EEF">
        <w:tc>
          <w:tcPr>
            <w:tcW w:w="2371" w:type="dxa"/>
            <w:gridSpan w:val="3"/>
          </w:tcPr>
          <w:p w14:paraId="68BF56C9" w14:textId="77777777" w:rsidR="003019EE" w:rsidRPr="00EB53EA" w:rsidRDefault="003019EE" w:rsidP="00710EAA">
            <w:pPr>
              <w:spacing w:before="60" w:after="60"/>
              <w:rPr>
                <w:color w:val="000000" w:themeColor="text1"/>
              </w:rPr>
            </w:pPr>
            <w:r w:rsidRPr="00EB53EA">
              <w:rPr>
                <w:color w:val="000000" w:themeColor="text1"/>
              </w:rPr>
              <w:t>5.2. speciālais budžets</w:t>
            </w:r>
          </w:p>
        </w:tc>
        <w:tc>
          <w:tcPr>
            <w:tcW w:w="1223" w:type="dxa"/>
            <w:gridSpan w:val="2"/>
            <w:vMerge/>
          </w:tcPr>
          <w:p w14:paraId="0F714B8B" w14:textId="77777777" w:rsidR="003019EE" w:rsidRPr="00EB53EA" w:rsidRDefault="003019EE" w:rsidP="00E9479A">
            <w:pPr>
              <w:pStyle w:val="naisf"/>
              <w:spacing w:before="0" w:after="0"/>
              <w:ind w:firstLine="0"/>
              <w:jc w:val="center"/>
              <w:rPr>
                <w:i/>
                <w:color w:val="000000" w:themeColor="text1"/>
                <w:highlight w:val="yellow"/>
              </w:rPr>
            </w:pPr>
          </w:p>
        </w:tc>
        <w:tc>
          <w:tcPr>
            <w:tcW w:w="1259" w:type="dxa"/>
          </w:tcPr>
          <w:p w14:paraId="086BC3E7" w14:textId="77777777" w:rsidR="003019EE" w:rsidRPr="00EB53EA" w:rsidRDefault="00AF666E" w:rsidP="009652EF">
            <w:pPr>
              <w:pStyle w:val="naisf"/>
              <w:spacing w:before="0" w:after="0"/>
              <w:ind w:firstLine="0"/>
              <w:jc w:val="center"/>
              <w:rPr>
                <w:color w:val="000000" w:themeColor="text1"/>
              </w:rPr>
            </w:pPr>
            <w:r w:rsidRPr="00EB53EA">
              <w:rPr>
                <w:color w:val="000000" w:themeColor="text1"/>
              </w:rPr>
              <w:t>0</w:t>
            </w:r>
          </w:p>
        </w:tc>
        <w:tc>
          <w:tcPr>
            <w:tcW w:w="1402" w:type="dxa"/>
            <w:gridSpan w:val="2"/>
          </w:tcPr>
          <w:p w14:paraId="2947356F" w14:textId="77777777" w:rsidR="003019EE" w:rsidRPr="00EB53EA" w:rsidRDefault="007610E4" w:rsidP="009652EF">
            <w:pPr>
              <w:pStyle w:val="naisf"/>
              <w:spacing w:before="0" w:after="0"/>
              <w:ind w:firstLine="0"/>
              <w:jc w:val="center"/>
              <w:rPr>
                <w:color w:val="000000" w:themeColor="text1"/>
              </w:rPr>
            </w:pPr>
            <w:r w:rsidRPr="00EB53EA">
              <w:rPr>
                <w:color w:val="000000" w:themeColor="text1"/>
              </w:rPr>
              <w:t>0</w:t>
            </w:r>
          </w:p>
        </w:tc>
        <w:tc>
          <w:tcPr>
            <w:tcW w:w="1412" w:type="dxa"/>
          </w:tcPr>
          <w:p w14:paraId="2BD9A5DD" w14:textId="77777777" w:rsidR="003019EE" w:rsidRPr="00EB53EA" w:rsidRDefault="007610E4" w:rsidP="009652EF">
            <w:pPr>
              <w:pStyle w:val="naisf"/>
              <w:spacing w:before="0" w:after="0"/>
              <w:ind w:firstLine="0"/>
              <w:jc w:val="center"/>
              <w:rPr>
                <w:color w:val="000000" w:themeColor="text1"/>
              </w:rPr>
            </w:pPr>
            <w:r w:rsidRPr="00EB53EA">
              <w:rPr>
                <w:color w:val="000000" w:themeColor="text1"/>
              </w:rPr>
              <w:t>0</w:t>
            </w:r>
          </w:p>
        </w:tc>
        <w:tc>
          <w:tcPr>
            <w:tcW w:w="1466" w:type="dxa"/>
          </w:tcPr>
          <w:p w14:paraId="57BCCE26" w14:textId="77777777" w:rsidR="003019EE" w:rsidRPr="00EB53EA" w:rsidRDefault="007610E4" w:rsidP="009652EF">
            <w:pPr>
              <w:pStyle w:val="naisf"/>
              <w:spacing w:before="0" w:after="0"/>
              <w:ind w:firstLine="0"/>
              <w:jc w:val="center"/>
              <w:rPr>
                <w:color w:val="000000" w:themeColor="text1"/>
              </w:rPr>
            </w:pPr>
            <w:r w:rsidRPr="00EB53EA">
              <w:rPr>
                <w:color w:val="000000" w:themeColor="text1"/>
              </w:rPr>
              <w:t>0</w:t>
            </w:r>
          </w:p>
        </w:tc>
      </w:tr>
      <w:tr w:rsidR="00F03184" w:rsidRPr="00EB53EA" w14:paraId="237A5D70" w14:textId="77777777" w:rsidTr="008A4EEF">
        <w:tc>
          <w:tcPr>
            <w:tcW w:w="2371" w:type="dxa"/>
            <w:gridSpan w:val="3"/>
          </w:tcPr>
          <w:p w14:paraId="2D1F4E5D" w14:textId="77777777" w:rsidR="003019EE" w:rsidRPr="00EB53EA" w:rsidRDefault="003019EE" w:rsidP="00710EAA">
            <w:pPr>
              <w:spacing w:before="60" w:after="60"/>
              <w:rPr>
                <w:color w:val="000000" w:themeColor="text1"/>
              </w:rPr>
            </w:pPr>
            <w:r w:rsidRPr="00EB53EA">
              <w:rPr>
                <w:color w:val="000000" w:themeColor="text1"/>
              </w:rPr>
              <w:t xml:space="preserve">5.3. pašvaldību budžets </w:t>
            </w:r>
          </w:p>
        </w:tc>
        <w:tc>
          <w:tcPr>
            <w:tcW w:w="1223" w:type="dxa"/>
            <w:gridSpan w:val="2"/>
            <w:vMerge/>
          </w:tcPr>
          <w:p w14:paraId="250E003B" w14:textId="77777777" w:rsidR="003019EE" w:rsidRPr="00EB53EA" w:rsidRDefault="003019EE" w:rsidP="00E9479A">
            <w:pPr>
              <w:pStyle w:val="naisf"/>
              <w:spacing w:before="0" w:after="0"/>
              <w:ind w:firstLine="0"/>
              <w:jc w:val="center"/>
              <w:rPr>
                <w:i/>
                <w:color w:val="000000" w:themeColor="text1"/>
                <w:highlight w:val="yellow"/>
              </w:rPr>
            </w:pPr>
          </w:p>
        </w:tc>
        <w:tc>
          <w:tcPr>
            <w:tcW w:w="1259" w:type="dxa"/>
          </w:tcPr>
          <w:p w14:paraId="252BB07D" w14:textId="77777777" w:rsidR="003019EE" w:rsidRPr="00EB53EA" w:rsidRDefault="00AF666E" w:rsidP="009652EF">
            <w:pPr>
              <w:pStyle w:val="naisf"/>
              <w:spacing w:before="0" w:after="0"/>
              <w:ind w:firstLine="0"/>
              <w:jc w:val="center"/>
              <w:rPr>
                <w:color w:val="000000" w:themeColor="text1"/>
              </w:rPr>
            </w:pPr>
            <w:r w:rsidRPr="00EB53EA">
              <w:rPr>
                <w:color w:val="000000" w:themeColor="text1"/>
              </w:rPr>
              <w:t>0</w:t>
            </w:r>
          </w:p>
        </w:tc>
        <w:tc>
          <w:tcPr>
            <w:tcW w:w="1402" w:type="dxa"/>
            <w:gridSpan w:val="2"/>
          </w:tcPr>
          <w:p w14:paraId="181E6D76" w14:textId="77777777" w:rsidR="003019EE" w:rsidRPr="00EB53EA" w:rsidRDefault="007610E4" w:rsidP="009652EF">
            <w:pPr>
              <w:pStyle w:val="naisf"/>
              <w:spacing w:before="0" w:after="0"/>
              <w:ind w:firstLine="0"/>
              <w:jc w:val="center"/>
              <w:rPr>
                <w:color w:val="000000" w:themeColor="text1"/>
              </w:rPr>
            </w:pPr>
            <w:r w:rsidRPr="00EB53EA">
              <w:rPr>
                <w:color w:val="000000" w:themeColor="text1"/>
              </w:rPr>
              <w:t>0</w:t>
            </w:r>
          </w:p>
        </w:tc>
        <w:tc>
          <w:tcPr>
            <w:tcW w:w="1412" w:type="dxa"/>
          </w:tcPr>
          <w:p w14:paraId="625A12FB" w14:textId="77777777" w:rsidR="003019EE" w:rsidRPr="00EB53EA" w:rsidRDefault="007610E4" w:rsidP="009652EF">
            <w:pPr>
              <w:pStyle w:val="naisf"/>
              <w:spacing w:before="0" w:after="0"/>
              <w:ind w:firstLine="0"/>
              <w:jc w:val="center"/>
              <w:rPr>
                <w:color w:val="000000" w:themeColor="text1"/>
              </w:rPr>
            </w:pPr>
            <w:r w:rsidRPr="00EB53EA">
              <w:rPr>
                <w:color w:val="000000" w:themeColor="text1"/>
              </w:rPr>
              <w:t>0</w:t>
            </w:r>
          </w:p>
        </w:tc>
        <w:tc>
          <w:tcPr>
            <w:tcW w:w="1466" w:type="dxa"/>
          </w:tcPr>
          <w:p w14:paraId="349717D7" w14:textId="77777777" w:rsidR="003019EE" w:rsidRPr="00EB53EA" w:rsidRDefault="007610E4" w:rsidP="009652EF">
            <w:pPr>
              <w:pStyle w:val="naisf"/>
              <w:spacing w:before="0" w:after="0"/>
              <w:ind w:firstLine="0"/>
              <w:jc w:val="center"/>
              <w:rPr>
                <w:color w:val="000000" w:themeColor="text1"/>
              </w:rPr>
            </w:pPr>
            <w:r w:rsidRPr="00EB53EA">
              <w:rPr>
                <w:color w:val="000000" w:themeColor="text1"/>
              </w:rPr>
              <w:t>0</w:t>
            </w:r>
          </w:p>
        </w:tc>
      </w:tr>
      <w:tr w:rsidR="00AF666E" w:rsidRPr="00EB53EA" w14:paraId="0DA4F0C7" w14:textId="77777777" w:rsidTr="008A4EEF">
        <w:tc>
          <w:tcPr>
            <w:tcW w:w="2371" w:type="dxa"/>
            <w:gridSpan w:val="3"/>
          </w:tcPr>
          <w:p w14:paraId="285F4C5C" w14:textId="77777777" w:rsidR="00AF666E" w:rsidRPr="00EB53EA" w:rsidRDefault="00AF666E" w:rsidP="00710EAA">
            <w:pPr>
              <w:spacing w:before="60" w:after="60"/>
              <w:rPr>
                <w:color w:val="000000" w:themeColor="text1"/>
              </w:rPr>
            </w:pPr>
            <w:r w:rsidRPr="00EB53EA">
              <w:rPr>
                <w:color w:val="000000" w:themeColor="text1"/>
              </w:rPr>
              <w:t>6. Detalizēts ieņēmumu un izdevu</w:t>
            </w:r>
            <w:r w:rsidRPr="00EB53EA">
              <w:rPr>
                <w:color w:val="000000" w:themeColor="text1"/>
              </w:rPr>
              <w:softHyphen/>
              <w:t>mu aprēķins (ja nepieciešams, detalizētu ieņēmumu un izdevumu aprēķinu var pievienot anotācijas pielikumā):</w:t>
            </w:r>
          </w:p>
        </w:tc>
        <w:tc>
          <w:tcPr>
            <w:tcW w:w="6762" w:type="dxa"/>
            <w:gridSpan w:val="7"/>
            <w:vMerge w:val="restart"/>
          </w:tcPr>
          <w:p w14:paraId="6E1CF0C3" w14:textId="312EE14E" w:rsidR="002B21C0" w:rsidRPr="00EB53EA" w:rsidRDefault="002B21C0" w:rsidP="00FF2A6F">
            <w:pPr>
              <w:rPr>
                <w:u w:val="single"/>
              </w:rPr>
            </w:pPr>
            <w:r w:rsidRPr="00EB53EA">
              <w:rPr>
                <w:u w:val="single"/>
              </w:rPr>
              <w:t>Prognozētais papildu nepieciešamais finansējums – kopā:</w:t>
            </w:r>
          </w:p>
          <w:p w14:paraId="3ADC38F3" w14:textId="77777777" w:rsidR="002B21C0" w:rsidRPr="00EB53EA" w:rsidRDefault="002B21C0" w:rsidP="002B21C0">
            <w:pPr>
              <w:rPr>
                <w:b/>
                <w:i/>
                <w:color w:val="000000"/>
              </w:rPr>
            </w:pPr>
            <w:r w:rsidRPr="00EB53EA">
              <w:rPr>
                <w:color w:val="000000"/>
              </w:rPr>
              <w:t xml:space="preserve">Prognozētais papildu nepieciešamais finansējums </w:t>
            </w:r>
            <w:proofErr w:type="gramStart"/>
            <w:r w:rsidRPr="00EB53EA">
              <w:rPr>
                <w:color w:val="000000"/>
              </w:rPr>
              <w:t>2014.gadā</w:t>
            </w:r>
            <w:proofErr w:type="gramEnd"/>
            <w:r w:rsidRPr="00EB53EA">
              <w:rPr>
                <w:color w:val="000000"/>
              </w:rPr>
              <w:t xml:space="preserve"> – </w:t>
            </w:r>
            <w:r w:rsidRPr="00EB53EA">
              <w:rPr>
                <w:b/>
              </w:rPr>
              <w:t>987 909</w:t>
            </w:r>
            <w:r w:rsidRPr="00EB53EA">
              <w:rPr>
                <w:b/>
                <w:i/>
                <w:color w:val="000000"/>
              </w:rPr>
              <w:t xml:space="preserve"> </w:t>
            </w:r>
            <w:proofErr w:type="spellStart"/>
            <w:r w:rsidRPr="00EB53EA">
              <w:rPr>
                <w:b/>
                <w:i/>
                <w:color w:val="000000"/>
              </w:rPr>
              <w:t>euro</w:t>
            </w:r>
            <w:proofErr w:type="spellEnd"/>
          </w:p>
          <w:p w14:paraId="2D8198F9" w14:textId="77777777" w:rsidR="002B21C0" w:rsidRPr="00EB53EA" w:rsidRDefault="002B21C0" w:rsidP="002B21C0">
            <w:pPr>
              <w:rPr>
                <w:b/>
                <w:i/>
                <w:color w:val="000000"/>
              </w:rPr>
            </w:pPr>
            <w:r w:rsidRPr="00EB53EA">
              <w:rPr>
                <w:color w:val="000000"/>
              </w:rPr>
              <w:t xml:space="preserve">Prognozētais papildu nepieciešamais finansējums </w:t>
            </w:r>
            <w:proofErr w:type="gramStart"/>
            <w:r w:rsidRPr="00EB53EA">
              <w:rPr>
                <w:color w:val="000000"/>
              </w:rPr>
              <w:t>2015.gadā</w:t>
            </w:r>
            <w:proofErr w:type="gramEnd"/>
            <w:r w:rsidRPr="00EB53EA">
              <w:rPr>
                <w:color w:val="000000"/>
              </w:rPr>
              <w:t xml:space="preserve"> un turpmāk (katru gadu) – </w:t>
            </w:r>
            <w:r w:rsidRPr="00EB53EA">
              <w:rPr>
                <w:b/>
              </w:rPr>
              <w:t>687 909</w:t>
            </w:r>
            <w:r w:rsidRPr="00EB53EA">
              <w:rPr>
                <w:color w:val="000000"/>
              </w:rPr>
              <w:t xml:space="preserve"> </w:t>
            </w:r>
            <w:proofErr w:type="spellStart"/>
            <w:r w:rsidRPr="00EB53EA">
              <w:rPr>
                <w:b/>
                <w:i/>
                <w:color w:val="000000"/>
              </w:rPr>
              <w:t>euro</w:t>
            </w:r>
            <w:proofErr w:type="spellEnd"/>
          </w:p>
          <w:p w14:paraId="6E86424D" w14:textId="069C8AB6" w:rsidR="002B21C0" w:rsidRPr="00EB53EA" w:rsidRDefault="002B21C0" w:rsidP="00FF2A6F">
            <w:r w:rsidRPr="00EB53EA">
              <w:t>No tā:</w:t>
            </w:r>
          </w:p>
          <w:p w14:paraId="6B012183" w14:textId="045F7222" w:rsidR="00AF666E" w:rsidRPr="00EB53EA" w:rsidRDefault="009A5325" w:rsidP="00FF2A6F">
            <w:r w:rsidRPr="00EB53EA">
              <w:rPr>
                <w:u w:val="single"/>
              </w:rPr>
              <w:t>I</w:t>
            </w:r>
            <w:r w:rsidR="002B21C0" w:rsidRPr="00EB53EA">
              <w:rPr>
                <w:u w:val="single"/>
              </w:rPr>
              <w:t xml:space="preserve">. </w:t>
            </w:r>
            <w:r w:rsidR="00AF666E" w:rsidRPr="00EB53EA">
              <w:rPr>
                <w:u w:val="single"/>
              </w:rPr>
              <w:t xml:space="preserve">Iekšlietu ministrija </w:t>
            </w:r>
            <w:r w:rsidR="00AF666E" w:rsidRPr="00EB53EA">
              <w:t>(</w:t>
            </w:r>
            <w:r w:rsidR="00C67B32" w:rsidRPr="00EB53EA">
              <w:t xml:space="preserve">Iekšlietu ministrijas veselības un sporta centrs, </w:t>
            </w:r>
            <w:r w:rsidR="00AF666E" w:rsidRPr="00EB53EA">
              <w:t>budžeta apakšprogramma 38.05.00 „Veselības aprūpe un fiziskā sagatavotība”)</w:t>
            </w:r>
          </w:p>
          <w:p w14:paraId="256F925B" w14:textId="77777777" w:rsidR="00AF666E" w:rsidRPr="00EB53EA" w:rsidRDefault="00AF666E" w:rsidP="00FF2A6F">
            <w:pPr>
              <w:rPr>
                <w:b/>
                <w:i/>
                <w:color w:val="000000"/>
              </w:rPr>
            </w:pPr>
            <w:r w:rsidRPr="00EB53EA">
              <w:rPr>
                <w:color w:val="000000"/>
              </w:rPr>
              <w:t xml:space="preserve">Likumā „Par </w:t>
            </w:r>
            <w:r w:rsidR="00080BAA" w:rsidRPr="00EB53EA">
              <w:rPr>
                <w:color w:val="000000"/>
              </w:rPr>
              <w:t xml:space="preserve">vidēja termiņa budžeta ietvaru </w:t>
            </w:r>
            <w:r w:rsidRPr="00EB53EA">
              <w:rPr>
                <w:color w:val="000000"/>
              </w:rPr>
              <w:t>2014.</w:t>
            </w:r>
            <w:r w:rsidR="00080BAA" w:rsidRPr="00EB53EA">
              <w:rPr>
                <w:color w:val="000000"/>
              </w:rPr>
              <w:t xml:space="preserve">, 2015. un 2016. </w:t>
            </w:r>
            <w:r w:rsidRPr="00EB53EA">
              <w:rPr>
                <w:color w:val="000000"/>
              </w:rPr>
              <w:t>gadam” apstiprinātie izdevumi</w:t>
            </w:r>
            <w:r w:rsidRPr="00EB53EA">
              <w:t xml:space="preserve"> pabalstiem – </w:t>
            </w:r>
            <w:r w:rsidRPr="00EB53EA">
              <w:rPr>
                <w:b/>
              </w:rPr>
              <w:t>99 188</w:t>
            </w:r>
            <w:r w:rsidRPr="00EB53EA">
              <w:rPr>
                <w:b/>
                <w:i/>
                <w:color w:val="000000"/>
              </w:rPr>
              <w:t xml:space="preserve"> </w:t>
            </w:r>
            <w:proofErr w:type="spellStart"/>
            <w:r w:rsidRPr="00EB53EA">
              <w:rPr>
                <w:b/>
                <w:i/>
                <w:color w:val="000000"/>
              </w:rPr>
              <w:t>euro</w:t>
            </w:r>
            <w:proofErr w:type="spellEnd"/>
          </w:p>
          <w:p w14:paraId="444E78F6" w14:textId="4B41B432" w:rsidR="00AF666E" w:rsidRPr="00EB53EA" w:rsidRDefault="00AF666E" w:rsidP="00FF2A6F">
            <w:pPr>
              <w:rPr>
                <w:b/>
                <w:i/>
                <w:color w:val="000000"/>
              </w:rPr>
            </w:pPr>
            <w:r w:rsidRPr="00EB53EA">
              <w:rPr>
                <w:color w:val="000000"/>
              </w:rPr>
              <w:t>Prognozētais papildu nepieciešamais finansējums</w:t>
            </w:r>
            <w:r w:rsidR="004705F1" w:rsidRPr="00EB53EA">
              <w:rPr>
                <w:color w:val="000000"/>
              </w:rPr>
              <w:t xml:space="preserve"> </w:t>
            </w:r>
            <w:proofErr w:type="gramStart"/>
            <w:r w:rsidR="004705F1" w:rsidRPr="00EB53EA">
              <w:rPr>
                <w:color w:val="000000"/>
              </w:rPr>
              <w:t>2014.gadā</w:t>
            </w:r>
            <w:proofErr w:type="gramEnd"/>
            <w:r w:rsidRPr="00EB53EA">
              <w:rPr>
                <w:color w:val="000000"/>
              </w:rPr>
              <w:t xml:space="preserve"> – </w:t>
            </w:r>
            <w:r w:rsidRPr="00EB53EA">
              <w:rPr>
                <w:b/>
              </w:rPr>
              <w:t>9</w:t>
            </w:r>
            <w:r w:rsidR="009A5325" w:rsidRPr="00EB53EA">
              <w:rPr>
                <w:b/>
              </w:rPr>
              <w:t>7</w:t>
            </w:r>
            <w:r w:rsidRPr="00EB53EA">
              <w:rPr>
                <w:b/>
              </w:rPr>
              <w:t xml:space="preserve">7 </w:t>
            </w:r>
            <w:r w:rsidR="009A5325" w:rsidRPr="00EB53EA">
              <w:rPr>
                <w:b/>
              </w:rPr>
              <w:t>7</w:t>
            </w:r>
            <w:r w:rsidRPr="00EB53EA">
              <w:rPr>
                <w:b/>
              </w:rPr>
              <w:t>09</w:t>
            </w:r>
            <w:r w:rsidRPr="00EB53EA">
              <w:rPr>
                <w:b/>
                <w:i/>
                <w:color w:val="000000"/>
              </w:rPr>
              <w:t xml:space="preserve"> </w:t>
            </w:r>
            <w:proofErr w:type="spellStart"/>
            <w:r w:rsidRPr="00EB53EA">
              <w:rPr>
                <w:b/>
                <w:i/>
                <w:color w:val="000000"/>
              </w:rPr>
              <w:t>euro</w:t>
            </w:r>
            <w:proofErr w:type="spellEnd"/>
          </w:p>
          <w:p w14:paraId="11834F49" w14:textId="5AEA04CF" w:rsidR="00664FC6" w:rsidRPr="00EB53EA" w:rsidRDefault="00664FC6" w:rsidP="00FF2A6F">
            <w:pPr>
              <w:rPr>
                <w:b/>
                <w:i/>
                <w:color w:val="000000"/>
              </w:rPr>
            </w:pPr>
            <w:r w:rsidRPr="00EB53EA">
              <w:rPr>
                <w:color w:val="000000"/>
              </w:rPr>
              <w:t xml:space="preserve">Prognozētais </w:t>
            </w:r>
            <w:r w:rsidR="00990B02" w:rsidRPr="00EB53EA">
              <w:rPr>
                <w:color w:val="000000"/>
              </w:rPr>
              <w:t xml:space="preserve">papildu </w:t>
            </w:r>
            <w:r w:rsidRPr="00EB53EA">
              <w:rPr>
                <w:color w:val="000000"/>
              </w:rPr>
              <w:t xml:space="preserve">nepieciešamais finansējums </w:t>
            </w:r>
            <w:proofErr w:type="gramStart"/>
            <w:r w:rsidRPr="00EB53EA">
              <w:rPr>
                <w:color w:val="000000"/>
              </w:rPr>
              <w:t>2015.gadā</w:t>
            </w:r>
            <w:proofErr w:type="gramEnd"/>
            <w:r w:rsidRPr="00EB53EA">
              <w:rPr>
                <w:color w:val="000000"/>
              </w:rPr>
              <w:t xml:space="preserve"> un turpmāk (katru gadu) –</w:t>
            </w:r>
            <w:r w:rsidR="00C82F00" w:rsidRPr="00EB53EA">
              <w:rPr>
                <w:color w:val="000000"/>
              </w:rPr>
              <w:t xml:space="preserve"> </w:t>
            </w:r>
            <w:r w:rsidR="00C82F00" w:rsidRPr="00EB53EA">
              <w:rPr>
                <w:b/>
              </w:rPr>
              <w:t>6</w:t>
            </w:r>
            <w:r w:rsidR="002B21C0" w:rsidRPr="00EB53EA">
              <w:rPr>
                <w:b/>
              </w:rPr>
              <w:t>7</w:t>
            </w:r>
            <w:r w:rsidR="00C82F00" w:rsidRPr="00EB53EA">
              <w:rPr>
                <w:b/>
              </w:rPr>
              <w:t>7 </w:t>
            </w:r>
            <w:r w:rsidR="002B21C0" w:rsidRPr="00EB53EA">
              <w:rPr>
                <w:b/>
              </w:rPr>
              <w:t>7</w:t>
            </w:r>
            <w:r w:rsidR="00C82F00" w:rsidRPr="00EB53EA">
              <w:rPr>
                <w:b/>
              </w:rPr>
              <w:t>09</w:t>
            </w:r>
            <w:r w:rsidR="00C82F00" w:rsidRPr="00EB53EA">
              <w:rPr>
                <w:color w:val="000000"/>
              </w:rPr>
              <w:t xml:space="preserve"> </w:t>
            </w:r>
            <w:proofErr w:type="spellStart"/>
            <w:r w:rsidRPr="00EB53EA">
              <w:rPr>
                <w:b/>
                <w:i/>
                <w:color w:val="000000"/>
              </w:rPr>
              <w:t>euro</w:t>
            </w:r>
            <w:proofErr w:type="spellEnd"/>
          </w:p>
          <w:p w14:paraId="758555CB" w14:textId="2037264D" w:rsidR="00664FC6" w:rsidRPr="00EB53EA" w:rsidRDefault="00664FC6" w:rsidP="00FF2A6F">
            <w:pPr>
              <w:rPr>
                <w:b/>
                <w:i/>
                <w:color w:val="000000"/>
              </w:rPr>
            </w:pPr>
            <w:r w:rsidRPr="00EB53EA">
              <w:rPr>
                <w:color w:val="000000"/>
              </w:rPr>
              <w:t xml:space="preserve">Prognozētais nepieciešamais finansējums </w:t>
            </w:r>
            <w:proofErr w:type="gramStart"/>
            <w:r w:rsidRPr="00EB53EA">
              <w:rPr>
                <w:color w:val="000000"/>
              </w:rPr>
              <w:t>2014.gadā</w:t>
            </w:r>
            <w:proofErr w:type="gramEnd"/>
            <w:r w:rsidRPr="00EB53EA">
              <w:rPr>
                <w:color w:val="000000"/>
              </w:rPr>
              <w:t xml:space="preserve"> –</w:t>
            </w:r>
            <w:r w:rsidR="00B05EBC" w:rsidRPr="00EB53EA">
              <w:rPr>
                <w:b/>
              </w:rPr>
              <w:t>  1 076 897</w:t>
            </w:r>
            <w:r w:rsidRPr="00EB53EA">
              <w:rPr>
                <w:b/>
                <w:i/>
                <w:color w:val="000000"/>
              </w:rPr>
              <w:t xml:space="preserve"> </w:t>
            </w:r>
            <w:proofErr w:type="spellStart"/>
            <w:r w:rsidRPr="00EB53EA">
              <w:rPr>
                <w:b/>
                <w:i/>
                <w:color w:val="000000"/>
              </w:rPr>
              <w:t>euro</w:t>
            </w:r>
            <w:proofErr w:type="spellEnd"/>
            <w:r w:rsidRPr="00EB53EA">
              <w:rPr>
                <w:b/>
                <w:i/>
                <w:color w:val="000000"/>
              </w:rPr>
              <w:t>, no tā:</w:t>
            </w:r>
          </w:p>
          <w:p w14:paraId="17394861" w14:textId="77777777" w:rsidR="00AF666E" w:rsidRPr="00EB53EA" w:rsidRDefault="00AF666E" w:rsidP="00FF2A6F">
            <w:pPr>
              <w:jc w:val="both"/>
              <w:rPr>
                <w:color w:val="000000"/>
              </w:rPr>
            </w:pPr>
            <w:r w:rsidRPr="00EB53EA">
              <w:t>1.</w:t>
            </w:r>
            <w:r w:rsidRPr="00EB53EA">
              <w:rPr>
                <w:color w:val="000000"/>
              </w:rPr>
              <w:t>Vienreizējs pabalsts Iekšlietu ministrijas sistēmas iestāžu amatpersonas ar speciālo dienesta pakāpi bojāejas (nāves) gadījumā, pildot ar dzīvības vai veselības apdraudējumu saistītus dienesta pienākumus:</w:t>
            </w:r>
          </w:p>
          <w:p w14:paraId="0B9A7FFE" w14:textId="77777777" w:rsidR="00AF666E" w:rsidRPr="00EB53EA" w:rsidRDefault="00AF666E" w:rsidP="00FF2A6F">
            <w:pPr>
              <w:rPr>
                <w:color w:val="000000"/>
              </w:rPr>
            </w:pPr>
            <w:r w:rsidRPr="00EB53EA">
              <w:t xml:space="preserve">100 000 </w:t>
            </w:r>
            <w:proofErr w:type="spellStart"/>
            <w:r w:rsidRPr="00EB53EA">
              <w:rPr>
                <w:i/>
                <w:color w:val="000000"/>
              </w:rPr>
              <w:t>euro</w:t>
            </w:r>
            <w:proofErr w:type="spellEnd"/>
            <w:r w:rsidRPr="00EB53EA">
              <w:rPr>
                <w:color w:val="000000"/>
              </w:rPr>
              <w:t xml:space="preserve"> x 4 pers. = </w:t>
            </w:r>
            <w:r w:rsidRPr="00EB53EA">
              <w:rPr>
                <w:b/>
                <w:color w:val="000000"/>
              </w:rPr>
              <w:t>400 000</w:t>
            </w:r>
            <w:r w:rsidRPr="00EB53EA">
              <w:rPr>
                <w:b/>
                <w:i/>
                <w:color w:val="000000"/>
              </w:rPr>
              <w:t xml:space="preserve"> </w:t>
            </w:r>
            <w:proofErr w:type="spellStart"/>
            <w:r w:rsidRPr="00EB53EA">
              <w:rPr>
                <w:b/>
                <w:i/>
                <w:color w:val="000000"/>
              </w:rPr>
              <w:t>euro</w:t>
            </w:r>
            <w:proofErr w:type="spellEnd"/>
            <w:r w:rsidR="006C55ED" w:rsidRPr="00EB53EA">
              <w:rPr>
                <w:b/>
                <w:i/>
                <w:color w:val="000000"/>
              </w:rPr>
              <w:t xml:space="preserve"> </w:t>
            </w:r>
            <w:proofErr w:type="gramStart"/>
            <w:r w:rsidR="006C55ED" w:rsidRPr="00EB53EA">
              <w:rPr>
                <w:color w:val="000000"/>
              </w:rPr>
              <w:t>(</w:t>
            </w:r>
            <w:proofErr w:type="gramEnd"/>
            <w:r w:rsidR="006C55ED" w:rsidRPr="00EB53EA">
              <w:rPr>
                <w:color w:val="000000"/>
              </w:rPr>
              <w:t>no tā: 3 bojāgājušie traģēdijā Rīgā, Priedaines ielā 20)</w:t>
            </w:r>
          </w:p>
          <w:p w14:paraId="412CE314" w14:textId="77777777" w:rsidR="00AF666E" w:rsidRPr="00EB53EA" w:rsidRDefault="00AF666E" w:rsidP="00FF2A6F">
            <w:pPr>
              <w:jc w:val="both"/>
              <w:rPr>
                <w:color w:val="000000"/>
              </w:rPr>
            </w:pPr>
            <w:r w:rsidRPr="00EB53EA">
              <w:rPr>
                <w:color w:val="000000"/>
              </w:rPr>
              <w:t xml:space="preserve">2.Vienreizējs pabalsts 12 mēnešalgu apmērā, bet ne </w:t>
            </w:r>
            <w:proofErr w:type="gramStart"/>
            <w:r w:rsidRPr="00EB53EA">
              <w:rPr>
                <w:color w:val="000000"/>
              </w:rPr>
              <w:t>mazāks kā</w:t>
            </w:r>
            <w:proofErr w:type="gramEnd"/>
            <w:r w:rsidRPr="00EB53EA">
              <w:rPr>
                <w:color w:val="000000"/>
              </w:rPr>
              <w:t xml:space="preserve"> 10 000 </w:t>
            </w:r>
            <w:proofErr w:type="spellStart"/>
            <w:r w:rsidRPr="00EB53EA">
              <w:rPr>
                <w:i/>
                <w:color w:val="000000"/>
              </w:rPr>
              <w:t>euro</w:t>
            </w:r>
            <w:proofErr w:type="spellEnd"/>
            <w:r w:rsidRPr="00EB53EA">
              <w:rPr>
                <w:color w:val="000000"/>
              </w:rPr>
              <w:t xml:space="preserve"> apmērā Iekšlietu ministrijas sistēmas iestāžu amatpersonas ar speciālo dienesta pakāpi nāves gadījumā:</w:t>
            </w:r>
          </w:p>
          <w:p w14:paraId="72104BC2" w14:textId="6D48B36A" w:rsidR="00AF666E" w:rsidRPr="00EB53EA" w:rsidRDefault="00AF666E" w:rsidP="00FF2A6F">
            <w:pPr>
              <w:jc w:val="both"/>
              <w:rPr>
                <w:b/>
                <w:i/>
                <w:color w:val="000000"/>
              </w:rPr>
            </w:pPr>
            <w:r w:rsidRPr="00EB53EA">
              <w:rPr>
                <w:color w:val="000000"/>
              </w:rPr>
              <w:t xml:space="preserve">10 000 </w:t>
            </w:r>
            <w:proofErr w:type="spellStart"/>
            <w:r w:rsidRPr="00EB53EA">
              <w:rPr>
                <w:i/>
                <w:color w:val="000000"/>
              </w:rPr>
              <w:t>euro</w:t>
            </w:r>
            <w:proofErr w:type="spellEnd"/>
            <w:r w:rsidRPr="00EB53EA">
              <w:rPr>
                <w:color w:val="000000"/>
              </w:rPr>
              <w:t xml:space="preserve"> x </w:t>
            </w:r>
            <w:r w:rsidR="00B05EBC" w:rsidRPr="00EB53EA">
              <w:rPr>
                <w:color w:val="000000"/>
              </w:rPr>
              <w:t>7</w:t>
            </w:r>
            <w:r w:rsidRPr="00EB53EA">
              <w:rPr>
                <w:color w:val="000000"/>
              </w:rPr>
              <w:t xml:space="preserve"> pers. = </w:t>
            </w:r>
            <w:r w:rsidR="00B05EBC" w:rsidRPr="00EB53EA">
              <w:rPr>
                <w:b/>
                <w:color w:val="000000"/>
              </w:rPr>
              <w:t>7</w:t>
            </w:r>
            <w:r w:rsidRPr="00EB53EA">
              <w:rPr>
                <w:b/>
                <w:color w:val="000000"/>
              </w:rPr>
              <w:t xml:space="preserve">0 000 </w:t>
            </w:r>
            <w:proofErr w:type="spellStart"/>
            <w:r w:rsidRPr="00EB53EA">
              <w:rPr>
                <w:b/>
                <w:i/>
                <w:color w:val="000000"/>
              </w:rPr>
              <w:t>euro</w:t>
            </w:r>
            <w:proofErr w:type="spellEnd"/>
          </w:p>
          <w:p w14:paraId="763734FA" w14:textId="77777777" w:rsidR="00AF666E" w:rsidRPr="00EB53EA" w:rsidRDefault="00AF666E" w:rsidP="00FF2A6F">
            <w:pPr>
              <w:jc w:val="both"/>
              <w:rPr>
                <w:color w:val="000000"/>
              </w:rPr>
            </w:pPr>
            <w:r w:rsidRPr="00EB53EA">
              <w:rPr>
                <w:color w:val="000000"/>
              </w:rPr>
              <w:t>3. Vienreizējs pabalsts sakarā ar invaliditāti, kas gūta, pildot ar dzīvības vai veselības apdraudējumu saistītus dienesta pienākumus:</w:t>
            </w:r>
          </w:p>
          <w:p w14:paraId="3EF8636A" w14:textId="77777777" w:rsidR="00AF666E" w:rsidRPr="00EB53EA" w:rsidRDefault="00AF666E" w:rsidP="00FF2A6F">
            <w:pPr>
              <w:pStyle w:val="ListParagraph"/>
              <w:numPr>
                <w:ilvl w:val="0"/>
                <w:numId w:val="4"/>
              </w:numPr>
              <w:ind w:left="0" w:hanging="311"/>
              <w:jc w:val="both"/>
              <w:rPr>
                <w:i/>
                <w:color w:val="000000"/>
              </w:rPr>
            </w:pPr>
            <w:r w:rsidRPr="00EB53EA">
              <w:rPr>
                <w:color w:val="000000"/>
              </w:rPr>
              <w:t xml:space="preserve">71 145 </w:t>
            </w:r>
            <w:proofErr w:type="spellStart"/>
            <w:r w:rsidRPr="00EB53EA">
              <w:rPr>
                <w:i/>
                <w:color w:val="000000"/>
              </w:rPr>
              <w:t>euro</w:t>
            </w:r>
            <w:proofErr w:type="spellEnd"/>
            <w:r w:rsidRPr="00EB53EA">
              <w:rPr>
                <w:color w:val="000000"/>
              </w:rPr>
              <w:t xml:space="preserve"> x 2 pers. = 142 290</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(I grupas invalīdam)</w:t>
            </w:r>
          </w:p>
          <w:p w14:paraId="5A0AB871" w14:textId="77777777" w:rsidR="00AF666E" w:rsidRPr="00EB53EA" w:rsidRDefault="00AF666E" w:rsidP="00FF2A6F">
            <w:pPr>
              <w:pStyle w:val="ListParagraph"/>
              <w:numPr>
                <w:ilvl w:val="0"/>
                <w:numId w:val="4"/>
              </w:numPr>
              <w:ind w:left="0" w:hanging="283"/>
              <w:jc w:val="both"/>
              <w:rPr>
                <w:color w:val="000000"/>
              </w:rPr>
            </w:pPr>
            <w:r w:rsidRPr="00EB53EA">
              <w:rPr>
                <w:color w:val="000000"/>
              </w:rPr>
              <w:t>35 573</w:t>
            </w:r>
            <w:r w:rsidRPr="00EB53EA">
              <w:rPr>
                <w:i/>
                <w:color w:val="000000"/>
              </w:rPr>
              <w:t xml:space="preserve"> </w:t>
            </w:r>
            <w:proofErr w:type="spellStart"/>
            <w:r w:rsidRPr="00EB53EA">
              <w:rPr>
                <w:i/>
                <w:color w:val="000000"/>
              </w:rPr>
              <w:t>euro</w:t>
            </w:r>
            <w:proofErr w:type="spellEnd"/>
            <w:r w:rsidRPr="00EB53EA">
              <w:rPr>
                <w:color w:val="000000"/>
              </w:rPr>
              <w:t xml:space="preserve"> x 1 pers. = 35 573</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(II grupas invalīdam)</w:t>
            </w:r>
          </w:p>
          <w:p w14:paraId="6852A635" w14:textId="77777777" w:rsidR="00AF666E" w:rsidRPr="00EB53EA" w:rsidRDefault="00AF666E" w:rsidP="00FF2A6F">
            <w:pPr>
              <w:pStyle w:val="ListParagraph"/>
              <w:numPr>
                <w:ilvl w:val="0"/>
                <w:numId w:val="4"/>
              </w:numPr>
              <w:ind w:left="0" w:hanging="170"/>
              <w:jc w:val="both"/>
              <w:rPr>
                <w:color w:val="000000"/>
              </w:rPr>
            </w:pPr>
            <w:r w:rsidRPr="00EB53EA">
              <w:rPr>
                <w:color w:val="000000"/>
              </w:rPr>
              <w:t xml:space="preserve">  14 229</w:t>
            </w:r>
            <w:r w:rsidRPr="00EB53EA">
              <w:rPr>
                <w:i/>
                <w:color w:val="000000"/>
              </w:rPr>
              <w:t xml:space="preserve"> </w:t>
            </w:r>
            <w:proofErr w:type="spellStart"/>
            <w:r w:rsidRPr="00EB53EA">
              <w:rPr>
                <w:i/>
                <w:color w:val="000000"/>
              </w:rPr>
              <w:t>euro</w:t>
            </w:r>
            <w:proofErr w:type="spellEnd"/>
            <w:r w:rsidRPr="00EB53EA">
              <w:rPr>
                <w:color w:val="000000"/>
              </w:rPr>
              <w:t xml:space="preserve"> x 2 pers.= 28 458</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(III grupas invalīdam)</w:t>
            </w:r>
          </w:p>
          <w:p w14:paraId="45BF3351" w14:textId="1917DB07" w:rsidR="00AF666E" w:rsidRPr="00EB53EA" w:rsidRDefault="00AF666E" w:rsidP="00FF2A6F">
            <w:pPr>
              <w:jc w:val="both"/>
              <w:rPr>
                <w:b/>
                <w:i/>
                <w:color w:val="000000"/>
              </w:rPr>
            </w:pPr>
            <w:r w:rsidRPr="00EB53EA">
              <w:rPr>
                <w:color w:val="000000"/>
              </w:rPr>
              <w:t xml:space="preserve">Izdevumi – kopā </w:t>
            </w:r>
            <w:r w:rsidR="00382850" w:rsidRPr="00EB53EA">
              <w:rPr>
                <w:b/>
                <w:color w:val="000000"/>
              </w:rPr>
              <w:t>19</w:t>
            </w:r>
            <w:r w:rsidRPr="00EB53EA">
              <w:rPr>
                <w:b/>
                <w:color w:val="000000"/>
              </w:rPr>
              <w:t>6 321</w:t>
            </w:r>
            <w:r w:rsidRPr="00EB53EA">
              <w:rPr>
                <w:b/>
                <w:i/>
                <w:color w:val="000000"/>
              </w:rPr>
              <w:t xml:space="preserve"> </w:t>
            </w:r>
            <w:proofErr w:type="spellStart"/>
            <w:r w:rsidRPr="00EB53EA">
              <w:rPr>
                <w:b/>
                <w:i/>
                <w:color w:val="000000"/>
              </w:rPr>
              <w:t>euro</w:t>
            </w:r>
            <w:proofErr w:type="spellEnd"/>
          </w:p>
          <w:p w14:paraId="53209220" w14:textId="77777777" w:rsidR="00AF666E" w:rsidRPr="00EB53EA" w:rsidRDefault="00AF666E" w:rsidP="00FF2A6F">
            <w:pPr>
              <w:jc w:val="both"/>
              <w:rPr>
                <w:color w:val="000000"/>
              </w:rPr>
            </w:pPr>
            <w:r w:rsidRPr="00EB53EA">
              <w:rPr>
                <w:color w:val="000000"/>
              </w:rPr>
              <w:lastRenderedPageBreak/>
              <w:t>4. Vienreizējs pabalsts sakarā ar ievainojumu vai citādu kaitējumu veselībai, kas gūts, pildot ar dzīvības vai veselības apdraudējumu saistītus dienesta pienākumus, ja invaliditāte nav noteikta:</w:t>
            </w:r>
          </w:p>
          <w:p w14:paraId="2392BE74" w14:textId="77777777" w:rsidR="00AF666E" w:rsidRPr="00EB53EA" w:rsidRDefault="00AF666E" w:rsidP="00FF2A6F">
            <w:pPr>
              <w:jc w:val="both"/>
              <w:rPr>
                <w:color w:val="000000"/>
              </w:rPr>
            </w:pPr>
            <w:r w:rsidRPr="00EB53EA">
              <w:rPr>
                <w:color w:val="000000"/>
              </w:rPr>
              <w:t xml:space="preserve">– 10 000 </w:t>
            </w:r>
            <w:proofErr w:type="spellStart"/>
            <w:r w:rsidRPr="00EB53EA">
              <w:rPr>
                <w:i/>
                <w:color w:val="000000"/>
              </w:rPr>
              <w:t>euro</w:t>
            </w:r>
            <w:proofErr w:type="spellEnd"/>
            <w:r w:rsidRPr="00EB53EA">
              <w:rPr>
                <w:color w:val="000000"/>
              </w:rPr>
              <w:t xml:space="preserve"> x 3 pers. = 30 000</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 xml:space="preserve">(smags veselības bojājums); </w:t>
            </w:r>
          </w:p>
          <w:p w14:paraId="4FA12009" w14:textId="77777777" w:rsidR="00AF666E" w:rsidRPr="00EB53EA" w:rsidRDefault="00AF666E" w:rsidP="00FF2A6F">
            <w:pPr>
              <w:jc w:val="both"/>
              <w:rPr>
                <w:color w:val="000000"/>
              </w:rPr>
            </w:pPr>
            <w:r w:rsidRPr="00EB53EA">
              <w:rPr>
                <w:color w:val="000000"/>
              </w:rPr>
              <w:t>– 5 000</w:t>
            </w:r>
            <w:r w:rsidRPr="00EB53EA">
              <w:rPr>
                <w:i/>
                <w:color w:val="000000"/>
              </w:rPr>
              <w:t xml:space="preserve"> </w:t>
            </w:r>
            <w:proofErr w:type="spellStart"/>
            <w:r w:rsidRPr="00EB53EA">
              <w:rPr>
                <w:i/>
                <w:color w:val="000000"/>
              </w:rPr>
              <w:t>euro</w:t>
            </w:r>
            <w:proofErr w:type="spellEnd"/>
            <w:r w:rsidRPr="00EB53EA">
              <w:rPr>
                <w:color w:val="000000"/>
              </w:rPr>
              <w:t xml:space="preserve"> x 22 pers. = 110 000</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(vidēji smags veselības bojājums);</w:t>
            </w:r>
          </w:p>
          <w:p w14:paraId="7356E670" w14:textId="77777777" w:rsidR="00AF666E" w:rsidRPr="00EB53EA" w:rsidRDefault="00AF666E" w:rsidP="00FF2A6F">
            <w:pPr>
              <w:jc w:val="both"/>
              <w:rPr>
                <w:color w:val="000000"/>
              </w:rPr>
            </w:pPr>
            <w:r w:rsidRPr="00EB53EA">
              <w:rPr>
                <w:color w:val="000000"/>
              </w:rPr>
              <w:t xml:space="preserve">– 200 </w:t>
            </w:r>
            <w:proofErr w:type="spellStart"/>
            <w:r w:rsidRPr="00EB53EA">
              <w:rPr>
                <w:i/>
                <w:color w:val="000000"/>
              </w:rPr>
              <w:t>euro</w:t>
            </w:r>
            <w:proofErr w:type="spellEnd"/>
            <w:r w:rsidRPr="00EB53EA">
              <w:rPr>
                <w:color w:val="000000"/>
              </w:rPr>
              <w:t xml:space="preserve"> x 100 pers. = 20 000</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(viegls veselības bojājums).</w:t>
            </w:r>
          </w:p>
          <w:p w14:paraId="67D3497A" w14:textId="77777777" w:rsidR="00AF666E" w:rsidRPr="00EB53EA" w:rsidRDefault="00AF666E" w:rsidP="00FF2A6F">
            <w:pPr>
              <w:jc w:val="both"/>
              <w:rPr>
                <w:b/>
                <w:i/>
                <w:color w:val="000000"/>
              </w:rPr>
            </w:pPr>
            <w:r w:rsidRPr="00EB53EA">
              <w:rPr>
                <w:color w:val="000000"/>
              </w:rPr>
              <w:t xml:space="preserve">Izdevumi – kopā </w:t>
            </w:r>
            <w:r w:rsidRPr="00EB53EA">
              <w:rPr>
                <w:b/>
                <w:color w:val="000000"/>
              </w:rPr>
              <w:t>160 000</w:t>
            </w:r>
            <w:r w:rsidRPr="00EB53EA">
              <w:rPr>
                <w:b/>
                <w:i/>
                <w:color w:val="000000"/>
              </w:rPr>
              <w:t xml:space="preserve"> </w:t>
            </w:r>
            <w:proofErr w:type="spellStart"/>
            <w:r w:rsidRPr="00EB53EA">
              <w:rPr>
                <w:b/>
                <w:i/>
                <w:color w:val="000000"/>
              </w:rPr>
              <w:t>euro</w:t>
            </w:r>
            <w:proofErr w:type="spellEnd"/>
          </w:p>
          <w:p w14:paraId="2FB6B1A7" w14:textId="77777777" w:rsidR="00AF666E" w:rsidRPr="00EB53EA" w:rsidRDefault="00AF666E" w:rsidP="00FF2A6F">
            <w:pPr>
              <w:jc w:val="both"/>
              <w:rPr>
                <w:color w:val="000000"/>
              </w:rPr>
            </w:pPr>
            <w:r w:rsidRPr="00EB53EA">
              <w:rPr>
                <w:color w:val="000000"/>
              </w:rPr>
              <w:t>5. Vienreizējs pabalsts sakarā ar ievainojumu vai citādu kaitējumu veselībai, kas gūts, nepildot ar dzīvības vai veselības apdraudējumu saistītus dienesta pienākumus, ja invaliditāte nav noteikta:</w:t>
            </w:r>
          </w:p>
          <w:p w14:paraId="0ECA0F77" w14:textId="77777777" w:rsidR="00AF666E" w:rsidRPr="00EB53EA" w:rsidRDefault="00AF666E" w:rsidP="00FF2A6F">
            <w:pPr>
              <w:jc w:val="both"/>
              <w:rPr>
                <w:color w:val="000000"/>
              </w:rPr>
            </w:pPr>
            <w:r w:rsidRPr="00EB53EA">
              <w:rPr>
                <w:color w:val="000000"/>
              </w:rPr>
              <w:t xml:space="preserve">– 0,5 x 10 000 </w:t>
            </w:r>
            <w:proofErr w:type="spellStart"/>
            <w:r w:rsidRPr="00EB53EA">
              <w:rPr>
                <w:i/>
                <w:color w:val="000000"/>
              </w:rPr>
              <w:t>euro</w:t>
            </w:r>
            <w:proofErr w:type="spellEnd"/>
            <w:r w:rsidRPr="00EB53EA">
              <w:rPr>
                <w:color w:val="000000"/>
              </w:rPr>
              <w:t xml:space="preserve"> x 3 pers. = 15 000</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 xml:space="preserve">(smags veselības bojājums); </w:t>
            </w:r>
          </w:p>
          <w:p w14:paraId="78BFF9C1" w14:textId="77777777" w:rsidR="00AF666E" w:rsidRPr="00EB53EA" w:rsidRDefault="00AF666E" w:rsidP="00FF2A6F">
            <w:pPr>
              <w:jc w:val="both"/>
              <w:rPr>
                <w:color w:val="000000"/>
              </w:rPr>
            </w:pPr>
            <w:r w:rsidRPr="00EB53EA">
              <w:rPr>
                <w:color w:val="000000"/>
              </w:rPr>
              <w:t>– 0,5 x 5 000</w:t>
            </w:r>
            <w:r w:rsidRPr="00EB53EA">
              <w:rPr>
                <w:i/>
                <w:color w:val="000000"/>
              </w:rPr>
              <w:t xml:space="preserve"> </w:t>
            </w:r>
            <w:proofErr w:type="spellStart"/>
            <w:r w:rsidRPr="00EB53EA">
              <w:rPr>
                <w:i/>
                <w:color w:val="000000"/>
              </w:rPr>
              <w:t>euro</w:t>
            </w:r>
            <w:proofErr w:type="spellEnd"/>
            <w:r w:rsidRPr="00EB53EA">
              <w:rPr>
                <w:color w:val="000000"/>
              </w:rPr>
              <w:t xml:space="preserve"> x 30 pers. = 75 000</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(vidēji smags veselības bojājums);</w:t>
            </w:r>
          </w:p>
          <w:p w14:paraId="77DD63C9" w14:textId="300A3813" w:rsidR="00AF666E" w:rsidRPr="00EB53EA" w:rsidRDefault="00AF666E" w:rsidP="00FF2A6F">
            <w:pPr>
              <w:jc w:val="both"/>
              <w:rPr>
                <w:color w:val="000000"/>
              </w:rPr>
            </w:pPr>
            <w:r w:rsidRPr="00EB53EA">
              <w:rPr>
                <w:color w:val="000000"/>
              </w:rPr>
              <w:t xml:space="preserve">– 0,5 x 200 </w:t>
            </w:r>
            <w:proofErr w:type="spellStart"/>
            <w:r w:rsidRPr="00EB53EA">
              <w:rPr>
                <w:i/>
                <w:color w:val="000000"/>
              </w:rPr>
              <w:t>euro</w:t>
            </w:r>
            <w:proofErr w:type="spellEnd"/>
            <w:r w:rsidRPr="00EB53EA">
              <w:rPr>
                <w:color w:val="000000"/>
              </w:rPr>
              <w:t xml:space="preserve"> x 15</w:t>
            </w:r>
            <w:r w:rsidR="00B05EBC" w:rsidRPr="00EB53EA">
              <w:rPr>
                <w:color w:val="000000"/>
              </w:rPr>
              <w:t>4</w:t>
            </w:r>
            <w:r w:rsidRPr="00EB53EA">
              <w:rPr>
                <w:color w:val="000000"/>
              </w:rPr>
              <w:t xml:space="preserve"> pers. = 15 </w:t>
            </w:r>
            <w:r w:rsidR="00B05EBC" w:rsidRPr="00EB53EA">
              <w:rPr>
                <w:color w:val="000000"/>
              </w:rPr>
              <w:t>4</w:t>
            </w:r>
            <w:r w:rsidRPr="00EB53EA">
              <w:rPr>
                <w:color w:val="000000"/>
              </w:rPr>
              <w:t>00</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(viegls veselības bojājums).</w:t>
            </w:r>
          </w:p>
          <w:p w14:paraId="034A0DD5" w14:textId="1315FE4E" w:rsidR="00AF666E" w:rsidRPr="00EB53EA" w:rsidRDefault="00AF666E" w:rsidP="00FF2A6F">
            <w:pPr>
              <w:jc w:val="both"/>
              <w:rPr>
                <w:b/>
                <w:i/>
                <w:color w:val="000000"/>
              </w:rPr>
            </w:pPr>
            <w:r w:rsidRPr="00EB53EA">
              <w:rPr>
                <w:color w:val="000000"/>
              </w:rPr>
              <w:t xml:space="preserve">Izdevumi – kopā </w:t>
            </w:r>
            <w:r w:rsidRPr="00EB53EA">
              <w:rPr>
                <w:b/>
                <w:color w:val="000000"/>
              </w:rPr>
              <w:t xml:space="preserve">105 </w:t>
            </w:r>
            <w:r w:rsidR="00382850" w:rsidRPr="00EB53EA">
              <w:rPr>
                <w:b/>
                <w:color w:val="000000"/>
              </w:rPr>
              <w:t>4</w:t>
            </w:r>
            <w:r w:rsidRPr="00EB53EA">
              <w:rPr>
                <w:b/>
                <w:color w:val="000000"/>
              </w:rPr>
              <w:t>00</w:t>
            </w:r>
            <w:r w:rsidRPr="00EB53EA">
              <w:rPr>
                <w:b/>
                <w:i/>
                <w:color w:val="000000"/>
              </w:rPr>
              <w:t xml:space="preserve"> </w:t>
            </w:r>
            <w:proofErr w:type="spellStart"/>
            <w:r w:rsidRPr="00EB53EA">
              <w:rPr>
                <w:b/>
                <w:i/>
                <w:color w:val="000000"/>
              </w:rPr>
              <w:t>euro</w:t>
            </w:r>
            <w:proofErr w:type="spellEnd"/>
          </w:p>
          <w:p w14:paraId="4B0168F0" w14:textId="77777777" w:rsidR="00AF666E" w:rsidRPr="00EB53EA" w:rsidRDefault="00AF666E" w:rsidP="00FF2A6F">
            <w:pPr>
              <w:jc w:val="both"/>
              <w:rPr>
                <w:color w:val="000000"/>
              </w:rPr>
            </w:pPr>
            <w:r w:rsidRPr="00EB53EA">
              <w:rPr>
                <w:color w:val="000000"/>
              </w:rPr>
              <w:t>6.</w:t>
            </w:r>
            <w:r w:rsidRPr="00EB53EA">
              <w:rPr>
                <w:b/>
                <w:color w:val="000000"/>
              </w:rPr>
              <w:t xml:space="preserve"> </w:t>
            </w:r>
            <w:r w:rsidRPr="00EB53EA">
              <w:rPr>
                <w:color w:val="000000"/>
              </w:rPr>
              <w:t>Vienreizējs pabalsts sakarā ar ievainojumu vai citādu kaitējumu veselībai, kas gūts, nepildot ar dzīvības vai veselības apdraudējumu saistītus dienesta pienākumus, ja invaliditāte ir noteikta:</w:t>
            </w:r>
          </w:p>
          <w:p w14:paraId="1023A0C0" w14:textId="77777777" w:rsidR="00AF666E" w:rsidRPr="00EB53EA" w:rsidRDefault="00AF666E" w:rsidP="00FF2A6F">
            <w:pPr>
              <w:jc w:val="both"/>
              <w:rPr>
                <w:i/>
                <w:color w:val="000000"/>
              </w:rPr>
            </w:pPr>
            <w:r w:rsidRPr="00EB53EA">
              <w:rPr>
                <w:color w:val="000000"/>
              </w:rPr>
              <w:t xml:space="preserve">– 0,5 x 71 145 </w:t>
            </w:r>
            <w:proofErr w:type="spellStart"/>
            <w:r w:rsidRPr="00EB53EA">
              <w:rPr>
                <w:i/>
                <w:color w:val="000000"/>
              </w:rPr>
              <w:t>euro</w:t>
            </w:r>
            <w:proofErr w:type="spellEnd"/>
            <w:r w:rsidRPr="00EB53EA">
              <w:rPr>
                <w:color w:val="000000"/>
              </w:rPr>
              <w:t xml:space="preserve"> x 2 pers. = 71 145</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(I grupas invalīdam)</w:t>
            </w:r>
          </w:p>
          <w:p w14:paraId="41DA9CE6" w14:textId="77777777" w:rsidR="00AF666E" w:rsidRPr="00EB53EA" w:rsidRDefault="00AF666E" w:rsidP="00FF2A6F">
            <w:pPr>
              <w:jc w:val="both"/>
              <w:rPr>
                <w:color w:val="000000"/>
              </w:rPr>
            </w:pPr>
            <w:r w:rsidRPr="00EB53EA">
              <w:rPr>
                <w:color w:val="000000"/>
              </w:rPr>
              <w:t xml:space="preserve">– 0,5 x 35 573 </w:t>
            </w:r>
            <w:proofErr w:type="spellStart"/>
            <w:r w:rsidRPr="00EB53EA">
              <w:rPr>
                <w:i/>
                <w:color w:val="000000"/>
              </w:rPr>
              <w:t>euro</w:t>
            </w:r>
            <w:proofErr w:type="spellEnd"/>
            <w:r w:rsidRPr="00EB53EA">
              <w:rPr>
                <w:color w:val="000000"/>
              </w:rPr>
              <w:t xml:space="preserve"> x 2 pers. = 35 573</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(II grupas invalīdam)</w:t>
            </w:r>
          </w:p>
          <w:p w14:paraId="7AC1F167" w14:textId="77777777" w:rsidR="00AF666E" w:rsidRPr="00EB53EA" w:rsidRDefault="00AF666E" w:rsidP="00FF2A6F">
            <w:pPr>
              <w:jc w:val="both"/>
              <w:rPr>
                <w:color w:val="000000"/>
              </w:rPr>
            </w:pPr>
            <w:r w:rsidRPr="00EB53EA">
              <w:rPr>
                <w:color w:val="000000"/>
              </w:rPr>
              <w:t>– 0,5 x 14 229</w:t>
            </w:r>
            <w:r w:rsidRPr="00EB53EA">
              <w:rPr>
                <w:i/>
                <w:color w:val="000000"/>
              </w:rPr>
              <w:t xml:space="preserve"> </w:t>
            </w:r>
            <w:proofErr w:type="spellStart"/>
            <w:r w:rsidRPr="00EB53EA">
              <w:rPr>
                <w:i/>
                <w:color w:val="000000"/>
              </w:rPr>
              <w:t>euro</w:t>
            </w:r>
            <w:proofErr w:type="spellEnd"/>
            <w:r w:rsidRPr="00EB53EA">
              <w:rPr>
                <w:color w:val="000000"/>
              </w:rPr>
              <w:t xml:space="preserve"> x 4 pers. = 28 458</w:t>
            </w:r>
            <w:r w:rsidRPr="00EB53EA">
              <w:rPr>
                <w:i/>
                <w:color w:val="000000"/>
              </w:rPr>
              <w:t xml:space="preserve"> </w:t>
            </w:r>
            <w:proofErr w:type="spellStart"/>
            <w:r w:rsidRPr="00EB53EA">
              <w:rPr>
                <w:i/>
                <w:color w:val="000000"/>
              </w:rPr>
              <w:t>euro</w:t>
            </w:r>
            <w:proofErr w:type="spellEnd"/>
            <w:r w:rsidRPr="00EB53EA">
              <w:rPr>
                <w:i/>
                <w:color w:val="000000"/>
              </w:rPr>
              <w:t xml:space="preserve"> </w:t>
            </w:r>
            <w:r w:rsidRPr="00EB53EA">
              <w:rPr>
                <w:color w:val="000000"/>
              </w:rPr>
              <w:t>(III grupas invalīdam)</w:t>
            </w:r>
          </w:p>
          <w:p w14:paraId="7D56F20D" w14:textId="77777777" w:rsidR="00AF666E" w:rsidRPr="00EB53EA" w:rsidRDefault="00AF666E" w:rsidP="00FF2A6F">
            <w:pPr>
              <w:jc w:val="both"/>
              <w:rPr>
                <w:b/>
                <w:i/>
                <w:color w:val="000000"/>
              </w:rPr>
            </w:pPr>
            <w:r w:rsidRPr="00EB53EA">
              <w:rPr>
                <w:color w:val="000000"/>
              </w:rPr>
              <w:t xml:space="preserve">Izdevumi – kopā </w:t>
            </w:r>
            <w:r w:rsidRPr="00EB53EA">
              <w:rPr>
                <w:b/>
                <w:color w:val="000000"/>
              </w:rPr>
              <w:t>135 176</w:t>
            </w:r>
            <w:r w:rsidRPr="00EB53EA">
              <w:rPr>
                <w:b/>
                <w:i/>
                <w:color w:val="000000"/>
              </w:rPr>
              <w:t xml:space="preserve"> </w:t>
            </w:r>
            <w:proofErr w:type="spellStart"/>
            <w:r w:rsidRPr="00EB53EA">
              <w:rPr>
                <w:b/>
                <w:i/>
                <w:color w:val="000000"/>
              </w:rPr>
              <w:t>euro</w:t>
            </w:r>
            <w:proofErr w:type="spellEnd"/>
          </w:p>
          <w:p w14:paraId="0B90E3D2" w14:textId="502A9834" w:rsidR="00273A9F" w:rsidRPr="00EB53EA" w:rsidRDefault="00273A9F" w:rsidP="00FF2A6F">
            <w:pPr>
              <w:rPr>
                <w:color w:val="000000"/>
              </w:rPr>
            </w:pPr>
            <w:r w:rsidRPr="00EB53EA">
              <w:rPr>
                <w:color w:val="000000"/>
              </w:rPr>
              <w:t xml:space="preserve">Prognozētais nepieciešamais finansējums </w:t>
            </w:r>
            <w:proofErr w:type="gramStart"/>
            <w:r w:rsidRPr="00EB53EA">
              <w:rPr>
                <w:color w:val="000000"/>
              </w:rPr>
              <w:t>2015.gadā</w:t>
            </w:r>
            <w:proofErr w:type="gramEnd"/>
            <w:r w:rsidRPr="00EB53EA">
              <w:rPr>
                <w:color w:val="000000"/>
              </w:rPr>
              <w:t xml:space="preserve"> un turpmāk (katru gadu) –</w:t>
            </w:r>
            <w:r w:rsidR="002B21C0" w:rsidRPr="00EB53EA">
              <w:rPr>
                <w:color w:val="000000"/>
              </w:rPr>
              <w:t xml:space="preserve"> 776 897 </w:t>
            </w:r>
            <w:proofErr w:type="spellStart"/>
            <w:r w:rsidRPr="00EB53EA">
              <w:rPr>
                <w:b/>
                <w:i/>
                <w:color w:val="000000"/>
              </w:rPr>
              <w:t>euro</w:t>
            </w:r>
            <w:proofErr w:type="spellEnd"/>
            <w:r w:rsidR="00D4062C" w:rsidRPr="00EB53EA">
              <w:rPr>
                <w:b/>
                <w:i/>
                <w:color w:val="000000"/>
              </w:rPr>
              <w:t xml:space="preserve"> </w:t>
            </w:r>
            <w:r w:rsidR="00D1252E" w:rsidRPr="00EB53EA">
              <w:rPr>
                <w:color w:val="000000"/>
              </w:rPr>
              <w:t>(par 3 samazināts bojāgājušo skaits)</w:t>
            </w:r>
            <w:r w:rsidR="002B21C0" w:rsidRPr="00EB53EA">
              <w:rPr>
                <w:color w:val="000000"/>
              </w:rPr>
              <w:t>.</w:t>
            </w:r>
          </w:p>
          <w:p w14:paraId="5080B5F2" w14:textId="77777777" w:rsidR="00C67B32" w:rsidRPr="00EB53EA" w:rsidRDefault="00C67B32" w:rsidP="00FF2A6F">
            <w:pPr>
              <w:jc w:val="both"/>
            </w:pPr>
            <w:r w:rsidRPr="00EB53EA">
              <w:t>Aprēķinos vidējais cietušo personu skaits gadā norādīts saskaņā ar Iekšlietu ministrijas veselības un sporta centra un Iekšlietu ministrijas sistēmas iestāžu sniegto informāciju par</w:t>
            </w:r>
            <w:r w:rsidR="00E27051" w:rsidRPr="00EB53EA">
              <w:t xml:space="preserve"> vidējiem rādītājiem </w:t>
            </w:r>
            <w:r w:rsidRPr="00EB53EA">
              <w:t>laikposm</w:t>
            </w:r>
            <w:r w:rsidR="00E27051" w:rsidRPr="00EB53EA">
              <w:t>ā</w:t>
            </w:r>
            <w:r w:rsidRPr="00EB53EA">
              <w:t xml:space="preserve"> no 2011. līdz </w:t>
            </w:r>
            <w:proofErr w:type="gramStart"/>
            <w:r w:rsidRPr="00EB53EA">
              <w:t>2013.gadam</w:t>
            </w:r>
            <w:proofErr w:type="gramEnd"/>
            <w:r w:rsidRPr="00EB53EA">
              <w:t>.</w:t>
            </w:r>
            <w:r w:rsidR="008C2585" w:rsidRPr="00EB53EA">
              <w:t xml:space="preserve"> </w:t>
            </w:r>
          </w:p>
          <w:p w14:paraId="0C6AFC4B" w14:textId="7C205383" w:rsidR="002B21C0" w:rsidRPr="00EB53EA" w:rsidRDefault="00BB3042" w:rsidP="002B21C0">
            <w:r w:rsidRPr="00EB53EA">
              <w:rPr>
                <w:u w:val="single"/>
              </w:rPr>
              <w:t>II</w:t>
            </w:r>
            <w:r w:rsidR="002B21C0" w:rsidRPr="00EB53EA">
              <w:rPr>
                <w:u w:val="single"/>
              </w:rPr>
              <w:t xml:space="preserve">. Tieslietu ministrija </w:t>
            </w:r>
            <w:r w:rsidR="002B21C0" w:rsidRPr="00EB53EA">
              <w:t>(Ieslodzījuma vietu pārvalde, budžeta apakšprogramma 04.01.00 „Ieslodzījuma vietas”)</w:t>
            </w:r>
          </w:p>
          <w:p w14:paraId="7F5D7407" w14:textId="18898A53" w:rsidR="002B21C0" w:rsidRPr="00EB53EA" w:rsidRDefault="002B21C0" w:rsidP="002B21C0">
            <w:pPr>
              <w:rPr>
                <w:b/>
                <w:i/>
                <w:color w:val="000000"/>
              </w:rPr>
            </w:pPr>
            <w:r w:rsidRPr="00EB53EA">
              <w:rPr>
                <w:color w:val="000000"/>
              </w:rPr>
              <w:t>Likumā „Par vidēja termiņa budžeta ietvaru 2014., 2015. un 2016. gadam” nav apstiprināti izdevumi</w:t>
            </w:r>
            <w:r w:rsidRPr="00EB53EA">
              <w:t xml:space="preserve"> pabalstiem. </w:t>
            </w:r>
          </w:p>
          <w:p w14:paraId="4EA34C9C" w14:textId="4C3F528A" w:rsidR="002B21C0" w:rsidRPr="00EB53EA" w:rsidRDefault="002B21C0" w:rsidP="00FF2A6F">
            <w:pPr>
              <w:jc w:val="both"/>
              <w:rPr>
                <w:color w:val="000000"/>
              </w:rPr>
            </w:pPr>
            <w:r w:rsidRPr="00EB53EA">
              <w:rPr>
                <w:color w:val="000000"/>
              </w:rPr>
              <w:t xml:space="preserve">Prognozētais papildu nepieciešamais finansējums </w:t>
            </w:r>
            <w:proofErr w:type="gramStart"/>
            <w:r w:rsidRPr="00EB53EA">
              <w:rPr>
                <w:color w:val="000000"/>
              </w:rPr>
              <w:t>201</w:t>
            </w:r>
            <w:r w:rsidR="009A5325" w:rsidRPr="00EB53EA">
              <w:rPr>
                <w:color w:val="000000"/>
              </w:rPr>
              <w:t>4</w:t>
            </w:r>
            <w:r w:rsidRPr="00EB53EA">
              <w:rPr>
                <w:color w:val="000000"/>
              </w:rPr>
              <w:t>.gadā</w:t>
            </w:r>
            <w:proofErr w:type="gramEnd"/>
            <w:r w:rsidRPr="00EB53EA">
              <w:rPr>
                <w:color w:val="000000"/>
              </w:rPr>
              <w:t xml:space="preserve"> un turpmāk (katru gadu) – 10 200 </w:t>
            </w:r>
            <w:proofErr w:type="spellStart"/>
            <w:r w:rsidRPr="00EB53EA">
              <w:rPr>
                <w:i/>
                <w:color w:val="000000"/>
              </w:rPr>
              <w:t>euro</w:t>
            </w:r>
            <w:proofErr w:type="spellEnd"/>
            <w:r w:rsidRPr="00EB53EA">
              <w:rPr>
                <w:color w:val="000000"/>
              </w:rPr>
              <w:t>.</w:t>
            </w:r>
          </w:p>
          <w:p w14:paraId="6E63DE2D" w14:textId="1D6AF62C" w:rsidR="009A5325" w:rsidRPr="00EB53EA" w:rsidRDefault="009A5325" w:rsidP="009A5325">
            <w:pPr>
              <w:jc w:val="both"/>
              <w:rPr>
                <w:color w:val="000000"/>
              </w:rPr>
            </w:pPr>
            <w:r w:rsidRPr="00EB53EA">
              <w:rPr>
                <w:color w:val="000000"/>
              </w:rPr>
              <w:t xml:space="preserve">1.Vienreizējs pabalsts 12 mēnešalgu apmērā, bet ne </w:t>
            </w:r>
            <w:proofErr w:type="gramStart"/>
            <w:r w:rsidRPr="00EB53EA">
              <w:rPr>
                <w:color w:val="000000"/>
              </w:rPr>
              <w:t>mazāks kā</w:t>
            </w:r>
            <w:proofErr w:type="gramEnd"/>
            <w:r w:rsidRPr="00EB53EA">
              <w:rPr>
                <w:color w:val="000000"/>
              </w:rPr>
              <w:t xml:space="preserve"> 10 000 </w:t>
            </w:r>
            <w:proofErr w:type="spellStart"/>
            <w:r w:rsidRPr="00EB53EA">
              <w:rPr>
                <w:i/>
                <w:color w:val="000000"/>
              </w:rPr>
              <w:t>euro</w:t>
            </w:r>
            <w:proofErr w:type="spellEnd"/>
            <w:r w:rsidRPr="00EB53EA">
              <w:rPr>
                <w:color w:val="000000"/>
              </w:rPr>
              <w:t xml:space="preserve"> apmērā amatpersonas ar speciālo dienesta pakāpi nāves gadījumā - izdevumi kopā </w:t>
            </w:r>
            <w:r w:rsidRPr="00EB53EA">
              <w:rPr>
                <w:b/>
                <w:color w:val="000000"/>
              </w:rPr>
              <w:t xml:space="preserve">10 000 </w:t>
            </w:r>
            <w:proofErr w:type="spellStart"/>
            <w:r w:rsidRPr="00EB53EA">
              <w:rPr>
                <w:b/>
                <w:i/>
                <w:color w:val="000000"/>
              </w:rPr>
              <w:t>euro</w:t>
            </w:r>
            <w:proofErr w:type="spellEnd"/>
            <w:r w:rsidR="00FA3806" w:rsidRPr="00EB53EA">
              <w:rPr>
                <w:i/>
                <w:color w:val="000000"/>
              </w:rPr>
              <w:t>.</w:t>
            </w:r>
          </w:p>
          <w:p w14:paraId="733FAE09" w14:textId="77777777" w:rsidR="009A5325" w:rsidRPr="00EB53EA" w:rsidRDefault="009A5325" w:rsidP="009A5325">
            <w:pPr>
              <w:jc w:val="both"/>
              <w:rPr>
                <w:color w:val="000000"/>
              </w:rPr>
            </w:pPr>
            <w:r w:rsidRPr="00EB53EA">
              <w:rPr>
                <w:color w:val="000000"/>
              </w:rPr>
              <w:t xml:space="preserve">2. Vienreizējs pabalsts sakarā ar ievainojumu vai citādu kaitējumu veselībai, kas gūts, nepildot ar dzīvības vai veselības apdraudējumu saistītus dienesta pienākumus, ja invaliditāte nav </w:t>
            </w:r>
            <w:proofErr w:type="gramStart"/>
            <w:r w:rsidRPr="00EB53EA">
              <w:rPr>
                <w:color w:val="000000"/>
              </w:rPr>
              <w:t>noteikta- i</w:t>
            </w:r>
            <w:proofErr w:type="gramEnd"/>
            <w:r w:rsidRPr="00EB53EA">
              <w:rPr>
                <w:color w:val="000000"/>
              </w:rPr>
              <w:t xml:space="preserve">zdevumi kopā </w:t>
            </w:r>
            <w:r w:rsidRPr="00EB53EA">
              <w:rPr>
                <w:b/>
                <w:color w:val="000000"/>
              </w:rPr>
              <w:t xml:space="preserve">200 </w:t>
            </w:r>
            <w:proofErr w:type="spellStart"/>
            <w:r w:rsidRPr="00EB53EA">
              <w:rPr>
                <w:b/>
                <w:i/>
                <w:color w:val="000000"/>
              </w:rPr>
              <w:t>euro</w:t>
            </w:r>
            <w:proofErr w:type="spellEnd"/>
            <w:r w:rsidRPr="00EB53EA">
              <w:rPr>
                <w:color w:val="000000"/>
              </w:rPr>
              <w:t>:</w:t>
            </w:r>
          </w:p>
          <w:p w14:paraId="6D0474CC" w14:textId="6B8526E3" w:rsidR="009A5325" w:rsidRPr="00EB53EA" w:rsidRDefault="009A5325" w:rsidP="009A5325">
            <w:pPr>
              <w:jc w:val="both"/>
              <w:rPr>
                <w:color w:val="000000"/>
              </w:rPr>
            </w:pPr>
            <w:r w:rsidRPr="00EB53EA">
              <w:rPr>
                <w:color w:val="000000"/>
              </w:rPr>
              <w:t xml:space="preserve"> - 0,5 x 200 </w:t>
            </w:r>
            <w:proofErr w:type="spellStart"/>
            <w:r w:rsidRPr="00EB53EA">
              <w:rPr>
                <w:i/>
                <w:color w:val="000000"/>
              </w:rPr>
              <w:t>euro</w:t>
            </w:r>
            <w:proofErr w:type="spellEnd"/>
            <w:r w:rsidRPr="00EB53EA">
              <w:rPr>
                <w:color w:val="000000"/>
              </w:rPr>
              <w:t xml:space="preserve"> x 2 pers. = 200 </w:t>
            </w:r>
            <w:proofErr w:type="spellStart"/>
            <w:r w:rsidRPr="00EB53EA">
              <w:rPr>
                <w:i/>
                <w:color w:val="000000"/>
              </w:rPr>
              <w:t>euro</w:t>
            </w:r>
            <w:proofErr w:type="spellEnd"/>
            <w:r w:rsidRPr="00EB53EA">
              <w:rPr>
                <w:color w:val="000000"/>
              </w:rPr>
              <w:t xml:space="preserve"> (viegls veselības bojājums)</w:t>
            </w:r>
            <w:r w:rsidR="00FA3806" w:rsidRPr="00EB53EA">
              <w:rPr>
                <w:color w:val="000000"/>
              </w:rPr>
              <w:t>.</w:t>
            </w:r>
          </w:p>
          <w:p w14:paraId="17E4AE62" w14:textId="77777777" w:rsidR="009A5325" w:rsidRPr="00EB53EA" w:rsidRDefault="009A5325" w:rsidP="00FF2A6F">
            <w:pPr>
              <w:jc w:val="both"/>
            </w:pPr>
          </w:p>
          <w:p w14:paraId="74D0E9C4" w14:textId="77777777" w:rsidR="008C2585" w:rsidRPr="00EB53EA" w:rsidRDefault="008C2585" w:rsidP="00FF2A6F">
            <w:pPr>
              <w:jc w:val="both"/>
              <w:rPr>
                <w:b/>
                <w:i/>
                <w:color w:val="000000"/>
              </w:rPr>
            </w:pPr>
            <w:r w:rsidRPr="00EB53EA">
              <w:t xml:space="preserve">Iekšlietu ministrijas rīcībā nav informācijas par citu institūciju izdevumiem pabalstu izmaksai un prognozēto ietekmi uz budžeta izdevumiem. </w:t>
            </w:r>
          </w:p>
        </w:tc>
      </w:tr>
      <w:tr w:rsidR="00AF666E" w:rsidRPr="00EB53EA" w14:paraId="15BBE666" w14:textId="77777777" w:rsidTr="008A4EEF">
        <w:tc>
          <w:tcPr>
            <w:tcW w:w="2371" w:type="dxa"/>
            <w:gridSpan w:val="3"/>
          </w:tcPr>
          <w:p w14:paraId="0BB5BD6A" w14:textId="2FAA836D" w:rsidR="00AF666E" w:rsidRPr="00EB53EA" w:rsidRDefault="00AF666E" w:rsidP="00710EAA">
            <w:pPr>
              <w:spacing w:before="60" w:after="60"/>
              <w:rPr>
                <w:color w:val="000000" w:themeColor="text1"/>
              </w:rPr>
            </w:pPr>
            <w:r w:rsidRPr="00EB53EA">
              <w:rPr>
                <w:color w:val="000000" w:themeColor="text1"/>
              </w:rPr>
              <w:t>6.1. detalizēts ieņēmumu aprēķins</w:t>
            </w:r>
          </w:p>
        </w:tc>
        <w:tc>
          <w:tcPr>
            <w:tcW w:w="6762" w:type="dxa"/>
            <w:gridSpan w:val="7"/>
            <w:vMerge/>
          </w:tcPr>
          <w:p w14:paraId="56304B0C" w14:textId="77777777" w:rsidR="00AF666E" w:rsidRPr="00EB53EA" w:rsidRDefault="00AF666E" w:rsidP="008A4EEF">
            <w:pPr>
              <w:pStyle w:val="naisf"/>
              <w:spacing w:before="60" w:after="60"/>
              <w:ind w:firstLine="0"/>
              <w:rPr>
                <w:color w:val="000000" w:themeColor="text1"/>
              </w:rPr>
            </w:pPr>
          </w:p>
        </w:tc>
      </w:tr>
      <w:tr w:rsidR="00AF666E" w:rsidRPr="00EB53EA" w14:paraId="0FB690D8" w14:textId="77777777" w:rsidTr="008A4EEF">
        <w:tc>
          <w:tcPr>
            <w:tcW w:w="2371" w:type="dxa"/>
            <w:gridSpan w:val="3"/>
          </w:tcPr>
          <w:p w14:paraId="6482A521" w14:textId="77777777" w:rsidR="00AF666E" w:rsidRPr="00EB53EA" w:rsidRDefault="00AF666E" w:rsidP="00710EAA">
            <w:pPr>
              <w:spacing w:before="60" w:after="60"/>
              <w:rPr>
                <w:color w:val="000000" w:themeColor="text1"/>
              </w:rPr>
            </w:pPr>
            <w:r w:rsidRPr="00EB53EA">
              <w:rPr>
                <w:color w:val="000000" w:themeColor="text1"/>
              </w:rPr>
              <w:t>6.2. detalizēts izdevumu aprēķins</w:t>
            </w:r>
          </w:p>
        </w:tc>
        <w:tc>
          <w:tcPr>
            <w:tcW w:w="6762" w:type="dxa"/>
            <w:gridSpan w:val="7"/>
            <w:vMerge/>
          </w:tcPr>
          <w:p w14:paraId="0305C72C" w14:textId="77777777" w:rsidR="00AF666E" w:rsidRPr="00EB53EA" w:rsidRDefault="00AF666E" w:rsidP="008A4EEF">
            <w:pPr>
              <w:pStyle w:val="naisf"/>
              <w:spacing w:before="60" w:after="60"/>
              <w:ind w:firstLine="0"/>
              <w:rPr>
                <w:color w:val="000000" w:themeColor="text1"/>
              </w:rPr>
            </w:pPr>
          </w:p>
        </w:tc>
      </w:tr>
      <w:tr w:rsidR="00AF666E" w:rsidRPr="00EB53EA" w14:paraId="520082CB" w14:textId="77777777" w:rsidTr="008A4EEF">
        <w:tc>
          <w:tcPr>
            <w:tcW w:w="2371" w:type="dxa"/>
            <w:gridSpan w:val="3"/>
          </w:tcPr>
          <w:p w14:paraId="69DF683D" w14:textId="77777777" w:rsidR="00AF666E" w:rsidRPr="00EB53EA" w:rsidRDefault="00AF666E" w:rsidP="008A4EEF">
            <w:pPr>
              <w:spacing w:before="60" w:after="60"/>
              <w:rPr>
                <w:color w:val="000000" w:themeColor="text1"/>
              </w:rPr>
            </w:pPr>
            <w:r w:rsidRPr="00EB53EA">
              <w:rPr>
                <w:color w:val="000000" w:themeColor="text1"/>
              </w:rPr>
              <w:lastRenderedPageBreak/>
              <w:t>7. Cita informācija</w:t>
            </w:r>
          </w:p>
        </w:tc>
        <w:tc>
          <w:tcPr>
            <w:tcW w:w="6762" w:type="dxa"/>
            <w:gridSpan w:val="7"/>
          </w:tcPr>
          <w:p w14:paraId="3AAEDEBA" w14:textId="0D1863AD" w:rsidR="00C56A76" w:rsidRPr="00EB53EA" w:rsidRDefault="00C56A76" w:rsidP="00C56A76">
            <w:pPr>
              <w:pStyle w:val="naisf"/>
              <w:spacing w:before="60" w:after="60"/>
              <w:ind w:firstLine="0"/>
              <w:rPr>
                <w:color w:val="000000" w:themeColor="text1"/>
              </w:rPr>
            </w:pPr>
            <w:r w:rsidRPr="00EB53EA">
              <w:rPr>
                <w:color w:val="000000" w:themeColor="text1"/>
              </w:rPr>
              <w:t xml:space="preserve">Saskaņā ar </w:t>
            </w:r>
            <w:r w:rsidR="003005B6" w:rsidRPr="00EB53EA">
              <w:rPr>
                <w:color w:val="000000" w:themeColor="text1"/>
              </w:rPr>
              <w:t xml:space="preserve">Atlīdzības </w:t>
            </w:r>
            <w:r w:rsidRPr="00EB53EA">
              <w:rPr>
                <w:color w:val="000000" w:themeColor="text1"/>
              </w:rPr>
              <w:t xml:space="preserve">likuma Pārejas noteikumu 27.punktu - Ja šā likuma </w:t>
            </w:r>
            <w:proofErr w:type="gramStart"/>
            <w:r w:rsidRPr="00EB53EA">
              <w:rPr>
                <w:color w:val="000000" w:themeColor="text1"/>
              </w:rPr>
              <w:t>19.pantā</w:t>
            </w:r>
            <w:proofErr w:type="gramEnd"/>
            <w:r w:rsidRPr="00EB53EA">
              <w:rPr>
                <w:color w:val="000000" w:themeColor="text1"/>
              </w:rPr>
              <w:t xml:space="preserve"> minēto pabalstu izmaksai likumā „Par valsts budžetu 2014.gadam” šim mērķim apstiprināto izdevumu apjoms ir nepietiekams, nepieciešamie papildu izdevumi tiek segti no valsts budžeta 74.resora „Gadskārtējā valsts budžeta izpildes procesā pārdalāmais finansējums” programmas 02.00.00 „Līdzekļi neparedzētiem gadījumiem”.</w:t>
            </w:r>
          </w:p>
          <w:p w14:paraId="1E1BDBFF" w14:textId="599702E7" w:rsidR="00056443" w:rsidRPr="00EB53EA" w:rsidRDefault="00056443" w:rsidP="00C56A76">
            <w:pPr>
              <w:pStyle w:val="naisf"/>
              <w:spacing w:before="60" w:after="60"/>
              <w:ind w:firstLine="0"/>
              <w:rPr>
                <w:color w:val="000000" w:themeColor="text1"/>
              </w:rPr>
            </w:pPr>
            <w:r w:rsidRPr="00EB53EA">
              <w:rPr>
                <w:color w:val="000000" w:themeColor="text1"/>
              </w:rPr>
              <w:t xml:space="preserve">Iekšlietu ministrija ir sagatavojusi Ministru kabineta rīkojuma projektu </w:t>
            </w:r>
            <w:r w:rsidR="009B6C9D" w:rsidRPr="00EB53EA">
              <w:rPr>
                <w:color w:val="000000" w:themeColor="text1"/>
              </w:rPr>
              <w:t xml:space="preserve">par papildu valsts budžeta līdzekļu piešķiršanu pabalstu izmaksai no valsts budžeta programmas „Līdzekļi neparedzētiem gadījumiem” 394 492 </w:t>
            </w:r>
            <w:proofErr w:type="spellStart"/>
            <w:r w:rsidR="009B6C9D" w:rsidRPr="00EB53EA">
              <w:rPr>
                <w:i/>
                <w:color w:val="000000" w:themeColor="text1"/>
              </w:rPr>
              <w:t>euro</w:t>
            </w:r>
            <w:proofErr w:type="spellEnd"/>
            <w:r w:rsidR="009B6C9D" w:rsidRPr="00EB53EA">
              <w:rPr>
                <w:color w:val="000000" w:themeColor="text1"/>
              </w:rPr>
              <w:t xml:space="preserve"> apmērā </w:t>
            </w:r>
            <w:proofErr w:type="gramStart"/>
            <w:r w:rsidR="009B6C9D" w:rsidRPr="00EB53EA">
              <w:rPr>
                <w:color w:val="000000" w:themeColor="text1"/>
              </w:rPr>
              <w:t>2014.gadā</w:t>
            </w:r>
            <w:proofErr w:type="gramEnd"/>
            <w:r w:rsidR="009B6C9D" w:rsidRPr="00EB53EA">
              <w:rPr>
                <w:color w:val="000000" w:themeColor="text1"/>
              </w:rPr>
              <w:t xml:space="preserve">, izvērtējot situāciju uz 2014.gada 20.augustu. Ieslodzījuma vietu pārvaldei finansējums pabalstu izmaksai pagaidām nav bijis nepieciešams. Līdz ar to faktiskie izdevumi </w:t>
            </w:r>
            <w:proofErr w:type="gramStart"/>
            <w:r w:rsidR="003005B6" w:rsidRPr="00EB53EA">
              <w:rPr>
                <w:color w:val="000000" w:themeColor="text1"/>
              </w:rPr>
              <w:t>2014.gadā</w:t>
            </w:r>
            <w:proofErr w:type="gramEnd"/>
            <w:r w:rsidR="003005B6" w:rsidRPr="00EB53EA">
              <w:rPr>
                <w:color w:val="000000" w:themeColor="text1"/>
              </w:rPr>
              <w:t xml:space="preserve"> </w:t>
            </w:r>
            <w:r w:rsidR="009B6C9D" w:rsidRPr="00EB53EA">
              <w:rPr>
                <w:color w:val="000000" w:themeColor="text1"/>
              </w:rPr>
              <w:t>varētu būt mazāki par prognozētajiem.</w:t>
            </w:r>
          </w:p>
          <w:p w14:paraId="61A354FE" w14:textId="59562E90" w:rsidR="00AF666E" w:rsidRPr="00EB53EA" w:rsidRDefault="00784102" w:rsidP="003005B6">
            <w:pPr>
              <w:pStyle w:val="naisf"/>
              <w:spacing w:before="60" w:after="60"/>
              <w:ind w:firstLine="0"/>
              <w:rPr>
                <w:color w:val="000000" w:themeColor="text1"/>
              </w:rPr>
            </w:pPr>
            <w:r w:rsidRPr="00EB53EA">
              <w:rPr>
                <w:color w:val="000000" w:themeColor="text1"/>
              </w:rPr>
              <w:t xml:space="preserve">Atbilstoši Ministru kabineta </w:t>
            </w:r>
            <w:proofErr w:type="gramStart"/>
            <w:r w:rsidRPr="00EB53EA">
              <w:rPr>
                <w:color w:val="000000" w:themeColor="text1"/>
              </w:rPr>
              <w:t>2014.gada</w:t>
            </w:r>
            <w:proofErr w:type="gramEnd"/>
            <w:r w:rsidRPr="00EB53EA">
              <w:rPr>
                <w:color w:val="000000" w:themeColor="text1"/>
              </w:rPr>
              <w:t xml:space="preserve"> 18.marta sēdē (prot.Nr.17 44.§) apstiprinātajiem ministriju un citu centrālo valsts iestāžu bāzes izdevumiem Iekšlietu ministrijas bāzes izdevumos pabalstu izmaksai 2015.gadā un turpmākajos gados ir paredzēts finansējums 364 274 </w:t>
            </w:r>
            <w:proofErr w:type="spellStart"/>
            <w:r w:rsidRPr="00EB53EA">
              <w:rPr>
                <w:i/>
                <w:color w:val="000000" w:themeColor="text1"/>
              </w:rPr>
              <w:t>euro</w:t>
            </w:r>
            <w:proofErr w:type="spellEnd"/>
            <w:r w:rsidRPr="00EB53EA">
              <w:rPr>
                <w:color w:val="000000" w:themeColor="text1"/>
              </w:rPr>
              <w:t xml:space="preserve"> apmērā ik gadu, savukārt nāves gadījumā vai I grupas invaliditātes iestāšanās gadījumā, ja attiecīgajā Iekšlietu ministrijas budžeta apakšprogrammā finansējums nebūs pietiekams, Iekšlietu ministrija pieprasīs papildu līdzekļus no valsts budžeta programmas “Līdzekļi neparedzētiem gadījumiem”.  Tieslietu ministrijai finansējums pabalstu izmaksai bāzes izdevumos nav paredzēts, un tas nepieciešamības gadījumā tiks </w:t>
            </w:r>
            <w:proofErr w:type="gramStart"/>
            <w:r w:rsidRPr="00EB53EA">
              <w:rPr>
                <w:color w:val="000000" w:themeColor="text1"/>
              </w:rPr>
              <w:t>pieprasīts no valsts budžeta programmas “Līdzekļi neparedzētiem gadījumiem”</w:t>
            </w:r>
            <w:proofErr w:type="gramEnd"/>
            <w:r w:rsidRPr="00EB53EA">
              <w:rPr>
                <w:color w:val="000000" w:themeColor="text1"/>
              </w:rPr>
              <w:t>.</w:t>
            </w:r>
            <w:r w:rsidR="00C56A76" w:rsidRPr="00EB53EA">
              <w:rPr>
                <w:color w:val="000000" w:themeColor="text1"/>
              </w:rPr>
              <w:t xml:space="preserve">  </w:t>
            </w:r>
          </w:p>
        </w:tc>
      </w:tr>
      <w:tr w:rsidR="002E1CAD" w:rsidRPr="00EB53EA" w14:paraId="0C86E712" w14:textId="77777777" w:rsidTr="00CF3A8C">
        <w:tc>
          <w:tcPr>
            <w:tcW w:w="9133" w:type="dxa"/>
            <w:gridSpan w:val="10"/>
          </w:tcPr>
          <w:p w14:paraId="5B2A9AF1" w14:textId="54590C8D" w:rsidR="002E1CAD" w:rsidRPr="00EB53EA" w:rsidRDefault="002E1CAD" w:rsidP="002E1CAD">
            <w:pPr>
              <w:pStyle w:val="naisf"/>
              <w:spacing w:before="60" w:after="60"/>
              <w:ind w:firstLine="0"/>
              <w:jc w:val="center"/>
              <w:rPr>
                <w:color w:val="000000" w:themeColor="text1"/>
              </w:rPr>
            </w:pPr>
            <w:r w:rsidRPr="00EB53EA">
              <w:rPr>
                <w:b/>
              </w:rPr>
              <w:t>IV. Tiesību akta projekta ietekme uz spēkā esošo tiesību normu sistēmu</w:t>
            </w:r>
          </w:p>
        </w:tc>
      </w:tr>
      <w:tr w:rsidR="002E1CAD" w:rsidRPr="00EB53EA" w14:paraId="051070EC" w14:textId="77777777" w:rsidTr="008A4EEF">
        <w:tc>
          <w:tcPr>
            <w:tcW w:w="534" w:type="dxa"/>
            <w:gridSpan w:val="2"/>
          </w:tcPr>
          <w:p w14:paraId="3C90188E" w14:textId="62C8BF56" w:rsidR="002E1CAD" w:rsidRPr="00EB53EA" w:rsidRDefault="002E1CAD" w:rsidP="008A4EEF">
            <w:pPr>
              <w:rPr>
                <w:iCs/>
                <w:lang w:eastAsia="lv-LV"/>
              </w:rPr>
            </w:pPr>
            <w:r w:rsidRPr="00EB53EA">
              <w:rPr>
                <w:iCs/>
                <w:lang w:eastAsia="lv-LV"/>
              </w:rPr>
              <w:t>1.</w:t>
            </w:r>
          </w:p>
        </w:tc>
        <w:tc>
          <w:tcPr>
            <w:tcW w:w="4536" w:type="dxa"/>
            <w:gridSpan w:val="5"/>
          </w:tcPr>
          <w:p w14:paraId="7F0AD24E" w14:textId="6AAB3139" w:rsidR="002E1CAD" w:rsidRPr="00EB53EA" w:rsidRDefault="002E1CAD" w:rsidP="008A4EEF">
            <w:pPr>
              <w:spacing w:before="60" w:after="60"/>
            </w:pPr>
            <w:r w:rsidRPr="00EB53EA">
              <w:t>Nepieciešamie saistītie tiesību aktu projekti</w:t>
            </w:r>
          </w:p>
        </w:tc>
        <w:tc>
          <w:tcPr>
            <w:tcW w:w="4063" w:type="dxa"/>
            <w:gridSpan w:val="3"/>
            <w:vAlign w:val="center"/>
          </w:tcPr>
          <w:p w14:paraId="5D32E88E" w14:textId="45B61D03" w:rsidR="002E1CAD" w:rsidRPr="00EB53EA" w:rsidRDefault="00EB53EA" w:rsidP="00EB53EA">
            <w:pPr>
              <w:spacing w:before="60" w:after="60"/>
              <w:jc w:val="both"/>
              <w:rPr>
                <w:iCs/>
                <w:lang w:eastAsia="lv-LV"/>
              </w:rPr>
            </w:pPr>
            <w:r w:rsidRPr="00EB53EA">
              <w:rPr>
                <w:iCs/>
                <w:lang w:eastAsia="lv-LV"/>
              </w:rPr>
              <w:t xml:space="preserve">Iekšlietu ministrija kopīgi ar Tieslietu ministriju izstrādās </w:t>
            </w:r>
            <w:r>
              <w:rPr>
                <w:iCs/>
                <w:lang w:eastAsia="lv-LV"/>
              </w:rPr>
              <w:t>Ministru kabineta noteikumu projektu</w:t>
            </w:r>
            <w:r w:rsidRPr="00EB53EA">
              <w:rPr>
                <w:iCs/>
                <w:lang w:eastAsia="lv-LV"/>
              </w:rPr>
              <w:t xml:space="preserve"> par </w:t>
            </w:r>
            <w:r>
              <w:rPr>
                <w:iCs/>
                <w:lang w:eastAsia="lv-LV"/>
              </w:rPr>
              <w:t>I</w:t>
            </w:r>
            <w:r w:rsidRPr="00EB53EA">
              <w:rPr>
                <w:iCs/>
                <w:lang w:eastAsia="lv-LV"/>
              </w:rPr>
              <w:t>ekšlietu ministrijas sistēmas iestāžu un Ieslodzījuma vietu pārvaldes amatpersonu ar speciālajām dienesta pakāpēm nelaimes gadījumu izmeklēšanas un uzskaites kārt</w:t>
            </w:r>
            <w:r>
              <w:rPr>
                <w:iCs/>
                <w:lang w:eastAsia="lv-LV"/>
              </w:rPr>
              <w:t xml:space="preserve">ību, tādējādi nodrošinot vienotu regulējumu par nelaimes gadījumu izmeklēšanu attiecībā gan uz Iekšlietu ministrijas sistēmas iestāžu, gan uz </w:t>
            </w:r>
            <w:r w:rsidRPr="00EB53EA">
              <w:rPr>
                <w:iCs/>
                <w:lang w:eastAsia="lv-LV"/>
              </w:rPr>
              <w:t>Ieslodzījuma vietu p</w:t>
            </w:r>
            <w:r>
              <w:rPr>
                <w:iCs/>
                <w:lang w:eastAsia="lv-LV"/>
              </w:rPr>
              <w:t>ārvaldes amatpersonām</w:t>
            </w:r>
            <w:r w:rsidRPr="00EB53EA">
              <w:rPr>
                <w:iCs/>
                <w:lang w:eastAsia="lv-LV"/>
              </w:rPr>
              <w:t xml:space="preserve"> ar speciālajām dienesta pakāpēm</w:t>
            </w:r>
            <w:r>
              <w:rPr>
                <w:iCs/>
                <w:lang w:eastAsia="lv-LV"/>
              </w:rPr>
              <w:t>.</w:t>
            </w:r>
            <w:r w:rsidR="00FE7898">
              <w:rPr>
                <w:iCs/>
                <w:lang w:eastAsia="lv-LV"/>
              </w:rPr>
              <w:t xml:space="preserve"> Ņemot vērā minēto, projektam ir pievienots Ministru kabineta </w:t>
            </w:r>
            <w:proofErr w:type="spellStart"/>
            <w:r w:rsidR="00FE7898">
              <w:rPr>
                <w:iCs/>
                <w:lang w:eastAsia="lv-LV"/>
              </w:rPr>
              <w:t>protokollēmuma</w:t>
            </w:r>
            <w:proofErr w:type="spellEnd"/>
            <w:r w:rsidR="00FE7898">
              <w:rPr>
                <w:iCs/>
                <w:lang w:eastAsia="lv-LV"/>
              </w:rPr>
              <w:t xml:space="preserve"> projekts.</w:t>
            </w:r>
          </w:p>
        </w:tc>
      </w:tr>
      <w:tr w:rsidR="002E1CAD" w:rsidRPr="00EB53EA" w14:paraId="7692E3E8" w14:textId="77777777" w:rsidTr="008A4EEF">
        <w:tc>
          <w:tcPr>
            <w:tcW w:w="534" w:type="dxa"/>
            <w:gridSpan w:val="2"/>
          </w:tcPr>
          <w:p w14:paraId="7E8D665F" w14:textId="4A612986" w:rsidR="002E1CAD" w:rsidRPr="00EB53EA" w:rsidRDefault="002E1CAD" w:rsidP="008A4EEF">
            <w:pPr>
              <w:rPr>
                <w:iCs/>
                <w:lang w:eastAsia="lv-LV"/>
              </w:rPr>
            </w:pPr>
            <w:r w:rsidRPr="00EB53EA">
              <w:rPr>
                <w:iCs/>
                <w:lang w:eastAsia="lv-LV"/>
              </w:rPr>
              <w:t>2.</w:t>
            </w:r>
          </w:p>
        </w:tc>
        <w:tc>
          <w:tcPr>
            <w:tcW w:w="4536" w:type="dxa"/>
            <w:gridSpan w:val="5"/>
          </w:tcPr>
          <w:p w14:paraId="119D4D0A" w14:textId="383E695D" w:rsidR="002E1CAD" w:rsidRPr="00EB53EA" w:rsidRDefault="002E1CAD" w:rsidP="008A4EEF">
            <w:pPr>
              <w:spacing w:before="60" w:after="60"/>
            </w:pPr>
            <w:r w:rsidRPr="00EB53EA">
              <w:t>Cita informācija</w:t>
            </w:r>
          </w:p>
        </w:tc>
        <w:tc>
          <w:tcPr>
            <w:tcW w:w="4063" w:type="dxa"/>
            <w:gridSpan w:val="3"/>
            <w:vAlign w:val="center"/>
          </w:tcPr>
          <w:p w14:paraId="5AA13C4B" w14:textId="4D5CEE19" w:rsidR="002E1CAD" w:rsidRPr="00EB53EA" w:rsidRDefault="002E1CAD" w:rsidP="008A4EEF">
            <w:pPr>
              <w:spacing w:before="60" w:after="60"/>
              <w:rPr>
                <w:iCs/>
                <w:lang w:eastAsia="lv-LV"/>
              </w:rPr>
            </w:pPr>
            <w:r w:rsidRPr="00EB53EA">
              <w:rPr>
                <w:iCs/>
                <w:lang w:eastAsia="lv-LV"/>
              </w:rPr>
              <w:t>Nav.</w:t>
            </w:r>
          </w:p>
        </w:tc>
      </w:tr>
      <w:tr w:rsidR="002E1CAD" w:rsidRPr="00EB53EA" w14:paraId="19DFAB5E" w14:textId="77777777" w:rsidTr="000135D1">
        <w:tc>
          <w:tcPr>
            <w:tcW w:w="9133" w:type="dxa"/>
            <w:gridSpan w:val="10"/>
          </w:tcPr>
          <w:p w14:paraId="37C4F45F" w14:textId="5837C428" w:rsidR="002E1CAD" w:rsidRPr="00EB53EA" w:rsidRDefault="002E1CAD" w:rsidP="002E1CAD">
            <w:pPr>
              <w:jc w:val="center"/>
              <w:rPr>
                <w:lang w:val="de-DE"/>
              </w:rPr>
            </w:pPr>
            <w:r w:rsidRPr="00EB53EA">
              <w:rPr>
                <w:b/>
              </w:rPr>
              <w:t>VII. Tiesību akta projekta izpildes nodrošināšana un tās ietekme uz institūcijām</w:t>
            </w:r>
          </w:p>
        </w:tc>
      </w:tr>
      <w:tr w:rsidR="00F03184" w:rsidRPr="00EB53EA" w14:paraId="0E11D3FD" w14:textId="77777777" w:rsidTr="008A4EEF">
        <w:tc>
          <w:tcPr>
            <w:tcW w:w="534" w:type="dxa"/>
            <w:gridSpan w:val="2"/>
          </w:tcPr>
          <w:p w14:paraId="72638234" w14:textId="77777777" w:rsidR="00F03184" w:rsidRPr="00EB53EA" w:rsidRDefault="00F03184" w:rsidP="008A4EEF">
            <w:pPr>
              <w:rPr>
                <w:iCs/>
                <w:lang w:eastAsia="lv-LV"/>
              </w:rPr>
            </w:pPr>
            <w:r w:rsidRPr="00EB53EA">
              <w:rPr>
                <w:iCs/>
                <w:lang w:eastAsia="lv-LV"/>
              </w:rPr>
              <w:t>1.</w:t>
            </w:r>
          </w:p>
        </w:tc>
        <w:tc>
          <w:tcPr>
            <w:tcW w:w="4536" w:type="dxa"/>
            <w:gridSpan w:val="5"/>
          </w:tcPr>
          <w:p w14:paraId="6E86F116" w14:textId="77777777" w:rsidR="00F03184" w:rsidRPr="00EB53EA" w:rsidRDefault="00F03184" w:rsidP="008A4EEF">
            <w:pPr>
              <w:spacing w:before="60" w:after="60"/>
              <w:rPr>
                <w:iCs/>
                <w:lang w:eastAsia="lv-LV"/>
              </w:rPr>
            </w:pPr>
            <w:r w:rsidRPr="00EB53EA">
              <w:t>Projekta izpildē iesaistītās institūcijas</w:t>
            </w:r>
          </w:p>
        </w:tc>
        <w:tc>
          <w:tcPr>
            <w:tcW w:w="4063" w:type="dxa"/>
            <w:gridSpan w:val="3"/>
            <w:vAlign w:val="center"/>
          </w:tcPr>
          <w:p w14:paraId="49DBBDEC" w14:textId="77777777" w:rsidR="00F03184" w:rsidRPr="00EB53EA" w:rsidRDefault="00850054" w:rsidP="008A4EEF">
            <w:pPr>
              <w:spacing w:before="60" w:after="60"/>
              <w:rPr>
                <w:iCs/>
                <w:lang w:eastAsia="lv-LV"/>
              </w:rPr>
            </w:pPr>
            <w:r w:rsidRPr="00EB53EA">
              <w:rPr>
                <w:iCs/>
                <w:lang w:eastAsia="lv-LV"/>
              </w:rPr>
              <w:t>Valsts un pašvaldību institūcijas.</w:t>
            </w:r>
          </w:p>
        </w:tc>
      </w:tr>
      <w:tr w:rsidR="00F03184" w:rsidRPr="00EB53EA" w14:paraId="189A75B9" w14:textId="77777777" w:rsidTr="008A4EEF">
        <w:tc>
          <w:tcPr>
            <w:tcW w:w="534" w:type="dxa"/>
            <w:gridSpan w:val="2"/>
          </w:tcPr>
          <w:p w14:paraId="5CFE4ECD" w14:textId="77777777" w:rsidR="00F03184" w:rsidRPr="00EB53EA" w:rsidRDefault="00F03184" w:rsidP="008A4EEF">
            <w:pPr>
              <w:rPr>
                <w:iCs/>
                <w:lang w:eastAsia="lv-LV"/>
              </w:rPr>
            </w:pPr>
            <w:r w:rsidRPr="00EB53EA">
              <w:rPr>
                <w:iCs/>
                <w:lang w:eastAsia="lv-LV"/>
              </w:rPr>
              <w:lastRenderedPageBreak/>
              <w:t>2.</w:t>
            </w:r>
          </w:p>
        </w:tc>
        <w:tc>
          <w:tcPr>
            <w:tcW w:w="4536" w:type="dxa"/>
            <w:gridSpan w:val="5"/>
          </w:tcPr>
          <w:p w14:paraId="2321E9AA" w14:textId="77777777" w:rsidR="00F03184" w:rsidRPr="00EB53EA" w:rsidRDefault="00F03184" w:rsidP="008A4EEF">
            <w:pPr>
              <w:spacing w:before="60" w:after="60"/>
              <w:rPr>
                <w:iCs/>
                <w:lang w:eastAsia="lv-LV"/>
              </w:rPr>
            </w:pPr>
            <w:r w:rsidRPr="00EB53EA">
              <w:t>Projekta izpildes ietekme uz pārvaldes funkcijām un institucionālo struktūru. Jaunu institūciju izveide, esošu institūciju likvidācija vai reorganizācija, to ietekme uz institūcijas cilvēkresursiem</w:t>
            </w:r>
          </w:p>
        </w:tc>
        <w:tc>
          <w:tcPr>
            <w:tcW w:w="4063" w:type="dxa"/>
            <w:gridSpan w:val="3"/>
          </w:tcPr>
          <w:p w14:paraId="670DD468" w14:textId="77777777" w:rsidR="00F03184" w:rsidRPr="00EB53EA" w:rsidRDefault="00F03184" w:rsidP="008A4EEF">
            <w:pPr>
              <w:spacing w:before="60"/>
              <w:rPr>
                <w:iCs/>
                <w:lang w:eastAsia="lv-LV"/>
              </w:rPr>
            </w:pPr>
            <w:r w:rsidRPr="00EB53EA">
              <w:t>Saistībā ar projekta izpildi nav nepieciešams veidot jaunas institūcijas, likvidēt vai reorganizēt esošās.</w:t>
            </w:r>
          </w:p>
        </w:tc>
      </w:tr>
      <w:tr w:rsidR="00F03184" w:rsidRPr="00EB53EA" w14:paraId="3FEC1AB6" w14:textId="77777777" w:rsidTr="008A4EEF">
        <w:tc>
          <w:tcPr>
            <w:tcW w:w="534" w:type="dxa"/>
            <w:gridSpan w:val="2"/>
          </w:tcPr>
          <w:p w14:paraId="78A2E8CF" w14:textId="77777777" w:rsidR="00F03184" w:rsidRPr="00EB53EA" w:rsidRDefault="00F03184" w:rsidP="008A4EEF">
            <w:pPr>
              <w:rPr>
                <w:iCs/>
                <w:lang w:eastAsia="lv-LV"/>
              </w:rPr>
            </w:pPr>
            <w:r w:rsidRPr="00EB53EA">
              <w:rPr>
                <w:iCs/>
                <w:lang w:eastAsia="lv-LV"/>
              </w:rPr>
              <w:t>3.</w:t>
            </w:r>
          </w:p>
        </w:tc>
        <w:tc>
          <w:tcPr>
            <w:tcW w:w="4536" w:type="dxa"/>
            <w:gridSpan w:val="5"/>
          </w:tcPr>
          <w:p w14:paraId="1CCA4CA8" w14:textId="77777777" w:rsidR="00F03184" w:rsidRPr="00EB53EA" w:rsidRDefault="008A4EEF" w:rsidP="008A4EEF">
            <w:pPr>
              <w:spacing w:before="60" w:after="60"/>
              <w:rPr>
                <w:iCs/>
                <w:lang w:eastAsia="lv-LV"/>
              </w:rPr>
            </w:pPr>
            <w:r w:rsidRPr="00EB53EA">
              <w:rPr>
                <w:iCs/>
                <w:lang w:eastAsia="lv-LV"/>
              </w:rPr>
              <w:t>Cita informācija</w:t>
            </w:r>
          </w:p>
        </w:tc>
        <w:tc>
          <w:tcPr>
            <w:tcW w:w="4063" w:type="dxa"/>
            <w:gridSpan w:val="3"/>
            <w:vAlign w:val="center"/>
          </w:tcPr>
          <w:p w14:paraId="17EB7B76" w14:textId="77777777" w:rsidR="00F03184" w:rsidRPr="00EB53EA" w:rsidRDefault="00F03184" w:rsidP="008A4EEF">
            <w:pPr>
              <w:spacing w:before="60" w:after="60"/>
              <w:rPr>
                <w:iCs/>
                <w:lang w:eastAsia="lv-LV"/>
              </w:rPr>
            </w:pPr>
            <w:r w:rsidRPr="00EB53EA">
              <w:t>Nav.</w:t>
            </w:r>
          </w:p>
        </w:tc>
      </w:tr>
    </w:tbl>
    <w:p w14:paraId="5FC97E79" w14:textId="77777777" w:rsidR="00ED6A06" w:rsidRPr="00EB53EA" w:rsidRDefault="00ED6A06" w:rsidP="0007077C">
      <w:pPr>
        <w:rPr>
          <w:iCs/>
          <w:lang w:eastAsia="lv-LV"/>
        </w:rPr>
      </w:pPr>
    </w:p>
    <w:p w14:paraId="5005D74D" w14:textId="32127122" w:rsidR="0007077C" w:rsidRPr="001D5E47" w:rsidRDefault="008D5F20" w:rsidP="001D5E47">
      <w:pPr>
        <w:spacing w:after="200" w:line="276" w:lineRule="auto"/>
        <w:rPr>
          <w:iCs/>
          <w:sz w:val="28"/>
          <w:szCs w:val="28"/>
          <w:lang w:eastAsia="lv-LV"/>
        </w:rPr>
      </w:pPr>
      <w:r w:rsidRPr="00EB53EA">
        <w:rPr>
          <w:iCs/>
          <w:sz w:val="28"/>
          <w:szCs w:val="28"/>
          <w:lang w:eastAsia="lv-LV"/>
        </w:rPr>
        <w:t xml:space="preserve">Anotācijas </w:t>
      </w:r>
      <w:r w:rsidR="0007077C" w:rsidRPr="00EB53EA">
        <w:rPr>
          <w:iCs/>
          <w:sz w:val="28"/>
          <w:szCs w:val="28"/>
          <w:lang w:eastAsia="lv-LV"/>
        </w:rPr>
        <w:t>V</w:t>
      </w:r>
      <w:r w:rsidR="00AF1B96" w:rsidRPr="00EB53EA">
        <w:rPr>
          <w:iCs/>
          <w:sz w:val="28"/>
          <w:szCs w:val="28"/>
          <w:lang w:eastAsia="lv-LV"/>
        </w:rPr>
        <w:t xml:space="preserve"> un</w:t>
      </w:r>
      <w:r w:rsidR="0007077C" w:rsidRPr="00EB53EA">
        <w:rPr>
          <w:iCs/>
          <w:sz w:val="28"/>
          <w:szCs w:val="28"/>
          <w:lang w:eastAsia="lv-LV"/>
        </w:rPr>
        <w:t xml:space="preserve"> VI</w:t>
      </w:r>
      <w:r w:rsidRPr="00EB53EA">
        <w:rPr>
          <w:iCs/>
          <w:sz w:val="28"/>
          <w:szCs w:val="28"/>
          <w:lang w:eastAsia="lv-LV"/>
        </w:rPr>
        <w:t xml:space="preserve"> </w:t>
      </w:r>
      <w:r w:rsidR="0007077C" w:rsidRPr="00EB53EA">
        <w:rPr>
          <w:iCs/>
          <w:sz w:val="28"/>
          <w:szCs w:val="28"/>
          <w:lang w:eastAsia="lv-LV"/>
        </w:rPr>
        <w:t>sadaļa</w:t>
      </w:r>
      <w:r w:rsidR="002A6197" w:rsidRPr="00EB53EA">
        <w:rPr>
          <w:iCs/>
          <w:sz w:val="28"/>
          <w:szCs w:val="28"/>
          <w:lang w:eastAsia="lv-LV"/>
        </w:rPr>
        <w:t xml:space="preserve"> –</w:t>
      </w:r>
      <w:r w:rsidR="0007077C" w:rsidRPr="00EB53EA">
        <w:rPr>
          <w:iCs/>
          <w:sz w:val="28"/>
          <w:szCs w:val="28"/>
          <w:lang w:eastAsia="lv-LV"/>
        </w:rPr>
        <w:t xml:space="preserve"> </w:t>
      </w:r>
      <w:r w:rsidR="0007077C" w:rsidRPr="00EB53EA">
        <w:rPr>
          <w:sz w:val="28"/>
          <w:szCs w:val="28"/>
          <w:lang w:eastAsia="lv-LV"/>
        </w:rPr>
        <w:t>projekts šo jomu neskar.</w:t>
      </w:r>
    </w:p>
    <w:p w14:paraId="0B217BAB" w14:textId="77777777" w:rsidR="00AF1B96" w:rsidRPr="00EB53EA" w:rsidRDefault="00AF1B96" w:rsidP="00C338A6">
      <w:pPr>
        <w:jc w:val="both"/>
        <w:rPr>
          <w:sz w:val="28"/>
          <w:szCs w:val="28"/>
          <w:lang w:val="de-DE"/>
        </w:rPr>
      </w:pPr>
    </w:p>
    <w:p w14:paraId="63634EC7" w14:textId="6950D10E" w:rsidR="00616AA6" w:rsidRPr="00EB53EA" w:rsidRDefault="00616AA6" w:rsidP="00C338A6">
      <w:pPr>
        <w:jc w:val="both"/>
        <w:rPr>
          <w:sz w:val="28"/>
          <w:szCs w:val="28"/>
        </w:rPr>
      </w:pPr>
      <w:r w:rsidRPr="00EB53EA">
        <w:rPr>
          <w:sz w:val="28"/>
          <w:szCs w:val="28"/>
          <w:lang w:val="de-DE"/>
        </w:rPr>
        <w:t>Iekšlietu ministrs</w:t>
      </w:r>
      <w:r w:rsidRPr="00EB53EA">
        <w:rPr>
          <w:sz w:val="28"/>
          <w:szCs w:val="28"/>
          <w:lang w:val="de-DE"/>
        </w:rPr>
        <w:tab/>
      </w:r>
      <w:r w:rsidRPr="00EB53EA">
        <w:rPr>
          <w:sz w:val="28"/>
          <w:szCs w:val="28"/>
          <w:lang w:val="de-DE"/>
        </w:rPr>
        <w:tab/>
      </w:r>
      <w:r w:rsidRPr="00EB53EA">
        <w:rPr>
          <w:sz w:val="28"/>
          <w:szCs w:val="28"/>
          <w:lang w:val="de-DE"/>
        </w:rPr>
        <w:tab/>
      </w:r>
      <w:r w:rsidRPr="00EB53EA">
        <w:rPr>
          <w:sz w:val="28"/>
          <w:szCs w:val="28"/>
          <w:lang w:val="de-DE"/>
        </w:rPr>
        <w:tab/>
      </w:r>
      <w:r w:rsidRPr="00EB53EA">
        <w:rPr>
          <w:sz w:val="28"/>
          <w:szCs w:val="28"/>
          <w:lang w:val="de-DE"/>
        </w:rPr>
        <w:tab/>
      </w:r>
      <w:r w:rsidR="00A217E7" w:rsidRPr="00EB53EA">
        <w:rPr>
          <w:sz w:val="28"/>
          <w:szCs w:val="28"/>
          <w:lang w:val="de-DE"/>
        </w:rPr>
        <w:t xml:space="preserve">             </w:t>
      </w:r>
      <w:r w:rsidR="00B414BD">
        <w:rPr>
          <w:sz w:val="28"/>
          <w:szCs w:val="28"/>
          <w:lang w:val="de-DE"/>
        </w:rPr>
        <w:tab/>
      </w:r>
      <w:r w:rsidRPr="00EB53EA">
        <w:rPr>
          <w:sz w:val="28"/>
          <w:szCs w:val="28"/>
          <w:lang w:val="de-DE"/>
        </w:rPr>
        <w:t>R. Kozlovskis</w:t>
      </w:r>
    </w:p>
    <w:p w14:paraId="22B694E0" w14:textId="77777777" w:rsidR="00EB53EA" w:rsidRPr="00EB53EA" w:rsidRDefault="00EB53EA" w:rsidP="00C338A6">
      <w:pPr>
        <w:pStyle w:val="naisf"/>
        <w:ind w:firstLine="0"/>
        <w:rPr>
          <w:sz w:val="28"/>
          <w:szCs w:val="28"/>
        </w:rPr>
      </w:pPr>
    </w:p>
    <w:p w14:paraId="41FA7F75" w14:textId="77777777" w:rsidR="00B414BD" w:rsidRDefault="00616AA6" w:rsidP="00C338A6">
      <w:pPr>
        <w:pStyle w:val="naisf"/>
        <w:ind w:firstLine="0"/>
        <w:rPr>
          <w:sz w:val="28"/>
          <w:szCs w:val="28"/>
        </w:rPr>
      </w:pPr>
      <w:r w:rsidRPr="00EB53EA">
        <w:rPr>
          <w:sz w:val="28"/>
          <w:szCs w:val="28"/>
        </w:rPr>
        <w:t>Vīza: valsts sekretāre</w:t>
      </w:r>
      <w:r w:rsidR="00B414BD">
        <w:rPr>
          <w:sz w:val="28"/>
          <w:szCs w:val="28"/>
        </w:rPr>
        <w:t>s</w:t>
      </w:r>
    </w:p>
    <w:p w14:paraId="73D20D25" w14:textId="5C70FA60" w:rsidR="002720A2" w:rsidRPr="00EB53EA" w:rsidRDefault="00B414BD" w:rsidP="00C338A6">
      <w:pPr>
        <w:pStyle w:val="naisf"/>
        <w:ind w:firstLine="0"/>
        <w:rPr>
          <w:color w:val="000000"/>
          <w:sz w:val="28"/>
          <w:szCs w:val="28"/>
        </w:rPr>
      </w:pPr>
      <w:r>
        <w:rPr>
          <w:sz w:val="28"/>
          <w:szCs w:val="28"/>
        </w:rPr>
        <w:t>pienākumu izpildītāja</w:t>
      </w:r>
      <w:r w:rsidR="00616AA6" w:rsidRPr="00EB53EA">
        <w:rPr>
          <w:sz w:val="28"/>
          <w:szCs w:val="28"/>
        </w:rPr>
        <w:tab/>
      </w:r>
      <w:r w:rsidR="00616AA6" w:rsidRPr="00EB53EA">
        <w:rPr>
          <w:sz w:val="28"/>
          <w:szCs w:val="28"/>
        </w:rPr>
        <w:tab/>
      </w:r>
      <w:r w:rsidR="00616AA6" w:rsidRPr="00EB53EA">
        <w:rPr>
          <w:sz w:val="28"/>
          <w:szCs w:val="28"/>
        </w:rPr>
        <w:tab/>
      </w:r>
      <w:r w:rsidR="00616AA6" w:rsidRPr="00EB53EA">
        <w:rPr>
          <w:sz w:val="28"/>
          <w:szCs w:val="28"/>
        </w:rPr>
        <w:tab/>
      </w:r>
      <w:r w:rsidR="00502E7D" w:rsidRPr="00EB53EA">
        <w:rPr>
          <w:sz w:val="28"/>
          <w:szCs w:val="28"/>
        </w:rPr>
        <w:t xml:space="preserve"> </w:t>
      </w:r>
      <w:r w:rsidR="00EB53EA">
        <w:rPr>
          <w:sz w:val="28"/>
          <w:szCs w:val="28"/>
        </w:rPr>
        <w:tab/>
      </w:r>
      <w:proofErr w:type="gramStart"/>
      <w:r w:rsidR="00EB53EA">
        <w:rPr>
          <w:sz w:val="28"/>
          <w:szCs w:val="28"/>
        </w:rPr>
        <w:t xml:space="preserve">  </w:t>
      </w:r>
      <w:proofErr w:type="gramEnd"/>
      <w:r>
        <w:rPr>
          <w:sz w:val="28"/>
          <w:szCs w:val="28"/>
        </w:rPr>
        <w:tab/>
      </w:r>
      <w:r w:rsidR="00EB53EA">
        <w:rPr>
          <w:sz w:val="28"/>
          <w:szCs w:val="28"/>
        </w:rPr>
        <w:t xml:space="preserve"> </w:t>
      </w:r>
      <w:proofErr w:type="spellStart"/>
      <w:r w:rsidR="00616AA6" w:rsidRPr="00EB53EA">
        <w:rPr>
          <w:sz w:val="28"/>
          <w:szCs w:val="28"/>
        </w:rPr>
        <w:t>I.</w:t>
      </w:r>
      <w:r>
        <w:rPr>
          <w:sz w:val="28"/>
          <w:szCs w:val="28"/>
        </w:rPr>
        <w:t>Aire</w:t>
      </w:r>
      <w:proofErr w:type="spellEnd"/>
    </w:p>
    <w:p w14:paraId="5C4F3103" w14:textId="77777777" w:rsidR="00AF1B96" w:rsidRPr="00EB53EA" w:rsidRDefault="00AF1B96" w:rsidP="00D539DB">
      <w:pPr>
        <w:rPr>
          <w:color w:val="000000"/>
          <w:sz w:val="28"/>
          <w:szCs w:val="28"/>
        </w:rPr>
      </w:pPr>
    </w:p>
    <w:p w14:paraId="65182192" w14:textId="77777777" w:rsidR="00AF1B96" w:rsidRPr="00EB53EA" w:rsidRDefault="00AF1B96" w:rsidP="00D539DB">
      <w:pPr>
        <w:rPr>
          <w:color w:val="000000"/>
        </w:rPr>
      </w:pPr>
    </w:p>
    <w:p w14:paraId="49D2A702" w14:textId="77777777" w:rsidR="00FE7898" w:rsidRPr="00B414BD" w:rsidRDefault="00FE7898" w:rsidP="00EB53EA">
      <w:pPr>
        <w:pStyle w:val="naisf"/>
        <w:spacing w:before="0" w:after="0"/>
        <w:ind w:firstLine="0"/>
        <w:rPr>
          <w:sz w:val="20"/>
          <w:szCs w:val="20"/>
        </w:rPr>
      </w:pPr>
    </w:p>
    <w:p w14:paraId="315DD371" w14:textId="77777777" w:rsidR="00FE7898" w:rsidRPr="00B414BD" w:rsidRDefault="00FE7898" w:rsidP="00EB53EA">
      <w:pPr>
        <w:pStyle w:val="naisf"/>
        <w:spacing w:before="0" w:after="0"/>
        <w:ind w:firstLine="0"/>
        <w:rPr>
          <w:sz w:val="20"/>
          <w:szCs w:val="20"/>
        </w:rPr>
      </w:pPr>
    </w:p>
    <w:p w14:paraId="7785561D" w14:textId="77777777" w:rsidR="00FE7898" w:rsidRPr="00B414BD" w:rsidRDefault="00FE7898" w:rsidP="00EB53EA">
      <w:pPr>
        <w:pStyle w:val="naisf"/>
        <w:spacing w:before="0" w:after="0"/>
        <w:ind w:firstLine="0"/>
        <w:rPr>
          <w:sz w:val="20"/>
          <w:szCs w:val="20"/>
        </w:rPr>
      </w:pPr>
    </w:p>
    <w:p w14:paraId="51457BFD" w14:textId="77777777" w:rsidR="00FE7898" w:rsidRPr="00B414BD" w:rsidRDefault="00FE7898" w:rsidP="00EB53EA">
      <w:pPr>
        <w:pStyle w:val="naisf"/>
        <w:spacing w:before="0" w:after="0"/>
        <w:ind w:firstLine="0"/>
        <w:rPr>
          <w:sz w:val="20"/>
          <w:szCs w:val="20"/>
        </w:rPr>
      </w:pPr>
    </w:p>
    <w:p w14:paraId="71B270A6" w14:textId="77777777" w:rsidR="00FE7898" w:rsidRPr="00B414BD" w:rsidRDefault="00FE7898" w:rsidP="00EB53EA">
      <w:pPr>
        <w:pStyle w:val="naisf"/>
        <w:spacing w:before="0" w:after="0"/>
        <w:ind w:firstLine="0"/>
        <w:rPr>
          <w:sz w:val="20"/>
          <w:szCs w:val="20"/>
        </w:rPr>
      </w:pPr>
    </w:p>
    <w:p w14:paraId="6598850A" w14:textId="77777777" w:rsidR="00FE7898" w:rsidRPr="00B414BD" w:rsidRDefault="00FE7898" w:rsidP="00EB53EA">
      <w:pPr>
        <w:pStyle w:val="naisf"/>
        <w:spacing w:before="0" w:after="0"/>
        <w:ind w:firstLine="0"/>
        <w:rPr>
          <w:sz w:val="20"/>
          <w:szCs w:val="20"/>
        </w:rPr>
      </w:pPr>
    </w:p>
    <w:p w14:paraId="2734D0D6" w14:textId="77777777" w:rsidR="00FE7898" w:rsidRPr="00B414BD" w:rsidRDefault="00FE7898" w:rsidP="00EB53EA">
      <w:pPr>
        <w:pStyle w:val="naisf"/>
        <w:spacing w:before="0" w:after="0"/>
        <w:ind w:firstLine="0"/>
        <w:rPr>
          <w:sz w:val="20"/>
          <w:szCs w:val="20"/>
        </w:rPr>
      </w:pPr>
    </w:p>
    <w:p w14:paraId="7838E768" w14:textId="77777777" w:rsidR="00FE7898" w:rsidRPr="00B414BD" w:rsidRDefault="00FE7898" w:rsidP="00EB53EA">
      <w:pPr>
        <w:pStyle w:val="naisf"/>
        <w:spacing w:before="0" w:after="0"/>
        <w:ind w:firstLine="0"/>
        <w:rPr>
          <w:sz w:val="20"/>
          <w:szCs w:val="20"/>
        </w:rPr>
      </w:pPr>
    </w:p>
    <w:p w14:paraId="3A12731F" w14:textId="77777777" w:rsidR="00FE7898" w:rsidRPr="00B414BD" w:rsidRDefault="00FE7898" w:rsidP="00EB53EA">
      <w:pPr>
        <w:pStyle w:val="naisf"/>
        <w:spacing w:before="0" w:after="0"/>
        <w:ind w:firstLine="0"/>
        <w:rPr>
          <w:sz w:val="20"/>
          <w:szCs w:val="20"/>
        </w:rPr>
      </w:pPr>
    </w:p>
    <w:p w14:paraId="70D74D4B" w14:textId="77777777" w:rsidR="00FE7898" w:rsidRPr="00B414BD" w:rsidRDefault="00FE7898" w:rsidP="00EB53EA">
      <w:pPr>
        <w:pStyle w:val="naisf"/>
        <w:spacing w:before="0" w:after="0"/>
        <w:ind w:firstLine="0"/>
        <w:rPr>
          <w:sz w:val="20"/>
          <w:szCs w:val="20"/>
        </w:rPr>
      </w:pPr>
    </w:p>
    <w:p w14:paraId="0EBD18B5" w14:textId="77777777" w:rsidR="00FE7898" w:rsidRPr="00B414BD" w:rsidRDefault="00FE7898" w:rsidP="00EB53EA">
      <w:pPr>
        <w:pStyle w:val="naisf"/>
        <w:spacing w:before="0" w:after="0"/>
        <w:ind w:firstLine="0"/>
        <w:rPr>
          <w:sz w:val="20"/>
          <w:szCs w:val="20"/>
        </w:rPr>
      </w:pPr>
    </w:p>
    <w:p w14:paraId="07697EF2" w14:textId="77777777" w:rsidR="00FE7898" w:rsidRPr="00B414BD" w:rsidRDefault="00FE7898" w:rsidP="00EB53EA">
      <w:pPr>
        <w:pStyle w:val="naisf"/>
        <w:spacing w:before="0" w:after="0"/>
        <w:ind w:firstLine="0"/>
        <w:rPr>
          <w:sz w:val="20"/>
          <w:szCs w:val="20"/>
        </w:rPr>
      </w:pPr>
    </w:p>
    <w:p w14:paraId="7537BD50" w14:textId="77777777" w:rsidR="00FE7898" w:rsidRPr="00B414BD" w:rsidRDefault="00FE7898" w:rsidP="00EB53EA">
      <w:pPr>
        <w:pStyle w:val="naisf"/>
        <w:spacing w:before="0" w:after="0"/>
        <w:ind w:firstLine="0"/>
        <w:rPr>
          <w:sz w:val="20"/>
          <w:szCs w:val="20"/>
        </w:rPr>
      </w:pPr>
    </w:p>
    <w:p w14:paraId="76669720" w14:textId="77777777" w:rsidR="00FE7898" w:rsidRPr="00B414BD" w:rsidRDefault="00FE7898" w:rsidP="00EB53EA">
      <w:pPr>
        <w:pStyle w:val="naisf"/>
        <w:spacing w:before="0" w:after="0"/>
        <w:ind w:firstLine="0"/>
        <w:rPr>
          <w:sz w:val="20"/>
          <w:szCs w:val="20"/>
        </w:rPr>
      </w:pPr>
    </w:p>
    <w:p w14:paraId="58C0AA93" w14:textId="77777777" w:rsidR="00FE7898" w:rsidRPr="00B414BD" w:rsidRDefault="00FE7898" w:rsidP="00EB53EA">
      <w:pPr>
        <w:pStyle w:val="naisf"/>
        <w:spacing w:before="0" w:after="0"/>
        <w:ind w:firstLine="0"/>
        <w:rPr>
          <w:sz w:val="20"/>
          <w:szCs w:val="20"/>
        </w:rPr>
      </w:pPr>
    </w:p>
    <w:p w14:paraId="725C9E4B" w14:textId="77777777" w:rsidR="00FE7898" w:rsidRPr="00B414BD" w:rsidRDefault="00FE7898" w:rsidP="00EB53EA">
      <w:pPr>
        <w:pStyle w:val="naisf"/>
        <w:spacing w:before="0" w:after="0"/>
        <w:ind w:firstLine="0"/>
        <w:rPr>
          <w:sz w:val="20"/>
          <w:szCs w:val="20"/>
        </w:rPr>
      </w:pPr>
    </w:p>
    <w:p w14:paraId="66319BBB" w14:textId="77777777" w:rsidR="00FE7898" w:rsidRPr="00B414BD" w:rsidRDefault="00FE7898" w:rsidP="00EB53EA">
      <w:pPr>
        <w:pStyle w:val="naisf"/>
        <w:spacing w:before="0" w:after="0"/>
        <w:ind w:firstLine="0"/>
        <w:rPr>
          <w:sz w:val="20"/>
          <w:szCs w:val="20"/>
        </w:rPr>
      </w:pPr>
    </w:p>
    <w:p w14:paraId="183031C6" w14:textId="77777777" w:rsidR="00FE7898" w:rsidRPr="00B414BD" w:rsidRDefault="00FE7898" w:rsidP="00EB53EA">
      <w:pPr>
        <w:pStyle w:val="naisf"/>
        <w:spacing w:before="0" w:after="0"/>
        <w:ind w:firstLine="0"/>
        <w:rPr>
          <w:sz w:val="20"/>
          <w:szCs w:val="20"/>
        </w:rPr>
      </w:pPr>
    </w:p>
    <w:p w14:paraId="0BF22E6F" w14:textId="77777777" w:rsidR="00FE7898" w:rsidRPr="00B414BD" w:rsidRDefault="00FE7898" w:rsidP="00EB53EA">
      <w:pPr>
        <w:pStyle w:val="naisf"/>
        <w:spacing w:before="0" w:after="0"/>
        <w:ind w:firstLine="0"/>
        <w:rPr>
          <w:sz w:val="20"/>
          <w:szCs w:val="20"/>
        </w:rPr>
      </w:pPr>
    </w:p>
    <w:p w14:paraId="64EBFFF6" w14:textId="77777777" w:rsidR="00FE7898" w:rsidRPr="00B414BD" w:rsidRDefault="00FE7898" w:rsidP="00EB53EA">
      <w:pPr>
        <w:pStyle w:val="naisf"/>
        <w:spacing w:before="0" w:after="0"/>
        <w:ind w:firstLine="0"/>
        <w:rPr>
          <w:sz w:val="20"/>
          <w:szCs w:val="20"/>
        </w:rPr>
      </w:pPr>
    </w:p>
    <w:p w14:paraId="4CC75D94" w14:textId="77777777" w:rsidR="00FE7898" w:rsidRPr="00B414BD" w:rsidRDefault="00FE7898" w:rsidP="00EB53EA">
      <w:pPr>
        <w:pStyle w:val="naisf"/>
        <w:spacing w:before="0" w:after="0"/>
        <w:ind w:firstLine="0"/>
        <w:rPr>
          <w:sz w:val="20"/>
          <w:szCs w:val="20"/>
        </w:rPr>
      </w:pPr>
    </w:p>
    <w:p w14:paraId="175DCF1C" w14:textId="77777777" w:rsidR="00FE7898" w:rsidRPr="00B414BD" w:rsidRDefault="00FE7898" w:rsidP="00EB53EA">
      <w:pPr>
        <w:pStyle w:val="naisf"/>
        <w:spacing w:before="0" w:after="0"/>
        <w:ind w:firstLine="0"/>
        <w:rPr>
          <w:sz w:val="20"/>
          <w:szCs w:val="20"/>
        </w:rPr>
      </w:pPr>
    </w:p>
    <w:p w14:paraId="04DF1E92" w14:textId="77777777" w:rsidR="00FE7898" w:rsidRPr="00B414BD" w:rsidRDefault="00FE7898" w:rsidP="00EB53EA">
      <w:pPr>
        <w:pStyle w:val="naisf"/>
        <w:spacing w:before="0" w:after="0"/>
        <w:ind w:firstLine="0"/>
        <w:rPr>
          <w:sz w:val="20"/>
          <w:szCs w:val="20"/>
        </w:rPr>
      </w:pPr>
    </w:p>
    <w:p w14:paraId="7EA47FC2" w14:textId="77777777" w:rsidR="00FE7898" w:rsidRPr="00B414BD" w:rsidRDefault="00FE7898" w:rsidP="00EB53EA">
      <w:pPr>
        <w:pStyle w:val="naisf"/>
        <w:spacing w:before="0" w:after="0"/>
        <w:ind w:firstLine="0"/>
        <w:rPr>
          <w:sz w:val="20"/>
          <w:szCs w:val="20"/>
        </w:rPr>
      </w:pPr>
    </w:p>
    <w:p w14:paraId="07C62293" w14:textId="77777777" w:rsidR="00FE7898" w:rsidRPr="00B414BD" w:rsidRDefault="00FE7898" w:rsidP="00EB53EA">
      <w:pPr>
        <w:pStyle w:val="naisf"/>
        <w:spacing w:before="0" w:after="0"/>
        <w:ind w:firstLine="0"/>
        <w:rPr>
          <w:sz w:val="20"/>
          <w:szCs w:val="20"/>
        </w:rPr>
      </w:pPr>
    </w:p>
    <w:p w14:paraId="572926DC" w14:textId="77777777" w:rsidR="00FE7898" w:rsidRPr="00B414BD" w:rsidRDefault="00FE7898" w:rsidP="00EB53EA">
      <w:pPr>
        <w:pStyle w:val="naisf"/>
        <w:spacing w:before="0" w:after="0"/>
        <w:ind w:firstLine="0"/>
        <w:rPr>
          <w:sz w:val="20"/>
          <w:szCs w:val="20"/>
        </w:rPr>
      </w:pPr>
    </w:p>
    <w:p w14:paraId="60C4AE5F" w14:textId="77777777" w:rsidR="00FE7898" w:rsidRPr="00B414BD" w:rsidRDefault="00FE7898" w:rsidP="00EB53EA">
      <w:pPr>
        <w:pStyle w:val="naisf"/>
        <w:spacing w:before="0" w:after="0"/>
        <w:ind w:firstLine="0"/>
        <w:rPr>
          <w:sz w:val="20"/>
          <w:szCs w:val="20"/>
        </w:rPr>
      </w:pPr>
    </w:p>
    <w:p w14:paraId="7462544A" w14:textId="77777777" w:rsidR="00FE7898" w:rsidRPr="00B414BD" w:rsidRDefault="00FE7898" w:rsidP="00EB53EA">
      <w:pPr>
        <w:pStyle w:val="naisf"/>
        <w:spacing w:before="0" w:after="0"/>
        <w:ind w:firstLine="0"/>
        <w:rPr>
          <w:sz w:val="20"/>
          <w:szCs w:val="20"/>
        </w:rPr>
      </w:pPr>
    </w:p>
    <w:p w14:paraId="495A41E4" w14:textId="29FCB212" w:rsidR="00EB53EA" w:rsidRPr="00B414BD" w:rsidRDefault="00EB53EA" w:rsidP="00EB53EA">
      <w:pPr>
        <w:pStyle w:val="naisf"/>
        <w:spacing w:before="0" w:after="0"/>
        <w:ind w:firstLine="0"/>
        <w:rPr>
          <w:sz w:val="20"/>
          <w:szCs w:val="20"/>
        </w:rPr>
      </w:pPr>
      <w:r w:rsidRPr="00EB53EA">
        <w:rPr>
          <w:sz w:val="20"/>
          <w:szCs w:val="20"/>
          <w:lang w:val="ru-RU"/>
        </w:rPr>
        <w:fldChar w:fldCharType="begin"/>
      </w:r>
      <w:r w:rsidRPr="00EB53EA">
        <w:rPr>
          <w:sz w:val="20"/>
          <w:szCs w:val="20"/>
          <w:lang w:val="ru-RU"/>
        </w:rPr>
        <w:instrText xml:space="preserve"> TIME \@ "dd.MM.yyyy H:mm" </w:instrText>
      </w:r>
      <w:r w:rsidRPr="00EB53EA">
        <w:rPr>
          <w:sz w:val="20"/>
          <w:szCs w:val="20"/>
          <w:lang w:val="ru-RU"/>
        </w:rPr>
        <w:fldChar w:fldCharType="separate"/>
      </w:r>
      <w:r w:rsidR="001D5E47">
        <w:rPr>
          <w:noProof/>
          <w:sz w:val="20"/>
          <w:szCs w:val="20"/>
          <w:lang w:val="ru-RU"/>
        </w:rPr>
        <w:t>06.10.2014 15:35</w:t>
      </w:r>
      <w:r w:rsidRPr="00EB53EA">
        <w:rPr>
          <w:sz w:val="20"/>
          <w:szCs w:val="20"/>
          <w:lang w:val="ru-RU"/>
        </w:rPr>
        <w:fldChar w:fldCharType="end"/>
      </w:r>
    </w:p>
    <w:p w14:paraId="5E481688" w14:textId="01B15A5D" w:rsidR="00EB53EA" w:rsidRPr="00B414BD" w:rsidRDefault="00B414BD" w:rsidP="00EB53EA">
      <w:pPr>
        <w:pStyle w:val="naisf"/>
        <w:spacing w:before="0" w:after="0"/>
        <w:ind w:firstLine="0"/>
        <w:rPr>
          <w:sz w:val="20"/>
          <w:szCs w:val="20"/>
        </w:rPr>
      </w:pPr>
      <w:r>
        <w:rPr>
          <w:sz w:val="20"/>
          <w:szCs w:val="20"/>
        </w:rPr>
        <w:t>4352</w:t>
      </w:r>
    </w:p>
    <w:p w14:paraId="269EAC9C" w14:textId="77777777" w:rsidR="00EB53EA" w:rsidRPr="00EB53EA" w:rsidRDefault="00EB53EA" w:rsidP="00EB53EA">
      <w:pPr>
        <w:pStyle w:val="BodyText"/>
        <w:jc w:val="left"/>
        <w:rPr>
          <w:b w:val="0"/>
          <w:sz w:val="20"/>
          <w:szCs w:val="20"/>
        </w:rPr>
      </w:pPr>
      <w:r w:rsidRPr="00EB53EA">
        <w:rPr>
          <w:b w:val="0"/>
          <w:sz w:val="20"/>
          <w:szCs w:val="20"/>
        </w:rPr>
        <w:t>D.Piebalga</w:t>
      </w:r>
    </w:p>
    <w:p w14:paraId="30509BEA" w14:textId="77777777" w:rsidR="00EB53EA" w:rsidRPr="00EB53EA" w:rsidRDefault="00EB53EA" w:rsidP="00EB53EA">
      <w:pPr>
        <w:pStyle w:val="BodyText"/>
        <w:jc w:val="left"/>
        <w:rPr>
          <w:b w:val="0"/>
          <w:sz w:val="20"/>
          <w:szCs w:val="20"/>
        </w:rPr>
      </w:pPr>
      <w:r w:rsidRPr="00EB53EA">
        <w:rPr>
          <w:b w:val="0"/>
          <w:sz w:val="20"/>
          <w:szCs w:val="20"/>
        </w:rPr>
        <w:t xml:space="preserve">67219535, </w:t>
      </w:r>
      <w:hyperlink r:id="rId8" w:history="1">
        <w:r w:rsidRPr="00EB53EA">
          <w:rPr>
            <w:rStyle w:val="Hyperlink"/>
            <w:b w:val="0"/>
            <w:sz w:val="20"/>
            <w:szCs w:val="20"/>
          </w:rPr>
          <w:t>daiga.piebalga@iem.gov.lv</w:t>
        </w:r>
      </w:hyperlink>
      <w:proofErr w:type="gramStart"/>
      <w:r w:rsidRPr="00EB53EA">
        <w:rPr>
          <w:b w:val="0"/>
          <w:sz w:val="20"/>
          <w:szCs w:val="20"/>
        </w:rPr>
        <w:t xml:space="preserve">  </w:t>
      </w:r>
      <w:proofErr w:type="gramEnd"/>
    </w:p>
    <w:p w14:paraId="1F7A1F2D" w14:textId="77777777" w:rsidR="00EB53EA" w:rsidRPr="00EB53EA" w:rsidRDefault="00EB53EA" w:rsidP="00EB53EA">
      <w:pPr>
        <w:pStyle w:val="BodyText"/>
        <w:jc w:val="left"/>
        <w:rPr>
          <w:b w:val="0"/>
          <w:sz w:val="20"/>
          <w:szCs w:val="20"/>
        </w:rPr>
      </w:pPr>
      <w:proofErr w:type="spellStart"/>
      <w:r w:rsidRPr="00EB53EA">
        <w:rPr>
          <w:b w:val="0"/>
          <w:sz w:val="20"/>
          <w:szCs w:val="20"/>
        </w:rPr>
        <w:t>A.Strode</w:t>
      </w:r>
      <w:proofErr w:type="spellEnd"/>
    </w:p>
    <w:p w14:paraId="27B933E5" w14:textId="73B7F9A1" w:rsidR="00D1252E" w:rsidRDefault="00EB53EA" w:rsidP="00EB53EA">
      <w:pPr>
        <w:pStyle w:val="BodyText"/>
        <w:jc w:val="left"/>
        <w:rPr>
          <w:b w:val="0"/>
          <w:sz w:val="20"/>
          <w:szCs w:val="20"/>
        </w:rPr>
      </w:pPr>
      <w:r w:rsidRPr="00EB53EA">
        <w:rPr>
          <w:b w:val="0"/>
          <w:sz w:val="20"/>
          <w:szCs w:val="20"/>
        </w:rPr>
        <w:t xml:space="preserve">67219602, </w:t>
      </w:r>
      <w:hyperlink r:id="rId9" w:history="1">
        <w:r w:rsidRPr="00EB53EA">
          <w:rPr>
            <w:rStyle w:val="Hyperlink"/>
            <w:b w:val="0"/>
            <w:sz w:val="20"/>
            <w:szCs w:val="20"/>
          </w:rPr>
          <w:t>Alda.Strode@iem.gov.lv</w:t>
        </w:r>
      </w:hyperlink>
      <w:r w:rsidRPr="00EB53EA">
        <w:rPr>
          <w:b w:val="0"/>
          <w:sz w:val="20"/>
          <w:szCs w:val="20"/>
        </w:rPr>
        <w:t xml:space="preserve"> </w:t>
      </w:r>
    </w:p>
    <w:p w14:paraId="1744C647" w14:textId="77777777" w:rsidR="00FE7898" w:rsidRDefault="00FE7898" w:rsidP="00FE7898">
      <w:pPr>
        <w:pStyle w:val="BodyText"/>
        <w:jc w:val="left"/>
        <w:rPr>
          <w:b w:val="0"/>
          <w:sz w:val="20"/>
        </w:rPr>
      </w:pPr>
      <w:r>
        <w:rPr>
          <w:b w:val="0"/>
          <w:sz w:val="20"/>
        </w:rPr>
        <w:t>D.Radzeviča</w:t>
      </w:r>
    </w:p>
    <w:p w14:paraId="4477426C" w14:textId="77777777" w:rsidR="00FE7898" w:rsidRDefault="00FE7898" w:rsidP="00FE7898">
      <w:pPr>
        <w:pStyle w:val="BodyText"/>
        <w:jc w:val="left"/>
        <w:rPr>
          <w:b w:val="0"/>
          <w:sz w:val="20"/>
        </w:rPr>
      </w:pPr>
      <w:r>
        <w:rPr>
          <w:b w:val="0"/>
          <w:sz w:val="20"/>
        </w:rPr>
        <w:t xml:space="preserve">67219418, </w:t>
      </w:r>
      <w:hyperlink r:id="rId10" w:history="1">
        <w:r w:rsidRPr="0057405F">
          <w:rPr>
            <w:rStyle w:val="Hyperlink"/>
            <w:b w:val="0"/>
            <w:sz w:val="20"/>
          </w:rPr>
          <w:t>dace.radzevica@iem.gov.lv</w:t>
        </w:r>
      </w:hyperlink>
      <w:bookmarkStart w:id="0" w:name="_GoBack"/>
      <w:bookmarkEnd w:id="0"/>
    </w:p>
    <w:sectPr w:rsidR="00FE7898" w:rsidSect="00542E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5E4F" w14:textId="77777777" w:rsidR="006617E1" w:rsidRDefault="006617E1" w:rsidP="00616AA6">
      <w:r>
        <w:separator/>
      </w:r>
    </w:p>
  </w:endnote>
  <w:endnote w:type="continuationSeparator" w:id="0">
    <w:p w14:paraId="30CBE9E4" w14:textId="77777777" w:rsidR="006617E1" w:rsidRDefault="006617E1"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0261" w14:textId="77777777" w:rsidR="001E2EE5" w:rsidRDefault="001E2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3B2AB" w14:textId="3FF9E79D" w:rsidR="00FA3806" w:rsidRPr="00CE417F" w:rsidRDefault="00FA3806" w:rsidP="00CE417F">
    <w:pPr>
      <w:jc w:val="both"/>
      <w:rPr>
        <w:color w:val="000000"/>
        <w:sz w:val="20"/>
        <w:szCs w:val="20"/>
      </w:rPr>
    </w:pPr>
    <w:r>
      <w:rPr>
        <w:sz w:val="20"/>
        <w:szCs w:val="20"/>
      </w:rPr>
      <w:t>IEMAnot_</w:t>
    </w:r>
    <w:r w:rsidR="00FC420D">
      <w:rPr>
        <w:sz w:val="20"/>
        <w:szCs w:val="20"/>
      </w:rPr>
      <w:t>0</w:t>
    </w:r>
    <w:r w:rsidR="001E2EE5">
      <w:rPr>
        <w:sz w:val="20"/>
        <w:szCs w:val="20"/>
      </w:rPr>
      <w:t>6</w:t>
    </w:r>
    <w:r w:rsidR="00FE7898">
      <w:rPr>
        <w:sz w:val="20"/>
        <w:szCs w:val="20"/>
      </w:rPr>
      <w:t>1</w:t>
    </w:r>
    <w:r w:rsidR="001E2EE5">
      <w:rPr>
        <w:sz w:val="20"/>
        <w:szCs w:val="20"/>
      </w:rPr>
      <w:t>02</w:t>
    </w:r>
    <w:r w:rsidR="00FE7898">
      <w:rPr>
        <w:sz w:val="20"/>
        <w:szCs w:val="20"/>
      </w:rPr>
      <w:t>0</w:t>
    </w:r>
    <w:r>
      <w:rPr>
        <w:sz w:val="20"/>
        <w:szCs w:val="20"/>
      </w:rPr>
      <w:t>14</w:t>
    </w:r>
    <w:r w:rsidRPr="00D65D1A">
      <w:rPr>
        <w:sz w:val="20"/>
        <w:szCs w:val="20"/>
      </w:rPr>
      <w:t>; Ministru kabineta noteikumu projekta „</w:t>
    </w:r>
    <w:r w:rsidRPr="00D65D1A">
      <w:rPr>
        <w:bCs/>
        <w:sz w:val="20"/>
        <w:szCs w:val="20"/>
      </w:rPr>
      <w:t xml:space="preserve">Grozījumi Ministru kabineta </w:t>
    </w:r>
    <w:proofErr w:type="gramStart"/>
    <w:r w:rsidRPr="00D65D1A">
      <w:rPr>
        <w:bCs/>
        <w:sz w:val="20"/>
        <w:szCs w:val="20"/>
      </w:rPr>
      <w:t>2010.gada</w:t>
    </w:r>
    <w:proofErr w:type="gramEnd"/>
    <w:r w:rsidRPr="00D65D1A">
      <w:rPr>
        <w:bCs/>
        <w:sz w:val="20"/>
        <w:szCs w:val="20"/>
      </w:rPr>
      <w:t xml:space="preserve"> 21.jūnija noteikumos Nr.565 „Noteikumi par valsts un pašvaldību institūciju amatpersonu un darbinieku sociālajām garantijām”</w:t>
    </w:r>
    <w:r w:rsidRPr="00D65D1A">
      <w:rPr>
        <w:sz w:val="20"/>
        <w:szCs w:val="20"/>
      </w:rPr>
      <w:t>”</w:t>
    </w:r>
    <w:r w:rsidRPr="00D65D1A">
      <w:rPr>
        <w:color w:val="000000"/>
        <w:sz w:val="20"/>
        <w:szCs w:val="20"/>
      </w:rPr>
      <w:t xml:space="preserve"> </w:t>
    </w:r>
    <w:r w:rsidRPr="00D65D1A">
      <w:rPr>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2776" w14:textId="77777777" w:rsidR="001E2EE5" w:rsidRPr="00CE417F" w:rsidRDefault="001E2EE5" w:rsidP="001E2EE5">
    <w:pPr>
      <w:jc w:val="both"/>
      <w:rPr>
        <w:color w:val="000000"/>
        <w:sz w:val="20"/>
        <w:szCs w:val="20"/>
      </w:rPr>
    </w:pPr>
    <w:r>
      <w:rPr>
        <w:sz w:val="20"/>
        <w:szCs w:val="20"/>
      </w:rPr>
      <w:t>IEMAnot_06102014</w:t>
    </w:r>
    <w:r w:rsidRPr="00D65D1A">
      <w:rPr>
        <w:sz w:val="20"/>
        <w:szCs w:val="20"/>
      </w:rPr>
      <w:t>; Ministru kabineta noteikumu projekta „</w:t>
    </w:r>
    <w:r w:rsidRPr="00D65D1A">
      <w:rPr>
        <w:bCs/>
        <w:sz w:val="20"/>
        <w:szCs w:val="20"/>
      </w:rPr>
      <w:t xml:space="preserve">Grozījumi Ministru kabineta </w:t>
    </w:r>
    <w:proofErr w:type="gramStart"/>
    <w:r w:rsidRPr="00D65D1A">
      <w:rPr>
        <w:bCs/>
        <w:sz w:val="20"/>
        <w:szCs w:val="20"/>
      </w:rPr>
      <w:t>2010.gada</w:t>
    </w:r>
    <w:proofErr w:type="gramEnd"/>
    <w:r w:rsidRPr="00D65D1A">
      <w:rPr>
        <w:bCs/>
        <w:sz w:val="20"/>
        <w:szCs w:val="20"/>
      </w:rPr>
      <w:t xml:space="preserve"> 21.jūnija noteikumos Nr.565 „Noteikumi par valsts un pašvaldību institūciju amatpersonu un darbinieku sociālajām garantijām”</w:t>
    </w:r>
    <w:r w:rsidRPr="00D65D1A">
      <w:rPr>
        <w:sz w:val="20"/>
        <w:szCs w:val="20"/>
      </w:rPr>
      <w:t>”</w:t>
    </w:r>
    <w:r w:rsidRPr="00D65D1A">
      <w:rPr>
        <w:color w:val="000000"/>
        <w:sz w:val="20"/>
        <w:szCs w:val="20"/>
      </w:rPr>
      <w:t xml:space="preserve"> </w:t>
    </w:r>
    <w:r w:rsidRPr="00D65D1A">
      <w:rPr>
        <w:sz w:val="20"/>
        <w:szCs w:val="20"/>
      </w:rPr>
      <w:t>sākotnējās ietekmes novērtējuma ziņojums (anotācija)</w:t>
    </w:r>
  </w:p>
  <w:p w14:paraId="697825C7" w14:textId="71722187" w:rsidR="00FA3806" w:rsidRPr="001E2EE5" w:rsidRDefault="00FA3806" w:rsidP="001E2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70B1D" w14:textId="77777777" w:rsidR="006617E1" w:rsidRDefault="006617E1" w:rsidP="00616AA6">
      <w:r>
        <w:separator/>
      </w:r>
    </w:p>
  </w:footnote>
  <w:footnote w:type="continuationSeparator" w:id="0">
    <w:p w14:paraId="0BE0112F" w14:textId="77777777" w:rsidR="006617E1" w:rsidRDefault="006617E1"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3149"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762E8" w14:textId="77777777" w:rsidR="00FA3806" w:rsidRDefault="00FA3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4A4" w14:textId="77777777" w:rsidR="00FA3806" w:rsidRDefault="00FA3806"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E47">
      <w:rPr>
        <w:rStyle w:val="PageNumber"/>
        <w:noProof/>
      </w:rPr>
      <w:t>14</w:t>
    </w:r>
    <w:r>
      <w:rPr>
        <w:rStyle w:val="PageNumber"/>
      </w:rPr>
      <w:fldChar w:fldCharType="end"/>
    </w:r>
  </w:p>
  <w:p w14:paraId="2FCBC276" w14:textId="77777777" w:rsidR="00FA3806" w:rsidRDefault="00FA3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1E6EC" w14:textId="77777777" w:rsidR="001E2EE5" w:rsidRDefault="001E2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2">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7"/>
  </w:num>
  <w:num w:numId="2">
    <w:abstractNumId w:val="6"/>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6"/>
    <w:rsid w:val="00000A7A"/>
    <w:rsid w:val="00010981"/>
    <w:rsid w:val="0002334F"/>
    <w:rsid w:val="00027BDC"/>
    <w:rsid w:val="00027C37"/>
    <w:rsid w:val="000307BA"/>
    <w:rsid w:val="00051AAA"/>
    <w:rsid w:val="00056443"/>
    <w:rsid w:val="00057968"/>
    <w:rsid w:val="0007077C"/>
    <w:rsid w:val="00070AA3"/>
    <w:rsid w:val="000757EC"/>
    <w:rsid w:val="00080BAA"/>
    <w:rsid w:val="000A06FD"/>
    <w:rsid w:val="000A7F51"/>
    <w:rsid w:val="000B528F"/>
    <w:rsid w:val="000F1582"/>
    <w:rsid w:val="000F1729"/>
    <w:rsid w:val="000F2A4A"/>
    <w:rsid w:val="000F2F91"/>
    <w:rsid w:val="00116D23"/>
    <w:rsid w:val="00127E4B"/>
    <w:rsid w:val="00132192"/>
    <w:rsid w:val="001403DC"/>
    <w:rsid w:val="00144CAD"/>
    <w:rsid w:val="0015557D"/>
    <w:rsid w:val="00166FDD"/>
    <w:rsid w:val="00172FAF"/>
    <w:rsid w:val="00174DE1"/>
    <w:rsid w:val="0017581A"/>
    <w:rsid w:val="00186EFA"/>
    <w:rsid w:val="00193A8B"/>
    <w:rsid w:val="00197C43"/>
    <w:rsid w:val="001A4AE4"/>
    <w:rsid w:val="001B30CD"/>
    <w:rsid w:val="001B3EBE"/>
    <w:rsid w:val="001D23EC"/>
    <w:rsid w:val="001D349F"/>
    <w:rsid w:val="001D5E47"/>
    <w:rsid w:val="001E2EE5"/>
    <w:rsid w:val="001E3E86"/>
    <w:rsid w:val="001F4C14"/>
    <w:rsid w:val="001F692A"/>
    <w:rsid w:val="00201BD9"/>
    <w:rsid w:val="002055CE"/>
    <w:rsid w:val="00215D9C"/>
    <w:rsid w:val="00221979"/>
    <w:rsid w:val="00221D5F"/>
    <w:rsid w:val="00223E3D"/>
    <w:rsid w:val="00237C20"/>
    <w:rsid w:val="002447E8"/>
    <w:rsid w:val="00246FDC"/>
    <w:rsid w:val="002554BA"/>
    <w:rsid w:val="00257716"/>
    <w:rsid w:val="00267391"/>
    <w:rsid w:val="00270572"/>
    <w:rsid w:val="002720A2"/>
    <w:rsid w:val="00273A9F"/>
    <w:rsid w:val="00275C6D"/>
    <w:rsid w:val="00283342"/>
    <w:rsid w:val="0029110D"/>
    <w:rsid w:val="002926D3"/>
    <w:rsid w:val="002940CD"/>
    <w:rsid w:val="002960EA"/>
    <w:rsid w:val="002A6197"/>
    <w:rsid w:val="002A7573"/>
    <w:rsid w:val="002B10A1"/>
    <w:rsid w:val="002B21C0"/>
    <w:rsid w:val="002B4610"/>
    <w:rsid w:val="002B5B67"/>
    <w:rsid w:val="002C7006"/>
    <w:rsid w:val="002C7EAA"/>
    <w:rsid w:val="002D1149"/>
    <w:rsid w:val="002D66F8"/>
    <w:rsid w:val="002E1CAD"/>
    <w:rsid w:val="002E5EF8"/>
    <w:rsid w:val="002E6C12"/>
    <w:rsid w:val="00300439"/>
    <w:rsid w:val="003005B6"/>
    <w:rsid w:val="003019EE"/>
    <w:rsid w:val="0030306E"/>
    <w:rsid w:val="00311674"/>
    <w:rsid w:val="003126D5"/>
    <w:rsid w:val="003166FB"/>
    <w:rsid w:val="0035487B"/>
    <w:rsid w:val="003665C6"/>
    <w:rsid w:val="00373890"/>
    <w:rsid w:val="00374F27"/>
    <w:rsid w:val="00375FAB"/>
    <w:rsid w:val="00382850"/>
    <w:rsid w:val="00383A15"/>
    <w:rsid w:val="003B10C2"/>
    <w:rsid w:val="003C5BC9"/>
    <w:rsid w:val="003C6387"/>
    <w:rsid w:val="003D1339"/>
    <w:rsid w:val="003D1A40"/>
    <w:rsid w:val="003F6F12"/>
    <w:rsid w:val="00403411"/>
    <w:rsid w:val="004034E0"/>
    <w:rsid w:val="00410DE6"/>
    <w:rsid w:val="004130AE"/>
    <w:rsid w:val="004139D6"/>
    <w:rsid w:val="004175B1"/>
    <w:rsid w:val="004262C0"/>
    <w:rsid w:val="00430403"/>
    <w:rsid w:val="004327F8"/>
    <w:rsid w:val="00437542"/>
    <w:rsid w:val="004430F1"/>
    <w:rsid w:val="004519E2"/>
    <w:rsid w:val="004529EF"/>
    <w:rsid w:val="004545E7"/>
    <w:rsid w:val="004676D7"/>
    <w:rsid w:val="004705F1"/>
    <w:rsid w:val="004767AF"/>
    <w:rsid w:val="004854D4"/>
    <w:rsid w:val="004A11F7"/>
    <w:rsid w:val="004A4FA5"/>
    <w:rsid w:val="004B32B3"/>
    <w:rsid w:val="004B3E87"/>
    <w:rsid w:val="004B4D39"/>
    <w:rsid w:val="004C51BE"/>
    <w:rsid w:val="004C669F"/>
    <w:rsid w:val="004D1FCD"/>
    <w:rsid w:val="004D4483"/>
    <w:rsid w:val="00500381"/>
    <w:rsid w:val="00502E7D"/>
    <w:rsid w:val="00504DDF"/>
    <w:rsid w:val="0051217B"/>
    <w:rsid w:val="005126CA"/>
    <w:rsid w:val="00527A75"/>
    <w:rsid w:val="00527E3D"/>
    <w:rsid w:val="0053087D"/>
    <w:rsid w:val="00542E31"/>
    <w:rsid w:val="00545E70"/>
    <w:rsid w:val="005614ED"/>
    <w:rsid w:val="005651F4"/>
    <w:rsid w:val="00577B09"/>
    <w:rsid w:val="00581CD9"/>
    <w:rsid w:val="00593AC8"/>
    <w:rsid w:val="005A1B50"/>
    <w:rsid w:val="005B2CE7"/>
    <w:rsid w:val="005C3D9C"/>
    <w:rsid w:val="00612D7E"/>
    <w:rsid w:val="00616AA6"/>
    <w:rsid w:val="00623908"/>
    <w:rsid w:val="006329F8"/>
    <w:rsid w:val="00633D6B"/>
    <w:rsid w:val="00655C91"/>
    <w:rsid w:val="006617E1"/>
    <w:rsid w:val="00664FC6"/>
    <w:rsid w:val="00680236"/>
    <w:rsid w:val="006A0DA7"/>
    <w:rsid w:val="006B251F"/>
    <w:rsid w:val="006C55ED"/>
    <w:rsid w:val="006E3688"/>
    <w:rsid w:val="006E480C"/>
    <w:rsid w:val="006E54AA"/>
    <w:rsid w:val="006E54B1"/>
    <w:rsid w:val="006E76B7"/>
    <w:rsid w:val="006F0B68"/>
    <w:rsid w:val="006F73BC"/>
    <w:rsid w:val="0070343E"/>
    <w:rsid w:val="00710EAA"/>
    <w:rsid w:val="00711E40"/>
    <w:rsid w:val="00717B91"/>
    <w:rsid w:val="00725865"/>
    <w:rsid w:val="00730E41"/>
    <w:rsid w:val="00732C68"/>
    <w:rsid w:val="00736938"/>
    <w:rsid w:val="00747C51"/>
    <w:rsid w:val="007528E2"/>
    <w:rsid w:val="00753535"/>
    <w:rsid w:val="00755684"/>
    <w:rsid w:val="007610E4"/>
    <w:rsid w:val="00762F26"/>
    <w:rsid w:val="00765A92"/>
    <w:rsid w:val="0077070F"/>
    <w:rsid w:val="00772A46"/>
    <w:rsid w:val="00777C69"/>
    <w:rsid w:val="00784102"/>
    <w:rsid w:val="00794E6B"/>
    <w:rsid w:val="0079708F"/>
    <w:rsid w:val="007A462B"/>
    <w:rsid w:val="007B0C0C"/>
    <w:rsid w:val="007B5718"/>
    <w:rsid w:val="007D3FD0"/>
    <w:rsid w:val="007D4808"/>
    <w:rsid w:val="007D4C86"/>
    <w:rsid w:val="007D783D"/>
    <w:rsid w:val="007E7062"/>
    <w:rsid w:val="007F4918"/>
    <w:rsid w:val="00805D9E"/>
    <w:rsid w:val="0080751B"/>
    <w:rsid w:val="00811808"/>
    <w:rsid w:val="00816363"/>
    <w:rsid w:val="008167ED"/>
    <w:rsid w:val="00834ED9"/>
    <w:rsid w:val="008372E7"/>
    <w:rsid w:val="00837BD6"/>
    <w:rsid w:val="00850054"/>
    <w:rsid w:val="008605D0"/>
    <w:rsid w:val="00863995"/>
    <w:rsid w:val="00863DB5"/>
    <w:rsid w:val="00866E6B"/>
    <w:rsid w:val="00874E35"/>
    <w:rsid w:val="008936BC"/>
    <w:rsid w:val="008A023A"/>
    <w:rsid w:val="008A4EEF"/>
    <w:rsid w:val="008C2585"/>
    <w:rsid w:val="008C2D66"/>
    <w:rsid w:val="008C47BE"/>
    <w:rsid w:val="008C6FC8"/>
    <w:rsid w:val="008D39F4"/>
    <w:rsid w:val="008D5F20"/>
    <w:rsid w:val="008F2ACB"/>
    <w:rsid w:val="0090153F"/>
    <w:rsid w:val="009114A0"/>
    <w:rsid w:val="00921B1A"/>
    <w:rsid w:val="00927C25"/>
    <w:rsid w:val="009304C8"/>
    <w:rsid w:val="00942BC7"/>
    <w:rsid w:val="00947830"/>
    <w:rsid w:val="00953A72"/>
    <w:rsid w:val="00963119"/>
    <w:rsid w:val="009652EF"/>
    <w:rsid w:val="00973642"/>
    <w:rsid w:val="00977B2E"/>
    <w:rsid w:val="0098089E"/>
    <w:rsid w:val="0098181D"/>
    <w:rsid w:val="009860CC"/>
    <w:rsid w:val="009860E6"/>
    <w:rsid w:val="0099042F"/>
    <w:rsid w:val="00990B02"/>
    <w:rsid w:val="00991ED2"/>
    <w:rsid w:val="00997FA9"/>
    <w:rsid w:val="009A1968"/>
    <w:rsid w:val="009A1D77"/>
    <w:rsid w:val="009A5325"/>
    <w:rsid w:val="009A64DE"/>
    <w:rsid w:val="009A6FC2"/>
    <w:rsid w:val="009B1BDE"/>
    <w:rsid w:val="009B6C9D"/>
    <w:rsid w:val="009B7E5E"/>
    <w:rsid w:val="009C3026"/>
    <w:rsid w:val="009D1066"/>
    <w:rsid w:val="009D62F6"/>
    <w:rsid w:val="009E0671"/>
    <w:rsid w:val="009E4FD6"/>
    <w:rsid w:val="009F0229"/>
    <w:rsid w:val="00A03CBF"/>
    <w:rsid w:val="00A074A5"/>
    <w:rsid w:val="00A07F4E"/>
    <w:rsid w:val="00A102C0"/>
    <w:rsid w:val="00A105D7"/>
    <w:rsid w:val="00A162FE"/>
    <w:rsid w:val="00A217E7"/>
    <w:rsid w:val="00A24F24"/>
    <w:rsid w:val="00A329B2"/>
    <w:rsid w:val="00A55FEA"/>
    <w:rsid w:val="00A63E6C"/>
    <w:rsid w:val="00A6421B"/>
    <w:rsid w:val="00A81223"/>
    <w:rsid w:val="00A84C26"/>
    <w:rsid w:val="00A91B2A"/>
    <w:rsid w:val="00A9333D"/>
    <w:rsid w:val="00A959EC"/>
    <w:rsid w:val="00A965F1"/>
    <w:rsid w:val="00AB0063"/>
    <w:rsid w:val="00AB0C04"/>
    <w:rsid w:val="00AB1199"/>
    <w:rsid w:val="00AB3C41"/>
    <w:rsid w:val="00AC1E3B"/>
    <w:rsid w:val="00AE4367"/>
    <w:rsid w:val="00AE608F"/>
    <w:rsid w:val="00AE70EE"/>
    <w:rsid w:val="00AF000F"/>
    <w:rsid w:val="00AF1B96"/>
    <w:rsid w:val="00AF352B"/>
    <w:rsid w:val="00AF666E"/>
    <w:rsid w:val="00B01423"/>
    <w:rsid w:val="00B0227E"/>
    <w:rsid w:val="00B03005"/>
    <w:rsid w:val="00B05EBC"/>
    <w:rsid w:val="00B069C2"/>
    <w:rsid w:val="00B06A93"/>
    <w:rsid w:val="00B14E57"/>
    <w:rsid w:val="00B313A5"/>
    <w:rsid w:val="00B31A7F"/>
    <w:rsid w:val="00B414BD"/>
    <w:rsid w:val="00B55E0D"/>
    <w:rsid w:val="00B70B4A"/>
    <w:rsid w:val="00B73EF6"/>
    <w:rsid w:val="00B74BDF"/>
    <w:rsid w:val="00B81CE4"/>
    <w:rsid w:val="00B8301F"/>
    <w:rsid w:val="00B8615D"/>
    <w:rsid w:val="00B9098B"/>
    <w:rsid w:val="00B93F08"/>
    <w:rsid w:val="00B945D8"/>
    <w:rsid w:val="00BA682D"/>
    <w:rsid w:val="00BB3042"/>
    <w:rsid w:val="00BC1C4E"/>
    <w:rsid w:val="00BD6300"/>
    <w:rsid w:val="00BE11E2"/>
    <w:rsid w:val="00BE2989"/>
    <w:rsid w:val="00BE31A9"/>
    <w:rsid w:val="00BF2B82"/>
    <w:rsid w:val="00C10320"/>
    <w:rsid w:val="00C215E5"/>
    <w:rsid w:val="00C21897"/>
    <w:rsid w:val="00C22E09"/>
    <w:rsid w:val="00C338A6"/>
    <w:rsid w:val="00C409BA"/>
    <w:rsid w:val="00C40B1A"/>
    <w:rsid w:val="00C435E9"/>
    <w:rsid w:val="00C47791"/>
    <w:rsid w:val="00C477D5"/>
    <w:rsid w:val="00C50297"/>
    <w:rsid w:val="00C51712"/>
    <w:rsid w:val="00C51910"/>
    <w:rsid w:val="00C555E0"/>
    <w:rsid w:val="00C56A76"/>
    <w:rsid w:val="00C642A7"/>
    <w:rsid w:val="00C64847"/>
    <w:rsid w:val="00C657C0"/>
    <w:rsid w:val="00C66F33"/>
    <w:rsid w:val="00C67515"/>
    <w:rsid w:val="00C67B32"/>
    <w:rsid w:val="00C772F4"/>
    <w:rsid w:val="00C82AE8"/>
    <w:rsid w:val="00C82F00"/>
    <w:rsid w:val="00C95F96"/>
    <w:rsid w:val="00C971D2"/>
    <w:rsid w:val="00CB4634"/>
    <w:rsid w:val="00CC35CF"/>
    <w:rsid w:val="00CC4638"/>
    <w:rsid w:val="00CC496E"/>
    <w:rsid w:val="00CD4F8E"/>
    <w:rsid w:val="00CD54B5"/>
    <w:rsid w:val="00CD628B"/>
    <w:rsid w:val="00CE3660"/>
    <w:rsid w:val="00CE36C0"/>
    <w:rsid w:val="00CE417F"/>
    <w:rsid w:val="00D01F6B"/>
    <w:rsid w:val="00D1252E"/>
    <w:rsid w:val="00D12B8D"/>
    <w:rsid w:val="00D20893"/>
    <w:rsid w:val="00D22685"/>
    <w:rsid w:val="00D23903"/>
    <w:rsid w:val="00D27291"/>
    <w:rsid w:val="00D34670"/>
    <w:rsid w:val="00D346C9"/>
    <w:rsid w:val="00D4062C"/>
    <w:rsid w:val="00D42BC2"/>
    <w:rsid w:val="00D430F0"/>
    <w:rsid w:val="00D45A48"/>
    <w:rsid w:val="00D539DB"/>
    <w:rsid w:val="00D556A2"/>
    <w:rsid w:val="00D5707B"/>
    <w:rsid w:val="00D65488"/>
    <w:rsid w:val="00D65D1A"/>
    <w:rsid w:val="00D71FE1"/>
    <w:rsid w:val="00D80896"/>
    <w:rsid w:val="00D8120A"/>
    <w:rsid w:val="00D90FA7"/>
    <w:rsid w:val="00D915CC"/>
    <w:rsid w:val="00D94C4E"/>
    <w:rsid w:val="00DA3EC5"/>
    <w:rsid w:val="00DA4D5C"/>
    <w:rsid w:val="00DB313F"/>
    <w:rsid w:val="00DB3BC6"/>
    <w:rsid w:val="00DC152F"/>
    <w:rsid w:val="00DC287F"/>
    <w:rsid w:val="00DC5725"/>
    <w:rsid w:val="00DD02FF"/>
    <w:rsid w:val="00DE03B5"/>
    <w:rsid w:val="00DE0EDD"/>
    <w:rsid w:val="00DE5E38"/>
    <w:rsid w:val="00DF2B43"/>
    <w:rsid w:val="00DF45E9"/>
    <w:rsid w:val="00E06CCE"/>
    <w:rsid w:val="00E07EB8"/>
    <w:rsid w:val="00E150BC"/>
    <w:rsid w:val="00E16CDE"/>
    <w:rsid w:val="00E249A5"/>
    <w:rsid w:val="00E26598"/>
    <w:rsid w:val="00E27051"/>
    <w:rsid w:val="00E307A9"/>
    <w:rsid w:val="00E568D4"/>
    <w:rsid w:val="00E7262B"/>
    <w:rsid w:val="00E75E5B"/>
    <w:rsid w:val="00E80593"/>
    <w:rsid w:val="00E807C4"/>
    <w:rsid w:val="00E86D2D"/>
    <w:rsid w:val="00E9479A"/>
    <w:rsid w:val="00EA3691"/>
    <w:rsid w:val="00EA526B"/>
    <w:rsid w:val="00EA55BE"/>
    <w:rsid w:val="00EA7D81"/>
    <w:rsid w:val="00EB2636"/>
    <w:rsid w:val="00EB4CB3"/>
    <w:rsid w:val="00EB53EA"/>
    <w:rsid w:val="00EC51E6"/>
    <w:rsid w:val="00EC5ED5"/>
    <w:rsid w:val="00ED2217"/>
    <w:rsid w:val="00ED6A06"/>
    <w:rsid w:val="00ED756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23834"/>
    <w:rsid w:val="00F31085"/>
    <w:rsid w:val="00F36722"/>
    <w:rsid w:val="00F44595"/>
    <w:rsid w:val="00F506A2"/>
    <w:rsid w:val="00F602CC"/>
    <w:rsid w:val="00F66B7E"/>
    <w:rsid w:val="00F91CB1"/>
    <w:rsid w:val="00F9365C"/>
    <w:rsid w:val="00F97240"/>
    <w:rsid w:val="00FA0150"/>
    <w:rsid w:val="00FA3806"/>
    <w:rsid w:val="00FA6074"/>
    <w:rsid w:val="00FB0D6A"/>
    <w:rsid w:val="00FC116E"/>
    <w:rsid w:val="00FC26F8"/>
    <w:rsid w:val="00FC2F9C"/>
    <w:rsid w:val="00FC420D"/>
    <w:rsid w:val="00FC538E"/>
    <w:rsid w:val="00FD1BF2"/>
    <w:rsid w:val="00FD2175"/>
    <w:rsid w:val="00FD2840"/>
    <w:rsid w:val="00FD5FE7"/>
    <w:rsid w:val="00FE110A"/>
    <w:rsid w:val="00FE77F0"/>
    <w:rsid w:val="00FE7898"/>
    <w:rsid w:val="00FF2A6F"/>
    <w:rsid w:val="00FF5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6DA2"/>
  <w15:docId w15:val="{DE0A6AEB-E01E-4F9B-96D7-0DA7859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uiPriority w:val="99"/>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semiHidden/>
    <w:rsid w:val="00ED6A06"/>
    <w:rPr>
      <w:sz w:val="20"/>
      <w:szCs w:val="20"/>
      <w:lang w:eastAsia="lv-LV"/>
    </w:rPr>
  </w:style>
  <w:style w:type="character" w:customStyle="1" w:styleId="FootnoteTextChar">
    <w:name w:val="Footnote Text Char"/>
    <w:basedOn w:val="DefaultParagraphFont"/>
    <w:link w:val="FootnoteText"/>
    <w:semiHidden/>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EC5"/>
    <w:rPr>
      <w:sz w:val="16"/>
      <w:szCs w:val="16"/>
    </w:rPr>
  </w:style>
  <w:style w:type="paragraph" w:styleId="CommentText">
    <w:name w:val="annotation text"/>
    <w:basedOn w:val="Normal"/>
    <w:link w:val="CommentTextChar"/>
    <w:uiPriority w:val="99"/>
    <w:semiHidden/>
    <w:unhideWhenUsed/>
    <w:rsid w:val="00DA3EC5"/>
    <w:rPr>
      <w:sz w:val="20"/>
      <w:szCs w:val="20"/>
    </w:rPr>
  </w:style>
  <w:style w:type="character" w:customStyle="1" w:styleId="CommentTextChar">
    <w:name w:val="Comment Text Char"/>
    <w:basedOn w:val="DefaultParagraphFont"/>
    <w:link w:val="CommentText"/>
    <w:uiPriority w:val="99"/>
    <w:semiHidden/>
    <w:rsid w:val="00DA3E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EC5"/>
    <w:rPr>
      <w:b/>
      <w:bCs/>
    </w:rPr>
  </w:style>
  <w:style w:type="character" w:customStyle="1" w:styleId="CommentSubjectChar">
    <w:name w:val="Comment Subject Char"/>
    <w:basedOn w:val="CommentTextChar"/>
    <w:link w:val="CommentSubject"/>
    <w:uiPriority w:val="99"/>
    <w:semiHidden/>
    <w:rsid w:val="00DA3EC5"/>
    <w:rPr>
      <w:rFonts w:ascii="Times New Roman" w:eastAsia="Times New Roman" w:hAnsi="Times New Roman" w:cs="Times New Roman"/>
      <w:b/>
      <w:bCs/>
      <w:sz w:val="20"/>
      <w:szCs w:val="20"/>
    </w:rPr>
  </w:style>
  <w:style w:type="paragraph" w:customStyle="1" w:styleId="naisc">
    <w:name w:val="naisc"/>
    <w:basedOn w:val="Normal"/>
    <w:rsid w:val="00784102"/>
    <w:pPr>
      <w:spacing w:before="75" w:after="75"/>
      <w:jc w:val="center"/>
    </w:pPr>
    <w:rPr>
      <w:lang w:eastAsia="lv-LV"/>
    </w:rPr>
  </w:style>
  <w:style w:type="paragraph" w:styleId="Revision">
    <w:name w:val="Revision"/>
    <w:hidden/>
    <w:uiPriority w:val="99"/>
    <w:semiHidden/>
    <w:rsid w:val="00C95F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38858405">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piebalga@ie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ce.radzevica@iem.gov.lv" TargetMode="External"/><Relationship Id="rId4" Type="http://schemas.openxmlformats.org/officeDocument/2006/relationships/settings" Target="settings.xml"/><Relationship Id="rId9" Type="http://schemas.openxmlformats.org/officeDocument/2006/relationships/hyperlink" Target="mailto:Alda.Strode@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71D5-F213-4954-B60D-BA790191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4352</Words>
  <Characters>28454</Characters>
  <Application>Microsoft Office Word</Application>
  <DocSecurity>0</DocSecurity>
  <Lines>840</Lines>
  <Paragraphs>253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32679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Dace Radzeviča</cp:lastModifiedBy>
  <cp:revision>7</cp:revision>
  <cp:lastPrinted>2014-08-22T09:12:00Z</cp:lastPrinted>
  <dcterms:created xsi:type="dcterms:W3CDTF">2014-10-02T10:35:00Z</dcterms:created>
  <dcterms:modified xsi:type="dcterms:W3CDTF">2014-10-06T12:36:00Z</dcterms:modified>
</cp:coreProperties>
</file>