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FC" w:rsidRPr="005A0BC9" w:rsidRDefault="00A365E1">
      <w:pPr>
        <w:jc w:val="center"/>
        <w:rPr>
          <w:b/>
          <w:bCs/>
          <w:lang w:val="lv-LV" w:eastAsia="lv-LV"/>
        </w:rPr>
      </w:pPr>
      <w:bookmarkStart w:id="0" w:name="OLE_LINK7"/>
      <w:bookmarkStart w:id="1" w:name="OLE_LINK8"/>
      <w:bookmarkEnd w:id="0"/>
      <w:bookmarkEnd w:id="1"/>
      <w:r w:rsidRPr="005A0BC9">
        <w:rPr>
          <w:b/>
          <w:lang w:val="lv-LV" w:eastAsia="lv-LV"/>
        </w:rPr>
        <w:t xml:space="preserve">Ministru kabineta rīkojuma projekta </w:t>
      </w:r>
      <w:r w:rsidR="002D4031" w:rsidRPr="005A0BC9">
        <w:rPr>
          <w:b/>
          <w:bCs/>
          <w:lang w:val="lv-LV" w:eastAsia="lv-LV"/>
        </w:rPr>
        <w:t xml:space="preserve">„Grozījums </w:t>
      </w:r>
      <w:r w:rsidRPr="005A0BC9">
        <w:rPr>
          <w:b/>
          <w:bCs/>
          <w:lang w:val="lv-LV" w:eastAsia="lv-LV"/>
        </w:rPr>
        <w:t>Ministru kabineta 2014.gada 2.jūlija rīkojumā Nr.322 „</w:t>
      </w:r>
      <w:r w:rsidRPr="005A0BC9">
        <w:rPr>
          <w:b/>
          <w:lang w:val="lv-LV" w:eastAsia="lv-LV"/>
        </w:rPr>
        <w:t>Par ārkārtējās situācijas izsludināšanu</w:t>
      </w:r>
      <w:r w:rsidRPr="005A0BC9">
        <w:rPr>
          <w:b/>
          <w:bCs/>
          <w:lang w:val="lv-LV" w:eastAsia="lv-LV"/>
        </w:rPr>
        <w:t>”</w:t>
      </w:r>
      <w:r w:rsidR="00421555" w:rsidRPr="005A0BC9">
        <w:rPr>
          <w:b/>
          <w:bCs/>
          <w:lang w:val="lv-LV" w:eastAsia="lv-LV"/>
        </w:rPr>
        <w:t>”</w:t>
      </w:r>
      <w:r w:rsidRPr="005A0BC9">
        <w:rPr>
          <w:b/>
          <w:bCs/>
          <w:lang w:val="lv-LV" w:eastAsia="lv-LV"/>
        </w:rPr>
        <w:t xml:space="preserve"> sākotnējās ietekmes novērtējuma ziņojums (anotācija)</w:t>
      </w:r>
    </w:p>
    <w:p w:rsidR="00204153" w:rsidRDefault="00204153">
      <w:pPr>
        <w:jc w:val="center"/>
        <w:rPr>
          <w:b/>
          <w:bCs/>
          <w:sz w:val="28"/>
          <w:szCs w:val="28"/>
          <w:lang w:val="lv-LV" w:eastAsia="lv-LV"/>
        </w:rPr>
      </w:pPr>
    </w:p>
    <w:p w:rsidR="002847FC" w:rsidRDefault="002847FC">
      <w:pPr>
        <w:widowControl w:val="0"/>
        <w:jc w:val="center"/>
        <w:rPr>
          <w:b/>
          <w:bCs/>
          <w:lang w:val="lv-LV" w:eastAsia="lv-LV"/>
        </w:rPr>
      </w:pPr>
    </w:p>
    <w:tbl>
      <w:tblPr>
        <w:tblW w:w="0" w:type="auto"/>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25" w:type="dxa"/>
          <w:bottom w:w="30" w:type="dxa"/>
          <w:right w:w="30" w:type="dxa"/>
        </w:tblCellMar>
        <w:tblLook w:val="04A0" w:firstRow="1" w:lastRow="0" w:firstColumn="1" w:lastColumn="0" w:noHBand="0" w:noVBand="1"/>
      </w:tblPr>
      <w:tblGrid>
        <w:gridCol w:w="571"/>
        <w:gridCol w:w="1763"/>
        <w:gridCol w:w="1259"/>
        <w:gridCol w:w="5024"/>
      </w:tblGrid>
      <w:tr w:rsidR="002847FC">
        <w:tc>
          <w:tcPr>
            <w:tcW w:w="8617" w:type="dxa"/>
            <w:gridSpan w:val="4"/>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2847FC" w:rsidRDefault="00A365E1">
            <w:pPr>
              <w:pStyle w:val="naisf"/>
              <w:jc w:val="center"/>
              <w:rPr>
                <w:b/>
                <w:bCs/>
                <w:lang w:val="lv-LV"/>
              </w:rPr>
            </w:pPr>
            <w:r>
              <w:rPr>
                <w:b/>
                <w:bCs/>
                <w:lang w:val="lv-LV"/>
              </w:rPr>
              <w:t>I. Tiesību akta projekta izstrādes nepieciešamība</w:t>
            </w:r>
          </w:p>
        </w:tc>
      </w:tr>
      <w:tr w:rsidR="002847FC" w:rsidRPr="0025088B">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t>1.</w:t>
            </w:r>
          </w:p>
        </w:tc>
        <w:tc>
          <w:tcPr>
            <w:tcW w:w="3022" w:type="dxa"/>
            <w:gridSpan w:val="2"/>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t>Pamatojums</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t xml:space="preserve">Veterinārmedicīnas likuma 32.panta pirmā daļa un likuma „Par ārkārtējo situāciju un izņēmuma stāvokli” 6.panta pirmās daļas 2.punkts. </w:t>
            </w:r>
          </w:p>
        </w:tc>
      </w:tr>
      <w:tr w:rsidR="002847FC" w:rsidRPr="0025088B">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t>2.</w:t>
            </w:r>
          </w:p>
        </w:tc>
        <w:tc>
          <w:tcPr>
            <w:tcW w:w="3022" w:type="dxa"/>
            <w:gridSpan w:val="2"/>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t>Pašreizējā situācija un problēmas, kuru risināšanai tiesību akta projekts izstrādāts, tiesiskā regulējuma mērķis un būtība</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spacing w:before="280"/>
              <w:rPr>
                <w:lang w:val="lv-LV"/>
              </w:rPr>
            </w:pPr>
            <w:r>
              <w:rPr>
                <w:lang w:val="lv-LV"/>
              </w:rPr>
              <w:t>Ar Ministru kabineta 2014.gada 2.jūlija rīkojumu Nr.322 „Par ārkārtējās situācijas izsludināšanu” (turpmāk – rīkojums Nr.322) Latgalē noteiktā teritorijā tika izsludināta ārkārtējā situācija, jo mājas un meža cūkām 26.jūnijā konstatēja pirmos Āfrikas cūku mēra (turpmāk – ĀCM) uzliesmojuma gadījumus. 11. un 12.jūlijā ĀCM tika konstatēts vēl divās piemājas saimniecībās ar zemu biodrošības līmeni. Tāpēc 2014.gada 15.jūlijā Ministru kabinets pieņēma rīkojumu Nr.359 „Par pasākumiem Āfrikas cūku mēra izplatīšanās ierobežošanai”, nosakot stingrus nosacījumus cūku sugas dzīvnieku novietnēm un pasākumus, kas veicami, ja noteiktos nosacījumus cūku sugas dzīvnieku īpašnieki nevar īstenot.</w:t>
            </w:r>
          </w:p>
          <w:p w:rsidR="002847FC" w:rsidRDefault="00A365E1">
            <w:pPr>
              <w:pStyle w:val="naisf"/>
              <w:spacing w:before="280"/>
              <w:rPr>
                <w:lang w:val="lv-LV"/>
              </w:rPr>
            </w:pPr>
            <w:r>
              <w:rPr>
                <w:lang w:val="lv-LV"/>
              </w:rPr>
              <w:t>17.jūlijā ĀCM laboratoriski apstiprināts vēl trīs mājas cūku novietnēs ārkārtējās situācijas zonā un 18.jūlijā ir apstiprināts ĀCM Valkas novada Ērģemes pagastā. Līdz ar to rīkojumā Nr.322 tika veikti grozījumi, papildinot to ar jaunām teritorijām, kurās arī tiek noteikta ārkārtējā situācija.</w:t>
            </w:r>
          </w:p>
          <w:p w:rsidR="0025088B" w:rsidRDefault="00A365E1">
            <w:pPr>
              <w:pStyle w:val="NoSpacing"/>
              <w:jc w:val="both"/>
              <w:rPr>
                <w:lang w:val="lv-LV"/>
              </w:rPr>
            </w:pPr>
            <w:r>
              <w:rPr>
                <w:lang w:val="lv-LV"/>
              </w:rPr>
              <w:t>Ārkārtēja situācija ir noteikta virknē novados, kuros saskaņā ar Ministru kabineta 2012.gada 14.augusta noteikumiem Nr.550 „Noteikumi par Latvijas Republikas valsts robežas joslu, pierobežas joslu un pierobežu, kā arī pierobežas, pierobežas joslas un valsts robežas joslas norādījuma zīmju un informatīvo norāžu paraugiem un to uzstādīšanas kārtību” ir noteikta pierobeža un pierobežas josla. Lai nodrošinātu ĀCM izplatības ierobežošanu, nepieciešams palielināt kontroli uz ceļiem pierobežā un pierobežas joslā. Pašlaik kontroli uz ceļiem</w:t>
            </w:r>
            <w:r w:rsidR="00CE70AA">
              <w:rPr>
                <w:lang w:val="lv-LV"/>
              </w:rPr>
              <w:t>, saskaņā ar rīkojumu Nr.322,</w:t>
            </w:r>
            <w:r>
              <w:rPr>
                <w:lang w:val="lv-LV"/>
              </w:rPr>
              <w:t xml:space="preserve"> nodrošina Valsts </w:t>
            </w:r>
            <w:r w:rsidR="0025088B">
              <w:rPr>
                <w:lang w:val="lv-LV"/>
              </w:rPr>
              <w:lastRenderedPageBreak/>
              <w:t>policija.</w:t>
            </w:r>
          </w:p>
          <w:p w:rsidR="0025088B" w:rsidRPr="0025088B" w:rsidRDefault="00CE70AA">
            <w:pPr>
              <w:pStyle w:val="NoSpacing"/>
              <w:jc w:val="both"/>
              <w:rPr>
                <w:lang w:val="lv-LV"/>
              </w:rPr>
            </w:pPr>
            <w:r>
              <w:rPr>
                <w:lang w:val="lv-LV"/>
              </w:rPr>
              <w:t xml:space="preserve"> </w:t>
            </w:r>
            <w:r w:rsidR="0025088B" w:rsidRPr="0025088B">
              <w:rPr>
                <w:lang w:val="lv-LV"/>
              </w:rPr>
              <w:t>No 2014.gada 26.jūlija pēc Valsts policijas lūguma Valsts robežsardze Āfrikas cūku mēra skartajās teritorijās, kas atrodas  pierobežā un pierobežas joslā, ir izveidojusi un nodrošina četru pastāvīgu kontroles posteņu darbību 24 stundu režīmā. Tādējādi Valsts robežsardzes pašreiz nodrošina minētājas teritorijās visu transportlīdzekļu kontroli ar mērķi veikt mājas cūku, mežacūku un to produktu pārvadājumu pārbaudes.</w:t>
            </w:r>
          </w:p>
          <w:p w:rsidR="002847FC" w:rsidRPr="00EF008A" w:rsidRDefault="00C632B8" w:rsidP="002D4031">
            <w:pPr>
              <w:pStyle w:val="NoSpacing"/>
              <w:jc w:val="both"/>
              <w:rPr>
                <w:u w:val="single"/>
                <w:lang w:val="lv-LV"/>
              </w:rPr>
            </w:pPr>
            <w:r w:rsidRPr="00421555">
              <w:rPr>
                <w:lang w:val="lv-LV"/>
              </w:rPr>
              <w:t>Ja Valsts robežsardzei, iz</w:t>
            </w:r>
            <w:r w:rsidR="002D4031" w:rsidRPr="00421555">
              <w:rPr>
                <w:lang w:val="lv-LV"/>
              </w:rPr>
              <w:t>pildot rīkojuma projektā no</w:t>
            </w:r>
            <w:r w:rsidR="000D3B45" w:rsidRPr="00421555">
              <w:rPr>
                <w:lang w:val="lv-LV"/>
              </w:rPr>
              <w:t>teiktos pasākumus, radīsies pap</w:t>
            </w:r>
            <w:r w:rsidR="0016176F" w:rsidRPr="00421555">
              <w:rPr>
                <w:lang w:val="lv-LV"/>
              </w:rPr>
              <w:t>ildu izdevumi, pap</w:t>
            </w:r>
            <w:r w:rsidR="002D4031" w:rsidRPr="00421555">
              <w:rPr>
                <w:lang w:val="lv-LV"/>
              </w:rPr>
              <w:t>ildu finansējums tiks pieprasīts atbilstoši rīkojums Nr.322 1.punktam.</w:t>
            </w:r>
          </w:p>
        </w:tc>
      </w:tr>
      <w:tr w:rsidR="002847FC">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lastRenderedPageBreak/>
              <w:t>3.</w:t>
            </w:r>
          </w:p>
        </w:tc>
        <w:tc>
          <w:tcPr>
            <w:tcW w:w="3022" w:type="dxa"/>
            <w:gridSpan w:val="2"/>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t>Projekta izstrādē iesaistītās institūcijas</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t>Valsts robežsardze</w:t>
            </w:r>
          </w:p>
        </w:tc>
      </w:tr>
      <w:tr w:rsidR="002847FC">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t>4.</w:t>
            </w:r>
          </w:p>
        </w:tc>
        <w:tc>
          <w:tcPr>
            <w:tcW w:w="3022" w:type="dxa"/>
            <w:gridSpan w:val="2"/>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t>Cita informācija</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2847FC" w:rsidRDefault="00A365E1">
            <w:pPr>
              <w:pStyle w:val="naisf"/>
              <w:rPr>
                <w:lang w:val="lv-LV"/>
              </w:rPr>
            </w:pPr>
            <w:r>
              <w:rPr>
                <w:lang w:val="lv-LV"/>
              </w:rPr>
              <w:t>Nav.</w:t>
            </w:r>
          </w:p>
        </w:tc>
      </w:tr>
      <w:tr w:rsidR="002847FC">
        <w:tc>
          <w:tcPr>
            <w:tcW w:w="8617"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25" w:type="dxa"/>
            </w:tcMar>
          </w:tcPr>
          <w:p w:rsidR="002847FC" w:rsidRDefault="00A365E1">
            <w:pPr>
              <w:pStyle w:val="naisf"/>
              <w:rPr>
                <w:b/>
                <w:bCs/>
                <w:lang w:val="lv-LV"/>
              </w:rPr>
            </w:pPr>
            <w:r>
              <w:rPr>
                <w:b/>
                <w:lang w:val="lv-LV"/>
              </w:rPr>
              <w:t>II. Tiesību akta projekta ietekme uz sabiedrību,</w:t>
            </w:r>
            <w:r>
              <w:rPr>
                <w:b/>
                <w:bCs/>
                <w:lang w:val="lv-LV"/>
              </w:rPr>
              <w:t xml:space="preserve"> tautsaimniecības attīstību un administratīvo slogu</w:t>
            </w:r>
          </w:p>
        </w:tc>
      </w:tr>
      <w:tr w:rsidR="002847FC" w:rsidRPr="0025088B">
        <w:tc>
          <w:tcPr>
            <w:tcW w:w="571" w:type="dxa"/>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1.</w:t>
            </w:r>
          </w:p>
        </w:tc>
        <w:tc>
          <w:tcPr>
            <w:tcW w:w="1763" w:type="dxa"/>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Sabiedrības mērķgrupas, kuras tiesiskais regulējums ietekmē vai varētu ietekmēt</w:t>
            </w:r>
          </w:p>
        </w:tc>
        <w:tc>
          <w:tcPr>
            <w:tcW w:w="6283" w:type="dxa"/>
            <w:gridSpan w:val="2"/>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rsidP="002D4031">
            <w:pPr>
              <w:pStyle w:val="naisf"/>
              <w:rPr>
                <w:lang w:val="lv-LV"/>
              </w:rPr>
            </w:pPr>
            <w:r>
              <w:rPr>
                <w:lang w:val="lv-LV"/>
              </w:rPr>
              <w:t>Rīkojuma projekta tiesiskais regulējums attiecas uz visām personām, kuras dzīvo un uzturas teritorijā, kurā tiek izsludināta ārkārtējā situācija un kurā ir noteikta p</w:t>
            </w:r>
            <w:r w:rsidR="002D4031">
              <w:rPr>
                <w:lang w:val="lv-LV"/>
              </w:rPr>
              <w:t>ierobežas vai pierobežas josla.</w:t>
            </w:r>
          </w:p>
        </w:tc>
      </w:tr>
      <w:tr w:rsidR="002847FC" w:rsidRPr="0025088B">
        <w:tc>
          <w:tcPr>
            <w:tcW w:w="571" w:type="dxa"/>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2.</w:t>
            </w:r>
          </w:p>
        </w:tc>
        <w:tc>
          <w:tcPr>
            <w:tcW w:w="1763" w:type="dxa"/>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Tiesiskā regulējuma ietekme uz tautsaimniecību un administratīvo slogu</w:t>
            </w:r>
          </w:p>
        </w:tc>
        <w:tc>
          <w:tcPr>
            <w:tcW w:w="6283" w:type="dxa"/>
            <w:gridSpan w:val="2"/>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Rīkojuma projekta tiesiskais regulējums maina līdzšinējo administratīvo procedūru, jo tas nosaka īpašu tiesisko režīmu pēc ārkārtējās situācijas izsludināšanas noteiktā Latvijas teritorijā.</w:t>
            </w:r>
          </w:p>
        </w:tc>
      </w:tr>
      <w:tr w:rsidR="002847FC">
        <w:tc>
          <w:tcPr>
            <w:tcW w:w="571" w:type="dxa"/>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3.</w:t>
            </w:r>
          </w:p>
        </w:tc>
        <w:tc>
          <w:tcPr>
            <w:tcW w:w="1763" w:type="dxa"/>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Administratīvo izmaksu monetārs novērtējums</w:t>
            </w:r>
          </w:p>
        </w:tc>
        <w:tc>
          <w:tcPr>
            <w:tcW w:w="6283" w:type="dxa"/>
            <w:gridSpan w:val="2"/>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Projekts šo jomu neskar.</w:t>
            </w:r>
          </w:p>
        </w:tc>
      </w:tr>
      <w:tr w:rsidR="002847FC">
        <w:tc>
          <w:tcPr>
            <w:tcW w:w="571" w:type="dxa"/>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4.</w:t>
            </w:r>
          </w:p>
        </w:tc>
        <w:tc>
          <w:tcPr>
            <w:tcW w:w="1763" w:type="dxa"/>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Cita informācija</w:t>
            </w:r>
          </w:p>
        </w:tc>
        <w:tc>
          <w:tcPr>
            <w:tcW w:w="6283" w:type="dxa"/>
            <w:gridSpan w:val="2"/>
            <w:tcBorders>
              <w:top w:val="thickThinLargeGap" w:sz="6" w:space="0" w:color="00000A"/>
              <w:left w:val="thickThinLargeGap" w:sz="6" w:space="0" w:color="00000A"/>
              <w:bottom w:val="single" w:sz="4" w:space="0" w:color="00000A"/>
              <w:right w:val="thickThinLargeGap" w:sz="6" w:space="0" w:color="00000A"/>
            </w:tcBorders>
            <w:shd w:val="clear" w:color="auto" w:fill="FFFFFF"/>
            <w:tcMar>
              <w:left w:w="-25" w:type="dxa"/>
            </w:tcMar>
          </w:tcPr>
          <w:p w:rsidR="002847FC" w:rsidRDefault="00A365E1">
            <w:pPr>
              <w:pStyle w:val="naisf"/>
              <w:rPr>
                <w:lang w:val="lv-LV"/>
              </w:rPr>
            </w:pPr>
            <w:r>
              <w:rPr>
                <w:lang w:val="lv-LV"/>
              </w:rPr>
              <w:t>Nav.</w:t>
            </w:r>
          </w:p>
        </w:tc>
      </w:tr>
    </w:tbl>
    <w:p w:rsidR="002847FC" w:rsidRDefault="002847FC">
      <w:pPr>
        <w:pStyle w:val="naisf"/>
        <w:spacing w:before="280"/>
        <w:rPr>
          <w:i/>
          <w:lang w:val="lv-LV"/>
        </w:rPr>
      </w:pPr>
    </w:p>
    <w:p w:rsidR="002847FC" w:rsidRDefault="00A365E1">
      <w:pPr>
        <w:pStyle w:val="naisf"/>
        <w:spacing w:before="280"/>
        <w:rPr>
          <w:i/>
          <w:lang w:val="lv-LV"/>
        </w:rPr>
      </w:pPr>
      <w:r>
        <w:rPr>
          <w:i/>
          <w:lang w:val="lv-LV"/>
        </w:rPr>
        <w:lastRenderedPageBreak/>
        <w:t>Anotācijas III, IV, V un VI sadaļa – projekts šīs jomas neskar.</w:t>
      </w:r>
    </w:p>
    <w:p w:rsidR="002847FC" w:rsidRDefault="002847FC">
      <w:pPr>
        <w:pStyle w:val="naisf"/>
        <w:spacing w:before="280"/>
        <w:rPr>
          <w:i/>
          <w:lang w:val="lv-LV"/>
        </w:rPr>
      </w:pPr>
    </w:p>
    <w:tbl>
      <w:tblPr>
        <w:tblW w:w="0" w:type="auto"/>
        <w:tblInd w:w="142"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30" w:type="dxa"/>
          <w:left w:w="0" w:type="dxa"/>
          <w:bottom w:w="30" w:type="dxa"/>
          <w:right w:w="30" w:type="dxa"/>
        </w:tblCellMar>
        <w:tblLook w:val="04A0" w:firstRow="1" w:lastRow="0" w:firstColumn="1" w:lastColumn="0" w:noHBand="0" w:noVBand="1"/>
      </w:tblPr>
      <w:tblGrid>
        <w:gridCol w:w="555"/>
        <w:gridCol w:w="2334"/>
        <w:gridCol w:w="5819"/>
      </w:tblGrid>
      <w:tr w:rsidR="002847FC" w:rsidRPr="0025088B">
        <w:trPr>
          <w:trHeight w:val="222"/>
        </w:trPr>
        <w:tc>
          <w:tcPr>
            <w:tcW w:w="8708"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0" w:type="dxa"/>
            </w:tcMar>
          </w:tcPr>
          <w:p w:rsidR="002847FC" w:rsidRDefault="00A365E1">
            <w:pPr>
              <w:pStyle w:val="naisf"/>
              <w:rPr>
                <w:b/>
                <w:bCs/>
                <w:lang w:val="lv-LV"/>
              </w:rPr>
            </w:pPr>
            <w:r>
              <w:rPr>
                <w:b/>
                <w:bCs/>
                <w:lang w:val="lv-LV"/>
              </w:rPr>
              <w:t>VII. Tiesību akta projekta izpildes nodrošināšana un tās ietekme uz institūcijām</w:t>
            </w:r>
          </w:p>
        </w:tc>
      </w:tr>
      <w:tr w:rsidR="002847FC">
        <w:tc>
          <w:tcPr>
            <w:tcW w:w="5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0" w:type="dxa"/>
            </w:tcMar>
          </w:tcPr>
          <w:p w:rsidR="002847FC" w:rsidRDefault="00A365E1">
            <w:pPr>
              <w:pStyle w:val="naisf"/>
              <w:rPr>
                <w:lang w:val="lv-LV"/>
              </w:rPr>
            </w:pPr>
            <w:r>
              <w:rPr>
                <w:lang w:val="lv-LV"/>
              </w:rPr>
              <w:t>1.</w:t>
            </w:r>
          </w:p>
        </w:tc>
        <w:tc>
          <w:tcPr>
            <w:tcW w:w="233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0" w:type="dxa"/>
            </w:tcMar>
          </w:tcPr>
          <w:p w:rsidR="002847FC" w:rsidRDefault="00A365E1">
            <w:pPr>
              <w:pStyle w:val="naisf"/>
              <w:rPr>
                <w:lang w:val="lv-LV"/>
              </w:rPr>
            </w:pPr>
            <w:r>
              <w:rPr>
                <w:lang w:val="lv-LV"/>
              </w:rPr>
              <w:t>Projekta izpildē iesaistītās institūcijas</w:t>
            </w:r>
          </w:p>
        </w:tc>
        <w:tc>
          <w:tcPr>
            <w:tcW w:w="581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0" w:type="dxa"/>
            </w:tcMar>
          </w:tcPr>
          <w:p w:rsidR="002847FC" w:rsidRDefault="00A365E1">
            <w:pPr>
              <w:pStyle w:val="naisf"/>
              <w:rPr>
                <w:lang w:val="lv-LV"/>
              </w:rPr>
            </w:pPr>
            <w:r>
              <w:rPr>
                <w:lang w:val="lv-LV"/>
              </w:rPr>
              <w:t>Valsts robežsardze</w:t>
            </w:r>
          </w:p>
        </w:tc>
      </w:tr>
      <w:tr w:rsidR="002847FC">
        <w:tc>
          <w:tcPr>
            <w:tcW w:w="5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0" w:type="dxa"/>
            </w:tcMar>
          </w:tcPr>
          <w:p w:rsidR="002847FC" w:rsidRDefault="00A365E1">
            <w:pPr>
              <w:pStyle w:val="naisf"/>
              <w:rPr>
                <w:lang w:val="lv-LV"/>
              </w:rPr>
            </w:pPr>
            <w:r>
              <w:rPr>
                <w:lang w:val="lv-LV"/>
              </w:rPr>
              <w:t>2.</w:t>
            </w:r>
          </w:p>
        </w:tc>
        <w:tc>
          <w:tcPr>
            <w:tcW w:w="233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0" w:type="dxa"/>
            </w:tcMar>
          </w:tcPr>
          <w:p w:rsidR="002847FC" w:rsidRDefault="00A365E1">
            <w:pPr>
              <w:pStyle w:val="naisf"/>
              <w:rPr>
                <w:lang w:val="lv-LV"/>
              </w:rPr>
            </w:pPr>
            <w:r>
              <w:rPr>
                <w:lang w:val="lv-LV"/>
              </w:rPr>
              <w:t xml:space="preserve">Projekta izpildes ietekme uz pārvaldes funkcijām un institucionālo struktūru. </w:t>
            </w:r>
          </w:p>
          <w:p w:rsidR="002847FC" w:rsidRDefault="00A365E1">
            <w:pPr>
              <w:pStyle w:val="naisf"/>
              <w:rPr>
                <w:lang w:val="lv-LV"/>
              </w:rPr>
            </w:pPr>
            <w:r>
              <w:rPr>
                <w:lang w:val="lv-LV"/>
              </w:rPr>
              <w:t>Jaunu institūciju izveide, esošu institūciju likvidācija vai reorganizācija, to ietekme uz institūcijas cilvēkresursiem</w:t>
            </w:r>
          </w:p>
        </w:tc>
        <w:tc>
          <w:tcPr>
            <w:tcW w:w="581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0" w:type="dxa"/>
            </w:tcMar>
          </w:tcPr>
          <w:p w:rsidR="002847FC" w:rsidRDefault="00A365E1">
            <w:pPr>
              <w:pStyle w:val="naisf"/>
              <w:rPr>
                <w:lang w:val="lv-LV"/>
              </w:rPr>
            </w:pPr>
            <w:r>
              <w:rPr>
                <w:lang w:val="lv-LV"/>
              </w:rPr>
              <w:t>Projekts šo jomu neskar.</w:t>
            </w:r>
          </w:p>
        </w:tc>
      </w:tr>
      <w:tr w:rsidR="002847FC">
        <w:tc>
          <w:tcPr>
            <w:tcW w:w="5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0" w:type="dxa"/>
            </w:tcMar>
          </w:tcPr>
          <w:p w:rsidR="002847FC" w:rsidRDefault="00A365E1">
            <w:pPr>
              <w:pStyle w:val="naisf"/>
              <w:rPr>
                <w:lang w:val="lv-LV"/>
              </w:rPr>
            </w:pPr>
            <w:r>
              <w:rPr>
                <w:lang w:val="lv-LV"/>
              </w:rPr>
              <w:t>3.</w:t>
            </w:r>
          </w:p>
        </w:tc>
        <w:tc>
          <w:tcPr>
            <w:tcW w:w="233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0" w:type="dxa"/>
            </w:tcMar>
          </w:tcPr>
          <w:p w:rsidR="002847FC" w:rsidRDefault="00A365E1">
            <w:pPr>
              <w:pStyle w:val="naisf"/>
              <w:rPr>
                <w:lang w:val="lv-LV"/>
              </w:rPr>
            </w:pPr>
            <w:r>
              <w:rPr>
                <w:lang w:val="lv-LV"/>
              </w:rPr>
              <w:t>Cita informācija</w:t>
            </w:r>
          </w:p>
        </w:tc>
        <w:tc>
          <w:tcPr>
            <w:tcW w:w="581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0" w:type="dxa"/>
            </w:tcMar>
          </w:tcPr>
          <w:p w:rsidR="002847FC" w:rsidRDefault="00A365E1">
            <w:pPr>
              <w:pStyle w:val="naisf"/>
              <w:rPr>
                <w:lang w:val="lv-LV"/>
              </w:rPr>
            </w:pPr>
            <w:r>
              <w:rPr>
                <w:lang w:val="lv-LV"/>
              </w:rPr>
              <w:t>Nav.</w:t>
            </w:r>
          </w:p>
        </w:tc>
      </w:tr>
    </w:tbl>
    <w:p w:rsidR="002847FC" w:rsidRDefault="002847FC">
      <w:pPr>
        <w:pStyle w:val="naisf"/>
        <w:spacing w:before="280"/>
        <w:rPr>
          <w:sz w:val="28"/>
          <w:szCs w:val="28"/>
          <w:lang w:val="lv-LV"/>
        </w:rPr>
      </w:pPr>
    </w:p>
    <w:p w:rsidR="008838BA" w:rsidRPr="005A0BC9" w:rsidRDefault="00A365E1" w:rsidP="008838BA">
      <w:pPr>
        <w:pStyle w:val="naisf"/>
        <w:spacing w:before="280"/>
        <w:rPr>
          <w:lang w:val="lv-LV"/>
        </w:rPr>
      </w:pPr>
      <w:r>
        <w:rPr>
          <w:sz w:val="28"/>
          <w:szCs w:val="28"/>
          <w:lang w:val="lv-LV"/>
        </w:rPr>
        <w:tab/>
      </w:r>
      <w:r w:rsidRPr="005A0BC9">
        <w:rPr>
          <w:lang w:val="lv-LV"/>
        </w:rPr>
        <w:t>Iekšlietu ministrs</w:t>
      </w:r>
      <w:r w:rsidRPr="005A0BC9">
        <w:rPr>
          <w:lang w:val="lv-LV"/>
        </w:rPr>
        <w:tab/>
      </w:r>
      <w:r w:rsidRPr="005A0BC9">
        <w:rPr>
          <w:lang w:val="lv-LV"/>
        </w:rPr>
        <w:tab/>
      </w:r>
      <w:r w:rsidRPr="005A0BC9">
        <w:rPr>
          <w:lang w:val="lv-LV"/>
        </w:rPr>
        <w:tab/>
      </w:r>
      <w:r w:rsidRPr="005A0BC9">
        <w:rPr>
          <w:lang w:val="lv-LV"/>
        </w:rPr>
        <w:tab/>
      </w:r>
      <w:r w:rsidRPr="005A0BC9">
        <w:rPr>
          <w:lang w:val="lv-LV"/>
        </w:rPr>
        <w:tab/>
      </w:r>
      <w:r w:rsidRPr="005A0BC9">
        <w:rPr>
          <w:lang w:val="lv-LV"/>
        </w:rPr>
        <w:tab/>
        <w:t>R.Kozlovskis</w:t>
      </w:r>
    </w:p>
    <w:p w:rsidR="008838BA" w:rsidRDefault="008838BA" w:rsidP="008838BA">
      <w:pPr>
        <w:pStyle w:val="naisf"/>
        <w:spacing w:after="0"/>
        <w:rPr>
          <w:sz w:val="20"/>
          <w:szCs w:val="20"/>
          <w:lang w:val="lv-LV"/>
        </w:rPr>
      </w:pPr>
    </w:p>
    <w:p w:rsidR="008838BA" w:rsidRDefault="008838BA" w:rsidP="008838BA">
      <w:pPr>
        <w:pStyle w:val="naisf"/>
        <w:spacing w:after="0"/>
        <w:rPr>
          <w:sz w:val="20"/>
          <w:szCs w:val="20"/>
          <w:lang w:val="lv-LV"/>
        </w:rPr>
      </w:pPr>
    </w:p>
    <w:p w:rsidR="005A0BC9" w:rsidRDefault="005A0BC9" w:rsidP="008838BA">
      <w:pPr>
        <w:pStyle w:val="naisf"/>
        <w:spacing w:after="0"/>
        <w:rPr>
          <w:sz w:val="18"/>
          <w:szCs w:val="18"/>
          <w:lang w:val="lv-LV"/>
        </w:rPr>
      </w:pPr>
    </w:p>
    <w:p w:rsidR="008838BA" w:rsidRPr="005A0BC9" w:rsidRDefault="008C025C" w:rsidP="008838BA">
      <w:pPr>
        <w:pStyle w:val="naisf"/>
        <w:spacing w:after="0"/>
        <w:rPr>
          <w:sz w:val="18"/>
          <w:szCs w:val="18"/>
          <w:lang w:val="lv-LV"/>
        </w:rPr>
      </w:pPr>
      <w:r>
        <w:rPr>
          <w:sz w:val="18"/>
          <w:szCs w:val="18"/>
          <w:lang w:val="lv-LV"/>
        </w:rPr>
        <w:t>08.08.2014. 11</w:t>
      </w:r>
      <w:r w:rsidR="008838BA" w:rsidRPr="005A0BC9">
        <w:rPr>
          <w:sz w:val="18"/>
          <w:szCs w:val="18"/>
          <w:lang w:val="lv-LV"/>
        </w:rPr>
        <w:t>:</w:t>
      </w:r>
      <w:r>
        <w:rPr>
          <w:sz w:val="18"/>
          <w:szCs w:val="18"/>
          <w:lang w:val="lv-LV"/>
        </w:rPr>
        <w:t>51</w:t>
      </w:r>
      <w:bookmarkStart w:id="2" w:name="_GoBack"/>
      <w:bookmarkEnd w:id="2"/>
    </w:p>
    <w:p w:rsidR="002847FC" w:rsidRPr="005A0BC9" w:rsidRDefault="008C025C" w:rsidP="008838BA">
      <w:pPr>
        <w:pStyle w:val="naisf"/>
        <w:spacing w:after="0"/>
        <w:rPr>
          <w:sz w:val="18"/>
          <w:szCs w:val="18"/>
          <w:lang w:val="lv-LV"/>
        </w:rPr>
      </w:pPr>
      <w:r>
        <w:rPr>
          <w:sz w:val="18"/>
          <w:szCs w:val="18"/>
          <w:lang w:val="lv-LV"/>
        </w:rPr>
        <w:t>508</w:t>
      </w:r>
    </w:p>
    <w:p w:rsidR="002847FC" w:rsidRPr="005A0BC9" w:rsidRDefault="00A365E1" w:rsidP="008838BA">
      <w:pPr>
        <w:pStyle w:val="naisf"/>
        <w:spacing w:after="0"/>
        <w:rPr>
          <w:sz w:val="18"/>
          <w:szCs w:val="18"/>
          <w:lang w:val="lv-LV"/>
        </w:rPr>
      </w:pPr>
      <w:bookmarkStart w:id="3" w:name="OLE_LINK71"/>
      <w:bookmarkStart w:id="4" w:name="OLE_LINK81"/>
      <w:bookmarkEnd w:id="3"/>
      <w:bookmarkEnd w:id="4"/>
      <w:r w:rsidRPr="005A0BC9">
        <w:rPr>
          <w:sz w:val="18"/>
          <w:szCs w:val="18"/>
          <w:lang w:val="lv-LV"/>
        </w:rPr>
        <w:t xml:space="preserve">I.Skirusa </w:t>
      </w:r>
    </w:p>
    <w:p w:rsidR="002847FC" w:rsidRPr="005A0BC9" w:rsidRDefault="00A365E1" w:rsidP="008838BA">
      <w:pPr>
        <w:pStyle w:val="naisf"/>
        <w:spacing w:after="0"/>
        <w:rPr>
          <w:sz w:val="18"/>
          <w:szCs w:val="18"/>
          <w:lang w:val="lv-LV"/>
        </w:rPr>
      </w:pPr>
      <w:r w:rsidRPr="005A0BC9">
        <w:rPr>
          <w:sz w:val="18"/>
          <w:szCs w:val="18"/>
          <w:lang w:val="lv-LV"/>
        </w:rPr>
        <w:t xml:space="preserve">67075663, </w:t>
      </w:r>
      <w:hyperlink r:id="rId7" w:history="1">
        <w:r w:rsidR="008838BA" w:rsidRPr="005A0BC9">
          <w:rPr>
            <w:rStyle w:val="Hyperlink"/>
            <w:sz w:val="18"/>
            <w:szCs w:val="18"/>
            <w:lang w:val="lv-LV"/>
          </w:rPr>
          <w:t>ieva.skirusa@rs.gov.lv</w:t>
        </w:r>
      </w:hyperlink>
    </w:p>
    <w:p w:rsidR="008838BA" w:rsidRPr="005A0BC9" w:rsidRDefault="008838BA" w:rsidP="008838BA">
      <w:pPr>
        <w:pStyle w:val="naisf"/>
        <w:spacing w:after="0"/>
        <w:rPr>
          <w:sz w:val="18"/>
          <w:szCs w:val="18"/>
          <w:lang w:val="lv-LV"/>
        </w:rPr>
      </w:pPr>
      <w:r w:rsidRPr="005A0BC9">
        <w:rPr>
          <w:sz w:val="18"/>
          <w:szCs w:val="18"/>
          <w:lang w:val="lv-LV"/>
        </w:rPr>
        <w:t>J.Laimiņš</w:t>
      </w:r>
    </w:p>
    <w:p w:rsidR="008838BA" w:rsidRPr="005A0BC9" w:rsidRDefault="008838BA" w:rsidP="008838BA">
      <w:pPr>
        <w:pStyle w:val="naisf"/>
        <w:spacing w:after="0"/>
        <w:rPr>
          <w:sz w:val="18"/>
          <w:szCs w:val="18"/>
          <w:lang w:val="lv-LV"/>
        </w:rPr>
      </w:pPr>
      <w:r w:rsidRPr="005A0BC9">
        <w:rPr>
          <w:sz w:val="18"/>
          <w:szCs w:val="18"/>
          <w:lang w:val="lv-LV"/>
        </w:rPr>
        <w:t>67075733, janis.laimins@rs.gov.lv</w:t>
      </w:r>
    </w:p>
    <w:sectPr w:rsidR="008838BA" w:rsidRPr="005A0BC9" w:rsidSect="00204153">
      <w:headerReference w:type="default" r:id="rId8"/>
      <w:footerReference w:type="default" r:id="rId9"/>
      <w:footerReference w:type="first" r:id="rId10"/>
      <w:pgSz w:w="11906" w:h="16838"/>
      <w:pgMar w:top="1276" w:right="1134" w:bottom="777" w:left="1701" w:header="1418" w:footer="72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AB" w:rsidRDefault="00D635AB">
      <w:r>
        <w:separator/>
      </w:r>
    </w:p>
  </w:endnote>
  <w:endnote w:type="continuationSeparator" w:id="0">
    <w:p w:rsidR="00D635AB" w:rsidRDefault="00D6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20002A87" w:usb1="00000000" w:usb2="00000000" w:usb3="00000000" w:csb0="000001F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Liberation Sans">
    <w:panose1 w:val="020B0604020202020204"/>
    <w:charset w:val="BA"/>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FC" w:rsidRDefault="002847FC">
    <w:pPr>
      <w:pStyle w:val="Header"/>
    </w:pPr>
  </w:p>
  <w:p w:rsidR="002847FC" w:rsidRDefault="0006434D">
    <w:pPr>
      <w:pStyle w:val="NoSpacing"/>
      <w:jc w:val="both"/>
      <w:rPr>
        <w:bCs/>
        <w:sz w:val="20"/>
        <w:szCs w:val="20"/>
        <w:lang w:val="lv-LV" w:eastAsia="lv-LV"/>
      </w:rPr>
    </w:pPr>
    <w:r>
      <w:rPr>
        <w:bCs/>
        <w:sz w:val="20"/>
        <w:szCs w:val="20"/>
        <w:lang w:val="lv-LV" w:eastAsia="lv-LV"/>
      </w:rPr>
      <w:t>IeMAnot_08</w:t>
    </w:r>
    <w:r w:rsidR="00A365E1">
      <w:rPr>
        <w:bCs/>
        <w:sz w:val="20"/>
        <w:szCs w:val="20"/>
        <w:lang w:val="lv-LV" w:eastAsia="lv-LV"/>
      </w:rPr>
      <w:t>0814; Ministru kabineta rīkojuma projekts „Grozījums Ministru kabineta 2014.gada 2.jūlija rīkojumā Nr.322 „Par ārkārtējās situācijas izsludināšanu””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C6" w:rsidRDefault="0006434D" w:rsidP="00B27AC6">
    <w:pPr>
      <w:pStyle w:val="NoSpacing"/>
      <w:jc w:val="both"/>
      <w:rPr>
        <w:bCs/>
        <w:sz w:val="20"/>
        <w:szCs w:val="20"/>
        <w:lang w:val="lv-LV" w:eastAsia="lv-LV"/>
      </w:rPr>
    </w:pPr>
    <w:r>
      <w:rPr>
        <w:bCs/>
        <w:sz w:val="20"/>
        <w:szCs w:val="20"/>
        <w:lang w:val="lv-LV" w:eastAsia="lv-LV"/>
      </w:rPr>
      <w:t>IeMAnot_08</w:t>
    </w:r>
    <w:r w:rsidR="00B27AC6">
      <w:rPr>
        <w:bCs/>
        <w:sz w:val="20"/>
        <w:szCs w:val="20"/>
        <w:lang w:val="lv-LV" w:eastAsia="lv-LV"/>
      </w:rPr>
      <w:t>0814; Ministru kabineta rīkojuma projekts „Grozījums Ministru kabineta 2014.gada 2.jūlija rīkojumā Nr.322 „Par ārkārtējās situācijas izsludināšanu””</w:t>
    </w:r>
  </w:p>
  <w:p w:rsidR="00B27AC6" w:rsidRDefault="00B27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AB" w:rsidRDefault="00D635AB">
      <w:r>
        <w:separator/>
      </w:r>
    </w:p>
  </w:footnote>
  <w:footnote w:type="continuationSeparator" w:id="0">
    <w:p w:rsidR="00D635AB" w:rsidRDefault="00D6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374007"/>
      <w:docPartObj>
        <w:docPartGallery w:val="Page Numbers (Top of Page)"/>
        <w:docPartUnique/>
      </w:docPartObj>
    </w:sdtPr>
    <w:sdtEndPr>
      <w:rPr>
        <w:noProof/>
      </w:rPr>
    </w:sdtEndPr>
    <w:sdtContent>
      <w:p w:rsidR="004D7DFB" w:rsidRDefault="004D7DFB">
        <w:pPr>
          <w:pStyle w:val="Header"/>
          <w:jc w:val="center"/>
        </w:pPr>
        <w:r>
          <w:fldChar w:fldCharType="begin"/>
        </w:r>
        <w:r>
          <w:instrText xml:space="preserve"> PAGE   \* MERGEFORMAT </w:instrText>
        </w:r>
        <w:r>
          <w:fldChar w:fldCharType="separate"/>
        </w:r>
        <w:r w:rsidR="008C025C">
          <w:rPr>
            <w:noProof/>
          </w:rPr>
          <w:t>3</w:t>
        </w:r>
        <w:r>
          <w:rPr>
            <w:noProof/>
          </w:rPr>
          <w:fldChar w:fldCharType="end"/>
        </w:r>
      </w:p>
    </w:sdtContent>
  </w:sdt>
  <w:p w:rsidR="004D7DFB" w:rsidRDefault="004D7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FC"/>
    <w:rsid w:val="00002693"/>
    <w:rsid w:val="0006434D"/>
    <w:rsid w:val="000D3B45"/>
    <w:rsid w:val="000D6A09"/>
    <w:rsid w:val="000F549C"/>
    <w:rsid w:val="00131BCB"/>
    <w:rsid w:val="00132BDE"/>
    <w:rsid w:val="0016176F"/>
    <w:rsid w:val="00204153"/>
    <w:rsid w:val="0025088B"/>
    <w:rsid w:val="002847FC"/>
    <w:rsid w:val="002D4031"/>
    <w:rsid w:val="00326506"/>
    <w:rsid w:val="003A59FC"/>
    <w:rsid w:val="00421555"/>
    <w:rsid w:val="00487FBC"/>
    <w:rsid w:val="004B252C"/>
    <w:rsid w:val="004D7DFB"/>
    <w:rsid w:val="00530E59"/>
    <w:rsid w:val="00587DC8"/>
    <w:rsid w:val="005A0BC9"/>
    <w:rsid w:val="005E45D9"/>
    <w:rsid w:val="0062748F"/>
    <w:rsid w:val="006D0BB0"/>
    <w:rsid w:val="006D7021"/>
    <w:rsid w:val="006F7F4C"/>
    <w:rsid w:val="00760C6F"/>
    <w:rsid w:val="00792655"/>
    <w:rsid w:val="00800B36"/>
    <w:rsid w:val="008838BA"/>
    <w:rsid w:val="0088517B"/>
    <w:rsid w:val="008C025C"/>
    <w:rsid w:val="008C41E5"/>
    <w:rsid w:val="00927B0F"/>
    <w:rsid w:val="00971895"/>
    <w:rsid w:val="00A365E1"/>
    <w:rsid w:val="00A459B8"/>
    <w:rsid w:val="00A55BA4"/>
    <w:rsid w:val="00B27AC6"/>
    <w:rsid w:val="00BB2CD5"/>
    <w:rsid w:val="00C632B8"/>
    <w:rsid w:val="00CD358A"/>
    <w:rsid w:val="00CE70AA"/>
    <w:rsid w:val="00D6037E"/>
    <w:rsid w:val="00D635AB"/>
    <w:rsid w:val="00DB19D9"/>
    <w:rsid w:val="00DC60F3"/>
    <w:rsid w:val="00EA1704"/>
    <w:rsid w:val="00EA5045"/>
    <w:rsid w:val="00EF008A"/>
    <w:rsid w:val="00F13880"/>
    <w:rsid w:val="00F36556"/>
    <w:rsid w:val="00F642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60"/>
    <w:pPr>
      <w:suppressAutoHyphens/>
      <w:spacing w:line="240" w:lineRule="auto"/>
    </w:pPr>
    <w:rPr>
      <w:rFonts w:ascii="Times New Roman" w:eastAsia="Times New Roman" w:hAnsi="Times New Roman" w:cs="Times New Roman"/>
      <w:color w:val="00000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683260"/>
    <w:rPr>
      <w:rFonts w:ascii="RimTimes" w:eastAsia="Times New Roman" w:hAnsi="RimTimes" w:cs="Times New Roman"/>
      <w:sz w:val="28"/>
      <w:szCs w:val="20"/>
    </w:rPr>
  </w:style>
  <w:style w:type="character" w:customStyle="1" w:styleId="HeaderChar">
    <w:name w:val="Header Char"/>
    <w:basedOn w:val="DefaultParagraphFont"/>
    <w:link w:val="Header"/>
    <w:uiPriority w:val="99"/>
    <w:rsid w:val="00683260"/>
    <w:rPr>
      <w:rFonts w:ascii="Times New Roman" w:eastAsia="Times New Roman" w:hAnsi="Times New Roman" w:cs="Times New Roman"/>
      <w:sz w:val="24"/>
      <w:szCs w:val="24"/>
      <w:lang w:val="en-GB"/>
    </w:rPr>
  </w:style>
  <w:style w:type="character" w:styleId="PageNumber">
    <w:name w:val="page number"/>
    <w:basedOn w:val="DefaultParagraphFont"/>
    <w:rsid w:val="00683260"/>
  </w:style>
  <w:style w:type="character" w:customStyle="1" w:styleId="InternetLink">
    <w:name w:val="Internet Link"/>
    <w:basedOn w:val="DefaultParagraphFont"/>
    <w:uiPriority w:val="99"/>
    <w:unhideWhenUsed/>
    <w:rsid w:val="002232F9"/>
    <w:rPr>
      <w:color w:val="0000FF"/>
      <w:u w:val="single"/>
    </w:rPr>
  </w:style>
  <w:style w:type="character" w:customStyle="1" w:styleId="BalloonTextChar">
    <w:name w:val="Balloon Text Char"/>
    <w:basedOn w:val="DefaultParagraphFont"/>
    <w:link w:val="BalloonText"/>
    <w:uiPriority w:val="99"/>
    <w:semiHidden/>
    <w:rsid w:val="002427A3"/>
    <w:rPr>
      <w:rFonts w:ascii="Tahoma" w:eastAsia="Times New Roman" w:hAnsi="Tahoma" w:cs="Tahoma"/>
      <w:sz w:val="16"/>
      <w:szCs w:val="16"/>
      <w:lang w:val="en-GB"/>
    </w:rPr>
  </w:style>
  <w:style w:type="paragraph" w:customStyle="1" w:styleId="Heading">
    <w:name w:val="Heading"/>
    <w:basedOn w:val="Normal"/>
    <w:next w:val="TextBody"/>
    <w:pPr>
      <w:keepNext/>
      <w:spacing w:before="240" w:after="120"/>
    </w:pPr>
    <w:rPr>
      <w:rFonts w:ascii="Liberation Sans" w:eastAsia="Arial Unicode MS"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f">
    <w:name w:val="naisf"/>
    <w:basedOn w:val="Normal"/>
    <w:rsid w:val="00683260"/>
    <w:pPr>
      <w:spacing w:after="280"/>
      <w:jc w:val="both"/>
    </w:pPr>
    <w:rPr>
      <w:rFonts w:eastAsia="Arial Unicode MS"/>
    </w:rPr>
  </w:style>
  <w:style w:type="paragraph" w:styleId="Footer">
    <w:name w:val="footer"/>
    <w:basedOn w:val="Normal"/>
    <w:link w:val="FooterChar"/>
    <w:rsid w:val="00683260"/>
    <w:pPr>
      <w:tabs>
        <w:tab w:val="center" w:pos="4153"/>
        <w:tab w:val="right" w:pos="8306"/>
      </w:tabs>
    </w:pPr>
    <w:rPr>
      <w:rFonts w:ascii="RimTimes" w:hAnsi="RimTimes"/>
      <w:sz w:val="28"/>
      <w:szCs w:val="20"/>
      <w:lang w:val="lv-LV"/>
    </w:rPr>
  </w:style>
  <w:style w:type="paragraph" w:styleId="Header">
    <w:name w:val="header"/>
    <w:basedOn w:val="Normal"/>
    <w:link w:val="HeaderChar"/>
    <w:uiPriority w:val="99"/>
    <w:rsid w:val="00683260"/>
    <w:pPr>
      <w:tabs>
        <w:tab w:val="center" w:pos="4153"/>
        <w:tab w:val="right" w:pos="8306"/>
      </w:tabs>
    </w:pPr>
  </w:style>
  <w:style w:type="paragraph" w:styleId="NoSpacing">
    <w:name w:val="No Spacing"/>
    <w:uiPriority w:val="1"/>
    <w:qFormat/>
    <w:rsid w:val="002232F9"/>
    <w:pPr>
      <w:suppressAutoHyphens/>
      <w:spacing w:line="240" w:lineRule="auto"/>
    </w:pPr>
    <w:rPr>
      <w:rFonts w:ascii="Times New Roman" w:eastAsia="Times New Roman" w:hAnsi="Times New Roman" w:cs="Times New Roman"/>
      <w:color w:val="00000A"/>
      <w:sz w:val="24"/>
      <w:szCs w:val="24"/>
      <w:lang w:val="en-GB"/>
    </w:rPr>
  </w:style>
  <w:style w:type="paragraph" w:customStyle="1" w:styleId="tv2131">
    <w:name w:val="tv2131"/>
    <w:basedOn w:val="Normal"/>
    <w:rsid w:val="00D913EF"/>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2427A3"/>
    <w:rPr>
      <w:rFonts w:ascii="Tahoma" w:hAnsi="Tahoma" w:cs="Tahoma"/>
      <w:sz w:val="16"/>
      <w:szCs w:val="16"/>
    </w:rPr>
  </w:style>
  <w:style w:type="character" w:styleId="Hyperlink">
    <w:name w:val="Hyperlink"/>
    <w:basedOn w:val="DefaultParagraphFont"/>
    <w:uiPriority w:val="99"/>
    <w:unhideWhenUsed/>
    <w:rsid w:val="008838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60"/>
    <w:pPr>
      <w:suppressAutoHyphens/>
      <w:spacing w:line="240" w:lineRule="auto"/>
    </w:pPr>
    <w:rPr>
      <w:rFonts w:ascii="Times New Roman" w:eastAsia="Times New Roman" w:hAnsi="Times New Roman" w:cs="Times New Roman"/>
      <w:color w:val="00000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683260"/>
    <w:rPr>
      <w:rFonts w:ascii="RimTimes" w:eastAsia="Times New Roman" w:hAnsi="RimTimes" w:cs="Times New Roman"/>
      <w:sz w:val="28"/>
      <w:szCs w:val="20"/>
    </w:rPr>
  </w:style>
  <w:style w:type="character" w:customStyle="1" w:styleId="HeaderChar">
    <w:name w:val="Header Char"/>
    <w:basedOn w:val="DefaultParagraphFont"/>
    <w:link w:val="Header"/>
    <w:uiPriority w:val="99"/>
    <w:rsid w:val="00683260"/>
    <w:rPr>
      <w:rFonts w:ascii="Times New Roman" w:eastAsia="Times New Roman" w:hAnsi="Times New Roman" w:cs="Times New Roman"/>
      <w:sz w:val="24"/>
      <w:szCs w:val="24"/>
      <w:lang w:val="en-GB"/>
    </w:rPr>
  </w:style>
  <w:style w:type="character" w:styleId="PageNumber">
    <w:name w:val="page number"/>
    <w:basedOn w:val="DefaultParagraphFont"/>
    <w:rsid w:val="00683260"/>
  </w:style>
  <w:style w:type="character" w:customStyle="1" w:styleId="InternetLink">
    <w:name w:val="Internet Link"/>
    <w:basedOn w:val="DefaultParagraphFont"/>
    <w:uiPriority w:val="99"/>
    <w:unhideWhenUsed/>
    <w:rsid w:val="002232F9"/>
    <w:rPr>
      <w:color w:val="0000FF"/>
      <w:u w:val="single"/>
    </w:rPr>
  </w:style>
  <w:style w:type="character" w:customStyle="1" w:styleId="BalloonTextChar">
    <w:name w:val="Balloon Text Char"/>
    <w:basedOn w:val="DefaultParagraphFont"/>
    <w:link w:val="BalloonText"/>
    <w:uiPriority w:val="99"/>
    <w:semiHidden/>
    <w:rsid w:val="002427A3"/>
    <w:rPr>
      <w:rFonts w:ascii="Tahoma" w:eastAsia="Times New Roman" w:hAnsi="Tahoma" w:cs="Tahoma"/>
      <w:sz w:val="16"/>
      <w:szCs w:val="16"/>
      <w:lang w:val="en-GB"/>
    </w:rPr>
  </w:style>
  <w:style w:type="paragraph" w:customStyle="1" w:styleId="Heading">
    <w:name w:val="Heading"/>
    <w:basedOn w:val="Normal"/>
    <w:next w:val="TextBody"/>
    <w:pPr>
      <w:keepNext/>
      <w:spacing w:before="240" w:after="120"/>
    </w:pPr>
    <w:rPr>
      <w:rFonts w:ascii="Liberation Sans" w:eastAsia="Arial Unicode MS"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f">
    <w:name w:val="naisf"/>
    <w:basedOn w:val="Normal"/>
    <w:rsid w:val="00683260"/>
    <w:pPr>
      <w:spacing w:after="280"/>
      <w:jc w:val="both"/>
    </w:pPr>
    <w:rPr>
      <w:rFonts w:eastAsia="Arial Unicode MS"/>
    </w:rPr>
  </w:style>
  <w:style w:type="paragraph" w:styleId="Footer">
    <w:name w:val="footer"/>
    <w:basedOn w:val="Normal"/>
    <w:link w:val="FooterChar"/>
    <w:rsid w:val="00683260"/>
    <w:pPr>
      <w:tabs>
        <w:tab w:val="center" w:pos="4153"/>
        <w:tab w:val="right" w:pos="8306"/>
      </w:tabs>
    </w:pPr>
    <w:rPr>
      <w:rFonts w:ascii="RimTimes" w:hAnsi="RimTimes"/>
      <w:sz w:val="28"/>
      <w:szCs w:val="20"/>
      <w:lang w:val="lv-LV"/>
    </w:rPr>
  </w:style>
  <w:style w:type="paragraph" w:styleId="Header">
    <w:name w:val="header"/>
    <w:basedOn w:val="Normal"/>
    <w:link w:val="HeaderChar"/>
    <w:uiPriority w:val="99"/>
    <w:rsid w:val="00683260"/>
    <w:pPr>
      <w:tabs>
        <w:tab w:val="center" w:pos="4153"/>
        <w:tab w:val="right" w:pos="8306"/>
      </w:tabs>
    </w:pPr>
  </w:style>
  <w:style w:type="paragraph" w:styleId="NoSpacing">
    <w:name w:val="No Spacing"/>
    <w:uiPriority w:val="1"/>
    <w:qFormat/>
    <w:rsid w:val="002232F9"/>
    <w:pPr>
      <w:suppressAutoHyphens/>
      <w:spacing w:line="240" w:lineRule="auto"/>
    </w:pPr>
    <w:rPr>
      <w:rFonts w:ascii="Times New Roman" w:eastAsia="Times New Roman" w:hAnsi="Times New Roman" w:cs="Times New Roman"/>
      <w:color w:val="00000A"/>
      <w:sz w:val="24"/>
      <w:szCs w:val="24"/>
      <w:lang w:val="en-GB"/>
    </w:rPr>
  </w:style>
  <w:style w:type="paragraph" w:customStyle="1" w:styleId="tv2131">
    <w:name w:val="tv2131"/>
    <w:basedOn w:val="Normal"/>
    <w:rsid w:val="00D913EF"/>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2427A3"/>
    <w:rPr>
      <w:rFonts w:ascii="Tahoma" w:hAnsi="Tahoma" w:cs="Tahoma"/>
      <w:sz w:val="16"/>
      <w:szCs w:val="16"/>
    </w:rPr>
  </w:style>
  <w:style w:type="character" w:styleId="Hyperlink">
    <w:name w:val="Hyperlink"/>
    <w:basedOn w:val="DefaultParagraphFont"/>
    <w:uiPriority w:val="99"/>
    <w:unhideWhenUsed/>
    <w:rsid w:val="00883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skirusa@rs.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2673</Words>
  <Characters>1525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2014.gada 2.jūlija rīkojumā Nr.322 Par ārkārtējās situācijas izsludināšanu</vt:lpstr>
    </vt:vector>
  </TitlesOfParts>
  <Company>Organization</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2.jūlija rīkojumā Nr.322 "par ārkārtējās situācijas izsludināšanu""</dc:title>
  <dc:subject>MK rīkojuma anotācija</dc:subject>
  <dc:creator>Ieva.Skirusa@rs.gov.lv</dc:creator>
  <dc:description>Ieva Skirusa, 67075663, ieva.skirusa@rs.gov.lv</dc:description>
  <cp:lastModifiedBy>Ieva Skirusa</cp:lastModifiedBy>
  <cp:revision>20</cp:revision>
  <cp:lastPrinted>2014-07-31T11:46:00Z</cp:lastPrinted>
  <dcterms:created xsi:type="dcterms:W3CDTF">2014-08-08T06:03:00Z</dcterms:created>
  <dcterms:modified xsi:type="dcterms:W3CDTF">2014-08-08T08:51:00Z</dcterms:modified>
  <dc:language>lv-LV</dc:language>
</cp:coreProperties>
</file>