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CF" w:rsidRPr="00DB79A9" w:rsidRDefault="00DE08CF" w:rsidP="00DE08CF">
      <w:pPr>
        <w:jc w:val="center"/>
        <w:rPr>
          <w:b/>
          <w:bCs/>
        </w:rPr>
      </w:pPr>
      <w:bookmarkStart w:id="0" w:name="_GoBack"/>
      <w:r w:rsidRPr="00DB79A9">
        <w:rPr>
          <w:b/>
          <w:bCs/>
        </w:rPr>
        <w:t xml:space="preserve">Ministru kabineta noteikumu projekta </w:t>
      </w:r>
      <w:r w:rsidRPr="00DB79A9">
        <w:rPr>
          <w:rStyle w:val="Strong"/>
        </w:rPr>
        <w:t>„</w:t>
      </w:r>
      <w:r w:rsidR="00475698" w:rsidRPr="00475698">
        <w:rPr>
          <w:b/>
          <w:bCs/>
          <w:szCs w:val="28"/>
        </w:rPr>
        <w:t>Tiesību aizsardzības iestāžu sadarbības kārtība noziedzības novēršanas un apkarošanas politikas īstenošanas jomā</w:t>
      </w:r>
      <w:r w:rsidRPr="00DB79A9">
        <w:rPr>
          <w:rStyle w:val="Strong"/>
        </w:rPr>
        <w:t>”</w:t>
      </w:r>
      <w:r w:rsidRPr="00DB79A9">
        <w:rPr>
          <w:b/>
          <w:bCs/>
        </w:rPr>
        <w:t xml:space="preserve"> sākotnējās ietekmes novērtējuma </w:t>
      </w:r>
      <w:smartTag w:uri="schemas-tilde-lv/tildestengine" w:element="veidnes">
        <w:smartTagPr>
          <w:attr w:name="id" w:val="-1"/>
          <w:attr w:name="baseform" w:val="ziņojums"/>
          <w:attr w:name="text" w:val="ziņojums"/>
        </w:smartTagPr>
        <w:r w:rsidRPr="00DB79A9">
          <w:rPr>
            <w:b/>
            <w:bCs/>
          </w:rPr>
          <w:t>ziņojums</w:t>
        </w:r>
      </w:smartTag>
      <w:r w:rsidRPr="00DB79A9">
        <w:rPr>
          <w:b/>
          <w:bCs/>
        </w:rPr>
        <w:t xml:space="preserve"> (anotācija)</w:t>
      </w:r>
    </w:p>
    <w:p w:rsidR="0007285A" w:rsidRPr="00DB79A9" w:rsidRDefault="0007285A" w:rsidP="00616AA6">
      <w:pPr>
        <w:pStyle w:val="BodyText"/>
        <w:rPr>
          <w:sz w:val="24"/>
        </w:rPr>
      </w:pPr>
    </w:p>
    <w:tbl>
      <w:tblPr>
        <w:tblStyle w:val="TableGrid"/>
        <w:tblW w:w="9133" w:type="dxa"/>
        <w:tblLayout w:type="fixed"/>
        <w:tblLook w:val="04A0" w:firstRow="1" w:lastRow="0" w:firstColumn="1" w:lastColumn="0" w:noHBand="0" w:noVBand="1"/>
      </w:tblPr>
      <w:tblGrid>
        <w:gridCol w:w="675"/>
        <w:gridCol w:w="2694"/>
        <w:gridCol w:w="425"/>
        <w:gridCol w:w="5339"/>
      </w:tblGrid>
      <w:tr w:rsidR="00616AA6" w:rsidRPr="00DB79A9" w:rsidTr="00F4578C">
        <w:tc>
          <w:tcPr>
            <w:tcW w:w="9133" w:type="dxa"/>
            <w:gridSpan w:val="4"/>
          </w:tcPr>
          <w:p w:rsidR="00616AA6" w:rsidRPr="00DB79A9" w:rsidRDefault="00616AA6" w:rsidP="00710EAA">
            <w:pPr>
              <w:pStyle w:val="BodyText"/>
              <w:spacing w:before="60" w:after="60"/>
              <w:rPr>
                <w:sz w:val="24"/>
              </w:rPr>
            </w:pPr>
            <w:r w:rsidRPr="00DB79A9">
              <w:rPr>
                <w:sz w:val="24"/>
              </w:rPr>
              <w:t>I. Tiesību akta projekta izstrādes nepieciešamība</w:t>
            </w:r>
          </w:p>
        </w:tc>
      </w:tr>
      <w:tr w:rsidR="00616AA6" w:rsidRPr="00DB79A9" w:rsidTr="00F4578C">
        <w:tc>
          <w:tcPr>
            <w:tcW w:w="675" w:type="dxa"/>
          </w:tcPr>
          <w:p w:rsidR="00616AA6" w:rsidRPr="00DB79A9" w:rsidRDefault="00616AA6" w:rsidP="00710EAA">
            <w:pPr>
              <w:spacing w:before="60"/>
            </w:pPr>
            <w:r w:rsidRPr="00DB79A9">
              <w:t>1.</w:t>
            </w:r>
          </w:p>
        </w:tc>
        <w:tc>
          <w:tcPr>
            <w:tcW w:w="2694" w:type="dxa"/>
          </w:tcPr>
          <w:p w:rsidR="00616AA6" w:rsidRPr="00DB79A9" w:rsidRDefault="00616AA6" w:rsidP="00710EAA">
            <w:pPr>
              <w:spacing w:before="60"/>
            </w:pPr>
            <w:r w:rsidRPr="00DB79A9">
              <w:t>Pamatojums</w:t>
            </w:r>
          </w:p>
        </w:tc>
        <w:tc>
          <w:tcPr>
            <w:tcW w:w="5764" w:type="dxa"/>
            <w:gridSpan w:val="2"/>
          </w:tcPr>
          <w:p w:rsidR="00012182" w:rsidRPr="00DB79A9" w:rsidRDefault="00475698" w:rsidP="00067236">
            <w:pPr>
              <w:spacing w:before="60"/>
              <w:jc w:val="both"/>
            </w:pPr>
            <w:r>
              <w:t xml:space="preserve">        </w:t>
            </w:r>
            <w:r w:rsidR="006D5487" w:rsidRPr="00DB79A9">
              <w:t xml:space="preserve"> </w:t>
            </w:r>
            <w:r w:rsidR="00F4578C" w:rsidRPr="00DB79A9">
              <w:t>Iekšlietu ministrijas iniciatīva</w:t>
            </w:r>
            <w:r w:rsidR="006D5487" w:rsidRPr="00DB79A9">
              <w:t>.</w:t>
            </w:r>
          </w:p>
          <w:p w:rsidR="00937C16" w:rsidRPr="00DB79A9" w:rsidRDefault="00937C16" w:rsidP="009B03E5">
            <w:pPr>
              <w:spacing w:before="60"/>
              <w:jc w:val="center"/>
            </w:pPr>
          </w:p>
        </w:tc>
      </w:tr>
      <w:tr w:rsidR="00616AA6" w:rsidRPr="00DB79A9" w:rsidTr="00F4578C">
        <w:tc>
          <w:tcPr>
            <w:tcW w:w="675" w:type="dxa"/>
          </w:tcPr>
          <w:p w:rsidR="00616AA6" w:rsidRPr="00DB79A9" w:rsidRDefault="00616AA6" w:rsidP="00710EAA">
            <w:pPr>
              <w:spacing w:before="60" w:line="720" w:lineRule="auto"/>
            </w:pPr>
            <w:r w:rsidRPr="00DB79A9">
              <w:t>2.</w:t>
            </w:r>
          </w:p>
        </w:tc>
        <w:tc>
          <w:tcPr>
            <w:tcW w:w="2694" w:type="dxa"/>
          </w:tcPr>
          <w:p w:rsidR="00E15423" w:rsidRDefault="00616AA6" w:rsidP="00710EAA">
            <w:pPr>
              <w:spacing w:before="60"/>
            </w:pPr>
            <w:r w:rsidRPr="00DB79A9">
              <w:t>Pašreizējā situācija un problēmas</w:t>
            </w:r>
            <w:r w:rsidR="000F2F91" w:rsidRPr="00DB79A9">
              <w:t>, kuru risināšanai tiesību akta projekts izstrādāts, tiesiskā regulējuma mērķis un būtība</w:t>
            </w:r>
          </w:p>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Pr="00E15423" w:rsidRDefault="00E15423" w:rsidP="00E15423"/>
          <w:p w:rsidR="00E15423" w:rsidRDefault="00E15423" w:rsidP="00E15423"/>
          <w:p w:rsidR="00E15423" w:rsidRPr="00E15423" w:rsidRDefault="00E15423" w:rsidP="00E15423"/>
          <w:p w:rsidR="00E15423" w:rsidRDefault="00E15423" w:rsidP="00E15423"/>
          <w:p w:rsidR="00616AA6" w:rsidRPr="00E15423" w:rsidRDefault="00616AA6" w:rsidP="00E15423">
            <w:pPr>
              <w:jc w:val="center"/>
            </w:pPr>
          </w:p>
        </w:tc>
        <w:tc>
          <w:tcPr>
            <w:tcW w:w="5764" w:type="dxa"/>
            <w:gridSpan w:val="2"/>
          </w:tcPr>
          <w:p w:rsidR="00FC2E6D" w:rsidRPr="00DB79A9" w:rsidRDefault="00DE08CF" w:rsidP="00DE08CF">
            <w:pPr>
              <w:ind w:right="-1" w:firstLine="552"/>
              <w:jc w:val="both"/>
              <w:rPr>
                <w:rStyle w:val="spelle"/>
              </w:rPr>
            </w:pPr>
            <w:r w:rsidRPr="00DB79A9">
              <w:t>Ministru kabineta 2010.gada 9.februāra sēdē (protokols Nr.7-59.§.), izskatot Iekšlietu ministrijas iesniegto informatīvo ziņojumu "Par Nacionālā kriminālizlūkošanas modeļa ieviešanu Latvijas Republikas tiesīb</w:t>
            </w:r>
            <w:r w:rsidR="005F1B2B">
              <w:t xml:space="preserve">u </w:t>
            </w:r>
            <w:r w:rsidRPr="00DB79A9">
              <w:t xml:space="preserve">aizsardzības iestādēs un valsts drošības iestādēs" tika nolemts </w:t>
            </w:r>
            <w:r w:rsidRPr="00DB79A9">
              <w:rPr>
                <w:rStyle w:val="spelle"/>
              </w:rPr>
              <w:t xml:space="preserve">konceptuāli atbalstīt Nacionālā kriminālizlūkošanas modeļa ieviešanu Latvijas Republikas </w:t>
            </w:r>
            <w:r w:rsidR="005F1B2B">
              <w:rPr>
                <w:rStyle w:val="spelle"/>
              </w:rPr>
              <w:t>tiesību aizsardzības</w:t>
            </w:r>
            <w:r w:rsidRPr="00DB79A9">
              <w:rPr>
                <w:rStyle w:val="spelle"/>
              </w:rPr>
              <w:t xml:space="preserve"> un valsts drošības iestādēs. </w:t>
            </w:r>
          </w:p>
          <w:p w:rsidR="00DE08CF" w:rsidRPr="00DB79A9" w:rsidRDefault="00DE08CF" w:rsidP="00DE08CF">
            <w:pPr>
              <w:ind w:right="-1" w:firstLine="552"/>
              <w:jc w:val="both"/>
            </w:pPr>
            <w:r w:rsidRPr="00DB79A9">
              <w:t>Eiropas Komisijas līdzfinansēt</w:t>
            </w:r>
            <w:r w:rsidR="00FC2E6D" w:rsidRPr="00DB79A9">
              <w:t>ā</w:t>
            </w:r>
            <w:r w:rsidRPr="00DB79A9">
              <w:t xml:space="preserve"> projekt</w:t>
            </w:r>
            <w:r w:rsidR="00FC2E6D" w:rsidRPr="00DB79A9">
              <w:t>a</w:t>
            </w:r>
            <w:r w:rsidRPr="00DB79A9">
              <w:t xml:space="preserve"> Nr.HOME/2011/ISEC/AG/4000002542 "Nacionālā kriminālizlūkošanas modeļa izveide" ietvaros tika izstrādāti nacionālā kriminālizlūkošanas modeļa pamatprincipi, kuru izstrādes laikā tiesību aizsardzības iestādes, kuru kompetencē ietilpst noziedzības novēršana un apkarošana, kā arī </w:t>
            </w:r>
            <w:r w:rsidR="00FC2E6D" w:rsidRPr="00DB79A9">
              <w:t xml:space="preserve">valsts </w:t>
            </w:r>
            <w:r w:rsidRPr="00DB79A9">
              <w:t xml:space="preserve">drošības iestādes (turpmāk – tiesību aizsardzības iestādes) vienojās par galvenajiem sadarbības principiem nolūkā kopīgi analizēt tiesību aizsardzības iestāžu rīcībā esošo informāciju par noziedzīgiem nodarījumiem, tos izdarījušām personām, noziedzību ietekmējošiem faktoriem, dinamiku un ietekmi (apdraudējumu) (turpmāk – kriminālizlūkošanas informācija), lai savlaicīgi novērstu noziedzīgu nodarījumu izdarīšanu, atklātu noziedzīgus nodarījumus un noskaidrotu tos izdarījušās personas, </w:t>
            </w:r>
            <w:r w:rsidRPr="00DB79A9">
              <w:rPr>
                <w:bCs/>
              </w:rPr>
              <w:t>objektīvi definētu noziedzības novēršanas un apkarošanas prioritātes,</w:t>
            </w:r>
            <w:r w:rsidRPr="00DB79A9">
              <w:t xml:space="preserve"> kā arī samazinātu noziedzības pieaugumu un tās izraisītās sekas kopumā. </w:t>
            </w:r>
          </w:p>
          <w:p w:rsidR="00DE08CF" w:rsidRPr="00DB79A9" w:rsidRDefault="00DE08CF" w:rsidP="00DE08CF">
            <w:pPr>
              <w:pStyle w:val="ListParagraph"/>
              <w:ind w:left="0" w:right="-1" w:firstLine="552"/>
              <w:jc w:val="both"/>
            </w:pPr>
            <w:r w:rsidRPr="00DB79A9">
              <w:t xml:space="preserve">Kriminālizlūkošanas informācijas apstrādes tiesiskais pamats šobrīd ir noteikts Operatīvās darbības likumā. Šī likuma 23.panta pirmajā daļā ir noteikts, ka operatīvās darbības iestādes ir tiesīgas vākt, sistematizēt, analizēt, uzglabāt un uzskaitīt oficiālo legālo un slepeno informāciju par personām, faktiem, notikumiem un lietām (pasīvā uzskaites forma), kas nepieciešama un kam ir nozīme operatīvās darbības un kriminālprocesa uzdevumu veikšanai. Saskaņā ar Operatīvās darbības likuma 24.panta pirmo un otro daļu operatīvās darbības pasākumu gaitā iegūtos materiālus un ziņas var izmantot arī, sagatavojot un veicot likumā paredzētās izmeklēšanas darbības krimināllietās, plānojot un veicot operatīvās darbības pasākumus, analizējot kriminogēno situāciju un </w:t>
            </w:r>
            <w:r w:rsidRPr="00DB79A9">
              <w:lastRenderedPageBreak/>
              <w:t xml:space="preserve">izstrādājot pasākumus tās uzlabošanai, atklājot reālo un potenciālo draudu faktorus un to avotus, veicot pasākumus, lai prognozētu, novērstu vai neitralizētu krīzes situāciju valstī un tās sekas, izstrādājot valsts drošības un aizsardzības stratēģiju un sagatavojot un īstenojot tās komplekso programmu. </w:t>
            </w:r>
          </w:p>
          <w:p w:rsidR="00DE08CF" w:rsidRPr="00DB79A9" w:rsidRDefault="00DE08CF" w:rsidP="00DE08CF">
            <w:pPr>
              <w:pStyle w:val="ListParagraph"/>
              <w:ind w:left="0" w:right="-1" w:firstLine="552"/>
              <w:jc w:val="both"/>
            </w:pPr>
            <w:r w:rsidRPr="00DB79A9">
              <w:t>Saskaņā ar Operatīvās darbības likuma 25.panta pirmo daļu operatīvās darbības subjektu sistēmu veido valsts drošības, aizsardzības un sabiedriskās kārtības nodrošināšanas iestādes, kā arī citas īpaši pilnvarotas valsts institūcijas, kurām ar likumu piešķirtas tiesības savas kompetences ietvaros veikt operatīvās darbības pasākumus un kuru īpaši pilnvarotas amatpersonas ir tiesīgas tos īstenot šajā likumā noteiktajā kārtībā. Atbilstoši ārējiem normatīvajiem aktiem operatīvās darbības subjekta tiesības ir noteiktas šādām iestādēm: Valsts policijai, Finanšu policijai, Militārajai policijai, Ieslodzījuma vietu pārvaldei, Korupcijas novēršanas un apkarošanas birojam, muitas iestādēm, Valsts robežsardzei un Valsts drošības iestādēm (Satversmes aizsardzības birojam, Drošības policijai un Militārās izlūkošanas un drošības dienestam).</w:t>
            </w:r>
          </w:p>
          <w:p w:rsidR="00DE08CF" w:rsidRPr="00DB79A9" w:rsidRDefault="00DE08CF" w:rsidP="00DE08CF">
            <w:pPr>
              <w:pStyle w:val="ListParagraph"/>
              <w:ind w:left="0" w:right="-1" w:firstLine="552"/>
              <w:jc w:val="both"/>
            </w:pPr>
            <w:r w:rsidRPr="00DB79A9">
              <w:t xml:space="preserve">Operatīvās darbības subjektu kompetences jomas ir noteiktas to darbību reglamentējošajos normatīvajos aktos, kā arī izriet no Kriminālprocesa likuma 387.pantā noteiktās izmeklēšanas institucionālās piekritības. </w:t>
            </w:r>
          </w:p>
          <w:p w:rsidR="00DE08CF" w:rsidRPr="00DB79A9" w:rsidRDefault="00DE08CF" w:rsidP="00DE08CF">
            <w:pPr>
              <w:pStyle w:val="ListParagraph"/>
              <w:ind w:left="0" w:right="-1" w:firstLine="552"/>
              <w:jc w:val="both"/>
            </w:pPr>
            <w:r w:rsidRPr="00DB79A9">
              <w:t>Saskaņā ar Operatīvās darbības likuma 27.panta pirmās daļas 1., 2. un 3.punktu operatīvās darbības subjektu un to amatpersonu pienākums ir: izmantojot nepieciešamos operatīvās darbības pasākumus, to veikšanas veidus un līdzekļus, metodes un taktiku un iespējami mazāk iejaucoties cilvēktiesību sfērā, savlaicīgi iegūt patiesu un pilnīgu informāciju, kas nepieciešama to uzdevumu veikšanai un šā likuma 1. pantā noteikto mērķu sasniegšanai; nodrošināt sadarbību un darba koordināciju ar citiem operatīvās darbības subjektiem; likumos noteiktajos gadījumos un kārtībā savlaicīgi informēt valsts varas un pārvaldes iestādes par atklātajiem ārējiem vai iekšējiem valsts drošības, aizsardzības, ekonomiskās suverenitātes un sabiedriskās kārtības apdraudējumiem, likumā noteiktajā kārtībā veikt pasākumus šo apdraudējumu novēršanai vai neitralizēšanai.</w:t>
            </w:r>
          </w:p>
          <w:p w:rsidR="00DE08CF" w:rsidRPr="00DB79A9" w:rsidRDefault="00DE08CF" w:rsidP="00DE08CF">
            <w:pPr>
              <w:ind w:right="-1" w:firstLine="552"/>
              <w:jc w:val="both"/>
            </w:pPr>
            <w:r w:rsidRPr="00DB79A9">
              <w:t xml:space="preserve">Operatīvās darbības likuma 26.panta trešajā daļā ir noteikts, ka operatīvās darbības subjektu amatpersonas ir tiesīgas veikt operatīvās darbības pasākumus tikai tādā apjomā, kāds noteikts likumos, kas reglamentē šo subjektu amatpersonu tiesības un pienākumus. Savukārt Operatīvās darbības likuma 26.panta otrajā daļā ir noteikts, ka operatīvās darbības galvenos virzienus, tās veidu, saturu, apjomu un intensitāti nosaka operatīvās darbības subjekta </w:t>
            </w:r>
            <w:r w:rsidRPr="00DB79A9">
              <w:lastRenderedPageBreak/>
              <w:t>vadītājs, ņemot vērā operatīvo un kriminogēno situāciju un pārmaiņas savas darbības sfērā, kā arī pastāvošā apdraudējuma veidu un bīstamību, lai nodrošinātu likumā noteikto uzdevumu izpildi un mērķu sasniegšanu.</w:t>
            </w:r>
          </w:p>
          <w:p w:rsidR="00DE08CF" w:rsidRPr="00DB79A9" w:rsidRDefault="00DE08CF" w:rsidP="00DE08CF">
            <w:pPr>
              <w:pStyle w:val="ListParagraph"/>
              <w:ind w:left="0" w:right="-1" w:firstLine="552"/>
              <w:jc w:val="both"/>
            </w:pPr>
            <w:r w:rsidRPr="00DB79A9">
              <w:t>Valdības līmenī darbojošās Noziedzības novēršanas padomes kompetence ir noteikta Ministru kabineta 2004.gada 20.janvāra noteikumos Nr.42 "Noziedzības novēršanas padomes nolikums". Atbilstoši Noziedzības novēršanas padomes nolikuma 1.punktam Noziedzības novēršanas padome ir koordinējoša institūcija, kuras darbības mērķis ir koordinēt un pilnveidot valsts institūciju darbību noziedzības (tai skaitā korupcijas un organizētās noziedzības) novēršanā un apkarošanā.</w:t>
            </w:r>
          </w:p>
          <w:p w:rsidR="00DE08CF" w:rsidRPr="00DB79A9" w:rsidRDefault="00DE08CF" w:rsidP="00DE08CF">
            <w:pPr>
              <w:ind w:right="-1" w:firstLine="552"/>
              <w:jc w:val="both"/>
            </w:pPr>
            <w:r w:rsidRPr="00DB79A9">
              <w:t>Iestāžu sadarbības nodrošināšanai darbojas Valsts pārvaldes iekārtas likumā noteiktais iestāžu sadarbības pienākums un noteiktā sadarbības kārtība (54. – 61.pants). Operatīvās darbības subjektu sadarbības pienākums ir noteikts arī Operatīvās darbības likuma 27.panta pirmās daļas 2.punktā.</w:t>
            </w:r>
          </w:p>
          <w:p w:rsidR="00DE08CF" w:rsidRPr="00DB79A9" w:rsidRDefault="00DE08CF" w:rsidP="00DE08CF">
            <w:pPr>
              <w:ind w:right="-1" w:firstLine="552"/>
              <w:jc w:val="both"/>
            </w:pPr>
            <w:r w:rsidRPr="00DB79A9">
              <w:t xml:space="preserve">Tomēr, praksē tiesību aizsardzības iestāžu sadarbība galvenokārt ir saistīta ar informācijas apmaiņu saistībā ar konkrētiem noziedzīgiem nodarījumiem. </w:t>
            </w:r>
          </w:p>
          <w:p w:rsidR="00DE08CF" w:rsidRPr="00DB79A9" w:rsidRDefault="00DE08CF" w:rsidP="00DE08CF">
            <w:pPr>
              <w:ind w:right="-1" w:firstLine="552"/>
              <w:jc w:val="both"/>
            </w:pPr>
            <w:r w:rsidRPr="00DB79A9">
              <w:t>Pēc būtības nenotiek tiesību aizsardzības iestāžu vienota, sistēmiska informācijas par noziedzīgiem nodarījumiem, tos izdarījušām personām, noziedzību ietekmējošiem faktoriem, dinamiku un ietekmi (apdraudējumu) analīze. Tāpat nav vienotas analītiskā darba metodikas, kā arī vienoti kritēriji analizējamās kriminālizlūkošanas informācijas iegūšanai, uzglabāšanai, strukturēšanai un apmaiņai starp tiesību aizsardzības iestādēm. Ir konstatēts, ka informācija ne reti tiek klasificēta ar pārāk augstu klasifikācijas pakāpi, kas liedz efektīvi izmantot iegūto informāciju tiesību aizsardzības iestāžu uzdevumu veikšanai. Darbam ar kriminālizlūkošanas informācijas analīzi tiesību aizsardzības iestādēm ir kvalificētā personāla trūkums.</w:t>
            </w:r>
          </w:p>
          <w:p w:rsidR="00DE08CF" w:rsidRPr="00DB79A9" w:rsidRDefault="00DE08CF" w:rsidP="00DE08CF">
            <w:pPr>
              <w:pStyle w:val="BodyText"/>
              <w:ind w:right="-1" w:firstLine="552"/>
              <w:jc w:val="both"/>
              <w:rPr>
                <w:b w:val="0"/>
                <w:bCs w:val="0"/>
                <w:color w:val="000000"/>
                <w:sz w:val="24"/>
              </w:rPr>
            </w:pPr>
            <w:r w:rsidRPr="00DB79A9">
              <w:rPr>
                <w:b w:val="0"/>
                <w:sz w:val="24"/>
              </w:rPr>
              <w:t xml:space="preserve">Efektīva kriminālizlūkošanas informācijas apmaiņa starp tiesību aizsardzības iestādēm ir svarīgs instruments cīņai ar noziedzību, īpaši organizēto noziedzību, gan nacionālā, gan arī starptautiskā līmenī. </w:t>
            </w:r>
            <w:r w:rsidRPr="00DB79A9">
              <w:rPr>
                <w:b w:val="0"/>
                <w:bCs w:val="0"/>
                <w:color w:val="000000"/>
                <w:sz w:val="24"/>
              </w:rPr>
              <w:t xml:space="preserve">Tiesību aizsardzības iestāžu darba būtisks elements ir kriminālizlūkošana - </w:t>
            </w:r>
            <w:r w:rsidRPr="00DB79A9">
              <w:rPr>
                <w:b w:val="0"/>
                <w:sz w:val="24"/>
              </w:rPr>
              <w:t>noteiktu darbību un procesu kopums ar mērķi, balstoties uz iestāžu rīcībā esošas informācijas analīzi, iegūt zināšanas par noziedzīgiem nodarījumiem, tos izdarījušām personām, ietekmējošiem faktoriem, dinamiku un ietekmi (apdraudējumu), lai savlaicīgi novērstu noziedzīgu nodarījumu izdarīšanu, atklātu noziedzīgus nodarījumus un noskaidrotu tos izdarījušās personas, kā arī samazinātu noziedzības pieaugumu un tās izraisītās sekas kopumā.</w:t>
            </w:r>
          </w:p>
          <w:p w:rsidR="00DE08CF" w:rsidRPr="00DB79A9" w:rsidRDefault="00DE08CF" w:rsidP="00DE08CF">
            <w:pPr>
              <w:ind w:right="-1" w:firstLine="552"/>
              <w:jc w:val="both"/>
              <w:rPr>
                <w:color w:val="000000"/>
                <w:spacing w:val="3"/>
              </w:rPr>
            </w:pPr>
            <w:r w:rsidRPr="00DB79A9">
              <w:rPr>
                <w:color w:val="000000"/>
                <w:spacing w:val="3"/>
              </w:rPr>
              <w:lastRenderedPageBreak/>
              <w:t xml:space="preserve">Kriminālizlūkošanas modelis ir efektīvi realizēta stratēģija cīņai ar noziedzīgiem nodarījumiem, </w:t>
            </w:r>
            <w:r w:rsidRPr="00DB79A9">
              <w:rPr>
                <w:color w:val="000000"/>
              </w:rPr>
              <w:t xml:space="preserve">īpaši organizēto noziedzību, </w:t>
            </w:r>
            <w:r w:rsidRPr="00DB79A9">
              <w:rPr>
                <w:color w:val="000000"/>
                <w:spacing w:val="3"/>
              </w:rPr>
              <w:t xml:space="preserve">kura balstīta uz kriminālizlūkošanas procesā  iegūtajiem rezultātiem. Kriminālizlūkošanas modeļa darbību kopums ļauj prioritizēt darbu un efektīvi izmantot </w:t>
            </w:r>
            <w:r w:rsidR="005F1B2B">
              <w:rPr>
                <w:color w:val="000000"/>
                <w:spacing w:val="3"/>
              </w:rPr>
              <w:t>tiesību aizsardzības</w:t>
            </w:r>
            <w:r w:rsidRPr="00DB79A9">
              <w:rPr>
                <w:color w:val="000000"/>
                <w:spacing w:val="3"/>
              </w:rPr>
              <w:t xml:space="preserve"> iestāžu resursus. Darbības efektivitāte un resursu ekonomija ir būtiska ne tikai katrā iestādē atsevišķi, bet būtiski ir panākt </w:t>
            </w:r>
            <w:r w:rsidR="005F1B2B">
              <w:rPr>
                <w:color w:val="000000"/>
                <w:spacing w:val="3"/>
              </w:rPr>
              <w:t>tiesību aizsardzības</w:t>
            </w:r>
            <w:r w:rsidRPr="00DB79A9">
              <w:rPr>
                <w:color w:val="000000"/>
                <w:spacing w:val="3"/>
              </w:rPr>
              <w:t xml:space="preserve"> iestāžu saskaņotu darbību cīņā ar noziedzību.</w:t>
            </w:r>
          </w:p>
          <w:p w:rsidR="00DE08CF" w:rsidRPr="00DB79A9" w:rsidRDefault="00DE08CF" w:rsidP="00DE08CF">
            <w:pPr>
              <w:pStyle w:val="BodyText"/>
              <w:ind w:right="-1" w:firstLine="552"/>
              <w:jc w:val="both"/>
              <w:rPr>
                <w:b w:val="0"/>
                <w:sz w:val="24"/>
              </w:rPr>
            </w:pPr>
            <w:r w:rsidRPr="00DB79A9">
              <w:rPr>
                <w:b w:val="0"/>
                <w:sz w:val="24"/>
              </w:rPr>
              <w:t xml:space="preserve">Ņemot vērā to, ka organizētās un pārrobežu noziedzības samazināšana un apkarošana pēc būtības ir kopīgs visu tiesību aizsardzības iestāžu uzdevums, ir nepieciešams izveidot Latvijas </w:t>
            </w:r>
            <w:r w:rsidR="005F1B2B">
              <w:rPr>
                <w:b w:val="0"/>
                <w:sz w:val="24"/>
              </w:rPr>
              <w:t>tiesību aizsardzības</w:t>
            </w:r>
            <w:r w:rsidRPr="00DB79A9">
              <w:rPr>
                <w:b w:val="0"/>
                <w:sz w:val="24"/>
              </w:rPr>
              <w:t xml:space="preserve"> iestāžu Nacionālo kriminālās izlūkošanas modeli – </w:t>
            </w:r>
            <w:r w:rsidRPr="00DB79A9">
              <w:rPr>
                <w:b w:val="0"/>
                <w:bCs w:val="0"/>
                <w:sz w:val="24"/>
              </w:rPr>
              <w:t>vienotu sistēmu, kurā koordinēti darbojas noziedzības novēršanā un apkarošanā iesaistītās valsts institūcijas un, balstoties uz kriminālizlūkošanas rezultātā iegūtajām zināšanām, pieņem optimālus lēmumus stratēģiskajā, taktiskajā un operatīvajā līmenī par nepieciešamo rīcību noziedzības novēršanai un apkarošanai, kā arī objektīvi definē noziedzības novēršanas un apkarošanas prioritātes</w:t>
            </w:r>
            <w:r w:rsidRPr="00DB79A9">
              <w:rPr>
                <w:b w:val="0"/>
                <w:sz w:val="24"/>
              </w:rPr>
              <w:t xml:space="preserve">. </w:t>
            </w:r>
          </w:p>
          <w:p w:rsidR="00DE08CF" w:rsidRPr="00DB79A9" w:rsidRDefault="00DE08CF" w:rsidP="00DE08CF">
            <w:pPr>
              <w:pStyle w:val="BodyText"/>
              <w:ind w:right="-1" w:firstLine="552"/>
              <w:jc w:val="both"/>
              <w:rPr>
                <w:b w:val="0"/>
                <w:sz w:val="24"/>
              </w:rPr>
            </w:pPr>
            <w:r w:rsidRPr="00DB79A9">
              <w:rPr>
                <w:b w:val="0"/>
                <w:sz w:val="24"/>
              </w:rPr>
              <w:t xml:space="preserve">Nacionālā kriminālās izlūkošanas modeļa darbība nodrošinātu uz zināšanām balstīta noziedzības, īpaši organizētās noziedzības, apkarošanu valstī, kas ietver sistemātisku apdraudējumu noteikšanu un tam sekojošo nepieciešamo pasākumu kompleksa realizēšanu </w:t>
            </w:r>
            <w:r w:rsidR="005F1B2B">
              <w:rPr>
                <w:b w:val="0"/>
                <w:sz w:val="24"/>
              </w:rPr>
              <w:t>tiesību aizsardzības</w:t>
            </w:r>
            <w:r w:rsidRPr="00DB79A9">
              <w:rPr>
                <w:b w:val="0"/>
                <w:sz w:val="24"/>
              </w:rPr>
              <w:t xml:space="preserve"> iestādēs pēc vienotiem principiem un modeļa, tādējādi samazinot sabiedrības apdraudējumu. Šāda sadarbības modeļa ieviešana nodrošinātu lietderīgu piešķirto resursu izmantošanu.</w:t>
            </w:r>
          </w:p>
          <w:p w:rsidR="00DE08CF" w:rsidRPr="00DB79A9" w:rsidRDefault="00DE08CF" w:rsidP="00DE08CF">
            <w:pPr>
              <w:pStyle w:val="BodyText"/>
              <w:ind w:right="-1" w:firstLine="552"/>
              <w:jc w:val="both"/>
              <w:rPr>
                <w:b w:val="0"/>
                <w:sz w:val="24"/>
              </w:rPr>
            </w:pPr>
            <w:r w:rsidRPr="00DB79A9">
              <w:rPr>
                <w:b w:val="0"/>
                <w:sz w:val="24"/>
              </w:rPr>
              <w:t xml:space="preserve">Laika posmā no 2008.gada 24. jūlija līdz 2009.gada 23.oktobrim Valsts policija ir realizējusi Eiropas Komisijas finansētu Pārejas programmas projektu „Valsts policijas rīcībspējas uzlabošana, ieviešot nacionālās kriminālās izlūkošanas modeli”. Projekta ietvaros tika izstrādāta un 2009.gada 28.oktobrī apstiprināta koncepcija par kriminālizlūkošanas modeļa ieviešanu Valsts policijā. Atbilstoši </w:t>
            </w:r>
            <w:r w:rsidR="00616AEF" w:rsidRPr="00DB79A9">
              <w:rPr>
                <w:b w:val="0"/>
                <w:sz w:val="24"/>
              </w:rPr>
              <w:t>š</w:t>
            </w:r>
            <w:r w:rsidRPr="00DB79A9">
              <w:rPr>
                <w:b w:val="0"/>
                <w:sz w:val="24"/>
              </w:rPr>
              <w:t xml:space="preserve">ai koncepcijai, Valsts policijā kriminālizlūkošanas modelis tika ieviests 2010.gadā un tika izstrādātas apmācības programmas un apmācīti Valsts policijas darbinieki. Kriminālizlūkošanas modeļa ietvaros ir izveidota „Ziņojumu datu bāze”, kurā tiek uzkrāta dažādu policijas ikdienas aktivitāšu rezultātā iegūtā „riska” informācija. Minētās „riska” informācijas un pārējās Valsts policijas rīcībā esošās kriminālizlūkošanas informācijas analīzi veic šim nolūkam apmācīti darbinieki. Analizēs rezultāti tiek izmantoti, nosakot Valsts policijas prioritāros darbības virzienus noziedzības novēršanā un apkarošanā, kā arī lemjot par Valsts policijas </w:t>
            </w:r>
            <w:r w:rsidRPr="00DB79A9">
              <w:rPr>
                <w:b w:val="0"/>
                <w:bCs w:val="0"/>
                <w:sz w:val="24"/>
              </w:rPr>
              <w:lastRenderedPageBreak/>
              <w:t>struktūrvienību nepieciešamo rīcību noziedzības novēršanai un apkarošanai.</w:t>
            </w:r>
            <w:r w:rsidRPr="00DB79A9">
              <w:rPr>
                <w:b w:val="0"/>
                <w:sz w:val="24"/>
              </w:rPr>
              <w:t xml:space="preserve"> </w:t>
            </w:r>
          </w:p>
          <w:p w:rsidR="00DE08CF" w:rsidRPr="00DB79A9" w:rsidRDefault="00DE08CF" w:rsidP="00DE08CF">
            <w:pPr>
              <w:pStyle w:val="BodyText"/>
              <w:ind w:right="-1" w:firstLine="552"/>
              <w:jc w:val="both"/>
              <w:rPr>
                <w:b w:val="0"/>
                <w:sz w:val="24"/>
              </w:rPr>
            </w:pPr>
            <w:r w:rsidRPr="00DB79A9">
              <w:rPr>
                <w:b w:val="0"/>
                <w:sz w:val="24"/>
              </w:rPr>
              <w:t xml:space="preserve">Pārējās tiesību aizsardzības iestādēs kriminālizlūkošanas modelis nav izveidots. Pēc būtības kriminālizlūkošanas informācijas analīzes funkcijas tiek veiktas operatīvajā līmenī un to veic struktūrvienību darbinieki kas iestādē nodrošina operatīvās darbības veikšanu. Atsevišķa struktūrvienība, kuras kompetencē ir kriminālizlūkošanas informācijas analizē ir izveidota tikai Valsts ieņēmumu dienesta Muitas kriminālpārvaldē. </w:t>
            </w:r>
          </w:p>
          <w:p w:rsidR="00DE08CF" w:rsidRPr="00DB79A9" w:rsidRDefault="00DE08CF" w:rsidP="00DE08CF">
            <w:pPr>
              <w:pStyle w:val="BodyText"/>
              <w:ind w:right="-1" w:firstLine="552"/>
              <w:jc w:val="both"/>
              <w:rPr>
                <w:b w:val="0"/>
                <w:sz w:val="24"/>
              </w:rPr>
            </w:pPr>
            <w:r w:rsidRPr="00DB79A9">
              <w:rPr>
                <w:b w:val="0"/>
                <w:sz w:val="24"/>
              </w:rPr>
              <w:t>Eiropas Komisijas līdzfinansēt</w:t>
            </w:r>
            <w:r w:rsidR="00616AEF" w:rsidRPr="00DB79A9">
              <w:rPr>
                <w:b w:val="0"/>
                <w:sz w:val="24"/>
              </w:rPr>
              <w:t>ā</w:t>
            </w:r>
            <w:r w:rsidRPr="00DB79A9">
              <w:rPr>
                <w:b w:val="0"/>
                <w:sz w:val="24"/>
              </w:rPr>
              <w:t xml:space="preserve"> projekt</w:t>
            </w:r>
            <w:r w:rsidR="00616AEF" w:rsidRPr="00DB79A9">
              <w:rPr>
                <w:b w:val="0"/>
                <w:sz w:val="24"/>
              </w:rPr>
              <w:t>a</w:t>
            </w:r>
            <w:r w:rsidRPr="00DB79A9">
              <w:rPr>
                <w:b w:val="0"/>
                <w:sz w:val="24"/>
              </w:rPr>
              <w:t xml:space="preserve"> Nr.HOME/2011/ISEC/AG/4000002542 "Nacionālā kriminālizlūkošanas modeļa izveide" ietvaros ir paredzēts apmācīt tiesību aizsardzības iestāžu darbiniekus – kriminālizlūkošanas informācijas analītiķus. </w:t>
            </w:r>
          </w:p>
          <w:p w:rsidR="00DE08CF" w:rsidRPr="00AA35CC" w:rsidRDefault="00DE08CF" w:rsidP="00DE08CF">
            <w:pPr>
              <w:pStyle w:val="BodyText"/>
              <w:ind w:firstLine="693"/>
              <w:jc w:val="both"/>
              <w:rPr>
                <w:b w:val="0"/>
                <w:bCs w:val="0"/>
                <w:sz w:val="24"/>
              </w:rPr>
            </w:pPr>
            <w:r w:rsidRPr="00DB79A9">
              <w:rPr>
                <w:b w:val="0"/>
                <w:sz w:val="24"/>
              </w:rPr>
              <w:t xml:space="preserve">Ministru Kabineta noteikumu projekta </w:t>
            </w:r>
            <w:r w:rsidRPr="00DB79A9">
              <w:rPr>
                <w:rStyle w:val="Strong"/>
                <w:sz w:val="24"/>
              </w:rPr>
              <w:t>„</w:t>
            </w:r>
            <w:r w:rsidR="00272223" w:rsidRPr="00272223">
              <w:rPr>
                <w:b w:val="0"/>
                <w:sz w:val="24"/>
              </w:rPr>
              <w:t>Tiesību aizsardzības iestāžu sadarbības kārtība noziedzības novēršanas un apkarošanas politikas īstenošanas jomā</w:t>
            </w:r>
            <w:r w:rsidRPr="00DB79A9">
              <w:rPr>
                <w:rStyle w:val="Strong"/>
                <w:sz w:val="24"/>
              </w:rPr>
              <w:t xml:space="preserve">” mērķis </w:t>
            </w:r>
            <w:r w:rsidRPr="00DB79A9">
              <w:rPr>
                <w:b w:val="0"/>
                <w:sz w:val="24"/>
              </w:rPr>
              <w:t xml:space="preserve">ir </w:t>
            </w:r>
            <w:r w:rsidRPr="007C1109">
              <w:rPr>
                <w:b w:val="0"/>
                <w:sz w:val="24"/>
              </w:rPr>
              <w:t>izveidot</w:t>
            </w:r>
            <w:r w:rsidR="00272223" w:rsidRPr="007C1109">
              <w:rPr>
                <w:b w:val="0"/>
                <w:sz w:val="24"/>
              </w:rPr>
              <w:t xml:space="preserve"> nepieciešamos sadarbības mehānismu </w:t>
            </w:r>
            <w:r w:rsidRPr="007C1109">
              <w:rPr>
                <w:b w:val="0"/>
                <w:sz w:val="24"/>
              </w:rPr>
              <w:t>Nacionāl</w:t>
            </w:r>
            <w:r w:rsidR="00272223" w:rsidRPr="007C1109">
              <w:rPr>
                <w:b w:val="0"/>
                <w:sz w:val="24"/>
              </w:rPr>
              <w:t>ā</w:t>
            </w:r>
            <w:r w:rsidRPr="007C1109">
              <w:rPr>
                <w:b w:val="0"/>
                <w:sz w:val="24"/>
              </w:rPr>
              <w:t xml:space="preserve"> </w:t>
            </w:r>
            <w:r w:rsidRPr="007C1109">
              <w:rPr>
                <w:b w:val="0"/>
                <w:bCs w:val="0"/>
                <w:sz w:val="24"/>
              </w:rPr>
              <w:t>krimi</w:t>
            </w:r>
            <w:r w:rsidRPr="00DB79A9">
              <w:rPr>
                <w:b w:val="0"/>
                <w:bCs w:val="0"/>
                <w:sz w:val="24"/>
              </w:rPr>
              <w:t>nālizlūkošanas mode</w:t>
            </w:r>
            <w:r w:rsidR="00272223">
              <w:rPr>
                <w:b w:val="0"/>
                <w:bCs w:val="0"/>
                <w:sz w:val="24"/>
              </w:rPr>
              <w:t>ļa darbībai</w:t>
            </w:r>
            <w:r w:rsidRPr="00DB79A9">
              <w:rPr>
                <w:b w:val="0"/>
                <w:sz w:val="24"/>
              </w:rPr>
              <w:t xml:space="preserve"> – </w:t>
            </w:r>
            <w:r w:rsidRPr="00DB79A9">
              <w:rPr>
                <w:b w:val="0"/>
                <w:bCs w:val="0"/>
                <w:sz w:val="24"/>
              </w:rPr>
              <w:t>vienot</w:t>
            </w:r>
            <w:r w:rsidR="00272223">
              <w:rPr>
                <w:b w:val="0"/>
                <w:bCs w:val="0"/>
                <w:sz w:val="24"/>
              </w:rPr>
              <w:t>a</w:t>
            </w:r>
            <w:r w:rsidRPr="00DB79A9">
              <w:rPr>
                <w:b w:val="0"/>
                <w:bCs w:val="0"/>
                <w:sz w:val="24"/>
              </w:rPr>
              <w:t xml:space="preserve"> sistēm</w:t>
            </w:r>
            <w:r w:rsidR="00272223">
              <w:rPr>
                <w:b w:val="0"/>
                <w:bCs w:val="0"/>
                <w:sz w:val="24"/>
              </w:rPr>
              <w:t>a</w:t>
            </w:r>
            <w:r w:rsidRPr="00DB79A9">
              <w:rPr>
                <w:b w:val="0"/>
                <w:bCs w:val="0"/>
                <w:sz w:val="24"/>
              </w:rPr>
              <w:t xml:space="preserve">, kurā koordinēti darbojas noziedzības novēršanā un apkarošanā iesaistītās valsts institūcijas un, balstoties uz kriminālizlūkošanas rezultātā iegūtajām zināšanām, pieņem optimālus lēmumus stratēģiskajā, taktiskajā un operatīvajā līmenī par nepieciešamo rīcību noziedzības novēršanai un apkarošanai, kā arī objektīvi definē noziedzības </w:t>
            </w:r>
            <w:r w:rsidRPr="00AA35CC">
              <w:rPr>
                <w:b w:val="0"/>
                <w:bCs w:val="0"/>
                <w:sz w:val="24"/>
              </w:rPr>
              <w:t xml:space="preserve">novēršanas un apkarošanas prioritātes. </w:t>
            </w:r>
          </w:p>
          <w:p w:rsidR="0092390D" w:rsidRPr="00AA35CC" w:rsidRDefault="00DE08CF" w:rsidP="00DE08CF">
            <w:pPr>
              <w:pStyle w:val="naisf"/>
              <w:spacing w:before="0" w:after="0"/>
              <w:ind w:firstLine="709"/>
            </w:pPr>
            <w:r w:rsidRPr="00AA35CC">
              <w:rPr>
                <w:bCs/>
              </w:rPr>
              <w:t xml:space="preserve">Projekts paredz noteikt tiesību aizsardzības iestāžu sadarbības principus, tiesību aizsardzības iestāžu sadarbībai veidojamās sadarbības institūcijas (Noziedzības novēršanā un apkarošanā iesaistīto valsts institūciju vadības darba grupa, Noziedzības novēršanā un apkarošanā iesaistīto valsts institūciju ekspertu darba grupas) un šo institūciju funkcijas, uzdevumus un darbības noteikumus, kā arī tiesību aizsardzības iestāžu sadarbībā sagatavojamo </w:t>
            </w:r>
            <w:r w:rsidRPr="00AA35CC">
              <w:t>kriminālizlūkošanas analītiskos ziņojumu veidus.</w:t>
            </w:r>
          </w:p>
          <w:p w:rsidR="00272223" w:rsidRPr="007C1109" w:rsidRDefault="00272223" w:rsidP="00272223">
            <w:pPr>
              <w:ind w:right="2" w:firstLine="173"/>
              <w:jc w:val="both"/>
            </w:pPr>
            <w:r w:rsidRPr="00AA35CC">
              <w:t>Projektā ir definēti šādi kriminālizlūkošanas analītisko ziņojumu veidi</w:t>
            </w:r>
            <w:r w:rsidRPr="007C1109">
              <w:t>, kuru sagatavošanu veic t</w:t>
            </w:r>
            <w:r w:rsidRPr="007C1109">
              <w:rPr>
                <w:bCs/>
              </w:rPr>
              <w:t xml:space="preserve">iesību aizsardzības iestādes patstāvīgi vai </w:t>
            </w:r>
            <w:r w:rsidRPr="007C1109">
              <w:t xml:space="preserve">savstarpēji sadarbojoties: </w:t>
            </w:r>
          </w:p>
          <w:p w:rsidR="00272223" w:rsidRPr="00AA35CC" w:rsidRDefault="00272223" w:rsidP="00272223">
            <w:pPr>
              <w:pStyle w:val="naisf"/>
              <w:spacing w:before="0" w:after="0"/>
              <w:ind w:firstLine="720"/>
            </w:pPr>
            <w:r w:rsidRPr="007C1109">
              <w:t>1) stratēģiskais</w:t>
            </w:r>
            <w:r w:rsidRPr="00AA35CC">
              <w:t xml:space="preserve"> novērtējums – raksturo noziedzības stāvokli, noziedzības attīstības tendences un noziedzības fenomenus, identificē ilgtermiņa problēmas, kā arī, balstoties uz aktuālās situācijas novērtējumu, identificē nosakāmās noziedzības novēršanas un apkarošanas prioritātes gada un ilgāka termiņa ietvaros, nozīmīgākos uzdevumus prioritāšu ietvaros un nepieciešamos resursus uzdevumu izpildei;</w:t>
            </w:r>
          </w:p>
          <w:p w:rsidR="00272223" w:rsidRPr="00AA35CC" w:rsidRDefault="00272223" w:rsidP="00272223">
            <w:pPr>
              <w:pStyle w:val="naisf"/>
              <w:spacing w:before="0" w:after="0"/>
              <w:ind w:firstLine="720"/>
            </w:pPr>
            <w:r w:rsidRPr="00AA35CC">
              <w:lastRenderedPageBreak/>
              <w:t xml:space="preserve">2) </w:t>
            </w:r>
            <w:r w:rsidRPr="00AA35CC">
              <w:rPr>
                <w:bCs/>
              </w:rPr>
              <w:t>taktiskais novērtējums</w:t>
            </w:r>
            <w:r w:rsidRPr="00AA35CC">
              <w:rPr>
                <w:b/>
                <w:bCs/>
              </w:rPr>
              <w:t xml:space="preserve"> </w:t>
            </w:r>
            <w:r w:rsidRPr="00AA35CC">
              <w:t>– raksturo aktuālo stāvokli un attīstības tendences konkrētās noziedzības jomās, kā arī definē īstermiņa uzdevumus noziedzības ierobežošanai un novēršanai;</w:t>
            </w:r>
          </w:p>
          <w:p w:rsidR="00272223" w:rsidRPr="00AA35CC" w:rsidRDefault="00272223" w:rsidP="00272223">
            <w:pPr>
              <w:pStyle w:val="naisf"/>
              <w:spacing w:before="0" w:after="0"/>
              <w:ind w:firstLine="720"/>
            </w:pPr>
            <w:r w:rsidRPr="00AA35CC">
              <w:t xml:space="preserve">3) </w:t>
            </w:r>
            <w:r w:rsidRPr="00AA35CC">
              <w:rPr>
                <w:bCs/>
              </w:rPr>
              <w:t>problēmas profils</w:t>
            </w:r>
            <w:r w:rsidRPr="00AA35CC">
              <w:rPr>
                <w:b/>
                <w:bCs/>
              </w:rPr>
              <w:t xml:space="preserve"> </w:t>
            </w:r>
            <w:r w:rsidRPr="00AA35CC">
              <w:t>– raksturo atsevišķus noziegumus, to raksturu, bīstamību un izplatību, ar mērķi uz šīs informācijas pamata attīstīt kopīgas izmeklēšanas vai citus pasākumus;</w:t>
            </w:r>
          </w:p>
          <w:p w:rsidR="00272223" w:rsidRPr="00AA35CC" w:rsidRDefault="00272223" w:rsidP="00272223">
            <w:pPr>
              <w:pStyle w:val="naisf"/>
              <w:spacing w:before="0" w:after="0"/>
              <w:ind w:firstLine="720"/>
            </w:pPr>
            <w:r w:rsidRPr="00AA35CC">
              <w:t xml:space="preserve">4) </w:t>
            </w:r>
            <w:r w:rsidRPr="00AA35CC">
              <w:rPr>
                <w:bCs/>
              </w:rPr>
              <w:t>mērķa profils</w:t>
            </w:r>
            <w:r w:rsidRPr="00AA35CC">
              <w:rPr>
                <w:b/>
                <w:bCs/>
              </w:rPr>
              <w:t xml:space="preserve"> </w:t>
            </w:r>
            <w:r w:rsidRPr="00AA35CC">
              <w:t>– identificē noziedzīgus nodarījumus izdarījušās personas vai noziedzīgas grupas, to darbības raksturu un bīstamību, kā arī veicamos pasākumus ar mērķi novērst un atklāt to noziedzīgās darbības;</w:t>
            </w:r>
          </w:p>
          <w:p w:rsidR="00A4483D" w:rsidRPr="00AA35CC" w:rsidRDefault="00272223" w:rsidP="00A4483D">
            <w:pPr>
              <w:pStyle w:val="naisf"/>
              <w:spacing w:before="0" w:after="0"/>
              <w:ind w:firstLine="720"/>
            </w:pPr>
            <w:r w:rsidRPr="00AA35CC">
              <w:t>5) citi analītiskie ziņojumi – tiek sagatavoti pēc nepieciešamības</w:t>
            </w:r>
            <w:r w:rsidR="00A4483D" w:rsidRPr="00AA35CC">
              <w:t>.</w:t>
            </w:r>
          </w:p>
          <w:p w:rsidR="00A4483D" w:rsidRPr="00AA35CC" w:rsidRDefault="00272223" w:rsidP="00A4483D">
            <w:pPr>
              <w:pStyle w:val="naisf"/>
              <w:spacing w:before="0" w:after="0"/>
              <w:ind w:firstLine="720"/>
            </w:pPr>
            <w:r w:rsidRPr="00AA35CC">
              <w:t>Projektā ir paredz</w:t>
            </w:r>
            <w:r w:rsidR="00A4483D" w:rsidRPr="00AA35CC">
              <w:t xml:space="preserve">ēts, ka tos </w:t>
            </w:r>
            <w:r w:rsidRPr="00AA35CC">
              <w:rPr>
                <w:bCs/>
              </w:rPr>
              <w:t>kriminālizlūkošanas analītiskos ziņojumus</w:t>
            </w:r>
            <w:r w:rsidR="00A4483D" w:rsidRPr="00AA35CC">
              <w:rPr>
                <w:bCs/>
              </w:rPr>
              <w:t>, kuri skar vairāku tiesību aizsardzības iestāžu kompetenci, (</w:t>
            </w:r>
            <w:r w:rsidR="00A4483D" w:rsidRPr="00AA35CC">
              <w:t xml:space="preserve">starpnozaru </w:t>
            </w:r>
            <w:r w:rsidR="00A4483D" w:rsidRPr="00AA35CC">
              <w:rPr>
                <w:bCs/>
              </w:rPr>
              <w:t xml:space="preserve">kriminālizlūkošanas analītiskie ziņojumi) sagatavos </w:t>
            </w:r>
            <w:r w:rsidR="00A4483D" w:rsidRPr="00AA35CC">
              <w:t xml:space="preserve">tiesību aizsardzības iestāžu ekspertu darba grupas </w:t>
            </w:r>
            <w:r w:rsidRPr="00AA35CC">
              <w:rPr>
                <w:bCs/>
              </w:rPr>
              <w:t xml:space="preserve">(specializēta ekspertu darba grupa </w:t>
            </w:r>
            <w:r w:rsidRPr="00AA35CC">
              <w:t xml:space="preserve">attiecīgajā noziedzības apkarošanas jomā). </w:t>
            </w:r>
          </w:p>
          <w:p w:rsidR="00A4483D" w:rsidRDefault="00A4483D" w:rsidP="00A4483D">
            <w:pPr>
              <w:pStyle w:val="naisf"/>
              <w:spacing w:before="0" w:after="0"/>
              <w:ind w:firstLine="720"/>
              <w:rPr>
                <w:sz w:val="28"/>
                <w:szCs w:val="28"/>
              </w:rPr>
            </w:pPr>
            <w:r w:rsidRPr="00AA35CC">
              <w:t>Ir paredzēts, ka stratēģiskais novērtējums tiks gatavots (aktualizēts) katru gadu, tas tiks izskatīts tiesību aizsardzības iestāžu vadības darba grupā</w:t>
            </w:r>
            <w:r w:rsidR="00AA35CC" w:rsidRPr="00AA35CC">
              <w:t xml:space="preserve">. Citi analītiskie ziņojumi tiks sagatavoti </w:t>
            </w:r>
            <w:r w:rsidR="00416442">
              <w:t xml:space="preserve">un aktualizēti </w:t>
            </w:r>
            <w:r w:rsidR="00AA35CC" w:rsidRPr="00AA35CC">
              <w:t>pēc nepieciešamības</w:t>
            </w:r>
            <w:r w:rsidR="00AA35CC">
              <w:rPr>
                <w:sz w:val="28"/>
                <w:szCs w:val="28"/>
              </w:rPr>
              <w:t>.</w:t>
            </w:r>
          </w:p>
          <w:p w:rsidR="00272223" w:rsidRPr="00DB79A9" w:rsidRDefault="00416442" w:rsidP="00272223">
            <w:pPr>
              <w:pStyle w:val="naisf"/>
              <w:spacing w:before="0" w:after="0"/>
              <w:ind w:firstLine="709"/>
            </w:pPr>
            <w:r w:rsidRPr="001B0124">
              <w:t>Projekts paredz ekspertu darba grupas kompetenci kriminālizlūkošanas analītisko ziņojumu sagatavošanas metodikas jomā</w:t>
            </w:r>
            <w:r>
              <w:t>.</w:t>
            </w:r>
          </w:p>
        </w:tc>
      </w:tr>
      <w:tr w:rsidR="00616AA6" w:rsidRPr="00DB79A9" w:rsidTr="00F4578C">
        <w:tc>
          <w:tcPr>
            <w:tcW w:w="675" w:type="dxa"/>
          </w:tcPr>
          <w:p w:rsidR="00616AA6" w:rsidRPr="00DB79A9" w:rsidRDefault="00616AA6" w:rsidP="00710EAA">
            <w:pPr>
              <w:spacing w:before="60"/>
            </w:pPr>
            <w:r w:rsidRPr="00DB79A9">
              <w:lastRenderedPageBreak/>
              <w:t>3.</w:t>
            </w:r>
          </w:p>
        </w:tc>
        <w:tc>
          <w:tcPr>
            <w:tcW w:w="2694" w:type="dxa"/>
          </w:tcPr>
          <w:p w:rsidR="00616AA6" w:rsidRPr="00DB79A9" w:rsidRDefault="008C47BE" w:rsidP="00710EAA">
            <w:pPr>
              <w:spacing w:before="60" w:after="60"/>
            </w:pPr>
            <w:r w:rsidRPr="00DB79A9">
              <w:t>Projekta izstrādē iesaistītās institūcijas</w:t>
            </w:r>
          </w:p>
        </w:tc>
        <w:tc>
          <w:tcPr>
            <w:tcW w:w="5764" w:type="dxa"/>
            <w:gridSpan w:val="2"/>
          </w:tcPr>
          <w:p w:rsidR="006B0654" w:rsidRPr="00DB79A9" w:rsidRDefault="00DE08CF" w:rsidP="006B0654">
            <w:pPr>
              <w:ind w:firstLine="720"/>
              <w:jc w:val="both"/>
            </w:pPr>
            <w:r w:rsidRPr="00DB79A9">
              <w:rPr>
                <w:bCs/>
                <w:iCs/>
              </w:rPr>
              <w:t xml:space="preserve">Iekšlietu ministrija, Ģenerālprokuratūra, Valsts policija, Drošības policija, </w:t>
            </w:r>
            <w:r w:rsidRPr="00DB79A9">
              <w:t>Valsts robežsardze, Korupcijas novēršanas un apkarošanas birojs, Satversmes aizsardzības birojs, Militārās izlūkošanas un drošības dienests, Valsts ieņēmumu dienesta Finanšu policija un Muitas kriminālpārvald</w:t>
            </w:r>
            <w:r w:rsidR="00EC39E6" w:rsidRPr="00DB79A9">
              <w:t>e un</w:t>
            </w:r>
            <w:r w:rsidR="006B0654" w:rsidRPr="00DB79A9">
              <w:t xml:space="preserve"> Ieslodzījumu vietu pārvalde.</w:t>
            </w:r>
          </w:p>
          <w:p w:rsidR="00616AA6" w:rsidRPr="00DB79A9" w:rsidRDefault="006B0654" w:rsidP="00616AEF">
            <w:pPr>
              <w:ind w:firstLine="720"/>
              <w:jc w:val="both"/>
            </w:pPr>
            <w:r w:rsidRPr="00DB79A9">
              <w:t>Projekts tika izstrādāts minēto institūciju deleģēto ekspertu darba grupā Eiropas Komisijas līdzfinansēt</w:t>
            </w:r>
            <w:r w:rsidR="00616AEF" w:rsidRPr="00DB79A9">
              <w:t>ā</w:t>
            </w:r>
            <w:r w:rsidRPr="00DB79A9">
              <w:t xml:space="preserve"> projekta Nr.HOME/2011/ISEC/AG/4000002542 "Nacionālā kriminālizlūkošanas modeļa izveide" ietvaros.</w:t>
            </w:r>
          </w:p>
        </w:tc>
      </w:tr>
      <w:tr w:rsidR="00616AA6" w:rsidRPr="00DB79A9" w:rsidTr="00F4578C">
        <w:tc>
          <w:tcPr>
            <w:tcW w:w="675" w:type="dxa"/>
          </w:tcPr>
          <w:p w:rsidR="00616AA6" w:rsidRPr="00DB79A9" w:rsidRDefault="00616AA6" w:rsidP="00710EAA">
            <w:pPr>
              <w:spacing w:before="60"/>
            </w:pPr>
            <w:r w:rsidRPr="00DB79A9">
              <w:t>4.</w:t>
            </w:r>
          </w:p>
        </w:tc>
        <w:tc>
          <w:tcPr>
            <w:tcW w:w="2694" w:type="dxa"/>
          </w:tcPr>
          <w:p w:rsidR="00616AA6" w:rsidRPr="00DB79A9" w:rsidRDefault="008C47BE" w:rsidP="00710EAA">
            <w:pPr>
              <w:spacing w:before="60" w:after="60"/>
            </w:pPr>
            <w:r w:rsidRPr="00DB79A9">
              <w:t xml:space="preserve">Cita informācija </w:t>
            </w:r>
          </w:p>
        </w:tc>
        <w:tc>
          <w:tcPr>
            <w:tcW w:w="5764" w:type="dxa"/>
            <w:gridSpan w:val="2"/>
          </w:tcPr>
          <w:p w:rsidR="00E06CCE" w:rsidRPr="00DB79A9" w:rsidRDefault="00C21897" w:rsidP="00710EAA">
            <w:pPr>
              <w:spacing w:before="60" w:after="60"/>
              <w:jc w:val="both"/>
            </w:pPr>
            <w:r w:rsidRPr="00DB79A9">
              <w:t>Nav.</w:t>
            </w:r>
          </w:p>
        </w:tc>
      </w:tr>
      <w:tr w:rsidR="00E86D2D" w:rsidRPr="00DB79A9" w:rsidTr="00F4578C">
        <w:tc>
          <w:tcPr>
            <w:tcW w:w="9133" w:type="dxa"/>
            <w:gridSpan w:val="4"/>
          </w:tcPr>
          <w:p w:rsidR="00E86D2D" w:rsidRPr="00DB79A9" w:rsidRDefault="00E86D2D" w:rsidP="00710EAA">
            <w:pPr>
              <w:spacing w:before="60" w:after="60"/>
              <w:jc w:val="center"/>
            </w:pPr>
            <w:r w:rsidRPr="00DB79A9">
              <w:rPr>
                <w:b/>
              </w:rPr>
              <w:t>II. Tiesību akta projekta ietekme uz sabiedrību, tautsaimniecības attīstību un administratīvo slogu</w:t>
            </w:r>
          </w:p>
        </w:tc>
      </w:tr>
      <w:tr w:rsidR="00E86D2D" w:rsidRPr="00DB79A9" w:rsidTr="0051080F">
        <w:tc>
          <w:tcPr>
            <w:tcW w:w="675" w:type="dxa"/>
          </w:tcPr>
          <w:p w:rsidR="00E86D2D" w:rsidRPr="00DB79A9" w:rsidRDefault="00E86D2D" w:rsidP="00953A72">
            <w:r w:rsidRPr="00DB79A9">
              <w:t xml:space="preserve">1. </w:t>
            </w:r>
          </w:p>
        </w:tc>
        <w:tc>
          <w:tcPr>
            <w:tcW w:w="2694" w:type="dxa"/>
          </w:tcPr>
          <w:p w:rsidR="00E86D2D" w:rsidRPr="00DB79A9" w:rsidRDefault="00E86D2D" w:rsidP="00710EAA">
            <w:pPr>
              <w:spacing w:before="60" w:after="60"/>
            </w:pPr>
            <w:r w:rsidRPr="00DB79A9">
              <w:t>Sabiedrības mērķgrupas, kuras tiesiskais regulējums ietekmē vai varētu ietekmēt</w:t>
            </w:r>
          </w:p>
        </w:tc>
        <w:tc>
          <w:tcPr>
            <w:tcW w:w="5764" w:type="dxa"/>
            <w:gridSpan w:val="2"/>
          </w:tcPr>
          <w:p w:rsidR="00420861" w:rsidRPr="00DB79A9" w:rsidRDefault="006B0654" w:rsidP="00420861">
            <w:pPr>
              <w:spacing w:before="60" w:after="60"/>
              <w:jc w:val="both"/>
            </w:pPr>
            <w:r w:rsidRPr="00DB79A9">
              <w:t>Operatīvās darbības subjektu un izmeklēšanas iestāžu amatpersonas.</w:t>
            </w:r>
          </w:p>
        </w:tc>
      </w:tr>
      <w:tr w:rsidR="00E86D2D" w:rsidRPr="00DB79A9" w:rsidTr="0051080F">
        <w:tc>
          <w:tcPr>
            <w:tcW w:w="675" w:type="dxa"/>
          </w:tcPr>
          <w:p w:rsidR="00E86D2D" w:rsidRPr="00DB79A9" w:rsidRDefault="00E86D2D" w:rsidP="00953A72">
            <w:r w:rsidRPr="00DB79A9">
              <w:lastRenderedPageBreak/>
              <w:t>2.</w:t>
            </w:r>
          </w:p>
        </w:tc>
        <w:tc>
          <w:tcPr>
            <w:tcW w:w="2694" w:type="dxa"/>
          </w:tcPr>
          <w:p w:rsidR="00E86D2D" w:rsidRPr="00DB79A9" w:rsidRDefault="00E86D2D" w:rsidP="00710EAA">
            <w:pPr>
              <w:spacing w:before="60" w:after="60"/>
            </w:pPr>
            <w:r w:rsidRPr="00DB79A9">
              <w:t>Tiesiskā regulējuma ietekme uz tautsaimniecību un administratīvo slogu</w:t>
            </w:r>
          </w:p>
        </w:tc>
        <w:tc>
          <w:tcPr>
            <w:tcW w:w="5764" w:type="dxa"/>
            <w:gridSpan w:val="2"/>
          </w:tcPr>
          <w:p w:rsidR="0049747B" w:rsidRPr="00DB79A9" w:rsidRDefault="006B0654" w:rsidP="00A72CFC">
            <w:pPr>
              <w:spacing w:before="60" w:after="60"/>
              <w:jc w:val="both"/>
              <w:rPr>
                <w:bCs/>
              </w:rPr>
            </w:pPr>
            <w:r w:rsidRPr="00DB79A9">
              <w:t>Operatīvās darbības subjektiem un izmeklēšanas iestādēm noteiktie pienākumi un tiesības netiek mainīti. Projektā tiek noregulēti vienoti pamatprincipi un kārtība, kādā operatīvās darbības subjekti un izmeklēšanas iestādes</w:t>
            </w:r>
            <w:r w:rsidR="00A72CFC" w:rsidRPr="00DB79A9">
              <w:t xml:space="preserve">, </w:t>
            </w:r>
            <w:r w:rsidR="00A72CFC" w:rsidRPr="00DB79A9">
              <w:rPr>
                <w:bCs/>
              </w:rPr>
              <w:t xml:space="preserve">balstoties uz kriminālizlūkošanas rezultātā iegūtajām zināšanām, </w:t>
            </w:r>
            <w:r w:rsidR="00A72CFC" w:rsidRPr="00DB79A9">
              <w:t>sadarbosies</w:t>
            </w:r>
            <w:r w:rsidR="00A72CFC" w:rsidRPr="00DB79A9">
              <w:rPr>
                <w:bCs/>
              </w:rPr>
              <w:t xml:space="preserve"> un pieņems optimālus lēmumus stratēģiskajā, taktiskajā un operatīvajā līmenī par nepieciešamo rīcību noziedzības novēršanai un apkarošanai, kā arī objektīvi definēs noziedzības novēršanas un apkarošanas prioritātes.</w:t>
            </w:r>
          </w:p>
          <w:p w:rsidR="00A72CFC" w:rsidRPr="00DB79A9" w:rsidRDefault="00A72CFC" w:rsidP="00A72CFC">
            <w:pPr>
              <w:spacing w:before="60" w:after="60"/>
              <w:jc w:val="both"/>
              <w:rPr>
                <w:bCs/>
              </w:rPr>
            </w:pPr>
            <w:r w:rsidRPr="00DB79A9">
              <w:rPr>
                <w:bCs/>
              </w:rPr>
              <w:t xml:space="preserve">Projekts paredz izveidot pastāvīgi darbojošos operatīvās darbības subjektu un izmeklēšanas iestāžu deleģētu ekspertu darba grupu, kura praktiski realizēs nepieciešamās informācijas apmaiņu, nolūkā sekmēt iestādēm noteikto uzdevumu izpildi </w:t>
            </w:r>
            <w:r w:rsidRPr="00DB79A9">
              <w:t>noziedzības novēršanā un apkarošanā</w:t>
            </w:r>
            <w:r w:rsidRPr="00DB79A9">
              <w:rPr>
                <w:bCs/>
              </w:rPr>
              <w:t xml:space="preserve">. </w:t>
            </w:r>
          </w:p>
          <w:p w:rsidR="005C093D" w:rsidRPr="00DB79A9" w:rsidRDefault="005C093D" w:rsidP="005C093D">
            <w:pPr>
              <w:spacing w:before="60" w:after="60"/>
              <w:jc w:val="both"/>
            </w:pPr>
            <w:r w:rsidRPr="00DB79A9">
              <w:rPr>
                <w:bCs/>
              </w:rPr>
              <w:t xml:space="preserve">Ir paredzēts, ka Valsts policija </w:t>
            </w:r>
            <w:r w:rsidRPr="00DB79A9">
              <w:t xml:space="preserve">materiāltehniski nodrošinās </w:t>
            </w:r>
            <w:r w:rsidRPr="00DB79A9">
              <w:rPr>
                <w:bCs/>
              </w:rPr>
              <w:t>pastāvīgi darbojošās ekspertu d</w:t>
            </w:r>
            <w:r w:rsidRPr="00DB79A9">
              <w:t>arba grupas sēžu norisi, nodrošinās informācijas apmaiņu starp darba grupas locekļiem, kā arī sagatavos starpnozaru kriminālizlūkošanas analītiskos ziņojumus.</w:t>
            </w:r>
          </w:p>
        </w:tc>
      </w:tr>
      <w:tr w:rsidR="00E86D2D" w:rsidRPr="00DB79A9" w:rsidTr="0051080F">
        <w:tc>
          <w:tcPr>
            <w:tcW w:w="675" w:type="dxa"/>
          </w:tcPr>
          <w:p w:rsidR="00E86D2D" w:rsidRPr="00DB79A9" w:rsidRDefault="00E86D2D" w:rsidP="00953A72">
            <w:r w:rsidRPr="00DB79A9">
              <w:t>3.</w:t>
            </w:r>
          </w:p>
        </w:tc>
        <w:tc>
          <w:tcPr>
            <w:tcW w:w="2694" w:type="dxa"/>
          </w:tcPr>
          <w:p w:rsidR="00E86D2D" w:rsidRPr="00DB79A9" w:rsidRDefault="00E86D2D" w:rsidP="00710EAA">
            <w:pPr>
              <w:spacing w:before="60" w:after="60"/>
            </w:pPr>
            <w:r w:rsidRPr="00DB79A9">
              <w:t>Administratīvo izmaksu monetārs novērtējums</w:t>
            </w:r>
          </w:p>
        </w:tc>
        <w:tc>
          <w:tcPr>
            <w:tcW w:w="5764" w:type="dxa"/>
            <w:gridSpan w:val="2"/>
          </w:tcPr>
          <w:p w:rsidR="00E86D2D" w:rsidRPr="00DB79A9" w:rsidRDefault="00E218F6" w:rsidP="005C093D">
            <w:pPr>
              <w:spacing w:before="60" w:after="60"/>
              <w:jc w:val="both"/>
            </w:pPr>
            <w:r w:rsidRPr="00DB79A9">
              <w:t>Administratīvo izmaksu monetār</w:t>
            </w:r>
            <w:r w:rsidR="005C093D" w:rsidRPr="00DB79A9">
              <w:t>s</w:t>
            </w:r>
            <w:r w:rsidRPr="00DB79A9">
              <w:t xml:space="preserve"> novērtējum</w:t>
            </w:r>
            <w:r w:rsidR="005C093D" w:rsidRPr="00DB79A9">
              <w:t>s ir atspoguļots anotācijas III. sadaļā</w:t>
            </w:r>
            <w:r w:rsidRPr="00DB79A9">
              <w:t>.</w:t>
            </w:r>
          </w:p>
        </w:tc>
      </w:tr>
      <w:tr w:rsidR="00E86D2D" w:rsidRPr="00DB79A9" w:rsidTr="0051080F">
        <w:tc>
          <w:tcPr>
            <w:tcW w:w="675" w:type="dxa"/>
          </w:tcPr>
          <w:p w:rsidR="00E86D2D" w:rsidRPr="00DB79A9" w:rsidRDefault="00E86D2D" w:rsidP="00953A72">
            <w:r w:rsidRPr="00DB79A9">
              <w:t>4.</w:t>
            </w:r>
          </w:p>
        </w:tc>
        <w:tc>
          <w:tcPr>
            <w:tcW w:w="2694" w:type="dxa"/>
          </w:tcPr>
          <w:p w:rsidR="00E86D2D" w:rsidRPr="00DB79A9" w:rsidRDefault="00E86D2D" w:rsidP="00710EAA">
            <w:pPr>
              <w:spacing w:before="60" w:after="60"/>
            </w:pPr>
            <w:r w:rsidRPr="00DB79A9">
              <w:t>Cita informācija</w:t>
            </w:r>
          </w:p>
        </w:tc>
        <w:tc>
          <w:tcPr>
            <w:tcW w:w="5764" w:type="dxa"/>
            <w:gridSpan w:val="2"/>
          </w:tcPr>
          <w:p w:rsidR="00E86D2D" w:rsidRPr="00DB79A9" w:rsidRDefault="00E86D2D" w:rsidP="00710EAA">
            <w:pPr>
              <w:spacing w:before="60" w:after="60"/>
              <w:jc w:val="both"/>
            </w:pPr>
            <w:r w:rsidRPr="00DB79A9">
              <w:t>Nav.</w:t>
            </w:r>
          </w:p>
        </w:tc>
      </w:tr>
      <w:tr w:rsidR="00F03184" w:rsidRPr="00DB79A9" w:rsidTr="00F4578C">
        <w:tc>
          <w:tcPr>
            <w:tcW w:w="9133" w:type="dxa"/>
            <w:gridSpan w:val="4"/>
          </w:tcPr>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9"/>
              <w:gridCol w:w="1276"/>
              <w:gridCol w:w="1287"/>
              <w:gridCol w:w="1150"/>
              <w:gridCol w:w="1195"/>
              <w:gridCol w:w="1150"/>
            </w:tblGrid>
            <w:tr w:rsidR="00E15423" w:rsidRPr="005128C9" w:rsidTr="00E4612D">
              <w:trPr>
                <w:trHeight w:val="361"/>
                <w:jc w:val="center"/>
              </w:trPr>
              <w:tc>
                <w:tcPr>
                  <w:tcW w:w="9257" w:type="dxa"/>
                  <w:gridSpan w:val="6"/>
                  <w:vAlign w:val="center"/>
                </w:tcPr>
                <w:p w:rsidR="00E15423" w:rsidRPr="0070083F" w:rsidRDefault="00E15423" w:rsidP="00E15423">
                  <w:pPr>
                    <w:pStyle w:val="naisnod"/>
                    <w:spacing w:before="0" w:after="0"/>
                    <w:rPr>
                      <w:b w:val="0"/>
                      <w:i/>
                      <w:sz w:val="22"/>
                      <w:szCs w:val="22"/>
                    </w:rPr>
                  </w:pPr>
                  <w:r w:rsidRPr="0070083F">
                    <w:rPr>
                      <w:sz w:val="22"/>
                      <w:szCs w:val="22"/>
                    </w:rPr>
                    <w:br w:type="page"/>
                    <w:t>III. Tiesību akta projekta ietekme uz valsts budžetu un pašvaldību budžetiem</w:t>
                  </w:r>
                </w:p>
              </w:tc>
            </w:tr>
            <w:tr w:rsidR="00E15423" w:rsidRPr="005128C9" w:rsidTr="00E4612D">
              <w:trPr>
                <w:jc w:val="center"/>
              </w:trPr>
              <w:tc>
                <w:tcPr>
                  <w:tcW w:w="3199" w:type="dxa"/>
                  <w:vMerge w:val="restart"/>
                  <w:vAlign w:val="center"/>
                </w:tcPr>
                <w:p w:rsidR="00E15423" w:rsidRPr="0070083F" w:rsidRDefault="00E15423" w:rsidP="00E15423">
                  <w:pPr>
                    <w:pStyle w:val="naisf"/>
                    <w:spacing w:before="0" w:after="0"/>
                    <w:jc w:val="center"/>
                    <w:rPr>
                      <w:b/>
                      <w:sz w:val="22"/>
                      <w:szCs w:val="22"/>
                    </w:rPr>
                  </w:pPr>
                  <w:r w:rsidRPr="0070083F">
                    <w:rPr>
                      <w:b/>
                      <w:sz w:val="22"/>
                      <w:szCs w:val="22"/>
                    </w:rPr>
                    <w:t>Rādītāji</w:t>
                  </w:r>
                </w:p>
              </w:tc>
              <w:tc>
                <w:tcPr>
                  <w:tcW w:w="2563" w:type="dxa"/>
                  <w:gridSpan w:val="2"/>
                  <w:vMerge w:val="restart"/>
                  <w:vAlign w:val="center"/>
                </w:tcPr>
                <w:p w:rsidR="00E15423" w:rsidRPr="0070083F" w:rsidRDefault="00E15423" w:rsidP="00E15423">
                  <w:pPr>
                    <w:pStyle w:val="naisf"/>
                    <w:spacing w:before="0" w:after="0"/>
                    <w:jc w:val="center"/>
                    <w:rPr>
                      <w:b/>
                      <w:sz w:val="22"/>
                      <w:szCs w:val="22"/>
                    </w:rPr>
                  </w:pPr>
                  <w:r w:rsidRPr="0070083F">
                    <w:rPr>
                      <w:b/>
                      <w:sz w:val="22"/>
                      <w:szCs w:val="22"/>
                    </w:rPr>
                    <w:t>2014</w:t>
                  </w:r>
                </w:p>
              </w:tc>
              <w:tc>
                <w:tcPr>
                  <w:tcW w:w="3495" w:type="dxa"/>
                  <w:gridSpan w:val="3"/>
                  <w:vAlign w:val="center"/>
                </w:tcPr>
                <w:p w:rsidR="00E15423" w:rsidRPr="0070083F" w:rsidRDefault="00E15423" w:rsidP="00E15423">
                  <w:pPr>
                    <w:pStyle w:val="naisf"/>
                    <w:spacing w:before="0" w:after="0"/>
                    <w:jc w:val="center"/>
                    <w:rPr>
                      <w:b/>
                      <w:i/>
                      <w:sz w:val="22"/>
                      <w:szCs w:val="22"/>
                    </w:rPr>
                  </w:pPr>
                  <w:r w:rsidRPr="0070083F">
                    <w:rPr>
                      <w:sz w:val="22"/>
                      <w:szCs w:val="22"/>
                    </w:rPr>
                    <w:t>Turpmākie trīs gadi (</w:t>
                  </w:r>
                  <w:r w:rsidRPr="0070083F">
                    <w:rPr>
                      <w:i/>
                      <w:sz w:val="22"/>
                      <w:szCs w:val="22"/>
                    </w:rPr>
                    <w:t>euro</w:t>
                  </w:r>
                  <w:r w:rsidRPr="0070083F">
                    <w:rPr>
                      <w:sz w:val="22"/>
                      <w:szCs w:val="22"/>
                    </w:rPr>
                    <w:t>)</w:t>
                  </w:r>
                </w:p>
              </w:tc>
            </w:tr>
            <w:tr w:rsidR="00E15423" w:rsidRPr="005128C9" w:rsidTr="00E4612D">
              <w:trPr>
                <w:jc w:val="center"/>
              </w:trPr>
              <w:tc>
                <w:tcPr>
                  <w:tcW w:w="3199" w:type="dxa"/>
                  <w:vMerge/>
                  <w:vAlign w:val="center"/>
                </w:tcPr>
                <w:p w:rsidR="00E15423" w:rsidRPr="0070083F" w:rsidRDefault="00E15423" w:rsidP="00E15423">
                  <w:pPr>
                    <w:pStyle w:val="naisf"/>
                    <w:spacing w:before="0" w:after="0"/>
                    <w:jc w:val="center"/>
                    <w:rPr>
                      <w:b/>
                      <w:i/>
                      <w:sz w:val="22"/>
                      <w:szCs w:val="22"/>
                    </w:rPr>
                  </w:pPr>
                </w:p>
              </w:tc>
              <w:tc>
                <w:tcPr>
                  <w:tcW w:w="2563" w:type="dxa"/>
                  <w:gridSpan w:val="2"/>
                  <w:vMerge/>
                  <w:vAlign w:val="center"/>
                </w:tcPr>
                <w:p w:rsidR="00E15423" w:rsidRPr="0070083F" w:rsidRDefault="00E15423" w:rsidP="00E15423">
                  <w:pPr>
                    <w:pStyle w:val="naisf"/>
                    <w:spacing w:before="0" w:after="0"/>
                    <w:jc w:val="center"/>
                    <w:rPr>
                      <w:b/>
                      <w:i/>
                      <w:sz w:val="22"/>
                      <w:szCs w:val="22"/>
                    </w:rPr>
                  </w:pPr>
                </w:p>
              </w:tc>
              <w:tc>
                <w:tcPr>
                  <w:tcW w:w="1150" w:type="dxa"/>
                  <w:vAlign w:val="center"/>
                </w:tcPr>
                <w:p w:rsidR="00E15423" w:rsidRPr="0070083F" w:rsidRDefault="00E15423" w:rsidP="00E15423">
                  <w:pPr>
                    <w:pStyle w:val="naisf"/>
                    <w:spacing w:before="0" w:after="0"/>
                    <w:jc w:val="center"/>
                    <w:rPr>
                      <w:b/>
                      <w:i/>
                      <w:sz w:val="22"/>
                      <w:szCs w:val="22"/>
                    </w:rPr>
                  </w:pPr>
                  <w:r w:rsidRPr="0070083F">
                    <w:rPr>
                      <w:b/>
                      <w:bCs/>
                      <w:sz w:val="22"/>
                      <w:szCs w:val="22"/>
                    </w:rPr>
                    <w:t>2015</w:t>
                  </w:r>
                </w:p>
              </w:tc>
              <w:tc>
                <w:tcPr>
                  <w:tcW w:w="1195" w:type="dxa"/>
                  <w:vAlign w:val="center"/>
                </w:tcPr>
                <w:p w:rsidR="00E15423" w:rsidRPr="0070083F" w:rsidRDefault="00E15423" w:rsidP="00E15423">
                  <w:pPr>
                    <w:pStyle w:val="naisf"/>
                    <w:spacing w:before="0" w:after="0"/>
                    <w:jc w:val="center"/>
                    <w:rPr>
                      <w:b/>
                      <w:i/>
                      <w:sz w:val="22"/>
                      <w:szCs w:val="22"/>
                    </w:rPr>
                  </w:pPr>
                  <w:r w:rsidRPr="0070083F">
                    <w:rPr>
                      <w:b/>
                      <w:bCs/>
                      <w:sz w:val="22"/>
                      <w:szCs w:val="22"/>
                    </w:rPr>
                    <w:t>2016</w:t>
                  </w:r>
                </w:p>
              </w:tc>
              <w:tc>
                <w:tcPr>
                  <w:tcW w:w="1150" w:type="dxa"/>
                  <w:vAlign w:val="center"/>
                </w:tcPr>
                <w:p w:rsidR="00E15423" w:rsidRPr="0070083F" w:rsidRDefault="00E15423" w:rsidP="00E15423">
                  <w:pPr>
                    <w:pStyle w:val="naisf"/>
                    <w:spacing w:before="0" w:after="0"/>
                    <w:jc w:val="center"/>
                    <w:rPr>
                      <w:b/>
                      <w:i/>
                      <w:sz w:val="22"/>
                      <w:szCs w:val="22"/>
                    </w:rPr>
                  </w:pPr>
                  <w:r w:rsidRPr="0070083F">
                    <w:rPr>
                      <w:b/>
                      <w:bCs/>
                      <w:sz w:val="22"/>
                      <w:szCs w:val="22"/>
                    </w:rPr>
                    <w:t>2017</w:t>
                  </w:r>
                </w:p>
              </w:tc>
            </w:tr>
            <w:tr w:rsidR="00E15423" w:rsidRPr="005128C9" w:rsidTr="00E4612D">
              <w:trPr>
                <w:jc w:val="center"/>
              </w:trPr>
              <w:tc>
                <w:tcPr>
                  <w:tcW w:w="3199" w:type="dxa"/>
                  <w:vMerge/>
                  <w:vAlign w:val="center"/>
                </w:tcPr>
                <w:p w:rsidR="00E15423" w:rsidRPr="0070083F" w:rsidRDefault="00E15423" w:rsidP="00E15423">
                  <w:pPr>
                    <w:pStyle w:val="naisf"/>
                    <w:spacing w:before="0" w:after="0"/>
                    <w:jc w:val="center"/>
                    <w:rPr>
                      <w:b/>
                      <w:i/>
                      <w:sz w:val="22"/>
                      <w:szCs w:val="22"/>
                    </w:rPr>
                  </w:pPr>
                </w:p>
              </w:tc>
              <w:tc>
                <w:tcPr>
                  <w:tcW w:w="1276" w:type="dxa"/>
                  <w:vAlign w:val="center"/>
                </w:tcPr>
                <w:p w:rsidR="00E15423" w:rsidRPr="0070083F" w:rsidRDefault="00E15423" w:rsidP="00E15423">
                  <w:pPr>
                    <w:pStyle w:val="naisf"/>
                    <w:spacing w:before="0" w:after="0"/>
                    <w:jc w:val="center"/>
                    <w:rPr>
                      <w:b/>
                      <w:i/>
                      <w:sz w:val="22"/>
                      <w:szCs w:val="22"/>
                    </w:rPr>
                  </w:pPr>
                  <w:r w:rsidRPr="0070083F">
                    <w:rPr>
                      <w:sz w:val="22"/>
                      <w:szCs w:val="22"/>
                    </w:rPr>
                    <w:t>saskaņā ar valsts budžetu kārtējam gadam</w:t>
                  </w:r>
                </w:p>
              </w:tc>
              <w:tc>
                <w:tcPr>
                  <w:tcW w:w="1287" w:type="dxa"/>
                  <w:vAlign w:val="center"/>
                </w:tcPr>
                <w:p w:rsidR="00E15423" w:rsidRPr="0070083F" w:rsidRDefault="00E15423" w:rsidP="00E15423">
                  <w:pPr>
                    <w:pStyle w:val="naisf"/>
                    <w:spacing w:before="0" w:after="0"/>
                    <w:jc w:val="center"/>
                    <w:rPr>
                      <w:b/>
                      <w:i/>
                      <w:sz w:val="22"/>
                      <w:szCs w:val="22"/>
                    </w:rPr>
                  </w:pPr>
                  <w:r w:rsidRPr="0070083F">
                    <w:rPr>
                      <w:sz w:val="22"/>
                      <w:szCs w:val="22"/>
                    </w:rPr>
                    <w:t>izmaiņas kārtējā gadā, salīdzinot ar budžetu kārtējam gadam</w:t>
                  </w:r>
                </w:p>
              </w:tc>
              <w:tc>
                <w:tcPr>
                  <w:tcW w:w="1150" w:type="dxa"/>
                  <w:vAlign w:val="center"/>
                </w:tcPr>
                <w:p w:rsidR="00E15423" w:rsidRPr="0070083F" w:rsidRDefault="00E15423" w:rsidP="00E15423">
                  <w:pPr>
                    <w:pStyle w:val="naisf"/>
                    <w:spacing w:before="0" w:after="0"/>
                    <w:jc w:val="center"/>
                    <w:rPr>
                      <w:b/>
                      <w:i/>
                      <w:sz w:val="22"/>
                      <w:szCs w:val="22"/>
                    </w:rPr>
                  </w:pPr>
                  <w:r w:rsidRPr="0070083F">
                    <w:rPr>
                      <w:sz w:val="22"/>
                      <w:szCs w:val="22"/>
                    </w:rPr>
                    <w:t>izmaiņas, salīdzinot ar kārtējo (n) gadu</w:t>
                  </w:r>
                </w:p>
              </w:tc>
              <w:tc>
                <w:tcPr>
                  <w:tcW w:w="1195" w:type="dxa"/>
                  <w:vAlign w:val="center"/>
                </w:tcPr>
                <w:p w:rsidR="00E15423" w:rsidRPr="0070083F" w:rsidRDefault="00E15423" w:rsidP="00E15423">
                  <w:pPr>
                    <w:pStyle w:val="naisf"/>
                    <w:spacing w:before="0" w:after="0"/>
                    <w:jc w:val="center"/>
                    <w:rPr>
                      <w:b/>
                      <w:i/>
                      <w:sz w:val="22"/>
                      <w:szCs w:val="22"/>
                    </w:rPr>
                  </w:pPr>
                  <w:r w:rsidRPr="0070083F">
                    <w:rPr>
                      <w:sz w:val="22"/>
                      <w:szCs w:val="22"/>
                    </w:rPr>
                    <w:t>izmaiņas, salīdzinot ar kārtējo (n) gadu</w:t>
                  </w:r>
                </w:p>
              </w:tc>
              <w:tc>
                <w:tcPr>
                  <w:tcW w:w="1150" w:type="dxa"/>
                  <w:vAlign w:val="center"/>
                </w:tcPr>
                <w:p w:rsidR="00E15423" w:rsidRPr="0070083F" w:rsidRDefault="00E15423" w:rsidP="00E15423">
                  <w:pPr>
                    <w:pStyle w:val="naisf"/>
                    <w:spacing w:before="0" w:after="0"/>
                    <w:jc w:val="center"/>
                    <w:rPr>
                      <w:b/>
                      <w:i/>
                      <w:sz w:val="22"/>
                      <w:szCs w:val="22"/>
                    </w:rPr>
                  </w:pPr>
                  <w:r w:rsidRPr="0070083F">
                    <w:rPr>
                      <w:sz w:val="22"/>
                      <w:szCs w:val="22"/>
                    </w:rPr>
                    <w:t>izmaiņas, salīdzinot ar kārtējo (n) gadu</w:t>
                  </w:r>
                </w:p>
              </w:tc>
            </w:tr>
            <w:tr w:rsidR="00E15423" w:rsidRPr="005128C9" w:rsidTr="00E4612D">
              <w:trPr>
                <w:jc w:val="center"/>
              </w:trPr>
              <w:tc>
                <w:tcPr>
                  <w:tcW w:w="3199" w:type="dxa"/>
                  <w:vAlign w:val="center"/>
                </w:tcPr>
                <w:p w:rsidR="00E15423" w:rsidRPr="0070083F" w:rsidRDefault="00E15423" w:rsidP="00E15423">
                  <w:pPr>
                    <w:pStyle w:val="naisf"/>
                    <w:spacing w:before="0" w:after="0"/>
                    <w:jc w:val="center"/>
                    <w:rPr>
                      <w:bCs/>
                      <w:sz w:val="22"/>
                      <w:szCs w:val="22"/>
                    </w:rPr>
                  </w:pPr>
                  <w:r w:rsidRPr="0070083F">
                    <w:rPr>
                      <w:bCs/>
                      <w:sz w:val="22"/>
                      <w:szCs w:val="22"/>
                    </w:rPr>
                    <w:t>1</w:t>
                  </w:r>
                </w:p>
              </w:tc>
              <w:tc>
                <w:tcPr>
                  <w:tcW w:w="1276" w:type="dxa"/>
                  <w:vAlign w:val="center"/>
                </w:tcPr>
                <w:p w:rsidR="00E15423" w:rsidRPr="0070083F" w:rsidRDefault="00E15423" w:rsidP="00E15423">
                  <w:pPr>
                    <w:pStyle w:val="naisf"/>
                    <w:spacing w:before="0" w:after="0"/>
                    <w:jc w:val="center"/>
                    <w:rPr>
                      <w:bCs/>
                      <w:sz w:val="22"/>
                      <w:szCs w:val="22"/>
                    </w:rPr>
                  </w:pPr>
                  <w:r w:rsidRPr="0070083F">
                    <w:rPr>
                      <w:bCs/>
                      <w:sz w:val="22"/>
                      <w:szCs w:val="22"/>
                    </w:rPr>
                    <w:t>2</w:t>
                  </w:r>
                </w:p>
              </w:tc>
              <w:tc>
                <w:tcPr>
                  <w:tcW w:w="1287" w:type="dxa"/>
                  <w:vAlign w:val="center"/>
                </w:tcPr>
                <w:p w:rsidR="00E15423" w:rsidRPr="0070083F" w:rsidRDefault="00E15423" w:rsidP="00E15423">
                  <w:pPr>
                    <w:pStyle w:val="naisf"/>
                    <w:spacing w:before="0" w:after="0"/>
                    <w:jc w:val="center"/>
                    <w:rPr>
                      <w:bCs/>
                      <w:sz w:val="22"/>
                      <w:szCs w:val="22"/>
                    </w:rPr>
                  </w:pPr>
                  <w:r w:rsidRPr="0070083F">
                    <w:rPr>
                      <w:bCs/>
                      <w:sz w:val="22"/>
                      <w:szCs w:val="22"/>
                    </w:rPr>
                    <w:t>3</w:t>
                  </w:r>
                </w:p>
              </w:tc>
              <w:tc>
                <w:tcPr>
                  <w:tcW w:w="1150" w:type="dxa"/>
                  <w:vAlign w:val="center"/>
                </w:tcPr>
                <w:p w:rsidR="00E15423" w:rsidRPr="0070083F" w:rsidRDefault="00E15423" w:rsidP="00E15423">
                  <w:pPr>
                    <w:pStyle w:val="naisf"/>
                    <w:spacing w:before="0" w:after="0"/>
                    <w:jc w:val="center"/>
                    <w:rPr>
                      <w:bCs/>
                      <w:sz w:val="22"/>
                      <w:szCs w:val="22"/>
                    </w:rPr>
                  </w:pPr>
                  <w:r w:rsidRPr="0070083F">
                    <w:rPr>
                      <w:bCs/>
                      <w:sz w:val="22"/>
                      <w:szCs w:val="22"/>
                    </w:rPr>
                    <w:t>4</w:t>
                  </w:r>
                </w:p>
              </w:tc>
              <w:tc>
                <w:tcPr>
                  <w:tcW w:w="1195" w:type="dxa"/>
                  <w:vAlign w:val="center"/>
                </w:tcPr>
                <w:p w:rsidR="00E15423" w:rsidRPr="0070083F" w:rsidRDefault="00E15423" w:rsidP="00E15423">
                  <w:pPr>
                    <w:pStyle w:val="naisf"/>
                    <w:spacing w:before="0" w:after="0"/>
                    <w:jc w:val="center"/>
                    <w:rPr>
                      <w:bCs/>
                      <w:sz w:val="22"/>
                      <w:szCs w:val="22"/>
                    </w:rPr>
                  </w:pPr>
                  <w:r w:rsidRPr="0070083F">
                    <w:rPr>
                      <w:bCs/>
                      <w:sz w:val="22"/>
                      <w:szCs w:val="22"/>
                    </w:rPr>
                    <w:t>5</w:t>
                  </w:r>
                </w:p>
              </w:tc>
              <w:tc>
                <w:tcPr>
                  <w:tcW w:w="1150" w:type="dxa"/>
                  <w:vAlign w:val="center"/>
                </w:tcPr>
                <w:p w:rsidR="00E15423" w:rsidRPr="0070083F" w:rsidRDefault="00E15423" w:rsidP="00E15423">
                  <w:pPr>
                    <w:pStyle w:val="naisf"/>
                    <w:spacing w:before="0" w:after="0"/>
                    <w:jc w:val="center"/>
                    <w:rPr>
                      <w:bCs/>
                      <w:sz w:val="22"/>
                      <w:szCs w:val="22"/>
                    </w:rPr>
                  </w:pPr>
                  <w:r w:rsidRPr="0070083F">
                    <w:rPr>
                      <w:bCs/>
                      <w:sz w:val="22"/>
                      <w:szCs w:val="22"/>
                    </w:rPr>
                    <w:t>6</w:t>
                  </w:r>
                </w:p>
              </w:tc>
            </w:tr>
            <w:tr w:rsidR="00E15423" w:rsidRPr="005128C9" w:rsidTr="00E4612D">
              <w:trPr>
                <w:jc w:val="center"/>
              </w:trPr>
              <w:tc>
                <w:tcPr>
                  <w:tcW w:w="3199" w:type="dxa"/>
                </w:tcPr>
                <w:p w:rsidR="00E15423" w:rsidRPr="0070083F" w:rsidRDefault="00E15423" w:rsidP="00E15423">
                  <w:pPr>
                    <w:pStyle w:val="naisf"/>
                    <w:spacing w:before="0" w:after="0"/>
                    <w:rPr>
                      <w:i/>
                      <w:sz w:val="22"/>
                      <w:szCs w:val="22"/>
                    </w:rPr>
                  </w:pPr>
                  <w:r w:rsidRPr="0070083F">
                    <w:rPr>
                      <w:sz w:val="22"/>
                      <w:szCs w:val="22"/>
                    </w:rPr>
                    <w:t>1. Budžeta ieņēmumi:</w:t>
                  </w:r>
                </w:p>
              </w:tc>
              <w:tc>
                <w:tcPr>
                  <w:tcW w:w="1276" w:type="dxa"/>
                </w:tcPr>
                <w:p w:rsidR="00E15423" w:rsidRPr="0070083F" w:rsidRDefault="00E15423" w:rsidP="00E15423">
                  <w:pPr>
                    <w:pStyle w:val="naisf"/>
                    <w:spacing w:before="0" w:after="0"/>
                    <w:jc w:val="center"/>
                    <w:rPr>
                      <w:sz w:val="22"/>
                      <w:szCs w:val="22"/>
                    </w:rPr>
                  </w:pPr>
                  <w:r w:rsidRPr="0070083F">
                    <w:rPr>
                      <w:sz w:val="22"/>
                      <w:szCs w:val="22"/>
                    </w:rPr>
                    <w:t>0</w:t>
                  </w: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95"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r>
            <w:tr w:rsidR="00E15423" w:rsidRPr="005128C9" w:rsidTr="00E4612D">
              <w:trPr>
                <w:jc w:val="center"/>
              </w:trPr>
              <w:tc>
                <w:tcPr>
                  <w:tcW w:w="3199" w:type="dxa"/>
                </w:tcPr>
                <w:p w:rsidR="00E15423" w:rsidRPr="0070083F" w:rsidRDefault="00E15423" w:rsidP="00E15423">
                  <w:pPr>
                    <w:pStyle w:val="naisf"/>
                    <w:spacing w:before="0" w:after="0"/>
                    <w:rPr>
                      <w:i/>
                      <w:sz w:val="22"/>
                      <w:szCs w:val="22"/>
                    </w:rPr>
                  </w:pPr>
                  <w:r w:rsidRPr="0070083F">
                    <w:rPr>
                      <w:sz w:val="22"/>
                      <w:szCs w:val="22"/>
                    </w:rPr>
                    <w:t>1.1. valsts pamatbudžets, tai skaitā ieņēmumi no maksas pakalpojumiem un citi pašu ieņēmumi</w:t>
                  </w:r>
                </w:p>
              </w:tc>
              <w:tc>
                <w:tcPr>
                  <w:tcW w:w="1276" w:type="dxa"/>
                </w:tcPr>
                <w:p w:rsidR="00E15423" w:rsidRPr="0070083F" w:rsidRDefault="00E15423" w:rsidP="00E15423">
                  <w:pPr>
                    <w:pStyle w:val="naisf"/>
                    <w:spacing w:before="0" w:after="0"/>
                    <w:jc w:val="center"/>
                    <w:rPr>
                      <w:sz w:val="22"/>
                      <w:szCs w:val="22"/>
                    </w:rPr>
                  </w:pPr>
                  <w:r w:rsidRPr="0070083F">
                    <w:rPr>
                      <w:sz w:val="22"/>
                      <w:szCs w:val="22"/>
                    </w:rPr>
                    <w:t>0</w:t>
                  </w: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95"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r>
            <w:tr w:rsidR="00E15423" w:rsidRPr="005128C9" w:rsidTr="00E4612D">
              <w:trPr>
                <w:jc w:val="center"/>
              </w:trPr>
              <w:tc>
                <w:tcPr>
                  <w:tcW w:w="3199" w:type="dxa"/>
                </w:tcPr>
                <w:p w:rsidR="00E15423" w:rsidRPr="0070083F" w:rsidRDefault="00E15423" w:rsidP="00E15423">
                  <w:pPr>
                    <w:pStyle w:val="naisf"/>
                    <w:spacing w:before="0" w:after="0"/>
                    <w:rPr>
                      <w:i/>
                      <w:sz w:val="22"/>
                      <w:szCs w:val="22"/>
                    </w:rPr>
                  </w:pPr>
                  <w:r w:rsidRPr="0070083F">
                    <w:rPr>
                      <w:sz w:val="22"/>
                      <w:szCs w:val="22"/>
                    </w:rPr>
                    <w:t>1.2. valsts speciālais budžets</w:t>
                  </w:r>
                </w:p>
              </w:tc>
              <w:tc>
                <w:tcPr>
                  <w:tcW w:w="1276" w:type="dxa"/>
                </w:tcPr>
                <w:p w:rsidR="00E15423" w:rsidRPr="0070083F" w:rsidRDefault="00E15423" w:rsidP="00E15423">
                  <w:pPr>
                    <w:pStyle w:val="naisf"/>
                    <w:spacing w:before="0" w:after="0"/>
                    <w:jc w:val="center"/>
                    <w:rPr>
                      <w:sz w:val="22"/>
                      <w:szCs w:val="22"/>
                    </w:rPr>
                  </w:pPr>
                  <w:r w:rsidRPr="0070083F">
                    <w:rPr>
                      <w:sz w:val="22"/>
                      <w:szCs w:val="22"/>
                    </w:rPr>
                    <w:t>0</w:t>
                  </w: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95"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r>
            <w:tr w:rsidR="00E15423" w:rsidRPr="005128C9" w:rsidTr="00E4612D">
              <w:trPr>
                <w:jc w:val="center"/>
              </w:trPr>
              <w:tc>
                <w:tcPr>
                  <w:tcW w:w="3199" w:type="dxa"/>
                </w:tcPr>
                <w:p w:rsidR="00E15423" w:rsidRPr="0070083F" w:rsidRDefault="00E15423" w:rsidP="00E15423">
                  <w:pPr>
                    <w:pStyle w:val="naisf"/>
                    <w:spacing w:before="0" w:after="0"/>
                    <w:rPr>
                      <w:i/>
                      <w:sz w:val="22"/>
                      <w:szCs w:val="22"/>
                    </w:rPr>
                  </w:pPr>
                  <w:r w:rsidRPr="0070083F">
                    <w:rPr>
                      <w:sz w:val="22"/>
                      <w:szCs w:val="22"/>
                    </w:rPr>
                    <w:t>1.3. pašvaldību budžets</w:t>
                  </w:r>
                </w:p>
              </w:tc>
              <w:tc>
                <w:tcPr>
                  <w:tcW w:w="1276" w:type="dxa"/>
                </w:tcPr>
                <w:p w:rsidR="00E15423" w:rsidRPr="0070083F" w:rsidRDefault="00E15423" w:rsidP="00E15423">
                  <w:pPr>
                    <w:pStyle w:val="naisf"/>
                    <w:spacing w:before="0" w:after="0"/>
                    <w:jc w:val="center"/>
                    <w:rPr>
                      <w:sz w:val="22"/>
                      <w:szCs w:val="22"/>
                    </w:rPr>
                  </w:pPr>
                  <w:r w:rsidRPr="0070083F">
                    <w:rPr>
                      <w:sz w:val="22"/>
                      <w:szCs w:val="22"/>
                    </w:rPr>
                    <w:t>0</w:t>
                  </w: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95"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r>
            <w:tr w:rsidR="00E15423" w:rsidRPr="005128C9" w:rsidTr="00E4612D">
              <w:trPr>
                <w:jc w:val="center"/>
              </w:trPr>
              <w:tc>
                <w:tcPr>
                  <w:tcW w:w="3199" w:type="dxa"/>
                </w:tcPr>
                <w:p w:rsidR="00E15423" w:rsidRPr="0070083F" w:rsidRDefault="00E15423" w:rsidP="00E15423">
                  <w:r w:rsidRPr="0070083F">
                    <w:t>2. Budžeta izdevumi:</w:t>
                  </w:r>
                </w:p>
              </w:tc>
              <w:tc>
                <w:tcPr>
                  <w:tcW w:w="1276" w:type="dxa"/>
                </w:tcPr>
                <w:p w:rsidR="00E15423" w:rsidRPr="0070083F" w:rsidRDefault="00E15423" w:rsidP="00E15423">
                  <w:pPr>
                    <w:pStyle w:val="naisf"/>
                    <w:spacing w:before="0" w:after="0"/>
                    <w:jc w:val="center"/>
                    <w:rPr>
                      <w:sz w:val="22"/>
                      <w:szCs w:val="22"/>
                    </w:rPr>
                  </w:pPr>
                  <w:r w:rsidRPr="0070083F">
                    <w:rPr>
                      <w:sz w:val="22"/>
                      <w:szCs w:val="22"/>
                    </w:rPr>
                    <w:t>0</w:t>
                  </w: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Pr>
                      <w:sz w:val="22"/>
                      <w:szCs w:val="22"/>
                    </w:rPr>
                    <w:t>350 677</w:t>
                  </w:r>
                </w:p>
              </w:tc>
              <w:tc>
                <w:tcPr>
                  <w:tcW w:w="1195" w:type="dxa"/>
                </w:tcPr>
                <w:p w:rsidR="00E15423" w:rsidRPr="0070083F" w:rsidRDefault="00E15423" w:rsidP="00E15423">
                  <w:pPr>
                    <w:pStyle w:val="naisf"/>
                    <w:spacing w:before="0" w:after="0"/>
                    <w:jc w:val="center"/>
                    <w:rPr>
                      <w:sz w:val="22"/>
                      <w:szCs w:val="22"/>
                    </w:rPr>
                  </w:pPr>
                  <w:r>
                    <w:rPr>
                      <w:sz w:val="22"/>
                      <w:szCs w:val="22"/>
                    </w:rPr>
                    <w:t>212 295</w:t>
                  </w:r>
                </w:p>
              </w:tc>
              <w:tc>
                <w:tcPr>
                  <w:tcW w:w="1150" w:type="dxa"/>
                </w:tcPr>
                <w:p w:rsidR="00E15423" w:rsidRPr="0070083F" w:rsidRDefault="00E15423" w:rsidP="00E15423">
                  <w:pPr>
                    <w:pStyle w:val="naisf"/>
                    <w:spacing w:before="0" w:after="0"/>
                    <w:jc w:val="center"/>
                    <w:rPr>
                      <w:sz w:val="22"/>
                      <w:szCs w:val="22"/>
                    </w:rPr>
                  </w:pPr>
                  <w:r>
                    <w:rPr>
                      <w:sz w:val="22"/>
                      <w:szCs w:val="22"/>
                    </w:rPr>
                    <w:t>207 295</w:t>
                  </w:r>
                </w:p>
              </w:tc>
            </w:tr>
            <w:tr w:rsidR="00E15423" w:rsidRPr="005128C9" w:rsidTr="00E4612D">
              <w:trPr>
                <w:jc w:val="center"/>
              </w:trPr>
              <w:tc>
                <w:tcPr>
                  <w:tcW w:w="3199" w:type="dxa"/>
                </w:tcPr>
                <w:p w:rsidR="00E15423" w:rsidRPr="0070083F" w:rsidRDefault="00E15423" w:rsidP="00E15423">
                  <w:r w:rsidRPr="0070083F">
                    <w:t>2.1. valsts pamatbudžets</w:t>
                  </w:r>
                </w:p>
              </w:tc>
              <w:tc>
                <w:tcPr>
                  <w:tcW w:w="1276" w:type="dxa"/>
                </w:tcPr>
                <w:p w:rsidR="00E15423" w:rsidRPr="0070083F" w:rsidRDefault="00E15423" w:rsidP="00E15423">
                  <w:pPr>
                    <w:pStyle w:val="naisf"/>
                    <w:spacing w:before="0" w:after="0"/>
                    <w:jc w:val="center"/>
                    <w:rPr>
                      <w:sz w:val="22"/>
                      <w:szCs w:val="22"/>
                    </w:rPr>
                  </w:pPr>
                  <w:r w:rsidRPr="0070083F">
                    <w:rPr>
                      <w:sz w:val="22"/>
                      <w:szCs w:val="22"/>
                    </w:rPr>
                    <w:t>0</w:t>
                  </w: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Pr>
                      <w:sz w:val="22"/>
                      <w:szCs w:val="22"/>
                    </w:rPr>
                    <w:t>350 677</w:t>
                  </w:r>
                </w:p>
              </w:tc>
              <w:tc>
                <w:tcPr>
                  <w:tcW w:w="1195" w:type="dxa"/>
                </w:tcPr>
                <w:p w:rsidR="00E15423" w:rsidRPr="0070083F" w:rsidRDefault="00E15423" w:rsidP="00E15423">
                  <w:pPr>
                    <w:pStyle w:val="naisf"/>
                    <w:spacing w:before="0" w:after="0"/>
                    <w:jc w:val="center"/>
                    <w:rPr>
                      <w:sz w:val="22"/>
                      <w:szCs w:val="22"/>
                    </w:rPr>
                  </w:pPr>
                  <w:r>
                    <w:rPr>
                      <w:sz w:val="22"/>
                      <w:szCs w:val="22"/>
                    </w:rPr>
                    <w:t>212 295</w:t>
                  </w:r>
                </w:p>
              </w:tc>
              <w:tc>
                <w:tcPr>
                  <w:tcW w:w="1150" w:type="dxa"/>
                </w:tcPr>
                <w:p w:rsidR="00E15423" w:rsidRPr="0070083F" w:rsidRDefault="00E15423" w:rsidP="00E15423">
                  <w:pPr>
                    <w:pStyle w:val="naisf"/>
                    <w:spacing w:before="0" w:after="0"/>
                    <w:jc w:val="center"/>
                    <w:rPr>
                      <w:sz w:val="22"/>
                      <w:szCs w:val="22"/>
                    </w:rPr>
                  </w:pPr>
                  <w:r>
                    <w:rPr>
                      <w:sz w:val="22"/>
                      <w:szCs w:val="22"/>
                    </w:rPr>
                    <w:t>207 295</w:t>
                  </w:r>
                </w:p>
              </w:tc>
            </w:tr>
            <w:tr w:rsidR="00E15423" w:rsidRPr="005128C9" w:rsidTr="00E4612D">
              <w:trPr>
                <w:jc w:val="center"/>
              </w:trPr>
              <w:tc>
                <w:tcPr>
                  <w:tcW w:w="3199" w:type="dxa"/>
                </w:tcPr>
                <w:p w:rsidR="00E15423" w:rsidRPr="0070083F" w:rsidRDefault="00E15423" w:rsidP="00E15423">
                  <w:r w:rsidRPr="0070083F">
                    <w:t>2.2. valsts speciālais budžets</w:t>
                  </w:r>
                </w:p>
              </w:tc>
              <w:tc>
                <w:tcPr>
                  <w:tcW w:w="1276" w:type="dxa"/>
                </w:tcPr>
                <w:p w:rsidR="00E15423" w:rsidRPr="0070083F" w:rsidRDefault="00E15423" w:rsidP="00E15423">
                  <w:pPr>
                    <w:pStyle w:val="naisf"/>
                    <w:spacing w:before="0" w:after="0"/>
                    <w:jc w:val="center"/>
                    <w:rPr>
                      <w:sz w:val="22"/>
                      <w:szCs w:val="22"/>
                    </w:rPr>
                  </w:pPr>
                  <w:r w:rsidRPr="0070083F">
                    <w:rPr>
                      <w:sz w:val="22"/>
                      <w:szCs w:val="22"/>
                    </w:rPr>
                    <w:t>0</w:t>
                  </w: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95"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r>
            <w:tr w:rsidR="00E15423" w:rsidRPr="005128C9" w:rsidTr="00E4612D">
              <w:trPr>
                <w:jc w:val="center"/>
              </w:trPr>
              <w:tc>
                <w:tcPr>
                  <w:tcW w:w="3199" w:type="dxa"/>
                </w:tcPr>
                <w:p w:rsidR="00E15423" w:rsidRPr="0070083F" w:rsidRDefault="00E15423" w:rsidP="00E15423">
                  <w:r w:rsidRPr="0070083F">
                    <w:t xml:space="preserve">2.3. pašvaldību budžets </w:t>
                  </w:r>
                </w:p>
              </w:tc>
              <w:tc>
                <w:tcPr>
                  <w:tcW w:w="1276" w:type="dxa"/>
                </w:tcPr>
                <w:p w:rsidR="00E15423" w:rsidRPr="0070083F" w:rsidRDefault="00E15423" w:rsidP="00E15423">
                  <w:pPr>
                    <w:pStyle w:val="naisf"/>
                    <w:spacing w:before="0" w:after="0"/>
                    <w:jc w:val="center"/>
                    <w:rPr>
                      <w:sz w:val="22"/>
                      <w:szCs w:val="22"/>
                    </w:rPr>
                  </w:pPr>
                  <w:r w:rsidRPr="0070083F">
                    <w:rPr>
                      <w:sz w:val="22"/>
                      <w:szCs w:val="22"/>
                    </w:rPr>
                    <w:t>0</w:t>
                  </w: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95"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r>
            <w:tr w:rsidR="00E15423" w:rsidRPr="005128C9" w:rsidTr="00E4612D">
              <w:trPr>
                <w:jc w:val="center"/>
              </w:trPr>
              <w:tc>
                <w:tcPr>
                  <w:tcW w:w="3199" w:type="dxa"/>
                </w:tcPr>
                <w:p w:rsidR="00E15423" w:rsidRPr="0070083F" w:rsidRDefault="00E15423" w:rsidP="00E15423">
                  <w:r w:rsidRPr="0070083F">
                    <w:lastRenderedPageBreak/>
                    <w:t>3. Finansiālā ietekme:</w:t>
                  </w:r>
                </w:p>
              </w:tc>
              <w:tc>
                <w:tcPr>
                  <w:tcW w:w="1276" w:type="dxa"/>
                  <w:shd w:val="clear" w:color="auto" w:fill="auto"/>
                  <w:vAlign w:val="center"/>
                </w:tcPr>
                <w:p w:rsidR="00E15423" w:rsidRPr="0070083F" w:rsidRDefault="00E15423" w:rsidP="00E15423">
                  <w:pPr>
                    <w:pStyle w:val="naisf"/>
                    <w:spacing w:before="0" w:after="0"/>
                    <w:jc w:val="center"/>
                    <w:rPr>
                      <w:sz w:val="22"/>
                      <w:szCs w:val="22"/>
                    </w:rPr>
                  </w:pPr>
                  <w:r w:rsidRPr="0070083F">
                    <w:rPr>
                      <w:sz w:val="22"/>
                      <w:szCs w:val="22"/>
                    </w:rPr>
                    <w:t>0</w:t>
                  </w: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w:t>
                  </w:r>
                  <w:r>
                    <w:rPr>
                      <w:sz w:val="22"/>
                      <w:szCs w:val="22"/>
                    </w:rPr>
                    <w:t>350 677</w:t>
                  </w:r>
                </w:p>
              </w:tc>
              <w:tc>
                <w:tcPr>
                  <w:tcW w:w="1195" w:type="dxa"/>
                </w:tcPr>
                <w:p w:rsidR="00E15423" w:rsidRPr="0070083F" w:rsidRDefault="00E15423" w:rsidP="00E15423">
                  <w:pPr>
                    <w:pStyle w:val="naisf"/>
                    <w:spacing w:before="0" w:after="0"/>
                    <w:jc w:val="center"/>
                    <w:rPr>
                      <w:sz w:val="22"/>
                      <w:szCs w:val="22"/>
                    </w:rPr>
                  </w:pPr>
                  <w:r>
                    <w:rPr>
                      <w:sz w:val="22"/>
                      <w:szCs w:val="22"/>
                    </w:rPr>
                    <w:t>-212 295</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w:t>
                  </w:r>
                  <w:r>
                    <w:rPr>
                      <w:sz w:val="22"/>
                      <w:szCs w:val="22"/>
                    </w:rPr>
                    <w:t>207 295</w:t>
                  </w:r>
                </w:p>
              </w:tc>
            </w:tr>
            <w:tr w:rsidR="00E15423" w:rsidRPr="005128C9" w:rsidTr="00E4612D">
              <w:trPr>
                <w:jc w:val="center"/>
              </w:trPr>
              <w:tc>
                <w:tcPr>
                  <w:tcW w:w="3199" w:type="dxa"/>
                </w:tcPr>
                <w:p w:rsidR="00E15423" w:rsidRPr="0070083F" w:rsidRDefault="00E15423" w:rsidP="00E15423">
                  <w:r w:rsidRPr="0070083F">
                    <w:t>3.1. valsts pamatbudžets</w:t>
                  </w:r>
                </w:p>
              </w:tc>
              <w:tc>
                <w:tcPr>
                  <w:tcW w:w="1276" w:type="dxa"/>
                  <w:shd w:val="clear" w:color="auto" w:fill="auto"/>
                </w:tcPr>
                <w:p w:rsidR="00E15423" w:rsidRPr="0070083F" w:rsidRDefault="00E15423" w:rsidP="00E15423">
                  <w:pPr>
                    <w:pStyle w:val="naisf"/>
                    <w:spacing w:before="0" w:after="0"/>
                    <w:jc w:val="center"/>
                    <w:rPr>
                      <w:sz w:val="22"/>
                      <w:szCs w:val="22"/>
                    </w:rPr>
                  </w:pPr>
                  <w:r w:rsidRPr="0070083F">
                    <w:rPr>
                      <w:sz w:val="22"/>
                      <w:szCs w:val="22"/>
                    </w:rPr>
                    <w:t>0</w:t>
                  </w: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w:t>
                  </w:r>
                  <w:r>
                    <w:rPr>
                      <w:sz w:val="22"/>
                      <w:szCs w:val="22"/>
                    </w:rPr>
                    <w:t>350 677</w:t>
                  </w:r>
                </w:p>
              </w:tc>
              <w:tc>
                <w:tcPr>
                  <w:tcW w:w="1195" w:type="dxa"/>
                </w:tcPr>
                <w:p w:rsidR="00E15423" w:rsidRPr="0070083F" w:rsidRDefault="00E15423" w:rsidP="00E15423">
                  <w:pPr>
                    <w:pStyle w:val="naisf"/>
                    <w:spacing w:before="0" w:after="0"/>
                    <w:jc w:val="center"/>
                    <w:rPr>
                      <w:sz w:val="22"/>
                      <w:szCs w:val="22"/>
                    </w:rPr>
                  </w:pPr>
                  <w:r>
                    <w:rPr>
                      <w:sz w:val="22"/>
                      <w:szCs w:val="22"/>
                    </w:rPr>
                    <w:t>-212 295</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w:t>
                  </w:r>
                  <w:r>
                    <w:rPr>
                      <w:sz w:val="22"/>
                      <w:szCs w:val="22"/>
                    </w:rPr>
                    <w:t>207 295</w:t>
                  </w:r>
                </w:p>
              </w:tc>
            </w:tr>
            <w:tr w:rsidR="00E15423" w:rsidRPr="005128C9" w:rsidTr="00E4612D">
              <w:trPr>
                <w:jc w:val="center"/>
              </w:trPr>
              <w:tc>
                <w:tcPr>
                  <w:tcW w:w="3199" w:type="dxa"/>
                </w:tcPr>
                <w:p w:rsidR="00E15423" w:rsidRPr="0070083F" w:rsidRDefault="00E15423" w:rsidP="00E15423">
                  <w:r w:rsidRPr="0070083F">
                    <w:t>3.2. speciālais budžets</w:t>
                  </w:r>
                </w:p>
              </w:tc>
              <w:tc>
                <w:tcPr>
                  <w:tcW w:w="1276" w:type="dxa"/>
                  <w:shd w:val="clear" w:color="auto" w:fill="auto"/>
                </w:tcPr>
                <w:p w:rsidR="00E15423" w:rsidRPr="0070083F" w:rsidRDefault="00E15423" w:rsidP="00E15423">
                  <w:pPr>
                    <w:pStyle w:val="naisf"/>
                    <w:spacing w:before="0" w:after="0"/>
                    <w:jc w:val="center"/>
                    <w:rPr>
                      <w:sz w:val="22"/>
                      <w:szCs w:val="22"/>
                    </w:rPr>
                  </w:pPr>
                  <w:r w:rsidRPr="0070083F">
                    <w:rPr>
                      <w:sz w:val="22"/>
                      <w:szCs w:val="22"/>
                    </w:rPr>
                    <w:t>0</w:t>
                  </w: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95"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r>
            <w:tr w:rsidR="00E15423" w:rsidRPr="005128C9" w:rsidTr="00E4612D">
              <w:trPr>
                <w:jc w:val="center"/>
              </w:trPr>
              <w:tc>
                <w:tcPr>
                  <w:tcW w:w="3199" w:type="dxa"/>
                </w:tcPr>
                <w:p w:rsidR="00E15423" w:rsidRPr="0070083F" w:rsidRDefault="00E15423" w:rsidP="00E15423">
                  <w:r w:rsidRPr="0070083F">
                    <w:t xml:space="preserve">3.3. pašvaldību budžets </w:t>
                  </w:r>
                </w:p>
              </w:tc>
              <w:tc>
                <w:tcPr>
                  <w:tcW w:w="1276" w:type="dxa"/>
                  <w:shd w:val="clear" w:color="auto" w:fill="auto"/>
                </w:tcPr>
                <w:p w:rsidR="00E15423" w:rsidRPr="0070083F" w:rsidRDefault="00E15423" w:rsidP="00E15423">
                  <w:pPr>
                    <w:pStyle w:val="naisf"/>
                    <w:spacing w:before="0" w:after="0"/>
                    <w:jc w:val="center"/>
                    <w:rPr>
                      <w:sz w:val="22"/>
                      <w:szCs w:val="22"/>
                    </w:rPr>
                  </w:pPr>
                  <w:r w:rsidRPr="0070083F">
                    <w:rPr>
                      <w:sz w:val="22"/>
                      <w:szCs w:val="22"/>
                    </w:rPr>
                    <w:t>0</w:t>
                  </w: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95"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r>
            <w:tr w:rsidR="00E15423" w:rsidRPr="005128C9" w:rsidTr="00E4612D">
              <w:trPr>
                <w:jc w:val="center"/>
              </w:trPr>
              <w:tc>
                <w:tcPr>
                  <w:tcW w:w="3199" w:type="dxa"/>
                  <w:vMerge w:val="restart"/>
                </w:tcPr>
                <w:p w:rsidR="00E15423" w:rsidRPr="0070083F" w:rsidRDefault="00E15423" w:rsidP="00E15423">
                  <w:r w:rsidRPr="0070083F">
                    <w:t>4. Finanšu līdzekļi papildu izdevumu finansēšanai (kompensējošu izdevumu samazinājumu norāda ar "+" zīmi)</w:t>
                  </w:r>
                </w:p>
              </w:tc>
              <w:tc>
                <w:tcPr>
                  <w:tcW w:w="1276" w:type="dxa"/>
                  <w:vMerge w:val="restart"/>
                </w:tcPr>
                <w:p w:rsidR="00E15423" w:rsidRPr="0070083F" w:rsidRDefault="00E15423" w:rsidP="00E15423">
                  <w:pPr>
                    <w:pStyle w:val="naisf"/>
                    <w:spacing w:before="0" w:after="0"/>
                    <w:jc w:val="center"/>
                    <w:rPr>
                      <w:i/>
                      <w:sz w:val="22"/>
                      <w:szCs w:val="22"/>
                    </w:rPr>
                  </w:pPr>
                  <w:r w:rsidRPr="0070083F">
                    <w:rPr>
                      <w:sz w:val="22"/>
                      <w:szCs w:val="22"/>
                    </w:rPr>
                    <w:t>X</w:t>
                  </w: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95"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r>
            <w:tr w:rsidR="00E15423" w:rsidRPr="005128C9" w:rsidTr="00E4612D">
              <w:trPr>
                <w:jc w:val="center"/>
              </w:trPr>
              <w:tc>
                <w:tcPr>
                  <w:tcW w:w="3199" w:type="dxa"/>
                  <w:vMerge/>
                </w:tcPr>
                <w:p w:rsidR="00E15423" w:rsidRPr="0070083F" w:rsidRDefault="00E15423" w:rsidP="00E15423"/>
              </w:tc>
              <w:tc>
                <w:tcPr>
                  <w:tcW w:w="1276" w:type="dxa"/>
                  <w:vMerge/>
                </w:tcPr>
                <w:p w:rsidR="00E15423" w:rsidRPr="0070083F" w:rsidRDefault="00E15423" w:rsidP="00E15423">
                  <w:pPr>
                    <w:pStyle w:val="naisf"/>
                    <w:spacing w:before="0" w:after="0"/>
                    <w:jc w:val="center"/>
                    <w:rPr>
                      <w:i/>
                      <w:sz w:val="22"/>
                      <w:szCs w:val="22"/>
                    </w:rPr>
                  </w:pP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95"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r>
            <w:tr w:rsidR="00E15423" w:rsidRPr="005128C9" w:rsidTr="00E4612D">
              <w:trPr>
                <w:jc w:val="center"/>
              </w:trPr>
              <w:tc>
                <w:tcPr>
                  <w:tcW w:w="3199" w:type="dxa"/>
                  <w:vMerge/>
                </w:tcPr>
                <w:p w:rsidR="00E15423" w:rsidRPr="0070083F" w:rsidRDefault="00E15423" w:rsidP="00E15423"/>
              </w:tc>
              <w:tc>
                <w:tcPr>
                  <w:tcW w:w="1276" w:type="dxa"/>
                  <w:vMerge/>
                </w:tcPr>
                <w:p w:rsidR="00E15423" w:rsidRPr="0070083F" w:rsidRDefault="00E15423" w:rsidP="00E15423">
                  <w:pPr>
                    <w:pStyle w:val="naisf"/>
                    <w:spacing w:before="0" w:after="0"/>
                    <w:jc w:val="center"/>
                    <w:rPr>
                      <w:i/>
                      <w:sz w:val="22"/>
                      <w:szCs w:val="22"/>
                    </w:rPr>
                  </w:pP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95"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r>
            <w:tr w:rsidR="00E15423" w:rsidRPr="005128C9" w:rsidTr="00E4612D">
              <w:trPr>
                <w:jc w:val="center"/>
              </w:trPr>
              <w:tc>
                <w:tcPr>
                  <w:tcW w:w="3199" w:type="dxa"/>
                </w:tcPr>
                <w:p w:rsidR="00E15423" w:rsidRPr="0070083F" w:rsidRDefault="00E15423" w:rsidP="00E15423">
                  <w:r w:rsidRPr="0070083F">
                    <w:t>5. Precizēta finansiālā ietekme:</w:t>
                  </w:r>
                </w:p>
              </w:tc>
              <w:tc>
                <w:tcPr>
                  <w:tcW w:w="1276" w:type="dxa"/>
                  <w:vMerge w:val="restart"/>
                </w:tcPr>
                <w:p w:rsidR="00E15423" w:rsidRPr="0070083F" w:rsidRDefault="00E15423" w:rsidP="00E15423">
                  <w:pPr>
                    <w:pStyle w:val="naisf"/>
                    <w:spacing w:before="0" w:after="0"/>
                    <w:jc w:val="center"/>
                    <w:rPr>
                      <w:i/>
                      <w:sz w:val="22"/>
                      <w:szCs w:val="22"/>
                    </w:rPr>
                  </w:pPr>
                  <w:r w:rsidRPr="0070083F">
                    <w:rPr>
                      <w:sz w:val="22"/>
                      <w:szCs w:val="22"/>
                    </w:rPr>
                    <w:t>X</w:t>
                  </w: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w:t>
                  </w:r>
                  <w:r>
                    <w:rPr>
                      <w:sz w:val="22"/>
                      <w:szCs w:val="22"/>
                    </w:rPr>
                    <w:t>350 677</w:t>
                  </w:r>
                </w:p>
              </w:tc>
              <w:tc>
                <w:tcPr>
                  <w:tcW w:w="1195" w:type="dxa"/>
                </w:tcPr>
                <w:p w:rsidR="00E15423" w:rsidRPr="0070083F" w:rsidRDefault="00E15423" w:rsidP="00E15423">
                  <w:pPr>
                    <w:pStyle w:val="naisf"/>
                    <w:spacing w:before="0" w:after="0"/>
                    <w:jc w:val="center"/>
                    <w:rPr>
                      <w:sz w:val="22"/>
                      <w:szCs w:val="22"/>
                    </w:rPr>
                  </w:pPr>
                  <w:r>
                    <w:rPr>
                      <w:sz w:val="22"/>
                      <w:szCs w:val="22"/>
                    </w:rPr>
                    <w:t>-212 295</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w:t>
                  </w:r>
                  <w:r>
                    <w:rPr>
                      <w:sz w:val="22"/>
                      <w:szCs w:val="22"/>
                    </w:rPr>
                    <w:t>207 295</w:t>
                  </w:r>
                </w:p>
              </w:tc>
            </w:tr>
            <w:tr w:rsidR="00E15423" w:rsidRPr="005128C9" w:rsidTr="00E4612D">
              <w:trPr>
                <w:jc w:val="center"/>
              </w:trPr>
              <w:tc>
                <w:tcPr>
                  <w:tcW w:w="3199" w:type="dxa"/>
                </w:tcPr>
                <w:p w:rsidR="00E15423" w:rsidRPr="0070083F" w:rsidRDefault="00E15423" w:rsidP="00E15423">
                  <w:r w:rsidRPr="0070083F">
                    <w:t>5.1. valsts pamatbudžets</w:t>
                  </w:r>
                </w:p>
              </w:tc>
              <w:tc>
                <w:tcPr>
                  <w:tcW w:w="1276" w:type="dxa"/>
                  <w:vMerge/>
                  <w:vAlign w:val="center"/>
                </w:tcPr>
                <w:p w:rsidR="00E15423" w:rsidRPr="0070083F" w:rsidRDefault="00E15423" w:rsidP="00E15423">
                  <w:pPr>
                    <w:pStyle w:val="naisf"/>
                    <w:spacing w:before="0" w:after="0"/>
                    <w:jc w:val="center"/>
                    <w:rPr>
                      <w:i/>
                      <w:sz w:val="22"/>
                      <w:szCs w:val="22"/>
                    </w:rPr>
                  </w:pP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w:t>
                  </w:r>
                  <w:r>
                    <w:rPr>
                      <w:sz w:val="22"/>
                      <w:szCs w:val="22"/>
                    </w:rPr>
                    <w:t>350 677</w:t>
                  </w:r>
                </w:p>
              </w:tc>
              <w:tc>
                <w:tcPr>
                  <w:tcW w:w="1195" w:type="dxa"/>
                </w:tcPr>
                <w:p w:rsidR="00E15423" w:rsidRPr="0070083F" w:rsidRDefault="00E15423" w:rsidP="00E15423">
                  <w:pPr>
                    <w:pStyle w:val="naisf"/>
                    <w:spacing w:before="0" w:after="0"/>
                    <w:jc w:val="center"/>
                    <w:rPr>
                      <w:sz w:val="22"/>
                      <w:szCs w:val="22"/>
                    </w:rPr>
                  </w:pPr>
                  <w:r>
                    <w:rPr>
                      <w:sz w:val="22"/>
                      <w:szCs w:val="22"/>
                    </w:rPr>
                    <w:t>-212 295</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w:t>
                  </w:r>
                  <w:r>
                    <w:rPr>
                      <w:sz w:val="22"/>
                      <w:szCs w:val="22"/>
                    </w:rPr>
                    <w:t>207 295</w:t>
                  </w:r>
                </w:p>
              </w:tc>
            </w:tr>
            <w:tr w:rsidR="00E15423" w:rsidRPr="005128C9" w:rsidTr="00E4612D">
              <w:trPr>
                <w:jc w:val="center"/>
              </w:trPr>
              <w:tc>
                <w:tcPr>
                  <w:tcW w:w="3199" w:type="dxa"/>
                </w:tcPr>
                <w:p w:rsidR="00E15423" w:rsidRPr="0070083F" w:rsidRDefault="00E15423" w:rsidP="00E15423">
                  <w:r w:rsidRPr="0070083F">
                    <w:t>5.2. speciālais budžets</w:t>
                  </w:r>
                </w:p>
              </w:tc>
              <w:tc>
                <w:tcPr>
                  <w:tcW w:w="1276" w:type="dxa"/>
                  <w:vMerge/>
                  <w:vAlign w:val="center"/>
                </w:tcPr>
                <w:p w:rsidR="00E15423" w:rsidRPr="0070083F" w:rsidRDefault="00E15423" w:rsidP="00E15423">
                  <w:pPr>
                    <w:pStyle w:val="naisf"/>
                    <w:spacing w:before="0" w:after="0"/>
                    <w:jc w:val="center"/>
                    <w:rPr>
                      <w:i/>
                      <w:sz w:val="22"/>
                      <w:szCs w:val="22"/>
                    </w:rPr>
                  </w:pP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95"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r>
            <w:tr w:rsidR="00E15423" w:rsidRPr="005128C9" w:rsidTr="00E4612D">
              <w:trPr>
                <w:jc w:val="center"/>
              </w:trPr>
              <w:tc>
                <w:tcPr>
                  <w:tcW w:w="3199" w:type="dxa"/>
                </w:tcPr>
                <w:p w:rsidR="00E15423" w:rsidRPr="0070083F" w:rsidRDefault="00E15423" w:rsidP="00E15423">
                  <w:r w:rsidRPr="0070083F">
                    <w:t xml:space="preserve">5.3. pašvaldību budžets </w:t>
                  </w:r>
                </w:p>
              </w:tc>
              <w:tc>
                <w:tcPr>
                  <w:tcW w:w="1276" w:type="dxa"/>
                  <w:vMerge/>
                  <w:vAlign w:val="center"/>
                </w:tcPr>
                <w:p w:rsidR="00E15423" w:rsidRPr="0070083F" w:rsidRDefault="00E15423" w:rsidP="00E15423">
                  <w:pPr>
                    <w:pStyle w:val="naisf"/>
                    <w:spacing w:before="0" w:after="0"/>
                    <w:jc w:val="center"/>
                    <w:rPr>
                      <w:i/>
                      <w:sz w:val="22"/>
                      <w:szCs w:val="22"/>
                    </w:rPr>
                  </w:pPr>
                </w:p>
              </w:tc>
              <w:tc>
                <w:tcPr>
                  <w:tcW w:w="1287"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95" w:type="dxa"/>
                </w:tcPr>
                <w:p w:rsidR="00E15423" w:rsidRPr="0070083F" w:rsidRDefault="00E15423" w:rsidP="00E15423">
                  <w:pPr>
                    <w:pStyle w:val="naisf"/>
                    <w:spacing w:before="0" w:after="0"/>
                    <w:jc w:val="center"/>
                    <w:rPr>
                      <w:sz w:val="22"/>
                      <w:szCs w:val="22"/>
                    </w:rPr>
                  </w:pPr>
                  <w:r w:rsidRPr="0070083F">
                    <w:rPr>
                      <w:sz w:val="22"/>
                      <w:szCs w:val="22"/>
                    </w:rPr>
                    <w:t>0</w:t>
                  </w:r>
                </w:p>
              </w:tc>
              <w:tc>
                <w:tcPr>
                  <w:tcW w:w="1150" w:type="dxa"/>
                </w:tcPr>
                <w:p w:rsidR="00E15423" w:rsidRPr="0070083F" w:rsidRDefault="00E15423" w:rsidP="00E15423">
                  <w:pPr>
                    <w:pStyle w:val="naisf"/>
                    <w:spacing w:before="0" w:after="0"/>
                    <w:jc w:val="center"/>
                    <w:rPr>
                      <w:sz w:val="22"/>
                      <w:szCs w:val="22"/>
                    </w:rPr>
                  </w:pPr>
                  <w:r w:rsidRPr="0070083F">
                    <w:rPr>
                      <w:sz w:val="22"/>
                      <w:szCs w:val="22"/>
                    </w:rPr>
                    <w:t>0</w:t>
                  </w:r>
                </w:p>
              </w:tc>
            </w:tr>
            <w:tr w:rsidR="00E15423" w:rsidRPr="005128C9" w:rsidTr="00E4612D">
              <w:trPr>
                <w:jc w:val="center"/>
              </w:trPr>
              <w:tc>
                <w:tcPr>
                  <w:tcW w:w="3199" w:type="dxa"/>
                </w:tcPr>
                <w:p w:rsidR="00E15423" w:rsidRPr="0070083F" w:rsidRDefault="00E15423" w:rsidP="00E15423">
                  <w:r w:rsidRPr="0070083F">
                    <w:t>6. Detalizēts ieņēmumu un izdevumu aprēķins (ja nepie</w:t>
                  </w:r>
                  <w:r w:rsidRPr="0070083F">
                    <w:softHyphen/>
                    <w:t>ciešams, detalizētu ieņēmumu un izdevumu aprēķinu var pie</w:t>
                  </w:r>
                  <w:r w:rsidRPr="0070083F">
                    <w:softHyphen/>
                    <w:t>vienot anotācijas pielikumā):</w:t>
                  </w:r>
                </w:p>
              </w:tc>
              <w:tc>
                <w:tcPr>
                  <w:tcW w:w="6058" w:type="dxa"/>
                  <w:gridSpan w:val="5"/>
                  <w:vMerge w:val="restart"/>
                  <w:vAlign w:val="center"/>
                </w:tcPr>
                <w:p w:rsidR="00E15423" w:rsidRPr="0070083F" w:rsidRDefault="00E15423" w:rsidP="00E15423">
                  <w:pPr>
                    <w:tabs>
                      <w:tab w:val="left" w:pos="567"/>
                    </w:tabs>
                    <w:jc w:val="both"/>
                    <w:rPr>
                      <w:lang w:eastAsia="lv-LV"/>
                    </w:rPr>
                  </w:pPr>
                  <w:r w:rsidRPr="0070083F">
                    <w:rPr>
                      <w:lang w:eastAsia="lv-LV"/>
                    </w:rPr>
                    <w:t>Noteikumu projekta ieviešanai kopā nepieciešams finansējums:</w:t>
                  </w:r>
                </w:p>
                <w:p w:rsidR="00E15423" w:rsidRPr="002C2822" w:rsidRDefault="00E15423" w:rsidP="00E15423">
                  <w:pPr>
                    <w:pStyle w:val="naisf"/>
                    <w:spacing w:before="0" w:after="0"/>
                    <w:rPr>
                      <w:b/>
                      <w:sz w:val="22"/>
                      <w:szCs w:val="22"/>
                    </w:rPr>
                  </w:pPr>
                  <w:r w:rsidRPr="002C2822">
                    <w:rPr>
                      <w:b/>
                      <w:sz w:val="22"/>
                      <w:szCs w:val="22"/>
                    </w:rPr>
                    <w:t xml:space="preserve">2015.gadā </w:t>
                  </w:r>
                  <w:r w:rsidRPr="002C2822">
                    <w:rPr>
                      <w:b/>
                      <w:sz w:val="22"/>
                      <w:szCs w:val="22"/>
                    </w:rPr>
                    <w:sym w:font="Symbol" w:char="F02D"/>
                  </w:r>
                  <w:r>
                    <w:rPr>
                      <w:b/>
                      <w:sz w:val="22"/>
                      <w:szCs w:val="22"/>
                    </w:rPr>
                    <w:t xml:space="preserve">  742 344</w:t>
                  </w:r>
                  <w:r w:rsidRPr="002C2822">
                    <w:rPr>
                      <w:b/>
                      <w:sz w:val="22"/>
                      <w:szCs w:val="22"/>
                    </w:rPr>
                    <w:t xml:space="preserve"> </w:t>
                  </w:r>
                  <w:r w:rsidRPr="002C2822">
                    <w:rPr>
                      <w:b/>
                      <w:i/>
                      <w:sz w:val="22"/>
                      <w:szCs w:val="22"/>
                    </w:rPr>
                    <w:t>euro;</w:t>
                  </w:r>
                </w:p>
                <w:p w:rsidR="00E15423" w:rsidRPr="002C2822" w:rsidRDefault="00E15423" w:rsidP="00E15423">
                  <w:pPr>
                    <w:pStyle w:val="naisf"/>
                    <w:spacing w:before="0" w:after="0"/>
                    <w:rPr>
                      <w:b/>
                      <w:sz w:val="22"/>
                      <w:szCs w:val="22"/>
                    </w:rPr>
                  </w:pPr>
                  <w:r w:rsidRPr="002C2822">
                    <w:rPr>
                      <w:b/>
                      <w:sz w:val="22"/>
                      <w:szCs w:val="22"/>
                    </w:rPr>
                    <w:t xml:space="preserve">2016.gadā  </w:t>
                  </w:r>
                  <w:r w:rsidRPr="002C2822">
                    <w:rPr>
                      <w:b/>
                      <w:sz w:val="22"/>
                      <w:szCs w:val="22"/>
                    </w:rPr>
                    <w:sym w:font="Symbol" w:char="F02D"/>
                  </w:r>
                  <w:r>
                    <w:rPr>
                      <w:b/>
                      <w:sz w:val="22"/>
                      <w:szCs w:val="22"/>
                    </w:rPr>
                    <w:t xml:space="preserve">  554 804 </w:t>
                  </w:r>
                  <w:r w:rsidRPr="002C2822">
                    <w:rPr>
                      <w:b/>
                      <w:i/>
                      <w:sz w:val="22"/>
                      <w:szCs w:val="22"/>
                    </w:rPr>
                    <w:t>euro;</w:t>
                  </w:r>
                </w:p>
                <w:p w:rsidR="00E15423" w:rsidRPr="002C2822" w:rsidRDefault="00E15423" w:rsidP="00E15423">
                  <w:pPr>
                    <w:pStyle w:val="naisf"/>
                    <w:spacing w:before="0" w:after="0"/>
                    <w:rPr>
                      <w:b/>
                      <w:i/>
                      <w:sz w:val="22"/>
                      <w:szCs w:val="22"/>
                    </w:rPr>
                  </w:pPr>
                  <w:r w:rsidRPr="002C2822">
                    <w:rPr>
                      <w:b/>
                      <w:sz w:val="22"/>
                      <w:szCs w:val="22"/>
                    </w:rPr>
                    <w:t xml:space="preserve">2017.gadā un turpmāk ik gadu </w:t>
                  </w:r>
                  <w:r w:rsidRPr="002C2822">
                    <w:rPr>
                      <w:b/>
                      <w:sz w:val="22"/>
                      <w:szCs w:val="22"/>
                    </w:rPr>
                    <w:sym w:font="Symbol" w:char="F02D"/>
                  </w:r>
                  <w:r>
                    <w:rPr>
                      <w:b/>
                      <w:sz w:val="22"/>
                      <w:szCs w:val="22"/>
                    </w:rPr>
                    <w:t xml:space="preserve">  457 419</w:t>
                  </w:r>
                  <w:r w:rsidRPr="002C2822">
                    <w:rPr>
                      <w:b/>
                      <w:sz w:val="22"/>
                      <w:szCs w:val="22"/>
                    </w:rPr>
                    <w:t xml:space="preserve"> </w:t>
                  </w:r>
                  <w:r w:rsidRPr="002C2822">
                    <w:rPr>
                      <w:b/>
                      <w:i/>
                      <w:sz w:val="22"/>
                      <w:szCs w:val="22"/>
                    </w:rPr>
                    <w:t>euro.</w:t>
                  </w:r>
                </w:p>
                <w:p w:rsidR="00E15423" w:rsidRPr="0070083F" w:rsidRDefault="00E15423" w:rsidP="00E15423">
                  <w:pPr>
                    <w:pStyle w:val="naisf"/>
                    <w:spacing w:before="0" w:after="0"/>
                    <w:rPr>
                      <w:b/>
                      <w:sz w:val="22"/>
                      <w:szCs w:val="22"/>
                    </w:rPr>
                  </w:pPr>
                </w:p>
                <w:p w:rsidR="00E15423" w:rsidRPr="0070083F" w:rsidRDefault="00E15423" w:rsidP="00E15423">
                  <w:pPr>
                    <w:pStyle w:val="naisf"/>
                    <w:spacing w:before="0" w:after="0"/>
                    <w:rPr>
                      <w:b/>
                      <w:sz w:val="22"/>
                      <w:szCs w:val="22"/>
                    </w:rPr>
                  </w:pPr>
                  <w:r w:rsidRPr="0070083F">
                    <w:rPr>
                      <w:b/>
                      <w:sz w:val="22"/>
                      <w:szCs w:val="22"/>
                    </w:rPr>
                    <w:t>Finanšu ministrija (Valsts ieņēmumu dienests)</w:t>
                  </w:r>
                </w:p>
                <w:p w:rsidR="00E15423" w:rsidRPr="0070083F" w:rsidRDefault="00E15423" w:rsidP="00E15423">
                  <w:pPr>
                    <w:pStyle w:val="naisf"/>
                    <w:spacing w:before="0" w:after="0"/>
                    <w:rPr>
                      <w:sz w:val="22"/>
                      <w:szCs w:val="22"/>
                    </w:rPr>
                  </w:pPr>
                  <w:r w:rsidRPr="0070083F">
                    <w:rPr>
                      <w:sz w:val="22"/>
                      <w:szCs w:val="22"/>
                    </w:rPr>
                    <w:t>Budžeta programmā 33.00.00 „Valsts ieņēmumu un muitas politikas nodrošināšana” papildu nepieciešams finansējums:</w:t>
                  </w:r>
                </w:p>
                <w:p w:rsidR="00E15423" w:rsidRPr="0070083F" w:rsidRDefault="00E15423" w:rsidP="00E15423">
                  <w:pPr>
                    <w:pStyle w:val="naisf"/>
                    <w:spacing w:before="0" w:after="0"/>
                    <w:rPr>
                      <w:b/>
                      <w:sz w:val="22"/>
                      <w:szCs w:val="22"/>
                    </w:rPr>
                  </w:pPr>
                  <w:r w:rsidRPr="0070083F">
                    <w:rPr>
                      <w:b/>
                      <w:sz w:val="22"/>
                      <w:szCs w:val="22"/>
                    </w:rPr>
                    <w:t xml:space="preserve">2015.gadā </w:t>
                  </w:r>
                  <w:r w:rsidRPr="0070083F">
                    <w:rPr>
                      <w:b/>
                      <w:sz w:val="22"/>
                      <w:szCs w:val="22"/>
                    </w:rPr>
                    <w:sym w:font="Symbol" w:char="F02D"/>
                  </w:r>
                  <w:r w:rsidRPr="0070083F">
                    <w:rPr>
                      <w:b/>
                      <w:sz w:val="22"/>
                      <w:szCs w:val="22"/>
                    </w:rPr>
                    <w:t xml:space="preserve"> 181 206 </w:t>
                  </w:r>
                  <w:r w:rsidRPr="0070083F">
                    <w:rPr>
                      <w:b/>
                      <w:i/>
                      <w:sz w:val="22"/>
                      <w:szCs w:val="22"/>
                    </w:rPr>
                    <w:t>euro</w:t>
                  </w:r>
                  <w:r w:rsidRPr="0070083F">
                    <w:rPr>
                      <w:b/>
                      <w:sz w:val="22"/>
                      <w:szCs w:val="22"/>
                    </w:rPr>
                    <w:t>;</w:t>
                  </w:r>
                </w:p>
                <w:p w:rsidR="00E15423" w:rsidRPr="0070083F" w:rsidRDefault="00E15423" w:rsidP="00E15423">
                  <w:pPr>
                    <w:pStyle w:val="naisf"/>
                    <w:spacing w:before="0" w:after="0"/>
                    <w:rPr>
                      <w:b/>
                      <w:sz w:val="22"/>
                      <w:szCs w:val="22"/>
                    </w:rPr>
                  </w:pPr>
                  <w:r w:rsidRPr="0070083F">
                    <w:rPr>
                      <w:b/>
                      <w:sz w:val="22"/>
                      <w:szCs w:val="22"/>
                    </w:rPr>
                    <w:t xml:space="preserve">2016.gadā un turpmāk ik gadu </w:t>
                  </w:r>
                  <w:r w:rsidRPr="0070083F">
                    <w:rPr>
                      <w:b/>
                      <w:sz w:val="22"/>
                      <w:szCs w:val="22"/>
                    </w:rPr>
                    <w:sym w:font="Symbol" w:char="F02D"/>
                  </w:r>
                  <w:r w:rsidRPr="0070083F">
                    <w:rPr>
                      <w:b/>
                      <w:sz w:val="22"/>
                      <w:szCs w:val="22"/>
                    </w:rPr>
                    <w:t xml:space="preserve"> 162 035 </w:t>
                  </w:r>
                  <w:r w:rsidRPr="0070083F">
                    <w:rPr>
                      <w:b/>
                      <w:i/>
                      <w:sz w:val="22"/>
                      <w:szCs w:val="22"/>
                    </w:rPr>
                    <w:t>euro</w:t>
                  </w:r>
                  <w:r w:rsidRPr="0070083F">
                    <w:rPr>
                      <w:b/>
                      <w:sz w:val="22"/>
                      <w:szCs w:val="22"/>
                    </w:rPr>
                    <w:t>.</w:t>
                  </w:r>
                </w:p>
                <w:p w:rsidR="00E15423" w:rsidRPr="0070083F" w:rsidRDefault="00E15423" w:rsidP="00E15423">
                  <w:pPr>
                    <w:ind w:firstLine="576"/>
                    <w:jc w:val="both"/>
                    <w:rPr>
                      <w:lang w:eastAsia="lv-LV"/>
                    </w:rPr>
                  </w:pPr>
                  <w:r w:rsidRPr="0070083F">
                    <w:rPr>
                      <w:lang w:eastAsia="lv-LV"/>
                    </w:rPr>
                    <w:t xml:space="preserve">Lai īstenotu noteikumu projektā paredzētos uzdevumus, Valsts ieņēmumu dienestam nepieciešams izveidot sešas jaunas amata vietas, kuru izveidošanai un uzturēšanai 2015.gadā papildu ir nepieciešams finansējums 181 206 </w:t>
                  </w:r>
                  <w:r w:rsidRPr="0070083F">
                    <w:rPr>
                      <w:i/>
                      <w:lang w:eastAsia="lv-LV"/>
                    </w:rPr>
                    <w:t>euro</w:t>
                  </w:r>
                  <w:r w:rsidRPr="0070083F">
                    <w:rPr>
                      <w:lang w:eastAsia="lv-LV"/>
                    </w:rPr>
                    <w:t xml:space="preserve"> apmērā un 2016.gadā un turpmāk ik gadu 162 035 </w:t>
                  </w:r>
                  <w:r w:rsidRPr="0070083F">
                    <w:rPr>
                      <w:i/>
                      <w:lang w:eastAsia="lv-LV"/>
                    </w:rPr>
                    <w:t>euro</w:t>
                  </w:r>
                  <w:r w:rsidRPr="0070083F">
                    <w:rPr>
                      <w:lang w:eastAsia="lv-LV"/>
                    </w:rPr>
                    <w:t xml:space="preserve"> apmērā, t.sk.:</w:t>
                  </w:r>
                </w:p>
                <w:p w:rsidR="00E15423" w:rsidRPr="0070083F" w:rsidRDefault="00E15423" w:rsidP="00E15423">
                  <w:pPr>
                    <w:numPr>
                      <w:ilvl w:val="0"/>
                      <w:numId w:val="15"/>
                    </w:numPr>
                    <w:ind w:left="330" w:hanging="283"/>
                    <w:jc w:val="both"/>
                    <w:rPr>
                      <w:lang w:eastAsia="lv-LV"/>
                    </w:rPr>
                  </w:pPr>
                  <w:r w:rsidRPr="0070083F">
                    <w:rPr>
                      <w:lang w:eastAsia="lv-LV"/>
                    </w:rPr>
                    <w:t>Valsts ieņēmumu dienesta Finanšu policijas pārvaldē nepieciešams izveidot trīs jaunas amata vietas, t.sk.:</w:t>
                  </w:r>
                </w:p>
                <w:p w:rsidR="00E15423" w:rsidRPr="0070083F" w:rsidRDefault="00E15423" w:rsidP="00E15423">
                  <w:pPr>
                    <w:numPr>
                      <w:ilvl w:val="0"/>
                      <w:numId w:val="16"/>
                    </w:numPr>
                    <w:ind w:left="614" w:hanging="284"/>
                    <w:jc w:val="both"/>
                    <w:rPr>
                      <w:lang w:eastAsia="lv-LV"/>
                    </w:rPr>
                  </w:pPr>
                  <w:r w:rsidRPr="0070083F">
                    <w:rPr>
                      <w:lang w:eastAsia="lv-LV"/>
                    </w:rPr>
                    <w:t>divas amata vietas 35.saime III līmenis – galvenie speciālisti;</w:t>
                  </w:r>
                </w:p>
                <w:p w:rsidR="00E15423" w:rsidRPr="0070083F" w:rsidRDefault="00E15423" w:rsidP="00E15423">
                  <w:pPr>
                    <w:numPr>
                      <w:ilvl w:val="0"/>
                      <w:numId w:val="16"/>
                    </w:numPr>
                    <w:ind w:left="614" w:hanging="284"/>
                    <w:jc w:val="both"/>
                    <w:rPr>
                      <w:lang w:eastAsia="lv-LV"/>
                    </w:rPr>
                  </w:pPr>
                  <w:r w:rsidRPr="0070083F">
                    <w:rPr>
                      <w:lang w:eastAsia="lv-LV"/>
                    </w:rPr>
                    <w:t>vienu amata vietu 36.saime III līmenis – struktūrvienības vadītājs.</w:t>
                  </w:r>
                </w:p>
                <w:p w:rsidR="00E15423" w:rsidRPr="0070083F" w:rsidRDefault="00E15423" w:rsidP="00E15423">
                  <w:pPr>
                    <w:numPr>
                      <w:ilvl w:val="0"/>
                      <w:numId w:val="15"/>
                    </w:numPr>
                    <w:ind w:left="330" w:hanging="283"/>
                    <w:jc w:val="both"/>
                    <w:rPr>
                      <w:lang w:eastAsia="lv-LV"/>
                    </w:rPr>
                  </w:pPr>
                  <w:r w:rsidRPr="0070083F">
                    <w:rPr>
                      <w:lang w:eastAsia="lv-LV"/>
                    </w:rPr>
                    <w:t>Valsts ieņēmumu dienesta Muitas kriminālpārvaldē nepieciešams izveidot 3 trīs jaunas amata vietas, t.sk.:</w:t>
                  </w:r>
                </w:p>
                <w:p w:rsidR="00E15423" w:rsidRPr="0070083F" w:rsidRDefault="00E15423" w:rsidP="00E15423">
                  <w:pPr>
                    <w:numPr>
                      <w:ilvl w:val="0"/>
                      <w:numId w:val="20"/>
                    </w:numPr>
                    <w:ind w:left="614" w:hanging="284"/>
                    <w:jc w:val="both"/>
                    <w:rPr>
                      <w:lang w:eastAsia="lv-LV"/>
                    </w:rPr>
                  </w:pPr>
                  <w:r w:rsidRPr="0070083F">
                    <w:rPr>
                      <w:lang w:eastAsia="lv-LV"/>
                    </w:rPr>
                    <w:t>vienu amata vietu 35.saime, III līmenis – vecākais muitas eksperts;</w:t>
                  </w:r>
                </w:p>
                <w:p w:rsidR="00E15423" w:rsidRPr="0070083F" w:rsidRDefault="00E15423" w:rsidP="00E15423">
                  <w:pPr>
                    <w:numPr>
                      <w:ilvl w:val="0"/>
                      <w:numId w:val="20"/>
                    </w:numPr>
                    <w:ind w:left="614" w:hanging="284"/>
                    <w:jc w:val="both"/>
                    <w:rPr>
                      <w:lang w:eastAsia="lv-LV"/>
                    </w:rPr>
                  </w:pPr>
                  <w:r w:rsidRPr="0070083F">
                    <w:rPr>
                      <w:lang w:eastAsia="lv-LV"/>
                    </w:rPr>
                    <w:t>divas amata vietas 28.2. saime, IIIB līmenis – vecākie muitas eksperti.</w:t>
                  </w:r>
                </w:p>
                <w:p w:rsidR="00E15423" w:rsidRPr="0070083F" w:rsidRDefault="00E15423" w:rsidP="00E15423">
                  <w:pPr>
                    <w:ind w:firstLine="576"/>
                    <w:jc w:val="both"/>
                    <w:rPr>
                      <w:lang w:eastAsia="lv-LV"/>
                    </w:rPr>
                  </w:pPr>
                  <w:r w:rsidRPr="0070083F">
                    <w:rPr>
                      <w:lang w:eastAsia="lv-LV"/>
                    </w:rPr>
                    <w:t>Detalizētu amata vietu izveidošanai un uzturēšanai prognozēto papildu nepieciešamā finansējum</w:t>
                  </w:r>
                  <w:r>
                    <w:rPr>
                      <w:lang w:eastAsia="lv-LV"/>
                    </w:rPr>
                    <w:t>a aprēķinu skatīt plānā</w:t>
                  </w:r>
                  <w:r w:rsidRPr="0070083F">
                    <w:rPr>
                      <w:lang w:eastAsia="lv-LV"/>
                    </w:rPr>
                    <w:t xml:space="preserve"> „Organizētās noziedzības novēršanas un apkarošanas plāns 2014.-2016.gadam”</w:t>
                  </w:r>
                  <w:r>
                    <w:rPr>
                      <w:lang w:eastAsia="lv-LV"/>
                    </w:rPr>
                    <w:t xml:space="preserve"> (Ministru kabineta 2014.gada 5.jūnija rīkojums Nr.276)</w:t>
                  </w:r>
                  <w:r w:rsidRPr="0070083F">
                    <w:rPr>
                      <w:lang w:eastAsia="lv-LV"/>
                    </w:rPr>
                    <w:t>; pasākums Nr.2.5.</w:t>
                  </w:r>
                </w:p>
                <w:p w:rsidR="00E15423" w:rsidRPr="0070083F" w:rsidRDefault="00E15423" w:rsidP="00E15423">
                  <w:pPr>
                    <w:tabs>
                      <w:tab w:val="left" w:pos="567"/>
                    </w:tabs>
                    <w:jc w:val="both"/>
                    <w:rPr>
                      <w:lang w:eastAsia="lv-LV"/>
                    </w:rPr>
                  </w:pPr>
                </w:p>
                <w:p w:rsidR="00E15423" w:rsidRPr="0070083F" w:rsidRDefault="00E15423" w:rsidP="00E15423">
                  <w:pPr>
                    <w:tabs>
                      <w:tab w:val="left" w:pos="567"/>
                    </w:tabs>
                    <w:jc w:val="both"/>
                    <w:rPr>
                      <w:b/>
                      <w:lang w:eastAsia="lv-LV"/>
                    </w:rPr>
                  </w:pPr>
                  <w:r w:rsidRPr="0070083F">
                    <w:rPr>
                      <w:b/>
                      <w:lang w:eastAsia="lv-LV"/>
                    </w:rPr>
                    <w:t>Korupcijas novēršanas un apkarošanas birojs</w:t>
                  </w:r>
                </w:p>
                <w:p w:rsidR="00E15423" w:rsidRPr="0070083F" w:rsidRDefault="00E15423" w:rsidP="00E15423">
                  <w:pPr>
                    <w:pStyle w:val="naisf"/>
                    <w:spacing w:before="0" w:after="0"/>
                    <w:rPr>
                      <w:sz w:val="22"/>
                      <w:szCs w:val="22"/>
                    </w:rPr>
                  </w:pPr>
                  <w:r w:rsidRPr="0070083F">
                    <w:rPr>
                      <w:sz w:val="22"/>
                      <w:szCs w:val="22"/>
                    </w:rPr>
                    <w:t>Budžeta apakšprogrammā 01.00.00 „Korupcijas novēršanas un apkarošanas birojs” papildu nepieciešams finansējums:</w:t>
                  </w:r>
                </w:p>
                <w:p w:rsidR="00E15423" w:rsidRPr="0070083F" w:rsidRDefault="00E15423" w:rsidP="00E15423">
                  <w:pPr>
                    <w:pStyle w:val="naisf"/>
                    <w:spacing w:before="0" w:after="0"/>
                    <w:rPr>
                      <w:b/>
                      <w:sz w:val="22"/>
                      <w:szCs w:val="22"/>
                    </w:rPr>
                  </w:pPr>
                  <w:r w:rsidRPr="0070083F">
                    <w:rPr>
                      <w:b/>
                      <w:sz w:val="22"/>
                      <w:szCs w:val="22"/>
                    </w:rPr>
                    <w:t xml:space="preserve">2015.gadā </w:t>
                  </w:r>
                  <w:r w:rsidRPr="0070083F">
                    <w:rPr>
                      <w:b/>
                      <w:sz w:val="22"/>
                      <w:szCs w:val="22"/>
                    </w:rPr>
                    <w:sym w:font="Symbol" w:char="F02D"/>
                  </w:r>
                  <w:r>
                    <w:rPr>
                      <w:b/>
                      <w:sz w:val="22"/>
                      <w:szCs w:val="22"/>
                    </w:rPr>
                    <w:t xml:space="preserve"> 156 662</w:t>
                  </w:r>
                  <w:r w:rsidRPr="0070083F">
                    <w:rPr>
                      <w:b/>
                      <w:sz w:val="22"/>
                      <w:szCs w:val="22"/>
                    </w:rPr>
                    <w:t xml:space="preserve"> </w:t>
                  </w:r>
                  <w:r w:rsidRPr="0070083F">
                    <w:rPr>
                      <w:b/>
                      <w:i/>
                      <w:sz w:val="22"/>
                      <w:szCs w:val="22"/>
                    </w:rPr>
                    <w:t>euro;</w:t>
                  </w:r>
                </w:p>
                <w:p w:rsidR="00E15423" w:rsidRPr="0070083F" w:rsidRDefault="00E15423" w:rsidP="00E15423">
                  <w:pPr>
                    <w:pStyle w:val="naisf"/>
                    <w:spacing w:before="0" w:after="0"/>
                    <w:rPr>
                      <w:b/>
                      <w:sz w:val="22"/>
                      <w:szCs w:val="22"/>
                    </w:rPr>
                  </w:pPr>
                  <w:r w:rsidRPr="0070083F">
                    <w:rPr>
                      <w:b/>
                      <w:sz w:val="22"/>
                      <w:szCs w:val="22"/>
                    </w:rPr>
                    <w:t xml:space="preserve">2016.gadā  </w:t>
                  </w:r>
                  <w:r w:rsidRPr="0070083F">
                    <w:rPr>
                      <w:b/>
                      <w:sz w:val="22"/>
                      <w:szCs w:val="22"/>
                    </w:rPr>
                    <w:sym w:font="Symbol" w:char="F02D"/>
                  </w:r>
                  <w:r>
                    <w:rPr>
                      <w:b/>
                      <w:sz w:val="22"/>
                      <w:szCs w:val="22"/>
                    </w:rPr>
                    <w:t xml:space="preserve"> 148 634</w:t>
                  </w:r>
                  <w:r w:rsidRPr="0070083F">
                    <w:rPr>
                      <w:b/>
                      <w:sz w:val="22"/>
                      <w:szCs w:val="22"/>
                    </w:rPr>
                    <w:t xml:space="preserve"> </w:t>
                  </w:r>
                  <w:r w:rsidRPr="0070083F">
                    <w:rPr>
                      <w:b/>
                      <w:i/>
                      <w:sz w:val="22"/>
                      <w:szCs w:val="22"/>
                    </w:rPr>
                    <w:t>euro;</w:t>
                  </w:r>
                </w:p>
                <w:p w:rsidR="00E15423" w:rsidRPr="0070083F" w:rsidRDefault="00E15423" w:rsidP="00E15423">
                  <w:pPr>
                    <w:pStyle w:val="naisf"/>
                    <w:spacing w:before="0" w:after="0"/>
                    <w:rPr>
                      <w:b/>
                      <w:i/>
                      <w:sz w:val="22"/>
                      <w:szCs w:val="22"/>
                    </w:rPr>
                  </w:pPr>
                  <w:r w:rsidRPr="0070083F">
                    <w:rPr>
                      <w:b/>
                      <w:sz w:val="22"/>
                      <w:szCs w:val="22"/>
                    </w:rPr>
                    <w:t xml:space="preserve">2017.gadā un turpmāk ik gadu </w:t>
                  </w:r>
                  <w:r w:rsidRPr="0070083F">
                    <w:rPr>
                      <w:b/>
                      <w:sz w:val="22"/>
                      <w:szCs w:val="22"/>
                    </w:rPr>
                    <w:sym w:font="Symbol" w:char="F02D"/>
                  </w:r>
                  <w:r>
                    <w:rPr>
                      <w:b/>
                      <w:sz w:val="22"/>
                      <w:szCs w:val="22"/>
                    </w:rPr>
                    <w:t xml:space="preserve"> 56 249</w:t>
                  </w:r>
                  <w:r w:rsidRPr="0070083F">
                    <w:rPr>
                      <w:b/>
                      <w:sz w:val="22"/>
                      <w:szCs w:val="22"/>
                    </w:rPr>
                    <w:t xml:space="preserve"> </w:t>
                  </w:r>
                  <w:r w:rsidRPr="0070083F">
                    <w:rPr>
                      <w:b/>
                      <w:i/>
                      <w:sz w:val="22"/>
                      <w:szCs w:val="22"/>
                    </w:rPr>
                    <w:t>euro.</w:t>
                  </w:r>
                </w:p>
                <w:p w:rsidR="00E15423" w:rsidRPr="0070083F" w:rsidRDefault="00E15423" w:rsidP="00E15423">
                  <w:pPr>
                    <w:pStyle w:val="naisf"/>
                    <w:spacing w:before="0" w:after="0"/>
                    <w:rPr>
                      <w:sz w:val="22"/>
                      <w:szCs w:val="22"/>
                    </w:rPr>
                  </w:pPr>
                  <w:r w:rsidRPr="0070083F">
                    <w:rPr>
                      <w:sz w:val="22"/>
                      <w:szCs w:val="22"/>
                    </w:rPr>
                    <w:t>Korupcijas novēršanas un apkarošanas birojam noteikumu projekta īstenošanai ir nepieciešams izvedot vienu papildus amata vietu</w:t>
                  </w:r>
                  <w:r>
                    <w:rPr>
                      <w:sz w:val="22"/>
                      <w:szCs w:val="22"/>
                    </w:rPr>
                    <w:t xml:space="preserve"> </w:t>
                  </w:r>
                  <w:r w:rsidRPr="001961E2">
                    <w:t>(amata saime – 28.2 IIIB, 11.mēnešalgu grupa, 3.kategorija)</w:t>
                  </w:r>
                  <w:r w:rsidRPr="001961E2">
                    <w:rPr>
                      <w:sz w:val="22"/>
                      <w:szCs w:val="22"/>
                    </w:rPr>
                    <w:t>.</w:t>
                  </w:r>
                  <w:r w:rsidRPr="0070083F">
                    <w:rPr>
                      <w:sz w:val="22"/>
                      <w:szCs w:val="22"/>
                    </w:rPr>
                    <w:t xml:space="preserve"> Papildu nepieciešamais finansējums 156 </w:t>
                  </w:r>
                  <w:r>
                    <w:rPr>
                      <w:sz w:val="22"/>
                      <w:szCs w:val="22"/>
                    </w:rPr>
                    <w:t>662</w:t>
                  </w:r>
                  <w:r w:rsidRPr="0070083F">
                    <w:rPr>
                      <w:sz w:val="22"/>
                      <w:szCs w:val="22"/>
                    </w:rPr>
                    <w:t xml:space="preserve"> </w:t>
                  </w:r>
                  <w:r w:rsidRPr="0070083F">
                    <w:rPr>
                      <w:i/>
                      <w:sz w:val="22"/>
                      <w:szCs w:val="22"/>
                    </w:rPr>
                    <w:t>euro</w:t>
                  </w:r>
                  <w:r w:rsidRPr="0070083F">
                    <w:rPr>
                      <w:sz w:val="22"/>
                      <w:szCs w:val="22"/>
                    </w:rPr>
                    <w:t xml:space="preserve"> apmērā 2015. gadā.</w:t>
                  </w:r>
                </w:p>
                <w:p w:rsidR="00E15423" w:rsidRPr="00D7221C" w:rsidRDefault="00E15423" w:rsidP="00E15423">
                  <w:pPr>
                    <w:numPr>
                      <w:ilvl w:val="0"/>
                      <w:numId w:val="22"/>
                    </w:numPr>
                    <w:ind w:left="472" w:hanging="284"/>
                    <w:contextualSpacing/>
                  </w:pPr>
                  <w:r w:rsidRPr="00D7221C">
                    <w:t xml:space="preserve">Atlīdzība vienai papildu amata vietai– 20 496 </w:t>
                  </w:r>
                  <w:r w:rsidRPr="00D7221C">
                    <w:rPr>
                      <w:i/>
                    </w:rPr>
                    <w:t>euro</w:t>
                  </w:r>
                  <w:r w:rsidRPr="00D7221C">
                    <w:t>.</w:t>
                  </w:r>
                </w:p>
                <w:p w:rsidR="00E15423" w:rsidRPr="0070083F" w:rsidRDefault="00E15423" w:rsidP="00E15423">
                  <w:pPr>
                    <w:numPr>
                      <w:ilvl w:val="0"/>
                      <w:numId w:val="22"/>
                    </w:numPr>
                    <w:ind w:left="472" w:hanging="284"/>
                    <w:contextualSpacing/>
                  </w:pPr>
                  <w:r w:rsidRPr="0070083F">
                    <w:t xml:space="preserve">Vienreizēji izdevumi inventāram un darba vietas aprīkošanai – 8 082 </w:t>
                  </w:r>
                  <w:r w:rsidRPr="0070083F">
                    <w:rPr>
                      <w:i/>
                    </w:rPr>
                    <w:t>euro</w:t>
                  </w:r>
                  <w:r w:rsidRPr="0070083F">
                    <w:t xml:space="preserve"> un kancelejas piederumi (papīrs u.c.) 53</w:t>
                  </w:r>
                  <w:r w:rsidRPr="0070083F">
                    <w:rPr>
                      <w:i/>
                    </w:rPr>
                    <w:t xml:space="preserve"> euro</w:t>
                  </w:r>
                  <w:r w:rsidRPr="0070083F">
                    <w:t>.</w:t>
                  </w:r>
                </w:p>
                <w:p w:rsidR="00E15423" w:rsidRPr="0070083F" w:rsidRDefault="00E15423" w:rsidP="00E15423">
                  <w:pPr>
                    <w:numPr>
                      <w:ilvl w:val="0"/>
                      <w:numId w:val="22"/>
                    </w:numPr>
                    <w:ind w:left="472" w:hanging="284"/>
                    <w:contextualSpacing/>
                  </w:pPr>
                  <w:r w:rsidRPr="0070083F">
                    <w:t>Programmatūras licenču un sistēmas izstrādes izmaksas – 92 </w:t>
                  </w:r>
                  <w:r>
                    <w:t>386</w:t>
                  </w:r>
                  <w:r w:rsidRPr="0070083F">
                    <w:t xml:space="preserve"> </w:t>
                  </w:r>
                  <w:r w:rsidRPr="0070083F">
                    <w:rPr>
                      <w:i/>
                    </w:rPr>
                    <w:t>euro</w:t>
                  </w:r>
                  <w:r w:rsidRPr="0070083F">
                    <w:t xml:space="preserve"> un licence i2Analyst Notebook –17 074 </w:t>
                  </w:r>
                  <w:r w:rsidRPr="0070083F">
                    <w:rPr>
                      <w:i/>
                    </w:rPr>
                    <w:t>euro</w:t>
                  </w:r>
                  <w:r w:rsidRPr="0070083F">
                    <w:t>.</w:t>
                  </w:r>
                </w:p>
                <w:p w:rsidR="00E15423" w:rsidRPr="0070083F" w:rsidRDefault="00E15423" w:rsidP="00E15423">
                  <w:pPr>
                    <w:numPr>
                      <w:ilvl w:val="0"/>
                      <w:numId w:val="22"/>
                    </w:numPr>
                    <w:ind w:left="472" w:hanging="284"/>
                    <w:contextualSpacing/>
                  </w:pPr>
                  <w:r w:rsidRPr="0070083F">
                    <w:t>Servertehnikas iegādei –18</w:t>
                  </w:r>
                  <w:r>
                    <w:t xml:space="preserve"> 571 </w:t>
                  </w:r>
                  <w:r w:rsidRPr="0070083F">
                    <w:rPr>
                      <w:i/>
                    </w:rPr>
                    <w:t>euro</w:t>
                  </w:r>
                  <w:r w:rsidRPr="0070083F">
                    <w:t>.</w:t>
                  </w:r>
                </w:p>
                <w:p w:rsidR="00E15423" w:rsidRPr="0070083F" w:rsidRDefault="00E15423" w:rsidP="00E15423">
                  <w:pPr>
                    <w:jc w:val="both"/>
                  </w:pPr>
                  <w:r w:rsidRPr="0070083F">
                    <w:t>Papildu nepieciešamais finansējums 148 </w:t>
                  </w:r>
                  <w:r>
                    <w:t>634</w:t>
                  </w:r>
                  <w:r w:rsidRPr="0070083F">
                    <w:t xml:space="preserve"> </w:t>
                  </w:r>
                  <w:r w:rsidRPr="0070083F">
                    <w:rPr>
                      <w:i/>
                    </w:rPr>
                    <w:t>euro</w:t>
                  </w:r>
                  <w:r w:rsidRPr="0070083F">
                    <w:t xml:space="preserve"> apmērā 2016.gadā:</w:t>
                  </w:r>
                </w:p>
                <w:p w:rsidR="00E15423" w:rsidRPr="0070083F" w:rsidRDefault="00E15423" w:rsidP="00E15423">
                  <w:pPr>
                    <w:numPr>
                      <w:ilvl w:val="0"/>
                      <w:numId w:val="23"/>
                    </w:numPr>
                    <w:ind w:left="472" w:hanging="284"/>
                    <w:contextualSpacing/>
                  </w:pPr>
                  <w:r w:rsidRPr="0070083F">
                    <w:t>Atlīdzība vienai papildu amata vietai – 20 496</w:t>
                  </w:r>
                  <w:r w:rsidRPr="0070083F">
                    <w:rPr>
                      <w:i/>
                    </w:rPr>
                    <w:t xml:space="preserve"> euro</w:t>
                  </w:r>
                  <w:r w:rsidRPr="0070083F">
                    <w:t>;</w:t>
                  </w:r>
                </w:p>
                <w:p w:rsidR="00E15423" w:rsidRPr="0070083F" w:rsidRDefault="00E15423" w:rsidP="00E15423">
                  <w:pPr>
                    <w:numPr>
                      <w:ilvl w:val="0"/>
                      <w:numId w:val="23"/>
                    </w:numPr>
                    <w:ind w:left="472" w:hanging="284"/>
                    <w:contextualSpacing/>
                  </w:pPr>
                  <w:r w:rsidRPr="0070083F">
                    <w:t>Kancelejas piederumi (papīrs u.c.) – 53</w:t>
                  </w:r>
                  <w:r w:rsidRPr="0070083F">
                    <w:rPr>
                      <w:i/>
                    </w:rPr>
                    <w:t xml:space="preserve"> euro</w:t>
                  </w:r>
                  <w:r w:rsidRPr="0070083F">
                    <w:t>;</w:t>
                  </w:r>
                </w:p>
                <w:p w:rsidR="00E15423" w:rsidRPr="0070083F" w:rsidRDefault="00E15423" w:rsidP="00E15423">
                  <w:pPr>
                    <w:numPr>
                      <w:ilvl w:val="0"/>
                      <w:numId w:val="23"/>
                    </w:numPr>
                    <w:ind w:left="472" w:hanging="284"/>
                    <w:contextualSpacing/>
                  </w:pPr>
                  <w:r w:rsidRPr="0070083F">
                    <w:t>Programmatūras licenču un sistēmas izstrādes izmaksas – 92 </w:t>
                  </w:r>
                  <w:r>
                    <w:t>385</w:t>
                  </w:r>
                  <w:r w:rsidRPr="0070083F">
                    <w:rPr>
                      <w:i/>
                    </w:rPr>
                    <w:t xml:space="preserve"> euro</w:t>
                  </w:r>
                  <w:r w:rsidRPr="0070083F">
                    <w:t>;</w:t>
                  </w:r>
                </w:p>
                <w:p w:rsidR="00E15423" w:rsidRPr="0070083F" w:rsidRDefault="00E15423" w:rsidP="00E15423">
                  <w:pPr>
                    <w:numPr>
                      <w:ilvl w:val="0"/>
                      <w:numId w:val="23"/>
                    </w:numPr>
                    <w:ind w:left="472" w:hanging="284"/>
                    <w:contextualSpacing/>
                  </w:pPr>
                  <w:r w:rsidRPr="0070083F">
                    <w:t>Ikgadējām ražotāja tehniskās uzturēšanas izmaksām un ikgadējās funkcionalitātes tehniskām izmaksām –18 </w:t>
                  </w:r>
                  <w:r>
                    <w:t>571</w:t>
                  </w:r>
                  <w:r w:rsidRPr="0070083F">
                    <w:rPr>
                      <w:i/>
                    </w:rPr>
                    <w:t xml:space="preserve"> euro</w:t>
                  </w:r>
                  <w:r w:rsidRPr="0070083F">
                    <w:t>;</w:t>
                  </w:r>
                </w:p>
                <w:p w:rsidR="00E15423" w:rsidRPr="0070083F" w:rsidRDefault="00E15423" w:rsidP="00E15423">
                  <w:pPr>
                    <w:numPr>
                      <w:ilvl w:val="0"/>
                      <w:numId w:val="23"/>
                    </w:numPr>
                    <w:ind w:left="472" w:hanging="284"/>
                    <w:contextualSpacing/>
                  </w:pPr>
                  <w:r w:rsidRPr="0070083F">
                    <w:t>Licenču uzturēšanas izdevumi –13 </w:t>
                  </w:r>
                  <w:r>
                    <w:t>714</w:t>
                  </w:r>
                  <w:r w:rsidRPr="0070083F">
                    <w:t xml:space="preserve"> </w:t>
                  </w:r>
                  <w:r w:rsidRPr="0070083F">
                    <w:rPr>
                      <w:i/>
                    </w:rPr>
                    <w:t>euro</w:t>
                  </w:r>
                  <w:r w:rsidRPr="0070083F">
                    <w:t xml:space="preserve"> un i2Analyst Notebook uzturēšanas izdevumi – 3 415 </w:t>
                  </w:r>
                  <w:r w:rsidRPr="0070083F">
                    <w:rPr>
                      <w:i/>
                    </w:rPr>
                    <w:t>euro</w:t>
                  </w:r>
                  <w:r w:rsidRPr="0070083F">
                    <w:t>.</w:t>
                  </w:r>
                </w:p>
                <w:p w:rsidR="00E15423" w:rsidRPr="0070083F" w:rsidRDefault="00E15423" w:rsidP="00E15423">
                  <w:pPr>
                    <w:jc w:val="both"/>
                  </w:pPr>
                  <w:r w:rsidRPr="0070083F">
                    <w:t>Papildu nepieciešamais finansējums 56 </w:t>
                  </w:r>
                  <w:r>
                    <w:t>249</w:t>
                  </w:r>
                  <w:r w:rsidRPr="0070083F">
                    <w:rPr>
                      <w:b/>
                    </w:rPr>
                    <w:t xml:space="preserve"> </w:t>
                  </w:r>
                  <w:r w:rsidRPr="0070083F">
                    <w:rPr>
                      <w:i/>
                    </w:rPr>
                    <w:t>euro</w:t>
                  </w:r>
                  <w:r w:rsidRPr="0070083F">
                    <w:t xml:space="preserve"> apmērā 2017.gadā:</w:t>
                  </w:r>
                </w:p>
                <w:p w:rsidR="00E15423" w:rsidRPr="0070083F" w:rsidRDefault="00E15423" w:rsidP="00E15423">
                  <w:pPr>
                    <w:pStyle w:val="ListParagraph"/>
                    <w:numPr>
                      <w:ilvl w:val="0"/>
                      <w:numId w:val="24"/>
                    </w:numPr>
                    <w:ind w:left="472" w:hanging="284"/>
                  </w:pPr>
                  <w:r w:rsidRPr="0070083F">
                    <w:t xml:space="preserve">Atlīdzība vienai papildu amata vietai –  20 496 </w:t>
                  </w:r>
                  <w:r w:rsidRPr="0070083F">
                    <w:rPr>
                      <w:i/>
                    </w:rPr>
                    <w:t>euro</w:t>
                  </w:r>
                  <w:r w:rsidRPr="0070083F">
                    <w:t>;</w:t>
                  </w:r>
                </w:p>
                <w:p w:rsidR="00E15423" w:rsidRPr="0070083F" w:rsidRDefault="00E15423" w:rsidP="00E15423">
                  <w:pPr>
                    <w:numPr>
                      <w:ilvl w:val="0"/>
                      <w:numId w:val="24"/>
                    </w:numPr>
                    <w:ind w:left="472" w:hanging="284"/>
                    <w:contextualSpacing/>
                  </w:pPr>
                  <w:r w:rsidRPr="0070083F">
                    <w:t xml:space="preserve">Kancelejas piederumi (papīrs u.c.) – 53 </w:t>
                  </w:r>
                  <w:r w:rsidRPr="0070083F">
                    <w:rPr>
                      <w:i/>
                    </w:rPr>
                    <w:t>euro</w:t>
                  </w:r>
                  <w:r w:rsidRPr="0070083F">
                    <w:t>;</w:t>
                  </w:r>
                </w:p>
                <w:p w:rsidR="00E15423" w:rsidRPr="0070083F" w:rsidRDefault="00E15423" w:rsidP="00E15423">
                  <w:pPr>
                    <w:numPr>
                      <w:ilvl w:val="0"/>
                      <w:numId w:val="24"/>
                    </w:numPr>
                    <w:ind w:left="472" w:hanging="284"/>
                    <w:contextualSpacing/>
                  </w:pPr>
                  <w:r w:rsidRPr="0070083F">
                    <w:t>Ikgadējām ražotāja tehniskās uzturēšanas izmaksām un ikgadējās funkcionalitātes tehniskām izmaksām –  18 </w:t>
                  </w:r>
                  <w:r>
                    <w:t>571</w:t>
                  </w:r>
                  <w:r w:rsidRPr="0070083F">
                    <w:t xml:space="preserve"> </w:t>
                  </w:r>
                  <w:r w:rsidRPr="0070083F">
                    <w:rPr>
                      <w:i/>
                    </w:rPr>
                    <w:t>euro</w:t>
                  </w:r>
                  <w:r w:rsidRPr="0070083F">
                    <w:t>;</w:t>
                  </w:r>
                </w:p>
                <w:p w:rsidR="00E15423" w:rsidRPr="0070083F" w:rsidRDefault="00E15423" w:rsidP="00E15423">
                  <w:pPr>
                    <w:numPr>
                      <w:ilvl w:val="0"/>
                      <w:numId w:val="24"/>
                    </w:numPr>
                    <w:ind w:left="472" w:hanging="284"/>
                    <w:contextualSpacing/>
                  </w:pPr>
                  <w:r w:rsidRPr="0070083F">
                    <w:t>Licenč</w:t>
                  </w:r>
                  <w:r>
                    <w:t>u uzturēšanas izdevumi –  13 714</w:t>
                  </w:r>
                  <w:r w:rsidRPr="0070083F">
                    <w:t xml:space="preserve"> </w:t>
                  </w:r>
                  <w:r w:rsidRPr="0070083F">
                    <w:rPr>
                      <w:i/>
                    </w:rPr>
                    <w:t>euro</w:t>
                  </w:r>
                  <w:r w:rsidRPr="0070083F">
                    <w:t xml:space="preserve"> un i2Analyst Notebook  uzturēšanas izdevumi – 3 415 </w:t>
                  </w:r>
                  <w:r w:rsidRPr="0070083F">
                    <w:rPr>
                      <w:i/>
                    </w:rPr>
                    <w:t>euro</w:t>
                  </w:r>
                  <w:r w:rsidRPr="0070083F">
                    <w:t>.</w:t>
                  </w:r>
                </w:p>
                <w:p w:rsidR="00E15423" w:rsidRPr="0070083F" w:rsidRDefault="00E15423" w:rsidP="00E15423">
                  <w:pPr>
                    <w:tabs>
                      <w:tab w:val="left" w:pos="567"/>
                    </w:tabs>
                    <w:jc w:val="both"/>
                    <w:rPr>
                      <w:lang w:eastAsia="lv-LV"/>
                    </w:rPr>
                  </w:pPr>
                  <w:r>
                    <w:rPr>
                      <w:lang w:eastAsia="lv-LV"/>
                    </w:rPr>
                    <w:t>A</w:t>
                  </w:r>
                  <w:r w:rsidRPr="0070083F">
                    <w:rPr>
                      <w:lang w:eastAsia="lv-LV"/>
                    </w:rPr>
                    <w:t>prēķins pievienots pielikumā.</w:t>
                  </w:r>
                </w:p>
                <w:p w:rsidR="00E15423" w:rsidRPr="0070083F" w:rsidRDefault="00E15423" w:rsidP="00E15423">
                  <w:pPr>
                    <w:tabs>
                      <w:tab w:val="left" w:pos="567"/>
                    </w:tabs>
                    <w:jc w:val="both"/>
                    <w:rPr>
                      <w:lang w:eastAsia="lv-LV"/>
                    </w:rPr>
                  </w:pPr>
                </w:p>
                <w:p w:rsidR="00E15423" w:rsidRPr="0070083F" w:rsidRDefault="00E15423" w:rsidP="00E15423">
                  <w:pPr>
                    <w:tabs>
                      <w:tab w:val="left" w:pos="567"/>
                    </w:tabs>
                    <w:jc w:val="both"/>
                    <w:rPr>
                      <w:b/>
                      <w:lang w:eastAsia="lv-LV"/>
                    </w:rPr>
                  </w:pPr>
                  <w:r w:rsidRPr="001961E2">
                    <w:rPr>
                      <w:b/>
                      <w:lang w:eastAsia="lv-LV"/>
                    </w:rPr>
                    <w:t>Valsts robežsardze</w:t>
                  </w:r>
                </w:p>
                <w:p w:rsidR="00E15423" w:rsidRPr="0070083F" w:rsidRDefault="00E15423" w:rsidP="00E15423">
                  <w:pPr>
                    <w:pStyle w:val="naisf"/>
                    <w:spacing w:before="0" w:after="0"/>
                    <w:rPr>
                      <w:sz w:val="22"/>
                      <w:szCs w:val="22"/>
                    </w:rPr>
                  </w:pPr>
                  <w:r w:rsidRPr="0070083F">
                    <w:rPr>
                      <w:sz w:val="22"/>
                      <w:szCs w:val="22"/>
                    </w:rPr>
                    <w:t>Budžeta programmā 10.00.00 „Valsts robežsardzes darbība” papildu nepieciešams finansējums:</w:t>
                  </w:r>
                </w:p>
                <w:p w:rsidR="00E15423" w:rsidRPr="0070083F" w:rsidRDefault="00E15423" w:rsidP="00E15423">
                  <w:pPr>
                    <w:pStyle w:val="naisf"/>
                    <w:spacing w:before="0" w:after="0"/>
                    <w:rPr>
                      <w:b/>
                      <w:sz w:val="22"/>
                      <w:szCs w:val="22"/>
                    </w:rPr>
                  </w:pPr>
                  <w:r w:rsidRPr="0070083F">
                    <w:rPr>
                      <w:b/>
                      <w:sz w:val="22"/>
                      <w:szCs w:val="22"/>
                    </w:rPr>
                    <w:t xml:space="preserve">2015.gadā </w:t>
                  </w:r>
                  <w:r w:rsidRPr="0070083F">
                    <w:rPr>
                      <w:b/>
                      <w:sz w:val="22"/>
                      <w:szCs w:val="22"/>
                    </w:rPr>
                    <w:sym w:font="Symbol" w:char="F02D"/>
                  </w:r>
                  <w:r w:rsidRPr="0070083F">
                    <w:rPr>
                      <w:b/>
                      <w:sz w:val="22"/>
                      <w:szCs w:val="22"/>
                    </w:rPr>
                    <w:t xml:space="preserve">  34 722 </w:t>
                  </w:r>
                  <w:r w:rsidRPr="0070083F">
                    <w:rPr>
                      <w:b/>
                      <w:i/>
                      <w:sz w:val="22"/>
                      <w:szCs w:val="22"/>
                    </w:rPr>
                    <w:t>euro</w:t>
                  </w:r>
                  <w:r w:rsidRPr="0070083F">
                    <w:rPr>
                      <w:b/>
                      <w:sz w:val="22"/>
                      <w:szCs w:val="22"/>
                    </w:rPr>
                    <w:t>;</w:t>
                  </w:r>
                </w:p>
                <w:p w:rsidR="00E15423" w:rsidRPr="0070083F" w:rsidRDefault="00E15423" w:rsidP="00E15423">
                  <w:pPr>
                    <w:pStyle w:val="naisf"/>
                    <w:spacing w:before="0" w:after="0"/>
                    <w:rPr>
                      <w:b/>
                      <w:sz w:val="22"/>
                      <w:szCs w:val="22"/>
                    </w:rPr>
                  </w:pPr>
                  <w:r w:rsidRPr="0070083F">
                    <w:rPr>
                      <w:b/>
                      <w:sz w:val="22"/>
                      <w:szCs w:val="22"/>
                    </w:rPr>
                    <w:t xml:space="preserve">2016.gadā un turpmāk ik gadu </w:t>
                  </w:r>
                  <w:r w:rsidRPr="0070083F">
                    <w:rPr>
                      <w:b/>
                      <w:sz w:val="22"/>
                      <w:szCs w:val="22"/>
                    </w:rPr>
                    <w:sym w:font="Symbol" w:char="F02D"/>
                  </w:r>
                  <w:r w:rsidRPr="0070083F">
                    <w:rPr>
                      <w:b/>
                      <w:sz w:val="22"/>
                      <w:szCs w:val="22"/>
                    </w:rPr>
                    <w:t xml:space="preserve">  16 572 </w:t>
                  </w:r>
                  <w:r w:rsidRPr="0070083F">
                    <w:rPr>
                      <w:b/>
                      <w:i/>
                      <w:sz w:val="22"/>
                      <w:szCs w:val="22"/>
                    </w:rPr>
                    <w:t>euro</w:t>
                  </w:r>
                  <w:r w:rsidRPr="0070083F">
                    <w:rPr>
                      <w:b/>
                      <w:sz w:val="22"/>
                      <w:szCs w:val="22"/>
                    </w:rPr>
                    <w:t>.</w:t>
                  </w:r>
                </w:p>
                <w:p w:rsidR="00E15423" w:rsidRPr="0070083F" w:rsidRDefault="00E15423" w:rsidP="00E15423">
                  <w:pPr>
                    <w:tabs>
                      <w:tab w:val="left" w:pos="567"/>
                    </w:tabs>
                    <w:jc w:val="both"/>
                    <w:rPr>
                      <w:lang w:eastAsia="lv-LV"/>
                    </w:rPr>
                  </w:pPr>
                  <w:r w:rsidRPr="0070083F">
                    <w:rPr>
                      <w:lang w:eastAsia="lv-LV"/>
                    </w:rPr>
                    <w:t xml:space="preserve">Valsts robežsardzei noteikumu projekta īstenošanai ir nepieciešams izvedot vienu papildu amata vietu, kā arī veikt </w:t>
                  </w:r>
                  <w:r w:rsidRPr="0070083F">
                    <w:rPr>
                      <w:lang w:eastAsia="lv-LV"/>
                    </w:rPr>
                    <w:lastRenderedPageBreak/>
                    <w:t>10 nodarbināto apmācības ar i2 Analyst`s Notebook Premium.</w:t>
                  </w:r>
                </w:p>
                <w:p w:rsidR="00E15423" w:rsidRPr="0070083F" w:rsidRDefault="00E15423" w:rsidP="00E15423">
                  <w:pPr>
                    <w:tabs>
                      <w:tab w:val="left" w:pos="567"/>
                    </w:tabs>
                    <w:jc w:val="both"/>
                    <w:rPr>
                      <w:lang w:eastAsia="lv-LV"/>
                    </w:rPr>
                  </w:pPr>
                  <w:r w:rsidRPr="0070083F">
                    <w:rPr>
                      <w:lang w:eastAsia="lv-LV"/>
                    </w:rPr>
                    <w:t xml:space="preserve">Amata vietas izveidošanas izdevumi 2015.gadā un turpmāk ik gadu 16 572 </w:t>
                  </w:r>
                  <w:r w:rsidRPr="0070083F">
                    <w:rPr>
                      <w:i/>
                      <w:lang w:eastAsia="lv-LV"/>
                    </w:rPr>
                    <w:t>euro</w:t>
                  </w:r>
                  <w:r w:rsidRPr="0070083F">
                    <w:rPr>
                      <w:lang w:eastAsia="lv-LV"/>
                    </w:rPr>
                    <w:t>.</w:t>
                  </w:r>
                  <w:r>
                    <w:rPr>
                      <w:lang w:eastAsia="lv-LV"/>
                    </w:rPr>
                    <w:t xml:space="preserve"> </w:t>
                  </w:r>
                  <w:r w:rsidRPr="0070083F">
                    <w:rPr>
                      <w:lang w:eastAsia="lv-LV"/>
                    </w:rPr>
                    <w:t>Detalizētu amata vietu izveidošanai papildu nepieciešamā fi</w:t>
                  </w:r>
                  <w:r>
                    <w:rPr>
                      <w:lang w:eastAsia="lv-LV"/>
                    </w:rPr>
                    <w:t xml:space="preserve">nansējuma aprēķinu skatīt plānā </w:t>
                  </w:r>
                  <w:r w:rsidRPr="0070083F">
                    <w:rPr>
                      <w:lang w:eastAsia="lv-LV"/>
                    </w:rPr>
                    <w:t>„Organizētās noziedzības novēršanas un apkarošanas plāns 2014.-2016.gadam” (</w:t>
                  </w:r>
                  <w:r>
                    <w:rPr>
                      <w:lang w:eastAsia="lv-LV"/>
                    </w:rPr>
                    <w:t>Ministru kabineta 2014.gada 5.jūnija rīkojums Nr.276</w:t>
                  </w:r>
                  <w:r w:rsidRPr="0070083F">
                    <w:rPr>
                      <w:lang w:eastAsia="lv-LV"/>
                    </w:rPr>
                    <w:t>); pasākums Nr.2.5.</w:t>
                  </w:r>
                </w:p>
                <w:p w:rsidR="00E15423" w:rsidRPr="0070083F" w:rsidRDefault="00E15423" w:rsidP="00E15423">
                  <w:pPr>
                    <w:tabs>
                      <w:tab w:val="left" w:pos="567"/>
                    </w:tabs>
                    <w:jc w:val="both"/>
                    <w:rPr>
                      <w:lang w:eastAsia="lv-LV"/>
                    </w:rPr>
                  </w:pPr>
                  <w:r w:rsidRPr="0070083F">
                    <w:rPr>
                      <w:lang w:eastAsia="lv-LV"/>
                    </w:rPr>
                    <w:t xml:space="preserve">2015.gadā nepieciešami izdevumi 10 nodarbināto apmācībai ar i2 Analyst`s Notebook Premium  (IKK 2279): 18 150 </w:t>
                  </w:r>
                  <w:r w:rsidRPr="0070083F">
                    <w:rPr>
                      <w:i/>
                      <w:lang w:eastAsia="lv-LV"/>
                    </w:rPr>
                    <w:t>euro</w:t>
                  </w:r>
                  <w:r w:rsidRPr="0070083F">
                    <w:rPr>
                      <w:lang w:eastAsia="lv-LV"/>
                    </w:rPr>
                    <w:t>.</w:t>
                  </w:r>
                </w:p>
                <w:p w:rsidR="00E15423" w:rsidRPr="0070083F" w:rsidRDefault="00E15423" w:rsidP="00E15423">
                  <w:pPr>
                    <w:pStyle w:val="naisf"/>
                    <w:tabs>
                      <w:tab w:val="left" w:pos="4644"/>
                    </w:tabs>
                    <w:spacing w:before="0" w:after="0"/>
                    <w:rPr>
                      <w:sz w:val="22"/>
                      <w:szCs w:val="22"/>
                    </w:rPr>
                  </w:pPr>
                  <w:r w:rsidRPr="0070083F">
                    <w:rPr>
                      <w:b/>
                      <w:sz w:val="22"/>
                      <w:szCs w:val="22"/>
                    </w:rPr>
                    <w:t>Iekšlietu ministrijas Informācijas centrs</w:t>
                  </w:r>
                  <w:r w:rsidRPr="0070083F">
                    <w:rPr>
                      <w:sz w:val="22"/>
                      <w:szCs w:val="22"/>
                    </w:rPr>
                    <w:t xml:space="preserve"> (Valsts robežsardzes vajadzībām)</w:t>
                  </w:r>
                </w:p>
                <w:p w:rsidR="00E15423" w:rsidRPr="0070083F" w:rsidRDefault="00E15423" w:rsidP="00E15423">
                  <w:pPr>
                    <w:pStyle w:val="naisf"/>
                    <w:tabs>
                      <w:tab w:val="left" w:pos="4644"/>
                    </w:tabs>
                    <w:spacing w:before="0" w:after="0"/>
                    <w:rPr>
                      <w:sz w:val="22"/>
                      <w:szCs w:val="22"/>
                    </w:rPr>
                  </w:pPr>
                  <w:r w:rsidRPr="0070083F">
                    <w:rPr>
                      <w:sz w:val="22"/>
                      <w:szCs w:val="22"/>
                    </w:rPr>
                    <w:t>Budžeta apakšprogramma 02.03.00 „Vienotās sakaru un informācijas sistēmas uzturēšana un vadība”</w:t>
                  </w:r>
                </w:p>
                <w:p w:rsidR="00E15423" w:rsidRPr="0070083F" w:rsidRDefault="00E15423" w:rsidP="00E15423">
                  <w:pPr>
                    <w:pStyle w:val="naisf"/>
                    <w:spacing w:before="0" w:after="0"/>
                    <w:rPr>
                      <w:b/>
                      <w:sz w:val="22"/>
                      <w:szCs w:val="22"/>
                    </w:rPr>
                  </w:pPr>
                  <w:r w:rsidRPr="0070083F">
                    <w:rPr>
                      <w:b/>
                      <w:sz w:val="22"/>
                      <w:szCs w:val="22"/>
                    </w:rPr>
                    <w:t xml:space="preserve">2015.gadā </w:t>
                  </w:r>
                  <w:r w:rsidRPr="0070083F">
                    <w:rPr>
                      <w:b/>
                      <w:sz w:val="22"/>
                      <w:szCs w:val="22"/>
                    </w:rPr>
                    <w:sym w:font="Symbol" w:char="F02D"/>
                  </w:r>
                  <w:r w:rsidRPr="0070083F">
                    <w:rPr>
                      <w:b/>
                      <w:sz w:val="22"/>
                      <w:szCs w:val="22"/>
                    </w:rPr>
                    <w:t xml:space="preserve">  64 130 </w:t>
                  </w:r>
                  <w:r w:rsidRPr="0070083F">
                    <w:rPr>
                      <w:b/>
                      <w:i/>
                      <w:sz w:val="22"/>
                      <w:szCs w:val="22"/>
                    </w:rPr>
                    <w:t>euro</w:t>
                  </w:r>
                  <w:r w:rsidRPr="0070083F">
                    <w:rPr>
                      <w:b/>
                      <w:sz w:val="22"/>
                      <w:szCs w:val="22"/>
                    </w:rPr>
                    <w:t>;</w:t>
                  </w:r>
                </w:p>
                <w:p w:rsidR="00E15423" w:rsidRPr="0070083F" w:rsidRDefault="00E15423" w:rsidP="00E15423">
                  <w:pPr>
                    <w:pStyle w:val="naisf"/>
                    <w:spacing w:before="0" w:after="0"/>
                    <w:rPr>
                      <w:b/>
                      <w:sz w:val="22"/>
                      <w:szCs w:val="22"/>
                    </w:rPr>
                  </w:pPr>
                  <w:r w:rsidRPr="0070083F">
                    <w:rPr>
                      <w:b/>
                      <w:sz w:val="22"/>
                      <w:szCs w:val="22"/>
                    </w:rPr>
                    <w:t xml:space="preserve">2016.gadā un turpmāk ik gadu </w:t>
                  </w:r>
                  <w:r w:rsidRPr="0070083F">
                    <w:rPr>
                      <w:b/>
                      <w:sz w:val="22"/>
                      <w:szCs w:val="22"/>
                    </w:rPr>
                    <w:sym w:font="Symbol" w:char="F02D"/>
                  </w:r>
                  <w:r w:rsidRPr="0070083F">
                    <w:rPr>
                      <w:b/>
                      <w:sz w:val="22"/>
                      <w:szCs w:val="22"/>
                    </w:rPr>
                    <w:t xml:space="preserve">  19 239 </w:t>
                  </w:r>
                  <w:r w:rsidRPr="0070083F">
                    <w:rPr>
                      <w:b/>
                      <w:i/>
                      <w:sz w:val="22"/>
                      <w:szCs w:val="22"/>
                    </w:rPr>
                    <w:t>euro</w:t>
                  </w:r>
                  <w:r w:rsidRPr="0070083F">
                    <w:rPr>
                      <w:b/>
                      <w:sz w:val="22"/>
                      <w:szCs w:val="22"/>
                    </w:rPr>
                    <w:t>.</w:t>
                  </w:r>
                </w:p>
                <w:p w:rsidR="00E15423" w:rsidRPr="0070083F" w:rsidRDefault="00E15423" w:rsidP="00E15423">
                  <w:pPr>
                    <w:pStyle w:val="naisf"/>
                    <w:tabs>
                      <w:tab w:val="left" w:pos="4644"/>
                    </w:tabs>
                    <w:spacing w:before="0" w:after="0"/>
                    <w:rPr>
                      <w:sz w:val="22"/>
                      <w:szCs w:val="22"/>
                    </w:rPr>
                  </w:pPr>
                  <w:r w:rsidRPr="0070083F">
                    <w:rPr>
                      <w:sz w:val="22"/>
                      <w:szCs w:val="22"/>
                    </w:rPr>
                    <w:t xml:space="preserve">Aprēķins pielikumā. </w:t>
                  </w:r>
                </w:p>
                <w:p w:rsidR="00E15423" w:rsidRPr="0070083F" w:rsidRDefault="00E15423" w:rsidP="00E15423">
                  <w:pPr>
                    <w:tabs>
                      <w:tab w:val="left" w:pos="567"/>
                    </w:tabs>
                    <w:jc w:val="both"/>
                    <w:rPr>
                      <w:b/>
                      <w:lang w:eastAsia="lv-LV"/>
                    </w:rPr>
                  </w:pPr>
                  <w:r w:rsidRPr="0070083F">
                    <w:rPr>
                      <w:b/>
                      <w:lang w:eastAsia="lv-LV"/>
                    </w:rPr>
                    <w:t>Valsts policija</w:t>
                  </w:r>
                </w:p>
                <w:p w:rsidR="00E15423" w:rsidRPr="0070083F" w:rsidRDefault="00E15423" w:rsidP="00E15423">
                  <w:pPr>
                    <w:pStyle w:val="naisf"/>
                    <w:spacing w:before="0" w:after="0"/>
                    <w:rPr>
                      <w:sz w:val="22"/>
                      <w:szCs w:val="22"/>
                    </w:rPr>
                  </w:pPr>
                  <w:r w:rsidRPr="0070083F">
                    <w:rPr>
                      <w:sz w:val="22"/>
                      <w:szCs w:val="22"/>
                    </w:rPr>
                    <w:t>Budžeta apakšprogrammā 06.01.00 „Valsts policija” papildu nepieciešams finansējums:</w:t>
                  </w:r>
                </w:p>
                <w:p w:rsidR="00E15423" w:rsidRPr="0070083F" w:rsidRDefault="00E15423" w:rsidP="00E15423">
                  <w:pPr>
                    <w:pStyle w:val="naisf"/>
                    <w:spacing w:before="0" w:after="0"/>
                    <w:rPr>
                      <w:b/>
                      <w:sz w:val="22"/>
                      <w:szCs w:val="22"/>
                    </w:rPr>
                  </w:pPr>
                  <w:r w:rsidRPr="0070083F">
                    <w:rPr>
                      <w:b/>
                      <w:sz w:val="22"/>
                      <w:szCs w:val="22"/>
                    </w:rPr>
                    <w:t xml:space="preserve">2015.gadā </w:t>
                  </w:r>
                  <w:r w:rsidRPr="0070083F">
                    <w:rPr>
                      <w:b/>
                      <w:sz w:val="22"/>
                      <w:szCs w:val="22"/>
                    </w:rPr>
                    <w:sym w:font="Symbol" w:char="F02D"/>
                  </w:r>
                  <w:r w:rsidRPr="0070083F">
                    <w:rPr>
                      <w:b/>
                      <w:sz w:val="22"/>
                      <w:szCs w:val="22"/>
                    </w:rPr>
                    <w:t xml:space="preserve">  214 357 </w:t>
                  </w:r>
                  <w:r w:rsidRPr="0070083F">
                    <w:rPr>
                      <w:b/>
                      <w:i/>
                      <w:sz w:val="22"/>
                      <w:szCs w:val="22"/>
                    </w:rPr>
                    <w:t>euro</w:t>
                  </w:r>
                  <w:r w:rsidRPr="0070083F">
                    <w:rPr>
                      <w:b/>
                      <w:sz w:val="22"/>
                      <w:szCs w:val="22"/>
                    </w:rPr>
                    <w:t>;</w:t>
                  </w:r>
                </w:p>
                <w:p w:rsidR="00E15423" w:rsidRPr="0070083F" w:rsidRDefault="00E15423" w:rsidP="00E15423">
                  <w:pPr>
                    <w:pStyle w:val="naisf"/>
                    <w:spacing w:before="0" w:after="0"/>
                    <w:rPr>
                      <w:b/>
                      <w:sz w:val="22"/>
                      <w:szCs w:val="22"/>
                    </w:rPr>
                  </w:pPr>
                  <w:r w:rsidRPr="0070083F">
                    <w:rPr>
                      <w:b/>
                      <w:sz w:val="22"/>
                      <w:szCs w:val="22"/>
                    </w:rPr>
                    <w:t xml:space="preserve">2016.gadā un turpmāk ik gadu </w:t>
                  </w:r>
                  <w:r w:rsidRPr="0070083F">
                    <w:rPr>
                      <w:b/>
                      <w:sz w:val="22"/>
                      <w:szCs w:val="22"/>
                    </w:rPr>
                    <w:sym w:font="Symbol" w:char="F02D"/>
                  </w:r>
                  <w:r w:rsidRPr="0070083F">
                    <w:rPr>
                      <w:b/>
                      <w:sz w:val="22"/>
                      <w:szCs w:val="22"/>
                    </w:rPr>
                    <w:t xml:space="preserve"> 147 384 </w:t>
                  </w:r>
                  <w:r w:rsidRPr="0070083F">
                    <w:rPr>
                      <w:b/>
                      <w:i/>
                      <w:sz w:val="22"/>
                      <w:szCs w:val="22"/>
                    </w:rPr>
                    <w:t>euro</w:t>
                  </w:r>
                  <w:r w:rsidRPr="0070083F">
                    <w:rPr>
                      <w:b/>
                      <w:sz w:val="22"/>
                      <w:szCs w:val="22"/>
                    </w:rPr>
                    <w:t>.</w:t>
                  </w:r>
                </w:p>
                <w:p w:rsidR="00E15423" w:rsidRDefault="00E15423" w:rsidP="00E15423">
                  <w:pPr>
                    <w:pStyle w:val="naisf"/>
                    <w:tabs>
                      <w:tab w:val="left" w:pos="4644"/>
                    </w:tabs>
                    <w:spacing w:before="0" w:after="0"/>
                    <w:rPr>
                      <w:sz w:val="22"/>
                      <w:szCs w:val="22"/>
                    </w:rPr>
                  </w:pPr>
                  <w:r w:rsidRPr="0070083F">
                    <w:rPr>
                      <w:sz w:val="22"/>
                      <w:szCs w:val="22"/>
                    </w:rPr>
                    <w:t xml:space="preserve">Aprēķins pielikumā. </w:t>
                  </w:r>
                </w:p>
                <w:p w:rsidR="00E15423" w:rsidRDefault="00E15423" w:rsidP="00E15423">
                  <w:pPr>
                    <w:pStyle w:val="naisf"/>
                    <w:tabs>
                      <w:tab w:val="left" w:pos="4644"/>
                    </w:tabs>
                    <w:spacing w:before="0" w:after="0"/>
                    <w:rPr>
                      <w:sz w:val="22"/>
                      <w:szCs w:val="22"/>
                    </w:rPr>
                  </w:pPr>
                </w:p>
                <w:p w:rsidR="00E15423" w:rsidRPr="000D05A7" w:rsidRDefault="00E15423" w:rsidP="00E15423">
                  <w:pPr>
                    <w:pStyle w:val="naisf"/>
                    <w:tabs>
                      <w:tab w:val="left" w:pos="4644"/>
                    </w:tabs>
                    <w:spacing w:before="0" w:after="0"/>
                    <w:rPr>
                      <w:sz w:val="22"/>
                      <w:szCs w:val="22"/>
                    </w:rPr>
                  </w:pPr>
                  <w:r w:rsidRPr="000D05A7">
                    <w:rPr>
                      <w:b/>
                      <w:bCs/>
                      <w:color w:val="000000"/>
                      <w:sz w:val="22"/>
                      <w:szCs w:val="22"/>
                    </w:rPr>
                    <w:t>Latvijas Republikas Prokuratūra (Noziedzīgi iegūtu līdzekļu legalizācijas novēršanas dienests)</w:t>
                  </w:r>
                </w:p>
                <w:p w:rsidR="00E15423" w:rsidRPr="0070083F" w:rsidRDefault="00E15423" w:rsidP="00E15423">
                  <w:pPr>
                    <w:pStyle w:val="naisf"/>
                    <w:spacing w:before="0" w:after="0"/>
                    <w:rPr>
                      <w:sz w:val="22"/>
                      <w:szCs w:val="22"/>
                    </w:rPr>
                  </w:pPr>
                  <w:r w:rsidRPr="0070083F">
                    <w:rPr>
                      <w:sz w:val="22"/>
                      <w:szCs w:val="22"/>
                    </w:rPr>
                    <w:t>papildu nepieciešams finansējums:</w:t>
                  </w:r>
                </w:p>
                <w:p w:rsidR="00E15423" w:rsidRPr="0070083F" w:rsidRDefault="00E15423" w:rsidP="00E15423">
                  <w:pPr>
                    <w:pStyle w:val="naisf"/>
                    <w:spacing w:before="0" w:after="0"/>
                    <w:rPr>
                      <w:b/>
                      <w:sz w:val="22"/>
                      <w:szCs w:val="22"/>
                    </w:rPr>
                  </w:pPr>
                  <w:r w:rsidRPr="0070083F">
                    <w:rPr>
                      <w:b/>
                      <w:sz w:val="22"/>
                      <w:szCs w:val="22"/>
                    </w:rPr>
                    <w:t xml:space="preserve">2015.gadā </w:t>
                  </w:r>
                  <w:r w:rsidRPr="0070083F">
                    <w:rPr>
                      <w:b/>
                      <w:sz w:val="22"/>
                      <w:szCs w:val="22"/>
                    </w:rPr>
                    <w:sym w:font="Symbol" w:char="F02D"/>
                  </w:r>
                  <w:r>
                    <w:rPr>
                      <w:b/>
                      <w:sz w:val="22"/>
                      <w:szCs w:val="22"/>
                    </w:rPr>
                    <w:t xml:space="preserve"> 54 040</w:t>
                  </w:r>
                  <w:r w:rsidRPr="0070083F">
                    <w:rPr>
                      <w:b/>
                      <w:sz w:val="22"/>
                      <w:szCs w:val="22"/>
                    </w:rPr>
                    <w:t xml:space="preserve"> </w:t>
                  </w:r>
                  <w:r w:rsidRPr="0070083F">
                    <w:rPr>
                      <w:b/>
                      <w:i/>
                      <w:sz w:val="22"/>
                      <w:szCs w:val="22"/>
                    </w:rPr>
                    <w:t>euro;</w:t>
                  </w:r>
                </w:p>
                <w:p w:rsidR="00E15423" w:rsidRPr="0070083F" w:rsidRDefault="00E15423" w:rsidP="00E15423">
                  <w:pPr>
                    <w:pStyle w:val="naisf"/>
                    <w:spacing w:before="0" w:after="0"/>
                    <w:rPr>
                      <w:b/>
                      <w:sz w:val="22"/>
                      <w:szCs w:val="22"/>
                    </w:rPr>
                  </w:pPr>
                  <w:r w:rsidRPr="0070083F">
                    <w:rPr>
                      <w:b/>
                      <w:sz w:val="22"/>
                      <w:szCs w:val="22"/>
                    </w:rPr>
                    <w:t xml:space="preserve">2016.gadā  </w:t>
                  </w:r>
                  <w:r w:rsidRPr="0070083F">
                    <w:rPr>
                      <w:b/>
                      <w:sz w:val="22"/>
                      <w:szCs w:val="22"/>
                    </w:rPr>
                    <w:sym w:font="Symbol" w:char="F02D"/>
                  </w:r>
                  <w:r>
                    <w:rPr>
                      <w:b/>
                      <w:sz w:val="22"/>
                      <w:szCs w:val="22"/>
                    </w:rPr>
                    <w:t xml:space="preserve"> 45 672 </w:t>
                  </w:r>
                  <w:r w:rsidRPr="0070083F">
                    <w:rPr>
                      <w:b/>
                      <w:i/>
                      <w:sz w:val="22"/>
                      <w:szCs w:val="22"/>
                    </w:rPr>
                    <w:t>euro;</w:t>
                  </w:r>
                </w:p>
                <w:p w:rsidR="00E15423" w:rsidRPr="0070083F" w:rsidRDefault="00E15423" w:rsidP="00E15423">
                  <w:pPr>
                    <w:pStyle w:val="naisf"/>
                    <w:spacing w:before="0" w:after="0"/>
                    <w:rPr>
                      <w:b/>
                      <w:i/>
                      <w:sz w:val="22"/>
                      <w:szCs w:val="22"/>
                    </w:rPr>
                  </w:pPr>
                  <w:r w:rsidRPr="0070083F">
                    <w:rPr>
                      <w:b/>
                      <w:sz w:val="22"/>
                      <w:szCs w:val="22"/>
                    </w:rPr>
                    <w:t xml:space="preserve">2017.gadā un turpmāk ik gadu </w:t>
                  </w:r>
                  <w:r w:rsidRPr="0070083F">
                    <w:rPr>
                      <w:b/>
                      <w:sz w:val="22"/>
                      <w:szCs w:val="22"/>
                    </w:rPr>
                    <w:sym w:font="Symbol" w:char="F02D"/>
                  </w:r>
                  <w:r>
                    <w:rPr>
                      <w:b/>
                      <w:sz w:val="22"/>
                      <w:szCs w:val="22"/>
                    </w:rPr>
                    <w:t xml:space="preserve"> 40 672</w:t>
                  </w:r>
                  <w:r w:rsidRPr="0070083F">
                    <w:rPr>
                      <w:b/>
                      <w:sz w:val="22"/>
                      <w:szCs w:val="22"/>
                    </w:rPr>
                    <w:t xml:space="preserve"> </w:t>
                  </w:r>
                  <w:r w:rsidRPr="0070083F">
                    <w:rPr>
                      <w:b/>
                      <w:i/>
                      <w:sz w:val="22"/>
                      <w:szCs w:val="22"/>
                    </w:rPr>
                    <w:t>euro.</w:t>
                  </w:r>
                </w:p>
                <w:p w:rsidR="00E15423" w:rsidRDefault="00E15423" w:rsidP="00E15423">
                  <w:pPr>
                    <w:pStyle w:val="naisf"/>
                    <w:tabs>
                      <w:tab w:val="left" w:pos="4644"/>
                    </w:tabs>
                    <w:spacing w:before="0" w:after="0"/>
                    <w:rPr>
                      <w:sz w:val="22"/>
                      <w:szCs w:val="22"/>
                    </w:rPr>
                  </w:pPr>
                  <w:r w:rsidRPr="0070083F">
                    <w:rPr>
                      <w:sz w:val="22"/>
                      <w:szCs w:val="22"/>
                    </w:rPr>
                    <w:t xml:space="preserve">Aprēķins pielikumā. </w:t>
                  </w:r>
                </w:p>
                <w:p w:rsidR="00E15423" w:rsidRDefault="00E15423" w:rsidP="00E15423">
                  <w:pPr>
                    <w:jc w:val="both"/>
                  </w:pPr>
                </w:p>
                <w:p w:rsidR="00E15423" w:rsidRDefault="00E15423" w:rsidP="00E15423">
                  <w:pPr>
                    <w:pStyle w:val="naisf"/>
                    <w:tabs>
                      <w:tab w:val="left" w:pos="4644"/>
                    </w:tabs>
                    <w:spacing w:before="0" w:after="0"/>
                    <w:rPr>
                      <w:b/>
                      <w:sz w:val="22"/>
                      <w:szCs w:val="22"/>
                    </w:rPr>
                  </w:pPr>
                  <w:r w:rsidRPr="007F5662">
                    <w:rPr>
                      <w:b/>
                      <w:sz w:val="22"/>
                      <w:szCs w:val="22"/>
                    </w:rPr>
                    <w:t>Tieslietu ministrija (Ieslodzījuma vietu pārvalde)</w:t>
                  </w:r>
                </w:p>
                <w:p w:rsidR="00E15423" w:rsidRPr="0070083F" w:rsidRDefault="00E15423" w:rsidP="00E15423">
                  <w:pPr>
                    <w:pStyle w:val="naisf"/>
                    <w:spacing w:before="0" w:after="0"/>
                    <w:rPr>
                      <w:sz w:val="22"/>
                      <w:szCs w:val="22"/>
                    </w:rPr>
                  </w:pPr>
                  <w:r w:rsidRPr="0070083F">
                    <w:rPr>
                      <w:sz w:val="22"/>
                      <w:szCs w:val="22"/>
                    </w:rPr>
                    <w:t xml:space="preserve">Budžeta </w:t>
                  </w:r>
                  <w:r>
                    <w:rPr>
                      <w:sz w:val="22"/>
                      <w:szCs w:val="22"/>
                    </w:rPr>
                    <w:t>apakšprogrammā 04.01</w:t>
                  </w:r>
                  <w:r w:rsidRPr="0070083F">
                    <w:rPr>
                      <w:sz w:val="22"/>
                      <w:szCs w:val="22"/>
                    </w:rPr>
                    <w:t>.00 „</w:t>
                  </w:r>
                  <w:r>
                    <w:rPr>
                      <w:sz w:val="22"/>
                      <w:szCs w:val="22"/>
                    </w:rPr>
                    <w:t>Ieslodzījuma vietas</w:t>
                  </w:r>
                  <w:r w:rsidRPr="0070083F">
                    <w:rPr>
                      <w:sz w:val="22"/>
                      <w:szCs w:val="22"/>
                    </w:rPr>
                    <w:t>” papildu nepieciešams finansējums:</w:t>
                  </w:r>
                </w:p>
                <w:p w:rsidR="00E15423" w:rsidRPr="0070083F" w:rsidRDefault="00E15423" w:rsidP="00E15423">
                  <w:pPr>
                    <w:pStyle w:val="naisf"/>
                    <w:spacing w:before="0" w:after="0"/>
                    <w:rPr>
                      <w:b/>
                      <w:sz w:val="22"/>
                      <w:szCs w:val="22"/>
                    </w:rPr>
                  </w:pPr>
                  <w:r w:rsidRPr="0070083F">
                    <w:rPr>
                      <w:b/>
                      <w:sz w:val="22"/>
                      <w:szCs w:val="22"/>
                    </w:rPr>
                    <w:t xml:space="preserve">2015.gadā </w:t>
                  </w:r>
                  <w:r w:rsidRPr="0070083F">
                    <w:rPr>
                      <w:b/>
                      <w:sz w:val="22"/>
                      <w:szCs w:val="22"/>
                    </w:rPr>
                    <w:sym w:font="Symbol" w:char="F02D"/>
                  </w:r>
                  <w:r w:rsidRPr="0070083F">
                    <w:rPr>
                      <w:b/>
                      <w:sz w:val="22"/>
                      <w:szCs w:val="22"/>
                    </w:rPr>
                    <w:t xml:space="preserve">  </w:t>
                  </w:r>
                  <w:r>
                    <w:rPr>
                      <w:b/>
                      <w:sz w:val="22"/>
                      <w:szCs w:val="22"/>
                    </w:rPr>
                    <w:t>37 227</w:t>
                  </w:r>
                  <w:r w:rsidRPr="0070083F">
                    <w:rPr>
                      <w:b/>
                      <w:sz w:val="22"/>
                      <w:szCs w:val="22"/>
                    </w:rPr>
                    <w:t xml:space="preserve"> </w:t>
                  </w:r>
                  <w:r w:rsidRPr="0070083F">
                    <w:rPr>
                      <w:b/>
                      <w:i/>
                      <w:sz w:val="22"/>
                      <w:szCs w:val="22"/>
                    </w:rPr>
                    <w:t>euro</w:t>
                  </w:r>
                  <w:r w:rsidRPr="0070083F">
                    <w:rPr>
                      <w:b/>
                      <w:sz w:val="22"/>
                      <w:szCs w:val="22"/>
                    </w:rPr>
                    <w:t>;</w:t>
                  </w:r>
                </w:p>
                <w:p w:rsidR="00E15423" w:rsidRPr="0070083F" w:rsidRDefault="00E15423" w:rsidP="00E15423">
                  <w:pPr>
                    <w:pStyle w:val="naisf"/>
                    <w:spacing w:before="0" w:after="0"/>
                    <w:rPr>
                      <w:b/>
                      <w:sz w:val="22"/>
                      <w:szCs w:val="22"/>
                    </w:rPr>
                  </w:pPr>
                  <w:r w:rsidRPr="0070083F">
                    <w:rPr>
                      <w:b/>
                      <w:sz w:val="22"/>
                      <w:szCs w:val="22"/>
                    </w:rPr>
                    <w:t xml:space="preserve">2016.gadā un turpmāk ik gadu </w:t>
                  </w:r>
                  <w:r w:rsidRPr="0070083F">
                    <w:rPr>
                      <w:b/>
                      <w:sz w:val="22"/>
                      <w:szCs w:val="22"/>
                    </w:rPr>
                    <w:sym w:font="Symbol" w:char="F02D"/>
                  </w:r>
                  <w:r w:rsidRPr="0070083F">
                    <w:rPr>
                      <w:b/>
                      <w:sz w:val="22"/>
                      <w:szCs w:val="22"/>
                    </w:rPr>
                    <w:t xml:space="preserve">  </w:t>
                  </w:r>
                  <w:r>
                    <w:rPr>
                      <w:b/>
                      <w:sz w:val="22"/>
                      <w:szCs w:val="22"/>
                    </w:rPr>
                    <w:t>15 268</w:t>
                  </w:r>
                  <w:r w:rsidRPr="0070083F">
                    <w:rPr>
                      <w:b/>
                      <w:sz w:val="22"/>
                      <w:szCs w:val="22"/>
                    </w:rPr>
                    <w:t xml:space="preserve"> </w:t>
                  </w:r>
                  <w:r w:rsidRPr="0070083F">
                    <w:rPr>
                      <w:b/>
                      <w:i/>
                      <w:sz w:val="22"/>
                      <w:szCs w:val="22"/>
                    </w:rPr>
                    <w:t>euro</w:t>
                  </w:r>
                  <w:r w:rsidRPr="0070083F">
                    <w:rPr>
                      <w:b/>
                      <w:sz w:val="22"/>
                      <w:szCs w:val="22"/>
                    </w:rPr>
                    <w:t>.</w:t>
                  </w:r>
                </w:p>
                <w:p w:rsidR="00E15423" w:rsidRPr="0070083F" w:rsidRDefault="00E15423" w:rsidP="00E15423">
                  <w:pPr>
                    <w:tabs>
                      <w:tab w:val="left" w:pos="567"/>
                    </w:tabs>
                    <w:jc w:val="both"/>
                    <w:rPr>
                      <w:lang w:eastAsia="lv-LV"/>
                    </w:rPr>
                  </w:pPr>
                  <w:r w:rsidRPr="0070083F">
                    <w:rPr>
                      <w:lang w:eastAsia="lv-LV"/>
                    </w:rPr>
                    <w:t>Detalizētu papildu nepieciešamā f</w:t>
                  </w:r>
                  <w:r>
                    <w:rPr>
                      <w:lang w:eastAsia="lv-LV"/>
                    </w:rPr>
                    <w:t>inansējuma aprēķinu skatīt plānā</w:t>
                  </w:r>
                  <w:r w:rsidRPr="0070083F">
                    <w:rPr>
                      <w:lang w:eastAsia="lv-LV"/>
                    </w:rPr>
                    <w:t xml:space="preserve"> „Organizētās noziedzības novēršanas un apkarošanas plāns 2014.-2016.gadam” (</w:t>
                  </w:r>
                  <w:r>
                    <w:rPr>
                      <w:lang w:eastAsia="lv-LV"/>
                    </w:rPr>
                    <w:t>Ministru kabineta 2014.gada 5.jūnija rīkojums Nr.276)</w:t>
                  </w:r>
                  <w:r w:rsidRPr="0070083F">
                    <w:rPr>
                      <w:lang w:eastAsia="lv-LV"/>
                    </w:rPr>
                    <w:t>; pasākums Nr.</w:t>
                  </w:r>
                  <w:r>
                    <w:rPr>
                      <w:lang w:eastAsia="lv-LV"/>
                    </w:rPr>
                    <w:t xml:space="preserve">1.8. un </w:t>
                  </w:r>
                  <w:r w:rsidRPr="0070083F">
                    <w:rPr>
                      <w:lang w:eastAsia="lv-LV"/>
                    </w:rPr>
                    <w:t>2.5.</w:t>
                  </w:r>
                </w:p>
                <w:p w:rsidR="00E15423" w:rsidRPr="0070083F" w:rsidRDefault="00E15423" w:rsidP="00E15423">
                  <w:pPr>
                    <w:pStyle w:val="naisf"/>
                    <w:tabs>
                      <w:tab w:val="left" w:pos="4644"/>
                    </w:tabs>
                    <w:spacing w:before="0" w:after="0"/>
                  </w:pPr>
                </w:p>
              </w:tc>
            </w:tr>
            <w:tr w:rsidR="00E15423" w:rsidRPr="005128C9" w:rsidTr="00E4612D">
              <w:trPr>
                <w:jc w:val="center"/>
              </w:trPr>
              <w:tc>
                <w:tcPr>
                  <w:tcW w:w="3199" w:type="dxa"/>
                </w:tcPr>
                <w:p w:rsidR="00E15423" w:rsidRPr="0070083F" w:rsidRDefault="00E15423" w:rsidP="00E15423">
                  <w:r w:rsidRPr="0070083F">
                    <w:t>6.1. detalizēts ieņēmumu aprēķins</w:t>
                  </w:r>
                </w:p>
              </w:tc>
              <w:tc>
                <w:tcPr>
                  <w:tcW w:w="6058" w:type="dxa"/>
                  <w:gridSpan w:val="5"/>
                  <w:vMerge/>
                </w:tcPr>
                <w:p w:rsidR="00E15423" w:rsidRPr="0070083F" w:rsidRDefault="00E15423" w:rsidP="00E15423">
                  <w:pPr>
                    <w:pStyle w:val="naisf"/>
                    <w:spacing w:before="0" w:after="0"/>
                    <w:rPr>
                      <w:b/>
                      <w:i/>
                      <w:sz w:val="22"/>
                      <w:szCs w:val="22"/>
                    </w:rPr>
                  </w:pPr>
                </w:p>
              </w:tc>
            </w:tr>
            <w:tr w:rsidR="00E15423" w:rsidRPr="005128C9" w:rsidTr="00E4612D">
              <w:trPr>
                <w:jc w:val="center"/>
              </w:trPr>
              <w:tc>
                <w:tcPr>
                  <w:tcW w:w="3199" w:type="dxa"/>
                </w:tcPr>
                <w:p w:rsidR="00E15423" w:rsidRPr="0070083F" w:rsidRDefault="00E15423" w:rsidP="00E15423">
                  <w:r w:rsidRPr="0070083F">
                    <w:t>6.2. detalizēts izdevumu aprēķins</w:t>
                  </w:r>
                </w:p>
              </w:tc>
              <w:tc>
                <w:tcPr>
                  <w:tcW w:w="6058" w:type="dxa"/>
                  <w:gridSpan w:val="5"/>
                  <w:vMerge/>
                </w:tcPr>
                <w:p w:rsidR="00E15423" w:rsidRPr="0070083F" w:rsidRDefault="00E15423" w:rsidP="00E15423">
                  <w:pPr>
                    <w:pStyle w:val="naisf"/>
                    <w:spacing w:before="0" w:after="0"/>
                    <w:rPr>
                      <w:b/>
                      <w:i/>
                      <w:sz w:val="22"/>
                      <w:szCs w:val="22"/>
                    </w:rPr>
                  </w:pPr>
                </w:p>
              </w:tc>
            </w:tr>
            <w:tr w:rsidR="00E15423" w:rsidRPr="005128C9" w:rsidTr="00E4612D">
              <w:trPr>
                <w:trHeight w:val="556"/>
                <w:jc w:val="center"/>
              </w:trPr>
              <w:tc>
                <w:tcPr>
                  <w:tcW w:w="3199" w:type="dxa"/>
                </w:tcPr>
                <w:p w:rsidR="00E15423" w:rsidRPr="0070083F" w:rsidRDefault="00E15423" w:rsidP="00E15423">
                  <w:r w:rsidRPr="0070083F">
                    <w:lastRenderedPageBreak/>
                    <w:t>7. Cita informācija</w:t>
                  </w:r>
                </w:p>
              </w:tc>
              <w:tc>
                <w:tcPr>
                  <w:tcW w:w="6058" w:type="dxa"/>
                  <w:gridSpan w:val="5"/>
                </w:tcPr>
                <w:p w:rsidR="00E15423" w:rsidRPr="0070083F" w:rsidRDefault="00E15423" w:rsidP="00E15423">
                  <w:pPr>
                    <w:tabs>
                      <w:tab w:val="left" w:pos="567"/>
                    </w:tabs>
                    <w:jc w:val="both"/>
                    <w:rPr>
                      <w:lang w:eastAsia="lv-LV"/>
                    </w:rPr>
                  </w:pPr>
                  <w:r w:rsidRPr="0070083F">
                    <w:rPr>
                      <w:lang w:eastAsia="lv-LV"/>
                    </w:rPr>
                    <w:t>Noteikumu projekta ieviešanai kopā nepieciešams finansējums:</w:t>
                  </w:r>
                </w:p>
                <w:p w:rsidR="00E15423" w:rsidRPr="00F00EAC" w:rsidRDefault="00E15423" w:rsidP="00E15423">
                  <w:pPr>
                    <w:pStyle w:val="naisf"/>
                    <w:spacing w:before="0" w:after="0"/>
                    <w:rPr>
                      <w:b/>
                      <w:sz w:val="22"/>
                      <w:szCs w:val="22"/>
                    </w:rPr>
                  </w:pPr>
                  <w:r w:rsidRPr="00F00EAC">
                    <w:rPr>
                      <w:b/>
                      <w:sz w:val="22"/>
                      <w:szCs w:val="22"/>
                    </w:rPr>
                    <w:t xml:space="preserve">2015.gadā </w:t>
                  </w:r>
                  <w:r w:rsidRPr="00F00EAC">
                    <w:rPr>
                      <w:b/>
                      <w:sz w:val="22"/>
                      <w:szCs w:val="22"/>
                    </w:rPr>
                    <w:sym w:font="Symbol" w:char="F02D"/>
                  </w:r>
                  <w:r>
                    <w:rPr>
                      <w:b/>
                      <w:sz w:val="22"/>
                      <w:szCs w:val="22"/>
                    </w:rPr>
                    <w:t xml:space="preserve">  742 344</w:t>
                  </w:r>
                  <w:r w:rsidRPr="00F00EAC">
                    <w:rPr>
                      <w:b/>
                      <w:sz w:val="22"/>
                      <w:szCs w:val="22"/>
                    </w:rPr>
                    <w:t xml:space="preserve"> </w:t>
                  </w:r>
                  <w:r w:rsidRPr="00F00EAC">
                    <w:rPr>
                      <w:b/>
                      <w:i/>
                      <w:sz w:val="22"/>
                      <w:szCs w:val="22"/>
                    </w:rPr>
                    <w:t>euro;</w:t>
                  </w:r>
                </w:p>
                <w:p w:rsidR="00E15423" w:rsidRPr="00F00EAC" w:rsidRDefault="00E15423" w:rsidP="00E15423">
                  <w:pPr>
                    <w:pStyle w:val="naisf"/>
                    <w:spacing w:before="0" w:after="0"/>
                    <w:rPr>
                      <w:b/>
                      <w:sz w:val="22"/>
                      <w:szCs w:val="22"/>
                    </w:rPr>
                  </w:pPr>
                  <w:r w:rsidRPr="00F00EAC">
                    <w:rPr>
                      <w:b/>
                      <w:sz w:val="22"/>
                      <w:szCs w:val="22"/>
                    </w:rPr>
                    <w:t xml:space="preserve">2016.gadā  </w:t>
                  </w:r>
                  <w:r w:rsidRPr="00F00EAC">
                    <w:rPr>
                      <w:b/>
                      <w:sz w:val="22"/>
                      <w:szCs w:val="22"/>
                    </w:rPr>
                    <w:sym w:font="Symbol" w:char="F02D"/>
                  </w:r>
                  <w:r>
                    <w:rPr>
                      <w:b/>
                      <w:sz w:val="22"/>
                      <w:szCs w:val="22"/>
                    </w:rPr>
                    <w:t xml:space="preserve">  554 804 </w:t>
                  </w:r>
                  <w:r w:rsidRPr="00F00EAC">
                    <w:rPr>
                      <w:b/>
                      <w:i/>
                      <w:sz w:val="22"/>
                      <w:szCs w:val="22"/>
                    </w:rPr>
                    <w:t>euro;</w:t>
                  </w:r>
                </w:p>
                <w:p w:rsidR="00E15423" w:rsidRPr="00F00EAC" w:rsidRDefault="00E15423" w:rsidP="00E15423">
                  <w:pPr>
                    <w:pStyle w:val="naisf"/>
                    <w:spacing w:before="0" w:after="0"/>
                    <w:rPr>
                      <w:b/>
                      <w:i/>
                      <w:sz w:val="22"/>
                      <w:szCs w:val="22"/>
                    </w:rPr>
                  </w:pPr>
                  <w:r w:rsidRPr="00F00EAC">
                    <w:rPr>
                      <w:b/>
                      <w:sz w:val="22"/>
                      <w:szCs w:val="22"/>
                    </w:rPr>
                    <w:t xml:space="preserve">2017.gadā un turpmāk ik gadu </w:t>
                  </w:r>
                  <w:r w:rsidRPr="00F00EAC">
                    <w:rPr>
                      <w:b/>
                      <w:sz w:val="22"/>
                      <w:szCs w:val="22"/>
                    </w:rPr>
                    <w:sym w:font="Symbol" w:char="F02D"/>
                  </w:r>
                  <w:r>
                    <w:rPr>
                      <w:b/>
                      <w:sz w:val="22"/>
                      <w:szCs w:val="22"/>
                    </w:rPr>
                    <w:t xml:space="preserve">  457 419</w:t>
                  </w:r>
                  <w:r w:rsidRPr="00F00EAC">
                    <w:rPr>
                      <w:b/>
                      <w:sz w:val="22"/>
                      <w:szCs w:val="22"/>
                    </w:rPr>
                    <w:t xml:space="preserve"> </w:t>
                  </w:r>
                  <w:r w:rsidRPr="00F00EAC">
                    <w:rPr>
                      <w:b/>
                      <w:i/>
                      <w:sz w:val="22"/>
                      <w:szCs w:val="22"/>
                    </w:rPr>
                    <w:t>euro.</w:t>
                  </w:r>
                </w:p>
                <w:p w:rsidR="00E15423" w:rsidRPr="0070083F" w:rsidRDefault="00E15423" w:rsidP="00E15423">
                  <w:pPr>
                    <w:tabs>
                      <w:tab w:val="left" w:pos="567"/>
                    </w:tabs>
                    <w:ind w:firstLine="472"/>
                    <w:jc w:val="both"/>
                  </w:pPr>
                  <w:r w:rsidRPr="0070083F">
                    <w:rPr>
                      <w:lang w:eastAsia="lv-LV"/>
                    </w:rPr>
                    <w:t xml:space="preserve">Saskaņā ar </w:t>
                  </w:r>
                  <w:r>
                    <w:rPr>
                      <w:lang w:eastAsia="lv-LV"/>
                    </w:rPr>
                    <w:t>Ministru kabineta 2014.gada 5.jūnija rīkojumu Nr.276</w:t>
                  </w:r>
                  <w:r w:rsidRPr="0070083F">
                    <w:rPr>
                      <w:lang w:eastAsia="lv-LV"/>
                    </w:rPr>
                    <w:t xml:space="preserve"> „Par Organizētās noziedzības novēršanas un apkarošanas </w:t>
                  </w:r>
                  <w:r>
                    <w:rPr>
                      <w:lang w:eastAsia="lv-LV"/>
                    </w:rPr>
                    <w:t>plānu 2014.-2016.gadam”</w:t>
                  </w:r>
                  <w:r w:rsidRPr="0070083F">
                    <w:rPr>
                      <w:lang w:eastAsia="lv-LV"/>
                    </w:rPr>
                    <w:t xml:space="preserve"> </w:t>
                  </w:r>
                  <w:r w:rsidRPr="0070083F">
                    <w:t>jautājumu par papildu valsts budžeta līdzekļu piešķiršanu</w:t>
                  </w:r>
                  <w:r w:rsidRPr="0070083F">
                    <w:rPr>
                      <w:lang w:eastAsia="lv-LV"/>
                    </w:rPr>
                    <w:t xml:space="preserve"> Organizētās noziedzības novēršanas un apkarošanas plāna 2014.-2016.gadam </w:t>
                  </w:r>
                  <w:r w:rsidRPr="0070083F">
                    <w:rPr>
                      <w:lang w:eastAsia="lv-LV"/>
                    </w:rPr>
                    <w:lastRenderedPageBreak/>
                    <w:t xml:space="preserve">īstenošanai </w:t>
                  </w:r>
                  <w:r>
                    <w:t>jāizskata</w:t>
                  </w:r>
                  <w:r w:rsidRPr="0070083F">
                    <w:t xml:space="preserve"> Ministru kabinetā likumprojekta „Par valsts budžetu 2015.gadam” un likumprojekta „Par vidējā termiņa budžeta ietvaru 2015., 2016. un 2017.gadam” sagatavošanas procesā kopā ar visu ministriju un citu centrālo valsts iestāžu priekšlikumiem jaunajām</w:t>
                  </w:r>
                  <w:r>
                    <w:t xml:space="preserve"> politikas iniciatīvām. Rīkojumā</w:t>
                  </w:r>
                  <w:r w:rsidRPr="0070083F">
                    <w:t xml:space="preserve"> </w:t>
                  </w:r>
                  <w:r>
                    <w:rPr>
                      <w:lang w:eastAsia="lv-LV"/>
                    </w:rPr>
                    <w:t>Nr.276</w:t>
                  </w:r>
                  <w:r w:rsidRPr="0070083F">
                    <w:rPr>
                      <w:lang w:eastAsia="lv-LV"/>
                    </w:rPr>
                    <w:t xml:space="preserve"> </w:t>
                  </w:r>
                  <w:r w:rsidRPr="0070083F">
                    <w:t>iekļauts</w:t>
                  </w:r>
                  <w:r>
                    <w:t xml:space="preserve"> arī</w:t>
                  </w:r>
                  <w:r w:rsidRPr="0070083F">
                    <w:t>:</w:t>
                  </w:r>
                </w:p>
                <w:p w:rsidR="00E15423" w:rsidRPr="0070083F" w:rsidRDefault="00E15423" w:rsidP="00E15423">
                  <w:pPr>
                    <w:pStyle w:val="ListParagraph"/>
                    <w:numPr>
                      <w:ilvl w:val="0"/>
                      <w:numId w:val="21"/>
                    </w:numPr>
                    <w:tabs>
                      <w:tab w:val="left" w:pos="567"/>
                    </w:tabs>
                    <w:ind w:left="472" w:hanging="284"/>
                    <w:jc w:val="both"/>
                  </w:pPr>
                  <w:r w:rsidRPr="0070083F">
                    <w:rPr>
                      <w:b/>
                      <w:lang w:eastAsia="lv-LV"/>
                    </w:rPr>
                    <w:t>Valsts ieņēmumu dienestam</w:t>
                  </w:r>
                  <w:r>
                    <w:rPr>
                      <w:b/>
                      <w:lang w:eastAsia="lv-LV"/>
                    </w:rPr>
                    <w:t xml:space="preserve"> nepieciešamais finansējums 2015</w:t>
                  </w:r>
                  <w:r w:rsidRPr="0070083F">
                    <w:rPr>
                      <w:b/>
                      <w:lang w:eastAsia="lv-LV"/>
                    </w:rPr>
                    <w:t xml:space="preserve">.gadā </w:t>
                  </w:r>
                  <w:r w:rsidRPr="0070083F">
                    <w:rPr>
                      <w:lang w:eastAsia="lv-LV"/>
                    </w:rPr>
                    <w:sym w:font="Symbol" w:char="F02D"/>
                  </w:r>
                  <w:r w:rsidRPr="0070083F">
                    <w:rPr>
                      <w:b/>
                      <w:lang w:eastAsia="lv-LV"/>
                    </w:rPr>
                    <w:t xml:space="preserve"> 181 206 </w:t>
                  </w:r>
                  <w:r w:rsidRPr="0070083F">
                    <w:rPr>
                      <w:b/>
                      <w:i/>
                      <w:lang w:eastAsia="lv-LV"/>
                    </w:rPr>
                    <w:t>euro</w:t>
                  </w:r>
                  <w:r w:rsidRPr="0070083F">
                    <w:rPr>
                      <w:b/>
                      <w:lang w:eastAsia="lv-LV"/>
                    </w:rPr>
                    <w:t xml:space="preserve">  un 2016.gadā</w:t>
                  </w:r>
                  <w:r w:rsidR="00F23B1D">
                    <w:rPr>
                      <w:b/>
                      <w:lang w:eastAsia="lv-LV"/>
                    </w:rPr>
                    <w:t xml:space="preserve"> </w:t>
                  </w:r>
                  <w:r w:rsidR="00F23B1D" w:rsidRPr="00F23B1D">
                    <w:rPr>
                      <w:b/>
                      <w:lang w:eastAsia="lv-LV"/>
                    </w:rPr>
                    <w:t>un turpmāk ik gadu</w:t>
                  </w:r>
                  <w:r w:rsidRPr="0070083F">
                    <w:rPr>
                      <w:b/>
                      <w:lang w:eastAsia="lv-LV"/>
                    </w:rPr>
                    <w:t xml:space="preserve"> </w:t>
                  </w:r>
                  <w:r w:rsidRPr="0070083F">
                    <w:rPr>
                      <w:lang w:eastAsia="lv-LV"/>
                    </w:rPr>
                    <w:sym w:font="Symbol" w:char="F02D"/>
                  </w:r>
                  <w:r w:rsidRPr="0070083F">
                    <w:rPr>
                      <w:b/>
                      <w:lang w:eastAsia="lv-LV"/>
                    </w:rPr>
                    <w:t xml:space="preserve"> 162 035 </w:t>
                  </w:r>
                  <w:r w:rsidRPr="0070083F">
                    <w:rPr>
                      <w:b/>
                      <w:i/>
                      <w:lang w:eastAsia="lv-LV"/>
                    </w:rPr>
                    <w:t>euro;</w:t>
                  </w:r>
                </w:p>
                <w:p w:rsidR="00E15423" w:rsidRPr="0070083F" w:rsidRDefault="00E15423" w:rsidP="00E15423">
                  <w:pPr>
                    <w:pStyle w:val="ListParagraph"/>
                    <w:numPr>
                      <w:ilvl w:val="0"/>
                      <w:numId w:val="21"/>
                    </w:numPr>
                    <w:tabs>
                      <w:tab w:val="left" w:pos="567"/>
                    </w:tabs>
                    <w:ind w:left="472" w:hanging="284"/>
                    <w:jc w:val="both"/>
                  </w:pPr>
                  <w:r w:rsidRPr="0070083F">
                    <w:rPr>
                      <w:b/>
                      <w:lang w:eastAsia="lv-LV"/>
                    </w:rPr>
                    <w:t xml:space="preserve">Korupcijas novēršanas un apkarošanas birojam nepieciešamais finansējums  2015.gadā </w:t>
                  </w:r>
                  <w:r w:rsidRPr="0070083F">
                    <w:rPr>
                      <w:b/>
                      <w:lang w:eastAsia="lv-LV"/>
                    </w:rPr>
                    <w:sym w:font="Symbol" w:char="F02D"/>
                  </w:r>
                  <w:r>
                    <w:rPr>
                      <w:b/>
                      <w:lang w:eastAsia="lv-LV"/>
                    </w:rPr>
                    <w:t xml:space="preserve"> 156 662</w:t>
                  </w:r>
                  <w:r w:rsidRPr="0070083F">
                    <w:rPr>
                      <w:b/>
                      <w:lang w:eastAsia="lv-LV"/>
                    </w:rPr>
                    <w:t xml:space="preserve"> </w:t>
                  </w:r>
                  <w:r w:rsidRPr="0070083F">
                    <w:rPr>
                      <w:b/>
                      <w:i/>
                      <w:lang w:eastAsia="lv-LV"/>
                    </w:rPr>
                    <w:t xml:space="preserve">euro </w:t>
                  </w:r>
                  <w:r w:rsidRPr="0070083F">
                    <w:rPr>
                      <w:b/>
                      <w:lang w:eastAsia="lv-LV"/>
                    </w:rPr>
                    <w:t xml:space="preserve">un 2016.gadā </w:t>
                  </w:r>
                  <w:r w:rsidRPr="0070083F">
                    <w:rPr>
                      <w:b/>
                      <w:lang w:eastAsia="lv-LV"/>
                    </w:rPr>
                    <w:sym w:font="Symbol" w:char="F02D"/>
                  </w:r>
                  <w:r w:rsidRPr="0070083F">
                    <w:rPr>
                      <w:b/>
                      <w:lang w:eastAsia="lv-LV"/>
                    </w:rPr>
                    <w:t xml:space="preserve"> </w:t>
                  </w:r>
                  <w:r>
                    <w:rPr>
                      <w:b/>
                      <w:lang w:eastAsia="lv-LV"/>
                    </w:rPr>
                    <w:t>148 634</w:t>
                  </w:r>
                  <w:r w:rsidRPr="0070083F">
                    <w:rPr>
                      <w:b/>
                      <w:lang w:eastAsia="lv-LV"/>
                    </w:rPr>
                    <w:t xml:space="preserve"> </w:t>
                  </w:r>
                  <w:r w:rsidRPr="0070083F">
                    <w:rPr>
                      <w:b/>
                      <w:i/>
                      <w:lang w:eastAsia="lv-LV"/>
                    </w:rPr>
                    <w:t>euro.</w:t>
                  </w:r>
                </w:p>
                <w:p w:rsidR="00E15423" w:rsidRPr="00C74A1A" w:rsidRDefault="00E15423" w:rsidP="00E15423">
                  <w:pPr>
                    <w:pStyle w:val="ListParagraph"/>
                    <w:numPr>
                      <w:ilvl w:val="0"/>
                      <w:numId w:val="21"/>
                    </w:numPr>
                    <w:tabs>
                      <w:tab w:val="left" w:pos="567"/>
                    </w:tabs>
                    <w:ind w:left="472" w:hanging="284"/>
                    <w:jc w:val="both"/>
                    <w:rPr>
                      <w:b/>
                      <w:lang w:eastAsia="lv-LV"/>
                    </w:rPr>
                  </w:pPr>
                  <w:r w:rsidRPr="0070083F">
                    <w:rPr>
                      <w:b/>
                      <w:lang w:eastAsia="lv-LV"/>
                    </w:rPr>
                    <w:t xml:space="preserve">Valsts robežsardzei nepieciešamais finansējums (atlīdzība vienai amata vietai) 2015.gadā </w:t>
                  </w:r>
                  <w:r w:rsidRPr="0070083F">
                    <w:rPr>
                      <w:b/>
                      <w:lang w:eastAsia="lv-LV"/>
                    </w:rPr>
                    <w:sym w:font="Symbol" w:char="F02D"/>
                  </w:r>
                  <w:r w:rsidRPr="0070083F">
                    <w:rPr>
                      <w:b/>
                      <w:lang w:eastAsia="lv-LV"/>
                    </w:rPr>
                    <w:t xml:space="preserve"> 16 572 </w:t>
                  </w:r>
                  <w:r w:rsidRPr="0070083F">
                    <w:rPr>
                      <w:b/>
                      <w:i/>
                      <w:lang w:eastAsia="lv-LV"/>
                    </w:rPr>
                    <w:t xml:space="preserve">euro </w:t>
                  </w:r>
                  <w:r w:rsidRPr="0070083F">
                    <w:rPr>
                      <w:b/>
                      <w:lang w:eastAsia="lv-LV"/>
                    </w:rPr>
                    <w:t xml:space="preserve">un 2016.gadā </w:t>
                  </w:r>
                  <w:r w:rsidRPr="0070083F">
                    <w:rPr>
                      <w:b/>
                      <w:lang w:eastAsia="lv-LV"/>
                    </w:rPr>
                    <w:sym w:font="Symbol" w:char="F02D"/>
                  </w:r>
                  <w:r w:rsidRPr="0070083F">
                    <w:rPr>
                      <w:b/>
                      <w:lang w:eastAsia="lv-LV"/>
                    </w:rPr>
                    <w:t xml:space="preserve"> 16 572 </w:t>
                  </w:r>
                  <w:r w:rsidRPr="0070083F">
                    <w:rPr>
                      <w:b/>
                      <w:i/>
                      <w:lang w:eastAsia="lv-LV"/>
                    </w:rPr>
                    <w:t>euro.</w:t>
                  </w:r>
                </w:p>
                <w:p w:rsidR="00E15423" w:rsidRPr="0070083F" w:rsidRDefault="00E15423" w:rsidP="00E15423">
                  <w:pPr>
                    <w:pStyle w:val="ListParagraph"/>
                    <w:numPr>
                      <w:ilvl w:val="0"/>
                      <w:numId w:val="21"/>
                    </w:numPr>
                    <w:tabs>
                      <w:tab w:val="left" w:pos="567"/>
                    </w:tabs>
                    <w:ind w:left="472" w:hanging="284"/>
                    <w:jc w:val="both"/>
                    <w:rPr>
                      <w:b/>
                      <w:lang w:eastAsia="lv-LV"/>
                    </w:rPr>
                  </w:pPr>
                  <w:r>
                    <w:rPr>
                      <w:b/>
                      <w:lang w:eastAsia="lv-LV"/>
                    </w:rPr>
                    <w:t>Ieslodzījumu vietu pārvaldei nepieciešamais finansējums 2015</w:t>
                  </w:r>
                  <w:r w:rsidRPr="0070083F">
                    <w:rPr>
                      <w:b/>
                      <w:lang w:eastAsia="lv-LV"/>
                    </w:rPr>
                    <w:t xml:space="preserve">.gadā </w:t>
                  </w:r>
                  <w:r w:rsidRPr="0070083F">
                    <w:rPr>
                      <w:lang w:eastAsia="lv-LV"/>
                    </w:rPr>
                    <w:sym w:font="Symbol" w:char="F02D"/>
                  </w:r>
                  <w:r>
                    <w:rPr>
                      <w:b/>
                      <w:lang w:eastAsia="lv-LV"/>
                    </w:rPr>
                    <w:t xml:space="preserve"> 37 227</w:t>
                  </w:r>
                  <w:r w:rsidRPr="0070083F">
                    <w:rPr>
                      <w:b/>
                      <w:lang w:eastAsia="lv-LV"/>
                    </w:rPr>
                    <w:t xml:space="preserve"> </w:t>
                  </w:r>
                  <w:r w:rsidRPr="0070083F">
                    <w:rPr>
                      <w:b/>
                      <w:i/>
                      <w:lang w:eastAsia="lv-LV"/>
                    </w:rPr>
                    <w:t>euro</w:t>
                  </w:r>
                  <w:r w:rsidRPr="0070083F">
                    <w:rPr>
                      <w:b/>
                      <w:lang w:eastAsia="lv-LV"/>
                    </w:rPr>
                    <w:t xml:space="preserve">  un 2016.gadā </w:t>
                  </w:r>
                  <w:r w:rsidRPr="0070083F">
                    <w:rPr>
                      <w:lang w:eastAsia="lv-LV"/>
                    </w:rPr>
                    <w:sym w:font="Symbol" w:char="F02D"/>
                  </w:r>
                  <w:r>
                    <w:rPr>
                      <w:b/>
                      <w:lang w:eastAsia="lv-LV"/>
                    </w:rPr>
                    <w:t xml:space="preserve"> 15 268</w:t>
                  </w:r>
                  <w:r w:rsidRPr="0070083F">
                    <w:rPr>
                      <w:b/>
                      <w:lang w:eastAsia="lv-LV"/>
                    </w:rPr>
                    <w:t xml:space="preserve"> </w:t>
                  </w:r>
                  <w:r w:rsidRPr="0070083F">
                    <w:rPr>
                      <w:b/>
                      <w:i/>
                      <w:lang w:eastAsia="lv-LV"/>
                    </w:rPr>
                    <w:t>euro</w:t>
                  </w:r>
                  <w:r>
                    <w:rPr>
                      <w:b/>
                      <w:lang w:eastAsia="lv-LV"/>
                    </w:rPr>
                    <w:t xml:space="preserve">. </w:t>
                  </w:r>
                </w:p>
                <w:p w:rsidR="00E15423" w:rsidRPr="0070083F" w:rsidRDefault="00E15423" w:rsidP="00E15423">
                  <w:pPr>
                    <w:tabs>
                      <w:tab w:val="left" w:pos="567"/>
                    </w:tabs>
                    <w:jc w:val="both"/>
                    <w:rPr>
                      <w:lang w:eastAsia="lv-LV"/>
                    </w:rPr>
                  </w:pPr>
                  <w:r w:rsidRPr="0070083F">
                    <w:rPr>
                      <w:lang w:eastAsia="lv-LV"/>
                    </w:rPr>
                    <w:t xml:space="preserve">Atsevišķiem pasākumiem nepieciešamais finansējums ir iekļauts </w:t>
                  </w:r>
                  <w:r>
                    <w:rPr>
                      <w:lang w:eastAsia="lv-LV"/>
                    </w:rPr>
                    <w:t>Ministru kabineta 2014.gada 5.jūnija rīkojumā Nr.276</w:t>
                  </w:r>
                  <w:r w:rsidRPr="0070083F">
                    <w:rPr>
                      <w:lang w:eastAsia="lv-LV"/>
                    </w:rPr>
                    <w:t xml:space="preserve"> „Par Organizētās noziedzības novēršanas un apkarošanas </w:t>
                  </w:r>
                  <w:r>
                    <w:rPr>
                      <w:lang w:eastAsia="lv-LV"/>
                    </w:rPr>
                    <w:t>plānu 2014.-2016.gadam”</w:t>
                  </w:r>
                  <w:r w:rsidRPr="0070083F">
                    <w:rPr>
                      <w:lang w:eastAsia="lv-LV"/>
                    </w:rPr>
                    <w:t>, tādēļ pievienotais Ministru kabineta sēdes protokollēmum</w:t>
                  </w:r>
                  <w:r>
                    <w:rPr>
                      <w:lang w:eastAsia="lv-LV"/>
                    </w:rPr>
                    <w:t>a</w:t>
                  </w:r>
                  <w:r w:rsidRPr="0070083F">
                    <w:rPr>
                      <w:lang w:eastAsia="lv-LV"/>
                    </w:rPr>
                    <w:t xml:space="preserve"> projekts paredz:</w:t>
                  </w:r>
                </w:p>
                <w:p w:rsidR="00E15423" w:rsidRPr="002D43E8" w:rsidRDefault="00E15423" w:rsidP="00E15423">
                  <w:pPr>
                    <w:tabs>
                      <w:tab w:val="left" w:pos="330"/>
                    </w:tabs>
                    <w:ind w:left="330"/>
                    <w:jc w:val="both"/>
                  </w:pPr>
                  <w:r w:rsidRPr="002D43E8">
                    <w:t>Jautājumu par papildu valsts budžeta līdzekļu piešķiršanu noteikumu īstenošanai izskatīt Ministru kabinetā likumprojekta „Par valsts budžetu 2015.gadam” un likumprojekta „Par vidējā termiņa budžeta ietvaru 2015., 2016. un 2017.gadam” sagatavošanas procesā kopā ar visu ministriju un citu centrālo valsts iestāžu priekšlikumiem jaunajām politikas iniciatīvām:</w:t>
                  </w:r>
                </w:p>
                <w:p w:rsidR="00E15423" w:rsidRPr="002D43E8" w:rsidRDefault="00E15423" w:rsidP="00E15423">
                  <w:pPr>
                    <w:tabs>
                      <w:tab w:val="left" w:pos="567"/>
                    </w:tabs>
                    <w:ind w:left="330"/>
                    <w:jc w:val="both"/>
                    <w:rPr>
                      <w:lang w:eastAsia="lv-LV"/>
                    </w:rPr>
                  </w:pPr>
                  <w:r>
                    <w:rPr>
                      <w:lang w:eastAsia="lv-LV"/>
                    </w:rPr>
                    <w:t xml:space="preserve">     </w:t>
                  </w:r>
                  <w:r w:rsidRPr="002D43E8">
                    <w:rPr>
                      <w:lang w:eastAsia="lv-LV"/>
                    </w:rPr>
                    <w:t xml:space="preserve"> Iekšlietu ministrijai 2015.gadā </w:t>
                  </w:r>
                  <w:r w:rsidRPr="002D43E8">
                    <w:rPr>
                      <w:lang w:eastAsia="lv-LV"/>
                    </w:rPr>
                    <w:sym w:font="Symbol" w:char="F02D"/>
                  </w:r>
                  <w:r w:rsidRPr="002D43E8">
                    <w:rPr>
                      <w:lang w:eastAsia="lv-LV"/>
                    </w:rPr>
                    <w:t xml:space="preserve"> 296 637 </w:t>
                  </w:r>
                  <w:r w:rsidRPr="002D43E8">
                    <w:rPr>
                      <w:i/>
                      <w:lang w:eastAsia="lv-LV"/>
                    </w:rPr>
                    <w:t xml:space="preserve">euro </w:t>
                  </w:r>
                  <w:r w:rsidRPr="002D43E8">
                    <w:rPr>
                      <w:lang w:eastAsia="lv-LV"/>
                    </w:rPr>
                    <w:t xml:space="preserve">apmērā un 2016.gadā un turpmāk ik gadu </w:t>
                  </w:r>
                  <w:r w:rsidRPr="002D43E8">
                    <w:rPr>
                      <w:lang w:eastAsia="lv-LV"/>
                    </w:rPr>
                    <w:sym w:font="Symbol" w:char="F02D"/>
                  </w:r>
                  <w:r w:rsidRPr="002D43E8">
                    <w:rPr>
                      <w:lang w:eastAsia="lv-LV"/>
                    </w:rPr>
                    <w:t xml:space="preserve"> 166 623 </w:t>
                  </w:r>
                  <w:r w:rsidRPr="002D43E8">
                    <w:rPr>
                      <w:i/>
                      <w:lang w:eastAsia="lv-LV"/>
                    </w:rPr>
                    <w:t>euro</w:t>
                  </w:r>
                  <w:r w:rsidRPr="002D43E8">
                    <w:rPr>
                      <w:lang w:eastAsia="lv-LV"/>
                    </w:rPr>
                    <w:t xml:space="preserve"> apmērā, tai skaitā, Valsts policijai 2015.gadā </w:t>
                  </w:r>
                  <w:r w:rsidRPr="002D43E8">
                    <w:rPr>
                      <w:lang w:eastAsia="lv-LV"/>
                    </w:rPr>
                    <w:sym w:font="Symbol" w:char="F02D"/>
                  </w:r>
                  <w:r w:rsidRPr="002D43E8">
                    <w:rPr>
                      <w:lang w:eastAsia="lv-LV"/>
                    </w:rPr>
                    <w:t xml:space="preserve"> 214 357 </w:t>
                  </w:r>
                  <w:r w:rsidRPr="002D43E8">
                    <w:rPr>
                      <w:i/>
                      <w:lang w:eastAsia="lv-LV"/>
                    </w:rPr>
                    <w:t>euro</w:t>
                  </w:r>
                  <w:r w:rsidRPr="002D43E8">
                    <w:rPr>
                      <w:lang w:eastAsia="lv-LV"/>
                    </w:rPr>
                    <w:t xml:space="preserve"> apmērā un 2016.gadā un turpmāk ik gadu </w:t>
                  </w:r>
                  <w:r w:rsidRPr="002D43E8">
                    <w:rPr>
                      <w:lang w:eastAsia="lv-LV"/>
                    </w:rPr>
                    <w:sym w:font="Symbol" w:char="F02D"/>
                  </w:r>
                  <w:r w:rsidRPr="002D43E8">
                    <w:rPr>
                      <w:lang w:eastAsia="lv-LV"/>
                    </w:rPr>
                    <w:t xml:space="preserve"> 147 384 </w:t>
                  </w:r>
                  <w:r w:rsidRPr="002D43E8">
                    <w:rPr>
                      <w:i/>
                      <w:lang w:eastAsia="lv-LV"/>
                    </w:rPr>
                    <w:t>euro</w:t>
                  </w:r>
                  <w:r w:rsidRPr="002D43E8">
                    <w:rPr>
                      <w:lang w:eastAsia="lv-LV"/>
                    </w:rPr>
                    <w:t xml:space="preserve"> apmērā, Iekšlietu ministrijas Informācijas centram 2015.gadā </w:t>
                  </w:r>
                  <w:r w:rsidRPr="002D43E8">
                    <w:rPr>
                      <w:lang w:eastAsia="lv-LV"/>
                    </w:rPr>
                    <w:sym w:font="Symbol" w:char="F02D"/>
                  </w:r>
                  <w:r w:rsidRPr="002D43E8">
                    <w:rPr>
                      <w:lang w:eastAsia="lv-LV"/>
                    </w:rPr>
                    <w:t xml:space="preserve"> 64 130 </w:t>
                  </w:r>
                  <w:r w:rsidRPr="002D43E8">
                    <w:rPr>
                      <w:i/>
                      <w:lang w:eastAsia="lv-LV"/>
                    </w:rPr>
                    <w:t>euro</w:t>
                  </w:r>
                  <w:r w:rsidRPr="002D43E8">
                    <w:rPr>
                      <w:lang w:eastAsia="lv-LV"/>
                    </w:rPr>
                    <w:t xml:space="preserve"> apmērā un 2016.gadā un turpmāk ik gadu </w:t>
                  </w:r>
                  <w:r w:rsidRPr="002D43E8">
                    <w:rPr>
                      <w:lang w:eastAsia="lv-LV"/>
                    </w:rPr>
                    <w:sym w:font="Symbol" w:char="F02D"/>
                  </w:r>
                  <w:r w:rsidRPr="002D43E8">
                    <w:rPr>
                      <w:lang w:eastAsia="lv-LV"/>
                    </w:rPr>
                    <w:t xml:space="preserve"> 19 239 </w:t>
                  </w:r>
                  <w:r w:rsidRPr="002D43E8">
                    <w:rPr>
                      <w:i/>
                      <w:lang w:eastAsia="lv-LV"/>
                    </w:rPr>
                    <w:t>euro</w:t>
                  </w:r>
                  <w:r w:rsidRPr="002D43E8">
                    <w:rPr>
                      <w:lang w:eastAsia="lv-LV"/>
                    </w:rPr>
                    <w:t xml:space="preserve"> apmērā, Valsts robežsardzei 2015.gadā </w:t>
                  </w:r>
                  <w:r w:rsidRPr="002D43E8">
                    <w:rPr>
                      <w:lang w:eastAsia="lv-LV"/>
                    </w:rPr>
                    <w:sym w:font="Symbol" w:char="F02D"/>
                  </w:r>
                  <w:r w:rsidRPr="002D43E8">
                    <w:rPr>
                      <w:lang w:eastAsia="lv-LV"/>
                    </w:rPr>
                    <w:t xml:space="preserve"> 18 150 </w:t>
                  </w:r>
                  <w:r w:rsidRPr="002D43E8">
                    <w:rPr>
                      <w:i/>
                      <w:lang w:eastAsia="lv-LV"/>
                    </w:rPr>
                    <w:t>euro</w:t>
                  </w:r>
                  <w:r w:rsidRPr="002D43E8">
                    <w:rPr>
                      <w:lang w:eastAsia="lv-LV"/>
                    </w:rPr>
                    <w:t xml:space="preserve"> apmērā;</w:t>
                  </w:r>
                </w:p>
                <w:p w:rsidR="00E15423" w:rsidRPr="00B50E20" w:rsidRDefault="00E15423" w:rsidP="00E15423">
                  <w:pPr>
                    <w:tabs>
                      <w:tab w:val="left" w:pos="567"/>
                    </w:tabs>
                    <w:ind w:left="330"/>
                    <w:jc w:val="both"/>
                    <w:rPr>
                      <w:lang w:eastAsia="lv-LV"/>
                    </w:rPr>
                  </w:pPr>
                  <w:r w:rsidRPr="002D43E8">
                    <w:rPr>
                      <w:lang w:eastAsia="lv-LV"/>
                    </w:rPr>
                    <w:tab/>
                  </w:r>
                  <w:r w:rsidRPr="002D43E8">
                    <w:rPr>
                      <w:lang w:eastAsia="lv-LV"/>
                    </w:rPr>
                    <w:tab/>
                    <w:t xml:space="preserve"> </w:t>
                  </w:r>
                  <w:r w:rsidRPr="00B50E20">
                    <w:rPr>
                      <w:lang w:eastAsia="lv-LV"/>
                    </w:rPr>
                    <w:t xml:space="preserve">Latvijas Republikas Prokuratūrai (Noziedzīgi iegūtu līdzekļu legalizācijas novēršanas dienestam) 2015.gadā </w:t>
                  </w:r>
                  <w:r w:rsidRPr="00B50E20">
                    <w:rPr>
                      <w:lang w:eastAsia="lv-LV"/>
                    </w:rPr>
                    <w:sym w:font="Symbol" w:char="F02D"/>
                  </w:r>
                  <w:r w:rsidRPr="00B50E20">
                    <w:rPr>
                      <w:lang w:eastAsia="lv-LV"/>
                    </w:rPr>
                    <w:t xml:space="preserve"> 54 040 </w:t>
                  </w:r>
                  <w:r w:rsidRPr="00B50E20">
                    <w:rPr>
                      <w:i/>
                      <w:lang w:eastAsia="lv-LV"/>
                    </w:rPr>
                    <w:t>euro</w:t>
                  </w:r>
                  <w:r w:rsidRPr="00B50E20">
                    <w:rPr>
                      <w:lang w:eastAsia="lv-LV"/>
                    </w:rPr>
                    <w:t xml:space="preserve"> apmērā, 2016.gadā </w:t>
                  </w:r>
                  <w:r w:rsidRPr="00B50E20">
                    <w:rPr>
                      <w:lang w:eastAsia="lv-LV"/>
                    </w:rPr>
                    <w:sym w:font="Symbol" w:char="F02D"/>
                  </w:r>
                  <w:r w:rsidRPr="00B50E20">
                    <w:rPr>
                      <w:lang w:eastAsia="lv-LV"/>
                    </w:rPr>
                    <w:t xml:space="preserve">  45 672 </w:t>
                  </w:r>
                  <w:r w:rsidRPr="00B50E20">
                    <w:rPr>
                      <w:i/>
                      <w:lang w:eastAsia="lv-LV"/>
                    </w:rPr>
                    <w:t>euro</w:t>
                  </w:r>
                  <w:r w:rsidRPr="00B50E20">
                    <w:rPr>
                      <w:lang w:eastAsia="lv-LV"/>
                    </w:rPr>
                    <w:t xml:space="preserve"> apmērā un 2017.gadā un turpmāk ik gadu </w:t>
                  </w:r>
                  <w:r w:rsidRPr="00B50E20">
                    <w:rPr>
                      <w:lang w:eastAsia="lv-LV"/>
                    </w:rPr>
                    <w:sym w:font="Symbol" w:char="F02D"/>
                  </w:r>
                  <w:r w:rsidRPr="00B50E20">
                    <w:rPr>
                      <w:lang w:eastAsia="lv-LV"/>
                    </w:rPr>
                    <w:t xml:space="preserve">  40 672 </w:t>
                  </w:r>
                  <w:r w:rsidRPr="00B50E20">
                    <w:rPr>
                      <w:i/>
                      <w:lang w:eastAsia="lv-LV"/>
                    </w:rPr>
                    <w:t>euro</w:t>
                  </w:r>
                  <w:r w:rsidRPr="00B50E20">
                    <w:rPr>
                      <w:lang w:eastAsia="lv-LV"/>
                    </w:rPr>
                    <w:t xml:space="preserve"> apmērā.</w:t>
                  </w:r>
                </w:p>
                <w:p w:rsidR="00E15423" w:rsidRPr="002D43E8" w:rsidRDefault="00E15423" w:rsidP="00E15423">
                  <w:pPr>
                    <w:tabs>
                      <w:tab w:val="left" w:pos="567"/>
                    </w:tabs>
                    <w:ind w:left="330"/>
                    <w:jc w:val="both"/>
                    <w:rPr>
                      <w:lang w:eastAsia="lv-LV"/>
                    </w:rPr>
                  </w:pPr>
                </w:p>
                <w:p w:rsidR="00E15423" w:rsidRPr="0070083F" w:rsidRDefault="00E15423" w:rsidP="00E15423">
                  <w:pPr>
                    <w:pStyle w:val="naisf"/>
                    <w:tabs>
                      <w:tab w:val="left" w:pos="4644"/>
                    </w:tabs>
                    <w:spacing w:before="0" w:after="0"/>
                    <w:rPr>
                      <w:sz w:val="22"/>
                      <w:szCs w:val="22"/>
                    </w:rPr>
                  </w:pPr>
                </w:p>
              </w:tc>
            </w:tr>
          </w:tbl>
          <w:p w:rsidR="00237F85" w:rsidRPr="005128C9" w:rsidRDefault="00237F85" w:rsidP="00237F85"/>
          <w:p w:rsidR="00F03184" w:rsidRPr="00DB79A9" w:rsidRDefault="00A351E0" w:rsidP="008A4EEF">
            <w:pPr>
              <w:pStyle w:val="naisf"/>
              <w:spacing w:before="60" w:after="60"/>
              <w:ind w:firstLine="357"/>
              <w:jc w:val="center"/>
              <w:rPr>
                <w:b/>
                <w:color w:val="000000" w:themeColor="text1"/>
              </w:rPr>
            </w:pPr>
            <w:r w:rsidRPr="00DB79A9">
              <w:rPr>
                <w:b/>
                <w:bCs/>
              </w:rPr>
              <w:t>IV. Kāda var būt normatīvā akta ietekme uz spēkā esošo tiesību normu sistēmu</w:t>
            </w:r>
          </w:p>
        </w:tc>
      </w:tr>
      <w:tr w:rsidR="00416442" w:rsidRPr="00DB79A9" w:rsidTr="00310586">
        <w:tc>
          <w:tcPr>
            <w:tcW w:w="9133" w:type="dxa"/>
            <w:gridSpan w:val="4"/>
          </w:tcPr>
          <w:p w:rsidR="00416442" w:rsidRPr="00DB79A9" w:rsidRDefault="00416442" w:rsidP="00310586">
            <w:pPr>
              <w:pStyle w:val="naisf"/>
              <w:spacing w:before="60" w:after="60"/>
              <w:ind w:firstLine="357"/>
              <w:jc w:val="center"/>
              <w:rPr>
                <w:b/>
              </w:rPr>
            </w:pPr>
            <w:r w:rsidRPr="00DB79A9">
              <w:rPr>
                <w:iCs/>
              </w:rPr>
              <w:lastRenderedPageBreak/>
              <w:t>Projekts šo jomu neskar</w:t>
            </w:r>
          </w:p>
        </w:tc>
      </w:tr>
      <w:tr w:rsidR="00A351E0" w:rsidRPr="00DB79A9" w:rsidTr="00A01034">
        <w:tc>
          <w:tcPr>
            <w:tcW w:w="9133" w:type="dxa"/>
            <w:gridSpan w:val="4"/>
          </w:tcPr>
          <w:p w:rsidR="00A351E0" w:rsidRPr="00DB79A9" w:rsidRDefault="00A351E0" w:rsidP="00012182">
            <w:pPr>
              <w:pStyle w:val="naisf"/>
              <w:spacing w:before="60" w:after="60"/>
              <w:ind w:firstLine="357"/>
              <w:jc w:val="center"/>
              <w:rPr>
                <w:b/>
                <w:color w:val="000000" w:themeColor="text1"/>
              </w:rPr>
            </w:pPr>
            <w:r w:rsidRPr="00DB79A9">
              <w:rPr>
                <w:b/>
              </w:rPr>
              <w:lastRenderedPageBreak/>
              <w:t>V.</w:t>
            </w:r>
            <w:r w:rsidR="000544F7" w:rsidRPr="00DB79A9">
              <w:rPr>
                <w:b/>
                <w:bCs/>
              </w:rPr>
              <w:t xml:space="preserve"> </w:t>
            </w:r>
            <w:r w:rsidR="00012182" w:rsidRPr="00DB79A9">
              <w:rPr>
                <w:b/>
                <w:bCs/>
              </w:rPr>
              <w:t>Tiesību akta projekta atbilstība Latvijas Republikas starptautiskajām saistībām</w:t>
            </w:r>
          </w:p>
        </w:tc>
      </w:tr>
      <w:tr w:rsidR="00012182" w:rsidRPr="00DB79A9" w:rsidTr="00A01034">
        <w:tc>
          <w:tcPr>
            <w:tcW w:w="9133" w:type="dxa"/>
            <w:gridSpan w:val="4"/>
          </w:tcPr>
          <w:p w:rsidR="00012182" w:rsidRPr="00DB79A9" w:rsidRDefault="00012182" w:rsidP="00CC3675">
            <w:pPr>
              <w:pStyle w:val="naisf"/>
              <w:spacing w:before="60" w:after="60"/>
              <w:ind w:firstLine="357"/>
              <w:jc w:val="center"/>
              <w:rPr>
                <w:b/>
              </w:rPr>
            </w:pPr>
            <w:r w:rsidRPr="00DB79A9">
              <w:rPr>
                <w:iCs/>
              </w:rPr>
              <w:t>Projekts šo jomu neskar</w:t>
            </w:r>
          </w:p>
        </w:tc>
      </w:tr>
      <w:tr w:rsidR="00012182" w:rsidRPr="00DB79A9" w:rsidTr="00A01034">
        <w:tc>
          <w:tcPr>
            <w:tcW w:w="9133" w:type="dxa"/>
            <w:gridSpan w:val="4"/>
          </w:tcPr>
          <w:p w:rsidR="00012182" w:rsidRPr="00DB79A9" w:rsidRDefault="00012182" w:rsidP="00CC3675">
            <w:pPr>
              <w:pStyle w:val="naisf"/>
              <w:spacing w:before="60" w:after="60"/>
              <w:ind w:firstLine="357"/>
              <w:jc w:val="center"/>
              <w:rPr>
                <w:b/>
              </w:rPr>
            </w:pPr>
            <w:r w:rsidRPr="00DB79A9">
              <w:rPr>
                <w:b/>
              </w:rPr>
              <w:t>VI.</w:t>
            </w:r>
            <w:r w:rsidRPr="00DB79A9">
              <w:rPr>
                <w:b/>
                <w:bCs/>
              </w:rPr>
              <w:t xml:space="preserve"> Sabiedrības līdzdalība un komunikācijas aktivitātes</w:t>
            </w:r>
          </w:p>
        </w:tc>
      </w:tr>
      <w:tr w:rsidR="00012182" w:rsidRPr="00DB79A9" w:rsidTr="00A01034">
        <w:tc>
          <w:tcPr>
            <w:tcW w:w="675" w:type="dxa"/>
          </w:tcPr>
          <w:p w:rsidR="00012182" w:rsidRPr="00DB79A9" w:rsidRDefault="00012182" w:rsidP="00012182">
            <w:pPr>
              <w:jc w:val="both"/>
              <w:rPr>
                <w:iCs/>
                <w:lang w:eastAsia="lv-LV"/>
              </w:rPr>
            </w:pPr>
            <w:r w:rsidRPr="00DB79A9">
              <w:rPr>
                <w:iCs/>
                <w:lang w:eastAsia="lv-LV"/>
              </w:rPr>
              <w:t>1.</w:t>
            </w:r>
          </w:p>
        </w:tc>
        <w:tc>
          <w:tcPr>
            <w:tcW w:w="3119" w:type="dxa"/>
            <w:gridSpan w:val="2"/>
          </w:tcPr>
          <w:p w:rsidR="00012182" w:rsidRPr="00DB79A9" w:rsidRDefault="00012182" w:rsidP="00012182">
            <w:pPr>
              <w:spacing w:before="60" w:after="60"/>
              <w:jc w:val="both"/>
              <w:rPr>
                <w:iCs/>
                <w:lang w:eastAsia="lv-LV"/>
              </w:rPr>
            </w:pPr>
            <w:r w:rsidRPr="00DB79A9">
              <w:t>Plānotās sabiedrības līdzdalības un komunikācijas aktivitātes saistībā ar projektu</w:t>
            </w:r>
          </w:p>
        </w:tc>
        <w:tc>
          <w:tcPr>
            <w:tcW w:w="5339" w:type="dxa"/>
          </w:tcPr>
          <w:p w:rsidR="00012182" w:rsidRPr="00DB79A9" w:rsidRDefault="00EC39E6" w:rsidP="00A01034">
            <w:pPr>
              <w:spacing w:before="60"/>
              <w:jc w:val="both"/>
            </w:pPr>
            <w:r w:rsidRPr="00DB79A9">
              <w:t>P</w:t>
            </w:r>
            <w:r w:rsidR="00012182" w:rsidRPr="00DB79A9">
              <w:t>rojekts tiks ievietots Iekšlietu ministrijas mājaslapā sadaļā „Sabiedrības līdzdalība”.</w:t>
            </w:r>
          </w:p>
        </w:tc>
      </w:tr>
      <w:tr w:rsidR="00012182" w:rsidRPr="00DB79A9" w:rsidTr="00A01034">
        <w:tc>
          <w:tcPr>
            <w:tcW w:w="675" w:type="dxa"/>
          </w:tcPr>
          <w:p w:rsidR="00012182" w:rsidRPr="00DB79A9" w:rsidRDefault="00012182" w:rsidP="00012182">
            <w:pPr>
              <w:jc w:val="both"/>
              <w:rPr>
                <w:iCs/>
                <w:lang w:eastAsia="lv-LV"/>
              </w:rPr>
            </w:pPr>
            <w:r w:rsidRPr="00DB79A9">
              <w:rPr>
                <w:iCs/>
                <w:lang w:eastAsia="lv-LV"/>
              </w:rPr>
              <w:t>2.</w:t>
            </w:r>
          </w:p>
        </w:tc>
        <w:tc>
          <w:tcPr>
            <w:tcW w:w="3119" w:type="dxa"/>
            <w:gridSpan w:val="2"/>
          </w:tcPr>
          <w:p w:rsidR="00012182" w:rsidRPr="00DB79A9" w:rsidRDefault="00012182" w:rsidP="00012182">
            <w:pPr>
              <w:spacing w:before="60" w:after="60"/>
              <w:jc w:val="both"/>
              <w:rPr>
                <w:iCs/>
                <w:lang w:eastAsia="lv-LV"/>
              </w:rPr>
            </w:pPr>
            <w:r w:rsidRPr="00DB79A9">
              <w:t>Sabiedrības līdzdalība projekta izstrādē</w:t>
            </w:r>
          </w:p>
        </w:tc>
        <w:tc>
          <w:tcPr>
            <w:tcW w:w="5339" w:type="dxa"/>
          </w:tcPr>
          <w:p w:rsidR="00012182" w:rsidRPr="00DB79A9" w:rsidRDefault="00012182" w:rsidP="00A01034">
            <w:pPr>
              <w:spacing w:before="60"/>
              <w:rPr>
                <w:iCs/>
                <w:lang w:eastAsia="lv-LV"/>
              </w:rPr>
            </w:pPr>
            <w:r w:rsidRPr="00DB79A9">
              <w:rPr>
                <w:iCs/>
                <w:lang w:eastAsia="lv-LV"/>
              </w:rPr>
              <w:t>Projekts šo jomu neskar.</w:t>
            </w:r>
          </w:p>
        </w:tc>
      </w:tr>
      <w:tr w:rsidR="00012182" w:rsidRPr="00DB79A9" w:rsidTr="00A01034">
        <w:tc>
          <w:tcPr>
            <w:tcW w:w="675" w:type="dxa"/>
          </w:tcPr>
          <w:p w:rsidR="00012182" w:rsidRPr="00DB79A9" w:rsidRDefault="00012182" w:rsidP="00012182">
            <w:pPr>
              <w:jc w:val="both"/>
              <w:rPr>
                <w:iCs/>
                <w:lang w:eastAsia="lv-LV"/>
              </w:rPr>
            </w:pPr>
            <w:r w:rsidRPr="00DB79A9">
              <w:rPr>
                <w:iCs/>
                <w:lang w:eastAsia="lv-LV"/>
              </w:rPr>
              <w:t>3.</w:t>
            </w:r>
          </w:p>
        </w:tc>
        <w:tc>
          <w:tcPr>
            <w:tcW w:w="3119" w:type="dxa"/>
            <w:gridSpan w:val="2"/>
          </w:tcPr>
          <w:p w:rsidR="00012182" w:rsidRPr="00DB79A9" w:rsidRDefault="00012182" w:rsidP="00012182">
            <w:pPr>
              <w:spacing w:before="60" w:after="60"/>
              <w:jc w:val="both"/>
            </w:pPr>
            <w:r w:rsidRPr="00DB79A9">
              <w:t>Sabiedrības līdzdalības rezultāti</w:t>
            </w:r>
          </w:p>
        </w:tc>
        <w:tc>
          <w:tcPr>
            <w:tcW w:w="5339" w:type="dxa"/>
          </w:tcPr>
          <w:p w:rsidR="00012182" w:rsidRPr="00DB79A9" w:rsidRDefault="00012182" w:rsidP="003B10C8">
            <w:pPr>
              <w:spacing w:before="60"/>
              <w:jc w:val="both"/>
            </w:pPr>
            <w:r w:rsidRPr="00DB79A9">
              <w:rPr>
                <w:iCs/>
                <w:lang w:eastAsia="lv-LV"/>
              </w:rPr>
              <w:t>Projekts šo jomu neskar.</w:t>
            </w:r>
          </w:p>
        </w:tc>
      </w:tr>
      <w:tr w:rsidR="00012182" w:rsidRPr="00DB79A9" w:rsidTr="00A01034">
        <w:tc>
          <w:tcPr>
            <w:tcW w:w="675" w:type="dxa"/>
          </w:tcPr>
          <w:p w:rsidR="00012182" w:rsidRPr="00DB79A9" w:rsidRDefault="00012182" w:rsidP="00A01034">
            <w:pPr>
              <w:rPr>
                <w:iCs/>
                <w:lang w:eastAsia="lv-LV"/>
              </w:rPr>
            </w:pPr>
            <w:r w:rsidRPr="00DB79A9">
              <w:rPr>
                <w:iCs/>
                <w:lang w:eastAsia="lv-LV"/>
              </w:rPr>
              <w:t>4.</w:t>
            </w:r>
          </w:p>
        </w:tc>
        <w:tc>
          <w:tcPr>
            <w:tcW w:w="3119" w:type="dxa"/>
            <w:gridSpan w:val="2"/>
          </w:tcPr>
          <w:p w:rsidR="00012182" w:rsidRPr="00DB79A9" w:rsidRDefault="00012182" w:rsidP="00A01034">
            <w:pPr>
              <w:spacing w:before="60" w:after="60"/>
              <w:rPr>
                <w:iCs/>
                <w:lang w:eastAsia="lv-LV"/>
              </w:rPr>
            </w:pPr>
            <w:r w:rsidRPr="00DB79A9">
              <w:rPr>
                <w:iCs/>
                <w:lang w:eastAsia="lv-LV"/>
              </w:rPr>
              <w:t>Cita informācija</w:t>
            </w:r>
          </w:p>
        </w:tc>
        <w:tc>
          <w:tcPr>
            <w:tcW w:w="5339" w:type="dxa"/>
            <w:vAlign w:val="center"/>
          </w:tcPr>
          <w:p w:rsidR="00012182" w:rsidRPr="00DB79A9" w:rsidRDefault="00012182" w:rsidP="00A01034">
            <w:pPr>
              <w:spacing w:before="60" w:after="60"/>
              <w:rPr>
                <w:iCs/>
                <w:lang w:eastAsia="lv-LV"/>
              </w:rPr>
            </w:pPr>
            <w:r w:rsidRPr="00DB79A9">
              <w:t>Nav.</w:t>
            </w:r>
          </w:p>
        </w:tc>
      </w:tr>
      <w:tr w:rsidR="00012182" w:rsidRPr="00DB79A9" w:rsidTr="00A01034">
        <w:tc>
          <w:tcPr>
            <w:tcW w:w="9133" w:type="dxa"/>
            <w:gridSpan w:val="4"/>
          </w:tcPr>
          <w:p w:rsidR="00012182" w:rsidRPr="00DB79A9" w:rsidRDefault="00012182" w:rsidP="00A01034">
            <w:pPr>
              <w:pStyle w:val="naisf"/>
              <w:spacing w:before="60" w:after="60"/>
              <w:ind w:firstLine="357"/>
              <w:jc w:val="center"/>
              <w:rPr>
                <w:b/>
                <w:color w:val="000000" w:themeColor="text1"/>
              </w:rPr>
            </w:pPr>
            <w:r w:rsidRPr="00DB79A9">
              <w:rPr>
                <w:b/>
              </w:rPr>
              <w:t>VII. Tiesību akta projekta izpildes nodrošināšana un tās ietekme uz institūcijām</w:t>
            </w:r>
          </w:p>
        </w:tc>
      </w:tr>
      <w:tr w:rsidR="00012182" w:rsidRPr="00DB79A9" w:rsidTr="00A01034">
        <w:tc>
          <w:tcPr>
            <w:tcW w:w="675" w:type="dxa"/>
          </w:tcPr>
          <w:p w:rsidR="00012182" w:rsidRPr="00DB79A9" w:rsidRDefault="00012182" w:rsidP="00A01034">
            <w:pPr>
              <w:rPr>
                <w:iCs/>
                <w:lang w:eastAsia="lv-LV"/>
              </w:rPr>
            </w:pPr>
            <w:r w:rsidRPr="00DB79A9">
              <w:rPr>
                <w:iCs/>
                <w:lang w:eastAsia="lv-LV"/>
              </w:rPr>
              <w:t>1.</w:t>
            </w:r>
          </w:p>
        </w:tc>
        <w:tc>
          <w:tcPr>
            <w:tcW w:w="3119" w:type="dxa"/>
            <w:gridSpan w:val="2"/>
          </w:tcPr>
          <w:p w:rsidR="00012182" w:rsidRPr="00DB79A9" w:rsidRDefault="00012182" w:rsidP="00A01034">
            <w:pPr>
              <w:spacing w:before="60" w:after="60"/>
              <w:rPr>
                <w:iCs/>
                <w:lang w:eastAsia="lv-LV"/>
              </w:rPr>
            </w:pPr>
            <w:r w:rsidRPr="00DB79A9">
              <w:t>Projekta izpildē iesaistītās institūcijas</w:t>
            </w:r>
          </w:p>
        </w:tc>
        <w:tc>
          <w:tcPr>
            <w:tcW w:w="5339" w:type="dxa"/>
            <w:vAlign w:val="center"/>
          </w:tcPr>
          <w:p w:rsidR="00012182" w:rsidRPr="00B158B5" w:rsidRDefault="00EC39E6" w:rsidP="00776385">
            <w:pPr>
              <w:spacing w:before="60" w:after="60"/>
              <w:ind w:firstLine="204"/>
              <w:jc w:val="both"/>
              <w:rPr>
                <w:iCs/>
                <w:lang w:eastAsia="lv-LV"/>
              </w:rPr>
            </w:pPr>
            <w:r w:rsidRPr="00B158B5">
              <w:rPr>
                <w:bCs/>
                <w:iCs/>
              </w:rPr>
              <w:t xml:space="preserve">Ģenerālprokuratūra, Valsts policija, Drošības policija, </w:t>
            </w:r>
            <w:r w:rsidRPr="00B158B5">
              <w:t>Valsts robežsardze, Korupcijas novēršanas un apkarošanas birojs</w:t>
            </w:r>
            <w:r w:rsidR="00B158B5" w:rsidRPr="00B158B5">
              <w:t xml:space="preserve">, </w:t>
            </w:r>
            <w:r w:rsidRPr="00B158B5">
              <w:t xml:space="preserve">Militārā </w:t>
            </w:r>
            <w:r w:rsidR="00B158B5" w:rsidRPr="00B158B5">
              <w:t>policija</w:t>
            </w:r>
            <w:r w:rsidRPr="00B158B5">
              <w:t>, Valsts ieņēmumu dienesta Finanšu policija un Muitas kriminālpārvalde</w:t>
            </w:r>
            <w:r w:rsidR="00B158B5" w:rsidRPr="00B158B5">
              <w:t xml:space="preserve">, </w:t>
            </w:r>
            <w:r w:rsidRPr="00B158B5">
              <w:t>Ieslodzījumu vietu pārvalde</w:t>
            </w:r>
            <w:r w:rsidR="00B158B5" w:rsidRPr="00B158B5">
              <w:t xml:space="preserve"> un Noziedzīgi iegūtu līdzekļu legalizācijas novēršanas dienests</w:t>
            </w:r>
            <w:r w:rsidRPr="00B158B5">
              <w:t>.</w:t>
            </w:r>
          </w:p>
        </w:tc>
      </w:tr>
      <w:tr w:rsidR="00012182" w:rsidRPr="00DB79A9" w:rsidTr="00A01034">
        <w:tc>
          <w:tcPr>
            <w:tcW w:w="675" w:type="dxa"/>
          </w:tcPr>
          <w:p w:rsidR="00012182" w:rsidRPr="00DB79A9" w:rsidRDefault="00012182" w:rsidP="00A01034">
            <w:pPr>
              <w:rPr>
                <w:iCs/>
                <w:lang w:eastAsia="lv-LV"/>
              </w:rPr>
            </w:pPr>
            <w:r w:rsidRPr="00DB79A9">
              <w:rPr>
                <w:iCs/>
                <w:lang w:eastAsia="lv-LV"/>
              </w:rPr>
              <w:t>2.</w:t>
            </w:r>
          </w:p>
        </w:tc>
        <w:tc>
          <w:tcPr>
            <w:tcW w:w="3119" w:type="dxa"/>
            <w:gridSpan w:val="2"/>
          </w:tcPr>
          <w:p w:rsidR="00012182" w:rsidRPr="00DB79A9" w:rsidRDefault="00012182" w:rsidP="00A01034">
            <w:pPr>
              <w:spacing w:before="60" w:after="60"/>
              <w:rPr>
                <w:iCs/>
                <w:lang w:eastAsia="lv-LV"/>
              </w:rPr>
            </w:pPr>
            <w:r w:rsidRPr="00DB79A9">
              <w:t>Projekta izpildes ietekme uz pārvaldes funkcijām un institucionālo struktūru. Jaunu institūciju izveide, esošu institūciju likvidācija vai reorganizācija, to ietekme uz institūcijas cilvēkresursiem</w:t>
            </w:r>
          </w:p>
        </w:tc>
        <w:tc>
          <w:tcPr>
            <w:tcW w:w="5339" w:type="dxa"/>
          </w:tcPr>
          <w:p w:rsidR="00012182" w:rsidRDefault="00012182" w:rsidP="00776385">
            <w:pPr>
              <w:spacing w:before="60"/>
              <w:ind w:firstLine="204"/>
              <w:jc w:val="both"/>
            </w:pPr>
            <w:r w:rsidRPr="00DB79A9">
              <w:t>Saistībā ar projekta izpildi nav nepieciešams veidot jaunas institūcijas, likvidēt vai reorganizēt esošās.</w:t>
            </w:r>
          </w:p>
          <w:p w:rsidR="00B158B5" w:rsidRPr="00DB79A9" w:rsidRDefault="00B158B5" w:rsidP="00776385">
            <w:pPr>
              <w:spacing w:before="60"/>
              <w:ind w:firstLine="204"/>
              <w:jc w:val="both"/>
              <w:rPr>
                <w:iCs/>
                <w:lang w:eastAsia="lv-LV"/>
              </w:rPr>
            </w:pPr>
            <w:r>
              <w:t>Projekts neparedz jaunus uzdevum</w:t>
            </w:r>
            <w:r w:rsidR="00776385">
              <w:t>us</w:t>
            </w:r>
            <w:r>
              <w:t xml:space="preserve"> valsts institūcijām. Projektā ir paredzēta vienota procedūra, kādā tiesību aizsardzības iestādes realizēs starp tām Operatīvās darbības likuma 24.panta otrajā un trešajā daļā un 25.panta otrajā daļā noteikto sadarbību informācijas analīzes un apmaiņas jomā. Projekta izstrādes laikā tika aktualizētas tiesību aizsardzības iestādēs esošās problēmas, kas ir saistītas ar to, ka ir apgrūtināta</w:t>
            </w:r>
            <w:r w:rsidRPr="00DB79A9">
              <w:t xml:space="preserve"> tiesību aizsardzības iestāžu vienota, sistēmiska informācijas par noziedzīgiem nodarījumiem, tos izdarījušām personām, noziedzību ietekmējošiem faktoriem, dinamiku un ietekmi (apdraudējumu) analīze.</w:t>
            </w:r>
            <w:r>
              <w:t xml:space="preserve"> </w:t>
            </w:r>
            <w:r w:rsidR="00776385" w:rsidRPr="001B0124">
              <w:t xml:space="preserve">Šādam mērķim iestādēs nav </w:t>
            </w:r>
            <w:r w:rsidR="00776385">
              <w:t xml:space="preserve">pietiekošu </w:t>
            </w:r>
            <w:r w:rsidR="00776385" w:rsidRPr="001B0124">
              <w:t>personāla</w:t>
            </w:r>
            <w:r w:rsidR="00776385">
              <w:t xml:space="preserve"> resursu</w:t>
            </w:r>
            <w:r>
              <w:t xml:space="preserve">. </w:t>
            </w:r>
            <w:r w:rsidRPr="00DB79A9">
              <w:t>Tāpat nav vienotas analītiskā darba metodikas, kā arī vienoti kritēriji analizējamās kriminālizlūkošanas informācijas iegūšanai, uzglabāšanai, strukturēšanai un apmaiņai starp tiesību aizsardzības iestādēm.</w:t>
            </w:r>
            <w:r>
              <w:t xml:space="preserve"> Šī iemesla dēļ iestādes aktualizēja nepieciešamību pēc papildus amata vietu ieviešanas, kas prasa papildus finanšu resursus.</w:t>
            </w:r>
          </w:p>
        </w:tc>
      </w:tr>
      <w:tr w:rsidR="00012182" w:rsidRPr="00DB79A9" w:rsidTr="00A01034">
        <w:tc>
          <w:tcPr>
            <w:tcW w:w="675" w:type="dxa"/>
          </w:tcPr>
          <w:p w:rsidR="00012182" w:rsidRPr="00DB79A9" w:rsidRDefault="00012182" w:rsidP="00A01034">
            <w:pPr>
              <w:rPr>
                <w:iCs/>
                <w:lang w:eastAsia="lv-LV"/>
              </w:rPr>
            </w:pPr>
            <w:r w:rsidRPr="00DB79A9">
              <w:rPr>
                <w:iCs/>
                <w:lang w:eastAsia="lv-LV"/>
              </w:rPr>
              <w:t>3.</w:t>
            </w:r>
          </w:p>
        </w:tc>
        <w:tc>
          <w:tcPr>
            <w:tcW w:w="3119" w:type="dxa"/>
            <w:gridSpan w:val="2"/>
          </w:tcPr>
          <w:p w:rsidR="00012182" w:rsidRPr="00DB79A9" w:rsidRDefault="00012182" w:rsidP="00A01034">
            <w:pPr>
              <w:spacing w:before="60" w:after="60"/>
              <w:rPr>
                <w:iCs/>
                <w:lang w:eastAsia="lv-LV"/>
              </w:rPr>
            </w:pPr>
            <w:r w:rsidRPr="00DB79A9">
              <w:rPr>
                <w:iCs/>
                <w:lang w:eastAsia="lv-LV"/>
              </w:rPr>
              <w:t>Cita informācija</w:t>
            </w:r>
          </w:p>
        </w:tc>
        <w:tc>
          <w:tcPr>
            <w:tcW w:w="5339" w:type="dxa"/>
            <w:vAlign w:val="center"/>
          </w:tcPr>
          <w:p w:rsidR="00012182" w:rsidRPr="00DB79A9" w:rsidRDefault="00012182" w:rsidP="00A01034">
            <w:pPr>
              <w:spacing w:before="60" w:after="60"/>
              <w:rPr>
                <w:iCs/>
                <w:lang w:eastAsia="lv-LV"/>
              </w:rPr>
            </w:pPr>
            <w:r w:rsidRPr="00DB79A9">
              <w:t>Nav.</w:t>
            </w:r>
          </w:p>
        </w:tc>
      </w:tr>
    </w:tbl>
    <w:p w:rsidR="000544F7" w:rsidRPr="00DB79A9" w:rsidRDefault="000544F7" w:rsidP="000544F7">
      <w:pPr>
        <w:rPr>
          <w:iCs/>
          <w:lang w:eastAsia="lv-LV"/>
        </w:rPr>
      </w:pPr>
    </w:p>
    <w:p w:rsidR="0032691E" w:rsidRPr="00DB79A9" w:rsidRDefault="0032691E" w:rsidP="0007077C">
      <w:pPr>
        <w:rPr>
          <w:iCs/>
          <w:lang w:eastAsia="lv-LV"/>
        </w:rPr>
      </w:pPr>
    </w:p>
    <w:p w:rsidR="00AF1B96" w:rsidRPr="00DB79A9" w:rsidRDefault="00AF1B96" w:rsidP="00C338A6">
      <w:pPr>
        <w:jc w:val="both"/>
        <w:rPr>
          <w:lang w:val="de-DE"/>
        </w:rPr>
      </w:pPr>
    </w:p>
    <w:p w:rsidR="00616AA6" w:rsidRPr="00DB79A9" w:rsidRDefault="00616AA6" w:rsidP="00C338A6">
      <w:pPr>
        <w:jc w:val="both"/>
        <w:rPr>
          <w:lang w:val="de-DE"/>
        </w:rPr>
      </w:pPr>
      <w:r w:rsidRPr="00DB79A9">
        <w:rPr>
          <w:lang w:val="de-DE"/>
        </w:rPr>
        <w:t>Iekšlietu ministrs</w:t>
      </w:r>
      <w:r w:rsidRPr="00DB79A9">
        <w:rPr>
          <w:lang w:val="de-DE"/>
        </w:rPr>
        <w:tab/>
      </w:r>
      <w:r w:rsidRPr="00DB79A9">
        <w:rPr>
          <w:lang w:val="de-DE"/>
        </w:rPr>
        <w:tab/>
      </w:r>
      <w:r w:rsidRPr="00DB79A9">
        <w:rPr>
          <w:lang w:val="de-DE"/>
        </w:rPr>
        <w:tab/>
      </w:r>
      <w:r w:rsidRPr="00DB79A9">
        <w:rPr>
          <w:lang w:val="de-DE"/>
        </w:rPr>
        <w:tab/>
      </w:r>
      <w:r w:rsidRPr="00DB79A9">
        <w:rPr>
          <w:lang w:val="de-DE"/>
        </w:rPr>
        <w:tab/>
      </w:r>
      <w:r w:rsidR="00A217E7" w:rsidRPr="00DB79A9">
        <w:rPr>
          <w:lang w:val="de-DE"/>
        </w:rPr>
        <w:t xml:space="preserve">             </w:t>
      </w:r>
      <w:r w:rsidR="00C4178C" w:rsidRPr="00DB79A9">
        <w:rPr>
          <w:lang w:val="de-DE"/>
        </w:rPr>
        <w:t xml:space="preserve">                   </w:t>
      </w:r>
      <w:r w:rsidRPr="00DB79A9">
        <w:rPr>
          <w:lang w:val="de-DE"/>
        </w:rPr>
        <w:t>R. Kozlovskis</w:t>
      </w:r>
    </w:p>
    <w:p w:rsidR="00DB0ED4" w:rsidRPr="00DB79A9" w:rsidRDefault="00DB0ED4" w:rsidP="00C338A6">
      <w:pPr>
        <w:jc w:val="both"/>
        <w:rPr>
          <w:lang w:val="de-DE"/>
        </w:rPr>
      </w:pPr>
    </w:p>
    <w:p w:rsidR="002720A2" w:rsidRPr="00DB79A9" w:rsidRDefault="00616AA6" w:rsidP="00C338A6">
      <w:pPr>
        <w:pStyle w:val="naisf"/>
        <w:ind w:firstLine="0"/>
        <w:rPr>
          <w:color w:val="000000"/>
        </w:rPr>
      </w:pPr>
      <w:r w:rsidRPr="00DB79A9">
        <w:t>Vīza: valsts sekretāre</w:t>
      </w:r>
      <w:r w:rsidRPr="00DB79A9">
        <w:tab/>
      </w:r>
      <w:r w:rsidRPr="00DB79A9">
        <w:tab/>
      </w:r>
      <w:r w:rsidRPr="00DB79A9">
        <w:tab/>
      </w:r>
      <w:r w:rsidRPr="00DB79A9">
        <w:tab/>
      </w:r>
      <w:r w:rsidR="00010549" w:rsidRPr="00DB79A9">
        <w:t xml:space="preserve">                                 </w:t>
      </w:r>
      <w:r w:rsidR="00502E7D" w:rsidRPr="00DB79A9">
        <w:t xml:space="preserve"> </w:t>
      </w:r>
      <w:r w:rsidRPr="00DB79A9">
        <w:t>I.Pētersone</w:t>
      </w:r>
      <w:r w:rsidR="00B74BDF" w:rsidRPr="00DB79A9">
        <w:t>–</w:t>
      </w:r>
      <w:r w:rsidRPr="00DB79A9">
        <w:t>Godmane</w:t>
      </w:r>
    </w:p>
    <w:p w:rsidR="00AF1B96" w:rsidRPr="00DB79A9" w:rsidRDefault="00AF1B96" w:rsidP="00D539DB">
      <w:pPr>
        <w:rPr>
          <w:color w:val="000000"/>
        </w:rPr>
      </w:pPr>
    </w:p>
    <w:p w:rsidR="00AF1B96" w:rsidRPr="00DB79A9" w:rsidRDefault="00AF1B96" w:rsidP="00D539DB">
      <w:pPr>
        <w:rPr>
          <w:color w:val="000000"/>
        </w:rPr>
      </w:pPr>
    </w:p>
    <w:p w:rsidR="00EE6C98" w:rsidRDefault="00EE6C98" w:rsidP="00D539DB">
      <w:pPr>
        <w:rPr>
          <w:color w:val="000000"/>
        </w:rPr>
      </w:pPr>
    </w:p>
    <w:p w:rsidR="00D05699" w:rsidRDefault="00D05699" w:rsidP="00D539DB">
      <w:pPr>
        <w:rPr>
          <w:color w:val="000000"/>
        </w:rPr>
      </w:pPr>
    </w:p>
    <w:p w:rsidR="00D05699" w:rsidRDefault="00D05699" w:rsidP="00D539DB">
      <w:pPr>
        <w:rPr>
          <w:color w:val="000000"/>
        </w:rPr>
      </w:pPr>
    </w:p>
    <w:p w:rsidR="00D05699" w:rsidRDefault="00D05699" w:rsidP="00D539DB">
      <w:pPr>
        <w:rPr>
          <w:color w:val="000000"/>
        </w:rPr>
      </w:pPr>
    </w:p>
    <w:p w:rsidR="00D05699" w:rsidRDefault="00D05699" w:rsidP="00D539DB">
      <w:pPr>
        <w:rPr>
          <w:color w:val="000000"/>
        </w:rPr>
      </w:pPr>
    </w:p>
    <w:p w:rsidR="00EE6C98" w:rsidRDefault="00EE6C98" w:rsidP="00D539DB">
      <w:pPr>
        <w:rPr>
          <w:color w:val="000000"/>
        </w:rPr>
      </w:pPr>
    </w:p>
    <w:p w:rsidR="00EE6C98" w:rsidRDefault="00EE6C98" w:rsidP="00D539DB">
      <w:pPr>
        <w:rPr>
          <w:color w:val="000000"/>
        </w:rPr>
      </w:pPr>
    </w:p>
    <w:p w:rsidR="00EE6C98" w:rsidRDefault="00EE6C98" w:rsidP="00D539DB">
      <w:pPr>
        <w:rPr>
          <w:color w:val="000000"/>
        </w:rPr>
      </w:pPr>
    </w:p>
    <w:p w:rsidR="00EE6C98" w:rsidRPr="00EE6C98" w:rsidRDefault="00EE6C98" w:rsidP="00D539DB">
      <w:pPr>
        <w:rPr>
          <w:color w:val="000000"/>
          <w:sz w:val="20"/>
        </w:rPr>
      </w:pPr>
    </w:p>
    <w:p w:rsidR="00C4178C" w:rsidRPr="00EE6C98" w:rsidRDefault="00833926" w:rsidP="00D05699">
      <w:pPr>
        <w:rPr>
          <w:color w:val="000000"/>
          <w:sz w:val="20"/>
        </w:rPr>
      </w:pPr>
      <w:r>
        <w:rPr>
          <w:color w:val="000000"/>
          <w:sz w:val="20"/>
        </w:rPr>
        <w:t>09</w:t>
      </w:r>
      <w:r w:rsidR="00DB79A9" w:rsidRPr="00EE6C98">
        <w:rPr>
          <w:color w:val="000000"/>
          <w:sz w:val="20"/>
        </w:rPr>
        <w:t>.0</w:t>
      </w:r>
      <w:r>
        <w:rPr>
          <w:color w:val="000000"/>
          <w:sz w:val="20"/>
        </w:rPr>
        <w:t>9</w:t>
      </w:r>
      <w:r w:rsidR="00DB79A9" w:rsidRPr="00EE6C98">
        <w:rPr>
          <w:color w:val="000000"/>
          <w:sz w:val="20"/>
        </w:rPr>
        <w:t xml:space="preserve">.2014. </w:t>
      </w:r>
      <w:r w:rsidR="00A01034">
        <w:rPr>
          <w:color w:val="000000"/>
          <w:sz w:val="20"/>
        </w:rPr>
        <w:t>08</w:t>
      </w:r>
      <w:r w:rsidR="00DB79A9" w:rsidRPr="00EE6C98">
        <w:rPr>
          <w:color w:val="000000"/>
          <w:sz w:val="20"/>
        </w:rPr>
        <w:t>:</w:t>
      </w:r>
      <w:r w:rsidR="00A01034">
        <w:rPr>
          <w:color w:val="000000"/>
          <w:sz w:val="20"/>
        </w:rPr>
        <w:t>3</w:t>
      </w:r>
      <w:r w:rsidR="00DB79A9" w:rsidRPr="00EE6C98">
        <w:rPr>
          <w:color w:val="000000"/>
          <w:sz w:val="20"/>
        </w:rPr>
        <w:t>0</w:t>
      </w:r>
    </w:p>
    <w:p w:rsidR="00DB0ED4" w:rsidRPr="00EE6C98" w:rsidRDefault="0015627A" w:rsidP="00D05699">
      <w:pPr>
        <w:rPr>
          <w:sz w:val="20"/>
        </w:rPr>
      </w:pPr>
      <w:r>
        <w:rPr>
          <w:sz w:val="20"/>
        </w:rPr>
        <w:t>3</w:t>
      </w:r>
      <w:r w:rsidR="00E15423">
        <w:rPr>
          <w:sz w:val="20"/>
        </w:rPr>
        <w:t>42</w:t>
      </w:r>
      <w:r w:rsidR="00833926">
        <w:rPr>
          <w:sz w:val="20"/>
        </w:rPr>
        <w:t>7</w:t>
      </w:r>
    </w:p>
    <w:p w:rsidR="00962062" w:rsidRPr="00EE6C98" w:rsidRDefault="007B14B3" w:rsidP="00D05699">
      <w:pPr>
        <w:rPr>
          <w:sz w:val="20"/>
        </w:rPr>
      </w:pPr>
      <w:r w:rsidRPr="00EE6C98">
        <w:rPr>
          <w:sz w:val="20"/>
        </w:rPr>
        <w:t>M.Rāzna</w:t>
      </w:r>
      <w:r w:rsidR="00962062" w:rsidRPr="00EE6C98">
        <w:rPr>
          <w:sz w:val="20"/>
        </w:rPr>
        <w:t>, 67219</w:t>
      </w:r>
      <w:r w:rsidRPr="00EE6C98">
        <w:rPr>
          <w:sz w:val="20"/>
        </w:rPr>
        <w:t>597</w:t>
      </w:r>
    </w:p>
    <w:p w:rsidR="00D1252E" w:rsidRDefault="001C7567" w:rsidP="00D05699">
      <w:pPr>
        <w:rPr>
          <w:rStyle w:val="Hyperlink"/>
          <w:sz w:val="20"/>
        </w:rPr>
      </w:pPr>
      <w:hyperlink r:id="rId8" w:history="1">
        <w:r w:rsidR="007B14B3" w:rsidRPr="00EE6C98">
          <w:rPr>
            <w:rStyle w:val="Hyperlink"/>
            <w:sz w:val="20"/>
          </w:rPr>
          <w:t>martins.razna@iem.gov.lv</w:t>
        </w:r>
      </w:hyperlink>
    </w:p>
    <w:p w:rsidR="00D05699" w:rsidRPr="00A3364E" w:rsidRDefault="00D05699" w:rsidP="00D05699">
      <w:pPr>
        <w:pStyle w:val="naisf"/>
        <w:spacing w:before="0" w:after="0"/>
        <w:ind w:firstLine="0"/>
        <w:rPr>
          <w:noProof/>
          <w:sz w:val="20"/>
          <w:szCs w:val="20"/>
          <w:lang w:val="en-US"/>
        </w:rPr>
      </w:pPr>
      <w:r w:rsidRPr="00A3364E">
        <w:rPr>
          <w:noProof/>
          <w:sz w:val="20"/>
          <w:szCs w:val="20"/>
          <w:lang w:val="en-US"/>
        </w:rPr>
        <w:t>I.Potjomkina</w:t>
      </w:r>
    </w:p>
    <w:p w:rsidR="00D05699" w:rsidRPr="00E15423" w:rsidRDefault="00D05699" w:rsidP="00E15423">
      <w:pPr>
        <w:pStyle w:val="naisf"/>
        <w:spacing w:before="0" w:after="0"/>
        <w:ind w:firstLine="0"/>
        <w:rPr>
          <w:noProof/>
          <w:sz w:val="20"/>
          <w:szCs w:val="20"/>
          <w:lang w:val="en-US"/>
        </w:rPr>
      </w:pPr>
      <w:r w:rsidRPr="00A3364E">
        <w:rPr>
          <w:noProof/>
          <w:sz w:val="20"/>
          <w:szCs w:val="20"/>
          <w:lang w:val="en-US"/>
        </w:rPr>
        <w:t>6721960</w:t>
      </w:r>
      <w:r>
        <w:rPr>
          <w:noProof/>
          <w:sz w:val="20"/>
          <w:szCs w:val="20"/>
        </w:rPr>
        <w:t>6</w:t>
      </w:r>
      <w:r w:rsidRPr="00A3364E">
        <w:rPr>
          <w:noProof/>
          <w:sz w:val="20"/>
          <w:szCs w:val="20"/>
          <w:lang w:val="en-US"/>
        </w:rPr>
        <w:t xml:space="preserve">, </w:t>
      </w:r>
      <w:hyperlink r:id="rId9" w:history="1">
        <w:r w:rsidRPr="005E61ED">
          <w:rPr>
            <w:rStyle w:val="Hyperlink"/>
            <w:noProof/>
            <w:sz w:val="20"/>
            <w:szCs w:val="20"/>
            <w:lang w:val="en-US"/>
          </w:rPr>
          <w:t>ieva.potjomkina@iem.gov.lv</w:t>
        </w:r>
      </w:hyperlink>
      <w:bookmarkEnd w:id="0"/>
    </w:p>
    <w:sectPr w:rsidR="00D05699" w:rsidRPr="00E15423" w:rsidSect="00542E31">
      <w:headerReference w:type="even" r:id="rId10"/>
      <w:headerReference w:type="default" r:id="rId11"/>
      <w:footerReference w:type="default" r:id="rId12"/>
      <w:footerReference w:type="first" r:id="rId13"/>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567" w:rsidRDefault="001C7567" w:rsidP="00616AA6">
      <w:r>
        <w:separator/>
      </w:r>
    </w:p>
  </w:endnote>
  <w:endnote w:type="continuationSeparator" w:id="0">
    <w:p w:rsidR="001C7567" w:rsidRDefault="001C7567"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34" w:rsidRPr="007B14B3" w:rsidRDefault="00A01034" w:rsidP="00301A3D">
    <w:pPr>
      <w:jc w:val="both"/>
      <w:rPr>
        <w:sz w:val="20"/>
        <w:szCs w:val="20"/>
      </w:rPr>
    </w:pPr>
    <w:r w:rsidRPr="007B14B3">
      <w:rPr>
        <w:sz w:val="20"/>
        <w:szCs w:val="20"/>
      </w:rPr>
      <w:t>IEMAnot_</w:t>
    </w:r>
    <w:r w:rsidR="00833926">
      <w:rPr>
        <w:sz w:val="20"/>
        <w:szCs w:val="20"/>
      </w:rPr>
      <w:t>0909</w:t>
    </w:r>
    <w:r w:rsidRPr="007B14B3">
      <w:rPr>
        <w:sz w:val="20"/>
        <w:szCs w:val="20"/>
      </w:rPr>
      <w:t>14_</w:t>
    </w:r>
    <w:r>
      <w:rPr>
        <w:sz w:val="20"/>
        <w:szCs w:val="20"/>
      </w:rPr>
      <w:t>NKIM</w:t>
    </w:r>
    <w:r w:rsidRPr="007B14B3">
      <w:rPr>
        <w:sz w:val="20"/>
        <w:szCs w:val="20"/>
      </w:rPr>
      <w:t xml:space="preserve">.doc; </w:t>
    </w:r>
    <w:r w:rsidRPr="007B14B3">
      <w:rPr>
        <w:bCs/>
        <w:sz w:val="20"/>
        <w:szCs w:val="20"/>
      </w:rPr>
      <w:t xml:space="preserve">Ministru kabineta noteikumu projekta </w:t>
    </w:r>
    <w:r w:rsidRPr="007B14B3">
      <w:rPr>
        <w:rStyle w:val="Strong"/>
        <w:sz w:val="20"/>
        <w:szCs w:val="20"/>
      </w:rPr>
      <w:t>„</w:t>
    </w:r>
    <w:r w:rsidR="00475698" w:rsidRPr="00237F85">
      <w:rPr>
        <w:bCs/>
        <w:sz w:val="20"/>
        <w:szCs w:val="20"/>
      </w:rPr>
      <w:t>Tiesību aizsardzības iestāžu sadarbības kārtība noziedzības novēršanas un apkarošanas politikas īstenošanas jomā</w:t>
    </w:r>
    <w:r w:rsidRPr="007B14B3">
      <w:rPr>
        <w:rStyle w:val="Strong"/>
        <w:sz w:val="20"/>
        <w:szCs w:val="20"/>
      </w:rPr>
      <w:t>”</w:t>
    </w:r>
    <w:r w:rsidRPr="007B14B3">
      <w:rPr>
        <w:bCs/>
        <w:sz w:val="20"/>
        <w:szCs w:val="20"/>
      </w:rPr>
      <w:t xml:space="preserve"> sākotnējās ietekmes novērtējuma </w:t>
    </w:r>
    <w:smartTag w:uri="schemas-tilde-lv/tildestengine" w:element="veidnes">
      <w:smartTagPr>
        <w:attr w:name="id" w:val="-1"/>
        <w:attr w:name="baseform" w:val="ziņojums"/>
        <w:attr w:name="text" w:val="ziņojums"/>
      </w:smartTagPr>
      <w:r w:rsidRPr="007B14B3">
        <w:rPr>
          <w:bCs/>
          <w:sz w:val="20"/>
          <w:szCs w:val="20"/>
        </w:rPr>
        <w:t>ziņojums</w:t>
      </w:r>
    </w:smartTag>
    <w:r w:rsidRPr="007B14B3">
      <w:rPr>
        <w:bCs/>
        <w:sz w:val="20"/>
        <w:szCs w:val="20"/>
      </w:rPr>
      <w:t xml:space="preserve"> (anotācija)</w:t>
    </w:r>
    <w:r w:rsidR="00237F85">
      <w:rPr>
        <w:bCs/>
        <w:sz w:val="20"/>
        <w:szCs w:val="20"/>
      </w:rPr>
      <w:t xml:space="preserve"> (VSS-203)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34" w:rsidRPr="00301A3D" w:rsidRDefault="00237F85" w:rsidP="00301A3D">
    <w:pPr>
      <w:jc w:val="both"/>
      <w:rPr>
        <w:sz w:val="20"/>
        <w:szCs w:val="20"/>
      </w:rPr>
    </w:pPr>
    <w:r w:rsidRPr="007B14B3">
      <w:rPr>
        <w:sz w:val="20"/>
        <w:szCs w:val="20"/>
      </w:rPr>
      <w:t>IEMAnot_</w:t>
    </w:r>
    <w:r w:rsidR="00F23B1D">
      <w:rPr>
        <w:sz w:val="20"/>
        <w:szCs w:val="20"/>
      </w:rPr>
      <w:t>0909</w:t>
    </w:r>
    <w:r w:rsidRPr="007B14B3">
      <w:rPr>
        <w:sz w:val="20"/>
        <w:szCs w:val="20"/>
      </w:rPr>
      <w:t>14_</w:t>
    </w:r>
    <w:r>
      <w:rPr>
        <w:sz w:val="20"/>
        <w:szCs w:val="20"/>
      </w:rPr>
      <w:t>NKIM</w:t>
    </w:r>
    <w:r w:rsidRPr="007B14B3">
      <w:rPr>
        <w:sz w:val="20"/>
        <w:szCs w:val="20"/>
      </w:rPr>
      <w:t xml:space="preserve">.doc; </w:t>
    </w:r>
    <w:r w:rsidRPr="007B14B3">
      <w:rPr>
        <w:bCs/>
        <w:sz w:val="20"/>
        <w:szCs w:val="20"/>
      </w:rPr>
      <w:t xml:space="preserve">Ministru kabineta noteikumu projekta </w:t>
    </w:r>
    <w:r w:rsidRPr="007B14B3">
      <w:rPr>
        <w:rStyle w:val="Strong"/>
        <w:sz w:val="20"/>
        <w:szCs w:val="20"/>
      </w:rPr>
      <w:t>„</w:t>
    </w:r>
    <w:r w:rsidRPr="00237F85">
      <w:rPr>
        <w:bCs/>
        <w:sz w:val="20"/>
        <w:szCs w:val="20"/>
      </w:rPr>
      <w:t>Tiesību aizsardzības iestāžu sadarbības kārtība noziedzības novēršanas un apkarošanas politikas īstenošanas jomā</w:t>
    </w:r>
    <w:r w:rsidRPr="007B14B3">
      <w:rPr>
        <w:rStyle w:val="Strong"/>
        <w:sz w:val="20"/>
        <w:szCs w:val="20"/>
      </w:rPr>
      <w:t>”</w:t>
    </w:r>
    <w:r w:rsidRPr="007B14B3">
      <w:rPr>
        <w:bCs/>
        <w:sz w:val="20"/>
        <w:szCs w:val="20"/>
      </w:rPr>
      <w:t xml:space="preserve"> sākotnējās ietekmes novērtējuma </w:t>
    </w:r>
    <w:smartTag w:uri="schemas-tilde-lv/tildestengine" w:element="veidnes">
      <w:smartTagPr>
        <w:attr w:name="id" w:val="-1"/>
        <w:attr w:name="baseform" w:val="ziņojums"/>
        <w:attr w:name="text" w:val="ziņojums"/>
      </w:smartTagPr>
      <w:r w:rsidRPr="007B14B3">
        <w:rPr>
          <w:bCs/>
          <w:sz w:val="20"/>
          <w:szCs w:val="20"/>
        </w:rPr>
        <w:t>ziņojums</w:t>
      </w:r>
    </w:smartTag>
    <w:r w:rsidRPr="007B14B3">
      <w:rPr>
        <w:bCs/>
        <w:sz w:val="20"/>
        <w:szCs w:val="20"/>
      </w:rPr>
      <w:t xml:space="preserve"> (anotācija)</w:t>
    </w:r>
    <w:r>
      <w:rPr>
        <w:bCs/>
        <w:sz w:val="20"/>
        <w:szCs w:val="20"/>
      </w:rPr>
      <w:t xml:space="preserve"> (VSS-203)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567" w:rsidRDefault="001C7567" w:rsidP="00616AA6">
      <w:r>
        <w:separator/>
      </w:r>
    </w:p>
  </w:footnote>
  <w:footnote w:type="continuationSeparator" w:id="0">
    <w:p w:rsidR="001C7567" w:rsidRDefault="001C7567"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34" w:rsidRDefault="00A01034"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1034" w:rsidRDefault="00A01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34" w:rsidRDefault="00A01034"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109">
      <w:rPr>
        <w:rStyle w:val="PageNumber"/>
        <w:noProof/>
      </w:rPr>
      <w:t>13</w:t>
    </w:r>
    <w:r>
      <w:rPr>
        <w:rStyle w:val="PageNumber"/>
      </w:rPr>
      <w:fldChar w:fldCharType="end"/>
    </w:r>
  </w:p>
  <w:p w:rsidR="00A01034" w:rsidRDefault="00A01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51FB"/>
    <w:multiLevelType w:val="hybridMultilevel"/>
    <w:tmpl w:val="A6AE149C"/>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nsid w:val="104713F4"/>
    <w:multiLevelType w:val="hybridMultilevel"/>
    <w:tmpl w:val="66EE0DAA"/>
    <w:lvl w:ilvl="0" w:tplc="5DAC1A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3E1414D"/>
    <w:multiLevelType w:val="hybridMultilevel"/>
    <w:tmpl w:val="0D6EA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9061FA"/>
    <w:multiLevelType w:val="hybridMultilevel"/>
    <w:tmpl w:val="347E3092"/>
    <w:lvl w:ilvl="0" w:tplc="04260001">
      <w:start w:val="1"/>
      <w:numFmt w:val="bullet"/>
      <w:lvlText w:val=""/>
      <w:lvlJc w:val="left"/>
      <w:pPr>
        <w:ind w:left="812" w:hanging="360"/>
      </w:pPr>
      <w:rPr>
        <w:rFonts w:ascii="Symbol" w:hAnsi="Symbol" w:hint="default"/>
      </w:rPr>
    </w:lvl>
    <w:lvl w:ilvl="1" w:tplc="04260003" w:tentative="1">
      <w:start w:val="1"/>
      <w:numFmt w:val="bullet"/>
      <w:lvlText w:val="o"/>
      <w:lvlJc w:val="left"/>
      <w:pPr>
        <w:ind w:left="1532" w:hanging="360"/>
      </w:pPr>
      <w:rPr>
        <w:rFonts w:ascii="Courier New" w:hAnsi="Courier New" w:cs="Courier New" w:hint="default"/>
      </w:rPr>
    </w:lvl>
    <w:lvl w:ilvl="2" w:tplc="04260005" w:tentative="1">
      <w:start w:val="1"/>
      <w:numFmt w:val="bullet"/>
      <w:lvlText w:val=""/>
      <w:lvlJc w:val="left"/>
      <w:pPr>
        <w:ind w:left="2252" w:hanging="360"/>
      </w:pPr>
      <w:rPr>
        <w:rFonts w:ascii="Wingdings" w:hAnsi="Wingdings" w:hint="default"/>
      </w:rPr>
    </w:lvl>
    <w:lvl w:ilvl="3" w:tplc="04260001" w:tentative="1">
      <w:start w:val="1"/>
      <w:numFmt w:val="bullet"/>
      <w:lvlText w:val=""/>
      <w:lvlJc w:val="left"/>
      <w:pPr>
        <w:ind w:left="2972" w:hanging="360"/>
      </w:pPr>
      <w:rPr>
        <w:rFonts w:ascii="Symbol" w:hAnsi="Symbol" w:hint="default"/>
      </w:rPr>
    </w:lvl>
    <w:lvl w:ilvl="4" w:tplc="04260003" w:tentative="1">
      <w:start w:val="1"/>
      <w:numFmt w:val="bullet"/>
      <w:lvlText w:val="o"/>
      <w:lvlJc w:val="left"/>
      <w:pPr>
        <w:ind w:left="3692" w:hanging="360"/>
      </w:pPr>
      <w:rPr>
        <w:rFonts w:ascii="Courier New" w:hAnsi="Courier New" w:cs="Courier New" w:hint="default"/>
      </w:rPr>
    </w:lvl>
    <w:lvl w:ilvl="5" w:tplc="04260005" w:tentative="1">
      <w:start w:val="1"/>
      <w:numFmt w:val="bullet"/>
      <w:lvlText w:val=""/>
      <w:lvlJc w:val="left"/>
      <w:pPr>
        <w:ind w:left="4412" w:hanging="360"/>
      </w:pPr>
      <w:rPr>
        <w:rFonts w:ascii="Wingdings" w:hAnsi="Wingdings" w:hint="default"/>
      </w:rPr>
    </w:lvl>
    <w:lvl w:ilvl="6" w:tplc="04260001" w:tentative="1">
      <w:start w:val="1"/>
      <w:numFmt w:val="bullet"/>
      <w:lvlText w:val=""/>
      <w:lvlJc w:val="left"/>
      <w:pPr>
        <w:ind w:left="5132" w:hanging="360"/>
      </w:pPr>
      <w:rPr>
        <w:rFonts w:ascii="Symbol" w:hAnsi="Symbol" w:hint="default"/>
      </w:rPr>
    </w:lvl>
    <w:lvl w:ilvl="7" w:tplc="04260003" w:tentative="1">
      <w:start w:val="1"/>
      <w:numFmt w:val="bullet"/>
      <w:lvlText w:val="o"/>
      <w:lvlJc w:val="left"/>
      <w:pPr>
        <w:ind w:left="5852" w:hanging="360"/>
      </w:pPr>
      <w:rPr>
        <w:rFonts w:ascii="Courier New" w:hAnsi="Courier New" w:cs="Courier New" w:hint="default"/>
      </w:rPr>
    </w:lvl>
    <w:lvl w:ilvl="8" w:tplc="04260005" w:tentative="1">
      <w:start w:val="1"/>
      <w:numFmt w:val="bullet"/>
      <w:lvlText w:val=""/>
      <w:lvlJc w:val="left"/>
      <w:pPr>
        <w:ind w:left="6572" w:hanging="360"/>
      </w:pPr>
      <w:rPr>
        <w:rFonts w:ascii="Wingdings" w:hAnsi="Wingdings" w:hint="default"/>
      </w:rPr>
    </w:lvl>
  </w:abstractNum>
  <w:abstractNum w:abstractNumId="4">
    <w:nsid w:val="1B472251"/>
    <w:multiLevelType w:val="hybridMultilevel"/>
    <w:tmpl w:val="51908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7DC53FE"/>
    <w:multiLevelType w:val="hybridMultilevel"/>
    <w:tmpl w:val="0E4AB398"/>
    <w:lvl w:ilvl="0" w:tplc="6554AC08">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235984"/>
    <w:multiLevelType w:val="hybridMultilevel"/>
    <w:tmpl w:val="43AEC6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CA51F8"/>
    <w:multiLevelType w:val="hybridMultilevel"/>
    <w:tmpl w:val="BE182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205DCF"/>
    <w:multiLevelType w:val="hybridMultilevel"/>
    <w:tmpl w:val="43AEC6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7C3588"/>
    <w:multiLevelType w:val="hybridMultilevel"/>
    <w:tmpl w:val="33D24DB6"/>
    <w:lvl w:ilvl="0" w:tplc="2C58B31E">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10">
    <w:nsid w:val="3D3B3F56"/>
    <w:multiLevelType w:val="hybridMultilevel"/>
    <w:tmpl w:val="23CA6B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5C1369C"/>
    <w:multiLevelType w:val="multilevel"/>
    <w:tmpl w:val="5040374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6100F84"/>
    <w:multiLevelType w:val="hybridMultilevel"/>
    <w:tmpl w:val="162AB26A"/>
    <w:lvl w:ilvl="0" w:tplc="FFF04D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AD47460"/>
    <w:multiLevelType w:val="hybridMultilevel"/>
    <w:tmpl w:val="5C1275BC"/>
    <w:lvl w:ilvl="0" w:tplc="621410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BF12B63"/>
    <w:multiLevelType w:val="hybridMultilevel"/>
    <w:tmpl w:val="482C515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508702C5"/>
    <w:multiLevelType w:val="hybridMultilevel"/>
    <w:tmpl w:val="F1BA01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12421A6"/>
    <w:multiLevelType w:val="hybridMultilevel"/>
    <w:tmpl w:val="1994A3F0"/>
    <w:lvl w:ilvl="0" w:tplc="F0F69BB8">
      <w:start w:val="1"/>
      <w:numFmt w:val="bullet"/>
      <w:lvlText w:val=""/>
      <w:lvlJc w:val="left"/>
      <w:pPr>
        <w:ind w:left="1192" w:hanging="360"/>
      </w:pPr>
      <w:rPr>
        <w:rFonts w:ascii="Symbol" w:hAnsi="Symbol" w:hint="default"/>
      </w:rPr>
    </w:lvl>
    <w:lvl w:ilvl="1" w:tplc="04260003" w:tentative="1">
      <w:start w:val="1"/>
      <w:numFmt w:val="bullet"/>
      <w:lvlText w:val="o"/>
      <w:lvlJc w:val="left"/>
      <w:pPr>
        <w:ind w:left="1912" w:hanging="360"/>
      </w:pPr>
      <w:rPr>
        <w:rFonts w:ascii="Courier New" w:hAnsi="Courier New" w:cs="Courier New" w:hint="default"/>
      </w:rPr>
    </w:lvl>
    <w:lvl w:ilvl="2" w:tplc="04260005" w:tentative="1">
      <w:start w:val="1"/>
      <w:numFmt w:val="bullet"/>
      <w:lvlText w:val=""/>
      <w:lvlJc w:val="left"/>
      <w:pPr>
        <w:ind w:left="2632" w:hanging="360"/>
      </w:pPr>
      <w:rPr>
        <w:rFonts w:ascii="Wingdings" w:hAnsi="Wingdings" w:hint="default"/>
      </w:rPr>
    </w:lvl>
    <w:lvl w:ilvl="3" w:tplc="04260001" w:tentative="1">
      <w:start w:val="1"/>
      <w:numFmt w:val="bullet"/>
      <w:lvlText w:val=""/>
      <w:lvlJc w:val="left"/>
      <w:pPr>
        <w:ind w:left="3352" w:hanging="360"/>
      </w:pPr>
      <w:rPr>
        <w:rFonts w:ascii="Symbol" w:hAnsi="Symbol" w:hint="default"/>
      </w:rPr>
    </w:lvl>
    <w:lvl w:ilvl="4" w:tplc="04260003" w:tentative="1">
      <w:start w:val="1"/>
      <w:numFmt w:val="bullet"/>
      <w:lvlText w:val="o"/>
      <w:lvlJc w:val="left"/>
      <w:pPr>
        <w:ind w:left="4072" w:hanging="360"/>
      </w:pPr>
      <w:rPr>
        <w:rFonts w:ascii="Courier New" w:hAnsi="Courier New" w:cs="Courier New" w:hint="default"/>
      </w:rPr>
    </w:lvl>
    <w:lvl w:ilvl="5" w:tplc="04260005" w:tentative="1">
      <w:start w:val="1"/>
      <w:numFmt w:val="bullet"/>
      <w:lvlText w:val=""/>
      <w:lvlJc w:val="left"/>
      <w:pPr>
        <w:ind w:left="4792" w:hanging="360"/>
      </w:pPr>
      <w:rPr>
        <w:rFonts w:ascii="Wingdings" w:hAnsi="Wingdings" w:hint="default"/>
      </w:rPr>
    </w:lvl>
    <w:lvl w:ilvl="6" w:tplc="04260001" w:tentative="1">
      <w:start w:val="1"/>
      <w:numFmt w:val="bullet"/>
      <w:lvlText w:val=""/>
      <w:lvlJc w:val="left"/>
      <w:pPr>
        <w:ind w:left="5512" w:hanging="360"/>
      </w:pPr>
      <w:rPr>
        <w:rFonts w:ascii="Symbol" w:hAnsi="Symbol" w:hint="default"/>
      </w:rPr>
    </w:lvl>
    <w:lvl w:ilvl="7" w:tplc="04260003" w:tentative="1">
      <w:start w:val="1"/>
      <w:numFmt w:val="bullet"/>
      <w:lvlText w:val="o"/>
      <w:lvlJc w:val="left"/>
      <w:pPr>
        <w:ind w:left="6232" w:hanging="360"/>
      </w:pPr>
      <w:rPr>
        <w:rFonts w:ascii="Courier New" w:hAnsi="Courier New" w:cs="Courier New" w:hint="default"/>
      </w:rPr>
    </w:lvl>
    <w:lvl w:ilvl="8" w:tplc="04260005" w:tentative="1">
      <w:start w:val="1"/>
      <w:numFmt w:val="bullet"/>
      <w:lvlText w:val=""/>
      <w:lvlJc w:val="left"/>
      <w:pPr>
        <w:ind w:left="6952" w:hanging="360"/>
      </w:pPr>
      <w:rPr>
        <w:rFonts w:ascii="Wingdings" w:hAnsi="Wingdings" w:hint="default"/>
      </w:rPr>
    </w:lvl>
  </w:abstractNum>
  <w:abstractNum w:abstractNumId="17">
    <w:nsid w:val="53C02BF4"/>
    <w:multiLevelType w:val="hybridMultilevel"/>
    <w:tmpl w:val="7ABE3916"/>
    <w:lvl w:ilvl="0" w:tplc="F25EA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3F066F0"/>
    <w:multiLevelType w:val="hybridMultilevel"/>
    <w:tmpl w:val="1CE61D66"/>
    <w:lvl w:ilvl="0" w:tplc="AB58D7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B7552E8"/>
    <w:multiLevelType w:val="hybridMultilevel"/>
    <w:tmpl w:val="36F6F89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6C029F7"/>
    <w:multiLevelType w:val="hybridMultilevel"/>
    <w:tmpl w:val="4956F116"/>
    <w:lvl w:ilvl="0" w:tplc="19426C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AC72CB5"/>
    <w:multiLevelType w:val="hybridMultilevel"/>
    <w:tmpl w:val="97FE94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DCE3AE7"/>
    <w:multiLevelType w:val="hybridMultilevel"/>
    <w:tmpl w:val="A6AE149C"/>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3">
    <w:nsid w:val="799C2A30"/>
    <w:multiLevelType w:val="hybridMultilevel"/>
    <w:tmpl w:val="D5444D38"/>
    <w:lvl w:ilvl="0" w:tplc="2072213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23"/>
  </w:num>
  <w:num w:numId="2">
    <w:abstractNumId w:val="20"/>
  </w:num>
  <w:num w:numId="3">
    <w:abstractNumId w:val="13"/>
  </w:num>
  <w:num w:numId="4">
    <w:abstractNumId w:val="1"/>
  </w:num>
  <w:num w:numId="5">
    <w:abstractNumId w:val="17"/>
  </w:num>
  <w:num w:numId="6">
    <w:abstractNumId w:val="9"/>
  </w:num>
  <w:num w:numId="7">
    <w:abstractNumId w:val="19"/>
  </w:num>
  <w:num w:numId="8">
    <w:abstractNumId w:val="18"/>
  </w:num>
  <w:num w:numId="9">
    <w:abstractNumId w:val="3"/>
  </w:num>
  <w:num w:numId="10">
    <w:abstractNumId w:val="12"/>
  </w:num>
  <w:num w:numId="11">
    <w:abstractNumId w:val="11"/>
  </w:num>
  <w:num w:numId="12">
    <w:abstractNumId w:val="15"/>
  </w:num>
  <w:num w:numId="13">
    <w:abstractNumId w:val="8"/>
  </w:num>
  <w:num w:numId="14">
    <w:abstractNumId w:val="6"/>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5"/>
  </w:num>
  <w:num w:numId="21">
    <w:abstractNumId w:val="16"/>
  </w:num>
  <w:num w:numId="22">
    <w:abstractNumId w:val="10"/>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6"/>
    <w:rsid w:val="00000A7A"/>
    <w:rsid w:val="00010549"/>
    <w:rsid w:val="00012182"/>
    <w:rsid w:val="0002334F"/>
    <w:rsid w:val="00027C37"/>
    <w:rsid w:val="00042BA1"/>
    <w:rsid w:val="000544F7"/>
    <w:rsid w:val="00057968"/>
    <w:rsid w:val="00067236"/>
    <w:rsid w:val="0007077C"/>
    <w:rsid w:val="00070AA3"/>
    <w:rsid w:val="0007285A"/>
    <w:rsid w:val="00072E9F"/>
    <w:rsid w:val="000757EC"/>
    <w:rsid w:val="000766CF"/>
    <w:rsid w:val="00080BAA"/>
    <w:rsid w:val="000A0055"/>
    <w:rsid w:val="000A06FD"/>
    <w:rsid w:val="000A7F51"/>
    <w:rsid w:val="000C75A6"/>
    <w:rsid w:val="000E6215"/>
    <w:rsid w:val="000F1582"/>
    <w:rsid w:val="000F2F91"/>
    <w:rsid w:val="000F4156"/>
    <w:rsid w:val="00101CC2"/>
    <w:rsid w:val="00116D23"/>
    <w:rsid w:val="00127231"/>
    <w:rsid w:val="00127E4B"/>
    <w:rsid w:val="00132192"/>
    <w:rsid w:val="001403DC"/>
    <w:rsid w:val="00144CAD"/>
    <w:rsid w:val="001548CC"/>
    <w:rsid w:val="0015627A"/>
    <w:rsid w:val="00166FDD"/>
    <w:rsid w:val="0017581A"/>
    <w:rsid w:val="00186EFA"/>
    <w:rsid w:val="00193A8B"/>
    <w:rsid w:val="00197C43"/>
    <w:rsid w:val="001B30CD"/>
    <w:rsid w:val="001B3EBE"/>
    <w:rsid w:val="001C6AA7"/>
    <w:rsid w:val="001C7567"/>
    <w:rsid w:val="001D349F"/>
    <w:rsid w:val="001E3E86"/>
    <w:rsid w:val="001F4C14"/>
    <w:rsid w:val="00201BD9"/>
    <w:rsid w:val="002055CE"/>
    <w:rsid w:val="0021282A"/>
    <w:rsid w:val="00221979"/>
    <w:rsid w:val="00223E3D"/>
    <w:rsid w:val="00237654"/>
    <w:rsid w:val="00237C20"/>
    <w:rsid w:val="00237F85"/>
    <w:rsid w:val="002420E5"/>
    <w:rsid w:val="002447E8"/>
    <w:rsid w:val="00246FDC"/>
    <w:rsid w:val="002554BA"/>
    <w:rsid w:val="00257716"/>
    <w:rsid w:val="0025775C"/>
    <w:rsid w:val="002720A2"/>
    <w:rsid w:val="00272223"/>
    <w:rsid w:val="00273A9F"/>
    <w:rsid w:val="00275C6D"/>
    <w:rsid w:val="0029110D"/>
    <w:rsid w:val="002926D3"/>
    <w:rsid w:val="002940CD"/>
    <w:rsid w:val="002960EA"/>
    <w:rsid w:val="002A6197"/>
    <w:rsid w:val="002A7573"/>
    <w:rsid w:val="002B10A1"/>
    <w:rsid w:val="002B4610"/>
    <w:rsid w:val="002B5B67"/>
    <w:rsid w:val="002C7006"/>
    <w:rsid w:val="002E6C12"/>
    <w:rsid w:val="003019EE"/>
    <w:rsid w:val="00301A3D"/>
    <w:rsid w:val="0030306E"/>
    <w:rsid w:val="00311674"/>
    <w:rsid w:val="003126D5"/>
    <w:rsid w:val="0032344B"/>
    <w:rsid w:val="0032691E"/>
    <w:rsid w:val="0035487B"/>
    <w:rsid w:val="00361CA0"/>
    <w:rsid w:val="00373890"/>
    <w:rsid w:val="00374F27"/>
    <w:rsid w:val="00375FAB"/>
    <w:rsid w:val="0038231F"/>
    <w:rsid w:val="0039095B"/>
    <w:rsid w:val="003B10C2"/>
    <w:rsid w:val="003B10C8"/>
    <w:rsid w:val="003C1363"/>
    <w:rsid w:val="003C5BC9"/>
    <w:rsid w:val="003C6387"/>
    <w:rsid w:val="003D1339"/>
    <w:rsid w:val="003D1A40"/>
    <w:rsid w:val="003D7F1E"/>
    <w:rsid w:val="003E2E62"/>
    <w:rsid w:val="00403411"/>
    <w:rsid w:val="004034E0"/>
    <w:rsid w:val="00410DE6"/>
    <w:rsid w:val="004130AE"/>
    <w:rsid w:val="004139D6"/>
    <w:rsid w:val="00416442"/>
    <w:rsid w:val="004175B1"/>
    <w:rsid w:val="00420861"/>
    <w:rsid w:val="004262C0"/>
    <w:rsid w:val="004327F8"/>
    <w:rsid w:val="00437542"/>
    <w:rsid w:val="004430F1"/>
    <w:rsid w:val="004519E2"/>
    <w:rsid w:val="004545E7"/>
    <w:rsid w:val="004676D7"/>
    <w:rsid w:val="004705F1"/>
    <w:rsid w:val="00475698"/>
    <w:rsid w:val="004767AF"/>
    <w:rsid w:val="004854D4"/>
    <w:rsid w:val="0049747B"/>
    <w:rsid w:val="004A11F7"/>
    <w:rsid w:val="004C51BE"/>
    <w:rsid w:val="004C669F"/>
    <w:rsid w:val="004D1FCD"/>
    <w:rsid w:val="004D4483"/>
    <w:rsid w:val="00500381"/>
    <w:rsid w:val="00502E7D"/>
    <w:rsid w:val="0051080F"/>
    <w:rsid w:val="005212D5"/>
    <w:rsid w:val="00527A75"/>
    <w:rsid w:val="00527E3D"/>
    <w:rsid w:val="0053087D"/>
    <w:rsid w:val="00542E31"/>
    <w:rsid w:val="00545E70"/>
    <w:rsid w:val="005526F4"/>
    <w:rsid w:val="005651F4"/>
    <w:rsid w:val="005731A8"/>
    <w:rsid w:val="005818DE"/>
    <w:rsid w:val="00581CD9"/>
    <w:rsid w:val="00593AC8"/>
    <w:rsid w:val="005B2CE7"/>
    <w:rsid w:val="005C093D"/>
    <w:rsid w:val="005C3D9C"/>
    <w:rsid w:val="005F1B2B"/>
    <w:rsid w:val="006063EF"/>
    <w:rsid w:val="00612D7E"/>
    <w:rsid w:val="00616AA6"/>
    <w:rsid w:val="00616AEF"/>
    <w:rsid w:val="006329F8"/>
    <w:rsid w:val="00633D6B"/>
    <w:rsid w:val="00664FC6"/>
    <w:rsid w:val="0068642D"/>
    <w:rsid w:val="00687963"/>
    <w:rsid w:val="006A0DA7"/>
    <w:rsid w:val="006A6022"/>
    <w:rsid w:val="006B0654"/>
    <w:rsid w:val="006C55ED"/>
    <w:rsid w:val="006D5487"/>
    <w:rsid w:val="006E3688"/>
    <w:rsid w:val="006E480C"/>
    <w:rsid w:val="006E54AA"/>
    <w:rsid w:val="006E76B7"/>
    <w:rsid w:val="006F60FE"/>
    <w:rsid w:val="006F73BC"/>
    <w:rsid w:val="0070343E"/>
    <w:rsid w:val="00710EAA"/>
    <w:rsid w:val="007235C7"/>
    <w:rsid w:val="00725865"/>
    <w:rsid w:val="00730E41"/>
    <w:rsid w:val="00732C68"/>
    <w:rsid w:val="00736938"/>
    <w:rsid w:val="00747C51"/>
    <w:rsid w:val="007528E2"/>
    <w:rsid w:val="00753535"/>
    <w:rsid w:val="00755684"/>
    <w:rsid w:val="00755F95"/>
    <w:rsid w:val="007610E4"/>
    <w:rsid w:val="00765A92"/>
    <w:rsid w:val="007678F5"/>
    <w:rsid w:val="007702EA"/>
    <w:rsid w:val="0077070F"/>
    <w:rsid w:val="00772A46"/>
    <w:rsid w:val="00776385"/>
    <w:rsid w:val="00782CFE"/>
    <w:rsid w:val="00793816"/>
    <w:rsid w:val="00794E6B"/>
    <w:rsid w:val="007B0C0C"/>
    <w:rsid w:val="007B14B3"/>
    <w:rsid w:val="007B5718"/>
    <w:rsid w:val="007C1109"/>
    <w:rsid w:val="007D3FD0"/>
    <w:rsid w:val="007D4C86"/>
    <w:rsid w:val="007D783D"/>
    <w:rsid w:val="007F4837"/>
    <w:rsid w:val="007F4918"/>
    <w:rsid w:val="00805D9E"/>
    <w:rsid w:val="0080751B"/>
    <w:rsid w:val="00816363"/>
    <w:rsid w:val="008167ED"/>
    <w:rsid w:val="0082272C"/>
    <w:rsid w:val="00822C4C"/>
    <w:rsid w:val="00833926"/>
    <w:rsid w:val="00834ED9"/>
    <w:rsid w:val="00834F8C"/>
    <w:rsid w:val="008372E7"/>
    <w:rsid w:val="00837BD6"/>
    <w:rsid w:val="00844E7D"/>
    <w:rsid w:val="0084798E"/>
    <w:rsid w:val="008535F2"/>
    <w:rsid w:val="0085636A"/>
    <w:rsid w:val="008605D0"/>
    <w:rsid w:val="00863DB5"/>
    <w:rsid w:val="00863DE8"/>
    <w:rsid w:val="00866E6B"/>
    <w:rsid w:val="00874E35"/>
    <w:rsid w:val="00876A97"/>
    <w:rsid w:val="008907B1"/>
    <w:rsid w:val="008936BC"/>
    <w:rsid w:val="008977ED"/>
    <w:rsid w:val="008A023A"/>
    <w:rsid w:val="008A188F"/>
    <w:rsid w:val="008A4EEF"/>
    <w:rsid w:val="008A66B4"/>
    <w:rsid w:val="008C0EBD"/>
    <w:rsid w:val="008C2585"/>
    <w:rsid w:val="008C2D66"/>
    <w:rsid w:val="008C47BE"/>
    <w:rsid w:val="008C6FC8"/>
    <w:rsid w:val="008D5F20"/>
    <w:rsid w:val="008E2E48"/>
    <w:rsid w:val="008F2ACB"/>
    <w:rsid w:val="00900E4B"/>
    <w:rsid w:val="0090153F"/>
    <w:rsid w:val="0090756A"/>
    <w:rsid w:val="009114A0"/>
    <w:rsid w:val="00921B1A"/>
    <w:rsid w:val="0092390D"/>
    <w:rsid w:val="00927C25"/>
    <w:rsid w:val="009304C8"/>
    <w:rsid w:val="00937C16"/>
    <w:rsid w:val="00947830"/>
    <w:rsid w:val="00953A72"/>
    <w:rsid w:val="00962062"/>
    <w:rsid w:val="00963119"/>
    <w:rsid w:val="009652EF"/>
    <w:rsid w:val="009732CB"/>
    <w:rsid w:val="00977B2E"/>
    <w:rsid w:val="0098089E"/>
    <w:rsid w:val="0098181D"/>
    <w:rsid w:val="009860E6"/>
    <w:rsid w:val="0099042F"/>
    <w:rsid w:val="00990B02"/>
    <w:rsid w:val="00991ED2"/>
    <w:rsid w:val="00997FA9"/>
    <w:rsid w:val="009A1D77"/>
    <w:rsid w:val="009A64DE"/>
    <w:rsid w:val="009A6FC2"/>
    <w:rsid w:val="009B03E5"/>
    <w:rsid w:val="009B1BDE"/>
    <w:rsid w:val="009B7E5E"/>
    <w:rsid w:val="009C3026"/>
    <w:rsid w:val="009D1066"/>
    <w:rsid w:val="009D1A2B"/>
    <w:rsid w:val="009D62F6"/>
    <w:rsid w:val="009E0671"/>
    <w:rsid w:val="009E4FD6"/>
    <w:rsid w:val="009F0229"/>
    <w:rsid w:val="00A01034"/>
    <w:rsid w:val="00A074A5"/>
    <w:rsid w:val="00A07F4E"/>
    <w:rsid w:val="00A102C0"/>
    <w:rsid w:val="00A105D7"/>
    <w:rsid w:val="00A1114D"/>
    <w:rsid w:val="00A217E7"/>
    <w:rsid w:val="00A329B2"/>
    <w:rsid w:val="00A351E0"/>
    <w:rsid w:val="00A4483D"/>
    <w:rsid w:val="00A46DBD"/>
    <w:rsid w:val="00A55FEA"/>
    <w:rsid w:val="00A63E6C"/>
    <w:rsid w:val="00A6421B"/>
    <w:rsid w:val="00A72CFC"/>
    <w:rsid w:val="00A81223"/>
    <w:rsid w:val="00A84C26"/>
    <w:rsid w:val="00A91B2A"/>
    <w:rsid w:val="00A9333D"/>
    <w:rsid w:val="00A959EC"/>
    <w:rsid w:val="00A965F1"/>
    <w:rsid w:val="00AA35CC"/>
    <w:rsid w:val="00AB0063"/>
    <w:rsid w:val="00AB3C41"/>
    <w:rsid w:val="00AC1E3B"/>
    <w:rsid w:val="00AE4367"/>
    <w:rsid w:val="00AE608F"/>
    <w:rsid w:val="00AE70EE"/>
    <w:rsid w:val="00AF000F"/>
    <w:rsid w:val="00AF1B96"/>
    <w:rsid w:val="00AF352B"/>
    <w:rsid w:val="00AF666E"/>
    <w:rsid w:val="00B01423"/>
    <w:rsid w:val="00B0227E"/>
    <w:rsid w:val="00B03005"/>
    <w:rsid w:val="00B069C2"/>
    <w:rsid w:val="00B06A93"/>
    <w:rsid w:val="00B14E57"/>
    <w:rsid w:val="00B158B5"/>
    <w:rsid w:val="00B205ED"/>
    <w:rsid w:val="00B313A5"/>
    <w:rsid w:val="00B31A7F"/>
    <w:rsid w:val="00B55E0D"/>
    <w:rsid w:val="00B62BEE"/>
    <w:rsid w:val="00B73EF6"/>
    <w:rsid w:val="00B74BDF"/>
    <w:rsid w:val="00B8301F"/>
    <w:rsid w:val="00B85665"/>
    <w:rsid w:val="00B8615D"/>
    <w:rsid w:val="00B9098B"/>
    <w:rsid w:val="00B93AFE"/>
    <w:rsid w:val="00B93F08"/>
    <w:rsid w:val="00B945D8"/>
    <w:rsid w:val="00BC1C4E"/>
    <w:rsid w:val="00BD6300"/>
    <w:rsid w:val="00BE2989"/>
    <w:rsid w:val="00BE31A9"/>
    <w:rsid w:val="00BE64D0"/>
    <w:rsid w:val="00C10320"/>
    <w:rsid w:val="00C152B1"/>
    <w:rsid w:val="00C215E5"/>
    <w:rsid w:val="00C21897"/>
    <w:rsid w:val="00C22E09"/>
    <w:rsid w:val="00C338A6"/>
    <w:rsid w:val="00C40B1A"/>
    <w:rsid w:val="00C4178C"/>
    <w:rsid w:val="00C435E9"/>
    <w:rsid w:val="00C47791"/>
    <w:rsid w:val="00C477D5"/>
    <w:rsid w:val="00C51910"/>
    <w:rsid w:val="00C555E0"/>
    <w:rsid w:val="00C56A76"/>
    <w:rsid w:val="00C56D8F"/>
    <w:rsid w:val="00C657C0"/>
    <w:rsid w:val="00C66F33"/>
    <w:rsid w:val="00C67515"/>
    <w:rsid w:val="00C67B32"/>
    <w:rsid w:val="00C70E01"/>
    <w:rsid w:val="00C772F4"/>
    <w:rsid w:val="00C82AE8"/>
    <w:rsid w:val="00C82F00"/>
    <w:rsid w:val="00C971D2"/>
    <w:rsid w:val="00CA2E04"/>
    <w:rsid w:val="00CB4634"/>
    <w:rsid w:val="00CB661F"/>
    <w:rsid w:val="00CC35CF"/>
    <w:rsid w:val="00CC3675"/>
    <w:rsid w:val="00CC4638"/>
    <w:rsid w:val="00CC496E"/>
    <w:rsid w:val="00CC7237"/>
    <w:rsid w:val="00CD54B5"/>
    <w:rsid w:val="00CE3660"/>
    <w:rsid w:val="00CE36C0"/>
    <w:rsid w:val="00CE417F"/>
    <w:rsid w:val="00D01F6B"/>
    <w:rsid w:val="00D05699"/>
    <w:rsid w:val="00D1252E"/>
    <w:rsid w:val="00D12B8D"/>
    <w:rsid w:val="00D22685"/>
    <w:rsid w:val="00D23903"/>
    <w:rsid w:val="00D27291"/>
    <w:rsid w:val="00D34670"/>
    <w:rsid w:val="00D346C9"/>
    <w:rsid w:val="00D4062C"/>
    <w:rsid w:val="00D42003"/>
    <w:rsid w:val="00D42BC2"/>
    <w:rsid w:val="00D430F0"/>
    <w:rsid w:val="00D45A48"/>
    <w:rsid w:val="00D539DB"/>
    <w:rsid w:val="00D556A2"/>
    <w:rsid w:val="00D5707B"/>
    <w:rsid w:val="00D65488"/>
    <w:rsid w:val="00D65D1A"/>
    <w:rsid w:val="00D80896"/>
    <w:rsid w:val="00D8120A"/>
    <w:rsid w:val="00D81A88"/>
    <w:rsid w:val="00D915CC"/>
    <w:rsid w:val="00D94C4E"/>
    <w:rsid w:val="00DA5C76"/>
    <w:rsid w:val="00DB0ED4"/>
    <w:rsid w:val="00DB313F"/>
    <w:rsid w:val="00DB37A2"/>
    <w:rsid w:val="00DB3BC6"/>
    <w:rsid w:val="00DB79A9"/>
    <w:rsid w:val="00DC152F"/>
    <w:rsid w:val="00DC287F"/>
    <w:rsid w:val="00DC5725"/>
    <w:rsid w:val="00DD02FF"/>
    <w:rsid w:val="00DD189C"/>
    <w:rsid w:val="00DE03B5"/>
    <w:rsid w:val="00DE08CF"/>
    <w:rsid w:val="00DE0EDD"/>
    <w:rsid w:val="00DE614D"/>
    <w:rsid w:val="00DF2B43"/>
    <w:rsid w:val="00DF45E9"/>
    <w:rsid w:val="00E009B1"/>
    <w:rsid w:val="00E06CCE"/>
    <w:rsid w:val="00E07EB8"/>
    <w:rsid w:val="00E150BC"/>
    <w:rsid w:val="00E15423"/>
    <w:rsid w:val="00E218F6"/>
    <w:rsid w:val="00E249A5"/>
    <w:rsid w:val="00E27051"/>
    <w:rsid w:val="00E304E6"/>
    <w:rsid w:val="00E33706"/>
    <w:rsid w:val="00E411B7"/>
    <w:rsid w:val="00E47387"/>
    <w:rsid w:val="00E568D4"/>
    <w:rsid w:val="00E710AE"/>
    <w:rsid w:val="00E7262B"/>
    <w:rsid w:val="00E75E5B"/>
    <w:rsid w:val="00E80593"/>
    <w:rsid w:val="00E86D2D"/>
    <w:rsid w:val="00E94311"/>
    <w:rsid w:val="00E9479A"/>
    <w:rsid w:val="00EA3691"/>
    <w:rsid w:val="00EA526B"/>
    <w:rsid w:val="00EA55BE"/>
    <w:rsid w:val="00EA7D81"/>
    <w:rsid w:val="00EC39E6"/>
    <w:rsid w:val="00EC51E6"/>
    <w:rsid w:val="00ED2217"/>
    <w:rsid w:val="00ED3E5A"/>
    <w:rsid w:val="00ED659B"/>
    <w:rsid w:val="00ED6A06"/>
    <w:rsid w:val="00ED7568"/>
    <w:rsid w:val="00EE0C0F"/>
    <w:rsid w:val="00EE4A6F"/>
    <w:rsid w:val="00EE501B"/>
    <w:rsid w:val="00EE55CF"/>
    <w:rsid w:val="00EE6C98"/>
    <w:rsid w:val="00EF30AD"/>
    <w:rsid w:val="00EF75F9"/>
    <w:rsid w:val="00F02DB5"/>
    <w:rsid w:val="00F03184"/>
    <w:rsid w:val="00F0543C"/>
    <w:rsid w:val="00F11BBB"/>
    <w:rsid w:val="00F129F4"/>
    <w:rsid w:val="00F13B40"/>
    <w:rsid w:val="00F153B3"/>
    <w:rsid w:val="00F16489"/>
    <w:rsid w:val="00F17318"/>
    <w:rsid w:val="00F22CE0"/>
    <w:rsid w:val="00F23B1D"/>
    <w:rsid w:val="00F31085"/>
    <w:rsid w:val="00F44595"/>
    <w:rsid w:val="00F4578C"/>
    <w:rsid w:val="00F506A2"/>
    <w:rsid w:val="00F55478"/>
    <w:rsid w:val="00F602CC"/>
    <w:rsid w:val="00F66B7E"/>
    <w:rsid w:val="00F9365C"/>
    <w:rsid w:val="00FA18B8"/>
    <w:rsid w:val="00FA6074"/>
    <w:rsid w:val="00FB0D6A"/>
    <w:rsid w:val="00FB4F55"/>
    <w:rsid w:val="00FC116E"/>
    <w:rsid w:val="00FC1726"/>
    <w:rsid w:val="00FC217F"/>
    <w:rsid w:val="00FC26F8"/>
    <w:rsid w:val="00FC2E6D"/>
    <w:rsid w:val="00FC2F9C"/>
    <w:rsid w:val="00FC538E"/>
    <w:rsid w:val="00FD1BF2"/>
    <w:rsid w:val="00FD2175"/>
    <w:rsid w:val="00FD38F9"/>
    <w:rsid w:val="00FD5FE7"/>
    <w:rsid w:val="00FE1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7B68AC0-A8EB-42A6-BFE4-60CF27BA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 w:type="paragraph" w:customStyle="1" w:styleId="CharCharCharChar">
    <w:name w:val="Char Char Char Char"/>
    <w:basedOn w:val="Normal"/>
    <w:rsid w:val="00FE110A"/>
    <w:pPr>
      <w:spacing w:after="160" w:line="240" w:lineRule="exact"/>
    </w:pPr>
    <w:rPr>
      <w:rFonts w:ascii="Dutch TL" w:hAnsi="Dutch TL"/>
      <w:sz w:val="28"/>
      <w:szCs w:val="20"/>
      <w:lang w:eastAsia="zh-TW"/>
    </w:rPr>
  </w:style>
  <w:style w:type="paragraph" w:styleId="ListParagraph">
    <w:name w:val="List Paragraph"/>
    <w:basedOn w:val="Normal"/>
    <w:uiPriority w:val="34"/>
    <w:qFormat/>
    <w:rsid w:val="00B8615D"/>
    <w:pPr>
      <w:ind w:left="720"/>
      <w:contextualSpacing/>
    </w:pPr>
  </w:style>
  <w:style w:type="paragraph" w:styleId="NoSpacing">
    <w:name w:val="No Spacing"/>
    <w:uiPriority w:val="1"/>
    <w:qFormat/>
    <w:rsid w:val="00FD1BF2"/>
    <w:pPr>
      <w:spacing w:after="0" w:line="240" w:lineRule="auto"/>
    </w:pPr>
  </w:style>
  <w:style w:type="paragraph" w:styleId="FootnoteText">
    <w:name w:val="footnote text"/>
    <w:basedOn w:val="Normal"/>
    <w:link w:val="FootnoteTextChar"/>
    <w:rsid w:val="00ED6A06"/>
    <w:rPr>
      <w:sz w:val="20"/>
      <w:szCs w:val="20"/>
      <w:lang w:eastAsia="lv-LV"/>
    </w:rPr>
  </w:style>
  <w:style w:type="character" w:customStyle="1" w:styleId="FootnoteTextChar">
    <w:name w:val="Footnote Text Char"/>
    <w:basedOn w:val="DefaultParagraphFont"/>
    <w:link w:val="FootnoteText"/>
    <w:rsid w:val="00ED6A06"/>
    <w:rPr>
      <w:rFonts w:ascii="Times New Roman" w:eastAsia="Times New Roman" w:hAnsi="Times New Roman" w:cs="Times New Roman"/>
      <w:sz w:val="20"/>
      <w:szCs w:val="20"/>
      <w:lang w:eastAsia="lv-LV"/>
    </w:rPr>
  </w:style>
  <w:style w:type="character" w:styleId="FootnoteReference">
    <w:name w:val="footnote reference"/>
    <w:semiHidden/>
    <w:rsid w:val="00ED6A06"/>
    <w:rPr>
      <w:vertAlign w:val="superscript"/>
    </w:rPr>
  </w:style>
  <w:style w:type="table" w:styleId="TableGrid">
    <w:name w:val="Table Grid"/>
    <w:basedOn w:val="TableNormal"/>
    <w:uiPriority w:val="59"/>
    <w:rsid w:val="00F03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411B7"/>
  </w:style>
  <w:style w:type="paragraph" w:styleId="HTMLPreformatted">
    <w:name w:val="HTML Preformatted"/>
    <w:basedOn w:val="Normal"/>
    <w:link w:val="HTMLPreformattedChar"/>
    <w:uiPriority w:val="99"/>
    <w:unhideWhenUsed/>
    <w:rsid w:val="00DD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D189C"/>
    <w:rPr>
      <w:rFonts w:ascii="Courier New" w:eastAsia="Times New Roman" w:hAnsi="Courier New" w:cs="Courier New"/>
      <w:sz w:val="20"/>
      <w:szCs w:val="20"/>
      <w:lang w:eastAsia="lv-LV"/>
    </w:rPr>
  </w:style>
  <w:style w:type="character" w:styleId="Strong">
    <w:name w:val="Strong"/>
    <w:qFormat/>
    <w:rsid w:val="00DE08CF"/>
    <w:rPr>
      <w:b/>
      <w:bCs/>
    </w:rPr>
  </w:style>
  <w:style w:type="character" w:customStyle="1" w:styleId="spelle">
    <w:name w:val="spelle"/>
    <w:rsid w:val="00DE08CF"/>
  </w:style>
  <w:style w:type="paragraph" w:styleId="NormalWeb">
    <w:name w:val="Normal (Web)"/>
    <w:basedOn w:val="Normal"/>
    <w:rsid w:val="00DE08CF"/>
    <w:pPr>
      <w:spacing w:before="75" w:after="75"/>
    </w:pPr>
    <w:rPr>
      <w:rFonts w:eastAsia="SimSun"/>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 w:id="579025058">
      <w:bodyDiv w:val="1"/>
      <w:marLeft w:val="0"/>
      <w:marRight w:val="0"/>
      <w:marTop w:val="0"/>
      <w:marBottom w:val="0"/>
      <w:divBdr>
        <w:top w:val="none" w:sz="0" w:space="0" w:color="auto"/>
        <w:left w:val="none" w:sz="0" w:space="0" w:color="auto"/>
        <w:bottom w:val="none" w:sz="0" w:space="0" w:color="auto"/>
        <w:right w:val="none" w:sz="0" w:space="0" w:color="auto"/>
      </w:divBdr>
    </w:div>
    <w:div w:id="581646278">
      <w:bodyDiv w:val="1"/>
      <w:marLeft w:val="0"/>
      <w:marRight w:val="0"/>
      <w:marTop w:val="0"/>
      <w:marBottom w:val="0"/>
      <w:divBdr>
        <w:top w:val="none" w:sz="0" w:space="0" w:color="auto"/>
        <w:left w:val="none" w:sz="0" w:space="0" w:color="auto"/>
        <w:bottom w:val="none" w:sz="0" w:space="0" w:color="auto"/>
        <w:right w:val="none" w:sz="0" w:space="0" w:color="auto"/>
      </w:divBdr>
    </w:div>
    <w:div w:id="1009867744">
      <w:bodyDiv w:val="1"/>
      <w:marLeft w:val="0"/>
      <w:marRight w:val="0"/>
      <w:marTop w:val="0"/>
      <w:marBottom w:val="0"/>
      <w:divBdr>
        <w:top w:val="none" w:sz="0" w:space="0" w:color="auto"/>
        <w:left w:val="none" w:sz="0" w:space="0" w:color="auto"/>
        <w:bottom w:val="none" w:sz="0" w:space="0" w:color="auto"/>
        <w:right w:val="none" w:sz="0" w:space="0" w:color="auto"/>
      </w:divBdr>
    </w:div>
    <w:div w:id="1012729384">
      <w:bodyDiv w:val="1"/>
      <w:marLeft w:val="0"/>
      <w:marRight w:val="0"/>
      <w:marTop w:val="0"/>
      <w:marBottom w:val="0"/>
      <w:divBdr>
        <w:top w:val="none" w:sz="0" w:space="0" w:color="auto"/>
        <w:left w:val="none" w:sz="0" w:space="0" w:color="auto"/>
        <w:bottom w:val="none" w:sz="0" w:space="0" w:color="auto"/>
        <w:right w:val="none" w:sz="0" w:space="0" w:color="auto"/>
      </w:divBdr>
      <w:divsChild>
        <w:div w:id="761534607">
          <w:marLeft w:val="0"/>
          <w:marRight w:val="0"/>
          <w:marTop w:val="0"/>
          <w:marBottom w:val="0"/>
          <w:divBdr>
            <w:top w:val="none" w:sz="0" w:space="0" w:color="auto"/>
            <w:left w:val="none" w:sz="0" w:space="0" w:color="auto"/>
            <w:bottom w:val="none" w:sz="0" w:space="0" w:color="auto"/>
            <w:right w:val="none" w:sz="0" w:space="0" w:color="auto"/>
          </w:divBdr>
          <w:divsChild>
            <w:div w:id="1633825039">
              <w:marLeft w:val="0"/>
              <w:marRight w:val="0"/>
              <w:marTop w:val="0"/>
              <w:marBottom w:val="0"/>
              <w:divBdr>
                <w:top w:val="none" w:sz="0" w:space="0" w:color="auto"/>
                <w:left w:val="none" w:sz="0" w:space="0" w:color="auto"/>
                <w:bottom w:val="none" w:sz="0" w:space="0" w:color="auto"/>
                <w:right w:val="none" w:sz="0" w:space="0" w:color="auto"/>
              </w:divBdr>
              <w:divsChild>
                <w:div w:id="34241307">
                  <w:marLeft w:val="0"/>
                  <w:marRight w:val="0"/>
                  <w:marTop w:val="0"/>
                  <w:marBottom w:val="0"/>
                  <w:divBdr>
                    <w:top w:val="none" w:sz="0" w:space="0" w:color="auto"/>
                    <w:left w:val="none" w:sz="0" w:space="0" w:color="auto"/>
                    <w:bottom w:val="none" w:sz="0" w:space="0" w:color="auto"/>
                    <w:right w:val="none" w:sz="0" w:space="0" w:color="auto"/>
                  </w:divBdr>
                  <w:divsChild>
                    <w:div w:id="877084920">
                      <w:marLeft w:val="0"/>
                      <w:marRight w:val="0"/>
                      <w:marTop w:val="0"/>
                      <w:marBottom w:val="0"/>
                      <w:divBdr>
                        <w:top w:val="none" w:sz="0" w:space="0" w:color="auto"/>
                        <w:left w:val="none" w:sz="0" w:space="0" w:color="auto"/>
                        <w:bottom w:val="none" w:sz="0" w:space="0" w:color="auto"/>
                        <w:right w:val="none" w:sz="0" w:space="0" w:color="auto"/>
                      </w:divBdr>
                      <w:divsChild>
                        <w:div w:id="29838712">
                          <w:marLeft w:val="0"/>
                          <w:marRight w:val="0"/>
                          <w:marTop w:val="0"/>
                          <w:marBottom w:val="0"/>
                          <w:divBdr>
                            <w:top w:val="none" w:sz="0" w:space="0" w:color="auto"/>
                            <w:left w:val="none" w:sz="0" w:space="0" w:color="auto"/>
                            <w:bottom w:val="none" w:sz="0" w:space="0" w:color="auto"/>
                            <w:right w:val="none" w:sz="0" w:space="0" w:color="auto"/>
                          </w:divBdr>
                          <w:divsChild>
                            <w:div w:id="1703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03351">
      <w:bodyDiv w:val="1"/>
      <w:marLeft w:val="0"/>
      <w:marRight w:val="0"/>
      <w:marTop w:val="0"/>
      <w:marBottom w:val="0"/>
      <w:divBdr>
        <w:top w:val="none" w:sz="0" w:space="0" w:color="auto"/>
        <w:left w:val="none" w:sz="0" w:space="0" w:color="auto"/>
        <w:bottom w:val="none" w:sz="0" w:space="0" w:color="auto"/>
        <w:right w:val="none" w:sz="0" w:space="0" w:color="auto"/>
      </w:divBdr>
    </w:div>
    <w:div w:id="1492066999">
      <w:bodyDiv w:val="1"/>
      <w:marLeft w:val="0"/>
      <w:marRight w:val="0"/>
      <w:marTop w:val="0"/>
      <w:marBottom w:val="0"/>
      <w:divBdr>
        <w:top w:val="none" w:sz="0" w:space="0" w:color="auto"/>
        <w:left w:val="none" w:sz="0" w:space="0" w:color="auto"/>
        <w:bottom w:val="none" w:sz="0" w:space="0" w:color="auto"/>
        <w:right w:val="none" w:sz="0" w:space="0" w:color="auto"/>
      </w:divBdr>
    </w:div>
    <w:div w:id="15886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razna@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potjomkin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D3730-A888-47E1-9D46-B3A29FB6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3312</Words>
  <Characters>24879</Characters>
  <Application>Microsoft Office Word</Application>
  <DocSecurity>0</DocSecurity>
  <Lines>1081</Lines>
  <Paragraphs>194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Manager>U.Iskrovs 67829851</Manager>
  <Company>IeM</Company>
  <LinksUpToDate>false</LinksUpToDate>
  <CharactersWithSpaces>27997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IEMAnoMinistru kabineta noteikumu projekta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  sākotnējās ietekmes novērtējuma ziņojums (anotācija)</dc:subject>
  <dc:creator>Dace Radzeviča</dc:creator>
  <cp:lastModifiedBy>Mārtiņš Rāzna</cp:lastModifiedBy>
  <cp:revision>5</cp:revision>
  <cp:lastPrinted>2014-09-15T08:37:00Z</cp:lastPrinted>
  <dcterms:created xsi:type="dcterms:W3CDTF">2014-09-09T12:36:00Z</dcterms:created>
  <dcterms:modified xsi:type="dcterms:W3CDTF">2014-09-15T08:37:00Z</dcterms:modified>
</cp:coreProperties>
</file>