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 xml:space="preserve">Likumprojekta </w:t>
      </w:r>
      <w:r w:rsidR="005401E9">
        <w:rPr>
          <w:b/>
        </w:rPr>
        <w:t>„</w:t>
      </w:r>
      <w:r w:rsidR="005401E9" w:rsidRPr="005401E9">
        <w:rPr>
          <w:b/>
        </w:rPr>
        <w:t>Grozījumi Iekšlietu ministrijas sistēmas iestāžu un Ieslodzījuma vietu pārvaldes amatpersonu ar speciālajām dienesta pakāpēm</w:t>
      </w:r>
      <w:r w:rsidR="005401E9">
        <w:rPr>
          <w:b/>
        </w:rPr>
        <w:t xml:space="preserve"> </w:t>
      </w:r>
      <w:r w:rsidR="005401E9" w:rsidRPr="005401E9">
        <w:rPr>
          <w:b/>
        </w:rPr>
        <w:t>dienesta gaitas likumā</w:t>
      </w:r>
      <w:r w:rsidR="005401E9">
        <w:rPr>
          <w:b/>
        </w:rPr>
        <w:t xml:space="preserve">” </w:t>
      </w:r>
      <w:r w:rsidRPr="0018091E">
        <w:rPr>
          <w:b/>
        </w:rPr>
        <w:t>sākotnējās ietekmes</w:t>
      </w:r>
      <w:r>
        <w:rPr>
          <w:b/>
        </w:rPr>
        <w:t xml:space="preserve"> novērtējuma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921B07"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Saskaņā ar Ministru kabineta </w:t>
            </w:r>
            <w:proofErr w:type="gramStart"/>
            <w:r w:rsidRPr="00921B07">
              <w:rPr>
                <w:rFonts w:eastAsia="Times New Roman" w:cs="Times New Roman"/>
                <w:bCs/>
                <w:sz w:val="24"/>
                <w:szCs w:val="24"/>
                <w:lang w:eastAsia="lv-LV"/>
              </w:rPr>
              <w:t>2012.gada</w:t>
            </w:r>
            <w:proofErr w:type="gramEnd"/>
            <w:r w:rsidRPr="00921B07">
              <w:rPr>
                <w:rFonts w:eastAsia="Times New Roman" w:cs="Times New Roman"/>
                <w:bCs/>
                <w:sz w:val="24"/>
                <w:szCs w:val="24"/>
                <w:lang w:eastAsia="lv-LV"/>
              </w:rPr>
              <w:t xml:space="preserve">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nododot to iekšlietu ministra pārraudzībā.</w:t>
            </w:r>
          </w:p>
          <w:p w:rsidR="000E7ED0"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Lai nodrošinātu minētā uzdevuma izpildi, Iekšlietu ministrija izstrādāja koncepcijas projektu par Valsts policijas Iekšējās drošības biroja pārveidošanas par iekšlietu ministra pārraudzībā esošu institūciju risinājumiem (turpmāk – koncepcija), kas tika izskatīts Ministru kabineta </w:t>
            </w:r>
            <w:proofErr w:type="gramStart"/>
            <w:r w:rsidRPr="00921B07">
              <w:rPr>
                <w:rFonts w:eastAsia="Times New Roman" w:cs="Times New Roman"/>
                <w:bCs/>
                <w:sz w:val="24"/>
                <w:szCs w:val="24"/>
                <w:lang w:eastAsia="lv-LV"/>
              </w:rPr>
              <w:t>2013.gada</w:t>
            </w:r>
            <w:proofErr w:type="gramEnd"/>
            <w:r w:rsidRPr="00921B07">
              <w:rPr>
                <w:rFonts w:eastAsia="Times New Roman" w:cs="Times New Roman"/>
                <w:bCs/>
                <w:sz w:val="24"/>
                <w:szCs w:val="24"/>
                <w:lang w:eastAsia="lv-LV"/>
              </w:rPr>
              <w:t xml:space="preserve"> 30.jūlija sēdē (protokols Nr.41, 104.§).</w:t>
            </w:r>
          </w:p>
          <w:p w:rsidR="000E7ED0" w:rsidRPr="00862D0F" w:rsidRDefault="000E7ED0" w:rsidP="000E7ED0">
            <w:pPr>
              <w:ind w:firstLine="0"/>
              <w:rPr>
                <w:rFonts w:eastAsia="Times New Roman" w:cs="Times New Roman"/>
                <w:sz w:val="24"/>
                <w:szCs w:val="24"/>
                <w:lang w:eastAsia="lv-LV"/>
              </w:rPr>
            </w:pPr>
          </w:p>
        </w:tc>
      </w:tr>
      <w:tr w:rsidR="00FC7F75" w:rsidRPr="00FC7F75"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8230AB" w:rsidRPr="004A2AB3" w:rsidRDefault="00D910B0" w:rsidP="005E36D1">
            <w:pPr>
              <w:autoSpaceDE w:val="0"/>
              <w:autoSpaceDN w:val="0"/>
              <w:adjustRightInd w:val="0"/>
              <w:rPr>
                <w:rFonts w:eastAsia="Times New Roman" w:cs="Times New Roman"/>
                <w:sz w:val="24"/>
                <w:szCs w:val="24"/>
                <w:lang w:eastAsia="lv-LV"/>
              </w:rPr>
            </w:pPr>
            <w:r w:rsidRPr="004A2AB3">
              <w:rPr>
                <w:rFonts w:eastAsia="Times New Roman" w:cs="Times New Roman"/>
                <w:sz w:val="24"/>
                <w:szCs w:val="24"/>
                <w:lang w:eastAsia="lv-LV"/>
              </w:rPr>
              <w:t xml:space="preserve">Saskaņā ar koncepciju </w:t>
            </w:r>
            <w:r w:rsidR="005E36D1" w:rsidRPr="004A2AB3">
              <w:rPr>
                <w:rFonts w:eastAsia="Times New Roman" w:cs="Times New Roman"/>
                <w:sz w:val="24"/>
                <w:szCs w:val="24"/>
                <w:lang w:eastAsia="lv-LV"/>
              </w:rPr>
              <w:t>Iekšējās drošības biroja</w:t>
            </w:r>
            <w:r w:rsidRPr="004A2AB3">
              <w:rPr>
                <w:rFonts w:eastAsia="Times New Roman" w:cs="Times New Roman"/>
                <w:sz w:val="24"/>
                <w:szCs w:val="24"/>
                <w:lang w:eastAsia="lv-LV"/>
              </w:rPr>
              <w:t xml:space="preserve"> pamatfunkciju veicējiem jābūt amatpersonu ar speciālo dienesta pakāpi statusā, lai veicinātu, ka Iekšlietu ministrijas dienestu specifikā praktiski pieredzējuši darbinieki ir ieinte</w:t>
            </w:r>
            <w:r w:rsidR="005E36D1" w:rsidRPr="004A2AB3">
              <w:rPr>
                <w:rFonts w:eastAsia="Times New Roman" w:cs="Times New Roman"/>
                <w:sz w:val="24"/>
                <w:szCs w:val="24"/>
                <w:lang w:eastAsia="lv-LV"/>
              </w:rPr>
              <w:t xml:space="preserve">resēti dienesta turpināšanai Iekšējās drošības birojā.  </w:t>
            </w:r>
          </w:p>
          <w:p w:rsidR="00D910B0" w:rsidRPr="004A2AB3" w:rsidRDefault="005E36D1" w:rsidP="005E36D1">
            <w:pPr>
              <w:autoSpaceDE w:val="0"/>
              <w:autoSpaceDN w:val="0"/>
              <w:adjustRightInd w:val="0"/>
              <w:rPr>
                <w:rFonts w:eastAsia="Times New Roman" w:cs="Times New Roman"/>
                <w:sz w:val="24"/>
                <w:szCs w:val="24"/>
                <w:lang w:eastAsia="lv-LV"/>
              </w:rPr>
            </w:pPr>
            <w:r w:rsidRPr="004A2AB3">
              <w:rPr>
                <w:rFonts w:eastAsia="Times New Roman" w:cs="Times New Roman"/>
                <w:sz w:val="24"/>
                <w:szCs w:val="24"/>
                <w:lang w:eastAsia="lv-LV"/>
              </w:rPr>
              <w:t>Atbilstoši minētajam likumprojektā</w:t>
            </w:r>
            <w:r w:rsidR="00BC2B47" w:rsidRPr="004A2AB3">
              <w:rPr>
                <w:rFonts w:eastAsia="Times New Roman" w:cs="Times New Roman"/>
                <w:sz w:val="24"/>
                <w:szCs w:val="24"/>
                <w:lang w:eastAsia="lv-LV"/>
              </w:rPr>
              <w:t xml:space="preserve"> „Iekšējās drošības biroja likums</w:t>
            </w:r>
            <w:r w:rsidR="00D910B0" w:rsidRPr="004A2AB3">
              <w:rPr>
                <w:rFonts w:eastAsia="Times New Roman" w:cs="Times New Roman"/>
                <w:sz w:val="24"/>
                <w:szCs w:val="24"/>
                <w:lang w:eastAsia="lv-LV"/>
              </w:rPr>
              <w:t>”</w:t>
            </w:r>
            <w:r w:rsidRPr="004A2AB3">
              <w:rPr>
                <w:rFonts w:eastAsia="Times New Roman" w:cs="Times New Roman"/>
                <w:sz w:val="24"/>
                <w:szCs w:val="24"/>
                <w:lang w:eastAsia="lv-LV"/>
              </w:rPr>
              <w:t xml:space="preserve"> tiek paredzēts, ka Iekšējās</w:t>
            </w:r>
            <w:r w:rsidR="00DB7EEE" w:rsidRPr="004A2AB3">
              <w:rPr>
                <w:rFonts w:eastAsia="Times New Roman" w:cs="Times New Roman"/>
                <w:sz w:val="24"/>
                <w:szCs w:val="24"/>
                <w:lang w:eastAsia="lv-LV"/>
              </w:rPr>
              <w:t xml:space="preserve"> drošības</w:t>
            </w:r>
            <w:r w:rsidRPr="004A2AB3">
              <w:rPr>
                <w:rFonts w:eastAsia="Times New Roman" w:cs="Times New Roman"/>
                <w:sz w:val="24"/>
                <w:szCs w:val="24"/>
                <w:lang w:eastAsia="lv-LV"/>
              </w:rPr>
              <w:t xml:space="preserve"> biroja amatpersonas, kuru amata pienākumos ir veikt operatīvo darbību un noziedzīgu nodarījumu izmeklēšanu pirmstiesas procesā</w:t>
            </w:r>
            <w:r w:rsidR="003102AA" w:rsidRPr="004A2AB3">
              <w:rPr>
                <w:rFonts w:eastAsia="Times New Roman" w:cs="Times New Roman"/>
                <w:sz w:val="24"/>
                <w:szCs w:val="24"/>
                <w:lang w:eastAsia="lv-LV"/>
              </w:rPr>
              <w:t>,</w:t>
            </w:r>
            <w:r w:rsidRPr="004A2AB3">
              <w:rPr>
                <w:rFonts w:eastAsia="Times New Roman" w:cs="Times New Roman"/>
                <w:sz w:val="24"/>
                <w:szCs w:val="24"/>
                <w:lang w:eastAsia="lv-LV"/>
              </w:rPr>
              <w:t xml:space="preserve"> ir Iekšlietu ministrijas sistēmas iestādes amatpersonas ar speciālo dienesta pakāpi.</w:t>
            </w:r>
          </w:p>
          <w:p w:rsidR="0093561F" w:rsidRPr="004F0008" w:rsidRDefault="0093561F" w:rsidP="0093561F">
            <w:pPr>
              <w:autoSpaceDE w:val="0"/>
              <w:autoSpaceDN w:val="0"/>
              <w:adjustRightInd w:val="0"/>
              <w:rPr>
                <w:rFonts w:eastAsia="Times New Roman" w:cs="Times New Roman"/>
                <w:sz w:val="24"/>
                <w:szCs w:val="24"/>
                <w:lang w:eastAsia="lv-LV"/>
              </w:rPr>
            </w:pPr>
            <w:r w:rsidRPr="004A2AB3">
              <w:rPr>
                <w:rFonts w:eastAsia="Times New Roman" w:cs="Times New Roman"/>
                <w:sz w:val="24"/>
                <w:szCs w:val="24"/>
                <w:lang w:eastAsia="lv-LV"/>
              </w:rPr>
              <w:t>Tādējādi nepieciešams veikt grozījumus Iekšlietu ministrijas sistēmas iestāžu un Ieslodzījuma vietu pārvaldes amatpersonu ar speciālajām dienesta pakāpēm dienesta gaitas likumā</w:t>
            </w:r>
            <w:r w:rsidR="00570FDD" w:rsidRPr="004A2AB3">
              <w:rPr>
                <w:rFonts w:eastAsia="Times New Roman" w:cs="Times New Roman"/>
                <w:sz w:val="24"/>
                <w:szCs w:val="24"/>
                <w:lang w:eastAsia="lv-LV"/>
              </w:rPr>
              <w:t xml:space="preserve"> (turpmāk – Dienesta gaitas likums)</w:t>
            </w:r>
            <w:r w:rsidRPr="004A2AB3">
              <w:rPr>
                <w:rFonts w:eastAsia="Times New Roman" w:cs="Times New Roman"/>
                <w:sz w:val="24"/>
                <w:szCs w:val="24"/>
                <w:lang w:eastAsia="lv-LV"/>
              </w:rPr>
              <w:t>,</w:t>
            </w:r>
            <w:r w:rsidRPr="004A2AB3">
              <w:rPr>
                <w:sz w:val="24"/>
                <w:szCs w:val="24"/>
              </w:rPr>
              <w:t xml:space="preserve"> </w:t>
            </w:r>
            <w:r w:rsidRPr="004A2AB3">
              <w:rPr>
                <w:rFonts w:eastAsia="Times New Roman" w:cs="Times New Roman"/>
                <w:sz w:val="24"/>
                <w:szCs w:val="24"/>
                <w:lang w:eastAsia="lv-LV"/>
              </w:rPr>
              <w:t xml:space="preserve">paredzot, ka Iekšējās drošības biroja amatpersonu ar </w:t>
            </w:r>
            <w:r w:rsidRPr="004F0008">
              <w:rPr>
                <w:rFonts w:eastAsia="Times New Roman" w:cs="Times New Roman"/>
                <w:sz w:val="24"/>
                <w:szCs w:val="24"/>
                <w:lang w:eastAsia="lv-LV"/>
              </w:rPr>
              <w:t>speciālajām dienesta pakāpēm dienesta gaitu nosaka minētais likums.</w:t>
            </w:r>
          </w:p>
          <w:p w:rsidR="00570FDD" w:rsidRPr="004F0008" w:rsidRDefault="0093561F" w:rsidP="009408A6">
            <w:pPr>
              <w:autoSpaceDE w:val="0"/>
              <w:autoSpaceDN w:val="0"/>
              <w:adjustRightInd w:val="0"/>
              <w:rPr>
                <w:rFonts w:eastAsia="Times New Roman" w:cs="Times New Roman"/>
                <w:sz w:val="24"/>
                <w:szCs w:val="24"/>
                <w:lang w:eastAsia="lv-LV"/>
              </w:rPr>
            </w:pPr>
            <w:r w:rsidRPr="004F0008">
              <w:rPr>
                <w:rFonts w:eastAsia="Times New Roman" w:cs="Times New Roman"/>
                <w:sz w:val="24"/>
                <w:szCs w:val="24"/>
                <w:lang w:eastAsia="lv-LV"/>
              </w:rPr>
              <w:t xml:space="preserve">Vienlaicīgi, lai nodrošinātu </w:t>
            </w:r>
            <w:r w:rsidR="00F27D76" w:rsidRPr="004F0008">
              <w:rPr>
                <w:rFonts w:eastAsia="Times New Roman" w:cs="Times New Roman"/>
                <w:sz w:val="24"/>
                <w:szCs w:val="24"/>
                <w:lang w:eastAsia="lv-LV"/>
              </w:rPr>
              <w:t xml:space="preserve">Iekšējās drošības birojā </w:t>
            </w:r>
            <w:r w:rsidRPr="004F0008">
              <w:rPr>
                <w:rFonts w:eastAsia="Times New Roman" w:cs="Times New Roman"/>
                <w:sz w:val="24"/>
                <w:szCs w:val="24"/>
                <w:lang w:eastAsia="lv-LV"/>
              </w:rPr>
              <w:t>kvalificēta personāla piesaisti</w:t>
            </w:r>
            <w:r w:rsidR="009408A6" w:rsidRPr="004F0008">
              <w:rPr>
                <w:rFonts w:eastAsia="Times New Roman" w:cs="Times New Roman"/>
                <w:sz w:val="24"/>
                <w:szCs w:val="24"/>
                <w:lang w:eastAsia="lv-LV"/>
              </w:rPr>
              <w:t xml:space="preserve">, </w:t>
            </w:r>
            <w:r w:rsidR="00570FDD" w:rsidRPr="004F0008">
              <w:rPr>
                <w:rFonts w:eastAsia="Times New Roman" w:cs="Times New Roman"/>
                <w:sz w:val="24"/>
                <w:szCs w:val="24"/>
                <w:lang w:eastAsia="lv-LV"/>
              </w:rPr>
              <w:t>D</w:t>
            </w:r>
            <w:r w:rsidRPr="004F0008">
              <w:rPr>
                <w:rFonts w:eastAsia="Times New Roman" w:cs="Times New Roman"/>
                <w:sz w:val="24"/>
                <w:szCs w:val="24"/>
                <w:lang w:eastAsia="lv-LV"/>
              </w:rPr>
              <w:t>ienesta gaitas likuma</w:t>
            </w:r>
            <w:r w:rsidR="009408A6" w:rsidRPr="004F0008">
              <w:rPr>
                <w:rFonts w:eastAsia="Times New Roman" w:cs="Times New Roman"/>
                <w:sz w:val="24"/>
                <w:szCs w:val="24"/>
                <w:lang w:eastAsia="lv-LV"/>
              </w:rPr>
              <w:t xml:space="preserve"> </w:t>
            </w:r>
            <w:r w:rsidRPr="004F0008">
              <w:rPr>
                <w:rFonts w:eastAsia="Times New Roman" w:cs="Times New Roman"/>
                <w:sz w:val="24"/>
                <w:szCs w:val="24"/>
                <w:lang w:eastAsia="lv-LV"/>
              </w:rPr>
              <w:t>P</w:t>
            </w:r>
            <w:r w:rsidR="009408A6" w:rsidRPr="004F0008">
              <w:rPr>
                <w:rFonts w:eastAsia="Times New Roman" w:cs="Times New Roman"/>
                <w:sz w:val="24"/>
                <w:szCs w:val="24"/>
                <w:lang w:eastAsia="lv-LV"/>
              </w:rPr>
              <w:t>āre</w:t>
            </w:r>
            <w:r w:rsidR="006B1E66" w:rsidRPr="004F0008">
              <w:rPr>
                <w:rFonts w:eastAsia="Times New Roman" w:cs="Times New Roman"/>
                <w:sz w:val="24"/>
                <w:szCs w:val="24"/>
                <w:lang w:eastAsia="lv-LV"/>
              </w:rPr>
              <w:t>jas noteikumos tiek iestrādātas</w:t>
            </w:r>
            <w:r w:rsidRPr="004F0008">
              <w:rPr>
                <w:rFonts w:eastAsia="Times New Roman" w:cs="Times New Roman"/>
                <w:sz w:val="24"/>
                <w:szCs w:val="24"/>
                <w:lang w:eastAsia="lv-LV"/>
              </w:rPr>
              <w:t xml:space="preserve"> </w:t>
            </w:r>
            <w:r w:rsidR="009831B1" w:rsidRPr="004F0008">
              <w:rPr>
                <w:rFonts w:eastAsia="Times New Roman" w:cs="Times New Roman"/>
                <w:sz w:val="24"/>
                <w:szCs w:val="24"/>
                <w:lang w:eastAsia="lv-LV"/>
              </w:rPr>
              <w:t xml:space="preserve">normas, kuras </w:t>
            </w:r>
            <w:r w:rsidR="00911F54" w:rsidRPr="004F0008">
              <w:rPr>
                <w:rFonts w:eastAsia="Times New Roman" w:cs="Times New Roman"/>
                <w:sz w:val="24"/>
                <w:szCs w:val="24"/>
                <w:lang w:eastAsia="lv-LV"/>
              </w:rPr>
              <w:t>paredz</w:t>
            </w:r>
            <w:r w:rsidR="006B1E66" w:rsidRPr="004F0008">
              <w:rPr>
                <w:rFonts w:eastAsia="Times New Roman" w:cs="Times New Roman"/>
                <w:sz w:val="24"/>
                <w:szCs w:val="24"/>
                <w:lang w:eastAsia="lv-LV"/>
              </w:rPr>
              <w:t xml:space="preserve"> </w:t>
            </w:r>
            <w:r w:rsidR="00570FDD" w:rsidRPr="004F0008">
              <w:rPr>
                <w:rFonts w:eastAsia="Times New Roman" w:cs="Times New Roman"/>
                <w:sz w:val="24"/>
                <w:szCs w:val="24"/>
                <w:lang w:eastAsia="lv-LV"/>
              </w:rPr>
              <w:t xml:space="preserve">noteikt izņēmumus amatpersonu pieņemšanai dienestā Iekšējās drošības birojā. </w:t>
            </w:r>
          </w:p>
          <w:p w:rsidR="00570FDD" w:rsidRPr="004F0008" w:rsidRDefault="00570FDD" w:rsidP="009408A6">
            <w:pPr>
              <w:autoSpaceDE w:val="0"/>
              <w:autoSpaceDN w:val="0"/>
              <w:adjustRightInd w:val="0"/>
              <w:rPr>
                <w:sz w:val="24"/>
                <w:szCs w:val="24"/>
              </w:rPr>
            </w:pPr>
            <w:r w:rsidRPr="004F0008">
              <w:rPr>
                <w:rFonts w:eastAsia="Times New Roman" w:cs="Times New Roman"/>
                <w:sz w:val="24"/>
                <w:szCs w:val="24"/>
                <w:lang w:eastAsia="lv-LV"/>
              </w:rPr>
              <w:t xml:space="preserve">Atbilstoši piedāvātajam Pārejas noteikumu 18.punktam ir paredzēts, ka dienestā Iekšējās drošības birojā varēs pieņemt personu, kura ir vecāka par 40 gadiem, bet kurai nebūs Dienesta gaitas likuma </w:t>
            </w:r>
            <w:proofErr w:type="gramStart"/>
            <w:r w:rsidRPr="004F0008">
              <w:rPr>
                <w:rFonts w:eastAsia="Times New Roman" w:cs="Times New Roman"/>
                <w:sz w:val="24"/>
                <w:szCs w:val="24"/>
                <w:lang w:eastAsia="lv-LV"/>
              </w:rPr>
              <w:t>7.panta</w:t>
            </w:r>
            <w:proofErr w:type="gramEnd"/>
            <w:r w:rsidRPr="004F0008">
              <w:rPr>
                <w:rFonts w:eastAsia="Times New Roman" w:cs="Times New Roman"/>
                <w:sz w:val="24"/>
                <w:szCs w:val="24"/>
                <w:lang w:eastAsia="lv-LV"/>
              </w:rPr>
              <w:t xml:space="preserve"> otrajā daļā paredzētās 10 gadu izdienas. Šādu personu varēs pieņemt dienestā Iekšējās drošības birojā, ja tai būs vismaz </w:t>
            </w:r>
            <w:r w:rsidRPr="004F0008">
              <w:rPr>
                <w:sz w:val="24"/>
                <w:szCs w:val="24"/>
              </w:rPr>
              <w:t xml:space="preserve">divu gadu </w:t>
            </w:r>
            <w:r w:rsidRPr="004F0008">
              <w:rPr>
                <w:sz w:val="24"/>
                <w:szCs w:val="24"/>
              </w:rPr>
              <w:lastRenderedPageBreak/>
              <w:t>iepriekšējā pieredze noziedzīgu nodarījumu izmeklēšanā vai operatīvās darbības pasākumu veikšanā.</w:t>
            </w:r>
          </w:p>
          <w:p w:rsidR="004A2AB3" w:rsidRPr="004F0008" w:rsidRDefault="000B6D6A" w:rsidP="000B6D6A">
            <w:pPr>
              <w:autoSpaceDE w:val="0"/>
              <w:autoSpaceDN w:val="0"/>
              <w:adjustRightInd w:val="0"/>
              <w:rPr>
                <w:sz w:val="24"/>
                <w:szCs w:val="24"/>
              </w:rPr>
            </w:pPr>
            <w:r w:rsidRPr="004F0008">
              <w:rPr>
                <w:rFonts w:eastAsia="Times New Roman" w:cs="Times New Roman"/>
                <w:sz w:val="24"/>
                <w:szCs w:val="24"/>
                <w:lang w:eastAsia="lv-LV"/>
              </w:rPr>
              <w:t>Lai nodrošinātu atbilstošas speciālās dienesta pakāpes saskaņā ar šiem Dienesta gaitas likuma Pārejas noteikumiem pieņemtajām Iekšējās drošības biroja amatpersonām ar speciālajām dienesta pakāpēm, ir paredzēts, ka</w:t>
            </w:r>
            <w:r w:rsidR="007B4864" w:rsidRPr="004F0008">
              <w:rPr>
                <w:rFonts w:eastAsia="Times New Roman" w:cs="Times New Roman"/>
                <w:sz w:val="24"/>
                <w:szCs w:val="24"/>
                <w:lang w:eastAsia="lv-LV"/>
              </w:rPr>
              <w:t xml:space="preserve"> piešķirot speciālās dienesta pakāpes</w:t>
            </w:r>
            <w:r w:rsidR="004A2AB3" w:rsidRPr="004F0008">
              <w:rPr>
                <w:rFonts w:eastAsia="Times New Roman" w:cs="Times New Roman"/>
                <w:sz w:val="24"/>
                <w:szCs w:val="24"/>
                <w:lang w:eastAsia="lv-LV"/>
              </w:rPr>
              <w:t xml:space="preserve"> pēc būtības</w:t>
            </w:r>
            <w:r w:rsidR="007B4864" w:rsidRPr="004F0008">
              <w:rPr>
                <w:rFonts w:eastAsia="Times New Roman" w:cs="Times New Roman"/>
                <w:sz w:val="24"/>
                <w:szCs w:val="24"/>
                <w:lang w:eastAsia="lv-LV"/>
              </w:rPr>
              <w:t xml:space="preserve"> ti</w:t>
            </w:r>
            <w:r w:rsidR="004A2AB3" w:rsidRPr="004F0008">
              <w:rPr>
                <w:rFonts w:eastAsia="Times New Roman" w:cs="Times New Roman"/>
                <w:sz w:val="24"/>
                <w:szCs w:val="24"/>
                <w:lang w:eastAsia="lv-LV"/>
              </w:rPr>
              <w:t>e</w:t>
            </w:r>
            <w:r w:rsidR="007B4864" w:rsidRPr="004F0008">
              <w:rPr>
                <w:rFonts w:eastAsia="Times New Roman" w:cs="Times New Roman"/>
                <w:sz w:val="24"/>
                <w:szCs w:val="24"/>
                <w:lang w:eastAsia="lv-LV"/>
              </w:rPr>
              <w:t xml:space="preserve">k ņemta vērā arī </w:t>
            </w:r>
            <w:r w:rsidRPr="004F0008">
              <w:rPr>
                <w:rFonts w:eastAsia="Times New Roman" w:cs="Times New Roman"/>
                <w:sz w:val="24"/>
                <w:szCs w:val="24"/>
                <w:lang w:eastAsia="lv-LV"/>
              </w:rPr>
              <w:t>amatperson</w:t>
            </w:r>
            <w:r w:rsidR="004A2AB3" w:rsidRPr="004F0008">
              <w:rPr>
                <w:rFonts w:eastAsia="Times New Roman" w:cs="Times New Roman"/>
                <w:sz w:val="24"/>
                <w:szCs w:val="24"/>
                <w:lang w:eastAsia="lv-LV"/>
              </w:rPr>
              <w:t>u iepriekšējā pieredze</w:t>
            </w:r>
            <w:r w:rsidRPr="004F0008">
              <w:rPr>
                <w:rFonts w:eastAsia="Times New Roman" w:cs="Times New Roman"/>
                <w:sz w:val="24"/>
                <w:szCs w:val="24"/>
                <w:lang w:eastAsia="lv-LV"/>
              </w:rPr>
              <w:t xml:space="preserve"> </w:t>
            </w:r>
            <w:r w:rsidRPr="004F0008">
              <w:rPr>
                <w:sz w:val="24"/>
                <w:szCs w:val="24"/>
              </w:rPr>
              <w:t>noziedzīgu nodarījumu izmeklēšanā vai operatīvās darbības pasākumu veikšanā.</w:t>
            </w:r>
          </w:p>
          <w:p w:rsidR="00BF65AB" w:rsidRPr="004F0008" w:rsidRDefault="00BF65AB" w:rsidP="000B6D6A">
            <w:pPr>
              <w:autoSpaceDE w:val="0"/>
              <w:autoSpaceDN w:val="0"/>
              <w:adjustRightInd w:val="0"/>
              <w:rPr>
                <w:rFonts w:eastAsia="Times New Roman" w:cs="Times New Roman"/>
                <w:sz w:val="24"/>
                <w:szCs w:val="24"/>
                <w:lang w:eastAsia="lv-LV"/>
              </w:rPr>
            </w:pPr>
            <w:r w:rsidRPr="004F0008">
              <w:rPr>
                <w:rFonts w:eastAsia="Times New Roman" w:cs="Times New Roman"/>
                <w:sz w:val="24"/>
                <w:szCs w:val="24"/>
                <w:lang w:eastAsia="lv-LV"/>
              </w:rPr>
              <w:t>Minētie nosacījumi būs spēkā līdz</w:t>
            </w:r>
            <w:r w:rsidR="00F27D76" w:rsidRPr="004F0008">
              <w:rPr>
                <w:rFonts w:eastAsia="Times New Roman" w:cs="Times New Roman"/>
                <w:sz w:val="24"/>
                <w:szCs w:val="24"/>
                <w:lang w:eastAsia="lv-LV"/>
              </w:rPr>
              <w:t xml:space="preserve"> </w:t>
            </w:r>
            <w:proofErr w:type="gramStart"/>
            <w:r w:rsidR="00F27D76" w:rsidRPr="004F0008">
              <w:rPr>
                <w:rFonts w:eastAsia="Times New Roman" w:cs="Times New Roman"/>
                <w:sz w:val="24"/>
                <w:szCs w:val="24"/>
                <w:lang w:eastAsia="lv-LV"/>
              </w:rPr>
              <w:t>2019.gada</w:t>
            </w:r>
            <w:proofErr w:type="gramEnd"/>
            <w:r w:rsidR="00F27D76" w:rsidRPr="004F0008">
              <w:rPr>
                <w:rFonts w:eastAsia="Times New Roman" w:cs="Times New Roman"/>
                <w:sz w:val="24"/>
                <w:szCs w:val="24"/>
                <w:lang w:eastAsia="lv-LV"/>
              </w:rPr>
              <w:t xml:space="preserve"> 31.decembrim</w:t>
            </w:r>
            <w:r w:rsidRPr="004F0008">
              <w:rPr>
                <w:rFonts w:eastAsia="Times New Roman" w:cs="Times New Roman"/>
                <w:sz w:val="24"/>
                <w:szCs w:val="24"/>
                <w:lang w:eastAsia="lv-LV"/>
              </w:rPr>
              <w:t>,</w:t>
            </w:r>
            <w:r w:rsidR="001B2B71" w:rsidRPr="004F0008">
              <w:rPr>
                <w:rFonts w:eastAsia="Times New Roman" w:cs="Times New Roman"/>
                <w:sz w:val="24"/>
                <w:szCs w:val="24"/>
                <w:lang w:eastAsia="lv-LV"/>
              </w:rPr>
              <w:t xml:space="preserve"> </w:t>
            </w:r>
            <w:r w:rsidR="006C2629" w:rsidRPr="004F0008">
              <w:rPr>
                <w:rFonts w:eastAsia="Times New Roman" w:cs="Times New Roman"/>
                <w:sz w:val="24"/>
                <w:szCs w:val="24"/>
                <w:lang w:eastAsia="lv-LV"/>
              </w:rPr>
              <w:t>tas ir līdz</w:t>
            </w:r>
            <w:r w:rsidRPr="004F0008">
              <w:rPr>
                <w:rFonts w:eastAsia="Times New Roman" w:cs="Times New Roman"/>
                <w:sz w:val="24"/>
                <w:szCs w:val="24"/>
                <w:lang w:eastAsia="lv-LV"/>
              </w:rPr>
              <w:t xml:space="preserve"> brīdim, kad provizoriski ir pare</w:t>
            </w:r>
            <w:r w:rsidR="006C2629" w:rsidRPr="004F0008">
              <w:rPr>
                <w:rFonts w:eastAsia="Times New Roman" w:cs="Times New Roman"/>
                <w:sz w:val="24"/>
                <w:szCs w:val="24"/>
                <w:lang w:eastAsia="lv-LV"/>
              </w:rPr>
              <w:t>dzams, ka I</w:t>
            </w:r>
            <w:r w:rsidRPr="004F0008">
              <w:rPr>
                <w:rFonts w:eastAsia="Times New Roman" w:cs="Times New Roman"/>
                <w:sz w:val="24"/>
                <w:szCs w:val="24"/>
                <w:lang w:eastAsia="lv-LV"/>
              </w:rPr>
              <w:t>ekšējās droš</w:t>
            </w:r>
            <w:r w:rsidR="006C2629" w:rsidRPr="004F0008">
              <w:rPr>
                <w:rFonts w:eastAsia="Times New Roman" w:cs="Times New Roman"/>
                <w:sz w:val="24"/>
                <w:szCs w:val="24"/>
                <w:lang w:eastAsia="lv-LV"/>
              </w:rPr>
              <w:t>ības birojam būtu jābūt</w:t>
            </w:r>
            <w:r w:rsidR="004A2AB3" w:rsidRPr="004F0008">
              <w:rPr>
                <w:rFonts w:eastAsia="Times New Roman" w:cs="Times New Roman"/>
                <w:sz w:val="24"/>
                <w:szCs w:val="24"/>
                <w:lang w:eastAsia="lv-LV"/>
              </w:rPr>
              <w:t xml:space="preserve"> pilnībā </w:t>
            </w:r>
            <w:r w:rsidRPr="004F0008">
              <w:rPr>
                <w:rFonts w:eastAsia="Times New Roman" w:cs="Times New Roman"/>
                <w:sz w:val="24"/>
                <w:szCs w:val="24"/>
                <w:lang w:eastAsia="lv-LV"/>
              </w:rPr>
              <w:t>nokomplekt</w:t>
            </w:r>
            <w:r w:rsidR="006C2629" w:rsidRPr="004F0008">
              <w:rPr>
                <w:rFonts w:eastAsia="Times New Roman" w:cs="Times New Roman"/>
                <w:sz w:val="24"/>
                <w:szCs w:val="24"/>
                <w:lang w:eastAsia="lv-LV"/>
              </w:rPr>
              <w:t>ētam</w:t>
            </w:r>
            <w:r w:rsidRPr="004F0008">
              <w:rPr>
                <w:rFonts w:eastAsia="Times New Roman" w:cs="Times New Roman"/>
                <w:sz w:val="24"/>
                <w:szCs w:val="24"/>
                <w:lang w:eastAsia="lv-LV"/>
              </w:rPr>
              <w:t xml:space="preserve"> ar kvalificētiem speci</w:t>
            </w:r>
            <w:r w:rsidR="006C2629" w:rsidRPr="004F0008">
              <w:rPr>
                <w:rFonts w:eastAsia="Times New Roman" w:cs="Times New Roman"/>
                <w:sz w:val="24"/>
                <w:szCs w:val="24"/>
                <w:lang w:eastAsia="lv-LV"/>
              </w:rPr>
              <w:t>ālistiem.</w:t>
            </w:r>
          </w:p>
          <w:p w:rsidR="005E36D1" w:rsidRPr="00FC7F75" w:rsidRDefault="005E36D1" w:rsidP="005E36D1">
            <w:pPr>
              <w:autoSpaceDE w:val="0"/>
              <w:autoSpaceDN w:val="0"/>
              <w:adjustRightInd w:val="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D12AF7" w:rsidP="00C6177A">
            <w:pPr>
              <w:shd w:val="clear" w:color="auto" w:fill="FFFFFF"/>
              <w:ind w:right="57" w:firstLine="0"/>
              <w:rPr>
                <w:rFonts w:eastAsia="Calibri" w:cs="Times New Roman"/>
                <w:sz w:val="24"/>
                <w:szCs w:val="24"/>
              </w:rPr>
            </w:pPr>
            <w:r w:rsidRPr="00C6177A">
              <w:rPr>
                <w:rFonts w:eastAsia="Calibri" w:cs="Times New Roman"/>
                <w:sz w:val="24"/>
                <w:szCs w:val="24"/>
              </w:rPr>
              <w:t>Likumprojekts</w:t>
            </w:r>
            <w:r w:rsidR="00AD7791">
              <w:rPr>
                <w:rFonts w:eastAsia="Calibri" w:cs="Times New Roman"/>
                <w:sz w:val="24"/>
                <w:szCs w:val="24"/>
              </w:rPr>
              <w:t xml:space="preserve"> </w:t>
            </w:r>
            <w:r w:rsidR="00AD7791" w:rsidRPr="00AD7791">
              <w:rPr>
                <w:rFonts w:eastAsia="Calibri" w:cs="Times New Roman"/>
                <w:sz w:val="24"/>
                <w:szCs w:val="24"/>
              </w:rPr>
              <w:t xml:space="preserve">„Grozījumi Iekšlietu ministrijas sistēmas iestāžu un Ieslodzījuma vietu pārvaldes amatpersonu ar speciālajām dienesta pakāpēm dienesta gaitas likumā” </w:t>
            </w:r>
            <w:r w:rsidRPr="00C6177A">
              <w:rPr>
                <w:rFonts w:eastAsia="Calibri" w:cs="Times New Roman"/>
                <w:sz w:val="24"/>
                <w:szCs w:val="24"/>
              </w:rPr>
              <w:t xml:space="preserve">attieksies uz </w:t>
            </w:r>
            <w:r w:rsidR="00C6177A" w:rsidRPr="00C6177A">
              <w:rPr>
                <w:rFonts w:eastAsia="Calibri" w:cs="Times New Roman"/>
                <w:sz w:val="24"/>
                <w:szCs w:val="24"/>
              </w:rPr>
              <w:t>Iekšējās drošības biroja 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left"/>
              <w:rPr>
                <w:rFonts w:cs="Times New Roman"/>
                <w:b/>
                <w:i/>
                <w:sz w:val="24"/>
                <w:szCs w:val="24"/>
              </w:rPr>
            </w:pPr>
            <w:r w:rsidRPr="00800BE8">
              <w:rPr>
                <w:rFonts w:cs="Times New Roman"/>
                <w:sz w:val="24"/>
                <w:szCs w:val="24"/>
              </w:rPr>
              <w:br w:type="page"/>
            </w:r>
            <w:r w:rsidRPr="00800BE8">
              <w:rPr>
                <w:rFonts w:cs="Times New Roman"/>
                <w:b/>
                <w:sz w:val="24"/>
                <w:szCs w:val="24"/>
              </w:rPr>
              <w:t>III. Tiesību akta projekta ietekme uz valsts budžetu un pašvaldību budžetiem</w:t>
            </w:r>
          </w:p>
        </w:tc>
      </w:tr>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center"/>
              <w:rPr>
                <w:rFonts w:cs="Times New Roman"/>
                <w:sz w:val="24"/>
                <w:szCs w:val="24"/>
              </w:rPr>
            </w:pPr>
            <w:r>
              <w:rPr>
                <w:rFonts w:cs="Times New Roman"/>
                <w:sz w:val="24"/>
                <w:szCs w:val="24"/>
              </w:rPr>
              <w:t>Projekts šo jomu neskar</w:t>
            </w:r>
          </w:p>
        </w:tc>
      </w:tr>
    </w:tbl>
    <w:p w:rsidR="00DA192D" w:rsidRPr="005128C9" w:rsidRDefault="00DA192D" w:rsidP="008C16EE">
      <w:pPr>
        <w:spacing w:before="100" w:beforeAutospacing="1" w:after="100" w:afterAutospacing="1"/>
        <w:ind w:firstLine="0"/>
        <w:jc w:val="left"/>
        <w:rPr>
          <w:rFonts w:cs="Times New Roman"/>
          <w:sz w:val="24"/>
          <w:szCs w:val="24"/>
        </w:rPr>
      </w:pPr>
    </w:p>
    <w:tbl>
      <w:tblPr>
        <w:tblW w:w="1022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418"/>
        <w:gridCol w:w="1941"/>
        <w:gridCol w:w="6988"/>
        <w:gridCol w:w="448"/>
      </w:tblGrid>
      <w:tr w:rsidR="00862D0F" w:rsidRPr="00862D0F" w:rsidTr="00745833">
        <w:trPr>
          <w:gridBefore w:val="1"/>
          <w:wBefore w:w="389" w:type="dxa"/>
          <w:trHeight w:val="450"/>
          <w:tblCellSpacing w:w="15" w:type="dxa"/>
          <w:jc w:val="center"/>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p w:rsidR="00DA192D" w:rsidRPr="00862D0F" w:rsidRDefault="00DA192D" w:rsidP="00862D0F">
            <w:pPr>
              <w:spacing w:before="100" w:beforeAutospacing="1" w:after="100" w:afterAutospacing="1"/>
              <w:ind w:firstLine="0"/>
              <w:jc w:val="center"/>
              <w:rPr>
                <w:rFonts w:eastAsia="Times New Roman" w:cs="Times New Roman"/>
                <w:b/>
                <w:bCs/>
                <w:sz w:val="24"/>
                <w:szCs w:val="24"/>
                <w:lang w:eastAsia="lv-LV"/>
              </w:rPr>
            </w:pPr>
          </w:p>
        </w:tc>
      </w:tr>
      <w:tr w:rsidR="00862D0F" w:rsidRPr="00862D0F" w:rsidTr="00745833">
        <w:trPr>
          <w:gridBefore w:val="1"/>
          <w:wBefore w:w="389" w:type="dxa"/>
          <w:tblCellSpacing w:w="15" w:type="dxa"/>
          <w:jc w:val="center"/>
        </w:trPr>
        <w:tc>
          <w:tcPr>
            <w:tcW w:w="388"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1.</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171E4F">
            <w:pPr>
              <w:ind w:right="-245"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391" w:type="dxa"/>
            <w:gridSpan w:val="2"/>
            <w:tcBorders>
              <w:top w:val="outset" w:sz="6" w:space="0" w:color="auto"/>
              <w:left w:val="outset" w:sz="6" w:space="0" w:color="auto"/>
              <w:bottom w:val="outset" w:sz="6" w:space="0" w:color="auto"/>
              <w:right w:val="outset" w:sz="6" w:space="0" w:color="auto"/>
            </w:tcBorders>
            <w:hideMark/>
          </w:tcPr>
          <w:p w:rsidR="00D12AF7" w:rsidRDefault="00EE266C" w:rsidP="008D5E43">
            <w:pPr>
              <w:ind w:right="89" w:firstLine="0"/>
              <w:rPr>
                <w:bCs/>
                <w:color w:val="000000"/>
                <w:kern w:val="36"/>
                <w:sz w:val="24"/>
                <w:szCs w:val="24"/>
              </w:rPr>
            </w:pPr>
            <w:r>
              <w:rPr>
                <w:bCs/>
                <w:color w:val="000000"/>
                <w:kern w:val="36"/>
                <w:sz w:val="24"/>
                <w:szCs w:val="24"/>
              </w:rPr>
              <w:t>Vienlaikus ar l</w:t>
            </w:r>
            <w:r w:rsidR="00D12AF7" w:rsidRPr="00623A32">
              <w:rPr>
                <w:bCs/>
                <w:color w:val="000000"/>
                <w:kern w:val="36"/>
                <w:sz w:val="24"/>
                <w:szCs w:val="24"/>
              </w:rPr>
              <w:t xml:space="preserve">ikumprojektu </w:t>
            </w:r>
            <w:r w:rsidR="00547481" w:rsidRPr="00547481">
              <w:rPr>
                <w:bCs/>
                <w:color w:val="000000"/>
                <w:kern w:val="36"/>
                <w:sz w:val="24"/>
                <w:szCs w:val="24"/>
              </w:rPr>
              <w:t xml:space="preserve">„Grozījumi Iekšlietu ministrijas sistēmas iestāžu un Ieslodzījuma vietu pārvaldes amatpersonu ar speciālajām dienesta pakāpēm dienesta gaitas likumā” </w:t>
            </w:r>
            <w:r w:rsidR="00D12AF7" w:rsidRPr="00623A32">
              <w:rPr>
                <w:bCs/>
                <w:color w:val="000000"/>
                <w:kern w:val="36"/>
                <w:sz w:val="24"/>
                <w:szCs w:val="24"/>
              </w:rPr>
              <w:t>virzāmi:</w:t>
            </w:r>
          </w:p>
          <w:p w:rsidR="00BA5524" w:rsidRDefault="00171E4F" w:rsidP="008D5E43">
            <w:pPr>
              <w:pStyle w:val="ListParagraph"/>
              <w:numPr>
                <w:ilvl w:val="0"/>
                <w:numId w:val="2"/>
              </w:numPr>
              <w:tabs>
                <w:tab w:val="left" w:pos="522"/>
              </w:tabs>
              <w:ind w:left="0" w:right="89" w:firstLine="500"/>
              <w:rPr>
                <w:bCs/>
                <w:color w:val="000000"/>
                <w:kern w:val="36"/>
                <w:sz w:val="24"/>
                <w:szCs w:val="24"/>
              </w:rPr>
            </w:pPr>
            <w:r w:rsidRPr="00BA5524">
              <w:rPr>
                <w:bCs/>
                <w:color w:val="000000"/>
                <w:kern w:val="36"/>
                <w:sz w:val="24"/>
                <w:szCs w:val="24"/>
              </w:rPr>
              <w:t>likumpr</w:t>
            </w:r>
            <w:r w:rsidR="00A34EAF">
              <w:rPr>
                <w:bCs/>
                <w:color w:val="000000"/>
                <w:kern w:val="36"/>
                <w:sz w:val="24"/>
                <w:szCs w:val="24"/>
              </w:rPr>
              <w:t>ojekts „Iekšējās drošības biroja likums</w:t>
            </w:r>
            <w:r w:rsidRPr="00BA5524">
              <w:rPr>
                <w:bCs/>
                <w:color w:val="000000"/>
                <w:kern w:val="36"/>
                <w:sz w:val="24"/>
                <w:szCs w:val="24"/>
              </w:rPr>
              <w:t>”;</w:t>
            </w:r>
          </w:p>
          <w:p w:rsidR="00D12AF7" w:rsidRPr="00BA5524" w:rsidRDefault="00D12AF7" w:rsidP="008D5E43">
            <w:pPr>
              <w:pStyle w:val="ListParagraph"/>
              <w:numPr>
                <w:ilvl w:val="0"/>
                <w:numId w:val="2"/>
              </w:numPr>
              <w:tabs>
                <w:tab w:val="left" w:pos="522"/>
              </w:tabs>
              <w:ind w:left="0" w:right="89" w:firstLine="500"/>
              <w:rPr>
                <w:bCs/>
                <w:color w:val="000000"/>
                <w:kern w:val="36"/>
                <w:sz w:val="24"/>
                <w:szCs w:val="24"/>
              </w:rPr>
            </w:pPr>
            <w:r w:rsidRPr="00BA5524">
              <w:rPr>
                <w:bCs/>
                <w:color w:val="000000"/>
                <w:kern w:val="36"/>
                <w:sz w:val="24"/>
                <w:szCs w:val="24"/>
              </w:rPr>
              <w:t xml:space="preserve">likumprojekts „Grozījumi Kriminālprocesa likumā”, nosakot </w:t>
            </w:r>
            <w:r w:rsidR="00E750BC" w:rsidRPr="00E750BC">
              <w:rPr>
                <w:bCs/>
                <w:color w:val="000000"/>
                <w:kern w:val="36"/>
                <w:sz w:val="24"/>
                <w:szCs w:val="24"/>
              </w:rPr>
              <w:t>Iekšējā</w:t>
            </w:r>
            <w:r w:rsidR="00117967">
              <w:rPr>
                <w:bCs/>
                <w:color w:val="000000"/>
                <w:kern w:val="36"/>
                <w:sz w:val="24"/>
                <w:szCs w:val="24"/>
              </w:rPr>
              <w:t>s</w:t>
            </w:r>
            <w:r w:rsidR="00E750BC" w:rsidRPr="00E750BC">
              <w:rPr>
                <w:bCs/>
                <w:color w:val="000000"/>
                <w:kern w:val="36"/>
                <w:sz w:val="24"/>
                <w:szCs w:val="24"/>
              </w:rPr>
              <w:t xml:space="preserve"> drošības biroja</w:t>
            </w:r>
            <w:r w:rsidRPr="00BA5524">
              <w:rPr>
                <w:bCs/>
                <w:color w:val="000000"/>
                <w:kern w:val="36"/>
                <w:sz w:val="24"/>
                <w:szCs w:val="24"/>
              </w:rPr>
              <w:t xml:space="preserve"> kompetenci;</w:t>
            </w:r>
          </w:p>
          <w:p w:rsidR="00D12AF7" w:rsidRPr="00FB58EA" w:rsidRDefault="00D12AF7" w:rsidP="008D5E43">
            <w:pPr>
              <w:numPr>
                <w:ilvl w:val="0"/>
                <w:numId w:val="2"/>
              </w:numPr>
              <w:tabs>
                <w:tab w:val="left" w:pos="522"/>
                <w:tab w:val="left" w:pos="787"/>
              </w:tabs>
              <w:ind w:left="50" w:right="89" w:firstLine="500"/>
              <w:rPr>
                <w:sz w:val="24"/>
                <w:szCs w:val="24"/>
              </w:rPr>
            </w:pPr>
            <w:r w:rsidRPr="001D5646">
              <w:rPr>
                <w:bCs/>
                <w:color w:val="000000"/>
                <w:sz w:val="24"/>
                <w:szCs w:val="24"/>
                <w:shd w:val="clear" w:color="auto" w:fill="FFFFFF"/>
              </w:rPr>
              <w:t>likumprojekts „</w:t>
            </w:r>
            <w:r w:rsidR="009C2E2B">
              <w:rPr>
                <w:sz w:val="24"/>
                <w:szCs w:val="24"/>
              </w:rPr>
              <w:t>Grozījums</w:t>
            </w:r>
            <w:r w:rsidRPr="001D5646">
              <w:rPr>
                <w:sz w:val="24"/>
                <w:szCs w:val="24"/>
              </w:rPr>
              <w:t xml:space="preserve"> likumā „</w:t>
            </w:r>
            <w:r w:rsidRPr="001D5646">
              <w:rPr>
                <w:bCs/>
                <w:color w:val="000000"/>
                <w:sz w:val="24"/>
                <w:szCs w:val="24"/>
                <w:shd w:val="clear" w:color="auto" w:fill="FFFFFF"/>
              </w:rPr>
              <w:t>Par interešu konflikta novēršan</w:t>
            </w:r>
            <w:r>
              <w:rPr>
                <w:bCs/>
                <w:color w:val="000000"/>
                <w:sz w:val="24"/>
                <w:szCs w:val="24"/>
                <w:shd w:val="clear" w:color="auto" w:fill="FFFFFF"/>
              </w:rPr>
              <w:t>u valsts amatpersonu darbībā”,</w:t>
            </w:r>
            <w:r>
              <w:t xml:space="preserve"> </w:t>
            </w:r>
            <w:r w:rsidRPr="00F26636">
              <w:rPr>
                <w:bCs/>
                <w:color w:val="000000"/>
                <w:sz w:val="24"/>
                <w:szCs w:val="24"/>
                <w:shd w:val="clear" w:color="auto" w:fill="FFFFFF"/>
              </w:rPr>
              <w:t xml:space="preserve">paredzot amatu savienošanas ierobežojumus </w:t>
            </w:r>
            <w:r w:rsidR="00E750BC" w:rsidRPr="00E750BC">
              <w:rPr>
                <w:bCs/>
                <w:color w:val="000000"/>
                <w:sz w:val="24"/>
                <w:szCs w:val="24"/>
                <w:shd w:val="clear" w:color="auto" w:fill="FFFFFF"/>
              </w:rPr>
              <w:t>Iekšējā</w:t>
            </w:r>
            <w:r w:rsidR="00117967">
              <w:rPr>
                <w:bCs/>
                <w:color w:val="000000"/>
                <w:sz w:val="24"/>
                <w:szCs w:val="24"/>
                <w:shd w:val="clear" w:color="auto" w:fill="FFFFFF"/>
              </w:rPr>
              <w:t>s</w:t>
            </w:r>
            <w:r w:rsidR="00E750BC" w:rsidRPr="00E750BC">
              <w:rPr>
                <w:bCs/>
                <w:color w:val="000000"/>
                <w:sz w:val="24"/>
                <w:szCs w:val="24"/>
                <w:shd w:val="clear" w:color="auto" w:fill="FFFFFF"/>
              </w:rPr>
              <w:t xml:space="preserve"> drošības biroja</w:t>
            </w:r>
            <w:r w:rsidRPr="00F26636">
              <w:rPr>
                <w:bCs/>
                <w:color w:val="000000"/>
                <w:sz w:val="24"/>
                <w:szCs w:val="24"/>
                <w:shd w:val="clear" w:color="auto" w:fill="FFFFFF"/>
              </w:rPr>
              <w:t xml:space="preserve"> amatpersonām</w:t>
            </w:r>
            <w:r>
              <w:rPr>
                <w:bCs/>
                <w:color w:val="000000"/>
                <w:sz w:val="24"/>
                <w:szCs w:val="24"/>
                <w:shd w:val="clear" w:color="auto" w:fill="FFFFFF"/>
              </w:rPr>
              <w:t>;</w:t>
            </w:r>
          </w:p>
          <w:p w:rsidR="00224D56" w:rsidRPr="000F2ED3" w:rsidRDefault="00224D56" w:rsidP="00224D56">
            <w:pPr>
              <w:numPr>
                <w:ilvl w:val="0"/>
                <w:numId w:val="2"/>
              </w:numPr>
              <w:ind w:left="50" w:firstLine="310"/>
              <w:rPr>
                <w:sz w:val="24"/>
                <w:szCs w:val="24"/>
              </w:rPr>
            </w:pPr>
            <w:r>
              <w:rPr>
                <w:bCs/>
                <w:color w:val="000000"/>
                <w:sz w:val="24"/>
                <w:szCs w:val="24"/>
                <w:shd w:val="clear" w:color="auto" w:fill="FFFFFF"/>
              </w:rPr>
              <w:t>likumprojekts „Grozījumi Šengenas informācijas sistēmas darbības likumā”, paredzot</w:t>
            </w:r>
            <w:r w:rsidRPr="00455938">
              <w:rPr>
                <w:rFonts w:eastAsia="Times New Roman" w:cs="Times New Roman"/>
                <w:szCs w:val="28"/>
                <w:lang w:eastAsia="lv-LV"/>
              </w:rPr>
              <w:t xml:space="preserve"> </w:t>
            </w:r>
            <w:r w:rsidR="00E750BC" w:rsidRPr="00E750BC">
              <w:rPr>
                <w:bCs/>
                <w:color w:val="000000"/>
                <w:sz w:val="24"/>
                <w:szCs w:val="24"/>
                <w:shd w:val="clear" w:color="auto" w:fill="FFFFFF"/>
              </w:rPr>
              <w:t>Iekšējā</w:t>
            </w:r>
            <w:r w:rsidR="00117967">
              <w:rPr>
                <w:bCs/>
                <w:color w:val="000000"/>
                <w:sz w:val="24"/>
                <w:szCs w:val="24"/>
                <w:shd w:val="clear" w:color="auto" w:fill="FFFFFF"/>
              </w:rPr>
              <w:t>s</w:t>
            </w:r>
            <w:r w:rsidR="00E750BC" w:rsidRPr="00E750BC">
              <w:rPr>
                <w:bCs/>
                <w:color w:val="000000"/>
                <w:sz w:val="24"/>
                <w:szCs w:val="24"/>
                <w:shd w:val="clear" w:color="auto" w:fill="FFFFFF"/>
              </w:rPr>
              <w:t xml:space="preserve"> drošības biroja</w:t>
            </w:r>
            <w:r w:rsidRPr="00455938">
              <w:rPr>
                <w:bCs/>
                <w:color w:val="000000"/>
                <w:sz w:val="24"/>
                <w:szCs w:val="24"/>
                <w:shd w:val="clear" w:color="auto" w:fill="FFFFFF"/>
              </w:rPr>
              <w:t xml:space="preserve"> pilnvaras savas kompetences ietvaros apstrādāt ziņojumus Šengenas informācijas sistēmā</w:t>
            </w:r>
            <w:r w:rsidR="000F2ED3">
              <w:rPr>
                <w:bCs/>
                <w:color w:val="000000"/>
                <w:sz w:val="24"/>
                <w:szCs w:val="24"/>
                <w:shd w:val="clear" w:color="auto" w:fill="FFFFFF"/>
              </w:rPr>
              <w:t>;</w:t>
            </w:r>
          </w:p>
          <w:p w:rsidR="000F2ED3" w:rsidRPr="00B262F8" w:rsidRDefault="00650FCB" w:rsidP="00184F77">
            <w:pPr>
              <w:numPr>
                <w:ilvl w:val="0"/>
                <w:numId w:val="2"/>
              </w:numPr>
              <w:ind w:left="0" w:firstLine="360"/>
              <w:rPr>
                <w:sz w:val="24"/>
                <w:szCs w:val="24"/>
              </w:rPr>
            </w:pPr>
            <w:r w:rsidRPr="00B262F8">
              <w:rPr>
                <w:bCs/>
                <w:color w:val="000000"/>
                <w:sz w:val="24"/>
                <w:szCs w:val="24"/>
                <w:shd w:val="clear" w:color="auto" w:fill="FFFFFF"/>
              </w:rPr>
              <w:t>likumprojekts “Grozījums</w:t>
            </w:r>
            <w:r w:rsidR="000F2ED3" w:rsidRPr="00B262F8">
              <w:rPr>
                <w:bCs/>
                <w:color w:val="000000"/>
                <w:sz w:val="24"/>
                <w:szCs w:val="24"/>
                <w:shd w:val="clear" w:color="auto" w:fill="FFFFFF"/>
              </w:rPr>
              <w:t xml:space="preserve"> Ieslod</w:t>
            </w:r>
            <w:r w:rsidR="00E70813" w:rsidRPr="00B262F8">
              <w:rPr>
                <w:bCs/>
                <w:color w:val="000000"/>
                <w:sz w:val="24"/>
                <w:szCs w:val="24"/>
                <w:shd w:val="clear" w:color="auto" w:fill="FFFFFF"/>
              </w:rPr>
              <w:t>zījuma vietu pārvaldes likumā”,</w:t>
            </w:r>
            <w:r w:rsidR="00E70813" w:rsidRPr="00B262F8">
              <w:rPr>
                <w:bCs/>
                <w:sz w:val="24"/>
                <w:szCs w:val="24"/>
              </w:rPr>
              <w:t xml:space="preserve"> </w:t>
            </w:r>
            <w:proofErr w:type="gramStart"/>
            <w:r w:rsidR="00E70813" w:rsidRPr="00B262F8">
              <w:rPr>
                <w:bCs/>
                <w:color w:val="000000"/>
                <w:sz w:val="24"/>
                <w:szCs w:val="24"/>
                <w:shd w:val="clear" w:color="auto" w:fill="FFFFFF"/>
              </w:rPr>
              <w:t>paredzot, ka Iekšējās drošības biroja amatpersonas ar speciālo dienesta pakāpi bez speciālas atļaujas</w:t>
            </w:r>
            <w:proofErr w:type="gramEnd"/>
            <w:r w:rsidR="00E70813" w:rsidRPr="00B262F8">
              <w:rPr>
                <w:bCs/>
                <w:color w:val="000000"/>
                <w:sz w:val="24"/>
                <w:szCs w:val="24"/>
                <w:shd w:val="clear" w:color="auto" w:fill="FFFFFF"/>
              </w:rPr>
              <w:t xml:space="preserve"> var apmeklēt ieslodzījuma vietas.</w:t>
            </w:r>
          </w:p>
          <w:p w:rsidR="00862D0F" w:rsidRPr="00862D0F" w:rsidRDefault="00862D0F" w:rsidP="00171E4F">
            <w:pPr>
              <w:pStyle w:val="naisf"/>
              <w:tabs>
                <w:tab w:val="left" w:pos="5670"/>
              </w:tabs>
              <w:spacing w:before="0" w:after="0"/>
              <w:ind w:right="-245"/>
              <w:rPr>
                <w:rFonts w:eastAsia="Times New Roman"/>
              </w:rPr>
            </w:pPr>
          </w:p>
        </w:tc>
      </w:tr>
      <w:tr w:rsidR="00862D0F" w:rsidRPr="00862D0F" w:rsidTr="00745833">
        <w:trPr>
          <w:gridBefore w:val="1"/>
          <w:wBefore w:w="389" w:type="dxa"/>
          <w:tblCellSpacing w:w="15" w:type="dxa"/>
          <w:jc w:val="center"/>
        </w:trPr>
        <w:tc>
          <w:tcPr>
            <w:tcW w:w="388" w:type="dxa"/>
            <w:tcBorders>
              <w:top w:val="outset" w:sz="6" w:space="0" w:color="auto"/>
              <w:left w:val="outset" w:sz="6" w:space="0" w:color="auto"/>
              <w:bottom w:val="outset" w:sz="6" w:space="0" w:color="auto"/>
              <w:right w:val="outset" w:sz="6" w:space="0" w:color="auto"/>
            </w:tcBorders>
            <w:hideMark/>
          </w:tcPr>
          <w:p w:rsidR="00862D0F" w:rsidRPr="00862D0F" w:rsidRDefault="00547481"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391" w:type="dxa"/>
            <w:gridSpan w:val="2"/>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745833">
        <w:trPr>
          <w:gridBefore w:val="1"/>
          <w:wBefore w:w="389" w:type="dxa"/>
          <w:tblCellSpacing w:w="15" w:type="dxa"/>
          <w:jc w:val="center"/>
        </w:trPr>
        <w:tc>
          <w:tcPr>
            <w:tcW w:w="388"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391" w:type="dxa"/>
            <w:gridSpan w:val="2"/>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p>
        </w:tc>
      </w:tr>
      <w:tr w:rsidR="00862D0F" w:rsidRPr="00862D0F" w:rsidTr="00745833">
        <w:tblPrEx>
          <w:jc w:val="left"/>
        </w:tblPrEx>
        <w:trPr>
          <w:gridAfter w:val="1"/>
          <w:wAfter w:w="403" w:type="dxa"/>
          <w:tblCellSpacing w:w="15" w:type="dxa"/>
        </w:trPr>
        <w:tc>
          <w:tcPr>
            <w:tcW w:w="9736" w:type="dxa"/>
            <w:gridSpan w:val="4"/>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sz w:val="24"/>
                <w:szCs w:val="24"/>
                <w:lang w:eastAsia="lv-LV"/>
              </w:rPr>
              <w:t> </w:t>
            </w: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745833">
        <w:tblPrEx>
          <w:jc w:val="left"/>
        </w:tblPrEx>
        <w:trPr>
          <w:gridAfter w:val="1"/>
          <w:wAfter w:w="403" w:type="dxa"/>
          <w:tblCellSpacing w:w="15" w:type="dxa"/>
        </w:trPr>
        <w:tc>
          <w:tcPr>
            <w:tcW w:w="9736" w:type="dxa"/>
            <w:gridSpan w:val="4"/>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862D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5D2A09"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5D2A09" w:rsidRPr="005D2A09" w:rsidRDefault="005D2A09" w:rsidP="00862D0F">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vals</w:t>
            </w:r>
            <w:r w:rsidR="00DB7EEE">
              <w:rPr>
                <w:rFonts w:eastAsia="Calibri" w:cs="Times New Roman"/>
                <w:sz w:val="24"/>
                <w:szCs w:val="24"/>
              </w:rPr>
              <w:t>ts pārvaldes iestāde – Iekšējās</w:t>
            </w:r>
            <w:r>
              <w:rPr>
                <w:rFonts w:eastAsia="Calibri" w:cs="Times New Roman"/>
                <w:sz w:val="24"/>
                <w:szCs w:val="24"/>
              </w:rPr>
              <w:t xml:space="preserve"> drošības birojs, kas atradīsies iekšlietu ministra pārraudzībā.</w:t>
            </w:r>
          </w:p>
          <w:p w:rsidR="00227ED8" w:rsidRDefault="00227ED8" w:rsidP="002A3D3A">
            <w:pPr>
              <w:ind w:firstLine="0"/>
              <w:rPr>
                <w:rFonts w:eastAsia="Calibri" w:cs="Times New Roman"/>
                <w:sz w:val="24"/>
                <w:szCs w:val="24"/>
              </w:rPr>
            </w:pPr>
          </w:p>
          <w:p w:rsidR="00AB6F4E" w:rsidRPr="00573918" w:rsidRDefault="00227ED8" w:rsidP="00227ED8">
            <w:pPr>
              <w:ind w:firstLine="0"/>
              <w:rPr>
                <w:rFonts w:eastAsia="Times New Roman" w:cs="Times New Roman"/>
                <w:bCs/>
                <w:sz w:val="24"/>
                <w:szCs w:val="24"/>
                <w:lang w:eastAsia="lv-LV"/>
              </w:rPr>
            </w:pPr>
            <w:r w:rsidRPr="00573918">
              <w:rPr>
                <w:rFonts w:eastAsia="Calibri" w:cs="Times New Roman"/>
                <w:sz w:val="24"/>
                <w:szCs w:val="24"/>
              </w:rPr>
              <w:t xml:space="preserve">Atbilstoši </w:t>
            </w:r>
            <w:r w:rsidR="00183AE1" w:rsidRPr="00573918">
              <w:rPr>
                <w:rFonts w:eastAsia="Times New Roman" w:cs="Times New Roman"/>
                <w:bCs/>
                <w:sz w:val="24"/>
                <w:szCs w:val="24"/>
                <w:lang w:eastAsia="lv-LV"/>
              </w:rPr>
              <w:t xml:space="preserve">koncepcijā minētajam </w:t>
            </w:r>
            <w:r w:rsidR="00573918">
              <w:rPr>
                <w:sz w:val="24"/>
                <w:szCs w:val="24"/>
              </w:rPr>
              <w:t>kopumā Iekšējās drošības biroja</w:t>
            </w:r>
            <w:r w:rsidR="00AB6F4E" w:rsidRPr="00573918">
              <w:rPr>
                <w:sz w:val="24"/>
                <w:szCs w:val="24"/>
              </w:rPr>
              <w:t xml:space="preserve"> </w:t>
            </w:r>
            <w:r w:rsidR="00183AE1" w:rsidRPr="00573918">
              <w:rPr>
                <w:sz w:val="24"/>
                <w:szCs w:val="24"/>
              </w:rPr>
              <w:t>darbības</w:t>
            </w:r>
            <w:r w:rsidR="00AB6F4E" w:rsidRPr="00573918">
              <w:rPr>
                <w:sz w:val="24"/>
                <w:szCs w:val="24"/>
              </w:rPr>
              <w:t xml:space="preserve"> nodrošināšanai paredz</w:t>
            </w:r>
            <w:r w:rsidR="00C75CD7" w:rsidRPr="00573918">
              <w:rPr>
                <w:sz w:val="24"/>
                <w:szCs w:val="24"/>
              </w:rPr>
              <w:t>ēts</w:t>
            </w:r>
            <w:r w:rsidR="00AB6F4E" w:rsidRPr="00573918">
              <w:rPr>
                <w:sz w:val="24"/>
                <w:szCs w:val="24"/>
              </w:rPr>
              <w:t xml:space="preserve"> nodarbināt 92 </w:t>
            </w:r>
            <w:r w:rsidR="00C75CD7" w:rsidRPr="00573918">
              <w:rPr>
                <w:sz w:val="24"/>
                <w:szCs w:val="24"/>
              </w:rPr>
              <w:t>amatpersonas</w:t>
            </w:r>
            <w:r w:rsidR="00AB6F4E" w:rsidRPr="00573918">
              <w:rPr>
                <w:sz w:val="24"/>
                <w:szCs w:val="24"/>
              </w:rPr>
              <w:t xml:space="preserve"> ar speciālo dienesta pakāpi un </w:t>
            </w:r>
            <w:r w:rsidR="000F2ED3">
              <w:rPr>
                <w:sz w:val="24"/>
                <w:szCs w:val="24"/>
              </w:rPr>
              <w:t>29 darbiniekus</w:t>
            </w:r>
            <w:r w:rsidR="00AB6F4E" w:rsidRPr="00573918">
              <w:rPr>
                <w:sz w:val="24"/>
                <w:szCs w:val="24"/>
              </w:rPr>
              <w:t xml:space="preserve"> (pavisam kopā – 121 nodarbinātais).</w:t>
            </w:r>
          </w:p>
          <w:p w:rsidR="00AB6F4E" w:rsidRPr="00862D0F" w:rsidRDefault="00AB6F4E" w:rsidP="00227ED8">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Pr="00F324E3" w:rsidRDefault="00140597" w:rsidP="00140597">
      <w:pPr>
        <w:ind w:firstLine="0"/>
        <w:rPr>
          <w:sz w:val="24"/>
          <w:szCs w:val="24"/>
        </w:rPr>
      </w:pPr>
      <w:r w:rsidRPr="00F324E3">
        <w:rPr>
          <w:sz w:val="24"/>
          <w:szCs w:val="24"/>
        </w:rPr>
        <w:t>Iekšlietu ministrs</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proofErr w:type="gramStart"/>
      <w:r w:rsidRPr="00F324E3">
        <w:rPr>
          <w:sz w:val="24"/>
          <w:szCs w:val="24"/>
        </w:rPr>
        <w:t xml:space="preserve">    </w:t>
      </w:r>
      <w:proofErr w:type="gramEnd"/>
      <w:r w:rsidRPr="00F324E3">
        <w:rPr>
          <w:sz w:val="24"/>
          <w:szCs w:val="24"/>
        </w:rPr>
        <w:t>R.Kozlovskis</w:t>
      </w:r>
    </w:p>
    <w:p w:rsidR="00140597" w:rsidRPr="00F324E3" w:rsidRDefault="00140597" w:rsidP="00140597">
      <w:pPr>
        <w:ind w:firstLine="0"/>
        <w:rPr>
          <w:sz w:val="24"/>
          <w:szCs w:val="24"/>
        </w:rPr>
      </w:pPr>
    </w:p>
    <w:p w:rsidR="00140597" w:rsidRPr="00F324E3" w:rsidRDefault="00140597" w:rsidP="00140597">
      <w:pPr>
        <w:ind w:firstLine="0"/>
        <w:rPr>
          <w:sz w:val="24"/>
          <w:szCs w:val="24"/>
        </w:rPr>
      </w:pPr>
    </w:p>
    <w:p w:rsidR="00140597" w:rsidRPr="00F324E3" w:rsidRDefault="00140597" w:rsidP="00140597">
      <w:pPr>
        <w:ind w:firstLine="0"/>
        <w:rPr>
          <w:sz w:val="24"/>
          <w:szCs w:val="24"/>
        </w:rPr>
      </w:pPr>
      <w:r w:rsidRPr="00F324E3">
        <w:rPr>
          <w:sz w:val="24"/>
          <w:szCs w:val="24"/>
        </w:rPr>
        <w:t>Valsts sekretāre</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t xml:space="preserve">I.Pētersone </w:t>
      </w:r>
      <w:r w:rsidR="00FE68D5" w:rsidRPr="00F324E3">
        <w:rPr>
          <w:sz w:val="24"/>
          <w:szCs w:val="24"/>
        </w:rPr>
        <w:t>–</w:t>
      </w:r>
      <w:r w:rsidRPr="00F324E3">
        <w:rPr>
          <w:sz w:val="24"/>
          <w:szCs w:val="24"/>
        </w:rPr>
        <w:t xml:space="preserve"> Godmane</w:t>
      </w:r>
    </w:p>
    <w:p w:rsidR="00FE68D5" w:rsidRDefault="00FE68D5"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bookmarkStart w:id="0" w:name="_GoBack"/>
      <w:bookmarkEnd w:id="0"/>
    </w:p>
    <w:p w:rsidR="004F0008" w:rsidRDefault="004F0008" w:rsidP="00140597">
      <w:pPr>
        <w:ind w:firstLine="0"/>
      </w:pPr>
    </w:p>
    <w:p w:rsidR="004F0008" w:rsidRDefault="004F0008" w:rsidP="00140597">
      <w:pPr>
        <w:ind w:firstLine="0"/>
      </w:pPr>
    </w:p>
    <w:p w:rsidR="004F0008" w:rsidRDefault="004F0008" w:rsidP="00140597">
      <w:pPr>
        <w:ind w:firstLine="0"/>
      </w:pPr>
    </w:p>
    <w:p w:rsidR="004F0008" w:rsidRDefault="004F0008" w:rsidP="00140597">
      <w:pPr>
        <w:ind w:firstLine="0"/>
      </w:pPr>
    </w:p>
    <w:p w:rsidR="005D2A09" w:rsidRDefault="005D2A09" w:rsidP="00140597">
      <w:pPr>
        <w:ind w:firstLine="0"/>
      </w:pPr>
    </w:p>
    <w:p w:rsidR="00FE68D5" w:rsidRPr="00F324E3" w:rsidRDefault="004F0008" w:rsidP="00140597">
      <w:pPr>
        <w:ind w:firstLine="0"/>
        <w:rPr>
          <w:sz w:val="18"/>
          <w:szCs w:val="18"/>
        </w:rPr>
      </w:pPr>
      <w:r>
        <w:rPr>
          <w:sz w:val="18"/>
          <w:szCs w:val="18"/>
        </w:rPr>
        <w:t>13.11.2014. 18:18</w:t>
      </w:r>
    </w:p>
    <w:p w:rsidR="00FE68D5" w:rsidRPr="00F324E3" w:rsidRDefault="004A2AB3" w:rsidP="00140597">
      <w:pPr>
        <w:ind w:firstLine="0"/>
        <w:rPr>
          <w:sz w:val="18"/>
          <w:szCs w:val="18"/>
        </w:rPr>
      </w:pPr>
      <w:r>
        <w:rPr>
          <w:sz w:val="18"/>
          <w:szCs w:val="18"/>
        </w:rPr>
        <w:t>765</w:t>
      </w:r>
    </w:p>
    <w:p w:rsidR="00FE68D5" w:rsidRPr="00F324E3" w:rsidRDefault="00FE68D5" w:rsidP="00140597">
      <w:pPr>
        <w:ind w:firstLine="0"/>
        <w:rPr>
          <w:sz w:val="18"/>
          <w:szCs w:val="18"/>
        </w:rPr>
      </w:pPr>
      <w:proofErr w:type="spellStart"/>
      <w:r w:rsidRPr="00F324E3">
        <w:rPr>
          <w:sz w:val="18"/>
          <w:szCs w:val="18"/>
        </w:rPr>
        <w:t>Dz.Rancāne</w:t>
      </w:r>
      <w:proofErr w:type="spellEnd"/>
    </w:p>
    <w:p w:rsidR="00FE68D5" w:rsidRDefault="00683BBE" w:rsidP="00140597">
      <w:pPr>
        <w:ind w:firstLine="0"/>
        <w:rPr>
          <w:sz w:val="20"/>
          <w:szCs w:val="20"/>
        </w:rPr>
      </w:pPr>
      <w:r w:rsidRPr="00F324E3">
        <w:rPr>
          <w:sz w:val="18"/>
          <w:szCs w:val="18"/>
        </w:rPr>
        <w:t>67219419, dzintra.</w:t>
      </w:r>
      <w:r w:rsidR="00963E11" w:rsidRPr="00F324E3">
        <w:rPr>
          <w:sz w:val="18"/>
          <w:szCs w:val="18"/>
        </w:rPr>
        <w:t>rancane@iem.gov</w:t>
      </w:r>
      <w:r w:rsidR="00963E11" w:rsidRPr="00963E11">
        <w:rPr>
          <w:sz w:val="20"/>
          <w:szCs w:val="20"/>
        </w:rPr>
        <w:t>.lv</w:t>
      </w:r>
    </w:p>
    <w:sectPr w:rsidR="00FE68D5" w:rsidSect="004F000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67" w:rsidRDefault="00A63567" w:rsidP="00F3628F">
      <w:r>
        <w:separator/>
      </w:r>
    </w:p>
  </w:endnote>
  <w:endnote w:type="continuationSeparator" w:id="0">
    <w:p w:rsidR="00A63567" w:rsidRDefault="00A63567"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4F0008" w:rsidP="0027319E">
    <w:pPr>
      <w:pStyle w:val="Footer"/>
      <w:ind w:firstLine="0"/>
    </w:pPr>
    <w:r>
      <w:rPr>
        <w:sz w:val="20"/>
        <w:szCs w:val="20"/>
      </w:rPr>
      <w:t>IEMAnot_1311</w:t>
    </w:r>
    <w:r w:rsidR="000B6D6A" w:rsidRPr="0027319E">
      <w:rPr>
        <w:sz w:val="20"/>
        <w:szCs w:val="20"/>
      </w:rPr>
      <w:t>14; likumprojekta „Grozījumi Iekšlietu ministrijas sistēmas iestāžu un Ieslodzījuma vietu pārvaldes amatpersonu ar speciālajām dienesta pakāpēm</w:t>
    </w:r>
    <w:proofErr w:type="gramStart"/>
    <w:r w:rsidR="000B6D6A" w:rsidRPr="0027319E">
      <w:rPr>
        <w:sz w:val="20"/>
        <w:szCs w:val="20"/>
      </w:rPr>
      <w:t xml:space="preserve">  </w:t>
    </w:r>
    <w:proofErr w:type="gramEnd"/>
    <w:r w:rsidR="000B6D6A" w:rsidRPr="0027319E">
      <w:rPr>
        <w:sz w:val="20"/>
        <w:szCs w:val="20"/>
      </w:rPr>
      <w:t>dienesta gaitas likumā ”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4F0008" w:rsidP="0027319E">
    <w:pPr>
      <w:pStyle w:val="Footer"/>
      <w:ind w:firstLine="0"/>
      <w:rPr>
        <w:sz w:val="20"/>
        <w:szCs w:val="20"/>
      </w:rPr>
    </w:pPr>
    <w:r>
      <w:rPr>
        <w:sz w:val="20"/>
        <w:szCs w:val="20"/>
      </w:rPr>
      <w:t>IEMAnot_1311</w:t>
    </w:r>
    <w:r w:rsidR="000B6D6A">
      <w:rPr>
        <w:sz w:val="20"/>
        <w:szCs w:val="20"/>
      </w:rPr>
      <w:t>14; likumprojekta „</w:t>
    </w:r>
    <w:r w:rsidR="000B6D6A" w:rsidRPr="0027319E">
      <w:rPr>
        <w:sz w:val="20"/>
        <w:szCs w:val="20"/>
      </w:rPr>
      <w:t>Grozījumi Iekšlietu ministrijas sistēmas iestāžu un Ieslodzījuma vietu pārvaldes amatpersonu ar speciālajām dienesta pakāpēm</w:t>
    </w:r>
    <w:proofErr w:type="gramStart"/>
    <w:r w:rsidR="000B6D6A" w:rsidRPr="0027319E">
      <w:rPr>
        <w:sz w:val="20"/>
        <w:szCs w:val="20"/>
      </w:rPr>
      <w:t xml:space="preserve"> </w:t>
    </w:r>
    <w:r w:rsidR="000B6D6A">
      <w:rPr>
        <w:sz w:val="20"/>
        <w:szCs w:val="20"/>
      </w:rPr>
      <w:t xml:space="preserve"> </w:t>
    </w:r>
    <w:proofErr w:type="gramEnd"/>
    <w:r w:rsidR="000B6D6A" w:rsidRPr="0027319E">
      <w:rPr>
        <w:sz w:val="20"/>
        <w:szCs w:val="20"/>
      </w:rPr>
      <w:t>dienesta gaitas likumā</w:t>
    </w:r>
    <w:r w:rsidR="000B6D6A">
      <w:rPr>
        <w:sz w:val="20"/>
        <w:szCs w:val="20"/>
      </w:rPr>
      <w:t xml:space="preserve"> ” sākotnējās ietekmes novērtējuma ziņojums (anotācija)</w:t>
    </w:r>
    <w:r w:rsidR="000B6D6A" w:rsidRPr="0027319E">
      <w:t xml:space="preserve"> </w:t>
    </w:r>
  </w:p>
  <w:p w:rsidR="000B6D6A" w:rsidRDefault="000B6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67" w:rsidRDefault="00A63567" w:rsidP="00F3628F">
      <w:r>
        <w:separator/>
      </w:r>
    </w:p>
  </w:footnote>
  <w:footnote w:type="continuationSeparator" w:id="0">
    <w:p w:rsidR="00A63567" w:rsidRDefault="00A63567"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0B6D6A" w:rsidRDefault="000B6D6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4F0008">
          <w:rPr>
            <w:noProof/>
            <w:sz w:val="20"/>
            <w:szCs w:val="20"/>
          </w:rPr>
          <w:t>3</w:t>
        </w:r>
        <w:r w:rsidRPr="00B605EA">
          <w:rPr>
            <w:noProof/>
            <w:sz w:val="20"/>
            <w:szCs w:val="20"/>
          </w:rPr>
          <w:fldChar w:fldCharType="end"/>
        </w:r>
      </w:p>
    </w:sdtContent>
  </w:sdt>
  <w:p w:rsidR="000B6D6A" w:rsidRDefault="000B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7566F"/>
    <w:rsid w:val="00083D16"/>
    <w:rsid w:val="0008799E"/>
    <w:rsid w:val="000B6D6A"/>
    <w:rsid w:val="000C2783"/>
    <w:rsid w:val="000C3803"/>
    <w:rsid w:val="000D513D"/>
    <w:rsid w:val="000E5184"/>
    <w:rsid w:val="000E7ED0"/>
    <w:rsid w:val="000F2ED3"/>
    <w:rsid w:val="00117967"/>
    <w:rsid w:val="00125FE8"/>
    <w:rsid w:val="0013550B"/>
    <w:rsid w:val="0013569A"/>
    <w:rsid w:val="00140597"/>
    <w:rsid w:val="00151C8F"/>
    <w:rsid w:val="00161FC1"/>
    <w:rsid w:val="00170975"/>
    <w:rsid w:val="00171E4F"/>
    <w:rsid w:val="00183AE1"/>
    <w:rsid w:val="00184F77"/>
    <w:rsid w:val="001A4487"/>
    <w:rsid w:val="001B2B71"/>
    <w:rsid w:val="001B3111"/>
    <w:rsid w:val="001D510D"/>
    <w:rsid w:val="001D5646"/>
    <w:rsid w:val="001D681A"/>
    <w:rsid w:val="001E4331"/>
    <w:rsid w:val="00205CD5"/>
    <w:rsid w:val="0021213F"/>
    <w:rsid w:val="00223DEF"/>
    <w:rsid w:val="00224D56"/>
    <w:rsid w:val="00227ED8"/>
    <w:rsid w:val="00243873"/>
    <w:rsid w:val="0027319E"/>
    <w:rsid w:val="0027455A"/>
    <w:rsid w:val="002A1F02"/>
    <w:rsid w:val="002A3D3A"/>
    <w:rsid w:val="002A3E2F"/>
    <w:rsid w:val="002C01C2"/>
    <w:rsid w:val="002D2B36"/>
    <w:rsid w:val="00303BDB"/>
    <w:rsid w:val="00306461"/>
    <w:rsid w:val="003102AA"/>
    <w:rsid w:val="003235AA"/>
    <w:rsid w:val="003417A9"/>
    <w:rsid w:val="003456B7"/>
    <w:rsid w:val="0036204A"/>
    <w:rsid w:val="00384B29"/>
    <w:rsid w:val="003B154A"/>
    <w:rsid w:val="003D6EA8"/>
    <w:rsid w:val="0044584E"/>
    <w:rsid w:val="004701FD"/>
    <w:rsid w:val="00476B02"/>
    <w:rsid w:val="00476E9D"/>
    <w:rsid w:val="004A2AB3"/>
    <w:rsid w:val="004E445D"/>
    <w:rsid w:val="004F0008"/>
    <w:rsid w:val="004F55B2"/>
    <w:rsid w:val="004F62C2"/>
    <w:rsid w:val="00507BA0"/>
    <w:rsid w:val="005401E9"/>
    <w:rsid w:val="00547481"/>
    <w:rsid w:val="00570FDD"/>
    <w:rsid w:val="00571B50"/>
    <w:rsid w:val="00573918"/>
    <w:rsid w:val="00580DDF"/>
    <w:rsid w:val="00583CFA"/>
    <w:rsid w:val="005937BE"/>
    <w:rsid w:val="005A0639"/>
    <w:rsid w:val="005A2741"/>
    <w:rsid w:val="005B2701"/>
    <w:rsid w:val="005D2A09"/>
    <w:rsid w:val="005E36D1"/>
    <w:rsid w:val="006020DB"/>
    <w:rsid w:val="00616CC7"/>
    <w:rsid w:val="00623A32"/>
    <w:rsid w:val="006462A7"/>
    <w:rsid w:val="00650FCB"/>
    <w:rsid w:val="0065383C"/>
    <w:rsid w:val="006569DF"/>
    <w:rsid w:val="00683BBE"/>
    <w:rsid w:val="00687DEE"/>
    <w:rsid w:val="006B1E66"/>
    <w:rsid w:val="006C2629"/>
    <w:rsid w:val="006C7180"/>
    <w:rsid w:val="006C76BC"/>
    <w:rsid w:val="006F223E"/>
    <w:rsid w:val="00715FE0"/>
    <w:rsid w:val="0073700E"/>
    <w:rsid w:val="00745833"/>
    <w:rsid w:val="007536A2"/>
    <w:rsid w:val="00761B14"/>
    <w:rsid w:val="007747B8"/>
    <w:rsid w:val="007A6926"/>
    <w:rsid w:val="007B1B53"/>
    <w:rsid w:val="007B4864"/>
    <w:rsid w:val="007E0AEF"/>
    <w:rsid w:val="007E4654"/>
    <w:rsid w:val="00800BE8"/>
    <w:rsid w:val="00801BA8"/>
    <w:rsid w:val="008230AB"/>
    <w:rsid w:val="00850A1C"/>
    <w:rsid w:val="008544FC"/>
    <w:rsid w:val="00862D0F"/>
    <w:rsid w:val="008773AE"/>
    <w:rsid w:val="0088221C"/>
    <w:rsid w:val="00887DF1"/>
    <w:rsid w:val="0089767B"/>
    <w:rsid w:val="008A1945"/>
    <w:rsid w:val="008C16EE"/>
    <w:rsid w:val="008C4C8F"/>
    <w:rsid w:val="008D5E43"/>
    <w:rsid w:val="00902BE1"/>
    <w:rsid w:val="00907B1F"/>
    <w:rsid w:val="00911F54"/>
    <w:rsid w:val="00915D58"/>
    <w:rsid w:val="0093561F"/>
    <w:rsid w:val="009408A6"/>
    <w:rsid w:val="009456ED"/>
    <w:rsid w:val="009566B4"/>
    <w:rsid w:val="009629B8"/>
    <w:rsid w:val="00963E11"/>
    <w:rsid w:val="009831B1"/>
    <w:rsid w:val="009B2E47"/>
    <w:rsid w:val="009B479F"/>
    <w:rsid w:val="009C1D16"/>
    <w:rsid w:val="009C2E2B"/>
    <w:rsid w:val="00A24594"/>
    <w:rsid w:val="00A26085"/>
    <w:rsid w:val="00A34EAF"/>
    <w:rsid w:val="00A51ADE"/>
    <w:rsid w:val="00A63567"/>
    <w:rsid w:val="00A900F4"/>
    <w:rsid w:val="00A932CC"/>
    <w:rsid w:val="00A9559E"/>
    <w:rsid w:val="00A974F2"/>
    <w:rsid w:val="00AB1865"/>
    <w:rsid w:val="00AB6F4E"/>
    <w:rsid w:val="00AD7791"/>
    <w:rsid w:val="00AF1141"/>
    <w:rsid w:val="00AF2B4C"/>
    <w:rsid w:val="00AF670C"/>
    <w:rsid w:val="00AF7FCC"/>
    <w:rsid w:val="00B16423"/>
    <w:rsid w:val="00B21D01"/>
    <w:rsid w:val="00B262F8"/>
    <w:rsid w:val="00B30091"/>
    <w:rsid w:val="00B4165F"/>
    <w:rsid w:val="00B605EA"/>
    <w:rsid w:val="00B71E9C"/>
    <w:rsid w:val="00B75620"/>
    <w:rsid w:val="00B92E24"/>
    <w:rsid w:val="00BA5524"/>
    <w:rsid w:val="00BC2B47"/>
    <w:rsid w:val="00BE22DB"/>
    <w:rsid w:val="00BE6D54"/>
    <w:rsid w:val="00BF4C08"/>
    <w:rsid w:val="00BF65AB"/>
    <w:rsid w:val="00C00BF4"/>
    <w:rsid w:val="00C20E26"/>
    <w:rsid w:val="00C22A7A"/>
    <w:rsid w:val="00C42DF6"/>
    <w:rsid w:val="00C46783"/>
    <w:rsid w:val="00C56FBF"/>
    <w:rsid w:val="00C6177A"/>
    <w:rsid w:val="00C75CD7"/>
    <w:rsid w:val="00CB0FEC"/>
    <w:rsid w:val="00CE60DB"/>
    <w:rsid w:val="00CE71EC"/>
    <w:rsid w:val="00D05274"/>
    <w:rsid w:val="00D0737C"/>
    <w:rsid w:val="00D12AF7"/>
    <w:rsid w:val="00D4453F"/>
    <w:rsid w:val="00D446B1"/>
    <w:rsid w:val="00D63A07"/>
    <w:rsid w:val="00D847A7"/>
    <w:rsid w:val="00D87E7A"/>
    <w:rsid w:val="00D910B0"/>
    <w:rsid w:val="00DA15E1"/>
    <w:rsid w:val="00DA192D"/>
    <w:rsid w:val="00DB0ED8"/>
    <w:rsid w:val="00DB7EEE"/>
    <w:rsid w:val="00DD22B3"/>
    <w:rsid w:val="00DE0A42"/>
    <w:rsid w:val="00DF183D"/>
    <w:rsid w:val="00E10585"/>
    <w:rsid w:val="00E21D7E"/>
    <w:rsid w:val="00E70813"/>
    <w:rsid w:val="00E74E15"/>
    <w:rsid w:val="00E750BC"/>
    <w:rsid w:val="00E82B4F"/>
    <w:rsid w:val="00E82B7F"/>
    <w:rsid w:val="00EB0963"/>
    <w:rsid w:val="00EB7CA3"/>
    <w:rsid w:val="00EC1DC1"/>
    <w:rsid w:val="00EE266C"/>
    <w:rsid w:val="00EF35E7"/>
    <w:rsid w:val="00EF52DE"/>
    <w:rsid w:val="00F26636"/>
    <w:rsid w:val="00F27D76"/>
    <w:rsid w:val="00F324E3"/>
    <w:rsid w:val="00F3628F"/>
    <w:rsid w:val="00F37DCD"/>
    <w:rsid w:val="00F705E3"/>
    <w:rsid w:val="00F72B78"/>
    <w:rsid w:val="00F81D8F"/>
    <w:rsid w:val="00F8250F"/>
    <w:rsid w:val="00F83BDB"/>
    <w:rsid w:val="00F953D7"/>
    <w:rsid w:val="00FC7F75"/>
    <w:rsid w:val="00FD2CBB"/>
    <w:rsid w:val="00FD61B9"/>
    <w:rsid w:val="00FE2963"/>
    <w:rsid w:val="00FE68D5"/>
    <w:rsid w:val="00FF0BC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48A7-B22E-44FF-A87C-36B3CA23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4192</Words>
  <Characters>2391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Dzintra Rancāne</cp:lastModifiedBy>
  <cp:revision>89</cp:revision>
  <cp:lastPrinted>2014-03-21T08:34:00Z</cp:lastPrinted>
  <dcterms:created xsi:type="dcterms:W3CDTF">2014-04-09T05:59:00Z</dcterms:created>
  <dcterms:modified xsi:type="dcterms:W3CDTF">2014-11-13T16:18:00Z</dcterms:modified>
</cp:coreProperties>
</file>