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4" w:rsidRPr="00151811" w:rsidRDefault="005D4754" w:rsidP="005D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1811">
        <w:rPr>
          <w:rFonts w:ascii="Times New Roman" w:eastAsia="Times New Roman" w:hAnsi="Times New Roman" w:cs="Times New Roman"/>
          <w:b/>
          <w:sz w:val="28"/>
          <w:szCs w:val="28"/>
        </w:rPr>
        <w:t>Ministr</w:t>
      </w:r>
      <w:r w:rsidR="00663BA2" w:rsidRPr="00151811">
        <w:rPr>
          <w:rFonts w:ascii="Times New Roman" w:eastAsia="Times New Roman" w:hAnsi="Times New Roman" w:cs="Times New Roman"/>
          <w:b/>
          <w:sz w:val="28"/>
          <w:szCs w:val="28"/>
        </w:rPr>
        <w:t>u kabineta noteikumu projekta „</w:t>
      </w:r>
      <w:r w:rsidR="00217F43">
        <w:rPr>
          <w:rFonts w:ascii="Times New Roman" w:eastAsia="Times New Roman" w:hAnsi="Times New Roman" w:cs="Times New Roman"/>
          <w:b/>
          <w:sz w:val="28"/>
          <w:szCs w:val="28"/>
        </w:rPr>
        <w:t>Kontrolšāvienu ar vītņstobra šaujamieročiem izdarīšanas kārtība un valsts nodevas maksāšanas kārtība un apmērs</w:t>
      </w:r>
      <w:r w:rsidRPr="00151811">
        <w:rPr>
          <w:rFonts w:ascii="Times New Roman" w:eastAsia="Times New Roman" w:hAnsi="Times New Roman" w:cs="Times New Roman"/>
          <w:b/>
          <w:sz w:val="28"/>
          <w:szCs w:val="28"/>
        </w:rPr>
        <w:t>” sākotnējās ietekmes novērtējuma ziņojums (anotācija)</w:t>
      </w:r>
    </w:p>
    <w:p w:rsidR="005D4754" w:rsidRPr="00151811" w:rsidRDefault="005D4754" w:rsidP="005D4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735"/>
        <w:gridCol w:w="6181"/>
      </w:tblGrid>
      <w:tr w:rsidR="005D4754" w:rsidRPr="00151811" w:rsidTr="00502556">
        <w:trPr>
          <w:trHeight w:val="419"/>
        </w:trPr>
        <w:tc>
          <w:tcPr>
            <w:tcW w:w="5000" w:type="pct"/>
            <w:gridSpan w:val="3"/>
            <w:vAlign w:val="center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D4754" w:rsidRPr="00151811" w:rsidTr="00502556">
        <w:trPr>
          <w:trHeight w:val="415"/>
        </w:trPr>
        <w:tc>
          <w:tcPr>
            <w:tcW w:w="230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63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307" w:type="pct"/>
          </w:tcPr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Ieroču un speciālo līdzekļu aprites likuma 48.panta otrā un piektā daļa. 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54" w:rsidRPr="00151811" w:rsidTr="00502556">
        <w:trPr>
          <w:trHeight w:val="472"/>
        </w:trPr>
        <w:tc>
          <w:tcPr>
            <w:tcW w:w="230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63" w:type="pct"/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07" w:type="pct"/>
          </w:tcPr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Likums “Grozījumi Ieroču un speciālo līdzekļu aprites likumā” (turpmāk – likums), kas Saeimā pieņemts 2014.gada 6.februārī un stājies spēkā 2014.gada 7.martā, paredz, ka par kontrolšāvienu izdarīšanu ar vītņstobra šaujamieroci maksājama valsts nodeva. Valsts nodevas apmēru un maksāšanas kārtību nosaka Ministru kabinets.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Ministru kabineta noteikumu projekts “</w:t>
            </w:r>
            <w:r w:rsidR="00A9131B">
              <w:rPr>
                <w:rFonts w:ascii="Times New Roman" w:eastAsia="Times New Roman" w:hAnsi="Times New Roman" w:cs="Times New Roman"/>
                <w:sz w:val="24"/>
                <w:szCs w:val="24"/>
              </w:rPr>
              <w:t>Kontrolšāvienu ar vītņstobra šaujamieročiem izdarīšanas kārtība un valsts nodevas maksāšanas kārtība un apmērs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” (turpmāk – Noteikumu projekts) izstrādāts, lai nodrošinātu Ministru kabinetam Ieroču un speciālo līdzekļu aprites likuma 48.panta piektajā daļā noteikto pilnvarojuma izpildi.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paredz, ka: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par kontrolšāvienu izdarīšanu ar vītņstobra šaujamieroci maksājama valsts nodeva 73,50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apmērā;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valsts nodevas maksājumu veic ar maksājumu pakalpojumu sniedzēja starpniecību, kuram ir tiesības sniegt maksājumu pakalpojumus Maksājumu pakalpojumu un elektroniskās naudas likuma izpratnē; 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- valsts nodevu ieskaita valsts pamatbudžeta ieņēmumos</w:t>
            </w:r>
            <w:r w:rsidR="00BD2858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3732" w:rsidRPr="00151811" w:rsidRDefault="00C53732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Pašlaik saskaņā ar Ministru kabineta 2014.gada 3.jūnija noteikumiem Nr.274 “Kārtība, kādā izdara kontrolšāvienus ar vītņstobra šaujamieročiem” fiziskās un juridiskās personas</w:t>
            </w:r>
            <w:r w:rsidR="003016D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kontrolšāviena izdarīšanu ar vītņstobra šaujamieroci veic maksājumu saskaņā ar Valsts policijas maksas pakalpojumu cenrādi.</w:t>
            </w:r>
          </w:p>
        </w:tc>
      </w:tr>
      <w:tr w:rsidR="005D4754" w:rsidRPr="00151811" w:rsidTr="00502556">
        <w:trPr>
          <w:trHeight w:val="476"/>
        </w:trPr>
        <w:tc>
          <w:tcPr>
            <w:tcW w:w="230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63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07" w:type="pct"/>
          </w:tcPr>
          <w:p w:rsidR="005D4754" w:rsidRPr="00151811" w:rsidRDefault="005D4754" w:rsidP="005D4754">
            <w:pPr>
              <w:spacing w:beforeAutospacing="1" w:after="120" w:afterAutospacing="1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ministrija, Valsts policija.</w:t>
            </w:r>
          </w:p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54" w:rsidRPr="00151811" w:rsidTr="00502556">
        <w:tc>
          <w:tcPr>
            <w:tcW w:w="230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63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7" w:type="pct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797"/>
      </w:tblGrid>
      <w:tr w:rsidR="005D4754" w:rsidRPr="00151811" w:rsidTr="00502556">
        <w:trPr>
          <w:trHeight w:val="556"/>
        </w:trPr>
        <w:tc>
          <w:tcPr>
            <w:tcW w:w="9341" w:type="dxa"/>
            <w:gridSpan w:val="3"/>
            <w:vAlign w:val="center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D4754" w:rsidRPr="00151811" w:rsidTr="00502556">
        <w:trPr>
          <w:trHeight w:val="467"/>
        </w:trPr>
        <w:tc>
          <w:tcPr>
            <w:tcW w:w="568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6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797" w:type="dxa"/>
          </w:tcPr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color w:val="000000"/>
                <w:sz w:val="24"/>
                <w:szCs w:val="19"/>
              </w:rPr>
              <w:t>Fiziskās un juridiskās personas, kuras iesniegs Valsts policijā vītņstobra šaujamieroci kontrolšāvienu izdarīšanai.</w:t>
            </w:r>
          </w:p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Mērķgrupas aptuvenais skaitliskais lielums:</w:t>
            </w:r>
          </w:p>
          <w:p w:rsidR="005D4754" w:rsidRPr="00151811" w:rsidRDefault="00BD2858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ontrolšāvieni ar vītņstobra šaujamieroci par maksu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veikti</w:t>
            </w:r>
          </w:p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2009.gadā – 8 048 reizes;</w:t>
            </w:r>
          </w:p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2010.gadā – 6 263 reizes; </w:t>
            </w:r>
          </w:p>
          <w:p w:rsidR="001A55EC" w:rsidRPr="00151811" w:rsidRDefault="001A55EC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2011.gadā – 1 668 reizes;</w:t>
            </w:r>
          </w:p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2012.gadā – 1 522 reizes;</w:t>
            </w:r>
          </w:p>
          <w:p w:rsidR="005D4754" w:rsidRPr="00151811" w:rsidRDefault="005D4754" w:rsidP="005D475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2013.gadā – 2 690 reizes.</w:t>
            </w:r>
          </w:p>
          <w:p w:rsidR="005D4754" w:rsidRPr="00151811" w:rsidRDefault="005D4754" w:rsidP="00745884">
            <w:pPr>
              <w:tabs>
                <w:tab w:val="left" w:pos="13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2014.gadā </w:t>
            </w:r>
            <w:r w:rsidR="00745884"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astoņos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mēnešos kontrolšāvieni veikti </w:t>
            </w:r>
            <w:r w:rsidR="00745884"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4 054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reizes</w:t>
            </w:r>
            <w:r w:rsidR="00696FFD"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5D4754" w:rsidRPr="00151811" w:rsidTr="00502556">
        <w:trPr>
          <w:trHeight w:val="523"/>
        </w:trPr>
        <w:tc>
          <w:tcPr>
            <w:tcW w:w="568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2976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797" w:type="dxa"/>
          </w:tcPr>
          <w:p w:rsidR="005D4754" w:rsidRPr="00151811" w:rsidRDefault="00BD2858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:rsidR="005D4754" w:rsidRPr="00151811" w:rsidTr="00502556">
        <w:trPr>
          <w:trHeight w:val="1833"/>
        </w:trPr>
        <w:tc>
          <w:tcPr>
            <w:tcW w:w="568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6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797" w:type="dxa"/>
          </w:tcPr>
          <w:p w:rsidR="005D4754" w:rsidRPr="00151811" w:rsidRDefault="005D4754" w:rsidP="0008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</w:t>
            </w:r>
            <w:r w:rsidR="001A55EC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ie resursi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 kas pašlaik tiek novirzīt</w:t>
            </w:r>
            <w:r w:rsidR="001A55EC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83C7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ieņēmumu </w:t>
            </w:r>
            <w:r w:rsidR="00BD2858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 maksas pakalpojuma uzskaites nodrošināšanai</w:t>
            </w:r>
            <w:r w:rsidR="001A55EC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turpmāk tiks novirzīt</w:t>
            </w:r>
            <w:r w:rsidR="00083C7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ieņēmumu no valsts nodevas </w:t>
            </w:r>
            <w:r w:rsidR="00BD2858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uzskaitei un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kontrolei</w:t>
            </w:r>
            <w:r w:rsidR="00083C7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754" w:rsidRPr="00151811" w:rsidTr="00502556">
        <w:trPr>
          <w:trHeight w:val="357"/>
        </w:trPr>
        <w:tc>
          <w:tcPr>
            <w:tcW w:w="568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6" w:type="dxa"/>
          </w:tcPr>
          <w:p w:rsidR="005D4754" w:rsidRPr="00151811" w:rsidRDefault="005D4754" w:rsidP="005D4754">
            <w:pPr>
              <w:spacing w:beforeAutospacing="1" w:after="0" w:afterAutospacing="1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797" w:type="dxa"/>
          </w:tcPr>
          <w:p w:rsidR="005D4754" w:rsidRPr="00151811" w:rsidRDefault="005D4754" w:rsidP="005D47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5181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44"/>
        <w:gridCol w:w="1195"/>
        <w:gridCol w:w="1418"/>
        <w:gridCol w:w="1417"/>
        <w:gridCol w:w="1276"/>
        <w:gridCol w:w="1593"/>
      </w:tblGrid>
      <w:tr w:rsidR="005D4754" w:rsidRPr="00151811" w:rsidTr="00502556"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D4754" w:rsidRPr="00151811" w:rsidTr="00502556"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2014.gads</w:t>
            </w:r>
          </w:p>
        </w:tc>
        <w:tc>
          <w:tcPr>
            <w:tcW w:w="4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Turpmākie trīs gadi (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754" w:rsidRPr="00151811" w:rsidTr="00502556"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2015.gads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2016.gads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2017.gads</w:t>
            </w:r>
          </w:p>
        </w:tc>
      </w:tr>
      <w:tr w:rsidR="005D4754" w:rsidRPr="00151811" w:rsidTr="00502556">
        <w:tc>
          <w:tcPr>
            <w:tcW w:w="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budžetu kārtējam gadam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(2014.) gadu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(2014.) gadu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Izmaiņas, salīdzinot ar kārtējo (2014.) gadu</w:t>
            </w:r>
          </w:p>
        </w:tc>
      </w:tr>
      <w:tr w:rsidR="005D4754" w:rsidRPr="00151811" w:rsidTr="00502556">
        <w:trPr>
          <w:trHeight w:val="39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4754" w:rsidRPr="00151811" w:rsidTr="00502556">
        <w:trPr>
          <w:trHeight w:val="389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1. Budžeta ieņēmumi: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405 205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353 314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353 314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1.1. valsts pamatbudžets, tai skaitā ieņēmumi no maksas pakalpojumiem un citi pašu ieņēmumi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4754" w:rsidRPr="00151811" w:rsidRDefault="00024C97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405 205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353 314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353 314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1.2. valsts speciālais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1.3. pašvaldību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4754" w:rsidRPr="00151811" w:rsidTr="00502556">
        <w:trPr>
          <w:trHeight w:val="345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2. Budžeta izdevumi: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024C97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A925FE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337 709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A925FE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294 463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A925FE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294 463</w:t>
            </w:r>
          </w:p>
        </w:tc>
      </w:tr>
      <w:tr w:rsidR="00EB239B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2.1. valsts pamatbudžets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9B" w:rsidRPr="00151811" w:rsidRDefault="00024C97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9B" w:rsidRPr="00151811" w:rsidRDefault="00EB239B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9B" w:rsidRPr="00151811" w:rsidRDefault="00A925FE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337 709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39B" w:rsidRPr="00151811" w:rsidRDefault="00A925FE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294 463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39B" w:rsidRPr="00151811" w:rsidRDefault="00A925FE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294 463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2.2. valsts speciālais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4754" w:rsidRPr="00151811" w:rsidTr="00502556">
        <w:trPr>
          <w:trHeight w:val="61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2.3. pašvaldību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5D4754" w:rsidRPr="00151811" w:rsidTr="00502556">
        <w:trPr>
          <w:trHeight w:val="4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3. Finansiālā ietekme: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EB239B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67 496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E672F9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E672F9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3.1. valsts pamatbudžets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EB239B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67 496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E672F9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E672F9" w:rsidP="005D475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</w:tr>
      <w:tr w:rsidR="005D4754" w:rsidRPr="00151811" w:rsidTr="00502556">
        <w:trPr>
          <w:trHeight w:val="417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3.2. speciālais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3.3. pašvaldību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4. Finanšu līdzekļi papildu izde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vumu finansēšanai (kompensējošu izdevumu samazinājumu norāda ar "+" zīmi)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239B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5. Precizēta finansiālā ietekme: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67 496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404DF6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9B" w:rsidRPr="00151811" w:rsidRDefault="00404DF6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</w:tr>
      <w:tr w:rsidR="00EB239B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5.1. valsts pamatbudžets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EB239B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67 496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39B" w:rsidRPr="00151811" w:rsidRDefault="00404DF6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39B" w:rsidRPr="00151811" w:rsidRDefault="00404DF6" w:rsidP="00EB239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58 851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5.2. speciālais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 5.3. pašvaldību budžets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754" w:rsidRPr="00151811" w:rsidTr="00502556">
        <w:trPr>
          <w:trHeight w:val="1973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6. Detalizēts ieņēmumu un izdevu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68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F14F1E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Likumprojektam “Grozījumi likumā “Par nodokļiem un nodevām”” (TA – 293) pievienotajā anotācijā tika iekļauta sākotnēji prognozētā informācija par ieņēmumiem no valsts nodevas par kontrolšāvieniem ar vītņstobra šaujamieroci </w:t>
            </w:r>
            <w:r w:rsidR="00262DDE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izdarīšanu (1693 kontrolšāvieni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124 436 </w:t>
            </w:r>
            <w:proofErr w:type="spellStart"/>
            <w:r w:rsidR="00262DDE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) un Valsts policija</w:t>
            </w:r>
            <w:r w:rsidR="00262DDE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 nepieciešamajiem izdevumiem (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121 636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). Tādējādi šīs anotācijas III sadaļas 1. – 5. punktā iekļauta informācija, kas saistīta ar papildu ieņēmumiem un izdevumiem, ņemot vērā precizēto kontrolšāvienu skaitu (2015. gadā – papildu 5 513 kontrolšāvieni, 2016.gadā un turpmāk – papildu 4807 kontrolšāvieni)</w:t>
            </w:r>
            <w:r w:rsidR="00262DDE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Stājoties spēkā likumam „Ieroču un speciālo līdzekļu aprites likums”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2011.gada 1.janvāri tika atcelta prasība reizi piecos gados reģistrētajiem vītņstobra šaujamieročiem veikt kontrolšāvienus. 2013.gadā 1.oktobrī ar grozījumiem minētajā likumā, kuri pieņemti 2013.gada 13.jūnijā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šī prasība tika atjaunota un ar minēto datumu par maksu (Valsts policijas sniegtais maksas pakalpojums) tika atsākta visu A kategorijas vītņstobra šaujamieroču un pašaizsardzībai reģistrētu B kategorijas pusautomātisko un atkārtotas darbības vai viena šāviena īsstobra šaujamieroču kontrolšāviena izdarīšana Valsts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policijā. Prognozēts, kā līdz 2015.gada beigām kontrolšāv</w:t>
            </w:r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eni ir jāveic aptuveni 9 000 </w:t>
            </w:r>
            <w:r w:rsidR="00696FFD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vītņstobra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šaujamieročiem.  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Vidēji vienā dienā tiek veikti 23 kontrolšāvieni. Līdz ar to 2014.gadā prognozējams, ka vēl tiks veikti 1 794 kontrolšāvieni (23 kontrolšāvieni dienā x 78 darba dienas no 2014.gada 12.septembra līdz 2014.gada beigām = 1 794 kontrolšāvieni).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Savukārt 2015.gadā tiek plānots veikt 7 206 kontrolšāvienus ar vītņstobra šaujamieroci: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9000 - 1794 = 7 206 kontrolšāvieni.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Turpmākajos gados, tiek plānots, ka kontrolšāvienu skaits samazināsies un sastādīs vidēji 6 500 kontrolšāvienus gadā (aprēķināts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ņemot vērā veiktos kontrolšāvienus par maksu 2009. un 2010.gadā un Valsts policijas Kriminālistikas pārvaldes kapacitāti).   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6.1. Prognozētie valsts pamatbudžeta ieņēmumi no valsts nodevas par kontrolšāviena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izdarīšanu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ar vītņstobra šaujamieroci.</w:t>
            </w:r>
          </w:p>
          <w:p w:rsidR="006D7EB3" w:rsidRPr="00151811" w:rsidRDefault="006D7EB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54" w:rsidRPr="00151811" w:rsidRDefault="00930F16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Nodevas apmērs – 73,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4754" w:rsidRPr="00151811" w:rsidRDefault="003470D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Nodevas apmēra </w:t>
            </w:r>
            <w:r w:rsidR="00696FFD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aprēķins,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pievienots likumprojekta „Grozījumi likumā „Par nodokļiem un nodevām”” sākotnējās ietekmes novērtējuma ziņojuma (anotācijas) pielikumā (izskatīts Ministru kabineta 2014.gada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25.martā sēdē, prot. Nr.18, 6§).</w:t>
            </w:r>
          </w:p>
          <w:p w:rsidR="003470D4" w:rsidRPr="00151811" w:rsidRDefault="003470D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2015.gadā - 73,50 x 7 206 kontrolšāvieni = 529 641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2016.gadā un turpmāk ik gadu –</w:t>
            </w:r>
            <w:r w:rsidR="00B414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73,50 x 6 500 kontrolšāvieni =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477 750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A6509F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likumu „Par valsts budžetu 2014.gadam”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Iekšlietu ministrijas budžeta apakšprogramma 06.01.00 „Valsts policija”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plānoti ieņēmumi no maksas pakalpojumiem 48 595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bet faktiskie ieņēmumi 2014.gada 8 mēnešos sastāda 248</w:t>
            </w:r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240 </w:t>
            </w:r>
            <w:proofErr w:type="spellStart"/>
            <w:r w:rsidR="006D7EB3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 Savukārt likumprojektā „Par valsts budžetu 2015.gadam” un likumprojektā „Par vidēja termiņa budžeta ietvaru 2015., 2016., un 201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.gadam”, pamatojoties uz Ministru kabineta 2014.gada 25.marta sēdē (prot. Nr.18, 6§, 4.punkts)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nolemto</w:t>
            </w:r>
            <w:r w:rsidR="00120F8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14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paredzēti</w:t>
            </w:r>
            <w:proofErr w:type="gramEnd"/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pamatbudžeta ieņēmumi no valsts nodevas par kontrolšāvienu izdarīšanu ar vītņstobra šaujamieroci 124 436 </w:t>
            </w:r>
            <w:proofErr w:type="spellStart"/>
            <w:r w:rsidR="006D7EB3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D7EB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 (prot. Nr.18, 6§, 3.2.1.apakšpunkts).</w:t>
            </w:r>
          </w:p>
          <w:p w:rsidR="00A24713" w:rsidRPr="00151811" w:rsidRDefault="00A2471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13" w:rsidRPr="00151811" w:rsidRDefault="00A2471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Precizētie valsts pamatbudžeta ieņēmumi no valsts nodevas par kontrolšāviena izdarīšanu ar vītņstobra šaujamieroci</w:t>
            </w:r>
            <w:r w:rsidR="003F0D5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4713" w:rsidRPr="00151811" w:rsidRDefault="00A2471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13" w:rsidRPr="00151811" w:rsidRDefault="00A2471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6786" w:type="dxa"/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993"/>
              <w:gridCol w:w="992"/>
              <w:gridCol w:w="992"/>
              <w:gridCol w:w="992"/>
              <w:gridCol w:w="993"/>
              <w:gridCol w:w="850"/>
            </w:tblGrid>
            <w:tr w:rsidR="00A24713" w:rsidRPr="00151811" w:rsidTr="0072657D">
              <w:tc>
                <w:tcPr>
                  <w:tcW w:w="974" w:type="dxa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977" w:type="dxa"/>
                  <w:gridSpan w:val="3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2015.gads</w:t>
                  </w:r>
                </w:p>
              </w:tc>
              <w:tc>
                <w:tcPr>
                  <w:tcW w:w="2835" w:type="dxa"/>
                  <w:gridSpan w:val="3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2016.gads un turpmāk</w:t>
                  </w:r>
                </w:p>
              </w:tc>
            </w:tr>
            <w:tr w:rsidR="00A24713" w:rsidRPr="00151811" w:rsidTr="0072657D">
              <w:tc>
                <w:tcPr>
                  <w:tcW w:w="974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Precizētais aprēķins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Saskaņā ar MK 25.03.2014 sēdē nolemto (prot. Nr.18, 6§).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Papildu ieņēmumi no valsts nodevas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Precizētais aprēķins</w:t>
                  </w:r>
                </w:p>
              </w:tc>
              <w:tc>
                <w:tcPr>
                  <w:tcW w:w="993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Saskaņā ar MK 25.03. 2014 sēdē nolemto (prot. Nr.18, 6§).</w:t>
                  </w:r>
                </w:p>
              </w:tc>
              <w:tc>
                <w:tcPr>
                  <w:tcW w:w="850" w:type="dxa"/>
                </w:tcPr>
                <w:p w:rsidR="00A24713" w:rsidRPr="00151811" w:rsidRDefault="00A24713" w:rsidP="0072657D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Papildu ieņēmumi no valsts nodevas</w:t>
                  </w:r>
                </w:p>
              </w:tc>
            </w:tr>
            <w:tr w:rsidR="00A24713" w:rsidRPr="00151811" w:rsidTr="0072657D">
              <w:tc>
                <w:tcPr>
                  <w:tcW w:w="974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993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2.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3.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4.(2.-3.)</w:t>
                  </w:r>
                </w:p>
              </w:tc>
              <w:tc>
                <w:tcPr>
                  <w:tcW w:w="992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5.</w:t>
                  </w:r>
                </w:p>
              </w:tc>
              <w:tc>
                <w:tcPr>
                  <w:tcW w:w="993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6.</w:t>
                  </w:r>
                </w:p>
              </w:tc>
              <w:tc>
                <w:tcPr>
                  <w:tcW w:w="850" w:type="dxa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7.(5.-6.)</w:t>
                  </w:r>
                </w:p>
              </w:tc>
            </w:tr>
            <w:tr w:rsidR="00A24713" w:rsidRPr="00151811" w:rsidTr="0072657D">
              <w:tc>
                <w:tcPr>
                  <w:tcW w:w="974" w:type="dxa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Ieņēmumi no valsts nodevas</w:t>
                  </w:r>
                </w:p>
              </w:tc>
              <w:tc>
                <w:tcPr>
                  <w:tcW w:w="993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529 641</w:t>
                  </w:r>
                </w:p>
              </w:tc>
              <w:tc>
                <w:tcPr>
                  <w:tcW w:w="992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124 436</w:t>
                  </w:r>
                </w:p>
              </w:tc>
              <w:tc>
                <w:tcPr>
                  <w:tcW w:w="992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405 205</w:t>
                  </w:r>
                </w:p>
              </w:tc>
              <w:tc>
                <w:tcPr>
                  <w:tcW w:w="992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477 750</w:t>
                  </w:r>
                </w:p>
              </w:tc>
              <w:tc>
                <w:tcPr>
                  <w:tcW w:w="993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124 436</w:t>
                  </w:r>
                </w:p>
              </w:tc>
              <w:tc>
                <w:tcPr>
                  <w:tcW w:w="850" w:type="dxa"/>
                </w:tcPr>
                <w:p w:rsidR="00A24713" w:rsidRPr="00151811" w:rsidRDefault="0072657D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353 314</w:t>
                  </w:r>
                </w:p>
              </w:tc>
            </w:tr>
          </w:tbl>
          <w:p w:rsidR="006D7EB3" w:rsidRPr="00151811" w:rsidRDefault="006D7EB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EB3" w:rsidRPr="00151811" w:rsidRDefault="006D7EB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6.2. Izdevumi, kas saistīti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ar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Valsts policijas darbību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kontrolšāvienu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izdarīšan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ai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ar vītņstobra šaujamieroci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un valsts nodevas administrēšanu.</w:t>
            </w:r>
          </w:p>
          <w:p w:rsidR="006D7EB3" w:rsidRPr="00151811" w:rsidRDefault="006D7EB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7EB3" w:rsidRPr="00151811" w:rsidRDefault="006D7EB3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Pieaugot 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kontrolšāvienu ar vītņstobra šaujamieroci skaitam</w:t>
            </w:r>
            <w:r w:rsidR="004D18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 pieaug arī izmaksas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 kas saistītas ar Valsts policijas darbību</w:t>
            </w:r>
            <w:r w:rsidR="004D18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 Valsts policijas ieņēmumi no maks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pakalpojumiem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2014.gadā 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tiek novirzīti</w:t>
            </w:r>
            <w:r w:rsidR="004D18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pakalpojumu sniegšanu saistīto izdevumu segšanai.</w:t>
            </w:r>
          </w:p>
          <w:p w:rsidR="00A6509F" w:rsidRPr="00151811" w:rsidRDefault="00A6509F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879" w:rsidRPr="00151811" w:rsidRDefault="00A6509F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Izdevumi, kas saistīti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Valsts policijas darbību kontrolšāvienu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šaujamieroci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ar valsts nodevu administrēšanu 2015.gadā plānojami 441 406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turpmāk ik gadu – 398 160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 t.sk., sadalījumā pa ekonomiskās klasifikācijas kodiem:</w:t>
            </w:r>
          </w:p>
          <w:p w:rsidR="00A6509F" w:rsidRPr="00151811" w:rsidRDefault="00A6509F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90D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2015. gadā – 441 406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tajā skaitā izdevumi atlīdzībai (EKK 1000) 104 021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tajā skaitā</w:t>
            </w:r>
            <w:r w:rsidR="0057590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0D11" w:rsidRDefault="0057590D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izdevumi atalgojumam (EKK 1100) 84 166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F10F4D" w:rsidRDefault="0057590D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mēnešalga</w:t>
            </w:r>
            <w:r w:rsidR="00F10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F10F4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10,81 </w:t>
            </w:r>
            <w:proofErr w:type="spellStart"/>
            <w:r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7206 </w:t>
            </w:r>
            <w:proofErr w:type="spellStart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.= 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77 89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57590D" w:rsidRDefault="0057590D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piemaksas</w:t>
            </w:r>
            <w:r w:rsidR="00E1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7206 </w:t>
            </w:r>
            <w:proofErr w:type="spellStart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.= 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6269 </w:t>
            </w:r>
            <w:proofErr w:type="spellStart"/>
            <w:r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80D11" w:rsidRDefault="00E80D11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0D11" w:rsidRDefault="0057590D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darba devēja valsts sociālās apdrošināšanas obligāt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>ajām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iemaks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ām (EKK 1210) - </w:t>
            </w:r>
            <w:r w:rsidR="00F10F4D" w:rsidRPr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84 166,08 </w:t>
            </w:r>
            <w:proofErr w:type="spellStart"/>
            <w:r w:rsidR="00F10F4D"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0,2359=19 85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4D" w:rsidRPr="001475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10F4D"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7590D" w:rsidRPr="00563025" w:rsidRDefault="0057590D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BCE" w:rsidRDefault="00E10BCE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izdevumi precēm un pakalpojumiem (EKK 2000) 247 094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80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D11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apmērā, tajā skaitā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80D11" w:rsidRDefault="00E80D11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80D11" w:rsidRDefault="00E10BCE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  <w:r w:rsid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(EKK 2223)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0,34 </w:t>
            </w:r>
            <w:proofErr w:type="spellStart"/>
            <w:r w:rsidR="00E80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80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2 450 </w:t>
            </w:r>
            <w:proofErr w:type="spellStart"/>
            <w:r w:rsidR="00E80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80D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0E6D3B" w:rsidRDefault="000E6D3B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>ārējie iestādes administratīvie izdevumi un ar iestādes darbības nodrošināšanu saistītie pakalpojumi</w:t>
            </w:r>
            <w:r w:rsidRPr="00563025" w:rsidDel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(EKK 2239) – 0,10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= 72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0E6D3B" w:rsidRDefault="000E6D3B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i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ekārtas, inventāra un aparatūras remont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, tehnisk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ajai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apkalpošana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(EKK 2243) – 30,73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221 440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0E6D3B" w:rsidRPr="00563025" w:rsidRDefault="000E6D3B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biroja precēm ( EKK 2311) – 0,21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1 513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E6D3B" w:rsidRPr="004A76F1" w:rsidRDefault="000E6D3B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izdevumi k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ārtējā remonta un iestāžu uzturēšanas materiāli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(EKK 2350) – 2,91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7206 </w:t>
            </w:r>
            <w:proofErr w:type="spellStart"/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. = 20 9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6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:rsidR="004A76F1" w:rsidRDefault="000E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D3B" w:rsidDel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76F1" w:rsidRDefault="005D4754" w:rsidP="00563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pamatkapitāla veidošanai (EKK 5000) 90 291 </w:t>
            </w:r>
            <w:proofErr w:type="spellStart"/>
            <w:r w:rsidRPr="005630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, tajā skaitā:</w:t>
            </w:r>
          </w:p>
          <w:p w:rsidR="00147506" w:rsidRDefault="00147506" w:rsidP="00563025">
            <w:pPr>
              <w:pStyle w:val="ListParagraph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F1" w:rsidRDefault="004A76F1" w:rsidP="0056302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datorprogrammām (EKK 5121) – 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288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6F1" w:rsidRDefault="004A76F1" w:rsidP="0056302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izdevumi d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atortehnika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, sakaru un cita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biroja 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(EKK 5238) – 9,86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71 051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754" w:rsidRPr="00563025" w:rsidRDefault="004A76F1" w:rsidP="0056302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ārējie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iepriekš neklasificētie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pamatlīdzekļi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(EKK 5239) – 2,63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7206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= 18 95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F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2016.gadā un turpmāk </w:t>
            </w:r>
            <w:r w:rsidR="002C4F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katru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gadu – 398 160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tajā skaitā izdevumi atlīdzībai (EKK 1000) 93 830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apmērā, tajā skaitā </w:t>
            </w:r>
          </w:p>
          <w:p w:rsidR="004A76F1" w:rsidRDefault="004A76F1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atalgojumam (EKK 1100) 75 920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tajā skaitā</w:t>
            </w:r>
          </w:p>
          <w:p w:rsidR="004A76F1" w:rsidRDefault="004A76F1" w:rsidP="004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mēnešalga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10,81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 w:rsidR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70 265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4A76F1" w:rsidRDefault="004A76F1" w:rsidP="004A7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piemaksas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0,87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</w:t>
            </w:r>
            <w:r w:rsidR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.= </w:t>
            </w:r>
            <w:r w:rsidR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5 655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7506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-izdevumi darba devēja valsts sociālās apdrošināšanas obligātajām iemaksām (EKK 1210) - 75 920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0,2359=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17 9</w:t>
            </w:r>
            <w:r w:rsidR="00C053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A76F1" w:rsidRDefault="004A76F1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506" w:rsidRPr="00563025" w:rsidRDefault="005D4754" w:rsidP="005630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3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precēm un pakalpojumiem (EKK 2000) 222 885 </w:t>
            </w:r>
            <w:proofErr w:type="spellStart"/>
            <w:r w:rsidRPr="0056302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:rsidR="00147506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</w:t>
            </w:r>
            <w:r w:rsidR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>, tajā skaitā:</w:t>
            </w:r>
          </w:p>
          <w:p w:rsidR="00147506" w:rsidRDefault="00147506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506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par elektroenerģiju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(EKK 2223)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0,34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2 210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47506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>ārējie iestādes administratīvie izdevumi un ar iestādes darbības nodrošināšanu saistītie pakalpojumi</w:t>
            </w:r>
            <w:r w:rsidRPr="004E71DA" w:rsidDel="00E80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(EKK 2239) – 0,10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6500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650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47506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i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ekārtas, inventāra un aparatūras remont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, tehnisk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ajai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apkalpošana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(EKK 2243) – 30,73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199 745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147506" w:rsidRPr="004E71DA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biroja precēm ( EKK 2311) – 0,21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1 365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7506" w:rsidRPr="004E71DA" w:rsidRDefault="00147506" w:rsidP="00147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izdevumi k</w:t>
            </w:r>
            <w:r w:rsidRPr="000E6D3B">
              <w:rPr>
                <w:rFonts w:ascii="Times New Roman" w:eastAsia="Times New Roman" w:hAnsi="Times New Roman" w:cs="Times New Roman"/>
                <w:sz w:val="24"/>
                <w:szCs w:val="24"/>
              </w:rPr>
              <w:t>ārtējā remonta un iestāžu uzturēšanas materiāli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(EKK 2350) – 2,91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18 915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:rsidR="00147506" w:rsidRDefault="00147506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506" w:rsidRDefault="00147506" w:rsidP="001475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pamatkapitāla veidošanai (EKK 5000)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81 445</w:t>
            </w:r>
            <w:r w:rsidRPr="004E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71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tajā skaitā:</w:t>
            </w:r>
          </w:p>
          <w:p w:rsidR="00147506" w:rsidRDefault="00147506" w:rsidP="0056302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506" w:rsidRDefault="00147506" w:rsidP="0014750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izdevumi datorprogrammām (EKK 5121) – 0,04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260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7506" w:rsidRDefault="00147506" w:rsidP="0014750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d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atortehnika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, sakaru un cita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biroja tehnika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(EKK 5238) – 9,86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64 090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7506" w:rsidRPr="004E71DA" w:rsidRDefault="00147506" w:rsidP="00147506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izdevumi p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>ārējie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iepriekš neklasificētie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4A7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pamatlīdzekļi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(EKK 5239) – 2,63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6500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= 17 095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:rsidR="00147506" w:rsidRPr="00563025" w:rsidRDefault="00147506" w:rsidP="00563025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754" w:rsidRPr="00151811" w:rsidRDefault="00147506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506" w:rsidDel="00147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(detalizēts aprēķins</w:t>
            </w:r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BF6B1C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anotācijas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pielikumā).</w:t>
            </w:r>
          </w:p>
          <w:p w:rsidR="00BF6B1C" w:rsidRPr="00151811" w:rsidRDefault="00BF6B1C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135" w:rsidRPr="00151811" w:rsidRDefault="00B45E96" w:rsidP="005C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ikumprojektā „Par valsts budžetu 2015.gadam” un likumprojektā „Par vidēja termiņa budžeta ietvaru 2015., 2016., un 201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.gadam”, pamatojoties uz Ministru kabineta 2014.gada 25.marta sēdē (prot. Nr.18, 6§, 4.punkts) </w:t>
            </w:r>
            <w:proofErr w:type="gramStart"/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nolemt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 paredzēt</w:t>
            </w:r>
            <w:r w:rsidR="00CE6FD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CE6FD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dotācijas no vispārējiem ieņēmumiem palielināšana Iekšlietu ministrijai (budžeta programma 06.01.00 „Valsts policija”) par </w:t>
            </w:r>
            <w:r w:rsidR="006976D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121 636 </w:t>
            </w:r>
            <w:proofErr w:type="spellStart"/>
            <w:r w:rsidR="006976D3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976D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(prot. Nr.18, 6§, 3.3.1. apakšpunkts), tajā skaitā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izdevumi</w:t>
            </w:r>
            <w:r w:rsidR="00CE6FD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em kas saistīti</w:t>
            </w:r>
            <w:r w:rsidR="005C1135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6FD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policijas darbību 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kontrolšāvien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6509F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šaujamieroci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valsts nodevas </w:t>
            </w:r>
            <w:r w:rsidR="006976D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administrēšan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 –</w:t>
            </w:r>
            <w:r w:rsidR="006976D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103 697 </w:t>
            </w:r>
            <w:proofErr w:type="spellStart"/>
            <w:r w:rsidR="006976D3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6976D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apmērā. </w:t>
            </w:r>
          </w:p>
          <w:p w:rsidR="006976D3" w:rsidRPr="00151811" w:rsidRDefault="00306F4D" w:rsidP="00CE6F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Sakarā ar to, ka tika precizēts prognozētais kontrolšāvienu skaits, precizēti arī ar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kontrolšāvienu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</w:t>
            </w:r>
            <w:r w:rsidR="00C0585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šanu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šaujamieroci un valsts nodevas administrēšanu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saistītie izdevumi.</w:t>
            </w:r>
          </w:p>
          <w:p w:rsidR="00FF63AE" w:rsidRPr="00151811" w:rsidRDefault="009F5F72" w:rsidP="00311F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Dotācija no vispārējiem ieņēmumiem un izdevumi, kas saistīti ar kontrolšāvienu ar vītņstobra šaujamiero</w:t>
            </w:r>
            <w:r w:rsidR="00846052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ci izdarīšanu un valsts nodevas par kontrolšāviena ar vītņstobra šaujamier</w:t>
            </w:r>
            <w:r w:rsidR="00251957">
              <w:rPr>
                <w:rFonts w:ascii="Times New Roman" w:eastAsia="Times New Roman" w:hAnsi="Times New Roman" w:cs="Times New Roman"/>
                <w:sz w:val="24"/>
                <w:szCs w:val="24"/>
              </w:rPr>
              <w:t>oci izdarīšanu administrēšanu (</w:t>
            </w:r>
            <w:r w:rsidR="00846052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budžeta apakšprogramma 06.01.00 “Valsts policija”)</w:t>
            </w:r>
            <w:r w:rsidR="003F0D5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6"/>
              <w:gridCol w:w="992"/>
              <w:gridCol w:w="993"/>
              <w:gridCol w:w="850"/>
              <w:gridCol w:w="992"/>
              <w:gridCol w:w="993"/>
              <w:gridCol w:w="737"/>
            </w:tblGrid>
            <w:tr w:rsidR="00846052" w:rsidRPr="00151811" w:rsidTr="00FF63AE">
              <w:tc>
                <w:tcPr>
                  <w:tcW w:w="1116" w:type="dxa"/>
                </w:tcPr>
                <w:p w:rsidR="00846052" w:rsidRPr="00151811" w:rsidRDefault="00846052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2015.gads</w:t>
                  </w:r>
                </w:p>
              </w:tc>
              <w:tc>
                <w:tcPr>
                  <w:tcW w:w="2722" w:type="dxa"/>
                  <w:gridSpan w:val="3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2016.gads un turpmāk</w:t>
                  </w:r>
                </w:p>
              </w:tc>
            </w:tr>
            <w:tr w:rsidR="00846052" w:rsidRPr="00151811" w:rsidTr="00FF63AE">
              <w:tc>
                <w:tcPr>
                  <w:tcW w:w="1116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Precizētais aprēķins</w:t>
                  </w:r>
                </w:p>
              </w:tc>
              <w:tc>
                <w:tcPr>
                  <w:tcW w:w="993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Saskaņā ar MK 25.03.2014 sēdē nolemto (prot. Nr.18, 6§).</w:t>
                  </w:r>
                </w:p>
              </w:tc>
              <w:tc>
                <w:tcPr>
                  <w:tcW w:w="850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Papildu</w:t>
                  </w:r>
                </w:p>
              </w:tc>
              <w:tc>
                <w:tcPr>
                  <w:tcW w:w="992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Precizētais aprēķins</w:t>
                  </w:r>
                </w:p>
              </w:tc>
              <w:tc>
                <w:tcPr>
                  <w:tcW w:w="993" w:type="dxa"/>
                </w:tcPr>
                <w:p w:rsidR="00846052" w:rsidRPr="00151811" w:rsidRDefault="00FF63AE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Saskaņā ar MK 25.03. 2014 sēdē nolemto (prot. Nr.18, 6§).</w:t>
                  </w:r>
                </w:p>
              </w:tc>
              <w:tc>
                <w:tcPr>
                  <w:tcW w:w="737" w:type="dxa"/>
                </w:tcPr>
                <w:p w:rsidR="00846052" w:rsidRPr="00151811" w:rsidRDefault="00FF63AE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Papildu</w:t>
                  </w:r>
                </w:p>
              </w:tc>
            </w:tr>
            <w:tr w:rsidR="00846052" w:rsidRPr="00151811" w:rsidTr="00FF63AE">
              <w:tc>
                <w:tcPr>
                  <w:tcW w:w="1116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1.</w:t>
                  </w:r>
                </w:p>
              </w:tc>
              <w:tc>
                <w:tcPr>
                  <w:tcW w:w="992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2.</w:t>
                  </w:r>
                </w:p>
              </w:tc>
              <w:tc>
                <w:tcPr>
                  <w:tcW w:w="993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3.</w:t>
                  </w:r>
                </w:p>
              </w:tc>
              <w:tc>
                <w:tcPr>
                  <w:tcW w:w="850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4.(2.-3.)</w:t>
                  </w:r>
                </w:p>
              </w:tc>
              <w:tc>
                <w:tcPr>
                  <w:tcW w:w="992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5.</w:t>
                  </w:r>
                </w:p>
              </w:tc>
              <w:tc>
                <w:tcPr>
                  <w:tcW w:w="993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6.</w:t>
                  </w:r>
                </w:p>
              </w:tc>
              <w:tc>
                <w:tcPr>
                  <w:tcW w:w="737" w:type="dxa"/>
                </w:tcPr>
                <w:p w:rsidR="00846052" w:rsidRPr="00151811" w:rsidRDefault="00846052" w:rsidP="00846052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7.(5.-6.)</w:t>
                  </w:r>
                </w:p>
              </w:tc>
            </w:tr>
            <w:tr w:rsidR="00846052" w:rsidRPr="00151811" w:rsidTr="00FF63AE">
              <w:tc>
                <w:tcPr>
                  <w:tcW w:w="1116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Dotācija no vispārējiem ieņēmumiem</w:t>
                  </w:r>
                </w:p>
              </w:tc>
              <w:tc>
                <w:tcPr>
                  <w:tcW w:w="992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441 406</w:t>
                  </w:r>
                </w:p>
              </w:tc>
              <w:tc>
                <w:tcPr>
                  <w:tcW w:w="993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103 697</w:t>
                  </w:r>
                </w:p>
              </w:tc>
              <w:tc>
                <w:tcPr>
                  <w:tcW w:w="850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337 709</w:t>
                  </w:r>
                </w:p>
              </w:tc>
              <w:tc>
                <w:tcPr>
                  <w:tcW w:w="992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398 106</w:t>
                  </w:r>
                </w:p>
              </w:tc>
              <w:tc>
                <w:tcPr>
                  <w:tcW w:w="993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103 697</w:t>
                  </w:r>
                </w:p>
              </w:tc>
              <w:tc>
                <w:tcPr>
                  <w:tcW w:w="737" w:type="dxa"/>
                </w:tcPr>
                <w:p w:rsidR="00846052" w:rsidRPr="00151811" w:rsidRDefault="00FF63AE" w:rsidP="00311FE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294 463</w:t>
                  </w:r>
                </w:p>
              </w:tc>
            </w:tr>
            <w:tr w:rsidR="00FF63AE" w:rsidRPr="00151811" w:rsidTr="00FF63AE">
              <w:tc>
                <w:tcPr>
                  <w:tcW w:w="1116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Izdevumi kopā</w:t>
                  </w:r>
                </w:p>
              </w:tc>
              <w:tc>
                <w:tcPr>
                  <w:tcW w:w="992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441 406</w:t>
                  </w:r>
                </w:p>
              </w:tc>
              <w:tc>
                <w:tcPr>
                  <w:tcW w:w="993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103 697</w:t>
                  </w:r>
                </w:p>
              </w:tc>
              <w:tc>
                <w:tcPr>
                  <w:tcW w:w="850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337 709</w:t>
                  </w:r>
                </w:p>
              </w:tc>
              <w:tc>
                <w:tcPr>
                  <w:tcW w:w="992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398 106</w:t>
                  </w:r>
                </w:p>
              </w:tc>
              <w:tc>
                <w:tcPr>
                  <w:tcW w:w="993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103 697</w:t>
                  </w:r>
                </w:p>
              </w:tc>
              <w:tc>
                <w:tcPr>
                  <w:tcW w:w="737" w:type="dxa"/>
                </w:tcPr>
                <w:p w:rsidR="00FF63AE" w:rsidRPr="00151811" w:rsidRDefault="00FF63AE" w:rsidP="00FF63AE">
                  <w:pPr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294 463</w:t>
                  </w:r>
                </w:p>
              </w:tc>
            </w:tr>
          </w:tbl>
          <w:p w:rsidR="005D4754" w:rsidRPr="00151811" w:rsidRDefault="005D4754" w:rsidP="005D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54" w:rsidRPr="00151811" w:rsidTr="00502556">
        <w:trPr>
          <w:trHeight w:val="519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68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54" w:rsidRPr="00151811" w:rsidTr="00502556">
        <w:trPr>
          <w:trHeight w:val="60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8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54" w:rsidRPr="00151811" w:rsidRDefault="005D4754" w:rsidP="005D4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54" w:rsidRPr="00151811" w:rsidTr="00502556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754" w:rsidRPr="00151811" w:rsidRDefault="005D4754" w:rsidP="005D4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7. Cita informācija.</w:t>
            </w:r>
          </w:p>
        </w:tc>
        <w:tc>
          <w:tcPr>
            <w:tcW w:w="6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754" w:rsidRPr="00151811" w:rsidRDefault="005D4754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Jautājums par 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pamatbudžeta ieņēmumu no valsts nodevas par kontrolšāvienu izdarīšanu ar vītņstobra šaujamieroci palielinājumu 2015. gadā un turpmāk katru gadu par 124 436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kā arī dotācijas no vispārējiem ieņēmumiem palielinājumu Iekšlietu ministrijas budžeta apakšprogrammai 06.01.00 „Valsts policija” izdevumu segšanai, kas saistīti ar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policijas darbību 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kontrolšāvien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šaujam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ieroci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administrēšanu 2015.gadā un turpmāk katru gadu par 103 697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 izskatīts Ministru kabineta 2014.gada 25.martā sēdē (prot</w:t>
            </w:r>
            <w:r w:rsidR="0094486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Nr.18, 6§).</w:t>
            </w:r>
          </w:p>
          <w:p w:rsidR="005D4754" w:rsidRPr="00151811" w:rsidRDefault="005D4754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Gatavojot 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anotāciju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Ministru kabineta 2014.gada 25.</w:t>
            </w:r>
            <w:r w:rsidR="00FA1A30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marta sēdē izskatītajam likumprojektam „Grozījumi likumā „Par nodokļiem un nodevām”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nebija precīzi zināms iespējam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kontrolšāvienu skait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gadā.</w:t>
            </w:r>
          </w:p>
          <w:p w:rsidR="005D4754" w:rsidRPr="00151811" w:rsidRDefault="005D4754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ar to, 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nepieciešams precizēt valsts pamatbudžeta ieņēmumu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valsts nodevas 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prognozi un papildu izdevumu </w:t>
            </w:r>
            <w:r w:rsidR="00930F16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apmēru 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Iekšlietu ministrijai (budžeta apakšprogramma 06.01.00 „Valsts policija”)</w:t>
            </w:r>
          </w:p>
          <w:p w:rsidR="005D4754" w:rsidRPr="00151811" w:rsidRDefault="005D4754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713" w:rsidRPr="00151811" w:rsidRDefault="00FF63AE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Prognozēto valsts pamatbudžeta ieņēmumu no valsts nodevas par kontrolšāviena ar vītņstobra šaujamieroci izdarīšanu un izdevumu, kas saistīti ar kontrolšāvienu ar vītņstobra šaujamieroci izdarīšanai un valsts </w:t>
            </w:r>
            <w:r w:rsidR="00A24713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nodevas par kontrolšāviena ar vītņstobra šaujamieroci izdarīšanu administrēšanu, salīdzinājums</w:t>
            </w:r>
            <w:r w:rsidR="003F0D5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4713" w:rsidRPr="00151811" w:rsidRDefault="00A24713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7"/>
              <w:gridCol w:w="1559"/>
              <w:gridCol w:w="1417"/>
              <w:gridCol w:w="1418"/>
            </w:tblGrid>
            <w:tr w:rsidR="00A24713" w:rsidRPr="00151811" w:rsidTr="00A24713">
              <w:tc>
                <w:tcPr>
                  <w:tcW w:w="1967" w:type="dxa"/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2015.gads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2016.gads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2017.gads</w:t>
                  </w:r>
                </w:p>
              </w:tc>
            </w:tr>
            <w:tr w:rsidR="00A24713" w:rsidRPr="00151811" w:rsidTr="00A24713">
              <w:tc>
                <w:tcPr>
                  <w:tcW w:w="1967" w:type="dxa"/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Ieņēmumi no valsts nodevas (+)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+529 641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+477 750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+477 750</w:t>
                  </w:r>
                </w:p>
              </w:tc>
            </w:tr>
            <w:tr w:rsidR="00A24713" w:rsidRPr="00151811" w:rsidTr="00A24713">
              <w:trPr>
                <w:trHeight w:val="318"/>
              </w:trPr>
              <w:tc>
                <w:tcPr>
                  <w:tcW w:w="1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Valsts policijai nepieciešamie izdevumi (-)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-441 406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-398 160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-398 160</w:t>
                  </w:r>
                </w:p>
              </w:tc>
            </w:tr>
            <w:tr w:rsidR="00A24713" w:rsidRPr="00151811" w:rsidTr="00A24713">
              <w:tc>
                <w:tcPr>
                  <w:tcW w:w="19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Starpība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+88 235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+79 590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24713" w:rsidRPr="00151811" w:rsidRDefault="00A24713" w:rsidP="00A247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518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+79 590</w:t>
                  </w:r>
                </w:p>
              </w:tc>
            </w:tr>
          </w:tbl>
          <w:p w:rsidR="00A24713" w:rsidRPr="00151811" w:rsidRDefault="00A24713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01B" w:rsidRPr="00151811" w:rsidRDefault="005D4754" w:rsidP="00311F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Projektam pievienots Ministru kabineta </w:t>
            </w:r>
            <w:proofErr w:type="spellStart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protokollēmuma</w:t>
            </w:r>
            <w:proofErr w:type="spell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projekts, kas paredz</w:t>
            </w:r>
            <w:r w:rsidR="00C7601B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4754" w:rsidRPr="00151811" w:rsidRDefault="00C7601B" w:rsidP="00311F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valsts pamatbudžeta ieņēmumu no valsts nodevas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kontrolšāvienu izdarīšanu ar vītņstobra šaujamieroci palielinā</w:t>
            </w:r>
            <w:r w:rsidR="0094486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šanu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 gadā par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405 205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, 2016.gad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turpmāk </w:t>
            </w:r>
            <w:r w:rsidR="002C4F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katru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gadu par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353 314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D4754" w:rsidRPr="00151811" w:rsidRDefault="00C7601B" w:rsidP="00311F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2. d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otācijas no vispārējiem ieņēmumiem palielināšanu Iekšlietu ministrijai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budžeta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apakšprogramma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06.01.00 „Valsts policija”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2015.gadā par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337 709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470D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2016.gadā un turpmāk </w:t>
            </w:r>
            <w:r w:rsidR="002C4F79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katru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gadu par</w:t>
            </w:r>
            <w:proofErr w:type="gram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30F16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</w:t>
            </w:r>
            <w:proofErr w:type="gramEnd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294 463</w:t>
            </w:r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D4754" w:rsidRPr="00151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izdevumu segšanai, kas saistīti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policijas darbību 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kontrolšāvienu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46254A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šaujamieroci 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valsts nodev</w:t>
            </w:r>
            <w:r w:rsidR="003470D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kontrolšāvienu </w:t>
            </w:r>
            <w:r w:rsidR="00986A37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izdarīšanu</w:t>
            </w:r>
            <w:r w:rsidR="005D4754"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vītņstobra šaujamieroci administrēšanu.</w:t>
            </w:r>
          </w:p>
          <w:p w:rsidR="005D4754" w:rsidRPr="00151811" w:rsidRDefault="005D4754" w:rsidP="0093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5D4754" w:rsidRPr="00151811" w:rsidRDefault="005D4754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61"/>
        <w:gridCol w:w="6157"/>
      </w:tblGrid>
      <w:tr w:rsidR="004C394D" w:rsidRPr="00151811" w:rsidTr="0016664F">
        <w:trPr>
          <w:jc w:val="center"/>
        </w:trPr>
        <w:tc>
          <w:tcPr>
            <w:tcW w:w="9214" w:type="dxa"/>
            <w:gridSpan w:val="3"/>
          </w:tcPr>
          <w:p w:rsidR="004C394D" w:rsidRPr="00151811" w:rsidRDefault="004C394D" w:rsidP="00A24713">
            <w:pPr>
              <w:pStyle w:val="naisnod"/>
              <w:spacing w:before="0" w:after="0"/>
              <w:jc w:val="center"/>
              <w:rPr>
                <w:b/>
              </w:rPr>
            </w:pPr>
            <w:r w:rsidRPr="00151811">
              <w:rPr>
                <w:b/>
              </w:rPr>
              <w:t>IV. Tiesību akta projekta ietekme uz spēkā esošo tiesību normu sistēmu</w:t>
            </w:r>
          </w:p>
        </w:tc>
      </w:tr>
      <w:tr w:rsidR="004C394D" w:rsidRPr="00151811" w:rsidTr="0016664F">
        <w:trPr>
          <w:jc w:val="center"/>
        </w:trPr>
        <w:tc>
          <w:tcPr>
            <w:tcW w:w="259" w:type="dxa"/>
          </w:tcPr>
          <w:p w:rsidR="004C394D" w:rsidRPr="00151811" w:rsidRDefault="004C394D" w:rsidP="00A2471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151811">
              <w:rPr>
                <w:iCs/>
              </w:rPr>
              <w:t>1.</w:t>
            </w:r>
          </w:p>
        </w:tc>
        <w:tc>
          <w:tcPr>
            <w:tcW w:w="2686" w:type="dxa"/>
          </w:tcPr>
          <w:p w:rsidR="004C394D" w:rsidRPr="00151811" w:rsidRDefault="004C394D" w:rsidP="00A2471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151811">
              <w:t>Nepieciešamie saistītie tiesību aktu projekti</w:t>
            </w:r>
          </w:p>
        </w:tc>
        <w:tc>
          <w:tcPr>
            <w:tcW w:w="6269" w:type="dxa"/>
          </w:tcPr>
          <w:p w:rsidR="004C394D" w:rsidRPr="00151811" w:rsidRDefault="006B189E" w:rsidP="00A2471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151811">
              <w:rPr>
                <w:rFonts w:ascii="Times New Roman" w:hAnsi="Times New Roman" w:cs="Times New Roman"/>
              </w:rPr>
              <w:t>Vienlaikus izdarāms grozījums Ministru kabineta 2013.gada 24.septembra noteikumos Nr.903 “Valsts policijas maksas pakalpojumu cenrādis, svītrojot tādu maksas pakalpojumu kā kontrolšāviena izdarīšanu ar vītņstobra šaujamieroci.</w:t>
            </w:r>
          </w:p>
        </w:tc>
      </w:tr>
      <w:tr w:rsidR="004C394D" w:rsidRPr="00151811" w:rsidTr="0016664F">
        <w:trPr>
          <w:jc w:val="center"/>
        </w:trPr>
        <w:tc>
          <w:tcPr>
            <w:tcW w:w="259" w:type="dxa"/>
          </w:tcPr>
          <w:p w:rsidR="004C394D" w:rsidRPr="00151811" w:rsidRDefault="004C394D" w:rsidP="00A2471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151811">
              <w:rPr>
                <w:iCs/>
              </w:rPr>
              <w:t>2.</w:t>
            </w:r>
          </w:p>
        </w:tc>
        <w:tc>
          <w:tcPr>
            <w:tcW w:w="2686" w:type="dxa"/>
          </w:tcPr>
          <w:p w:rsidR="004C394D" w:rsidRPr="00151811" w:rsidRDefault="004C394D" w:rsidP="00A2471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151811">
              <w:t>Cita informācija</w:t>
            </w:r>
          </w:p>
        </w:tc>
        <w:tc>
          <w:tcPr>
            <w:tcW w:w="6269" w:type="dxa"/>
          </w:tcPr>
          <w:p w:rsidR="004C394D" w:rsidRPr="00151811" w:rsidRDefault="004C394D" w:rsidP="00A2471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151811">
              <w:rPr>
                <w:iCs/>
              </w:rPr>
              <w:t>Nav.</w:t>
            </w:r>
          </w:p>
        </w:tc>
      </w:tr>
    </w:tbl>
    <w:p w:rsidR="004C394D" w:rsidRPr="00151811" w:rsidRDefault="004C394D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5D4754" w:rsidRPr="00151811" w:rsidDel="009D1634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42"/>
        <w:gridCol w:w="5886"/>
      </w:tblGrid>
      <w:tr w:rsidR="005D4754" w:rsidRPr="00151811" w:rsidTr="00502556">
        <w:trPr>
          <w:trHeight w:val="421"/>
          <w:jc w:val="center"/>
        </w:trPr>
        <w:tc>
          <w:tcPr>
            <w:tcW w:w="9144" w:type="dxa"/>
            <w:gridSpan w:val="3"/>
            <w:vAlign w:val="center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D4754" w:rsidRPr="00151811" w:rsidTr="00502556">
        <w:trPr>
          <w:trHeight w:val="553"/>
          <w:jc w:val="center"/>
        </w:trPr>
        <w:tc>
          <w:tcPr>
            <w:tcW w:w="416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5D4754" w:rsidRPr="00151811" w:rsidRDefault="005D4754" w:rsidP="005D4754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886" w:type="dxa"/>
          </w:tcPr>
          <w:p w:rsidR="005D4754" w:rsidRPr="00151811" w:rsidRDefault="005D4754" w:rsidP="005D4754">
            <w:pPr>
              <w:shd w:val="clear" w:color="auto" w:fill="FFFFFF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p61"/>
            <w:bookmarkEnd w:id="1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projekts pirms izsludināšanas Valsts sekretāru sanāksmē publicēts Iekšlietu ministrijas mājas lapā.</w:t>
            </w:r>
          </w:p>
        </w:tc>
      </w:tr>
      <w:tr w:rsidR="005D4754" w:rsidRPr="00151811" w:rsidTr="00502556">
        <w:trPr>
          <w:trHeight w:val="339"/>
          <w:jc w:val="center"/>
        </w:trPr>
        <w:tc>
          <w:tcPr>
            <w:tcW w:w="416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886" w:type="dxa"/>
          </w:tcPr>
          <w:p w:rsidR="005D4754" w:rsidRPr="00151811" w:rsidRDefault="005D4754" w:rsidP="005D4754">
            <w:pPr>
              <w:shd w:val="clear" w:color="auto" w:fill="FFFFFF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p62"/>
            <w:bookmarkEnd w:id="2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Rakstiski iesniedzot viedokli, iebildumus un priekšlikumus par izstrādāto Noteikumu projektu.</w:t>
            </w:r>
          </w:p>
        </w:tc>
      </w:tr>
      <w:tr w:rsidR="005D4754" w:rsidRPr="00151811" w:rsidTr="00502556">
        <w:trPr>
          <w:trHeight w:val="476"/>
          <w:jc w:val="center"/>
        </w:trPr>
        <w:tc>
          <w:tcPr>
            <w:tcW w:w="416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886" w:type="dxa"/>
          </w:tcPr>
          <w:p w:rsidR="005D4754" w:rsidRPr="00151811" w:rsidRDefault="005D4754" w:rsidP="005D4754">
            <w:pPr>
              <w:shd w:val="clear" w:color="auto" w:fill="FFFFFF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  <w:p w:rsidR="005D4754" w:rsidRPr="00151811" w:rsidRDefault="005D4754" w:rsidP="005D4754">
            <w:pPr>
              <w:shd w:val="clear" w:color="auto" w:fill="FFFFFF"/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D4754" w:rsidRPr="00151811" w:rsidTr="00502556">
        <w:trPr>
          <w:trHeight w:val="476"/>
          <w:jc w:val="center"/>
        </w:trPr>
        <w:tc>
          <w:tcPr>
            <w:tcW w:w="416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886" w:type="dxa"/>
          </w:tcPr>
          <w:p w:rsidR="005D4754" w:rsidRPr="00151811" w:rsidRDefault="005D4754" w:rsidP="005D475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623"/>
        <w:gridCol w:w="5212"/>
      </w:tblGrid>
      <w:tr w:rsidR="005D4754" w:rsidRPr="00151811" w:rsidTr="00502556">
        <w:trPr>
          <w:trHeight w:val="381"/>
          <w:jc w:val="center"/>
        </w:trPr>
        <w:tc>
          <w:tcPr>
            <w:tcW w:w="9215" w:type="dxa"/>
            <w:gridSpan w:val="3"/>
            <w:vAlign w:val="center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D4754" w:rsidRPr="00151811" w:rsidTr="00502556">
        <w:trPr>
          <w:trHeight w:val="427"/>
          <w:jc w:val="center"/>
        </w:trPr>
        <w:tc>
          <w:tcPr>
            <w:tcW w:w="380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623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212" w:type="dxa"/>
          </w:tcPr>
          <w:p w:rsidR="005D4754" w:rsidRPr="00151811" w:rsidRDefault="005D4754" w:rsidP="005D47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Valsts policija.</w:t>
            </w:r>
          </w:p>
        </w:tc>
      </w:tr>
      <w:tr w:rsidR="005D4754" w:rsidRPr="00151811" w:rsidTr="00502556">
        <w:trPr>
          <w:trHeight w:val="463"/>
          <w:jc w:val="center"/>
        </w:trPr>
        <w:tc>
          <w:tcPr>
            <w:tcW w:w="380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623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5D4754" w:rsidRPr="00151811" w:rsidRDefault="005D4754" w:rsidP="005D4754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Jaunu institūciju izveide, esošu institūciju likvidācija vai reorga</w:t>
            </w: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nizācija, to ietekme uz institūcijas cilvēkresursiem.</w:t>
            </w:r>
          </w:p>
        </w:tc>
        <w:tc>
          <w:tcPr>
            <w:tcW w:w="5212" w:type="dxa"/>
          </w:tcPr>
          <w:p w:rsidR="005D4754" w:rsidRPr="00151811" w:rsidRDefault="005D4754" w:rsidP="005D4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Jaunas institūcijas netiks izveidotas un esošās institūcijas netiks likvidētas vai reorganizētas.</w:t>
            </w:r>
          </w:p>
          <w:p w:rsidR="005D4754" w:rsidRPr="00151811" w:rsidRDefault="005D4754" w:rsidP="005D47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754" w:rsidRPr="00151811" w:rsidTr="00502556">
        <w:trPr>
          <w:trHeight w:val="402"/>
          <w:jc w:val="center"/>
        </w:trPr>
        <w:tc>
          <w:tcPr>
            <w:tcW w:w="380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623" w:type="dxa"/>
          </w:tcPr>
          <w:p w:rsidR="005D4754" w:rsidRPr="00151811" w:rsidRDefault="005D4754" w:rsidP="005D4754">
            <w:pPr>
              <w:spacing w:after="0" w:line="240" w:lineRule="auto"/>
              <w:ind w:left="57" w:right="57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212" w:type="dxa"/>
          </w:tcPr>
          <w:p w:rsidR="005D4754" w:rsidRPr="00151811" w:rsidRDefault="005D4754" w:rsidP="005D47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1811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5D4754" w:rsidRPr="00151811" w:rsidRDefault="005D4754" w:rsidP="005D4754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754" w:rsidRPr="00151811" w:rsidRDefault="005D4754" w:rsidP="005D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151811">
        <w:rPr>
          <w:rFonts w:ascii="Times New Roman" w:eastAsia="Times New Roman" w:hAnsi="Times New Roman" w:cs="Times New Roman"/>
          <w:sz w:val="24"/>
          <w:szCs w:val="28"/>
        </w:rPr>
        <w:t xml:space="preserve">Anotācijas </w:t>
      </w:r>
      <w:r w:rsidRPr="00151811">
        <w:rPr>
          <w:rFonts w:ascii="Times New Roman" w:eastAsia="Times New Roman" w:hAnsi="Times New Roman" w:cs="Times New Roman"/>
          <w:bCs/>
          <w:sz w:val="24"/>
          <w:szCs w:val="28"/>
        </w:rPr>
        <w:t xml:space="preserve">IV, V un VI sadaļa </w:t>
      </w:r>
      <w:r w:rsidRPr="00151811">
        <w:rPr>
          <w:rFonts w:ascii="Times New Roman" w:eastAsia="Times New Roman" w:hAnsi="Times New Roman" w:cs="Times New Roman"/>
          <w:sz w:val="24"/>
          <w:szCs w:val="28"/>
        </w:rPr>
        <w:t>–</w:t>
      </w:r>
      <w:r w:rsidRPr="00151811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p</w:t>
      </w:r>
      <w:r w:rsidRPr="00151811">
        <w:rPr>
          <w:rFonts w:ascii="Times New Roman" w:eastAsia="Times New Roman" w:hAnsi="Times New Roman" w:cs="Times New Roman"/>
          <w:sz w:val="24"/>
          <w:szCs w:val="28"/>
        </w:rPr>
        <w:t>rojekts šo jomu neskar.</w:t>
      </w: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  <w:lang w:eastAsia="lv-LV"/>
        </w:rPr>
      </w:pPr>
    </w:p>
    <w:p w:rsidR="005D4754" w:rsidRPr="00151811" w:rsidRDefault="005D4754" w:rsidP="005D4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>Iekšlietu ministrs</w:t>
      </w: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val="de-DE"/>
        </w:rPr>
        <w:tab/>
        <w:t>R. Kozlovskis</w:t>
      </w:r>
    </w:p>
    <w:p w:rsidR="005D4754" w:rsidRPr="00151811" w:rsidRDefault="005D4754" w:rsidP="005D4754">
      <w:pPr>
        <w:spacing w:before="75" w:after="75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:rsidR="005D4754" w:rsidRPr="00151811" w:rsidRDefault="005D4754" w:rsidP="005D4754">
      <w:pPr>
        <w:spacing w:before="75" w:after="75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sekretāre</w:t>
      </w: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I.Pētersone</w:t>
      </w:r>
      <w:r w:rsidR="00D93E34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Pr="00151811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9F" w:rsidRPr="00151811" w:rsidRDefault="00B4149F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49F" w:rsidRPr="00151811" w:rsidRDefault="00B4149F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754" w:rsidRPr="00151811" w:rsidRDefault="005D4754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754" w:rsidRPr="00151811" w:rsidRDefault="005D4754" w:rsidP="00D9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754" w:rsidRPr="00D93E34" w:rsidRDefault="005D4754" w:rsidP="00D93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E34" w:rsidRPr="00D93E34" w:rsidRDefault="00D93E34" w:rsidP="00D93E34">
      <w:pPr>
        <w:pStyle w:val="naisf"/>
        <w:spacing w:before="0" w:after="0"/>
        <w:ind w:firstLine="0"/>
        <w:rPr>
          <w:sz w:val="20"/>
          <w:szCs w:val="20"/>
        </w:rPr>
      </w:pPr>
      <w:r w:rsidRPr="00D93E34">
        <w:rPr>
          <w:sz w:val="20"/>
          <w:szCs w:val="20"/>
          <w:lang w:val="ru-RU"/>
        </w:rPr>
        <w:fldChar w:fldCharType="begin"/>
      </w:r>
      <w:r w:rsidRPr="00D93E34">
        <w:rPr>
          <w:sz w:val="20"/>
          <w:szCs w:val="20"/>
          <w:lang w:val="ru-RU"/>
        </w:rPr>
        <w:instrText xml:space="preserve"> TIME \@ "dd.MM.yyyy H:mm" </w:instrText>
      </w:r>
      <w:r w:rsidRPr="00D93E34">
        <w:rPr>
          <w:sz w:val="20"/>
          <w:szCs w:val="20"/>
          <w:lang w:val="ru-RU"/>
        </w:rPr>
        <w:fldChar w:fldCharType="separate"/>
      </w:r>
      <w:r w:rsidR="00F30733">
        <w:rPr>
          <w:noProof/>
          <w:sz w:val="20"/>
          <w:szCs w:val="20"/>
          <w:lang w:val="ru-RU"/>
        </w:rPr>
        <w:t>13.11.2014 11:08</w:t>
      </w:r>
      <w:r w:rsidRPr="00D93E34">
        <w:rPr>
          <w:sz w:val="20"/>
          <w:szCs w:val="20"/>
          <w:lang w:val="ru-RU"/>
        </w:rPr>
        <w:fldChar w:fldCharType="end"/>
      </w:r>
    </w:p>
    <w:p w:rsidR="00D93E34" w:rsidRPr="00D13A3C" w:rsidRDefault="00D93E34" w:rsidP="00D13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3A3C">
        <w:rPr>
          <w:rFonts w:ascii="Times New Roman" w:hAnsi="Times New Roman" w:cs="Times New Roman"/>
          <w:sz w:val="20"/>
          <w:szCs w:val="20"/>
        </w:rPr>
        <w:fldChar w:fldCharType="begin"/>
      </w:r>
      <w:r w:rsidRPr="00D13A3C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D13A3C">
        <w:rPr>
          <w:rFonts w:ascii="Times New Roman" w:hAnsi="Times New Roman" w:cs="Times New Roman"/>
          <w:sz w:val="20"/>
          <w:szCs w:val="20"/>
        </w:rPr>
        <w:fldChar w:fldCharType="separate"/>
      </w:r>
      <w:r w:rsidR="002720EB">
        <w:rPr>
          <w:rFonts w:ascii="Times New Roman" w:hAnsi="Times New Roman" w:cs="Times New Roman"/>
          <w:noProof/>
          <w:sz w:val="20"/>
          <w:szCs w:val="20"/>
        </w:rPr>
        <w:t>2258</w:t>
      </w:r>
      <w:r w:rsidRPr="00D13A3C">
        <w:rPr>
          <w:rFonts w:ascii="Times New Roman" w:hAnsi="Times New Roman" w:cs="Times New Roman"/>
          <w:sz w:val="20"/>
          <w:szCs w:val="20"/>
        </w:rPr>
        <w:fldChar w:fldCharType="end"/>
      </w:r>
    </w:p>
    <w:p w:rsidR="005D4754" w:rsidRPr="00151811" w:rsidRDefault="005D4754" w:rsidP="00D9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1811">
        <w:rPr>
          <w:rFonts w:ascii="Times New Roman" w:eastAsia="Times New Roman" w:hAnsi="Times New Roman" w:cs="Times New Roman"/>
          <w:sz w:val="20"/>
          <w:szCs w:val="20"/>
        </w:rPr>
        <w:t xml:space="preserve">K.Eltermane, 67829574, </w:t>
      </w:r>
    </w:p>
    <w:p w:rsidR="005D4754" w:rsidRPr="00151811" w:rsidRDefault="00F30733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502556" w:rsidRPr="0015181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kristine.eltermane@vp.gov.lv</w:t>
        </w:r>
      </w:hyperlink>
    </w:p>
    <w:p w:rsidR="00502556" w:rsidRPr="00151811" w:rsidRDefault="00502556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2556" w:rsidRPr="00151811" w:rsidRDefault="00502556" w:rsidP="005D4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D49BA" w:rsidRPr="00151811" w:rsidRDefault="00B4149F" w:rsidP="006D49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1811">
        <w:rPr>
          <w:rFonts w:ascii="Times New Roman" w:eastAsia="Times New Roman" w:hAnsi="Times New Roman" w:cs="Times New Roman"/>
          <w:sz w:val="20"/>
          <w:szCs w:val="20"/>
        </w:rPr>
        <w:t>N.</w:t>
      </w:r>
      <w:r w:rsidR="006D49BA" w:rsidRPr="00151811">
        <w:rPr>
          <w:rFonts w:ascii="Times New Roman" w:eastAsia="Times New Roman" w:hAnsi="Times New Roman" w:cs="Times New Roman"/>
          <w:sz w:val="20"/>
          <w:szCs w:val="20"/>
        </w:rPr>
        <w:t>Dorožko, 67075408</w:t>
      </w:r>
    </w:p>
    <w:p w:rsidR="00502556" w:rsidRDefault="00F30733" w:rsidP="0083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83126E" w:rsidRPr="00490EE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natalija.dorozko@vp.gov.lv</w:t>
        </w:r>
      </w:hyperlink>
    </w:p>
    <w:p w:rsidR="0083126E" w:rsidRPr="0083126E" w:rsidRDefault="0083126E" w:rsidP="008312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83126E" w:rsidRPr="0083126E" w:rsidSect="0050255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8" w:rsidRDefault="00DC0198">
      <w:pPr>
        <w:spacing w:after="0" w:line="240" w:lineRule="auto"/>
      </w:pPr>
      <w:r>
        <w:separator/>
      </w:r>
    </w:p>
  </w:endnote>
  <w:endnote w:type="continuationSeparator" w:id="0">
    <w:p w:rsidR="00DC0198" w:rsidRDefault="00DC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19" w:rsidRPr="00696FFD" w:rsidRDefault="00D93E34" w:rsidP="00D13A3C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13A3C">
      <w:rPr>
        <w:rFonts w:ascii="Times New Roman" w:hAnsi="Times New Roman" w:cs="Times New Roman"/>
        <w:sz w:val="20"/>
        <w:szCs w:val="20"/>
      </w:rPr>
      <w:fldChar w:fldCharType="begin"/>
    </w:r>
    <w:r w:rsidRPr="00D13A3C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D13A3C">
      <w:rPr>
        <w:rFonts w:ascii="Times New Roman" w:hAnsi="Times New Roman" w:cs="Times New Roman"/>
        <w:sz w:val="20"/>
        <w:szCs w:val="20"/>
      </w:rPr>
      <w:fldChar w:fldCharType="separate"/>
    </w:r>
    <w:r w:rsidR="00D650FD">
      <w:rPr>
        <w:rFonts w:ascii="Times New Roman" w:hAnsi="Times New Roman" w:cs="Times New Roman"/>
        <w:noProof/>
        <w:sz w:val="20"/>
        <w:szCs w:val="20"/>
      </w:rPr>
      <w:t>IEMAnot_11114_kontrolsavieni</w:t>
    </w:r>
    <w:r w:rsidRPr="00D13A3C">
      <w:rPr>
        <w:rFonts w:ascii="Times New Roman" w:hAnsi="Times New Roman" w:cs="Times New Roman"/>
        <w:sz w:val="20"/>
        <w:szCs w:val="20"/>
      </w:rPr>
      <w:fldChar w:fldCharType="end"/>
    </w:r>
    <w:r w:rsidR="00552C19" w:rsidRPr="00D93E34">
      <w:rPr>
        <w:rFonts w:ascii="Times New Roman" w:hAnsi="Times New Roman" w:cs="Times New Roman"/>
        <w:sz w:val="20"/>
        <w:szCs w:val="20"/>
      </w:rPr>
      <w:t>;</w:t>
    </w:r>
    <w:r w:rsidR="00552C19" w:rsidRPr="00696FFD">
      <w:rPr>
        <w:rFonts w:ascii="Times New Roman" w:hAnsi="Times New Roman" w:cs="Times New Roman"/>
        <w:sz w:val="20"/>
        <w:szCs w:val="20"/>
      </w:rPr>
      <w:t xml:space="preserve"> Ministru kabineta noteikumu projekta „</w:t>
    </w:r>
    <w:r w:rsidR="00552C19">
      <w:rPr>
        <w:rFonts w:ascii="Times New Roman" w:hAnsi="Times New Roman" w:cs="Times New Roman"/>
        <w:sz w:val="20"/>
        <w:szCs w:val="20"/>
      </w:rPr>
      <w:t>Kontrolšāvienu ar vītņstobra šaujamieročiem izdarīšanas kārtība un valsts nodevas maksāšanas kārtība un apmērs</w:t>
    </w:r>
    <w:r w:rsidR="003621DE">
      <w:rPr>
        <w:rFonts w:ascii="Times New Roman" w:hAnsi="Times New Roman" w:cs="Times New Roman"/>
        <w:sz w:val="20"/>
        <w:szCs w:val="20"/>
      </w:rPr>
      <w:t>”</w:t>
    </w:r>
    <w:r w:rsidR="00552C19" w:rsidRPr="00696FFD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  <w:p w:rsidR="004A76F1" w:rsidRPr="006811D5" w:rsidRDefault="004A76F1" w:rsidP="00502556">
    <w:pPr>
      <w:pStyle w:val="Footer"/>
      <w:jc w:val="both"/>
    </w:pPr>
  </w:p>
  <w:p w:rsidR="004A76F1" w:rsidRPr="00B563A2" w:rsidRDefault="004A76F1" w:rsidP="00502556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F1" w:rsidRPr="00696FFD" w:rsidRDefault="00D93E34" w:rsidP="00D13A3C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13A3C">
      <w:rPr>
        <w:rFonts w:ascii="Times New Roman" w:hAnsi="Times New Roman" w:cs="Times New Roman"/>
        <w:sz w:val="20"/>
        <w:szCs w:val="20"/>
      </w:rPr>
      <w:fldChar w:fldCharType="begin"/>
    </w:r>
    <w:r w:rsidRPr="00D13A3C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D13A3C">
      <w:rPr>
        <w:rFonts w:ascii="Times New Roman" w:hAnsi="Times New Roman" w:cs="Times New Roman"/>
        <w:sz w:val="20"/>
        <w:szCs w:val="20"/>
      </w:rPr>
      <w:fldChar w:fldCharType="separate"/>
    </w:r>
    <w:r w:rsidR="00D650FD">
      <w:rPr>
        <w:rFonts w:ascii="Times New Roman" w:hAnsi="Times New Roman" w:cs="Times New Roman"/>
        <w:noProof/>
        <w:sz w:val="20"/>
        <w:szCs w:val="20"/>
      </w:rPr>
      <w:t>IEMAnot_1</w:t>
    </w:r>
    <w:r w:rsidR="002B3C53">
      <w:rPr>
        <w:rFonts w:ascii="Times New Roman" w:hAnsi="Times New Roman" w:cs="Times New Roman"/>
        <w:noProof/>
        <w:sz w:val="20"/>
        <w:szCs w:val="20"/>
      </w:rPr>
      <w:t>3</w:t>
    </w:r>
    <w:r w:rsidR="00D650FD">
      <w:rPr>
        <w:rFonts w:ascii="Times New Roman" w:hAnsi="Times New Roman" w:cs="Times New Roman"/>
        <w:noProof/>
        <w:sz w:val="20"/>
        <w:szCs w:val="20"/>
      </w:rPr>
      <w:t>1114_kontrolsavieni</w:t>
    </w:r>
    <w:r w:rsidRPr="00D13A3C">
      <w:rPr>
        <w:rFonts w:ascii="Times New Roman" w:hAnsi="Times New Roman" w:cs="Times New Roman"/>
        <w:sz w:val="20"/>
        <w:szCs w:val="20"/>
      </w:rPr>
      <w:fldChar w:fldCharType="end"/>
    </w:r>
    <w:r w:rsidR="004A76F1" w:rsidRPr="00D93E34">
      <w:rPr>
        <w:rFonts w:ascii="Times New Roman" w:hAnsi="Times New Roman" w:cs="Times New Roman"/>
        <w:sz w:val="20"/>
        <w:szCs w:val="20"/>
      </w:rPr>
      <w:t>;</w:t>
    </w:r>
    <w:r w:rsidR="004A76F1" w:rsidRPr="00696FFD">
      <w:rPr>
        <w:rFonts w:ascii="Times New Roman" w:hAnsi="Times New Roman" w:cs="Times New Roman"/>
        <w:sz w:val="20"/>
        <w:szCs w:val="20"/>
      </w:rPr>
      <w:t xml:space="preserve"> Ministru kabineta noteikumu projekta „</w:t>
    </w:r>
    <w:r w:rsidR="00552C19">
      <w:rPr>
        <w:rFonts w:ascii="Times New Roman" w:hAnsi="Times New Roman" w:cs="Times New Roman"/>
        <w:sz w:val="20"/>
        <w:szCs w:val="20"/>
      </w:rPr>
      <w:t>Kontrolšāvienu ar vītņstobra šaujamieročiem izdarīšanas kārtība un valsts nodevas maksāšanas kārtība un apmērs</w:t>
    </w:r>
    <w:r w:rsidR="004A76F1" w:rsidRPr="00696FFD">
      <w:rPr>
        <w:rFonts w:ascii="Times New Roman" w:hAnsi="Times New Roman" w:cs="Times New Roman"/>
        <w:sz w:val="20"/>
        <w:szCs w:val="20"/>
      </w:rPr>
      <w:t>”” sākotnējās ietekmes novērtējuma ziņojums (anotācija)</w:t>
    </w:r>
  </w:p>
  <w:p w:rsidR="004A76F1" w:rsidRPr="006811D5" w:rsidRDefault="004A76F1" w:rsidP="0050255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8" w:rsidRDefault="00DC0198">
      <w:pPr>
        <w:spacing w:after="0" w:line="240" w:lineRule="auto"/>
      </w:pPr>
      <w:r>
        <w:separator/>
      </w:r>
    </w:p>
  </w:footnote>
  <w:footnote w:type="continuationSeparator" w:id="0">
    <w:p w:rsidR="00DC0198" w:rsidRDefault="00DC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F1" w:rsidRDefault="004A76F1" w:rsidP="00502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6F1" w:rsidRDefault="004A7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F1" w:rsidRDefault="004A76F1" w:rsidP="00502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0733">
      <w:rPr>
        <w:rStyle w:val="PageNumber"/>
        <w:noProof/>
      </w:rPr>
      <w:t>8</w:t>
    </w:r>
    <w:r>
      <w:rPr>
        <w:rStyle w:val="PageNumber"/>
      </w:rPr>
      <w:fldChar w:fldCharType="end"/>
    </w:r>
  </w:p>
  <w:p w:rsidR="004A76F1" w:rsidRDefault="004A7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2186"/>
    <w:multiLevelType w:val="hybridMultilevel"/>
    <w:tmpl w:val="AB5C6D4A"/>
    <w:lvl w:ilvl="0" w:tplc="1D769F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6025"/>
    <w:multiLevelType w:val="hybridMultilevel"/>
    <w:tmpl w:val="2F8462DE"/>
    <w:lvl w:ilvl="0" w:tplc="9B44EC8A">
      <w:start w:val="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851BA"/>
    <w:multiLevelType w:val="hybridMultilevel"/>
    <w:tmpl w:val="22D817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05DF3"/>
    <w:multiLevelType w:val="hybridMultilevel"/>
    <w:tmpl w:val="BED0C91C"/>
    <w:lvl w:ilvl="0" w:tplc="606C951C">
      <w:start w:val="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4"/>
    <w:rsid w:val="000125C6"/>
    <w:rsid w:val="00024C97"/>
    <w:rsid w:val="00044C48"/>
    <w:rsid w:val="00083C73"/>
    <w:rsid w:val="000E6D3B"/>
    <w:rsid w:val="00120F8F"/>
    <w:rsid w:val="00147506"/>
    <w:rsid w:val="00151811"/>
    <w:rsid w:val="0016664F"/>
    <w:rsid w:val="001A55EC"/>
    <w:rsid w:val="001F4177"/>
    <w:rsid w:val="00217F43"/>
    <w:rsid w:val="00251957"/>
    <w:rsid w:val="00262DDE"/>
    <w:rsid w:val="002720EB"/>
    <w:rsid w:val="002B3C53"/>
    <w:rsid w:val="002C4F79"/>
    <w:rsid w:val="003016DB"/>
    <w:rsid w:val="00306F4D"/>
    <w:rsid w:val="00311FEE"/>
    <w:rsid w:val="003470D4"/>
    <w:rsid w:val="003621DE"/>
    <w:rsid w:val="003F0D57"/>
    <w:rsid w:val="0040205A"/>
    <w:rsid w:val="00404DF6"/>
    <w:rsid w:val="0046254A"/>
    <w:rsid w:val="0046430B"/>
    <w:rsid w:val="00493746"/>
    <w:rsid w:val="004A76F1"/>
    <w:rsid w:val="004C394D"/>
    <w:rsid w:val="004D1879"/>
    <w:rsid w:val="00502556"/>
    <w:rsid w:val="00552C19"/>
    <w:rsid w:val="00553BFD"/>
    <w:rsid w:val="0055739E"/>
    <w:rsid w:val="00563025"/>
    <w:rsid w:val="0057590D"/>
    <w:rsid w:val="00577BA1"/>
    <w:rsid w:val="005C1135"/>
    <w:rsid w:val="005D4754"/>
    <w:rsid w:val="00663BA2"/>
    <w:rsid w:val="00696FFD"/>
    <w:rsid w:val="006976D3"/>
    <w:rsid w:val="006A34ED"/>
    <w:rsid w:val="006B189E"/>
    <w:rsid w:val="006D49BA"/>
    <w:rsid w:val="006D7EB3"/>
    <w:rsid w:val="0072657D"/>
    <w:rsid w:val="00745884"/>
    <w:rsid w:val="007C01C0"/>
    <w:rsid w:val="0083126E"/>
    <w:rsid w:val="00846052"/>
    <w:rsid w:val="00930F16"/>
    <w:rsid w:val="00944864"/>
    <w:rsid w:val="00956DA1"/>
    <w:rsid w:val="00986A37"/>
    <w:rsid w:val="009910D1"/>
    <w:rsid w:val="009D4D14"/>
    <w:rsid w:val="009F5CD1"/>
    <w:rsid w:val="009F5F72"/>
    <w:rsid w:val="00A16035"/>
    <w:rsid w:val="00A24713"/>
    <w:rsid w:val="00A6509F"/>
    <w:rsid w:val="00A71343"/>
    <w:rsid w:val="00A9131B"/>
    <w:rsid w:val="00A925FE"/>
    <w:rsid w:val="00AC1180"/>
    <w:rsid w:val="00AC4112"/>
    <w:rsid w:val="00AC7B43"/>
    <w:rsid w:val="00B10DA5"/>
    <w:rsid w:val="00B4149F"/>
    <w:rsid w:val="00B45E96"/>
    <w:rsid w:val="00BD2858"/>
    <w:rsid w:val="00BE1EC5"/>
    <w:rsid w:val="00BE6249"/>
    <w:rsid w:val="00BF6B1C"/>
    <w:rsid w:val="00C053E0"/>
    <w:rsid w:val="00C05853"/>
    <w:rsid w:val="00C35B38"/>
    <w:rsid w:val="00C53732"/>
    <w:rsid w:val="00C7601B"/>
    <w:rsid w:val="00C851BC"/>
    <w:rsid w:val="00CC3C04"/>
    <w:rsid w:val="00CD1D48"/>
    <w:rsid w:val="00CE6FD0"/>
    <w:rsid w:val="00D13A3C"/>
    <w:rsid w:val="00D46A7F"/>
    <w:rsid w:val="00D650FD"/>
    <w:rsid w:val="00D93E34"/>
    <w:rsid w:val="00DA02AC"/>
    <w:rsid w:val="00DA2B2A"/>
    <w:rsid w:val="00DC0198"/>
    <w:rsid w:val="00E10BCE"/>
    <w:rsid w:val="00E15224"/>
    <w:rsid w:val="00E406F2"/>
    <w:rsid w:val="00E672F9"/>
    <w:rsid w:val="00E71B4C"/>
    <w:rsid w:val="00E76E4D"/>
    <w:rsid w:val="00E80D11"/>
    <w:rsid w:val="00EB239B"/>
    <w:rsid w:val="00EF11BE"/>
    <w:rsid w:val="00F10F4D"/>
    <w:rsid w:val="00F14F1E"/>
    <w:rsid w:val="00F30733"/>
    <w:rsid w:val="00FA1A30"/>
    <w:rsid w:val="00FE0282"/>
    <w:rsid w:val="00FE54A9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AB88-8567-4637-B4E7-DBA9905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75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D4754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D475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D4754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5D475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02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2"/>
    <w:rPr>
      <w:rFonts w:ascii="Segoe UI" w:hAnsi="Segoe UI" w:cs="Segoe UI"/>
      <w:sz w:val="18"/>
      <w:szCs w:val="18"/>
    </w:rPr>
  </w:style>
  <w:style w:type="paragraph" w:customStyle="1" w:styleId="naisnod">
    <w:name w:val="naisnod"/>
    <w:basedOn w:val="Normal"/>
    <w:uiPriority w:val="99"/>
    <w:rsid w:val="004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4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4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0D"/>
    <w:pPr>
      <w:ind w:left="720"/>
      <w:contextualSpacing/>
    </w:pPr>
  </w:style>
  <w:style w:type="paragraph" w:customStyle="1" w:styleId="naisf">
    <w:name w:val="naisf"/>
    <w:basedOn w:val="Normal"/>
    <w:rsid w:val="00D93E3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eltermane@v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ja.dorozko@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4825-8601-4E03-8078-DA6C7834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10744</Words>
  <Characters>6125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Natālija Dorožko</dc:creator>
  <cp:lastModifiedBy>Kristīne Eltermane</cp:lastModifiedBy>
  <cp:revision>9</cp:revision>
  <cp:lastPrinted>2014-11-13T08:30:00Z</cp:lastPrinted>
  <dcterms:created xsi:type="dcterms:W3CDTF">2014-11-13T08:18:00Z</dcterms:created>
  <dcterms:modified xsi:type="dcterms:W3CDTF">2014-11-13T09:09:00Z</dcterms:modified>
</cp:coreProperties>
</file>