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FD" w:rsidRPr="00E44DA2" w:rsidRDefault="004060FD" w:rsidP="004060FD">
      <w:pPr>
        <w:ind w:firstLine="720"/>
        <w:jc w:val="center"/>
        <w:rPr>
          <w:b/>
        </w:rPr>
      </w:pPr>
      <w:r w:rsidRPr="00E44DA2">
        <w:rPr>
          <w:b/>
        </w:rPr>
        <w:t>Ministru kabineta noteikumu projekta „Grozījumi Ministru kabineta 2009.gada 7.aprīļa noteikumos Nr.300 „Mi</w:t>
      </w:r>
      <w:r>
        <w:rPr>
          <w:b/>
        </w:rPr>
        <w:t>nistru kabineta kārtības rullis”</w:t>
      </w:r>
      <w:r w:rsidRPr="00E44DA2">
        <w:rPr>
          <w:b/>
        </w:rPr>
        <w:t>”</w:t>
      </w:r>
    </w:p>
    <w:p w:rsidR="004060FD" w:rsidRPr="00AD5FFD" w:rsidRDefault="004060FD" w:rsidP="004060FD">
      <w:pPr>
        <w:spacing w:after="120"/>
        <w:ind w:firstLine="720"/>
        <w:jc w:val="center"/>
        <w:rPr>
          <w:b/>
        </w:rPr>
      </w:pPr>
      <w:r w:rsidRPr="00E44DA2">
        <w:rPr>
          <w:b/>
        </w:rPr>
        <w:t xml:space="preserve">sākotnējās ietekmes novērtējuma </w:t>
      </w:r>
      <w:smartTag w:uri="schemas-tilde-lv/tildestengine" w:element="veidnes">
        <w:smartTagPr>
          <w:attr w:name="id" w:val="-1"/>
          <w:attr w:name="baseform" w:val="ziņojums"/>
          <w:attr w:name="text" w:val="ziņojums"/>
        </w:smartTagPr>
        <w:r w:rsidRPr="00E44DA2">
          <w:rPr>
            <w:b/>
          </w:rPr>
          <w:t>ziņojums</w:t>
        </w:r>
      </w:smartTag>
      <w:r w:rsidRPr="00E44DA2">
        <w:rPr>
          <w:b/>
        </w:rPr>
        <w:t xml:space="preserve"> (anotācija)</w:t>
      </w: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8"/>
        <w:gridCol w:w="2778"/>
        <w:gridCol w:w="5960"/>
      </w:tblGrid>
      <w:tr w:rsidR="004060FD" w:rsidRPr="00CF666C" w:rsidTr="001F565D">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4060FD" w:rsidRPr="00CF666C" w:rsidRDefault="004060FD" w:rsidP="001F565D">
            <w:pPr>
              <w:spacing w:before="100" w:beforeAutospacing="1" w:after="100" w:afterAutospacing="1" w:line="360" w:lineRule="auto"/>
              <w:ind w:firstLine="300"/>
              <w:jc w:val="center"/>
              <w:rPr>
                <w:b/>
                <w:bCs/>
              </w:rPr>
            </w:pPr>
            <w:r w:rsidRPr="00CF666C">
              <w:rPr>
                <w:b/>
                <w:bCs/>
              </w:rPr>
              <w:t>I. Tiesību akta projekta izstrādes nepieciešamība</w:t>
            </w:r>
          </w:p>
        </w:tc>
      </w:tr>
      <w:tr w:rsidR="004060FD" w:rsidRPr="00CF666C" w:rsidTr="001F565D">
        <w:trPr>
          <w:trHeight w:val="40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ind w:firstLine="300"/>
              <w:jc w:val="center"/>
            </w:pPr>
            <w:r w:rsidRPr="00CF666C">
              <w:t>1.</w:t>
            </w:r>
          </w:p>
        </w:tc>
        <w:tc>
          <w:tcPr>
            <w:tcW w:w="146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Pamatojums</w:t>
            </w:r>
          </w:p>
        </w:tc>
        <w:tc>
          <w:tcPr>
            <w:tcW w:w="3126" w:type="pct"/>
            <w:tcBorders>
              <w:top w:val="outset" w:sz="6" w:space="0" w:color="auto"/>
              <w:left w:val="outset" w:sz="6" w:space="0" w:color="auto"/>
              <w:bottom w:val="outset" w:sz="6" w:space="0" w:color="auto"/>
              <w:right w:val="outset" w:sz="6" w:space="0" w:color="auto"/>
            </w:tcBorders>
            <w:hideMark/>
          </w:tcPr>
          <w:p w:rsidR="004060FD" w:rsidRPr="00CF666C" w:rsidRDefault="0054180C" w:rsidP="0054180C">
            <w:pPr>
              <w:jc w:val="both"/>
            </w:pPr>
            <w:r w:rsidRPr="00C47C99">
              <w:t xml:space="preserve">Izdoti saskaņā ar Ministru kabineta iekārtas </w:t>
            </w:r>
            <w:r>
              <w:t xml:space="preserve">likuma 15.panta ceturto daļu, </w:t>
            </w:r>
            <w:r w:rsidRPr="00C47C99">
              <w:t>22.panta ceturto daļu, 27.panta otro daļu, 28.panta</w:t>
            </w:r>
            <w:r>
              <w:t xml:space="preserve"> sesto daļu, 29.panta otro daļu </w:t>
            </w:r>
            <w:r w:rsidRPr="00C47C99">
              <w:t>un Attīstības plānošanas sistēmas likuma 11.panta piekto daļu</w:t>
            </w:r>
            <w:r>
              <w:t>.</w:t>
            </w:r>
          </w:p>
        </w:tc>
      </w:tr>
      <w:tr w:rsidR="004060FD" w:rsidRPr="00CF666C" w:rsidTr="001F565D">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ind w:firstLine="300"/>
              <w:jc w:val="center"/>
            </w:pPr>
            <w:r w:rsidRPr="00CF666C">
              <w:t>2.</w:t>
            </w:r>
          </w:p>
        </w:tc>
        <w:tc>
          <w:tcPr>
            <w:tcW w:w="146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Pašreizējā situācija un problēmas, kuru risināšanai tiesību akta projekts izstrādāts, tiesiskā regulējuma mērķis un būtība</w:t>
            </w:r>
          </w:p>
        </w:tc>
        <w:tc>
          <w:tcPr>
            <w:tcW w:w="3126" w:type="pct"/>
            <w:tcBorders>
              <w:top w:val="outset" w:sz="6" w:space="0" w:color="auto"/>
              <w:left w:val="outset" w:sz="6" w:space="0" w:color="auto"/>
              <w:bottom w:val="outset" w:sz="6" w:space="0" w:color="auto"/>
              <w:right w:val="outset" w:sz="6" w:space="0" w:color="auto"/>
            </w:tcBorders>
            <w:hideMark/>
          </w:tcPr>
          <w:p w:rsidR="004060FD" w:rsidRDefault="004060FD" w:rsidP="004060FD">
            <w:pPr>
              <w:pStyle w:val="tv213"/>
              <w:spacing w:before="0" w:beforeAutospacing="0" w:after="0" w:afterAutospacing="0"/>
              <w:jc w:val="both"/>
            </w:pPr>
            <w:r>
              <w:t>Latvijas Republikas Saeima ir pieņēmusi likumu „Grozījumi Pilsonības likumā”, kas stājās spēkā 2013.gada 1.oktobrī. Ar minēto likumu likumdevējs ir izdarījis būtiskus grozījumus dubultās pilsonības regulējumā, paplašinot dubultās pilsonības izveidošanās gadījumu iespējamību un nosakot to valstu loku, kuru pilsonis vienlaikus var būt Latvijas pilsonis.</w:t>
            </w:r>
          </w:p>
          <w:p w:rsidR="004060FD" w:rsidRDefault="004060FD" w:rsidP="004060FD">
            <w:pPr>
              <w:pStyle w:val="tv213"/>
              <w:spacing w:before="0" w:beforeAutospacing="0" w:after="0" w:afterAutospacing="0"/>
              <w:jc w:val="both"/>
            </w:pPr>
            <w:r>
              <w:t xml:space="preserve">Līdztekus Pilsonības likuma 9.panta pirmās daļas </w:t>
            </w:r>
            <w:r w:rsidRPr="00661560">
              <w:t>1., 2., 3. un 4.punktā</w:t>
            </w:r>
            <w:r>
              <w:t xml:space="preserve"> ietvertajam valstu uzskaitījumam, kuru pilsonību iegūstot Latvijas pilsonim saglabājas Latvijas pilsonība, likumdevējs Pilsonības likuma 9.panta pirmās daļas 5.punktā ir noteicis kompetenci Ministru kabinetam pieņemt lēmumu atļaut Latvijas pilsonim, kurš ir ieguvis Pilsonības likuma pirmās daļas 1., 2., 3. un 4.punktā neminētas valsts pilsonību, saglabāt Latvijas pilsonību atbilstoši svarīgām valsts interesēm. </w:t>
            </w:r>
          </w:p>
          <w:p w:rsidR="004060FD" w:rsidRDefault="004060FD" w:rsidP="004060FD">
            <w:pPr>
              <w:pStyle w:val="tv213"/>
              <w:spacing w:before="0" w:beforeAutospacing="0" w:after="0" w:afterAutospacing="0"/>
              <w:jc w:val="both"/>
            </w:pPr>
            <w:r>
              <w:t xml:space="preserve">Arī dažām personu kategorijām, kuras iegūst Latvijas pilsonību, likumdevējs atbilstoši Pilsonības likuma mērķim ir pieļāvis dubultās pilsonības izveidošanās iespējamību. Saskaņā ar Pilsonības likuma </w:t>
            </w:r>
            <w:r w:rsidR="00D46582">
              <w:t xml:space="preserve">9.panta </w:t>
            </w:r>
            <w:r>
              <w:t xml:space="preserve">otro daļu personai, kura pēc 2013.gada 1.oktobra iegūst Latvijas pilsonību atbilstoši šā likuma 2.panta pirmās daļas 2. vai 4.punktam, dubultā pilsonība var izveidoties tikai tad, ja šai personai ir citas Eiropas Savienības dalībvalsts, Eiropas Brīvās tirdzniecības asociācijas dalībvalsts, Ziemeļatlantijas līguma organizācijas dalībvalsts, Austrālijas Savienības, Brazīlijas Federatīvās Republikas, Jaunzēlandes vai tādas valsts pilsonība, ar kuru Latvijas Republika noslēgusi līgumu par dubultās pilsonības atzīšanu, vai iepriekš neminētas valsts pilsonība, ja ir saņemta Ministru kabineta atļauja. </w:t>
            </w:r>
          </w:p>
          <w:p w:rsidR="004060FD" w:rsidRDefault="004060FD" w:rsidP="004060FD">
            <w:pPr>
              <w:pStyle w:val="tv213"/>
              <w:spacing w:before="0" w:beforeAutospacing="0" w:after="0" w:afterAutospacing="0"/>
              <w:jc w:val="both"/>
            </w:pPr>
            <w:r>
              <w:t xml:space="preserve">Tādējādi likumdevējs ir paredzējis īpašu Ministru kabineta lēmumu atļaut vai atteikt atļaut personai saglabāt Latvijas vai citas valsts pilsonību. </w:t>
            </w:r>
          </w:p>
          <w:p w:rsidR="004060FD" w:rsidRDefault="004060FD" w:rsidP="004060FD">
            <w:pPr>
              <w:pStyle w:val="tv213"/>
              <w:spacing w:before="0" w:beforeAutospacing="0" w:after="0" w:afterAutospacing="0"/>
              <w:jc w:val="both"/>
            </w:pPr>
            <w:r w:rsidRPr="0031150F">
              <w:t>Vienlaikus likumdevējs</w:t>
            </w:r>
            <w:r>
              <w:t xml:space="preserve"> </w:t>
            </w:r>
            <w:r w:rsidRPr="0031150F">
              <w:t xml:space="preserve">nav noteicis </w:t>
            </w:r>
            <w:r>
              <w:t xml:space="preserve">Ministru kabineta lēmuma procesuālo formu, tā sagatavošanas un virzības procesuālo regulējumu, kā arī nav konkretizējis jēdziena „svarīgas valsts intereses” saturu, izņemot nosacījumu Pilsonības likuma 9.panta pirmās daļas 5.punktā, ka </w:t>
            </w:r>
            <w:r>
              <w:lastRenderedPageBreak/>
              <w:t>Ministru kabineta lēmums nav pārsūdzams. Tādējādi secināms, ka Ministru kabineta lēmums ir Ministru kabineta politiskās izšķiršanās jautājums un jēdziena „svarīgas valsts intereses” satura noteikšanu likumdevējs ir deleģējis Ministru kabinetam. Līdz ar to nav pamata minētā lēmuma projektu sagatavot un virzīt atbilstoši Ministru kabineta 2009.gada 7.aprīļa noteikumos Nr.300 „Ministru kabineta kārtības rullis” noteiktajai normatīvo aktu projektu virzības vispārējai kārtībai, paredzot izsludināšanas vai saskaņošanas procedūru.</w:t>
            </w:r>
          </w:p>
          <w:p w:rsidR="004060FD" w:rsidRDefault="004060FD" w:rsidP="004060FD">
            <w:pPr>
              <w:pStyle w:val="tv213"/>
              <w:spacing w:before="120" w:beforeAutospacing="0" w:after="0" w:afterAutospacing="0"/>
              <w:jc w:val="both"/>
            </w:pPr>
            <w:r>
              <w:t xml:space="preserve">Ievērojot tiesību aktus, kas reglamentē Ministru kabineta darbību un tā kompetencē esošo jautājumu izskatīšanas kārtību, Ministru kabinetā izskatāmo tiesību aktu veidus, to virzības un iesniegšanas kārtību izskatīšanai Ministru kabineta sēdē, kā arī salīdzināmo regulējumu Latvijas pilsonības iegūšanai naturalizācijas kārtībā (saskaņā ar Pilsonības likuma 17.panta piekto daļu lēmumu par uzņemšanu pilsonībā pieņem Ministru kabinets, savukārt saskaņā ar Ministru kabineta 2009.gada 7.aprīļa noteikumu Nr.300 „Ministru kabineta kārtības rullis” 73.4.apakšpunktu Valsts sekretāru sanāksmē nav nepieciešams izsludināt (atbildīgā ministrija šos tiesību aktu projektus saskaņo atbilstoši šo noteikumu 111.punktam) Ministru kabineta rīkojuma projektu par pilsonības piešķiršanu naturalizācijas kārtībā vai pilsonības atjaunošanu), secināms, ka Pilsonības likuma 9.panta pirmās daļas 5.punktā un otrajā daļā minētā Ministru kabineta atļauja tiks dota (vai tiks atteikta) Ministru kabineta rīkojuma veidā. </w:t>
            </w:r>
          </w:p>
          <w:p w:rsidR="00D67352" w:rsidRDefault="004060FD" w:rsidP="00D67352">
            <w:pPr>
              <w:pStyle w:val="tvhtml"/>
              <w:spacing w:before="120" w:beforeAutospacing="0" w:after="0" w:afterAutospacing="0"/>
              <w:jc w:val="both"/>
            </w:pPr>
            <w:r>
              <w:t>Šobrīd Ministru kabineta</w:t>
            </w:r>
            <w:r w:rsidR="006536A9">
              <w:t xml:space="preserve"> 2009.gada 7.aprīļa noteikumu</w:t>
            </w:r>
            <w:r>
              <w:t xml:space="preserve"> Nr.300 „Ministru kabineta kārtības rullis” </w:t>
            </w:r>
            <w:r w:rsidR="006536A9">
              <w:t xml:space="preserve">73.4.apakšpunktā un </w:t>
            </w:r>
            <w:r w:rsidR="006536A9" w:rsidRPr="006536A9">
              <w:t>5.pielikuma II sadaļas 5.</w:t>
            </w:r>
            <w:r w:rsidR="006536A9">
              <w:t xml:space="preserve">1. un 5.2.apakšpunktā </w:t>
            </w:r>
            <w:r w:rsidR="003138D3">
              <w:t>ir noteikta</w:t>
            </w:r>
            <w:r w:rsidR="006536A9">
              <w:t xml:space="preserve"> tikai</w:t>
            </w:r>
            <w:r w:rsidR="003138D3">
              <w:t xml:space="preserve"> </w:t>
            </w:r>
            <w:r w:rsidR="00E32BCA">
              <w:t xml:space="preserve">Pilsonības un migrācijas lietu pārvaldes sagatavotā </w:t>
            </w:r>
            <w:r w:rsidR="003138D3">
              <w:t xml:space="preserve">Ministru kabineta rīkojuma projekta par pilsonības piešķiršanu naturalizācijas kārtībā </w:t>
            </w:r>
            <w:r w:rsidR="001E19D5">
              <w:t xml:space="preserve">un Ministru kabineta rīkojuma projekta par pilsonības atjaunošanu </w:t>
            </w:r>
            <w:r w:rsidR="00D412CF">
              <w:t xml:space="preserve">virzības un </w:t>
            </w:r>
            <w:r w:rsidR="001E19D5">
              <w:t>iesniegšanas</w:t>
            </w:r>
            <w:r w:rsidR="00D412CF">
              <w:t xml:space="preserve"> kārtība</w:t>
            </w:r>
            <w:r w:rsidR="001E19D5">
              <w:t xml:space="preserve"> </w:t>
            </w:r>
            <w:r w:rsidR="009C1E3F">
              <w:t xml:space="preserve">izskatīšanai </w:t>
            </w:r>
            <w:r w:rsidR="001E19D5">
              <w:t>Ministru kabineta sēdē</w:t>
            </w:r>
            <w:r w:rsidR="00D412CF">
              <w:t>.</w:t>
            </w:r>
            <w:r w:rsidR="009C1E3F">
              <w:t xml:space="preserve"> </w:t>
            </w:r>
          </w:p>
          <w:p w:rsidR="00D67352" w:rsidRDefault="006536A9" w:rsidP="00D412CF">
            <w:pPr>
              <w:pStyle w:val="tvhtml"/>
              <w:spacing w:before="120" w:beforeAutospacing="0" w:after="0" w:afterAutospacing="0"/>
              <w:jc w:val="both"/>
            </w:pPr>
            <w:r>
              <w:t>Turklāt a</w:t>
            </w:r>
            <w:r w:rsidR="00D67352">
              <w:t>r 2013.gada 9.maija likumu „Grozījumi Pilsonības likumā” ir izdarīti grozījumi arī Pilsonības likuma 25.pantā</w:t>
            </w:r>
            <w:r>
              <w:t xml:space="preserve"> – </w:t>
            </w:r>
            <w:r w:rsidR="00D67352">
              <w:t xml:space="preserve">turpmāk vairs neparedzot atjaunot personai pilsonību ar Ministru kabineta lēmumu. Saskaņā ar Pilsonības likuma 25.panta septīto daļu Ministru kabinets nosaka atbildīgo institūciju un kārtību, kādā tā atjauno personai Latvijas pilsonību. Savukārt Ministru kabinets, izdodot Ministru kabineta 2013.gada 24.septembra noteikumus Nr.975 </w:t>
            </w:r>
            <w:r w:rsidR="00D67352">
              <w:lastRenderedPageBreak/>
              <w:t xml:space="preserve">„Latvijas pilsonības zaudēšanas un atjaunošanas kārtība”, kompetenci pieņemt lēmumu par Latvijas pilsonības atjaunošanu ir noteicis Pilsonības un migrācijas lietu pārvaldei. Tādējādi no 2013.gada 1.oktobra lēmumu atjaunot personai Latvijas pilsonību vairs nepieņem Ministru kabinets. </w:t>
            </w:r>
          </w:p>
          <w:p w:rsidR="004060FD" w:rsidRPr="00B03325" w:rsidRDefault="004060FD" w:rsidP="004060FD">
            <w:pPr>
              <w:pStyle w:val="tv213"/>
              <w:spacing w:before="0" w:beforeAutospacing="0" w:after="0" w:afterAutospacing="0"/>
              <w:jc w:val="both"/>
            </w:pPr>
          </w:p>
          <w:p w:rsidR="004060FD" w:rsidRDefault="004060FD" w:rsidP="004060FD">
            <w:pPr>
              <w:pStyle w:val="ListParagraph"/>
              <w:tabs>
                <w:tab w:val="left" w:pos="0"/>
              </w:tabs>
              <w:ind w:left="0" w:right="-11"/>
              <w:jc w:val="both"/>
            </w:pPr>
            <w:r>
              <w:t>Līdz ar to nepieciešams izstrādāt Ministru kabineta noteikumu projektu „Grozījumi Ministru kabineta 2009.gada 7.aprīļa noteikumos Nr.300 „Ministru kabineta kārtība</w:t>
            </w:r>
            <w:r w:rsidR="00B57694">
              <w:t>s rullis””</w:t>
            </w:r>
            <w:r w:rsidR="003138D3">
              <w:t>, paredzot attiecīgo regulējumu</w:t>
            </w:r>
            <w:r w:rsidR="00B57694">
              <w:t>.</w:t>
            </w:r>
          </w:p>
          <w:p w:rsidR="004060FD" w:rsidRDefault="00B57694" w:rsidP="004060FD">
            <w:pPr>
              <w:pStyle w:val="naiskr"/>
              <w:spacing w:before="120" w:after="0"/>
              <w:jc w:val="both"/>
            </w:pPr>
            <w:r>
              <w:t xml:space="preserve">Noteikumu </w:t>
            </w:r>
            <w:r w:rsidR="006536A9">
              <w:t>projekts līdztekus</w:t>
            </w:r>
            <w:r w:rsidR="004060FD" w:rsidRPr="00C002CE">
              <w:t xml:space="preserve"> Ministru kabineta rīkojuma projekta</w:t>
            </w:r>
            <w:r w:rsidR="006536A9">
              <w:t>m par pilsonības piešķiršanu naturalizācijas kārtībā (attiecībā uz personām, uz kurām attiecas Pilsonības likuma 11.pantā noteiktie naturalizācijas ierobežojumi vai kuras neizpilda Pilsonības likuma 12.pantā minētos naturalizācijas noteikumus, Pilsonības un migrācijas lietu pārvalde pieņem administratīvo aktu par naturalizācijas atteikumu)</w:t>
            </w:r>
            <w:r w:rsidR="004060FD" w:rsidRPr="00C002CE">
              <w:t xml:space="preserve"> </w:t>
            </w:r>
            <w:r w:rsidR="006536A9">
              <w:t xml:space="preserve">nosaka Ministru kabineta rīkojuma projekta </w:t>
            </w:r>
            <w:r w:rsidR="004060FD">
              <w:t xml:space="preserve">par </w:t>
            </w:r>
            <w:r w:rsidR="004060FD" w:rsidRPr="00C002CE">
              <w:t>atļauju vai atteikumu atļaut saglabāt Latvijas pilsonību vai citas valsts pilsonību</w:t>
            </w:r>
            <w:r w:rsidR="004060FD">
              <w:t xml:space="preserve"> </w:t>
            </w:r>
            <w:r w:rsidR="006536A9">
              <w:t xml:space="preserve">virzības un </w:t>
            </w:r>
            <w:r w:rsidR="004060FD">
              <w:t xml:space="preserve">iesniegšanas kārtību </w:t>
            </w:r>
            <w:r w:rsidR="006536A9">
              <w:t>Ministru kabinetā</w:t>
            </w:r>
            <w:r w:rsidR="004060FD">
              <w:t xml:space="preserve">, tam pievienojamos dokumentus, kā arī tā izskatīšanas kārtību Ministru kabineta sēdē. </w:t>
            </w:r>
          </w:p>
          <w:p w:rsidR="004060FD" w:rsidRPr="00CF666C" w:rsidRDefault="004060FD" w:rsidP="00B57694">
            <w:pPr>
              <w:pStyle w:val="naiskr"/>
              <w:spacing w:before="0" w:after="0"/>
              <w:jc w:val="both"/>
            </w:pPr>
            <w:r>
              <w:t>Noteikumu projektā ir grozīta Ministru kabineta 2009.gada 7.aprīļa noteikumu Nr.300 „Ministru kabineta kārtības rullis”</w:t>
            </w:r>
            <w:r w:rsidR="00B57694">
              <w:t xml:space="preserve"> </w:t>
            </w:r>
            <w:r>
              <w:t xml:space="preserve">73.4.apakšpunkta </w:t>
            </w:r>
            <w:r w:rsidRPr="00C002CE">
              <w:t>un 5.pielikuma II sadaļas 5.1. un 5.2.apakšpunkt</w:t>
            </w:r>
            <w:r>
              <w:t>a redakcija, turpmāk nenosakot regulējumu Ministru kabineta rīkojuma projekta par Latvijas pilsonības atjaunošanu iesniegšanas un izskatīšanas Ministru kabinetā kārtību.</w:t>
            </w:r>
          </w:p>
        </w:tc>
      </w:tr>
      <w:tr w:rsidR="004060FD" w:rsidRPr="00CF666C" w:rsidTr="001F565D">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ind w:firstLine="300"/>
              <w:jc w:val="center"/>
            </w:pPr>
            <w:r w:rsidRPr="00CF666C">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Projekta izstrādē iesaistītās institūcijas</w:t>
            </w:r>
          </w:p>
        </w:tc>
        <w:tc>
          <w:tcPr>
            <w:tcW w:w="3126"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t>Pilsonības un migrācijas lietu pārvalde</w:t>
            </w:r>
          </w:p>
        </w:tc>
      </w:tr>
      <w:tr w:rsidR="004060FD" w:rsidRPr="00CF666C" w:rsidTr="001F565D">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ind w:firstLine="300"/>
              <w:jc w:val="center"/>
            </w:pPr>
            <w:r w:rsidRPr="00CF666C">
              <w:t>4.</w:t>
            </w:r>
          </w:p>
        </w:tc>
        <w:tc>
          <w:tcPr>
            <w:tcW w:w="146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Cita informācija</w:t>
            </w:r>
          </w:p>
        </w:tc>
        <w:tc>
          <w:tcPr>
            <w:tcW w:w="3126"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pPr>
            <w:r w:rsidRPr="00CF666C">
              <w:t>Nav</w:t>
            </w:r>
          </w:p>
        </w:tc>
      </w:tr>
    </w:tbl>
    <w:p w:rsidR="004060FD" w:rsidRPr="00CF666C" w:rsidRDefault="004060FD" w:rsidP="004060FD">
      <w:pPr>
        <w:spacing w:before="100" w:beforeAutospacing="1" w:after="100" w:afterAutospacing="1" w:line="360" w:lineRule="auto"/>
        <w:rPr>
          <w:rFonts w:ascii="Arial" w:hAnsi="Arial" w:cs="Arial"/>
          <w:color w:val="414142"/>
          <w:sz w:val="20"/>
          <w:szCs w:val="20"/>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2813"/>
        <w:gridCol w:w="6123"/>
      </w:tblGrid>
      <w:tr w:rsidR="004060FD" w:rsidRPr="00CF666C" w:rsidTr="001F565D">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4060FD" w:rsidRPr="00CF666C" w:rsidRDefault="004060FD" w:rsidP="001F565D">
            <w:pPr>
              <w:jc w:val="center"/>
              <w:rPr>
                <w:b/>
                <w:bCs/>
              </w:rPr>
            </w:pPr>
            <w:r w:rsidRPr="004060FD">
              <w:rPr>
                <w:b/>
                <w:bCs/>
              </w:rPr>
              <w:t>II. Tiesību akta projekta ietekme uz sabiedrību, tautsaimniecības attīstību un administratīvo slogu</w:t>
            </w:r>
          </w:p>
        </w:tc>
      </w:tr>
      <w:tr w:rsidR="004060FD" w:rsidRPr="00CF666C" w:rsidTr="001F565D">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1.</w:t>
            </w:r>
          </w:p>
        </w:tc>
        <w:tc>
          <w:tcPr>
            <w:tcW w:w="1485"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ind w:left="58" w:right="84"/>
              <w:jc w:val="both"/>
            </w:pPr>
            <w:r w:rsidRPr="00484BA8">
              <w:t>Latvijas pilsoņi, kuri ir ieguvuši Pilsonības likuma 9.panta pirmās daļas 1., 2., 3. un 4.punktā neminētas valsts pilsonību</w:t>
            </w:r>
            <w:r>
              <w:t xml:space="preserve"> un</w:t>
            </w:r>
            <w:r w:rsidRPr="00484BA8">
              <w:t xml:space="preserve"> ci</w:t>
            </w:r>
            <w:r>
              <w:t xml:space="preserve">tu valstu </w:t>
            </w:r>
            <w:r w:rsidRPr="00484BA8">
              <w:t>pilsoņi</w:t>
            </w:r>
            <w:r>
              <w:t>,</w:t>
            </w:r>
            <w:r w:rsidRPr="00484BA8">
              <w:t xml:space="preserve"> </w:t>
            </w:r>
            <w:r>
              <w:t>kuri</w:t>
            </w:r>
            <w:r w:rsidRPr="00484BA8">
              <w:t xml:space="preserve"> ir Pilsonības likuma 9.panta </w:t>
            </w:r>
            <w:r>
              <w:t>otrajā daļā neminētas valsts pilsoņi</w:t>
            </w:r>
            <w:r w:rsidRPr="00484BA8">
              <w:t xml:space="preserve"> un kur</w:t>
            </w:r>
            <w:r>
              <w:t>i</w:t>
            </w:r>
            <w:r w:rsidRPr="00484BA8">
              <w:t xml:space="preserve"> iegūst Latvijas </w:t>
            </w:r>
            <w:r w:rsidRPr="00484BA8">
              <w:lastRenderedPageBreak/>
              <w:t>pilsonību saskaņā ar Pilsonības likuma 2.panta pirmās daļas 2. un 4.punktu</w:t>
            </w:r>
            <w:r>
              <w:t>.</w:t>
            </w:r>
            <w:r w:rsidRPr="00436B18">
              <w:t xml:space="preserve"> </w:t>
            </w:r>
            <w:r>
              <w:t>Grupas skaitlisko apmēru nav iespējams noteikt.</w:t>
            </w:r>
          </w:p>
        </w:tc>
      </w:tr>
      <w:tr w:rsidR="004060FD" w:rsidRPr="00CF666C" w:rsidTr="001F565D">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lastRenderedPageBreak/>
              <w:t>2.</w:t>
            </w:r>
          </w:p>
        </w:tc>
        <w:tc>
          <w:tcPr>
            <w:tcW w:w="1485"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jc w:val="both"/>
            </w:pPr>
            <w:r>
              <w:t>Sabiedrības grupām un institūcijām projekta tiesiskais regulējums nemaina tiesības un pienākumus, kā arī veicamās darbības</w:t>
            </w:r>
          </w:p>
        </w:tc>
      </w:tr>
      <w:tr w:rsidR="004060FD" w:rsidRPr="00CF666C" w:rsidTr="001F565D">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3.</w:t>
            </w:r>
          </w:p>
        </w:tc>
        <w:tc>
          <w:tcPr>
            <w:tcW w:w="1485"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t>Projekts šo jomu neskar</w:t>
            </w:r>
          </w:p>
        </w:tc>
      </w:tr>
      <w:tr w:rsidR="004060FD" w:rsidRPr="00CF666C" w:rsidTr="001F565D">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4.</w:t>
            </w:r>
          </w:p>
        </w:tc>
        <w:tc>
          <w:tcPr>
            <w:tcW w:w="1485"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Cita informācija</w:t>
            </w:r>
          </w:p>
        </w:tc>
        <w:tc>
          <w:tcPr>
            <w:tcW w:w="3212"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pPr>
            <w:r w:rsidRPr="00CF666C">
              <w:t>Nav</w:t>
            </w:r>
          </w:p>
        </w:tc>
      </w:tr>
    </w:tbl>
    <w:p w:rsidR="004060FD" w:rsidRPr="00CF666C" w:rsidRDefault="004060FD" w:rsidP="004060FD">
      <w:pPr>
        <w:spacing w:before="100" w:beforeAutospacing="1" w:after="100" w:afterAutospacing="1" w:line="360" w:lineRule="auto"/>
        <w:ind w:firstLine="300"/>
        <w:rPr>
          <w:rFonts w:ascii="Arial" w:hAnsi="Arial" w:cs="Arial"/>
          <w:color w:val="414142"/>
          <w:sz w:val="20"/>
          <w:szCs w:val="20"/>
        </w:rPr>
      </w:pPr>
      <w:r w:rsidRPr="00CF666C">
        <w:rPr>
          <w:rFonts w:ascii="Arial" w:hAnsi="Arial" w:cs="Arial"/>
          <w:color w:val="414142"/>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4060FD" w:rsidRPr="00CF666C" w:rsidTr="001F565D">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60FD" w:rsidRPr="007678D4" w:rsidRDefault="004060FD" w:rsidP="001F565D">
            <w:pPr>
              <w:spacing w:before="100" w:beforeAutospacing="1" w:after="100" w:afterAutospacing="1" w:line="360" w:lineRule="auto"/>
              <w:ind w:firstLine="300"/>
              <w:jc w:val="center"/>
              <w:rPr>
                <w:b/>
                <w:bCs/>
              </w:rPr>
            </w:pPr>
            <w:r w:rsidRPr="007678D4">
              <w:rPr>
                <w:b/>
                <w:bCs/>
              </w:rPr>
              <w:t>IV</w:t>
            </w:r>
            <w:r>
              <w:rPr>
                <w:b/>
                <w:bCs/>
              </w:rPr>
              <w:t>.</w:t>
            </w:r>
            <w:r w:rsidRPr="007678D4">
              <w:rPr>
                <w:b/>
              </w:rPr>
              <w:t xml:space="preserve"> Tiesību akta projekta ietekme uz spēkā esošo tiesību normu sistēmu</w:t>
            </w:r>
          </w:p>
        </w:tc>
      </w:tr>
      <w:tr w:rsidR="004060FD" w:rsidRPr="00CF666C" w:rsidTr="001F565D">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711F59">
              <w:rPr>
                <w:sz w:val="22"/>
                <w:szCs w:val="22"/>
              </w:rPr>
              <w:t>Nepieciešamie saistītie tiesību aktu projekti</w:t>
            </w:r>
          </w:p>
        </w:tc>
        <w:tc>
          <w:tcPr>
            <w:tcW w:w="3208" w:type="pct"/>
            <w:tcBorders>
              <w:top w:val="outset" w:sz="6" w:space="0" w:color="auto"/>
              <w:left w:val="outset" w:sz="6" w:space="0" w:color="auto"/>
              <w:bottom w:val="outset" w:sz="6" w:space="0" w:color="auto"/>
              <w:right w:val="outset" w:sz="6" w:space="0" w:color="auto"/>
            </w:tcBorders>
            <w:hideMark/>
          </w:tcPr>
          <w:p w:rsidR="004060FD" w:rsidRPr="00CF666C" w:rsidRDefault="004060FD" w:rsidP="00087629">
            <w:pPr>
              <w:jc w:val="both"/>
            </w:pPr>
            <w:r>
              <w:t>Vienlaicīgi ir nepieciešams izstrādāt Ministru kabineta instrukcijas projektu „Iesnieguma par atļauju saglabāt Latvijas vai citas valsts pilsonību izskatīšanas kārtību</w:t>
            </w:r>
            <w:r w:rsidRPr="00AE3779">
              <w:t>”</w:t>
            </w:r>
            <w:r>
              <w:t xml:space="preserve">, kurā būs noteikta iestāde, kas sagatavos Ministru kabineta rīkojuma projektu, kā arī tiks noteikta minētās iestādes kompetence Ministru kabineta rīkojuma projekta sagatavošanā. Ministru kabineta instrukciju izstrādā Pilsonības un migrācijas lietu pārvalde (Iekšlietu ministrija) un tā iesniedzama </w:t>
            </w:r>
            <w:r w:rsidR="00087629">
              <w:t>Ministru kabinetā</w:t>
            </w:r>
            <w:r>
              <w:t xml:space="preserve"> vienlaicīgi ar noteikumu projektu.</w:t>
            </w:r>
          </w:p>
        </w:tc>
      </w:tr>
      <w:tr w:rsidR="004060FD" w:rsidRPr="00CF666C" w:rsidTr="001F565D">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4060FD" w:rsidRPr="001E4DE3" w:rsidRDefault="004060FD" w:rsidP="001F565D">
            <w:pPr>
              <w:rPr>
                <w:highlight w:val="yellow"/>
              </w:rPr>
            </w:pPr>
            <w:r w:rsidRPr="007678D4">
              <w:t>Atbildīgā institūcija</w:t>
            </w:r>
          </w:p>
        </w:tc>
        <w:tc>
          <w:tcPr>
            <w:tcW w:w="3208"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t>Pilsonības un migrācijas lietu pārvalde</w:t>
            </w:r>
          </w:p>
        </w:tc>
      </w:tr>
      <w:tr w:rsidR="004060FD" w:rsidRPr="00CF666C" w:rsidTr="001F565D">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t>3.</w:t>
            </w:r>
          </w:p>
        </w:tc>
        <w:tc>
          <w:tcPr>
            <w:tcW w:w="1480" w:type="pct"/>
            <w:tcBorders>
              <w:top w:val="outset" w:sz="6" w:space="0" w:color="auto"/>
              <w:left w:val="outset" w:sz="6" w:space="0" w:color="auto"/>
              <w:bottom w:val="outset" w:sz="6" w:space="0" w:color="auto"/>
              <w:right w:val="outset" w:sz="6" w:space="0" w:color="auto"/>
            </w:tcBorders>
            <w:hideMark/>
          </w:tcPr>
          <w:p w:rsidR="004060FD" w:rsidRPr="007678D4" w:rsidRDefault="004060FD" w:rsidP="001F565D">
            <w: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4060FD" w:rsidRDefault="004060FD" w:rsidP="001F565D">
            <w:r>
              <w:t>Nav</w:t>
            </w:r>
          </w:p>
        </w:tc>
      </w:tr>
    </w:tbl>
    <w:p w:rsidR="004060FD" w:rsidRDefault="004060FD" w:rsidP="004060FD">
      <w:pPr>
        <w:spacing w:before="100" w:beforeAutospacing="1" w:after="100" w:afterAutospacing="1" w:line="360" w:lineRule="auto"/>
        <w:rPr>
          <w:rFonts w:ascii="Arial" w:hAnsi="Arial" w:cs="Arial"/>
          <w:color w:val="414142"/>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4060FD" w:rsidRPr="00CF666C" w:rsidTr="001F565D">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60FD" w:rsidRPr="00CF666C" w:rsidRDefault="004060FD" w:rsidP="001F565D">
            <w:pPr>
              <w:spacing w:before="100" w:beforeAutospacing="1" w:after="100" w:afterAutospacing="1" w:line="360" w:lineRule="auto"/>
              <w:ind w:firstLine="300"/>
              <w:jc w:val="center"/>
              <w:rPr>
                <w:b/>
                <w:bCs/>
              </w:rPr>
            </w:pPr>
            <w:r w:rsidRPr="00CF666C">
              <w:rPr>
                <w:b/>
                <w:bCs/>
              </w:rPr>
              <w:t>VI. Sabiedrības līdzdalība un komunikācijas aktivitātes</w:t>
            </w:r>
          </w:p>
        </w:tc>
      </w:tr>
      <w:tr w:rsidR="004060FD" w:rsidRPr="00CF666C" w:rsidTr="001F565D">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jc w:val="both"/>
            </w:pPr>
            <w:r w:rsidRPr="00C7066E">
              <w:t xml:space="preserve">Projekts pirms izsludināšanas Valsts sekretāru sanāksmē publicēts Pilsonības un migrācijas lietu pārvaldes </w:t>
            </w:r>
            <w:r>
              <w:t xml:space="preserve">un Iekšlietu ministrijas </w:t>
            </w:r>
            <w:r w:rsidRPr="00C7066E">
              <w:t>mājas lapā.</w:t>
            </w:r>
          </w:p>
        </w:tc>
      </w:tr>
      <w:tr w:rsidR="004060FD" w:rsidRPr="00CF666C" w:rsidTr="001F565D">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4060FD" w:rsidRPr="001E4DE3" w:rsidRDefault="004060FD" w:rsidP="001F565D">
            <w:pPr>
              <w:rPr>
                <w:highlight w:val="yellow"/>
              </w:rPr>
            </w:pPr>
            <w:r w:rsidRPr="007678D4">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4060FD" w:rsidRPr="00CF666C" w:rsidRDefault="00B63982" w:rsidP="00EF3115">
            <w:pPr>
              <w:jc w:val="both"/>
            </w:pPr>
            <w:r>
              <w:t>Viedokļ</w:t>
            </w:r>
            <w:r w:rsidR="00EF3115">
              <w:t>us</w:t>
            </w:r>
            <w:r>
              <w:t xml:space="preserve"> vai priekšlikum</w:t>
            </w:r>
            <w:r w:rsidR="00EF3115">
              <w:t>us</w:t>
            </w:r>
            <w:r w:rsidR="004060FD">
              <w:t xml:space="preserve"> par projektu ir </w:t>
            </w:r>
            <w:r w:rsidR="00EF3115">
              <w:t xml:space="preserve">iespējams </w:t>
            </w:r>
            <w:r>
              <w:t>iesnie</w:t>
            </w:r>
            <w:r w:rsidR="00EF3115">
              <w:t>gt</w:t>
            </w:r>
            <w:r>
              <w:t xml:space="preserve"> Pilsonības un migrācijas lietu pārvaldē vai nosūt</w:t>
            </w:r>
            <w:r w:rsidR="00EF3115">
              <w:t>īt</w:t>
            </w:r>
            <w:r>
              <w:t xml:space="preserve"> elektroniskā veidā uz atbildīgās amatpersonas e-pastu</w:t>
            </w:r>
            <w:r w:rsidR="004060FD">
              <w:t xml:space="preserve"> </w:t>
            </w:r>
          </w:p>
        </w:tc>
      </w:tr>
      <w:tr w:rsidR="004060FD" w:rsidRPr="00CF666C" w:rsidTr="001F565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3.</w:t>
            </w:r>
          </w:p>
        </w:tc>
        <w:tc>
          <w:tcPr>
            <w:tcW w:w="1480" w:type="pct"/>
            <w:tcBorders>
              <w:top w:val="outset" w:sz="6" w:space="0" w:color="auto"/>
              <w:left w:val="outset" w:sz="6" w:space="0" w:color="auto"/>
              <w:bottom w:val="outset" w:sz="6" w:space="0" w:color="auto"/>
              <w:right w:val="outset" w:sz="6" w:space="0" w:color="auto"/>
            </w:tcBorders>
            <w:hideMark/>
          </w:tcPr>
          <w:p w:rsidR="004060FD" w:rsidRPr="001E4DE3" w:rsidRDefault="004060FD" w:rsidP="001F565D">
            <w:pPr>
              <w:rPr>
                <w:highlight w:val="yellow"/>
              </w:rPr>
            </w:pPr>
            <w:r w:rsidRPr="003D0596">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4060FD" w:rsidRDefault="004060FD" w:rsidP="001F565D">
            <w:r>
              <w:t>Viedokļi vai priekšlikumi par projektu nav saņemti</w:t>
            </w:r>
            <w:r w:rsidRPr="00436B18">
              <w:t>.</w:t>
            </w:r>
          </w:p>
          <w:p w:rsidR="004060FD" w:rsidRPr="00CF666C" w:rsidRDefault="004060FD" w:rsidP="001F565D"/>
        </w:tc>
      </w:tr>
      <w:tr w:rsidR="004060FD" w:rsidRPr="00CF666C" w:rsidTr="001F565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lastRenderedPageBreak/>
              <w:t>4.</w:t>
            </w:r>
          </w:p>
        </w:tc>
        <w:tc>
          <w:tcPr>
            <w:tcW w:w="148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Cita informācija</w:t>
            </w:r>
          </w:p>
        </w:tc>
        <w:tc>
          <w:tcPr>
            <w:tcW w:w="3208"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line="360" w:lineRule="auto"/>
              <w:ind w:firstLine="16"/>
            </w:pPr>
            <w:r>
              <w:t>Nav</w:t>
            </w:r>
          </w:p>
        </w:tc>
      </w:tr>
    </w:tbl>
    <w:p w:rsidR="004060FD" w:rsidRPr="00CF666C" w:rsidRDefault="004060FD" w:rsidP="004060FD">
      <w:pPr>
        <w:spacing w:before="100" w:beforeAutospacing="1" w:after="100" w:afterAutospacing="1" w:line="360" w:lineRule="auto"/>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4060FD" w:rsidRPr="00CF666C" w:rsidTr="001F565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60FD" w:rsidRPr="00CF666C" w:rsidRDefault="004060FD" w:rsidP="001F565D">
            <w:pPr>
              <w:spacing w:before="100" w:beforeAutospacing="1" w:after="100" w:afterAutospacing="1"/>
              <w:ind w:firstLine="300"/>
              <w:jc w:val="center"/>
              <w:rPr>
                <w:b/>
                <w:bCs/>
              </w:rPr>
            </w:pPr>
            <w:r w:rsidRPr="00CF666C">
              <w:rPr>
                <w:b/>
                <w:bCs/>
              </w:rPr>
              <w:t>VII. Tiesību akta projekta izpildes nodrošināšana un tās ietekme uz institūcijām</w:t>
            </w:r>
          </w:p>
        </w:tc>
      </w:tr>
      <w:tr w:rsidR="004060FD" w:rsidRPr="00CF666C" w:rsidTr="001F565D">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1.</w:t>
            </w:r>
          </w:p>
        </w:tc>
        <w:tc>
          <w:tcPr>
            <w:tcW w:w="190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EF3115">
            <w:r>
              <w:t>Pilsonības un migrācijas lietu pārvalde</w:t>
            </w:r>
          </w:p>
        </w:tc>
      </w:tr>
      <w:tr w:rsidR="004060FD" w:rsidRPr="00CF666C" w:rsidTr="001F565D">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2.</w:t>
            </w:r>
          </w:p>
        </w:tc>
        <w:tc>
          <w:tcPr>
            <w:tcW w:w="190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 xml:space="preserve">Projekta izpildes ietekme uz pārvaldes funkcijām un institucionālo struktūru. </w:t>
            </w:r>
          </w:p>
          <w:p w:rsidR="004060FD" w:rsidRPr="00CF666C" w:rsidRDefault="004060FD" w:rsidP="001F565D">
            <w:pPr>
              <w:spacing w:before="100" w:beforeAutospacing="1" w:after="100" w:afterAutospacing="1"/>
            </w:pPr>
            <w:r w:rsidRPr="00CF666C">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F3115" w:rsidRDefault="004060FD" w:rsidP="00EF3115">
            <w:pPr>
              <w:spacing w:before="100" w:beforeAutospacing="1" w:after="100" w:afterAutospacing="1"/>
              <w:jc w:val="both"/>
            </w:pPr>
            <w:r w:rsidRPr="00E90CEF">
              <w:t xml:space="preserve">Tiek paplašinātas Pilsonības un migrācijas lietu pārvaldes uzdevumi – sagatavot Ministru kabineta rīkojumu. </w:t>
            </w:r>
          </w:p>
          <w:p w:rsidR="004060FD" w:rsidRPr="00CF666C" w:rsidRDefault="004060FD" w:rsidP="00EF3115">
            <w:pPr>
              <w:spacing w:before="100" w:beforeAutospacing="1" w:after="100" w:afterAutospacing="1"/>
              <w:jc w:val="both"/>
            </w:pPr>
            <w:r>
              <w:rPr>
                <w:iCs/>
              </w:rPr>
              <w:t>J</w:t>
            </w:r>
            <w:r w:rsidRPr="00FC42AA">
              <w:rPr>
                <w:iCs/>
              </w:rPr>
              <w:t>aunas institūcijas</w:t>
            </w:r>
            <w:r>
              <w:rPr>
                <w:iCs/>
              </w:rPr>
              <w:t xml:space="preserve"> netiks izveidotas un esošās institūcijas netiks likvidētas vai reorganizētas</w:t>
            </w:r>
            <w:r w:rsidRPr="00FC42AA">
              <w:rPr>
                <w:iCs/>
              </w:rPr>
              <w:t>.</w:t>
            </w:r>
          </w:p>
        </w:tc>
      </w:tr>
      <w:tr w:rsidR="004060FD" w:rsidRPr="00CF666C" w:rsidTr="001F565D">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3.</w:t>
            </w:r>
          </w:p>
        </w:tc>
        <w:tc>
          <w:tcPr>
            <w:tcW w:w="190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r w:rsidRPr="00CF666C">
              <w:t>Cita informācija</w:t>
            </w:r>
          </w:p>
        </w:tc>
        <w:tc>
          <w:tcPr>
            <w:tcW w:w="2850" w:type="pct"/>
            <w:tcBorders>
              <w:top w:val="outset" w:sz="6" w:space="0" w:color="auto"/>
              <w:left w:val="outset" w:sz="6" w:space="0" w:color="auto"/>
              <w:bottom w:val="outset" w:sz="6" w:space="0" w:color="auto"/>
              <w:right w:val="outset" w:sz="6" w:space="0" w:color="auto"/>
            </w:tcBorders>
            <w:hideMark/>
          </w:tcPr>
          <w:p w:rsidR="004060FD" w:rsidRPr="00CF666C" w:rsidRDefault="004060FD" w:rsidP="001F565D">
            <w:pPr>
              <w:spacing w:before="100" w:beforeAutospacing="1" w:after="100" w:afterAutospacing="1"/>
            </w:pPr>
            <w:r>
              <w:t>Nav</w:t>
            </w:r>
          </w:p>
        </w:tc>
      </w:tr>
    </w:tbl>
    <w:p w:rsidR="004060FD" w:rsidRDefault="004060FD" w:rsidP="004060FD"/>
    <w:p w:rsidR="004060FD" w:rsidRPr="00DF7B64" w:rsidRDefault="004060FD" w:rsidP="004060FD">
      <w:pPr>
        <w:pStyle w:val="CommentText"/>
        <w:rPr>
          <w:sz w:val="24"/>
          <w:szCs w:val="24"/>
        </w:rPr>
      </w:pPr>
      <w:r>
        <w:rPr>
          <w:sz w:val="24"/>
          <w:szCs w:val="24"/>
        </w:rPr>
        <w:t xml:space="preserve">Anotācijas III un V </w:t>
      </w:r>
      <w:r w:rsidRPr="00436B18">
        <w:rPr>
          <w:sz w:val="24"/>
          <w:szCs w:val="24"/>
        </w:rPr>
        <w:t>sadaļa – projekts šīs jomas neskar.</w:t>
      </w:r>
    </w:p>
    <w:p w:rsidR="004060FD" w:rsidRDefault="004060FD" w:rsidP="004060FD"/>
    <w:p w:rsidR="004060FD" w:rsidRDefault="004060FD" w:rsidP="004060FD"/>
    <w:p w:rsidR="004060FD" w:rsidRPr="005D68ED" w:rsidRDefault="004060FD" w:rsidP="004060FD">
      <w:pPr>
        <w:pStyle w:val="naisf"/>
        <w:tabs>
          <w:tab w:val="left" w:pos="5760"/>
        </w:tabs>
        <w:ind w:firstLine="0"/>
      </w:pPr>
      <w:r w:rsidRPr="005D68ED">
        <w:t>Iekšlietu ministrs                                                  </w:t>
      </w:r>
      <w:r w:rsidRPr="005D68ED">
        <w:tab/>
      </w:r>
      <w:r w:rsidRPr="005D68ED">
        <w:tab/>
        <w:t xml:space="preserve">            R.Kozlovskis</w:t>
      </w:r>
    </w:p>
    <w:p w:rsidR="004060FD" w:rsidRPr="00CC17E4" w:rsidRDefault="004060FD" w:rsidP="004060FD">
      <w:pPr>
        <w:pStyle w:val="naisf"/>
        <w:rPr>
          <w:sz w:val="28"/>
          <w:szCs w:val="28"/>
        </w:rPr>
      </w:pPr>
      <w:r w:rsidRPr="00CC17E4">
        <w:t> </w:t>
      </w:r>
    </w:p>
    <w:p w:rsidR="004060FD" w:rsidRPr="00CC17E4" w:rsidRDefault="004060FD" w:rsidP="004060FD">
      <w:pPr>
        <w:tabs>
          <w:tab w:val="left" w:pos="5760"/>
        </w:tabs>
        <w:jc w:val="both"/>
        <w:rPr>
          <w:szCs w:val="28"/>
        </w:rPr>
      </w:pPr>
      <w:r>
        <w:rPr>
          <w:szCs w:val="28"/>
        </w:rPr>
        <w:t xml:space="preserve">Vīza: valsts sekretāre </w:t>
      </w:r>
      <w:r>
        <w:rPr>
          <w:szCs w:val="28"/>
        </w:rPr>
        <w:tab/>
      </w:r>
      <w:r>
        <w:rPr>
          <w:szCs w:val="28"/>
        </w:rPr>
        <w:tab/>
        <w:t>I.Pētersone-Godmane</w:t>
      </w:r>
    </w:p>
    <w:p w:rsidR="003C5E7F" w:rsidRDefault="003C5E7F" w:rsidP="004060FD">
      <w:pPr>
        <w:rPr>
          <w:sz w:val="20"/>
          <w:szCs w:val="20"/>
        </w:rPr>
      </w:pPr>
    </w:p>
    <w:p w:rsidR="003C5E7F" w:rsidRDefault="003C5E7F" w:rsidP="004060FD">
      <w:pPr>
        <w:rPr>
          <w:sz w:val="20"/>
          <w:szCs w:val="20"/>
        </w:rPr>
      </w:pPr>
    </w:p>
    <w:p w:rsidR="003C5E7F" w:rsidRDefault="003C5E7F" w:rsidP="004060FD">
      <w:pPr>
        <w:rPr>
          <w:sz w:val="20"/>
          <w:szCs w:val="20"/>
        </w:rPr>
      </w:pPr>
    </w:p>
    <w:p w:rsidR="003C5E7F" w:rsidRDefault="003C5E7F"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E961FA" w:rsidRDefault="00E961FA" w:rsidP="004060FD">
      <w:pPr>
        <w:rPr>
          <w:sz w:val="20"/>
          <w:szCs w:val="20"/>
        </w:rPr>
      </w:pPr>
    </w:p>
    <w:p w:rsidR="004060FD" w:rsidRPr="000A5748" w:rsidRDefault="00D26AF0" w:rsidP="004060FD">
      <w:pPr>
        <w:rPr>
          <w:sz w:val="20"/>
          <w:szCs w:val="20"/>
        </w:rPr>
      </w:pPr>
      <w:r>
        <w:rPr>
          <w:sz w:val="20"/>
          <w:szCs w:val="20"/>
        </w:rPr>
        <w:t>14</w:t>
      </w:r>
      <w:r w:rsidR="00087629">
        <w:rPr>
          <w:sz w:val="20"/>
          <w:szCs w:val="20"/>
        </w:rPr>
        <w:t>.05</w:t>
      </w:r>
      <w:r w:rsidR="004060FD">
        <w:rPr>
          <w:sz w:val="20"/>
          <w:szCs w:val="20"/>
        </w:rPr>
        <w:t>.2014</w:t>
      </w:r>
      <w:r w:rsidR="004060FD" w:rsidRPr="000A5748">
        <w:rPr>
          <w:sz w:val="20"/>
          <w:szCs w:val="20"/>
        </w:rPr>
        <w:t xml:space="preserve">. </w:t>
      </w:r>
      <w:r w:rsidR="0054180C">
        <w:rPr>
          <w:sz w:val="20"/>
          <w:szCs w:val="20"/>
        </w:rPr>
        <w:t>11</w:t>
      </w:r>
      <w:r w:rsidR="004060FD">
        <w:rPr>
          <w:sz w:val="20"/>
          <w:szCs w:val="20"/>
        </w:rPr>
        <w:t>:</w:t>
      </w:r>
      <w:r w:rsidR="0054180C">
        <w:rPr>
          <w:sz w:val="20"/>
          <w:szCs w:val="20"/>
        </w:rPr>
        <w:t>31</w:t>
      </w:r>
    </w:p>
    <w:p w:rsidR="004060FD" w:rsidRPr="000A5748" w:rsidRDefault="00D46582" w:rsidP="004060FD">
      <w:pPr>
        <w:rPr>
          <w:sz w:val="20"/>
          <w:szCs w:val="20"/>
        </w:rPr>
      </w:pPr>
      <w:r>
        <w:rPr>
          <w:sz w:val="20"/>
          <w:szCs w:val="20"/>
        </w:rPr>
        <w:t>1</w:t>
      </w:r>
      <w:r w:rsidR="00087629">
        <w:rPr>
          <w:sz w:val="20"/>
          <w:szCs w:val="20"/>
        </w:rPr>
        <w:t>1</w:t>
      </w:r>
      <w:r w:rsidR="0054180C">
        <w:rPr>
          <w:sz w:val="20"/>
          <w:szCs w:val="20"/>
        </w:rPr>
        <w:t>75</w:t>
      </w:r>
    </w:p>
    <w:p w:rsidR="004060FD" w:rsidRDefault="004060FD" w:rsidP="004060FD">
      <w:pPr>
        <w:rPr>
          <w:sz w:val="20"/>
          <w:szCs w:val="20"/>
        </w:rPr>
      </w:pPr>
      <w:r>
        <w:rPr>
          <w:sz w:val="20"/>
          <w:szCs w:val="20"/>
        </w:rPr>
        <w:t>Vorpa</w:t>
      </w:r>
    </w:p>
    <w:p w:rsidR="004060FD" w:rsidRPr="00585D8D" w:rsidRDefault="004060FD" w:rsidP="004060FD">
      <w:pPr>
        <w:rPr>
          <w:sz w:val="20"/>
          <w:szCs w:val="20"/>
          <w:lang w:val="es-ES"/>
        </w:rPr>
      </w:pPr>
      <w:r>
        <w:rPr>
          <w:sz w:val="20"/>
          <w:szCs w:val="20"/>
        </w:rPr>
        <w:t>67219514, ina.vorpa@pmlp.gov.lv</w:t>
      </w:r>
    </w:p>
    <w:p w:rsidR="004060FD" w:rsidRPr="005D68ED" w:rsidRDefault="004060FD" w:rsidP="004060FD">
      <w:pPr>
        <w:rPr>
          <w:lang w:val="es-ES"/>
        </w:rPr>
      </w:pPr>
    </w:p>
    <w:p w:rsidR="004060FD" w:rsidRDefault="004060FD" w:rsidP="004060FD"/>
    <w:p w:rsidR="004B2124" w:rsidRDefault="004B2124"/>
    <w:sectPr w:rsidR="004B2124" w:rsidSect="00E32925">
      <w:headerReference w:type="default" r:id="rId7"/>
      <w:footerReference w:type="default" r:id="rId8"/>
      <w:footerReference w:type="first" r:id="rId9"/>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ED" w:rsidRDefault="00E813ED" w:rsidP="004060FD">
      <w:r>
        <w:separator/>
      </w:r>
    </w:p>
  </w:endnote>
  <w:endnote w:type="continuationSeparator" w:id="0">
    <w:p w:rsidR="00E813ED" w:rsidRDefault="00E813ED" w:rsidP="00406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FD" w:rsidRPr="008F2ED9" w:rsidRDefault="00D26AF0" w:rsidP="004060FD">
    <w:pPr>
      <w:pStyle w:val="Footer"/>
      <w:jc w:val="both"/>
      <w:rPr>
        <w:sz w:val="20"/>
        <w:szCs w:val="20"/>
      </w:rPr>
    </w:pPr>
    <w:r>
      <w:rPr>
        <w:sz w:val="20"/>
        <w:szCs w:val="20"/>
      </w:rPr>
      <w:t>IEMAnot_14</w:t>
    </w:r>
    <w:r w:rsidR="001561D2">
      <w:rPr>
        <w:sz w:val="20"/>
        <w:szCs w:val="20"/>
      </w:rPr>
      <w:t>05</w:t>
    </w:r>
    <w:r w:rsidR="004060FD">
      <w:rPr>
        <w:sz w:val="20"/>
        <w:szCs w:val="20"/>
      </w:rPr>
      <w:t>14</w:t>
    </w:r>
    <w:r w:rsidR="00F71541">
      <w:rPr>
        <w:sz w:val="20"/>
        <w:szCs w:val="20"/>
      </w:rPr>
      <w:t>_</w:t>
    </w:r>
    <w:r w:rsidR="004060FD" w:rsidRPr="008F2ED9">
      <w:rPr>
        <w:sz w:val="20"/>
        <w:szCs w:val="20"/>
      </w:rPr>
      <w:t>k</w:t>
    </w:r>
    <w:r w:rsidR="00F71541">
      <w:rPr>
        <w:sz w:val="20"/>
        <w:szCs w:val="20"/>
      </w:rPr>
      <w:t>a</w:t>
    </w:r>
    <w:r w:rsidR="004060FD" w:rsidRPr="008F2ED9">
      <w:rPr>
        <w:sz w:val="20"/>
        <w:szCs w:val="20"/>
      </w:rPr>
      <w:t xml:space="preserve">rtibasrullis; Ministru kabineta noteikumu projekta „Grozījumi Ministru kabineta 2009.gada 7.aprīļa noteikumos Nr.300 „Ministru kabineta kārtības rullis”” sākotnējās ietekmes novērtējuma </w:t>
    </w:r>
    <w:smartTag w:uri="schemas-tilde-lv/tildestengine" w:element="veidnes">
      <w:smartTagPr>
        <w:attr w:name="text" w:val="ziņojums"/>
        <w:attr w:name="baseform" w:val="ziņojum|s"/>
        <w:attr w:name="id" w:val="-1"/>
      </w:smartTagPr>
      <w:r w:rsidR="004060FD" w:rsidRPr="008F2ED9">
        <w:rPr>
          <w:sz w:val="20"/>
          <w:szCs w:val="20"/>
        </w:rPr>
        <w:t>ziņojums</w:t>
      </w:r>
    </w:smartTag>
    <w:r w:rsidR="004060FD" w:rsidRPr="008F2ED9">
      <w:rPr>
        <w:sz w:val="20"/>
        <w:szCs w:val="20"/>
      </w:rPr>
      <w:t xml:space="preserve"> (anotācija)</w:t>
    </w:r>
  </w:p>
  <w:p w:rsidR="005D68ED" w:rsidRDefault="00E813ED" w:rsidP="005D68ED">
    <w:pPr>
      <w:pStyle w:val="Footer"/>
    </w:pPr>
  </w:p>
  <w:p w:rsidR="00FB416A" w:rsidRDefault="00E813ED">
    <w:pPr>
      <w:pStyle w:val="Footer"/>
    </w:pPr>
  </w:p>
  <w:p w:rsidR="00FB416A" w:rsidRDefault="00E81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FD" w:rsidRPr="008F2ED9" w:rsidRDefault="00D26AF0" w:rsidP="004060FD">
    <w:pPr>
      <w:pStyle w:val="Footer"/>
      <w:jc w:val="both"/>
      <w:rPr>
        <w:sz w:val="20"/>
        <w:szCs w:val="20"/>
      </w:rPr>
    </w:pPr>
    <w:r>
      <w:rPr>
        <w:sz w:val="20"/>
        <w:szCs w:val="20"/>
      </w:rPr>
      <w:t>IEMAnot_14</w:t>
    </w:r>
    <w:r w:rsidR="001561D2">
      <w:rPr>
        <w:sz w:val="20"/>
        <w:szCs w:val="20"/>
      </w:rPr>
      <w:t>05</w:t>
    </w:r>
    <w:r w:rsidR="004060FD">
      <w:rPr>
        <w:sz w:val="20"/>
        <w:szCs w:val="20"/>
      </w:rPr>
      <w:t>14</w:t>
    </w:r>
    <w:r w:rsidR="00F71541">
      <w:rPr>
        <w:sz w:val="20"/>
        <w:szCs w:val="20"/>
      </w:rPr>
      <w:t>_</w:t>
    </w:r>
    <w:r w:rsidR="004060FD" w:rsidRPr="008F2ED9">
      <w:rPr>
        <w:sz w:val="20"/>
        <w:szCs w:val="20"/>
      </w:rPr>
      <w:t>k</w:t>
    </w:r>
    <w:r w:rsidR="00F71541">
      <w:rPr>
        <w:sz w:val="20"/>
        <w:szCs w:val="20"/>
      </w:rPr>
      <w:t>a</w:t>
    </w:r>
    <w:r w:rsidR="004060FD" w:rsidRPr="008F2ED9">
      <w:rPr>
        <w:sz w:val="20"/>
        <w:szCs w:val="20"/>
      </w:rPr>
      <w:t xml:space="preserve">rtibasrullis; Ministru kabineta noteikumu projekta „Grozījumi Ministru kabineta 2009.gada 7.aprīļa noteikumos Nr.300 „Ministru kabineta kārtības rullis”” sākotnējās ietekmes novērtējuma </w:t>
    </w:r>
    <w:smartTag w:uri="schemas-tilde-lv/tildestengine" w:element="veidnes">
      <w:smartTagPr>
        <w:attr w:name="text" w:val="ziņojums"/>
        <w:attr w:name="baseform" w:val="ziņojum|s"/>
        <w:attr w:name="id" w:val="-1"/>
      </w:smartTagPr>
      <w:r w:rsidR="004060FD" w:rsidRPr="008F2ED9">
        <w:rPr>
          <w:sz w:val="20"/>
          <w:szCs w:val="20"/>
        </w:rPr>
        <w:t>ziņojums</w:t>
      </w:r>
    </w:smartTag>
    <w:r w:rsidR="004060FD" w:rsidRPr="008F2ED9">
      <w:rPr>
        <w:sz w:val="20"/>
        <w:szCs w:val="20"/>
      </w:rPr>
      <w:t xml:space="preserve"> (anotācija)</w:t>
    </w:r>
  </w:p>
  <w:p w:rsidR="00930133" w:rsidRDefault="00E81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ED" w:rsidRDefault="00E813ED" w:rsidP="004060FD">
      <w:r>
        <w:separator/>
      </w:r>
    </w:p>
  </w:footnote>
  <w:footnote w:type="continuationSeparator" w:id="0">
    <w:p w:rsidR="00E813ED" w:rsidRDefault="00E813ED" w:rsidP="0040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1D" w:rsidRDefault="00C418F2">
    <w:pPr>
      <w:pStyle w:val="Header"/>
      <w:jc w:val="center"/>
    </w:pPr>
    <w:r>
      <w:fldChar w:fldCharType="begin"/>
    </w:r>
    <w:r w:rsidR="001E2222">
      <w:instrText xml:space="preserve"> PAGE   \* MERGEFORMAT </w:instrText>
    </w:r>
    <w:r>
      <w:fldChar w:fldCharType="separate"/>
    </w:r>
    <w:r w:rsidR="0054180C">
      <w:rPr>
        <w:noProof/>
      </w:rPr>
      <w:t>5</w:t>
    </w:r>
    <w:r>
      <w:fldChar w:fldCharType="end"/>
    </w:r>
  </w:p>
  <w:p w:rsidR="00D4091D" w:rsidRDefault="00E813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defaultTabStop w:val="720"/>
  <w:characterSpacingControl w:val="doNotCompress"/>
  <w:footnotePr>
    <w:footnote w:id="-1"/>
    <w:footnote w:id="0"/>
  </w:footnotePr>
  <w:endnotePr>
    <w:endnote w:id="-1"/>
    <w:endnote w:id="0"/>
  </w:endnotePr>
  <w:compat/>
  <w:rsids>
    <w:rsidRoot w:val="004060FD"/>
    <w:rsid w:val="00087629"/>
    <w:rsid w:val="00154EE5"/>
    <w:rsid w:val="001561D2"/>
    <w:rsid w:val="00184F69"/>
    <w:rsid w:val="001968D5"/>
    <w:rsid w:val="001B7627"/>
    <w:rsid w:val="001C022A"/>
    <w:rsid w:val="001E19D5"/>
    <w:rsid w:val="001E2222"/>
    <w:rsid w:val="00213E96"/>
    <w:rsid w:val="00236B6F"/>
    <w:rsid w:val="0026290D"/>
    <w:rsid w:val="002671D6"/>
    <w:rsid w:val="00272BEC"/>
    <w:rsid w:val="00290804"/>
    <w:rsid w:val="003138D3"/>
    <w:rsid w:val="003411DC"/>
    <w:rsid w:val="003C5E7F"/>
    <w:rsid w:val="004060FD"/>
    <w:rsid w:val="00467707"/>
    <w:rsid w:val="004A7818"/>
    <w:rsid w:val="004B2124"/>
    <w:rsid w:val="00516F5F"/>
    <w:rsid w:val="0054180C"/>
    <w:rsid w:val="00594818"/>
    <w:rsid w:val="005A796F"/>
    <w:rsid w:val="006536A9"/>
    <w:rsid w:val="00706047"/>
    <w:rsid w:val="0077622A"/>
    <w:rsid w:val="00832282"/>
    <w:rsid w:val="008331B2"/>
    <w:rsid w:val="008769B1"/>
    <w:rsid w:val="008A63BB"/>
    <w:rsid w:val="008B5FBA"/>
    <w:rsid w:val="008C1CB1"/>
    <w:rsid w:val="009C1E3F"/>
    <w:rsid w:val="009F6203"/>
    <w:rsid w:val="00A47D0C"/>
    <w:rsid w:val="00A82E00"/>
    <w:rsid w:val="00AA55A9"/>
    <w:rsid w:val="00AB3A9E"/>
    <w:rsid w:val="00AD7AB0"/>
    <w:rsid w:val="00AF4906"/>
    <w:rsid w:val="00B57694"/>
    <w:rsid w:val="00B63982"/>
    <w:rsid w:val="00C418F2"/>
    <w:rsid w:val="00C4734E"/>
    <w:rsid w:val="00CA33A7"/>
    <w:rsid w:val="00D26AF0"/>
    <w:rsid w:val="00D412CF"/>
    <w:rsid w:val="00D45CE4"/>
    <w:rsid w:val="00D46582"/>
    <w:rsid w:val="00D67352"/>
    <w:rsid w:val="00DB145E"/>
    <w:rsid w:val="00E32925"/>
    <w:rsid w:val="00E32BCA"/>
    <w:rsid w:val="00E813ED"/>
    <w:rsid w:val="00E961FA"/>
    <w:rsid w:val="00EC30D3"/>
    <w:rsid w:val="00EE7926"/>
    <w:rsid w:val="00EF3115"/>
    <w:rsid w:val="00F31058"/>
    <w:rsid w:val="00F71541"/>
    <w:rsid w:val="00F92ABA"/>
    <w:rsid w:val="00FC17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0FD"/>
    <w:pPr>
      <w:ind w:left="720"/>
      <w:contextualSpacing/>
    </w:pPr>
  </w:style>
  <w:style w:type="paragraph" w:styleId="Footer">
    <w:name w:val="footer"/>
    <w:basedOn w:val="Normal"/>
    <w:link w:val="FooterChar1"/>
    <w:rsid w:val="004060FD"/>
    <w:pPr>
      <w:tabs>
        <w:tab w:val="center" w:pos="4153"/>
        <w:tab w:val="right" w:pos="8306"/>
      </w:tabs>
    </w:pPr>
  </w:style>
  <w:style w:type="character" w:customStyle="1" w:styleId="FooterChar">
    <w:name w:val="Footer Char"/>
    <w:basedOn w:val="DefaultParagraphFont"/>
    <w:link w:val="Footer"/>
    <w:rsid w:val="004060FD"/>
    <w:rPr>
      <w:rFonts w:ascii="Times New Roman" w:eastAsia="Times New Roman" w:hAnsi="Times New Roman" w:cs="Times New Roman"/>
      <w:sz w:val="24"/>
      <w:szCs w:val="24"/>
      <w:lang w:eastAsia="lv-LV"/>
    </w:rPr>
  </w:style>
  <w:style w:type="character" w:customStyle="1" w:styleId="FooterChar1">
    <w:name w:val="Footer Char1"/>
    <w:link w:val="Footer"/>
    <w:locked/>
    <w:rsid w:val="004060FD"/>
    <w:rPr>
      <w:rFonts w:ascii="Times New Roman" w:eastAsia="Times New Roman" w:hAnsi="Times New Roman" w:cs="Times New Roman"/>
      <w:sz w:val="24"/>
      <w:szCs w:val="24"/>
      <w:lang w:eastAsia="lv-LV"/>
    </w:rPr>
  </w:style>
  <w:style w:type="paragraph" w:styleId="Header">
    <w:name w:val="header"/>
    <w:basedOn w:val="Normal"/>
    <w:link w:val="HeaderChar"/>
    <w:rsid w:val="004060FD"/>
    <w:pPr>
      <w:tabs>
        <w:tab w:val="center" w:pos="4153"/>
        <w:tab w:val="right" w:pos="8306"/>
      </w:tabs>
    </w:pPr>
  </w:style>
  <w:style w:type="character" w:customStyle="1" w:styleId="HeaderChar">
    <w:name w:val="Header Char"/>
    <w:basedOn w:val="DefaultParagraphFont"/>
    <w:link w:val="Header"/>
    <w:rsid w:val="004060FD"/>
    <w:rPr>
      <w:rFonts w:ascii="Times New Roman" w:eastAsia="Times New Roman" w:hAnsi="Times New Roman" w:cs="Times New Roman"/>
      <w:sz w:val="24"/>
      <w:szCs w:val="24"/>
      <w:lang w:eastAsia="lv-LV"/>
    </w:rPr>
  </w:style>
  <w:style w:type="paragraph" w:customStyle="1" w:styleId="naiskr">
    <w:name w:val="naiskr"/>
    <w:basedOn w:val="Normal"/>
    <w:rsid w:val="004060FD"/>
    <w:pPr>
      <w:spacing w:before="75" w:after="75"/>
    </w:pPr>
  </w:style>
  <w:style w:type="paragraph" w:customStyle="1" w:styleId="tv213">
    <w:name w:val="tv213"/>
    <w:basedOn w:val="Normal"/>
    <w:rsid w:val="004060FD"/>
    <w:pPr>
      <w:spacing w:before="100" w:beforeAutospacing="1" w:after="100" w:afterAutospacing="1"/>
    </w:pPr>
  </w:style>
  <w:style w:type="paragraph" w:customStyle="1" w:styleId="naisf">
    <w:name w:val="naisf"/>
    <w:basedOn w:val="Normal"/>
    <w:rsid w:val="004060FD"/>
    <w:pPr>
      <w:spacing w:before="75" w:after="75"/>
      <w:ind w:firstLine="375"/>
      <w:jc w:val="both"/>
    </w:pPr>
  </w:style>
  <w:style w:type="paragraph" w:styleId="CommentText">
    <w:name w:val="annotation text"/>
    <w:basedOn w:val="Normal"/>
    <w:link w:val="CommentTextChar"/>
    <w:semiHidden/>
    <w:rsid w:val="004060FD"/>
    <w:rPr>
      <w:sz w:val="20"/>
      <w:szCs w:val="20"/>
    </w:rPr>
  </w:style>
  <w:style w:type="character" w:customStyle="1" w:styleId="CommentTextChar">
    <w:name w:val="Comment Text Char"/>
    <w:basedOn w:val="DefaultParagraphFont"/>
    <w:link w:val="CommentText"/>
    <w:semiHidden/>
    <w:rsid w:val="004060FD"/>
    <w:rPr>
      <w:rFonts w:ascii="Times New Roman" w:eastAsia="Times New Roman" w:hAnsi="Times New Roman" w:cs="Times New Roman"/>
      <w:sz w:val="20"/>
      <w:szCs w:val="20"/>
      <w:lang w:eastAsia="lv-LV"/>
    </w:rPr>
  </w:style>
  <w:style w:type="paragraph" w:customStyle="1" w:styleId="tvhtml">
    <w:name w:val="tv_html"/>
    <w:basedOn w:val="Normal"/>
    <w:rsid w:val="004060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0A28-B815-4C87-BCED-C7533573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6266</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2009.gada 7.aprīļa noteikumos Nr.300 "Ministru kabineta kārtības rullis""</vt:lpstr>
    </vt:vector>
  </TitlesOfParts>
  <Company>Naturalizacijas parvalde</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7.aprīļa noteikumos Nr.300 "Ministru kabineta kārtības rullis""</dc:title>
  <dc:subject>Ministru kabineta noteikumu projekta anotācija</dc:subject>
  <dc:creator>Ina Vorpa</dc:creator>
  <cp:keywords/>
  <dc:description>ina.vorpa@pmlp.gov.lv, 67219514</dc:description>
  <cp:lastModifiedBy>Ina Vorpa</cp:lastModifiedBy>
  <cp:revision>23</cp:revision>
  <cp:lastPrinted>2014-05-13T08:21:00Z</cp:lastPrinted>
  <dcterms:created xsi:type="dcterms:W3CDTF">2014-01-30T08:44:00Z</dcterms:created>
  <dcterms:modified xsi:type="dcterms:W3CDTF">2014-05-14T08:31:00Z</dcterms:modified>
</cp:coreProperties>
</file>