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65" w:rsidRPr="00CD685E" w:rsidRDefault="00775B65" w:rsidP="00775B65">
      <w:pPr>
        <w:spacing w:after="120"/>
        <w:ind w:firstLine="720"/>
        <w:jc w:val="center"/>
        <w:rPr>
          <w:b/>
        </w:rPr>
      </w:pPr>
      <w:r>
        <w:rPr>
          <w:b/>
        </w:rPr>
        <w:t>Ministru kabineta noteikumu projekta „</w:t>
      </w:r>
      <w:r w:rsidRPr="00CD685E">
        <w:rPr>
          <w:b/>
        </w:rPr>
        <w:t>Grozījumi Ministru kabineta 2013.gada 24.septembra noteikumos Nr.</w:t>
      </w:r>
      <w:r>
        <w:rPr>
          <w:b/>
        </w:rPr>
        <w:t>975</w:t>
      </w:r>
      <w:r w:rsidRPr="00CD685E">
        <w:rPr>
          <w:b/>
        </w:rPr>
        <w:t xml:space="preserve"> „</w:t>
      </w:r>
      <w:r>
        <w:rPr>
          <w:b/>
        </w:rPr>
        <w:t>Latvijas pilsonības zaudēšanas un atjaunošanas kārtība</w:t>
      </w:r>
      <w:r w:rsidRPr="00CD685E">
        <w:rPr>
          <w:b/>
        </w:rPr>
        <w:t>”</w:t>
      </w:r>
      <w:r>
        <w:rPr>
          <w:b/>
        </w:rPr>
        <w:t xml:space="preserve">” </w:t>
      </w:r>
      <w:r w:rsidRPr="00CD685E">
        <w:rPr>
          <w:b/>
        </w:rPr>
        <w:t xml:space="preserve">sākotnējās ietekmes novērtējuma </w:t>
      </w:r>
      <w:smartTag w:uri="schemas-tilde-lv/tildestengine" w:element="veidnes">
        <w:smartTagPr>
          <w:attr w:name="id" w:val="-1"/>
          <w:attr w:name="baseform" w:val="ziņojums"/>
          <w:attr w:name="text" w:val="ziņojums"/>
        </w:smartTagPr>
        <w:r w:rsidRPr="00CD685E">
          <w:rPr>
            <w:b/>
          </w:rPr>
          <w:t>ziņojums</w:t>
        </w:r>
      </w:smartTag>
      <w:r w:rsidRPr="00CD685E">
        <w:rPr>
          <w:b/>
        </w:rPr>
        <w:t xml:space="preserve"> (anotācija)</w:t>
      </w: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8"/>
        <w:gridCol w:w="2778"/>
        <w:gridCol w:w="5960"/>
      </w:tblGrid>
      <w:tr w:rsidR="00775B65" w:rsidRPr="00CF666C" w:rsidTr="003E0642">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75B65" w:rsidRPr="00CF666C" w:rsidRDefault="00775B65" w:rsidP="003E0642">
            <w:pPr>
              <w:spacing w:before="100" w:beforeAutospacing="1" w:after="100" w:afterAutospacing="1" w:line="360" w:lineRule="auto"/>
              <w:ind w:firstLine="300"/>
              <w:jc w:val="center"/>
              <w:rPr>
                <w:b/>
                <w:bCs/>
              </w:rPr>
            </w:pPr>
            <w:r w:rsidRPr="00CF666C">
              <w:rPr>
                <w:b/>
                <w:bCs/>
              </w:rPr>
              <w:t>I. Tiesību akta projekta izstrādes nepieciešamība</w:t>
            </w:r>
          </w:p>
        </w:tc>
      </w:tr>
      <w:tr w:rsidR="00775B65" w:rsidRPr="00CF666C" w:rsidTr="003E0642">
        <w:trPr>
          <w:trHeight w:val="40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ind w:firstLine="300"/>
              <w:jc w:val="center"/>
            </w:pPr>
            <w:r w:rsidRPr="00CF666C">
              <w:t>1.</w:t>
            </w:r>
          </w:p>
        </w:tc>
        <w:tc>
          <w:tcPr>
            <w:tcW w:w="146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Pamatojums</w:t>
            </w:r>
          </w:p>
        </w:tc>
        <w:tc>
          <w:tcPr>
            <w:tcW w:w="3126" w:type="pct"/>
            <w:tcBorders>
              <w:top w:val="outset" w:sz="6" w:space="0" w:color="auto"/>
              <w:left w:val="outset" w:sz="6" w:space="0" w:color="auto"/>
              <w:bottom w:val="outset" w:sz="6" w:space="0" w:color="auto"/>
              <w:right w:val="outset" w:sz="6" w:space="0" w:color="auto"/>
            </w:tcBorders>
            <w:hideMark/>
          </w:tcPr>
          <w:p w:rsidR="00775B65" w:rsidRPr="00CC631D" w:rsidRDefault="00775B65" w:rsidP="003E0642">
            <w:pPr>
              <w:jc w:val="both"/>
              <w:rPr>
                <w:iCs/>
              </w:rPr>
            </w:pPr>
            <w:r w:rsidRPr="00CC631D">
              <w:rPr>
                <w:iCs/>
              </w:rPr>
              <w:t xml:space="preserve">Izdoti saskaņā ar Pilsonības likuma </w:t>
            </w:r>
            <w:r>
              <w:rPr>
                <w:iCs/>
              </w:rPr>
              <w:t xml:space="preserve">11.panta trešo daļu, </w:t>
            </w:r>
            <w:r w:rsidRPr="00CC631D">
              <w:rPr>
                <w:iCs/>
              </w:rPr>
              <w:t>23.panta piekto daļu, 24.panta piekto daļu un 25.panta septīto daļu</w:t>
            </w:r>
            <w:r>
              <w:rPr>
                <w:iCs/>
              </w:rPr>
              <w:t>.</w:t>
            </w:r>
          </w:p>
        </w:tc>
      </w:tr>
      <w:tr w:rsidR="00775B65" w:rsidRPr="00CF666C" w:rsidTr="003E0642">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ind w:firstLine="300"/>
              <w:jc w:val="center"/>
            </w:pPr>
            <w:r w:rsidRPr="00CF666C">
              <w:t>2.</w:t>
            </w:r>
          </w:p>
        </w:tc>
        <w:tc>
          <w:tcPr>
            <w:tcW w:w="146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Pašreizējā situācija un problēmas, kuru risināšanai tiesību akta projekts izstrādāts, tiesiskā regulējuma mērķis un būtība</w:t>
            </w:r>
          </w:p>
        </w:tc>
        <w:tc>
          <w:tcPr>
            <w:tcW w:w="3126" w:type="pct"/>
            <w:tcBorders>
              <w:top w:val="outset" w:sz="6" w:space="0" w:color="auto"/>
              <w:left w:val="outset" w:sz="6" w:space="0" w:color="auto"/>
              <w:bottom w:val="outset" w:sz="6" w:space="0" w:color="auto"/>
              <w:right w:val="outset" w:sz="6" w:space="0" w:color="auto"/>
            </w:tcBorders>
            <w:hideMark/>
          </w:tcPr>
          <w:p w:rsidR="00775B65" w:rsidRDefault="00775B65" w:rsidP="003E0642">
            <w:pPr>
              <w:pStyle w:val="naiskr"/>
              <w:spacing w:before="0" w:after="0"/>
              <w:ind w:right="81"/>
              <w:jc w:val="both"/>
            </w:pPr>
            <w:r>
              <w:t>Latvijas Republikas Saeima ir pieņēmusi likumu „Grozījumi Pilsonības likumā”, kas stājās spēkā 2013.gada 1.oktobrī. Pilsonības likuma 25.panta septītajā daļā ir noteikts deleģējums Ministru kabinetam noteikt</w:t>
            </w:r>
            <w:r w:rsidRPr="00B741B7">
              <w:rPr>
                <w:b/>
              </w:rPr>
              <w:t xml:space="preserve"> </w:t>
            </w:r>
            <w:r w:rsidRPr="004A2A72">
              <w:t>atbildīgo institūciju un kārtību</w:t>
            </w:r>
            <w:r>
              <w:t>, kādā tā atjauno personai Latvijas pilsonību.</w:t>
            </w:r>
            <w:r w:rsidRPr="004A2A72">
              <w:t xml:space="preserve"> </w:t>
            </w:r>
            <w:r>
              <w:t xml:space="preserve">Atbilstoši minētajā Pilsonības likuma normā noteiktajam Ministru kabinets 2013.gada 24.septembrī izdeva noteikumus Nr.975 </w:t>
            </w:r>
            <w:r w:rsidRPr="00177081">
              <w:t>„</w:t>
            </w:r>
            <w:r>
              <w:t>Latvijas pilsonības zaudēšanas un atjaunošanas kārtība</w:t>
            </w:r>
            <w:r w:rsidRPr="00177081">
              <w:t>”</w:t>
            </w:r>
            <w:r>
              <w:t xml:space="preserve">, kas stājās spēkā 2013.gada 1.oktobrī. </w:t>
            </w:r>
          </w:p>
          <w:p w:rsidR="00775B65" w:rsidRDefault="00775B65" w:rsidP="003E0642">
            <w:pPr>
              <w:pStyle w:val="tv213"/>
              <w:spacing w:before="0" w:beforeAutospacing="0" w:after="0" w:afterAutospacing="0"/>
              <w:jc w:val="both"/>
            </w:pPr>
            <w:r>
              <w:t xml:space="preserve">Pieņemot grozījumus Pilsonības likumā, likumdevējs, īstenojot ekskluzīvo kompetenci noteikt savas valsts pilsoņu loku un nosakot tiesības personām atjaunot Latvijas pilsonību, kuras bija to zaudējušas, iegūstot tādas citas valsts pilsonību, kuras iegūšana šobrīd ļauj saglabāt personai Latvijas pilsonību, vienlaikus ir noteicis ierobežojumu atjaunot Latvijas pilsonību, ja tiek konstatēts, ka uz personu attiecas Pilsonības likuma 11.pantā noteiktie ierobežojumi. </w:t>
            </w:r>
          </w:p>
          <w:p w:rsidR="00775B65" w:rsidRDefault="00775B65" w:rsidP="003E0642">
            <w:pPr>
              <w:pStyle w:val="tv213"/>
              <w:spacing w:before="0" w:beforeAutospacing="0" w:after="0" w:afterAutospacing="0"/>
              <w:jc w:val="both"/>
            </w:pPr>
            <w:r w:rsidRPr="00803784">
              <w:t>Ievērojot Pilsonības likuma 11.panta trešajā daļā noteikto deleģējumu Ministru kabinetam noteikt institūcijas, kas izvērtē personas atbilstību šā panta pirmajā daļā noteiktajiem kritērijiem</w:t>
            </w:r>
            <w:r>
              <w:t xml:space="preserve">, Ministru kabineta 2013.gada 24.septembra noteikumu Nr.975 </w:t>
            </w:r>
            <w:r w:rsidRPr="00177081">
              <w:t>„</w:t>
            </w:r>
            <w:r>
              <w:t>Latvijas pilsonības zaudēšanas un atjaunošanas kārtība</w:t>
            </w:r>
            <w:r w:rsidRPr="00177081">
              <w:t>”</w:t>
            </w:r>
            <w:r>
              <w:t xml:space="preserve"> 19.1.apakšpunktā ir noteikts, ka kompetentā iestāde, kura izskata personu iesniegumus – Pilsonības un migrācijas lietu pārvade, lai pārbaudītu personas atbilstību Pilsonības likuma 11.panta pirmās daļas 1.punktā minētajām prasībām, pieprasa informāciju Satversmes aizsardzības birojam un Valsts policijai. Savukārt šo noteikumu 19.3.apakšpunktā ir noteikts, ka Pilsonības un migrācijas lietu pārvalde pieprasa informāciju Noziedzīgi iegūtu līdzekļu legalizācijas novēršanas dienestam, lai pārbaudītu personu atbilstību Pilsonības likuma 11.panta pirmās daļas 1.punkta "d” apakšpunktā noteiktajai prasībai.</w:t>
            </w:r>
          </w:p>
          <w:p w:rsidR="001B2914" w:rsidRDefault="00775B65" w:rsidP="001B2914">
            <w:pPr>
              <w:pStyle w:val="BodyTextIndent2"/>
              <w:ind w:firstLine="0"/>
              <w:rPr>
                <w:szCs w:val="24"/>
              </w:rPr>
            </w:pPr>
            <w:r>
              <w:rPr>
                <w:szCs w:val="24"/>
              </w:rPr>
              <w:t xml:space="preserve">Taču, ievērojot </w:t>
            </w:r>
            <w:r w:rsidRPr="009646D5">
              <w:rPr>
                <w:szCs w:val="24"/>
              </w:rPr>
              <w:t>Operatīvās darb</w:t>
            </w:r>
            <w:r>
              <w:rPr>
                <w:szCs w:val="24"/>
              </w:rPr>
              <w:t xml:space="preserve">ības likuma 1.pantā noteiktos operatīvās darbības mērķus – </w:t>
            </w:r>
            <w:r w:rsidRPr="009646D5">
              <w:rPr>
                <w:szCs w:val="24"/>
              </w:rPr>
              <w:t xml:space="preserve">aizsargāt personu dzīvību un veselību, tiesības un brīvības, godu, cieņu un </w:t>
            </w:r>
            <w:r w:rsidRPr="009646D5">
              <w:rPr>
                <w:szCs w:val="24"/>
              </w:rPr>
              <w:lastRenderedPageBreak/>
              <w:t>īpašumu</w:t>
            </w:r>
            <w:r>
              <w:rPr>
                <w:szCs w:val="24"/>
              </w:rPr>
              <w:t>,</w:t>
            </w:r>
            <w:r w:rsidRPr="009646D5">
              <w:rPr>
                <w:szCs w:val="24"/>
              </w:rPr>
              <w:t xml:space="preserve"> nodrošināt Satversmi, valsts iekārtu, valstisko neatkarību un teritoriālo neaizskaramību, valsts aizsardzības, ekonomisko, zinātnisko un tehnisko potenciālu un valsts noslēpumus pret ārēj</w:t>
            </w:r>
            <w:r>
              <w:rPr>
                <w:szCs w:val="24"/>
              </w:rPr>
              <w:t>iem un iekšējiem apdraudējumiem, secināms, ka atbilstoši kompetencei informācija par to, vai uz personu attiecas Pilsonības likuma 11.panta pirmās daļas 1.punktā noteiktie ierobežojumi, var būt arī citu Latvijas valsts drošības iestāžu vai citu institūciju rīcībā, kurām ir operatīvās darbības subjekta tiesības.</w:t>
            </w:r>
            <w:r w:rsidR="001B2914">
              <w:rPr>
                <w:szCs w:val="24"/>
              </w:rPr>
              <w:t xml:space="preserve"> Piemēram, </w:t>
            </w:r>
            <w:r w:rsidR="001B2914">
              <w:t>n</w:t>
            </w:r>
            <w:r w:rsidR="001B2914" w:rsidRPr="000F7B7B">
              <w:t xml:space="preserve">oziedzīgi iegūtu līdzekļu legalizācija var notikt dažādos veidos, </w:t>
            </w:r>
            <w:r w:rsidR="001B2914">
              <w:t xml:space="preserve">līdz ar to </w:t>
            </w:r>
            <w:r w:rsidR="001B2914" w:rsidRPr="000F7B7B">
              <w:t>atbil</w:t>
            </w:r>
            <w:r w:rsidR="001B2914">
              <w:t>stoši normatīvajos</w:t>
            </w:r>
            <w:r w:rsidR="001B2914" w:rsidRPr="000F7B7B">
              <w:t xml:space="preserve"> aktos noteiktajai kompetencei </w:t>
            </w:r>
            <w:r w:rsidR="001B2914">
              <w:t xml:space="preserve">informācija par minētā apdraudējuma pastāvēšanu var būt </w:t>
            </w:r>
            <w:r w:rsidR="001B2914" w:rsidRPr="000F7B7B">
              <w:t xml:space="preserve">dažādu Latvijas drošības iestāžu </w:t>
            </w:r>
            <w:r w:rsidR="001B2914">
              <w:t>vai institūciju rīcībā, kuras veic operatīvo darbību.</w:t>
            </w:r>
          </w:p>
          <w:p w:rsidR="00775B65" w:rsidRDefault="00775B65" w:rsidP="003E0642">
            <w:pPr>
              <w:pStyle w:val="BodyTextIndent2"/>
              <w:ind w:firstLine="0"/>
              <w:rPr>
                <w:szCs w:val="24"/>
              </w:rPr>
            </w:pPr>
            <w:r>
              <w:rPr>
                <w:szCs w:val="24"/>
              </w:rPr>
              <w:t>Turklāt, i</w:t>
            </w:r>
            <w:r w:rsidRPr="007E1C63">
              <w:rPr>
                <w:szCs w:val="24"/>
              </w:rPr>
              <w:t xml:space="preserve">zpildot normatīvajos aktos noteikto uzdevumu, Pilsonības un migrācijas lietu pārvalde ir pieprasījusi informāciju </w:t>
            </w:r>
            <w:r>
              <w:rPr>
                <w:szCs w:val="24"/>
              </w:rPr>
              <w:t xml:space="preserve">Valsts policijai par personu atbilstību Pilsonības likuma 11.panta pirmās daļas 1.punktā minētajām prasībām un </w:t>
            </w:r>
            <w:r w:rsidRPr="007E1C63">
              <w:rPr>
                <w:szCs w:val="24"/>
              </w:rPr>
              <w:t>Noziedzīgi iegūtu līdzekļu legalizācijas novēršanas dienestam par Latvijas pilsonības pretendentu atbilstību Pilsonības likuma 11.panta pirmās daļas 1.punkta "d" apakšpunktā minētajai prasībai</w:t>
            </w:r>
            <w:r>
              <w:rPr>
                <w:szCs w:val="24"/>
              </w:rPr>
              <w:t>.</w:t>
            </w:r>
          </w:p>
          <w:p w:rsidR="00775B65" w:rsidRDefault="00775B65" w:rsidP="003E0642">
            <w:pPr>
              <w:pStyle w:val="BodyTextIndent2"/>
              <w:ind w:firstLine="0"/>
              <w:rPr>
                <w:szCs w:val="24"/>
              </w:rPr>
            </w:pPr>
            <w:r>
              <w:rPr>
                <w:szCs w:val="24"/>
              </w:rPr>
              <w:t xml:space="preserve">Atbildot uz Pilsonības un migrācijas lietu pārvaldes pieprasījumu, </w:t>
            </w:r>
            <w:r w:rsidRPr="007E1C63">
              <w:rPr>
                <w:szCs w:val="24"/>
              </w:rPr>
              <w:t>Noziedzīgi iegūtu līdzekļu l</w:t>
            </w:r>
            <w:r>
              <w:rPr>
                <w:szCs w:val="24"/>
              </w:rPr>
              <w:t>egalizācijas novēršanas dienests</w:t>
            </w:r>
            <w:r w:rsidRPr="007E1C63">
              <w:rPr>
                <w:szCs w:val="24"/>
              </w:rPr>
              <w:t xml:space="preserve"> ir norādī</w:t>
            </w:r>
            <w:r>
              <w:rPr>
                <w:szCs w:val="24"/>
              </w:rPr>
              <w:t>jis</w:t>
            </w:r>
            <w:r w:rsidRPr="007E1C63">
              <w:rPr>
                <w:szCs w:val="24"/>
              </w:rPr>
              <w:t>, ka Noziedzīgi iegūtu līdzekļu legalizācijas un terorisma finansēšanas novēršanas likuma 56.pants sniedz izsmeļošu uzskaitījumu par gadījumiem un nosacījumiem, kad minētais dienests ir tiesīgs izpaust tā rīcībā esošo finansiāla rakstura informāciju. Starp šajā likumā paredzētajiem gadījumiem nav norādes uz Pilsonības un migrācijas lietu pārvaldi. Noziedzīgi iegūtu līdzekļu le</w:t>
            </w:r>
            <w:r>
              <w:rPr>
                <w:szCs w:val="24"/>
              </w:rPr>
              <w:t xml:space="preserve">galizācijas novēršanas dienesta pilnvarās neietilpst veikt operatīvo darbību, pirmstiesas izmeklēšanu, kriminālvajāšanu, iztiesāšanu, kā arī kādas „saistības” kā juridiska fakta konstatāciju. Savukārt </w:t>
            </w:r>
            <w:r w:rsidRPr="00DF6439">
              <w:rPr>
                <w:szCs w:val="24"/>
              </w:rPr>
              <w:t>Noziedzīgi iegūtu līdzekļu legalizācijas un terorisma finansēšanas novēršanas likuma</w:t>
            </w:r>
            <w:r>
              <w:rPr>
                <w:szCs w:val="24"/>
              </w:rPr>
              <w:t xml:space="preserve"> IX un X nodaļa nosaka dienesta kā Finanšu izlūkošanas dienesta pilnvaras – saņemt un apstrādāt ziņojumus par neparastiem un aizdomīgiem finanšu darījumiem, ja ir pamatotas aizdomas par noziedzīga nodarījuma esamību, tad šo informāciju sniegt pirmstiesas izmeklēšanas iestādēm, prokuratūrai vai tiesai un šāda rīcība Kriminālprocesa likuma regulējumā vērtējama kā iesniegums par noziedzīgu nodarījumu, kam turklāt ir tikai informatīvs raksturs bez pierādījuma spēka. Minētā informācijas izpaužama tikai noziedzīga nodarījuma </w:t>
            </w:r>
            <w:r>
              <w:rPr>
                <w:szCs w:val="24"/>
              </w:rPr>
              <w:lastRenderedPageBreak/>
              <w:t xml:space="preserve">gadījumā. Attiecīgās prasības un dienesta pilnvaras ir saskaņotas un atbilst starptautiskajām prasībām, to neievērošanas gadījumā tiek piemērotas sankcijas, piemēram, Finanšu izlūkošanas vienība var tikt izslēgta no starptautiskās organizācijas </w:t>
            </w:r>
            <w:r w:rsidRPr="006D714B">
              <w:rPr>
                <w:i/>
                <w:szCs w:val="24"/>
              </w:rPr>
              <w:t>Egmonta grupa</w:t>
            </w:r>
            <w:r>
              <w:rPr>
                <w:szCs w:val="24"/>
              </w:rPr>
              <w:t xml:space="preserve">, atslēgta no sakaru tīkliem u.tml. </w:t>
            </w:r>
          </w:p>
          <w:p w:rsidR="00775B65" w:rsidRDefault="00775B65" w:rsidP="003E0642">
            <w:pPr>
              <w:pStyle w:val="BodyTextIndent2"/>
              <w:ind w:firstLine="0"/>
              <w:rPr>
                <w:szCs w:val="24"/>
              </w:rPr>
            </w:pPr>
            <w:r>
              <w:rPr>
                <w:szCs w:val="24"/>
              </w:rPr>
              <w:t>Pastāvot minētajiem iemesliem,</w:t>
            </w:r>
            <w:r w:rsidRPr="007E1C63">
              <w:rPr>
                <w:szCs w:val="24"/>
              </w:rPr>
              <w:t xml:space="preserve"> Noziedzīgi iegūtu līdzekļu le</w:t>
            </w:r>
            <w:r>
              <w:rPr>
                <w:szCs w:val="24"/>
              </w:rPr>
              <w:t xml:space="preserve">galizācijas novēršanas dienestam nav juridiska pamata veikt informācijas apmaiņu ar Pilsonības un migrācijas lietu pārvaldi. </w:t>
            </w:r>
            <w:r w:rsidRPr="007E1C63">
              <w:rPr>
                <w:szCs w:val="24"/>
              </w:rPr>
              <w:t>Līdz ar to Noziedzīgi iegūtu līdzekļu legalizācijas novēršanas dienestam nav ne tiesību ne pienākuma izpaust tā rīcībā esošo konfidenciālo informāciju, pat neraugoties uz Pilsonības un migrācijas lietu pārvaldes pilnvarām pieprasīt šādu informāciju.</w:t>
            </w:r>
          </w:p>
          <w:p w:rsidR="00775B65" w:rsidRDefault="00775B65" w:rsidP="003E0642">
            <w:pPr>
              <w:pStyle w:val="BodyTextIndent2"/>
              <w:ind w:firstLine="0"/>
              <w:rPr>
                <w:szCs w:val="24"/>
              </w:rPr>
            </w:pPr>
            <w:r>
              <w:rPr>
                <w:szCs w:val="24"/>
              </w:rPr>
              <w:t>Savukārt Valsts policija ir informējusi Pilsonības un migrācijas lietu pārvaldi, ka, izpildot jauno funkciju un sniedzot normatīvajos aktos noteikto atzinumu par personas iespējamo apdraudējumu Latvijas valsts un sabiedriskajai drošībai, Valsts policijai nepieciešama informācija par personas saistību ar noziedzīgu nodarījumu, ko apliecina informācija par personas sodāmību vai nesodāmību. Tā kā personas, kuras vēlas atjaunot Latvijas pilsonību, ir dažādu valstu pilsoņi, proti, gan Eiropas Savienības, gan trešo valstu pilsoņi, Valsts policija pieprasa ziņas par personas sodāmību to pilsonības valstīs, izmantojot dažādus informācijas apmaiņas mehānismus un kanālus.</w:t>
            </w:r>
            <w:r w:rsidR="001B2914">
              <w:rPr>
                <w:szCs w:val="24"/>
              </w:rPr>
              <w:t xml:space="preserve"> </w:t>
            </w:r>
            <w:r>
              <w:rPr>
                <w:szCs w:val="24"/>
              </w:rPr>
              <w:t>Valsts policija ir saņēmusi informāciju no vairākām valstīm par to, ka ziņas par personas sodāmību administratīva rakstura mērķiem tās nesniegs, vienlaikus informējot, ka katrai personai, kurai ir saikne ar attiecīgo valsti, ir tiesības vērsties tās valsts kompetentajā iestādē un pieprasīt izziņu par sodāmību individuālā kārtībā.</w:t>
            </w:r>
          </w:p>
          <w:p w:rsidR="00775B65" w:rsidRDefault="00775B65" w:rsidP="003E0642">
            <w:pPr>
              <w:pStyle w:val="BodyTextIndent2"/>
              <w:spacing w:before="120"/>
              <w:ind w:firstLine="0"/>
              <w:rPr>
                <w:szCs w:val="24"/>
              </w:rPr>
            </w:pPr>
            <w:r>
              <w:rPr>
                <w:szCs w:val="24"/>
              </w:rPr>
              <w:t xml:space="preserve">Ievērojot minēto, lai nodrošinātu personu iesniegumu par Latvijas pilsonības atjaunošanu izskatīšanu atbilstoši Pilsonības likumā noteiktajām prasībām, nepieciešams veikt attiecīgus grozījumus </w:t>
            </w:r>
            <w:r>
              <w:t xml:space="preserve">Ministru kabineta 2013.gada 24.septembra noteikumos Nr.975 </w:t>
            </w:r>
            <w:r w:rsidRPr="00177081">
              <w:t>„</w:t>
            </w:r>
            <w:r>
              <w:t>Latvijas pilsonības zaudēšanas un atjaunošanas kārtība</w:t>
            </w:r>
            <w:r w:rsidRPr="00177081">
              <w:t>”</w:t>
            </w:r>
            <w:r>
              <w:t>.</w:t>
            </w:r>
          </w:p>
          <w:p w:rsidR="00775B65" w:rsidRPr="009274F8" w:rsidRDefault="00775B65" w:rsidP="00775B65">
            <w:pPr>
              <w:jc w:val="both"/>
            </w:pPr>
            <w:r>
              <w:t xml:space="preserve">Noteikumu projekts paredz, ka Pilsonības un migrācijas lietu pārvalde, lai pārbaudītu personu atbilstību Pilsonības likuma 11.panta pirmās daļas 1.punktā noteiktajiem ierobežojumiem, informāciju pieprasa no visiem operatīvās darbības subjektiem. </w:t>
            </w:r>
            <w:r w:rsidRPr="009274F8">
              <w:t xml:space="preserve">Saskaņā ar </w:t>
            </w:r>
            <w:r>
              <w:t>Operatīvās darbības likuma 25.</w:t>
            </w:r>
            <w:r w:rsidRPr="009274F8">
              <w:t xml:space="preserve">pantu operatīvās darbības subjektu sistēmu veido valsts drošības, aizsardzības un sabiedriskās kārtības </w:t>
            </w:r>
            <w:r w:rsidRPr="009274F8">
              <w:lastRenderedPageBreak/>
              <w:t>nodrošināšanas iestādes, kā arī citas īpaši pilnvarotas valsts institūcijas, kurām ar likumu piešķirtas tiesības savas kompetences ietvaros veikt operatīvās darbības pasākumus.</w:t>
            </w:r>
            <w:r>
              <w:t xml:space="preserve"> </w:t>
            </w:r>
            <w:r w:rsidRPr="0081298E">
              <w:t xml:space="preserve">Atbilstoši normatīvajos tiesību aktos noteiktajam operatīvās darbības subjekta tiesības ir: </w:t>
            </w:r>
            <w:r>
              <w:t>Satversmes aizsardzības birojam</w:t>
            </w:r>
            <w:r w:rsidRPr="0081298E">
              <w:t xml:space="preserve">, Militārās </w:t>
            </w:r>
            <w:r>
              <w:t>izlūkošanas un drošības dienestam,</w:t>
            </w:r>
            <w:r w:rsidRPr="0081298E">
              <w:t xml:space="preserve"> Drošības policija</w:t>
            </w:r>
            <w:r>
              <w:t>i, Valsts robežsardzei, Valsts policijai</w:t>
            </w:r>
            <w:r w:rsidRPr="0081298E">
              <w:t>, Valsts ieņ</w:t>
            </w:r>
            <w:r w:rsidR="00B17096">
              <w:t>ēmumu</w:t>
            </w:r>
            <w:r>
              <w:t xml:space="preserve"> dienesta finanšu policijai un Muitas kriminālpārvaldei, Ieslodzījuma vietu pārvaldei</w:t>
            </w:r>
            <w:r w:rsidRPr="0081298E">
              <w:t xml:space="preserve">, Korupcijas novēršanas un </w:t>
            </w:r>
            <w:r>
              <w:t>apkarošanas birojam</w:t>
            </w:r>
            <w:r w:rsidRPr="0081298E">
              <w:t xml:space="preserve"> un Militār</w:t>
            </w:r>
            <w:r>
              <w:t>ajai policijai.</w:t>
            </w:r>
          </w:p>
          <w:p w:rsidR="00775B65" w:rsidRDefault="00775B65" w:rsidP="00775B65">
            <w:pPr>
              <w:jc w:val="both"/>
            </w:pPr>
            <w:r>
              <w:t>Noteikumu projektā ir paredzēts noteikt, ka persona, kura iesniedz iesniegumu par Latvijas pilsonības atjaunošanu, iesniegumam pievieno arī izziņu,</w:t>
            </w:r>
            <w:r>
              <w:rPr>
                <w:sz w:val="28"/>
                <w:szCs w:val="28"/>
              </w:rPr>
              <w:t xml:space="preserve"> </w:t>
            </w:r>
            <w:r w:rsidRPr="00583D04">
              <w:t xml:space="preserve">ko izsniegusi kompetentā iestāde </w:t>
            </w:r>
            <w:r>
              <w:t xml:space="preserve">personas </w:t>
            </w:r>
            <w:r w:rsidRPr="00583D04">
              <w:t>pilsonības</w:t>
            </w:r>
            <w:r>
              <w:t xml:space="preserve"> valstī un kas apliecina, ka persona nav sodīta par noziedzīga nodarījuma izdarīšanu. Ja persona nevar iesniegt Pilsonības un migrācijas lietu pārvaldē minēto izziņu, piemēram, tās pilsonības valstī nav </w:t>
            </w:r>
            <w:r w:rsidR="001B2914">
              <w:t>kompetentā</w:t>
            </w:r>
            <w:r>
              <w:t>s iestādes, kas šādu izziņu varētu sniegt, vai pastāv citi – no personas gribas neatkarīgi šķēršļi šādas izziņas iegūšanai, noteikumu projektā ir paredzēta iespēja personai iesniegt dokumentāru apliecinājumu par to, ka personai izziņu par sodāmību nav iespējams iegūt. Vienlaikus norādāms, ka Pilsonības un migrācijas lietu pārvald</w:t>
            </w:r>
            <w:r w:rsidR="00FC1CA8">
              <w:t xml:space="preserve">ei ir jāvērtē katrs </w:t>
            </w:r>
            <w:r>
              <w:t xml:space="preserve">gadījums </w:t>
            </w:r>
            <w:r w:rsidR="00FC1CA8">
              <w:t xml:space="preserve">individuāli </w:t>
            </w:r>
            <w:r>
              <w:t xml:space="preserve">atbilstoši Administratīvā procesa likumā un citos normatīvajos aktos noteiktajam, ja tiks konstatēts, ka personai, kura vēlas atjaunot Latvijas pilsonību, nav iespējams iegūt minētos dokumentus. </w:t>
            </w:r>
          </w:p>
          <w:p w:rsidR="00775B65" w:rsidRPr="001D3C6B" w:rsidRDefault="00775B65" w:rsidP="003E0642">
            <w:pPr>
              <w:jc w:val="both"/>
            </w:pPr>
            <w:r>
              <w:t xml:space="preserve">Noteikumu projekts paredz papildināt Ministru kabineta 2013.gada 24.septembra noteikumus Nr.975 </w:t>
            </w:r>
            <w:r w:rsidRPr="00177081">
              <w:t>„</w:t>
            </w:r>
            <w:r>
              <w:t>Latvijas pilsonības zaudēšanas un atjaunošanas kārtība</w:t>
            </w:r>
            <w:r w:rsidRPr="00177081">
              <w:t>”</w:t>
            </w:r>
            <w:r>
              <w:t xml:space="preserve"> ar normu, kas nosaka gadījumus, kad Pilsonības un migrācijas lietu pārvalde, lai pārbaudītu personu atbilstību Pilsonības likuma 11.pantā noteiktajām prasībām, nepieprasa informāciju no šo noteikumu 19.punktā minētajām iestādēm, proti, objektīvi nav pamata pārbaudīt tādas personas atbilstību Pilsonības likuma 11.panta pirmās daļas 4.punktā noteiktajai prasībai, ja tiek konstatēts, ka persona sava vecuma dēļ (bija nepilngadīga vai, vēl jo vairāk, ir dzimusi pēc 1990.gada 4.maija) nevarēja būt PSRS vai Latvijas PSR valsts drošības dienesta, izlūkdienesta vai pretizlūkošanas dienesta štata darbinieks. Kā arī, ievērojot iestādes kompetenci, ir noteikts, ka informāciju par to, vai persona ir izpildījusi nodokļu vai kādu citu maksājumu saistības pret Latvijas valsti, nepieprasa </w:t>
            </w:r>
            <w:r w:rsidRPr="00E16877">
              <w:t>Tieslietu ministrijas</w:t>
            </w:r>
            <w:r w:rsidR="008C7E2C">
              <w:t xml:space="preserve"> Uzturlīdzekļu garantiju fonda administrācijai</w:t>
            </w:r>
            <w:r w:rsidRPr="00E16877">
              <w:t xml:space="preserve">, ja </w:t>
            </w:r>
            <w:r>
              <w:t xml:space="preserve">ir </w:t>
            </w:r>
            <w:r>
              <w:lastRenderedPageBreak/>
              <w:t xml:space="preserve">konstatēts, ka </w:t>
            </w:r>
            <w:r w:rsidRPr="00E16877">
              <w:t>Iedzīvotāju reģistrā nav iekļautas ziņas par personas bērnu.</w:t>
            </w:r>
            <w:r w:rsidRPr="00EA2835">
              <w:t xml:space="preserve"> </w:t>
            </w:r>
          </w:p>
        </w:tc>
      </w:tr>
      <w:tr w:rsidR="00775B65" w:rsidRPr="00CF666C" w:rsidTr="003E0642">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ind w:firstLine="300"/>
              <w:jc w:val="center"/>
            </w:pPr>
            <w:r w:rsidRPr="00CF666C">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Projekta izstrādē iesaistītās institūcijas</w:t>
            </w:r>
          </w:p>
        </w:tc>
        <w:tc>
          <w:tcPr>
            <w:tcW w:w="3126"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t>Pilsonības un migrācijas lietu pārvalde.</w:t>
            </w:r>
          </w:p>
        </w:tc>
      </w:tr>
      <w:tr w:rsidR="00775B65" w:rsidRPr="00CF666C" w:rsidTr="003E0642">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ind w:firstLine="300"/>
              <w:jc w:val="center"/>
            </w:pPr>
            <w:r w:rsidRPr="00CF666C">
              <w:t>4.</w:t>
            </w:r>
          </w:p>
        </w:tc>
        <w:tc>
          <w:tcPr>
            <w:tcW w:w="146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Cita informācija</w:t>
            </w:r>
          </w:p>
        </w:tc>
        <w:tc>
          <w:tcPr>
            <w:tcW w:w="3126"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pPr>
            <w:r w:rsidRPr="00CF666C">
              <w:t>Nav</w:t>
            </w:r>
          </w:p>
        </w:tc>
      </w:tr>
    </w:tbl>
    <w:p w:rsidR="00775B65" w:rsidRPr="00CF666C" w:rsidRDefault="00775B65" w:rsidP="00775B65">
      <w:pPr>
        <w:spacing w:before="100" w:beforeAutospacing="1" w:after="100" w:afterAutospacing="1" w:line="360" w:lineRule="auto"/>
        <w:rPr>
          <w:rFonts w:ascii="Arial" w:hAnsi="Arial" w:cs="Arial"/>
          <w:color w:val="414142"/>
          <w:sz w:val="20"/>
          <w:szCs w:val="20"/>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794"/>
        <w:gridCol w:w="6144"/>
      </w:tblGrid>
      <w:tr w:rsidR="00775B65" w:rsidRPr="00CF666C" w:rsidTr="003E0642">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75B65" w:rsidRPr="00CF666C" w:rsidRDefault="00775B65" w:rsidP="003E0642">
            <w:pPr>
              <w:jc w:val="center"/>
              <w:rPr>
                <w:b/>
                <w:bCs/>
              </w:rPr>
            </w:pPr>
            <w:r w:rsidRPr="004060FD">
              <w:rPr>
                <w:b/>
                <w:bCs/>
              </w:rPr>
              <w:t>II. Tiesību akta projekta ietekme uz sabiedrību, tautsaimniecības attīstību un administratīvo slogu</w:t>
            </w:r>
          </w:p>
        </w:tc>
      </w:tr>
      <w:tr w:rsidR="00775B65" w:rsidRPr="00CF666C" w:rsidTr="003E0642">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1.</w:t>
            </w:r>
          </w:p>
        </w:tc>
        <w:tc>
          <w:tcPr>
            <w:tcW w:w="1475"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Sabiedrības mērķgrupas, kuras tiesiskais regulējums ietekmē vai varētu ietekmēt</w:t>
            </w:r>
          </w:p>
        </w:tc>
        <w:tc>
          <w:tcPr>
            <w:tcW w:w="3222" w:type="pct"/>
            <w:tcBorders>
              <w:top w:val="outset" w:sz="6" w:space="0" w:color="auto"/>
              <w:left w:val="outset" w:sz="6" w:space="0" w:color="auto"/>
              <w:bottom w:val="outset" w:sz="6" w:space="0" w:color="auto"/>
              <w:right w:val="outset" w:sz="6" w:space="0" w:color="auto"/>
            </w:tcBorders>
            <w:hideMark/>
          </w:tcPr>
          <w:p w:rsidR="00775B65" w:rsidRPr="00436B18" w:rsidRDefault="00775B65" w:rsidP="003E0642">
            <w:pPr>
              <w:spacing w:before="100" w:beforeAutospacing="1" w:after="100" w:afterAutospacing="1"/>
              <w:jc w:val="both"/>
            </w:pPr>
            <w:r>
              <w:t>Personas, kuras zaudējušas Latvijas pilsonību un vēlas to atjaunot saskaņā ar Pilsonības likuma 25.panta pirmo un trešo daļu. Grupas skaitlisko apmēru nav iespējams noteikt.</w:t>
            </w:r>
          </w:p>
        </w:tc>
      </w:tr>
      <w:tr w:rsidR="00775B65" w:rsidRPr="00CF666C" w:rsidTr="003E0642">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2.</w:t>
            </w:r>
          </w:p>
        </w:tc>
        <w:tc>
          <w:tcPr>
            <w:tcW w:w="1475"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Tiesiskā regulējuma ietekme uz tautsaimniecību un administratīvo slogu</w:t>
            </w:r>
          </w:p>
        </w:tc>
        <w:tc>
          <w:tcPr>
            <w:tcW w:w="3222"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jc w:val="both"/>
            </w:pPr>
            <w:r>
              <w:t>Personām, kuras iesniedz iesniegumu par Latvijas pilsonības atjaunošanu, tiek noteikts pienākums iesniegt savas pilsonības vai mītnes valsts kompetentās iestādes izsniegtu izziņu par sodāmību.</w:t>
            </w:r>
          </w:p>
        </w:tc>
      </w:tr>
      <w:tr w:rsidR="00775B65" w:rsidRPr="00CF666C" w:rsidTr="003E0642">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3.</w:t>
            </w:r>
          </w:p>
        </w:tc>
        <w:tc>
          <w:tcPr>
            <w:tcW w:w="1475"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Administratīvo izmaksu monetārs novērtējums</w:t>
            </w:r>
          </w:p>
        </w:tc>
        <w:tc>
          <w:tcPr>
            <w:tcW w:w="3222"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t>Projekts šo jomu neskar</w:t>
            </w:r>
          </w:p>
        </w:tc>
      </w:tr>
      <w:tr w:rsidR="00775B65" w:rsidRPr="00CF666C" w:rsidTr="003E0642">
        <w:trPr>
          <w:trHeight w:val="34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4.</w:t>
            </w:r>
          </w:p>
        </w:tc>
        <w:tc>
          <w:tcPr>
            <w:tcW w:w="1475"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Cita informācija</w:t>
            </w:r>
          </w:p>
        </w:tc>
        <w:tc>
          <w:tcPr>
            <w:tcW w:w="3222"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pPr>
            <w:r w:rsidRPr="00CF666C">
              <w:t>Nav</w:t>
            </w:r>
          </w:p>
        </w:tc>
      </w:tr>
    </w:tbl>
    <w:p w:rsidR="00775B65" w:rsidRPr="00CF666C" w:rsidRDefault="00775B65" w:rsidP="00775B65">
      <w:pPr>
        <w:spacing w:before="100" w:beforeAutospacing="1" w:after="100" w:afterAutospacing="1" w:line="360" w:lineRule="auto"/>
        <w:ind w:firstLine="300"/>
        <w:rPr>
          <w:rFonts w:ascii="Arial" w:hAnsi="Arial" w:cs="Arial"/>
          <w:color w:val="414142"/>
          <w:sz w:val="20"/>
          <w:szCs w:val="20"/>
        </w:rPr>
      </w:pPr>
      <w:r w:rsidRPr="00CF666C">
        <w:rPr>
          <w:rFonts w:ascii="Arial" w:hAnsi="Arial" w:cs="Arial"/>
          <w:color w:val="414142"/>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775B65" w:rsidRPr="00CF666C" w:rsidTr="003E064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5B65" w:rsidRPr="00CF666C" w:rsidRDefault="00775B65" w:rsidP="003E0642">
            <w:pPr>
              <w:spacing w:before="100" w:beforeAutospacing="1" w:after="100" w:afterAutospacing="1" w:line="360" w:lineRule="auto"/>
              <w:ind w:firstLine="300"/>
              <w:jc w:val="center"/>
              <w:rPr>
                <w:b/>
                <w:bCs/>
              </w:rPr>
            </w:pPr>
            <w:r w:rsidRPr="00CF666C">
              <w:rPr>
                <w:b/>
                <w:bCs/>
              </w:rPr>
              <w:t>VI. Sabiedrības līdzdalība un komunikācijas aktivitātes</w:t>
            </w:r>
          </w:p>
        </w:tc>
      </w:tr>
      <w:tr w:rsidR="00775B65" w:rsidRPr="00CF666C" w:rsidTr="003E0642">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jc w:val="both"/>
            </w:pPr>
            <w:r w:rsidRPr="00C7066E">
              <w:t xml:space="preserve">Projekts pirms izsludināšanas Valsts sekretāru sanāksmē publicēts Pilsonības un migrācijas lietu pārvaldes </w:t>
            </w:r>
            <w:r>
              <w:t xml:space="preserve">un Iekšlietu ministrijas </w:t>
            </w:r>
            <w:r w:rsidRPr="00C7066E">
              <w:t>mājas lapā.</w:t>
            </w:r>
          </w:p>
        </w:tc>
      </w:tr>
      <w:tr w:rsidR="00775B65" w:rsidRPr="00CF666C" w:rsidTr="003E0642">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775B65" w:rsidRPr="001E4DE3" w:rsidRDefault="00775B65" w:rsidP="003E0642">
            <w:pPr>
              <w:rPr>
                <w:highlight w:val="yellow"/>
              </w:rPr>
            </w:pPr>
            <w:r w:rsidRPr="007678D4">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jc w:val="both"/>
            </w:pPr>
            <w:r>
              <w:t xml:space="preserve">Viedokļus vai priekšlikumus par projektu ir iespējams iesniegt Pilsonības un migrācijas lietu pārvaldē vai nosūtīt elektroniskā veidā uz atbildīgās amatpersonas e-pastu </w:t>
            </w:r>
          </w:p>
        </w:tc>
      </w:tr>
      <w:tr w:rsidR="00775B65" w:rsidRPr="00CF666C" w:rsidTr="003E064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3.</w:t>
            </w:r>
          </w:p>
        </w:tc>
        <w:tc>
          <w:tcPr>
            <w:tcW w:w="1480" w:type="pct"/>
            <w:tcBorders>
              <w:top w:val="outset" w:sz="6" w:space="0" w:color="auto"/>
              <w:left w:val="outset" w:sz="6" w:space="0" w:color="auto"/>
              <w:bottom w:val="outset" w:sz="6" w:space="0" w:color="auto"/>
              <w:right w:val="outset" w:sz="6" w:space="0" w:color="auto"/>
            </w:tcBorders>
            <w:hideMark/>
          </w:tcPr>
          <w:p w:rsidR="00775B65" w:rsidRPr="001E4DE3" w:rsidRDefault="00775B65" w:rsidP="003E0642">
            <w:pPr>
              <w:rPr>
                <w:highlight w:val="yellow"/>
              </w:rPr>
            </w:pPr>
            <w:r w:rsidRPr="003D0596">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775B65" w:rsidRDefault="00775B65" w:rsidP="003E0642">
            <w:r>
              <w:t>Viedokļi vai priekšlikumi par projektu nav saņemti</w:t>
            </w:r>
            <w:r w:rsidRPr="00436B18">
              <w:t>.</w:t>
            </w:r>
          </w:p>
          <w:p w:rsidR="00775B65" w:rsidRPr="00CF666C" w:rsidRDefault="00775B65" w:rsidP="003E0642"/>
        </w:tc>
      </w:tr>
      <w:tr w:rsidR="00775B65" w:rsidRPr="00CF666C" w:rsidTr="003E064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4.</w:t>
            </w:r>
          </w:p>
        </w:tc>
        <w:tc>
          <w:tcPr>
            <w:tcW w:w="148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Cita informācija</w:t>
            </w:r>
          </w:p>
        </w:tc>
        <w:tc>
          <w:tcPr>
            <w:tcW w:w="3208"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line="360" w:lineRule="auto"/>
              <w:ind w:firstLine="16"/>
            </w:pPr>
            <w:r>
              <w:t>Nav</w:t>
            </w:r>
          </w:p>
        </w:tc>
      </w:tr>
    </w:tbl>
    <w:p w:rsidR="00775B65" w:rsidRPr="00CF666C" w:rsidRDefault="00775B65" w:rsidP="00775B65">
      <w:pPr>
        <w:spacing w:before="100" w:beforeAutospacing="1" w:after="100" w:afterAutospacing="1" w:line="360" w:lineRule="auto"/>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775B65" w:rsidRPr="00CF666C" w:rsidTr="003E064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5B65" w:rsidRPr="00CF666C" w:rsidRDefault="00775B65" w:rsidP="003E0642">
            <w:pPr>
              <w:spacing w:before="100" w:beforeAutospacing="1" w:after="100" w:afterAutospacing="1"/>
              <w:ind w:firstLine="300"/>
              <w:jc w:val="center"/>
              <w:rPr>
                <w:b/>
                <w:bCs/>
              </w:rPr>
            </w:pPr>
            <w:r w:rsidRPr="00CF666C">
              <w:rPr>
                <w:b/>
                <w:bCs/>
              </w:rPr>
              <w:lastRenderedPageBreak/>
              <w:t>VII. Tiesību akta projekta izpildes nodrošināšana un tās ietekme uz institūcijām</w:t>
            </w:r>
          </w:p>
        </w:tc>
      </w:tr>
      <w:tr w:rsidR="00775B65" w:rsidRPr="00CF666C" w:rsidTr="003E0642">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1.</w:t>
            </w:r>
          </w:p>
        </w:tc>
        <w:tc>
          <w:tcPr>
            <w:tcW w:w="190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t>Pilsonības un migrācijas lietu pārvalde</w:t>
            </w:r>
          </w:p>
        </w:tc>
      </w:tr>
      <w:tr w:rsidR="00775B65" w:rsidRPr="00CF666C" w:rsidTr="003E0642">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2.</w:t>
            </w:r>
          </w:p>
        </w:tc>
        <w:tc>
          <w:tcPr>
            <w:tcW w:w="190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 xml:space="preserve">Projekta izpildes ietekme uz pārvaldes funkcijām un institucionālo struktūru. </w:t>
            </w:r>
          </w:p>
          <w:p w:rsidR="00775B65" w:rsidRDefault="00775B65" w:rsidP="003E0642">
            <w:pPr>
              <w:spacing w:before="100" w:beforeAutospacing="1" w:after="100" w:afterAutospacing="1"/>
            </w:pPr>
          </w:p>
          <w:p w:rsidR="00775B65" w:rsidRDefault="00775B65" w:rsidP="003E0642">
            <w:pPr>
              <w:spacing w:before="100" w:beforeAutospacing="1" w:after="100" w:afterAutospacing="1"/>
            </w:pPr>
          </w:p>
          <w:p w:rsidR="00775B65" w:rsidRDefault="00775B65" w:rsidP="003E0642">
            <w:pPr>
              <w:spacing w:before="100" w:beforeAutospacing="1" w:after="100" w:afterAutospacing="1"/>
            </w:pPr>
          </w:p>
          <w:p w:rsidR="00775B65" w:rsidRDefault="00775B65" w:rsidP="003E0642">
            <w:pPr>
              <w:spacing w:before="100" w:beforeAutospacing="1" w:after="100" w:afterAutospacing="1"/>
            </w:pPr>
          </w:p>
          <w:p w:rsidR="00775B65" w:rsidRDefault="00775B65" w:rsidP="003E0642">
            <w:pPr>
              <w:spacing w:before="100" w:beforeAutospacing="1" w:after="100" w:afterAutospacing="1"/>
            </w:pPr>
          </w:p>
          <w:p w:rsidR="00775B65" w:rsidRPr="00CF666C" w:rsidRDefault="00775B65" w:rsidP="003E0642">
            <w:pPr>
              <w:spacing w:before="100" w:beforeAutospacing="1" w:after="100" w:afterAutospacing="1"/>
            </w:pPr>
            <w:r w:rsidRPr="00CF666C">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775B65" w:rsidRPr="0097209A" w:rsidRDefault="00775B65" w:rsidP="003E0642">
            <w:pPr>
              <w:jc w:val="both"/>
            </w:pPr>
            <w:r w:rsidRPr="0097209A">
              <w:t xml:space="preserve">Iesnieguma par Latvijas pilsonības </w:t>
            </w:r>
            <w:r>
              <w:t>atjaunošanu iz</w:t>
            </w:r>
            <w:r w:rsidRPr="0097209A">
              <w:t>ska</w:t>
            </w:r>
            <w:r>
              <w:t>tīšanas gaitā atzinums</w:t>
            </w:r>
            <w:r w:rsidRPr="0097209A">
              <w:t xml:space="preserve"> savas kompetences ietvaros</w:t>
            </w:r>
            <w:r>
              <w:t xml:space="preserve"> </w:t>
            </w:r>
            <w:r w:rsidR="00FC1CA8">
              <w:t>(</w:t>
            </w:r>
            <w:r>
              <w:t>līdztekus jau spēkā esošajā regulējumā minētajām iestādēm</w:t>
            </w:r>
            <w:r w:rsidR="00FC1CA8">
              <w:t>)</w:t>
            </w:r>
            <w:r w:rsidRPr="0097209A">
              <w:t xml:space="preserve"> būs jāsniedz </w:t>
            </w:r>
            <w:r w:rsidRPr="0081298E">
              <w:t>Militārās izlūkošanas un drošības dienesta</w:t>
            </w:r>
            <w:r>
              <w:t>m,</w:t>
            </w:r>
            <w:r w:rsidRPr="0081298E">
              <w:t xml:space="preserve"> </w:t>
            </w:r>
            <w:r>
              <w:t xml:space="preserve">Valsts robežsardzei, </w:t>
            </w:r>
            <w:r w:rsidRPr="0097209A">
              <w:t>Valsts ieņēmumu dienesta finanšu policijai un Muitas kriminālpārvaldei</w:t>
            </w:r>
            <w:r>
              <w:t>, Ieslodzījuma vietu pārvaldei</w:t>
            </w:r>
            <w:r w:rsidRPr="0081298E">
              <w:t xml:space="preserve">, Korupcijas novēršanas un </w:t>
            </w:r>
            <w:r>
              <w:t>apkarošanas birojam</w:t>
            </w:r>
            <w:r w:rsidRPr="0081298E">
              <w:t xml:space="preserve"> un Militār</w:t>
            </w:r>
            <w:r>
              <w:t>ajai policijai.</w:t>
            </w:r>
            <w:r w:rsidRPr="0097209A">
              <w:t xml:space="preserve"> </w:t>
            </w:r>
            <w:r>
              <w:t>Vienlaikus t</w:t>
            </w:r>
            <w:r w:rsidRPr="0097209A">
              <w:t>iks samazināts administratīvais slogs Totalitārisma se</w:t>
            </w:r>
            <w:r>
              <w:t xml:space="preserve">ku dokumentēšanas centram un </w:t>
            </w:r>
            <w:r w:rsidRPr="0097209A">
              <w:t>Tieslietu mini</w:t>
            </w:r>
            <w:r w:rsidR="00351B7A">
              <w:t>strijas Uzturlīdzekļu garantiju</w:t>
            </w:r>
            <w:r w:rsidR="00D1564A">
              <w:t xml:space="preserve"> fonda administrācijai</w:t>
            </w:r>
            <w:r>
              <w:t xml:space="preserve">, jo minētajām iestādēm noteiktos gadījumos Pilsonības likumā noteiktā informācija nebūs jāsniedz. </w:t>
            </w:r>
          </w:p>
          <w:p w:rsidR="00775B65" w:rsidRDefault="00775B65" w:rsidP="003E0642">
            <w:pPr>
              <w:spacing w:before="100" w:beforeAutospacing="1" w:after="100" w:afterAutospacing="1"/>
              <w:jc w:val="both"/>
              <w:rPr>
                <w:iCs/>
              </w:rPr>
            </w:pPr>
          </w:p>
          <w:p w:rsidR="00775B65" w:rsidRDefault="00775B65" w:rsidP="003E0642">
            <w:pPr>
              <w:spacing w:before="100" w:beforeAutospacing="1" w:after="100" w:afterAutospacing="1"/>
              <w:jc w:val="both"/>
              <w:rPr>
                <w:iCs/>
              </w:rPr>
            </w:pPr>
          </w:p>
          <w:p w:rsidR="00775B65" w:rsidRPr="00CF666C" w:rsidRDefault="00775B65" w:rsidP="003E0642">
            <w:pPr>
              <w:spacing w:before="100" w:beforeAutospacing="1" w:after="100" w:afterAutospacing="1"/>
              <w:jc w:val="both"/>
            </w:pPr>
            <w:r>
              <w:rPr>
                <w:iCs/>
              </w:rPr>
              <w:t>J</w:t>
            </w:r>
            <w:r w:rsidRPr="00FC42AA">
              <w:rPr>
                <w:iCs/>
              </w:rPr>
              <w:t>aunas institūcijas</w:t>
            </w:r>
            <w:r>
              <w:rPr>
                <w:iCs/>
              </w:rPr>
              <w:t xml:space="preserve"> netiks izveidotas un esošās institūcijas netiks likvidētas vai reorganizētas</w:t>
            </w:r>
            <w:r w:rsidRPr="00FC42AA">
              <w:rPr>
                <w:iCs/>
              </w:rPr>
              <w:t>.</w:t>
            </w:r>
          </w:p>
        </w:tc>
      </w:tr>
      <w:tr w:rsidR="00775B65" w:rsidRPr="00CF666C" w:rsidTr="003E0642">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3.</w:t>
            </w:r>
          </w:p>
        </w:tc>
        <w:tc>
          <w:tcPr>
            <w:tcW w:w="190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r w:rsidRPr="00CF666C">
              <w:t>Cita informācija</w:t>
            </w:r>
          </w:p>
        </w:tc>
        <w:tc>
          <w:tcPr>
            <w:tcW w:w="2850" w:type="pct"/>
            <w:tcBorders>
              <w:top w:val="outset" w:sz="6" w:space="0" w:color="auto"/>
              <w:left w:val="outset" w:sz="6" w:space="0" w:color="auto"/>
              <w:bottom w:val="outset" w:sz="6" w:space="0" w:color="auto"/>
              <w:right w:val="outset" w:sz="6" w:space="0" w:color="auto"/>
            </w:tcBorders>
            <w:hideMark/>
          </w:tcPr>
          <w:p w:rsidR="00775B65" w:rsidRPr="00CF666C" w:rsidRDefault="00775B65" w:rsidP="003E0642">
            <w:pPr>
              <w:spacing w:before="100" w:beforeAutospacing="1" w:after="100" w:afterAutospacing="1"/>
            </w:pPr>
            <w:r>
              <w:t>Nav</w:t>
            </w:r>
          </w:p>
        </w:tc>
      </w:tr>
    </w:tbl>
    <w:p w:rsidR="00775B65" w:rsidRDefault="00775B65" w:rsidP="00775B65"/>
    <w:p w:rsidR="00775B65" w:rsidRPr="00DF7B64" w:rsidRDefault="00775B65" w:rsidP="00775B65">
      <w:pPr>
        <w:pStyle w:val="CommentText"/>
        <w:rPr>
          <w:sz w:val="24"/>
          <w:szCs w:val="24"/>
        </w:rPr>
      </w:pPr>
      <w:r>
        <w:rPr>
          <w:sz w:val="24"/>
          <w:szCs w:val="24"/>
        </w:rPr>
        <w:t xml:space="preserve">Anotācijas III, IV un V </w:t>
      </w:r>
      <w:r w:rsidRPr="00436B18">
        <w:rPr>
          <w:sz w:val="24"/>
          <w:szCs w:val="24"/>
        </w:rPr>
        <w:t>sadaļa – projekts šīs jomas neskar.</w:t>
      </w:r>
    </w:p>
    <w:p w:rsidR="00775B65" w:rsidRDefault="00775B65" w:rsidP="00775B65"/>
    <w:p w:rsidR="00775B65" w:rsidRDefault="00775B65" w:rsidP="00775B65"/>
    <w:p w:rsidR="00775B65" w:rsidRPr="005D68ED" w:rsidRDefault="00775B65" w:rsidP="00775B65">
      <w:pPr>
        <w:pStyle w:val="naisf"/>
        <w:tabs>
          <w:tab w:val="left" w:pos="5760"/>
        </w:tabs>
        <w:ind w:firstLine="0"/>
      </w:pPr>
      <w:r w:rsidRPr="005D68ED">
        <w:t>Iekšlietu ministrs                                                  </w:t>
      </w:r>
      <w:r w:rsidRPr="005D68ED">
        <w:tab/>
      </w:r>
      <w:r w:rsidRPr="005D68ED">
        <w:tab/>
        <w:t xml:space="preserve">            R.Kozlovskis</w:t>
      </w:r>
    </w:p>
    <w:p w:rsidR="00775B65" w:rsidRPr="00CC17E4" w:rsidRDefault="00775B65" w:rsidP="00775B65">
      <w:pPr>
        <w:pStyle w:val="naisf"/>
        <w:rPr>
          <w:sz w:val="28"/>
          <w:szCs w:val="28"/>
        </w:rPr>
      </w:pPr>
      <w:r w:rsidRPr="00CC17E4">
        <w:t> </w:t>
      </w:r>
    </w:p>
    <w:p w:rsidR="00775B65" w:rsidRPr="00CC17E4" w:rsidRDefault="00775B65" w:rsidP="00775B65">
      <w:pPr>
        <w:tabs>
          <w:tab w:val="left" w:pos="5760"/>
        </w:tabs>
        <w:jc w:val="both"/>
        <w:rPr>
          <w:szCs w:val="28"/>
        </w:rPr>
      </w:pPr>
      <w:r>
        <w:rPr>
          <w:szCs w:val="28"/>
        </w:rPr>
        <w:t xml:space="preserve">Vīza: valsts sekretāre </w:t>
      </w:r>
      <w:r>
        <w:rPr>
          <w:szCs w:val="28"/>
        </w:rPr>
        <w:tab/>
      </w:r>
      <w:r>
        <w:rPr>
          <w:szCs w:val="28"/>
        </w:rPr>
        <w:tab/>
        <w:t>I.Pētersone-Godmane</w:t>
      </w:r>
    </w:p>
    <w:p w:rsidR="00775B65" w:rsidRDefault="00775B65" w:rsidP="00775B65">
      <w:pPr>
        <w:jc w:val="both"/>
        <w:rPr>
          <w:sz w:val="20"/>
          <w:szCs w:val="20"/>
        </w:rPr>
      </w:pPr>
    </w:p>
    <w:p w:rsidR="001903C8" w:rsidRDefault="001903C8" w:rsidP="00775B65">
      <w:pPr>
        <w:rPr>
          <w:sz w:val="20"/>
          <w:szCs w:val="20"/>
        </w:rPr>
      </w:pPr>
    </w:p>
    <w:p w:rsidR="001903C8" w:rsidRDefault="001903C8" w:rsidP="00775B65">
      <w:pPr>
        <w:rPr>
          <w:sz w:val="20"/>
          <w:szCs w:val="20"/>
        </w:rPr>
      </w:pPr>
    </w:p>
    <w:p w:rsidR="001903C8" w:rsidRDefault="001903C8" w:rsidP="00775B65">
      <w:pPr>
        <w:rPr>
          <w:sz w:val="20"/>
          <w:szCs w:val="20"/>
        </w:rPr>
      </w:pPr>
    </w:p>
    <w:p w:rsidR="001903C8" w:rsidRDefault="001903C8" w:rsidP="00775B65">
      <w:pPr>
        <w:rPr>
          <w:sz w:val="20"/>
          <w:szCs w:val="20"/>
        </w:rPr>
      </w:pPr>
    </w:p>
    <w:p w:rsidR="00775B65" w:rsidRPr="000A5748" w:rsidRDefault="001903C8" w:rsidP="00775B65">
      <w:pPr>
        <w:rPr>
          <w:sz w:val="20"/>
          <w:szCs w:val="20"/>
        </w:rPr>
      </w:pPr>
      <w:r>
        <w:rPr>
          <w:sz w:val="20"/>
          <w:szCs w:val="20"/>
        </w:rPr>
        <w:t>14</w:t>
      </w:r>
      <w:r w:rsidR="00775B65">
        <w:rPr>
          <w:sz w:val="20"/>
          <w:szCs w:val="20"/>
        </w:rPr>
        <w:t>.</w:t>
      </w:r>
      <w:r w:rsidR="008C7E2C">
        <w:rPr>
          <w:sz w:val="20"/>
          <w:szCs w:val="20"/>
        </w:rPr>
        <w:t>10</w:t>
      </w:r>
      <w:r w:rsidR="00775B65">
        <w:rPr>
          <w:sz w:val="20"/>
          <w:szCs w:val="20"/>
        </w:rPr>
        <w:t>.2014</w:t>
      </w:r>
      <w:r w:rsidR="00775B65" w:rsidRPr="000A5748">
        <w:rPr>
          <w:sz w:val="20"/>
          <w:szCs w:val="20"/>
        </w:rPr>
        <w:t xml:space="preserve">. </w:t>
      </w:r>
      <w:r>
        <w:rPr>
          <w:sz w:val="20"/>
          <w:szCs w:val="20"/>
        </w:rPr>
        <w:t>12</w:t>
      </w:r>
      <w:r w:rsidR="00775B65">
        <w:rPr>
          <w:sz w:val="20"/>
          <w:szCs w:val="20"/>
        </w:rPr>
        <w:t>:</w:t>
      </w:r>
      <w:r>
        <w:rPr>
          <w:sz w:val="20"/>
          <w:szCs w:val="20"/>
        </w:rPr>
        <w:t>20</w:t>
      </w:r>
    </w:p>
    <w:p w:rsidR="00775B65" w:rsidRPr="000A5748" w:rsidRDefault="00775B65" w:rsidP="00775B65">
      <w:pPr>
        <w:rPr>
          <w:sz w:val="20"/>
          <w:szCs w:val="20"/>
        </w:rPr>
      </w:pPr>
      <w:r>
        <w:rPr>
          <w:sz w:val="20"/>
          <w:szCs w:val="20"/>
        </w:rPr>
        <w:t>1</w:t>
      </w:r>
      <w:r w:rsidR="00D1564A">
        <w:rPr>
          <w:sz w:val="20"/>
          <w:szCs w:val="20"/>
        </w:rPr>
        <w:t>562</w:t>
      </w:r>
    </w:p>
    <w:p w:rsidR="00775B65" w:rsidRDefault="00775B65" w:rsidP="00775B65">
      <w:pPr>
        <w:rPr>
          <w:sz w:val="20"/>
          <w:szCs w:val="20"/>
        </w:rPr>
      </w:pPr>
      <w:r>
        <w:rPr>
          <w:sz w:val="20"/>
          <w:szCs w:val="20"/>
        </w:rPr>
        <w:t>I.Vorpa</w:t>
      </w:r>
    </w:p>
    <w:p w:rsidR="00775B65" w:rsidRPr="00585D8D" w:rsidRDefault="00775B65" w:rsidP="00775B65">
      <w:pPr>
        <w:rPr>
          <w:sz w:val="20"/>
          <w:szCs w:val="20"/>
          <w:lang w:val="es-ES"/>
        </w:rPr>
      </w:pPr>
      <w:r>
        <w:rPr>
          <w:sz w:val="20"/>
          <w:szCs w:val="20"/>
        </w:rPr>
        <w:t>67219514, ina.vorpa@pmlp.gov.lv</w:t>
      </w:r>
    </w:p>
    <w:p w:rsidR="00775B65" w:rsidRDefault="00775B65" w:rsidP="00775B65"/>
    <w:p w:rsidR="0058315D" w:rsidRDefault="0058315D"/>
    <w:sectPr w:rsidR="0058315D" w:rsidSect="001903C8">
      <w:headerReference w:type="default" r:id="rId6"/>
      <w:footerReference w:type="default" r:id="rId7"/>
      <w:footerReference w:type="firs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38" w:rsidRDefault="005E0138" w:rsidP="001B2914">
      <w:r>
        <w:separator/>
      </w:r>
    </w:p>
  </w:endnote>
  <w:endnote w:type="continuationSeparator" w:id="0">
    <w:p w:rsidR="005E0138" w:rsidRDefault="005E0138" w:rsidP="001B2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35" w:rsidRPr="00EA2835" w:rsidRDefault="001903C8" w:rsidP="00EA2835">
    <w:pPr>
      <w:pStyle w:val="Footer"/>
      <w:jc w:val="both"/>
      <w:rPr>
        <w:sz w:val="20"/>
        <w:szCs w:val="20"/>
      </w:rPr>
    </w:pPr>
    <w:r>
      <w:rPr>
        <w:sz w:val="20"/>
        <w:szCs w:val="20"/>
      </w:rPr>
      <w:t>IEMAnot_14</w:t>
    </w:r>
    <w:r w:rsidR="008C7E2C">
      <w:rPr>
        <w:sz w:val="20"/>
        <w:szCs w:val="20"/>
      </w:rPr>
      <w:t>10</w:t>
    </w:r>
    <w:r w:rsidR="0050646E" w:rsidRPr="00EA2835">
      <w:rPr>
        <w:sz w:val="20"/>
        <w:szCs w:val="20"/>
      </w:rPr>
      <w:t>14_Groz-</w:t>
    </w:r>
    <w:r w:rsidR="0050646E">
      <w:rPr>
        <w:sz w:val="20"/>
        <w:szCs w:val="20"/>
      </w:rPr>
      <w:t>atjaun</w:t>
    </w:r>
    <w:r w:rsidR="0050646E" w:rsidRPr="00EA2835">
      <w:rPr>
        <w:sz w:val="20"/>
        <w:szCs w:val="20"/>
      </w:rPr>
      <w:t>; Ministru kabineta noteikumu projekta „Grozījumi Ministru kabineta</w:t>
    </w:r>
    <w:r w:rsidR="0050646E">
      <w:rPr>
        <w:sz w:val="20"/>
        <w:szCs w:val="20"/>
      </w:rPr>
      <w:t xml:space="preserve"> </w:t>
    </w:r>
    <w:r w:rsidR="0050646E" w:rsidRPr="00EA2835">
      <w:rPr>
        <w:sz w:val="20"/>
        <w:szCs w:val="20"/>
      </w:rPr>
      <w:t>2013.gada 24.septembra noteikumos Nr.</w:t>
    </w:r>
    <w:r w:rsidR="0050646E">
      <w:rPr>
        <w:sz w:val="20"/>
        <w:szCs w:val="20"/>
      </w:rPr>
      <w:t>975</w:t>
    </w:r>
    <w:r w:rsidR="0050646E" w:rsidRPr="00EA2835">
      <w:rPr>
        <w:sz w:val="20"/>
        <w:szCs w:val="20"/>
      </w:rPr>
      <w:t xml:space="preserve"> „</w:t>
    </w:r>
    <w:r w:rsidR="0050646E">
      <w:rPr>
        <w:sz w:val="20"/>
        <w:szCs w:val="20"/>
      </w:rPr>
      <w:t>Latvijas pilsonības zaudēšanas un atjaunošanas kārtība</w:t>
    </w:r>
    <w:r w:rsidR="0050646E" w:rsidRPr="00EA2835">
      <w:rPr>
        <w:sz w:val="20"/>
        <w:szCs w:val="20"/>
      </w:rPr>
      <w:t>”</w:t>
    </w:r>
    <w:r w:rsidR="0050646E">
      <w:rPr>
        <w:sz w:val="20"/>
        <w:szCs w:val="20"/>
      </w:rPr>
      <w:t>”</w:t>
    </w:r>
    <w:r w:rsidR="0050646E" w:rsidRPr="00EA2835">
      <w:rPr>
        <w:sz w:val="20"/>
        <w:szCs w:val="20"/>
      </w:rPr>
      <w:t xml:space="preserve"> sākotnējās ietekmes novērtējuma </w:t>
    </w:r>
    <w:smartTag w:uri="schemas-tilde-lv/tildestengine" w:element="veidnes">
      <w:smartTagPr>
        <w:attr w:name="text" w:val="ziņojums"/>
        <w:attr w:name="baseform" w:val="ziņojum|s"/>
        <w:attr w:name="id" w:val="-1"/>
      </w:smartTagPr>
      <w:r w:rsidR="0050646E" w:rsidRPr="00EA2835">
        <w:rPr>
          <w:sz w:val="20"/>
          <w:szCs w:val="20"/>
        </w:rPr>
        <w:t>ziņojums</w:t>
      </w:r>
    </w:smartTag>
    <w:r w:rsidR="0050646E" w:rsidRPr="00EA2835">
      <w:rPr>
        <w:sz w:val="20"/>
        <w:szCs w:val="20"/>
      </w:rPr>
      <w:t xml:space="preserve"> (anotācija)</w:t>
    </w:r>
  </w:p>
  <w:p w:rsidR="005D68ED" w:rsidRDefault="005E0138" w:rsidP="005D68ED">
    <w:pPr>
      <w:pStyle w:val="Footer"/>
    </w:pPr>
  </w:p>
  <w:p w:rsidR="00FB416A" w:rsidRDefault="005E0138">
    <w:pPr>
      <w:pStyle w:val="Footer"/>
    </w:pPr>
  </w:p>
  <w:p w:rsidR="00FB416A" w:rsidRDefault="005E01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38" w:rsidRPr="00EA2835" w:rsidRDefault="001903C8" w:rsidP="00740C38">
    <w:pPr>
      <w:pStyle w:val="Footer"/>
      <w:jc w:val="both"/>
      <w:rPr>
        <w:sz w:val="20"/>
        <w:szCs w:val="20"/>
      </w:rPr>
    </w:pPr>
    <w:r>
      <w:rPr>
        <w:sz w:val="20"/>
        <w:szCs w:val="20"/>
      </w:rPr>
      <w:t>IEMAnot_14</w:t>
    </w:r>
    <w:r w:rsidR="008C7E2C">
      <w:rPr>
        <w:sz w:val="20"/>
        <w:szCs w:val="20"/>
      </w:rPr>
      <w:t>10</w:t>
    </w:r>
    <w:r w:rsidR="0050646E" w:rsidRPr="00EA2835">
      <w:rPr>
        <w:sz w:val="20"/>
        <w:szCs w:val="20"/>
      </w:rPr>
      <w:t>14_Groz-</w:t>
    </w:r>
    <w:r w:rsidR="0050646E">
      <w:rPr>
        <w:sz w:val="20"/>
        <w:szCs w:val="20"/>
      </w:rPr>
      <w:t>atjaun</w:t>
    </w:r>
    <w:r w:rsidR="0050646E" w:rsidRPr="00EA2835">
      <w:rPr>
        <w:sz w:val="20"/>
        <w:szCs w:val="20"/>
      </w:rPr>
      <w:t>; Ministru kabineta noteikumu projekta „Grozījumi Ministru kabineta</w:t>
    </w:r>
    <w:r w:rsidR="0050646E">
      <w:rPr>
        <w:sz w:val="20"/>
        <w:szCs w:val="20"/>
      </w:rPr>
      <w:t xml:space="preserve"> </w:t>
    </w:r>
    <w:r w:rsidR="0050646E" w:rsidRPr="00EA2835">
      <w:rPr>
        <w:sz w:val="20"/>
        <w:szCs w:val="20"/>
      </w:rPr>
      <w:t>2013.gada 24.septembra noteikumos Nr.</w:t>
    </w:r>
    <w:r w:rsidR="0050646E">
      <w:rPr>
        <w:sz w:val="20"/>
        <w:szCs w:val="20"/>
      </w:rPr>
      <w:t>975</w:t>
    </w:r>
    <w:r w:rsidR="0050646E" w:rsidRPr="00EA2835">
      <w:rPr>
        <w:sz w:val="20"/>
        <w:szCs w:val="20"/>
      </w:rPr>
      <w:t xml:space="preserve"> „</w:t>
    </w:r>
    <w:r w:rsidR="0050646E">
      <w:rPr>
        <w:sz w:val="20"/>
        <w:szCs w:val="20"/>
      </w:rPr>
      <w:t>Latvijas pilsonības zaudēšanas un atjaunošanas kārtība</w:t>
    </w:r>
    <w:r w:rsidR="0050646E" w:rsidRPr="00EA2835">
      <w:rPr>
        <w:sz w:val="20"/>
        <w:szCs w:val="20"/>
      </w:rPr>
      <w:t>”</w:t>
    </w:r>
    <w:r w:rsidR="0050646E">
      <w:rPr>
        <w:sz w:val="20"/>
        <w:szCs w:val="20"/>
      </w:rPr>
      <w:t>”</w:t>
    </w:r>
    <w:r w:rsidR="0050646E" w:rsidRPr="00EA2835">
      <w:rPr>
        <w:sz w:val="20"/>
        <w:szCs w:val="20"/>
      </w:rPr>
      <w:t xml:space="preserve"> sākotnējās ietekmes novērtējuma </w:t>
    </w:r>
    <w:smartTag w:uri="schemas-tilde-lv/tildestengine" w:element="veidnes">
      <w:smartTagPr>
        <w:attr w:name="text" w:val="ziņojums"/>
        <w:attr w:name="baseform" w:val="ziņojum|s"/>
        <w:attr w:name="id" w:val="-1"/>
      </w:smartTagPr>
      <w:r w:rsidR="0050646E" w:rsidRPr="00EA2835">
        <w:rPr>
          <w:sz w:val="20"/>
          <w:szCs w:val="20"/>
        </w:rPr>
        <w:t>ziņojums</w:t>
      </w:r>
    </w:smartTag>
    <w:r w:rsidR="0050646E" w:rsidRPr="00EA2835">
      <w:rPr>
        <w:sz w:val="20"/>
        <w:szCs w:val="20"/>
      </w:rPr>
      <w:t xml:space="preserve"> (anotācija)</w:t>
    </w:r>
  </w:p>
  <w:p w:rsidR="00930133" w:rsidRPr="00740C38" w:rsidRDefault="005E0138" w:rsidP="0074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38" w:rsidRDefault="005E0138" w:rsidP="001B2914">
      <w:r>
        <w:separator/>
      </w:r>
    </w:p>
  </w:footnote>
  <w:footnote w:type="continuationSeparator" w:id="0">
    <w:p w:rsidR="005E0138" w:rsidRDefault="005E0138" w:rsidP="001B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1D" w:rsidRDefault="00AE4A3E">
    <w:pPr>
      <w:pStyle w:val="Header"/>
      <w:jc w:val="center"/>
    </w:pPr>
    <w:r>
      <w:fldChar w:fldCharType="begin"/>
    </w:r>
    <w:r w:rsidR="0050646E">
      <w:instrText xml:space="preserve"> PAGE   \* MERGEFORMAT </w:instrText>
    </w:r>
    <w:r>
      <w:fldChar w:fldCharType="separate"/>
    </w:r>
    <w:r w:rsidR="001903C8">
      <w:rPr>
        <w:noProof/>
      </w:rPr>
      <w:t>6</w:t>
    </w:r>
    <w:r>
      <w:fldChar w:fldCharType="end"/>
    </w:r>
  </w:p>
  <w:p w:rsidR="00D4091D" w:rsidRDefault="005E01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mirrorMargins/>
  <w:defaultTabStop w:val="720"/>
  <w:characterSpacingControl w:val="doNotCompress"/>
  <w:footnotePr>
    <w:footnote w:id="-1"/>
    <w:footnote w:id="0"/>
  </w:footnotePr>
  <w:endnotePr>
    <w:endnote w:id="-1"/>
    <w:endnote w:id="0"/>
  </w:endnotePr>
  <w:compat/>
  <w:rsids>
    <w:rsidRoot w:val="00775B65"/>
    <w:rsid w:val="00172C2E"/>
    <w:rsid w:val="001903C8"/>
    <w:rsid w:val="001B2914"/>
    <w:rsid w:val="00212E5B"/>
    <w:rsid w:val="00351B7A"/>
    <w:rsid w:val="003C2598"/>
    <w:rsid w:val="004A73A5"/>
    <w:rsid w:val="0050646E"/>
    <w:rsid w:val="0058315D"/>
    <w:rsid w:val="005E0138"/>
    <w:rsid w:val="006F764D"/>
    <w:rsid w:val="00771722"/>
    <w:rsid w:val="00775B65"/>
    <w:rsid w:val="007C6679"/>
    <w:rsid w:val="008B7575"/>
    <w:rsid w:val="008C7E2C"/>
    <w:rsid w:val="008E78AE"/>
    <w:rsid w:val="00914CE4"/>
    <w:rsid w:val="00AE4A3E"/>
    <w:rsid w:val="00B006EE"/>
    <w:rsid w:val="00B17096"/>
    <w:rsid w:val="00B9547A"/>
    <w:rsid w:val="00BC59C2"/>
    <w:rsid w:val="00D1564A"/>
    <w:rsid w:val="00E31A1B"/>
    <w:rsid w:val="00FC1C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75B65"/>
    <w:pPr>
      <w:tabs>
        <w:tab w:val="center" w:pos="4153"/>
        <w:tab w:val="right" w:pos="8306"/>
      </w:tabs>
    </w:pPr>
  </w:style>
  <w:style w:type="character" w:customStyle="1" w:styleId="FooterChar">
    <w:name w:val="Footer Char"/>
    <w:basedOn w:val="DefaultParagraphFont"/>
    <w:link w:val="Footer"/>
    <w:uiPriority w:val="99"/>
    <w:semiHidden/>
    <w:rsid w:val="00775B65"/>
    <w:rPr>
      <w:rFonts w:ascii="Times New Roman" w:eastAsia="Times New Roman" w:hAnsi="Times New Roman" w:cs="Times New Roman"/>
      <w:sz w:val="24"/>
      <w:szCs w:val="24"/>
      <w:lang w:eastAsia="lv-LV"/>
    </w:rPr>
  </w:style>
  <w:style w:type="character" w:customStyle="1" w:styleId="FooterChar1">
    <w:name w:val="Footer Char1"/>
    <w:link w:val="Footer"/>
    <w:locked/>
    <w:rsid w:val="00775B65"/>
    <w:rPr>
      <w:rFonts w:ascii="Times New Roman" w:eastAsia="Times New Roman" w:hAnsi="Times New Roman" w:cs="Times New Roman"/>
      <w:sz w:val="24"/>
      <w:szCs w:val="24"/>
      <w:lang w:eastAsia="lv-LV"/>
    </w:rPr>
  </w:style>
  <w:style w:type="paragraph" w:styleId="Header">
    <w:name w:val="header"/>
    <w:basedOn w:val="Normal"/>
    <w:link w:val="HeaderChar"/>
    <w:rsid w:val="00775B65"/>
    <w:pPr>
      <w:tabs>
        <w:tab w:val="center" w:pos="4153"/>
        <w:tab w:val="right" w:pos="8306"/>
      </w:tabs>
    </w:pPr>
  </w:style>
  <w:style w:type="character" w:customStyle="1" w:styleId="HeaderChar">
    <w:name w:val="Header Char"/>
    <w:basedOn w:val="DefaultParagraphFont"/>
    <w:link w:val="Header"/>
    <w:rsid w:val="00775B65"/>
    <w:rPr>
      <w:rFonts w:ascii="Times New Roman" w:eastAsia="Times New Roman" w:hAnsi="Times New Roman" w:cs="Times New Roman"/>
      <w:sz w:val="24"/>
      <w:szCs w:val="24"/>
      <w:lang w:eastAsia="lv-LV"/>
    </w:rPr>
  </w:style>
  <w:style w:type="paragraph" w:customStyle="1" w:styleId="naiskr">
    <w:name w:val="naiskr"/>
    <w:basedOn w:val="Normal"/>
    <w:rsid w:val="00775B65"/>
    <w:pPr>
      <w:spacing w:before="75" w:after="75"/>
    </w:pPr>
  </w:style>
  <w:style w:type="paragraph" w:customStyle="1" w:styleId="tv213">
    <w:name w:val="tv213"/>
    <w:basedOn w:val="Normal"/>
    <w:rsid w:val="00775B65"/>
    <w:pPr>
      <w:spacing w:before="100" w:beforeAutospacing="1" w:after="100" w:afterAutospacing="1"/>
    </w:pPr>
  </w:style>
  <w:style w:type="paragraph" w:customStyle="1" w:styleId="naisf">
    <w:name w:val="naisf"/>
    <w:basedOn w:val="Normal"/>
    <w:rsid w:val="00775B65"/>
    <w:pPr>
      <w:spacing w:before="75" w:after="75"/>
      <w:ind w:firstLine="375"/>
      <w:jc w:val="both"/>
    </w:pPr>
  </w:style>
  <w:style w:type="paragraph" w:styleId="CommentText">
    <w:name w:val="annotation text"/>
    <w:basedOn w:val="Normal"/>
    <w:link w:val="CommentTextChar"/>
    <w:semiHidden/>
    <w:rsid w:val="00775B65"/>
    <w:rPr>
      <w:sz w:val="20"/>
      <w:szCs w:val="20"/>
    </w:rPr>
  </w:style>
  <w:style w:type="character" w:customStyle="1" w:styleId="CommentTextChar">
    <w:name w:val="Comment Text Char"/>
    <w:basedOn w:val="DefaultParagraphFont"/>
    <w:link w:val="CommentText"/>
    <w:semiHidden/>
    <w:rsid w:val="00775B65"/>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rsid w:val="00775B65"/>
    <w:pPr>
      <w:ind w:firstLine="720"/>
      <w:jc w:val="both"/>
    </w:pPr>
    <w:rPr>
      <w:szCs w:val="20"/>
      <w:lang w:eastAsia="en-US"/>
    </w:rPr>
  </w:style>
  <w:style w:type="character" w:customStyle="1" w:styleId="BodyTextIndent2Char">
    <w:name w:val="Body Text Indent 2 Char"/>
    <w:basedOn w:val="DefaultParagraphFont"/>
    <w:link w:val="BodyTextIndent2"/>
    <w:rsid w:val="00775B6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8364</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Nr.975 "Latvijas pilsonības zaudēšanas un atjaunošanas kārtība""</vt:lpstr>
    </vt:vector>
  </TitlesOfParts>
  <Company>Naturalizacijas parvalde</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Nr.975 "Latvijas pilsonības zaudēšanas un atjaunošanas kārtība""</dc:title>
  <dc:subject>Sākotnējās ietekmes novērtējuma ziņojums (anotācija)</dc:subject>
  <dc:creator>Ina Vorpa</dc:creator>
  <cp:keywords/>
  <dc:description>ina.vorpa@pmlp.gov.lv, 67219514</dc:description>
  <cp:lastModifiedBy>Ina Vorpa</cp:lastModifiedBy>
  <cp:revision>12</cp:revision>
  <cp:lastPrinted>2014-07-09T11:01:00Z</cp:lastPrinted>
  <dcterms:created xsi:type="dcterms:W3CDTF">2014-07-09T07:14:00Z</dcterms:created>
  <dcterms:modified xsi:type="dcterms:W3CDTF">2014-10-14T09:22:00Z</dcterms:modified>
</cp:coreProperties>
</file>