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CB" w:rsidRDefault="00A31BCB" w:rsidP="00A31BCB">
      <w:pPr>
        <w:ind w:firstLine="720"/>
        <w:jc w:val="center"/>
        <w:rPr>
          <w:b/>
        </w:rPr>
      </w:pPr>
      <w:bookmarkStart w:id="0" w:name="OLE_LINK7"/>
      <w:bookmarkStart w:id="1" w:name="OLE_LINK6"/>
      <w:r w:rsidRPr="00A31BCB">
        <w:rPr>
          <w:b/>
        </w:rPr>
        <w:t xml:space="preserve">Ministru kabineta </w:t>
      </w:r>
      <w:r w:rsidRPr="00A31BCB">
        <w:rPr>
          <w:b/>
          <w:bCs/>
        </w:rPr>
        <w:t xml:space="preserve">noteikumu </w:t>
      </w:r>
      <w:r w:rsidR="00CD3C60" w:rsidRPr="00A31BCB">
        <w:rPr>
          <w:b/>
          <w:bCs/>
        </w:rPr>
        <w:t>projekta</w:t>
      </w:r>
      <w:r w:rsidR="00CD3C60">
        <w:rPr>
          <w:b/>
          <w:bCs/>
        </w:rPr>
        <w:t xml:space="preserve"> </w:t>
      </w:r>
      <w:r w:rsidRPr="00A31BCB">
        <w:rPr>
          <w:b/>
          <w:bCs/>
        </w:rPr>
        <w:t>„Grozījumi Ministru kabineta 2008.gada 19.maija noteikumos Nr.338 „Noteikumi par Iekšlietu ministrijas sistēmas iestāžu un Ieslodzījuma vietu pārvaldes amatpersonu ar speciālajām dienesta pakāpēm dienesta apliecības un žetona paraugu un dienesta apliecības un žetona izsniegšanas un nodošanas kārtību</w:t>
      </w:r>
      <w:r w:rsidRPr="00A31BCB">
        <w:rPr>
          <w:b/>
        </w:rPr>
        <w:t xml:space="preserve">”” </w:t>
      </w:r>
      <w:bookmarkEnd w:id="0"/>
      <w:bookmarkEnd w:id="1"/>
      <w:r w:rsidRPr="00A31BCB">
        <w:rPr>
          <w:b/>
        </w:rPr>
        <w:t xml:space="preserve">sākotnējās ietekmes novērtējuma </w:t>
      </w:r>
    </w:p>
    <w:p w:rsidR="00A31BCB" w:rsidRPr="00A31BCB" w:rsidRDefault="00A31BCB" w:rsidP="00A31BCB">
      <w:pPr>
        <w:ind w:firstLine="720"/>
        <w:jc w:val="center"/>
        <w:rPr>
          <w:b/>
        </w:rPr>
      </w:pPr>
      <w:r w:rsidRPr="00A31BCB">
        <w:rPr>
          <w:b/>
        </w:rPr>
        <w:t>ziņojums (anotācija)</w:t>
      </w:r>
    </w:p>
    <w:p w:rsidR="00A31BCB" w:rsidRDefault="00A31BCB" w:rsidP="00A31BCB">
      <w:pPr>
        <w:ind w:firstLine="720"/>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A31BCB" w:rsidRPr="004D15A9" w:rsidTr="00EE5DE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1BCB" w:rsidRPr="004D15A9" w:rsidRDefault="00A31BCB" w:rsidP="00EE5DE0">
            <w:pPr>
              <w:ind w:firstLine="300"/>
              <w:jc w:val="center"/>
              <w:rPr>
                <w:b/>
                <w:bCs/>
                <w:color w:val="414142"/>
                <w:lang w:eastAsia="lv-LV"/>
              </w:rPr>
            </w:pPr>
            <w:r w:rsidRPr="004D15A9">
              <w:rPr>
                <w:b/>
                <w:bCs/>
                <w:color w:val="414142"/>
                <w:lang w:eastAsia="lv-LV"/>
              </w:rPr>
              <w:t>I. Tiesību akta projekta izstrādes nepieciešamība</w:t>
            </w:r>
          </w:p>
        </w:tc>
      </w:tr>
      <w:tr w:rsidR="00A31BCB" w:rsidRPr="004D15A9" w:rsidTr="00EE5DE0">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jc w:val="both"/>
              <w:rPr>
                <w:iCs/>
              </w:rPr>
            </w:pPr>
            <w:r w:rsidRPr="002D2E2B">
              <w:rPr>
                <w:iCs/>
              </w:rPr>
              <w:t>1.</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jc w:val="both"/>
              <w:rPr>
                <w:iCs/>
              </w:rPr>
            </w:pPr>
            <w:r w:rsidRPr="002D2E2B">
              <w:rPr>
                <w:iCs/>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BC5A0C" w:rsidRDefault="00A31BCB" w:rsidP="00EE5DE0">
            <w:pPr>
              <w:jc w:val="both"/>
            </w:pPr>
            <w:r w:rsidRPr="00A31BCB">
              <w:t>Iekšlietu ministrijas iniciatīva</w:t>
            </w:r>
            <w:r w:rsidR="001F2A1A">
              <w:t>.</w:t>
            </w:r>
          </w:p>
        </w:tc>
      </w:tr>
      <w:tr w:rsidR="00A31BCB" w:rsidRPr="004D15A9"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jc w:val="both"/>
              <w:rPr>
                <w:iCs/>
              </w:rPr>
            </w:pPr>
            <w:r w:rsidRPr="002D2E2B">
              <w:rPr>
                <w:iCs/>
              </w:rPr>
              <w:t>2.</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jc w:val="both"/>
              <w:rPr>
                <w:iCs/>
              </w:rPr>
            </w:pPr>
            <w:r w:rsidRPr="002D2E2B">
              <w:rPr>
                <w:iCs/>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A31BCB" w:rsidRDefault="00A31BCB" w:rsidP="00A31BCB">
            <w:pPr>
              <w:snapToGrid w:val="0"/>
              <w:jc w:val="both"/>
            </w:pPr>
            <w:r w:rsidRPr="00A31BCB">
              <w:t>Iekšlietu ministrijas sistēmas iestāžu un Ieslodzījuma vietu pārvaldes amatpersonu ar speciālajām dienesta pakāpēm dienesta gaitas likuma 45.pants nosaka, ka amatpersonai tās pilnvaru apliecināšanai izsniedz dienesta apliecību. No iepriekš minēta izriet, ka dienesta apliecība amatpersonām ir nepieciešama tikai to pilnvaru apliecināšanai, lai privātpersona varētu pārliecināties, ka konkrētā persona ir amatpersona un tai ir attiecīgas pilnvaras, tādējādi arī identificējot konkrēto amatpersonu.</w:t>
            </w:r>
          </w:p>
          <w:p w:rsidR="00A31BCB" w:rsidRPr="00A31BCB" w:rsidRDefault="00A31BCB" w:rsidP="00A31BCB">
            <w:pPr>
              <w:snapToGrid w:val="0"/>
              <w:jc w:val="both"/>
            </w:pPr>
            <w:r w:rsidRPr="00A31BCB">
              <w:rPr>
                <w:bCs/>
              </w:rPr>
              <w:t>Ministru kabineta 2008.gada 19.maija noteikumu Nr.338 „Noteikumi par Iekšlietu ministrijas sistēmas iestāžu un Ieslodzījuma vietu pārvaldes amatpersonu ar speciālajām dienesta pakāpēm dienesta apliecības un žetona paraugu un dienesta apliecības un žetona izsniegšanas un nodošanas kārtību</w:t>
            </w:r>
            <w:r w:rsidRPr="00A31BCB">
              <w:t xml:space="preserve">” (turpmāk – noteikumi Nr.338) 6.7.apakšpunkts nosaka, ka amatpersonas dienesta apliecības priekšpusē (aversā) tiek norādīts amatpersonas personas kods. </w:t>
            </w:r>
          </w:p>
          <w:p w:rsidR="00A31BCB" w:rsidRPr="00A31BCB" w:rsidRDefault="00A31BCB" w:rsidP="00A31BCB">
            <w:pPr>
              <w:jc w:val="both"/>
            </w:pPr>
            <w:r w:rsidRPr="00A31BCB">
              <w:t>Personas koda izmantošanu kā personas datu apstrādi Fizisko personu datu aizsardzības likuma 2.panta 4.punkta izpratnē ir jāveic, ievērojot Fizisko personu datu aizsardzības likumu, tai skaitā Fizisko personu datu aizsardzības likuma 7. un 13.</w:t>
            </w:r>
            <w:r w:rsidRPr="00A31BCB">
              <w:rPr>
                <w:vertAlign w:val="superscript"/>
              </w:rPr>
              <w:t xml:space="preserve">1 </w:t>
            </w:r>
            <w:r w:rsidRPr="00A31BCB">
              <w:t>pantu, kas paredz personas datu apstrādes tiesisko pamatu. Papildus tiesiskā pamata nodrošināšanai, veicot personas datu apstrādi, ir jāievēro arī Fizisko personu datu aizsardzības likuma 10.panta pirmās</w:t>
            </w:r>
            <w:r w:rsidRPr="00A31BCB">
              <w:rPr>
                <w:vertAlign w:val="superscript"/>
              </w:rPr>
              <w:t xml:space="preserve"> </w:t>
            </w:r>
            <w:r w:rsidRPr="00A31BCB">
              <w:t>daļas 2.punktu, saskaņā</w:t>
            </w:r>
            <w:proofErr w:type="gramStart"/>
            <w:r w:rsidRPr="00A31BCB">
              <w:t xml:space="preserve"> ar kuru personas datu apstrādi drīkst veikt tikai atbilstoši paredzētajam mērķim un tam nepieciešamajā apjomā</w:t>
            </w:r>
            <w:proofErr w:type="gramEnd"/>
            <w:r w:rsidRPr="00A31BCB">
              <w:t>. Tas nozīmē, ka pirms personas datu apstrādes veikšanas ir jāizvērtē, vai pastāv tiesisks mērķis plānotajai personas datu apstrādei, vai šo mērķi var sasniegt ar iecerēto personas datu apstrādi un, vai šo mērķi nav iespējams sasniegt, apstrādājot personas datus mazākā apjomā, citā veidā vai arī neapstrādājot vispār.</w:t>
            </w:r>
          </w:p>
          <w:p w:rsidR="00A31BCB" w:rsidRPr="00A31BCB" w:rsidRDefault="00A31BCB" w:rsidP="00A31BCB">
            <w:pPr>
              <w:jc w:val="both"/>
            </w:pPr>
            <w:r w:rsidRPr="00A31BCB">
              <w:t xml:space="preserve">Privātpersona, kurai ir nepieciešams pārliecināties par amatpersonas pilnvarām un identitāti, ir iespējams to izdarīt tikai pēc amatpersonas dienesta apliecībā esošās fotogrāfijas un tajā norādītā vārda, uzvārda, iestādes nosaukuma, ieņemamā amata un dienesta apliecības numura. Ar dienesta apliecības numura palīdzību var </w:t>
            </w:r>
            <w:r w:rsidRPr="00A31BCB">
              <w:lastRenderedPageBreak/>
              <w:t xml:space="preserve">novērst situācijas, ka personas dati vairākām amatpersonām var sakrist, jo dienesta apliecības numuri nevar būt vienādi. </w:t>
            </w:r>
          </w:p>
          <w:p w:rsidR="002D4D14" w:rsidRPr="002D4D14" w:rsidRDefault="008553AF" w:rsidP="008553AF">
            <w:pPr>
              <w:ind w:right="68"/>
              <w:jc w:val="both"/>
            </w:pPr>
            <w:r w:rsidRPr="002D4D14">
              <w:t>Noteikumu</w:t>
            </w:r>
            <w:r w:rsidR="00D4151E">
              <w:t xml:space="preserve"> </w:t>
            </w:r>
            <w:r w:rsidRPr="002D4D14">
              <w:t>Nr.338 7.2.apakšpunkt</w:t>
            </w:r>
            <w:r w:rsidR="002D4D14" w:rsidRPr="002D4D14">
              <w:t>ā</w:t>
            </w:r>
            <w:r w:rsidRPr="002D4D14">
              <w:t xml:space="preserve"> </w:t>
            </w:r>
            <w:r w:rsidR="002D4D14" w:rsidRPr="002D4D14">
              <w:t>noteikts</w:t>
            </w:r>
            <w:r w:rsidRPr="002D4D14">
              <w:t>, ka</w:t>
            </w:r>
            <w:r w:rsidR="002D4D14" w:rsidRPr="002D4D14">
              <w:t xml:space="preserve"> amatpersonas dienesta apliecības aizmugurē (reversā) apakšējā daļā ir </w:t>
            </w:r>
            <w:r w:rsidR="00D4151E">
              <w:t xml:space="preserve">amatpersonas dienesta apliecības lietošanas </w:t>
            </w:r>
            <w:r w:rsidR="002D4D14" w:rsidRPr="002D4D14">
              <w:t>papildu informācija – „Apliecība dod tiesības glabāt un nēsāt dienesta ieroci”.</w:t>
            </w:r>
          </w:p>
          <w:p w:rsidR="002D4D14" w:rsidRDefault="002D4D14" w:rsidP="008553AF">
            <w:pPr>
              <w:ind w:right="68"/>
              <w:jc w:val="both"/>
            </w:pPr>
            <w:r w:rsidRPr="002D4D14">
              <w:t>Atbilstoši Ieroču un speciālo līdzekļu aprites likuma 25.panta otrajai daļai, Iekšlietu ministrijas sistēmas iestāžu, valsts drošības iestāžu, Nacionālo bruņoto spēku, Latvijas Bankas Aizsardzības pārvaldes, Valsts ieņēmumu dienesta, Ieslodzījuma vietu pārvaldes, Korupcijas novēršanas un apkarošanas biroja, ostas policijas un pašvaldības policijas īpašumā (valdījumā) esošo ieroču un speciālo līdzekļu glabāšanas, nēsāšanas, izmantošanas un pielietošanas kārtību nosaka šo institūciju darbību reglamentējoši normatīvie akti, bet kārtību, kādā minētās institūcijas iegādājas un realizē ieročus, munīciju un speciālos līdzekļus, nosaka Ministru kabinets</w:t>
            </w:r>
            <w:r>
              <w:t>, prot</w:t>
            </w:r>
            <w:r w:rsidR="00D4151E">
              <w:t>i</w:t>
            </w:r>
            <w:r>
              <w:t>, Ministru kabineta 2012.gada 24.aprīļa noteikumi Nr.294 „Kārtība, kādā valsts un pašvaldību iestādes iegādājas un realizē ieročus un speciālos līdzekļus”</w:t>
            </w:r>
            <w:r w:rsidRPr="002D4D14">
              <w:t>.</w:t>
            </w:r>
          </w:p>
          <w:p w:rsidR="007617CE" w:rsidRPr="00336183" w:rsidRDefault="007617CE" w:rsidP="008553AF">
            <w:pPr>
              <w:ind w:right="68"/>
              <w:jc w:val="both"/>
            </w:pPr>
            <w:r>
              <w:t>Savukārt atļauja dienesta ieroča pastāvīgajai glabāšanai un nēsāšanai tiek piešķirta atbilstoši spēkā esošo normatīvo aktu prasībām</w:t>
            </w:r>
            <w:r w:rsidR="007D5F67">
              <w:t xml:space="preserve"> </w:t>
            </w:r>
            <w:r w:rsidR="007D5F67" w:rsidRPr="00CF2E74">
              <w:t>ar iestādes priekšnieka rīkojumu</w:t>
            </w:r>
            <w:r w:rsidRPr="00CF2E74">
              <w:t xml:space="preserve">, </w:t>
            </w:r>
            <w:r w:rsidRPr="00336183">
              <w:t>nevis ar dienesta apliecīb</w:t>
            </w:r>
            <w:r w:rsidR="007A7A54" w:rsidRPr="00336183">
              <w:t>ā</w:t>
            </w:r>
            <w:r w:rsidRPr="00336183">
              <w:t xml:space="preserve"> esošo papildu informāciju „Apliecība dod tiesības glabāt un nēsāt dienesta ieroci”.</w:t>
            </w:r>
          </w:p>
          <w:p w:rsidR="002D4D14" w:rsidRDefault="007D5F67" w:rsidP="008553AF">
            <w:pPr>
              <w:ind w:right="68"/>
              <w:jc w:val="both"/>
            </w:pPr>
            <w:r>
              <w:t>Ņemot vērā</w:t>
            </w:r>
            <w:r w:rsidR="002D4D14">
              <w:t xml:space="preserve">, ka ne visām amatpersonām neskatoties uz dienesta apliecības aizmugurē (reversā) apakšējā daļā iekļauto papildu informāciju, tiek piešķirta faktiskā atļauja </w:t>
            </w:r>
            <w:r w:rsidR="007617CE">
              <w:t>glabāt un nēsāt dienesta ieroci,</w:t>
            </w:r>
            <w:r w:rsidR="002D4D14">
              <w:t xml:space="preserve"> </w:t>
            </w:r>
            <w:r w:rsidR="007617CE">
              <w:t>l</w:t>
            </w:r>
            <w:r w:rsidR="002D4D14">
              <w:t xml:space="preserve">īdz ar to </w:t>
            </w:r>
            <w:r w:rsidR="0083042E">
              <w:t>amatpersonu rīcība ar šād</w:t>
            </w:r>
            <w:r w:rsidR="006B063E">
              <w:t>a</w:t>
            </w:r>
            <w:r w:rsidR="0083042E">
              <w:t xml:space="preserve"> ieraksta esamību dienesta apliecībā, ārpus dienesta izpildes laika praktiski nav kontrolējam</w:t>
            </w:r>
            <w:r w:rsidR="00BD3498">
              <w:t>a</w:t>
            </w:r>
            <w:bookmarkStart w:id="2" w:name="_GoBack"/>
            <w:bookmarkEnd w:id="2"/>
            <w:r w:rsidR="0083042E">
              <w:t xml:space="preserve">. </w:t>
            </w:r>
          </w:p>
          <w:p w:rsidR="008553AF" w:rsidRPr="00336183" w:rsidRDefault="0083042E" w:rsidP="008553AF">
            <w:pPr>
              <w:ind w:right="68"/>
              <w:jc w:val="both"/>
            </w:pPr>
            <w:r w:rsidRPr="00336183">
              <w:t xml:space="preserve">Ievērojot minēto, </w:t>
            </w:r>
            <w:r w:rsidR="007A7A54" w:rsidRPr="00336183">
              <w:t xml:space="preserve">ir </w:t>
            </w:r>
            <w:r w:rsidRPr="00336183">
              <w:t>nepieciešama i</w:t>
            </w:r>
            <w:r w:rsidR="008553AF" w:rsidRPr="00336183">
              <w:t>erakst</w:t>
            </w:r>
            <w:r w:rsidRPr="00336183">
              <w:t>a</w:t>
            </w:r>
            <w:r w:rsidR="008553AF" w:rsidRPr="00336183">
              <w:t xml:space="preserve"> „Apliecība dod tiesības glabāt un nēsāt dienesta ieroci” izņemšan</w:t>
            </w:r>
            <w:r w:rsidRPr="00336183">
              <w:t>a</w:t>
            </w:r>
            <w:r w:rsidR="008553AF" w:rsidRPr="00336183">
              <w:t xml:space="preserve"> no amatpers</w:t>
            </w:r>
            <w:r w:rsidR="00114CC2">
              <w:t>onu dienesta apliecības izskata</w:t>
            </w:r>
            <w:r w:rsidR="008553AF" w:rsidRPr="00114CC2">
              <w:t>.</w:t>
            </w:r>
          </w:p>
          <w:p w:rsidR="00ED3C10" w:rsidRDefault="00BA31E1" w:rsidP="00E0518D">
            <w:pPr>
              <w:ind w:right="68"/>
              <w:jc w:val="both"/>
              <w:rPr>
                <w:lang w:eastAsia="lv-LV"/>
              </w:rPr>
            </w:pPr>
            <w:r>
              <w:t>Noteikumu Nr.338 15</w:t>
            </w:r>
            <w:r w:rsidR="00ED3C10">
              <w:t>.</w:t>
            </w:r>
            <w:r>
              <w:t xml:space="preserve"> un 16.punktā ir noteikt</w:t>
            </w:r>
            <w:r w:rsidR="00A24B4E">
              <w:t>s, ka amatpersona</w:t>
            </w:r>
            <w:r>
              <w:t xml:space="preserve"> dienesta apliec</w:t>
            </w:r>
            <w:r w:rsidR="00A24B4E">
              <w:t>ību</w:t>
            </w:r>
            <w:r>
              <w:t xml:space="preserve"> </w:t>
            </w:r>
            <w:r w:rsidR="00A24B4E">
              <w:t>nodod</w:t>
            </w:r>
            <w:r w:rsidR="008F0404">
              <w:t xml:space="preserve"> iestādei</w:t>
            </w:r>
            <w:r w:rsidR="00A24B4E">
              <w:t xml:space="preserve">, </w:t>
            </w:r>
            <w:r>
              <w:t>saņemot jaunu amatpersonas dienesta apliec</w:t>
            </w:r>
            <w:r w:rsidR="00A24B4E">
              <w:t>ību</w:t>
            </w:r>
            <w:r w:rsidR="007900DE">
              <w:t>,</w:t>
            </w:r>
            <w:r>
              <w:t xml:space="preserve"> </w:t>
            </w:r>
            <w:r w:rsidR="00A24B4E">
              <w:t>un</w:t>
            </w:r>
            <w:r w:rsidR="00A24B4E">
              <w:rPr>
                <w:lang w:eastAsia="lv-LV"/>
              </w:rPr>
              <w:t xml:space="preserve"> gadījumā</w:t>
            </w:r>
            <w:r>
              <w:rPr>
                <w:lang w:eastAsia="lv-LV"/>
              </w:rPr>
              <w:t>, ja amatpersonu atbr</w:t>
            </w:r>
            <w:r w:rsidR="00A24B4E">
              <w:rPr>
                <w:lang w:eastAsia="lv-LV"/>
              </w:rPr>
              <w:t>īvo no dienesta</w:t>
            </w:r>
            <w:r w:rsidR="00D97C98">
              <w:rPr>
                <w:lang w:eastAsia="lv-LV"/>
              </w:rPr>
              <w:t>, tā nodod iestādei dienesta apliecību uz žetonu (ja žetons ir izsniegts)</w:t>
            </w:r>
            <w:r w:rsidR="00A24B4E">
              <w:rPr>
                <w:lang w:eastAsia="lv-LV"/>
              </w:rPr>
              <w:t xml:space="preserve">. </w:t>
            </w:r>
          </w:p>
          <w:p w:rsidR="002047AC" w:rsidRPr="002047AC" w:rsidRDefault="002047AC" w:rsidP="00E0518D">
            <w:pPr>
              <w:ind w:right="68"/>
              <w:jc w:val="both"/>
              <w:rPr>
                <w:lang w:eastAsia="lv-LV"/>
              </w:rPr>
            </w:pPr>
            <w:r w:rsidRPr="002047AC">
              <w:rPr>
                <w:bCs/>
              </w:rPr>
              <w:t xml:space="preserve">Iekšlietu ministrijas sistēmas iestāžu un Ieslodzījuma vietu pārvaldes amatpersonu ar speciālajām dienesta pakāpēm disciplināratbildības likuma 19.panta otrajā daļā ir noteikts, ka </w:t>
            </w:r>
            <w:r>
              <w:t>i</w:t>
            </w:r>
            <w:r w:rsidRPr="002047AC">
              <w:t xml:space="preserve">zdodot rīkojumu par amatpersonas atstādināšanu no amata pienākumu pildīšanas uz disciplinārlietas izmeklēšanas laiku, attiecīgais ministrs, Iestādes vadītājs </w:t>
            </w:r>
            <w:r w:rsidRPr="002047AC">
              <w:lastRenderedPageBreak/>
              <w:t>vai viņa pilnvarota amatpersona var uzdot amatpersonai šajā laikā pildīt citus pienākumus, kuri nav saistīti ar tās tiešajiem amata pienākumiem un kuru pildīšana netraucē disciplinārlietas izmeklēšanas interesēm.</w:t>
            </w:r>
          </w:p>
          <w:p w:rsidR="00BA31E1" w:rsidRPr="002047AC" w:rsidRDefault="00A24B4E" w:rsidP="00E0518D">
            <w:pPr>
              <w:ind w:right="68"/>
              <w:jc w:val="both"/>
              <w:rPr>
                <w:lang w:eastAsia="lv-LV"/>
              </w:rPr>
            </w:pPr>
            <w:r w:rsidRPr="002047AC">
              <w:rPr>
                <w:lang w:eastAsia="lv-LV"/>
              </w:rPr>
              <w:t xml:space="preserve">Lai </w:t>
            </w:r>
            <w:r w:rsidR="00ED3C10" w:rsidRPr="002047AC">
              <w:rPr>
                <w:lang w:eastAsia="lv-LV"/>
              </w:rPr>
              <w:t>pilnveidotu amatperson</w:t>
            </w:r>
            <w:r w:rsidR="00D97C98" w:rsidRPr="002047AC">
              <w:rPr>
                <w:lang w:eastAsia="lv-LV"/>
              </w:rPr>
              <w:t>as</w:t>
            </w:r>
            <w:r w:rsidR="00ED3C10" w:rsidRPr="002047AC">
              <w:rPr>
                <w:lang w:eastAsia="lv-LV"/>
              </w:rPr>
              <w:t xml:space="preserve"> dienesta apliecības</w:t>
            </w:r>
            <w:r w:rsidR="00D97C98" w:rsidRPr="002047AC">
              <w:rPr>
                <w:lang w:eastAsia="lv-LV"/>
              </w:rPr>
              <w:t xml:space="preserve"> un žetona</w:t>
            </w:r>
            <w:r w:rsidR="00ED3C10" w:rsidRPr="002047AC">
              <w:rPr>
                <w:lang w:eastAsia="lv-LV"/>
              </w:rPr>
              <w:t xml:space="preserve"> nodošanas </w:t>
            </w:r>
            <w:r w:rsidRPr="002047AC">
              <w:rPr>
                <w:lang w:eastAsia="lv-LV"/>
              </w:rPr>
              <w:t>tiesisko regulējumu</w:t>
            </w:r>
            <w:r w:rsidR="00ED3C10" w:rsidRPr="002047AC">
              <w:rPr>
                <w:lang w:eastAsia="lv-LV"/>
              </w:rPr>
              <w:t xml:space="preserve"> </w:t>
            </w:r>
            <w:r w:rsidRPr="002047AC">
              <w:rPr>
                <w:lang w:eastAsia="lv-LV"/>
              </w:rPr>
              <w:t>un nepieļautu</w:t>
            </w:r>
            <w:r w:rsidR="00E0518D" w:rsidRPr="002047AC">
              <w:rPr>
                <w:lang w:eastAsia="lv-LV"/>
              </w:rPr>
              <w:t xml:space="preserve"> nevēlamas sekas,</w:t>
            </w:r>
            <w:r w:rsidRPr="002047AC">
              <w:rPr>
                <w:lang w:eastAsia="lv-LV"/>
              </w:rPr>
              <w:t xml:space="preserve"> </w:t>
            </w:r>
            <w:r w:rsidR="00ED3C10" w:rsidRPr="002047AC">
              <w:rPr>
                <w:lang w:eastAsia="lv-LV"/>
              </w:rPr>
              <w:t xml:space="preserve">noteikumu projektā ir </w:t>
            </w:r>
            <w:r w:rsidR="00393068" w:rsidRPr="002047AC">
              <w:rPr>
                <w:lang w:eastAsia="lv-LV"/>
              </w:rPr>
              <w:t>nepie</w:t>
            </w:r>
            <w:r w:rsidR="00DD2666" w:rsidRPr="002047AC">
              <w:rPr>
                <w:lang w:eastAsia="lv-LV"/>
              </w:rPr>
              <w:t>c</w:t>
            </w:r>
            <w:r w:rsidR="00393068" w:rsidRPr="002047AC">
              <w:rPr>
                <w:lang w:eastAsia="lv-LV"/>
              </w:rPr>
              <w:t>ie</w:t>
            </w:r>
            <w:r w:rsidR="00DD2666" w:rsidRPr="002047AC">
              <w:rPr>
                <w:lang w:eastAsia="lv-LV"/>
              </w:rPr>
              <w:t>ša</w:t>
            </w:r>
            <w:r w:rsidR="00393068" w:rsidRPr="002047AC">
              <w:rPr>
                <w:lang w:eastAsia="lv-LV"/>
              </w:rPr>
              <w:t>ms noteikt</w:t>
            </w:r>
            <w:r w:rsidR="00ED3C10" w:rsidRPr="002047AC">
              <w:rPr>
                <w:lang w:eastAsia="lv-LV"/>
              </w:rPr>
              <w:t xml:space="preserve">, </w:t>
            </w:r>
            <w:proofErr w:type="gramStart"/>
            <w:r w:rsidRPr="002047AC">
              <w:rPr>
                <w:lang w:eastAsia="lv-LV"/>
              </w:rPr>
              <w:t>ka amatperson</w:t>
            </w:r>
            <w:r w:rsidR="00E0518D" w:rsidRPr="002047AC">
              <w:rPr>
                <w:lang w:eastAsia="lv-LV"/>
              </w:rPr>
              <w:t>as</w:t>
            </w:r>
            <w:r w:rsidRPr="002047AC">
              <w:rPr>
                <w:lang w:eastAsia="lv-LV"/>
              </w:rPr>
              <w:t xml:space="preserve"> apliecīb</w:t>
            </w:r>
            <w:r w:rsidR="00E0518D" w:rsidRPr="002047AC">
              <w:rPr>
                <w:lang w:eastAsia="lv-LV"/>
              </w:rPr>
              <w:t>u</w:t>
            </w:r>
            <w:r w:rsidRPr="002047AC">
              <w:rPr>
                <w:lang w:eastAsia="lv-LV"/>
              </w:rPr>
              <w:t xml:space="preserve"> un žetonu </w:t>
            </w:r>
            <w:r w:rsidR="00DD2666" w:rsidRPr="002047AC">
              <w:rPr>
                <w:lang w:eastAsia="lv-LV"/>
              </w:rPr>
              <w:t>ir</w:t>
            </w:r>
            <w:proofErr w:type="gramEnd"/>
            <w:r w:rsidR="00DD2666" w:rsidRPr="002047AC">
              <w:rPr>
                <w:lang w:eastAsia="lv-LV"/>
              </w:rPr>
              <w:t xml:space="preserve"> </w:t>
            </w:r>
            <w:r w:rsidRPr="002047AC">
              <w:rPr>
                <w:lang w:eastAsia="lv-LV"/>
              </w:rPr>
              <w:t>jānodod</w:t>
            </w:r>
            <w:r w:rsidR="008F0404" w:rsidRPr="002047AC">
              <w:rPr>
                <w:lang w:eastAsia="lv-LV"/>
              </w:rPr>
              <w:t xml:space="preserve"> iestādei</w:t>
            </w:r>
            <w:r w:rsidRPr="002047AC">
              <w:rPr>
                <w:lang w:eastAsia="lv-LV"/>
              </w:rPr>
              <w:t xml:space="preserve"> arī gadījumā, </w:t>
            </w:r>
            <w:r w:rsidR="007900DE" w:rsidRPr="002047AC">
              <w:rPr>
                <w:lang w:eastAsia="lv-LV"/>
              </w:rPr>
              <w:t>ja</w:t>
            </w:r>
            <w:r w:rsidRPr="002047AC">
              <w:rPr>
                <w:lang w:eastAsia="lv-LV"/>
              </w:rPr>
              <w:t xml:space="preserve"> amatpersona ir atstādināta no amata pienākumu pildīšanas</w:t>
            </w:r>
            <w:r w:rsidR="002047AC">
              <w:rPr>
                <w:lang w:eastAsia="lv-LV"/>
              </w:rPr>
              <w:t xml:space="preserve">, izņemot gadījumus, ja </w:t>
            </w:r>
            <w:r w:rsidR="002047AC" w:rsidRPr="002047AC">
              <w:t xml:space="preserve">amatpersonai šajā laikā </w:t>
            </w:r>
            <w:r w:rsidR="002047AC">
              <w:t xml:space="preserve">uzdots </w:t>
            </w:r>
            <w:r w:rsidR="002047AC" w:rsidRPr="002047AC">
              <w:t>pildīt citus pienākumus, kuri nav saistīti ar tās tiešajiem amata pienākumiem un kuru pildīšana netraucē disciplinārlietas izmeklēšanas interesēm</w:t>
            </w:r>
            <w:r w:rsidRPr="002047AC">
              <w:rPr>
                <w:lang w:eastAsia="lv-LV"/>
              </w:rPr>
              <w:t>.</w:t>
            </w:r>
            <w:bookmarkStart w:id="3" w:name="p-198911"/>
            <w:bookmarkStart w:id="4" w:name="p15"/>
            <w:bookmarkEnd w:id="3"/>
            <w:bookmarkEnd w:id="4"/>
            <w:r w:rsidR="00BA31E1" w:rsidRPr="002047AC">
              <w:rPr>
                <w:vanish/>
                <w:color w:val="414142"/>
                <w:lang w:eastAsia="lv-LV"/>
              </w:rPr>
              <w:t>16</w:t>
            </w:r>
            <w:bookmarkStart w:id="5" w:name="p-198912"/>
            <w:bookmarkStart w:id="6" w:name="p16"/>
            <w:bookmarkEnd w:id="5"/>
            <w:bookmarkEnd w:id="6"/>
          </w:p>
          <w:p w:rsidR="00366906" w:rsidRPr="002047AC" w:rsidRDefault="00366906" w:rsidP="00A31BCB">
            <w:pPr>
              <w:ind w:right="68"/>
              <w:jc w:val="both"/>
            </w:pPr>
          </w:p>
          <w:p w:rsidR="00A31BCB" w:rsidRDefault="00A31BCB" w:rsidP="00A31BCB">
            <w:pPr>
              <w:ind w:right="68"/>
              <w:jc w:val="both"/>
            </w:pPr>
            <w:r w:rsidRPr="002047AC">
              <w:t>Noteikumu projekts paredz svītrot amatpersonu dienesta</w:t>
            </w:r>
            <w:r w:rsidRPr="00A31BCB">
              <w:t xml:space="preserve"> apliecībās ierakstu par personas kodu un ierakstu „Apliecība dod tiesības glabāt un nēsāt dienesta ieroci”.</w:t>
            </w:r>
          </w:p>
          <w:p w:rsidR="008903B7" w:rsidRPr="00A31BCB" w:rsidRDefault="008903B7" w:rsidP="00A31BCB">
            <w:pPr>
              <w:ind w:right="68"/>
              <w:jc w:val="both"/>
            </w:pPr>
            <w:r>
              <w:t xml:space="preserve">Vienlaikus noteikumu projekts paredz papildināt noteikumus Nr.338 ar </w:t>
            </w:r>
            <w:r w:rsidR="006B063E">
              <w:t>jaunu punktu</w:t>
            </w:r>
            <w:r>
              <w:t>, nosakot, ka dienesta apliecību un žetonu nodod iestādei arī amatpersonas, kuras ir atstādinātas no amata pienākumu pildīšanas.</w:t>
            </w:r>
          </w:p>
          <w:p w:rsidR="00366906" w:rsidRDefault="00366906" w:rsidP="00A31BCB">
            <w:pPr>
              <w:ind w:right="68"/>
              <w:jc w:val="both"/>
              <w:rPr>
                <w:lang w:eastAsia="lv-LV"/>
              </w:rPr>
            </w:pPr>
          </w:p>
          <w:p w:rsidR="00BA31E1" w:rsidRPr="00BC5A0C" w:rsidRDefault="00A31BCB" w:rsidP="00A31BCB">
            <w:pPr>
              <w:ind w:right="68"/>
              <w:jc w:val="both"/>
              <w:rPr>
                <w:sz w:val="16"/>
                <w:szCs w:val="16"/>
              </w:rPr>
            </w:pPr>
            <w:r w:rsidRPr="00A31BCB">
              <w:rPr>
                <w:lang w:eastAsia="lv-LV"/>
              </w:rPr>
              <w:t xml:space="preserve">Ar noteikumu projektu tiks sasniegts izvirzītais mērķis </w:t>
            </w:r>
            <w:r w:rsidRPr="00A31BCB">
              <w:t>–</w:t>
            </w:r>
            <w:r w:rsidRPr="00A31BCB">
              <w:rPr>
                <w:lang w:eastAsia="lv-LV"/>
              </w:rPr>
              <w:t xml:space="preserve"> </w:t>
            </w:r>
            <w:r w:rsidRPr="00A31BCB">
              <w:rPr>
                <w:bCs/>
              </w:rPr>
              <w:t>noteikumu Nr.338</w:t>
            </w:r>
            <w:r w:rsidRPr="00A31BCB">
              <w:t xml:space="preserve"> atbilstība Fizisko personu datu aizsardzības likuma prasībām</w:t>
            </w:r>
            <w:r w:rsidR="008553AF">
              <w:t>, ņemot vērā</w:t>
            </w:r>
            <w:r w:rsidR="008553AF" w:rsidRPr="00A31BCB">
              <w:t xml:space="preserve"> Datu valsts inspekcijas </w:t>
            </w:r>
            <w:r w:rsidR="008553AF" w:rsidRPr="008553AF">
              <w:t>atzinumu</w:t>
            </w:r>
            <w:r w:rsidR="008553AF" w:rsidRPr="00A31BCB">
              <w:rPr>
                <w:color w:val="C00000"/>
              </w:rPr>
              <w:t xml:space="preserve"> </w:t>
            </w:r>
            <w:r w:rsidR="008553AF" w:rsidRPr="00A31BCB">
              <w:t xml:space="preserve">par personas koda norādīšanu amatpersonu </w:t>
            </w:r>
            <w:r w:rsidR="008553AF">
              <w:t>dienesta apliecībās,</w:t>
            </w:r>
            <w:r w:rsidRPr="00A31BCB">
              <w:t xml:space="preserve"> un novērst</w:t>
            </w:r>
            <w:r w:rsidR="008903B7">
              <w:t>i</w:t>
            </w:r>
            <w:r w:rsidRPr="00A31BCB">
              <w:t xml:space="preserve"> noteikumu Nr.338 darbības laikā identificēt</w:t>
            </w:r>
            <w:r w:rsidR="005F6248">
              <w:t>ie</w:t>
            </w:r>
            <w:r w:rsidRPr="00A31BCB">
              <w:t xml:space="preserve"> tiesiskā regulējuma trūkum</w:t>
            </w:r>
            <w:r w:rsidR="005F6248">
              <w:t>i</w:t>
            </w:r>
            <w:r w:rsidRPr="00A31BCB">
              <w:t xml:space="preserve"> saistībā ar ieraksta „Apliecības dod tiesības glabāt un nēsāt dienesta ieroci” norādīšanu visu amatpersonu dienesta apliecībās</w:t>
            </w:r>
            <w:r w:rsidR="005F6248">
              <w:t xml:space="preserve"> un </w:t>
            </w:r>
            <w:r w:rsidR="00BA31E1">
              <w:t>dienesta apliecību</w:t>
            </w:r>
            <w:r w:rsidR="00DD2666">
              <w:t xml:space="preserve"> un žetonu</w:t>
            </w:r>
            <w:r w:rsidR="00BA31E1">
              <w:t xml:space="preserve"> nodošanu, kad amatpersona tiek atstādināta no amata pienākumu pildīšanas. </w:t>
            </w:r>
          </w:p>
          <w:p w:rsidR="00366906" w:rsidRDefault="00366906" w:rsidP="00366906">
            <w:pPr>
              <w:jc w:val="both"/>
            </w:pPr>
          </w:p>
          <w:p w:rsidR="00A31BCB" w:rsidRDefault="00A31BCB" w:rsidP="00F80BB6">
            <w:pPr>
              <w:jc w:val="both"/>
            </w:pPr>
            <w:r w:rsidRPr="00A31BCB">
              <w:t>Ņemot vērā</w:t>
            </w:r>
            <w:r w:rsidR="00A217F2">
              <w:t xml:space="preserve"> to</w:t>
            </w:r>
            <w:r w:rsidR="0083042E">
              <w:t xml:space="preserve">, </w:t>
            </w:r>
            <w:r w:rsidRPr="00A31BCB">
              <w:t>ka amatperson</w:t>
            </w:r>
            <w:r w:rsidR="00366906">
              <w:t>as</w:t>
            </w:r>
            <w:r w:rsidRPr="00A31BCB">
              <w:t xml:space="preserve"> dienesta apliecīb</w:t>
            </w:r>
            <w:r w:rsidR="00366906">
              <w:t>as</w:t>
            </w:r>
            <w:r w:rsidRPr="00A31BCB">
              <w:t xml:space="preserve"> izgatavošanas un izsniegšanas process ir pilnībā datorizēts un līdz ar to, izslēdzot no amatperson</w:t>
            </w:r>
            <w:r w:rsidR="00366906">
              <w:t>as</w:t>
            </w:r>
            <w:r w:rsidRPr="00A31BCB">
              <w:t xml:space="preserve"> dienesta apliecīb</w:t>
            </w:r>
            <w:r w:rsidR="00A217F2">
              <w:t>as ierakstu par personas kodu</w:t>
            </w:r>
            <w:r w:rsidRPr="00A31BCB">
              <w:t xml:space="preserve">, </w:t>
            </w:r>
            <w:r w:rsidR="00366906">
              <w:t>būs</w:t>
            </w:r>
            <w:r w:rsidRPr="00A31BCB">
              <w:t xml:space="preserve"> nepieciešam</w:t>
            </w:r>
            <w:r w:rsidR="00366906">
              <w:t>s</w:t>
            </w:r>
            <w:r w:rsidRPr="00A31BCB">
              <w:t xml:space="preserve"> veikt programmatūras un tehniskā</w:t>
            </w:r>
            <w:r w:rsidR="00A217F2">
              <w:t>s</w:t>
            </w:r>
            <w:r w:rsidRPr="00A31BCB">
              <w:t xml:space="preserve"> izmaiņas arī dienesta apliecību izsniegšanas sistēmā</w:t>
            </w:r>
            <w:r w:rsidR="00366906">
              <w:t xml:space="preserve"> </w:t>
            </w:r>
            <w:r w:rsidR="00366906" w:rsidRPr="00366906">
              <w:t>„APIS”</w:t>
            </w:r>
            <w:r w:rsidR="00366906">
              <w:t xml:space="preserve"> (izmanto Valsts policijas </w:t>
            </w:r>
            <w:r w:rsidR="00366906" w:rsidRPr="00366906">
              <w:t xml:space="preserve">amatpersonu </w:t>
            </w:r>
            <w:r w:rsidR="00366906">
              <w:t xml:space="preserve">dienesta </w:t>
            </w:r>
            <w:r w:rsidR="00366906" w:rsidRPr="00366906">
              <w:t>apliecību izsniegšanai</w:t>
            </w:r>
            <w:r w:rsidR="00366906">
              <w:t xml:space="preserve">), </w:t>
            </w:r>
            <w:r w:rsidR="00366906" w:rsidRPr="00366906">
              <w:t xml:space="preserve">„APIS II” (izmanto Valsts robežsardzes un Valsts ugunsdzēsības un glābšanas dienesta amatpersonu </w:t>
            </w:r>
            <w:r w:rsidR="00366906">
              <w:t xml:space="preserve">dienesta </w:t>
            </w:r>
            <w:r w:rsidR="00366906" w:rsidRPr="00366906">
              <w:t>apliecību izsniegšanai)</w:t>
            </w:r>
            <w:r w:rsidR="00366906">
              <w:t xml:space="preserve"> un „IVPS 1.0” (izmanto Ieslodzījuma vietu pārvaldes </w:t>
            </w:r>
            <w:r w:rsidR="00366906" w:rsidRPr="00366906">
              <w:t xml:space="preserve">amatpersonu </w:t>
            </w:r>
            <w:r w:rsidR="00366906">
              <w:t xml:space="preserve">dienesta </w:t>
            </w:r>
            <w:r w:rsidR="00366906" w:rsidRPr="00366906">
              <w:t>apliecību izsniegšanai</w:t>
            </w:r>
            <w:r w:rsidR="00366906">
              <w:t>)</w:t>
            </w:r>
            <w:r w:rsidR="004D10E7">
              <w:t xml:space="preserve"> (turpmāk </w:t>
            </w:r>
            <w:r w:rsidR="008C3B71" w:rsidRPr="00A31BCB">
              <w:t>–</w:t>
            </w:r>
            <w:r w:rsidR="004D10E7">
              <w:t xml:space="preserve"> </w:t>
            </w:r>
            <w:r w:rsidR="004D10E7" w:rsidRPr="004D10E7">
              <w:t>dienesta apliecību izsniegšanas sistēma)</w:t>
            </w:r>
            <w:r w:rsidR="00A217F2" w:rsidRPr="00366906">
              <w:t>,</w:t>
            </w:r>
            <w:r w:rsidR="00A217F2">
              <w:t xml:space="preserve"> kā arī to, ka ir nepieciešams laiks </w:t>
            </w:r>
            <w:r w:rsidR="00A217F2">
              <w:lastRenderedPageBreak/>
              <w:t>jaun</w:t>
            </w:r>
            <w:r w:rsidR="00A217F2" w:rsidRPr="00D57E98">
              <w:t>ā</w:t>
            </w:r>
            <w:r w:rsidR="00A217F2">
              <w:t xml:space="preserve"> parauga apliecību sagatavju </w:t>
            </w:r>
            <w:r w:rsidR="0090784F">
              <w:t>pasūtīšanai un</w:t>
            </w:r>
            <w:proofErr w:type="gramStart"/>
            <w:r w:rsidR="0090784F">
              <w:t xml:space="preserve">  </w:t>
            </w:r>
            <w:proofErr w:type="gramEnd"/>
            <w:r w:rsidR="0090784F">
              <w:t>izstrādāšanai</w:t>
            </w:r>
            <w:r w:rsidRPr="00A31BCB">
              <w:t>, paredzēts, ka noteikumu projekts stājas spēkā 2014.gada 1.</w:t>
            </w:r>
            <w:r w:rsidR="007E24FB">
              <w:t>augustā</w:t>
            </w:r>
            <w:r w:rsidRPr="00A31BCB">
              <w:t>.</w:t>
            </w:r>
          </w:p>
          <w:p w:rsidR="00AF7A0A" w:rsidRPr="002D2E2B" w:rsidRDefault="00601D93" w:rsidP="00E56F02">
            <w:pPr>
              <w:jc w:val="both"/>
              <w:rPr>
                <w:iCs/>
              </w:rPr>
            </w:pPr>
            <w:r w:rsidRPr="007E24FB">
              <w:t xml:space="preserve">Programmatūras un tehniskas izmaiņas dienesta apliecību izsniegšanas sistēmās, kā arī </w:t>
            </w:r>
            <w:r w:rsidRPr="007E24FB">
              <w:rPr>
                <w:color w:val="000000"/>
              </w:rPr>
              <w:t xml:space="preserve">jaunā parauga apliecību sagatavju izgatavošanu un piegādi </w:t>
            </w:r>
            <w:r w:rsidRPr="007E24FB">
              <w:t xml:space="preserve">veiks dienesta apliecību izsniegšanas sistēmu izstrādātājs un pakalpojumu sniedzējs SIA „ADI KARTES”, ar kuru Iekšlietu ministrijai, Valsts policijai un Ieslodzījuma vietu pārvaldei </w:t>
            </w:r>
            <w:r w:rsidR="007E24FB" w:rsidRPr="007E24FB">
              <w:t>ir</w:t>
            </w:r>
            <w:r w:rsidRPr="007E24FB">
              <w:t xml:space="preserve"> noslēgti līgumi. </w:t>
            </w:r>
            <w:r w:rsidR="00FB5F81">
              <w:t>D</w:t>
            </w:r>
            <w:r w:rsidR="00FB5F81" w:rsidRPr="007E24FB">
              <w:t>ienest</w:t>
            </w:r>
            <w:r w:rsidR="00FB5F81">
              <w:t>a apliecību izsniegšanas sistēmu p</w:t>
            </w:r>
            <w:r w:rsidR="00FB5F81" w:rsidRPr="007E24FB">
              <w:t>rogrammatūras un tehnisk</w:t>
            </w:r>
            <w:r w:rsidR="00FB5F81">
              <w:t>o</w:t>
            </w:r>
            <w:r w:rsidR="00FB5F81" w:rsidRPr="007E24FB">
              <w:t xml:space="preserve"> izmaiņ</w:t>
            </w:r>
            <w:r w:rsidR="00FB5F81">
              <w:t>u veikšanai nav nepieciešami papildu valsts budžeta līdzekļi, kā arī</w:t>
            </w:r>
            <w:r w:rsidR="00FB5F81" w:rsidRPr="007E24FB">
              <w:t xml:space="preserve"> nav nepieciešami papildu </w:t>
            </w:r>
            <w:r w:rsidR="00FB5F81">
              <w:t xml:space="preserve">valsts </w:t>
            </w:r>
            <w:r w:rsidR="00FB5F81" w:rsidRPr="007E24FB">
              <w:t xml:space="preserve">budžeta līdzekļi </w:t>
            </w:r>
            <w:r w:rsidR="00FB5F81">
              <w:t>j</w:t>
            </w:r>
            <w:r w:rsidRPr="007E24FB">
              <w:t xml:space="preserve">aunā parauga apliecību sagatavju pasūtīšanai un izstrādāšanai, </w:t>
            </w:r>
            <w:r w:rsidR="00FB5F81">
              <w:t>jo</w:t>
            </w:r>
            <w:r w:rsidRPr="007E24FB">
              <w:t xml:space="preserve"> dienesta apliecību sagataves tiek pasūtītas pēc nepieciešamības, neveidojot iestādēs lielus dienesta apliecību sagatavju krājumus</w:t>
            </w:r>
            <w:r w:rsidR="00FB5F81">
              <w:t xml:space="preserve">. </w:t>
            </w:r>
            <w:r w:rsidR="00FB5F81" w:rsidRPr="007E24FB">
              <w:t>SIA „ADI KARTES” piegādā Iekšlietu ministrijai, Valsts policijai un Ieslodzījuma vietu pārvaldei dienesta apliecību sagataves pēc iestāžu pieprasījuma.</w:t>
            </w:r>
          </w:p>
        </w:tc>
      </w:tr>
      <w:tr w:rsidR="00A31BCB" w:rsidRPr="004D15A9"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4D15A9" w:rsidRDefault="00A31BCB" w:rsidP="00EE5DE0">
            <w:pPr>
              <w:rPr>
                <w:color w:val="414142"/>
                <w:lang w:eastAsia="lv-LV"/>
              </w:rPr>
            </w:pPr>
            <w:r w:rsidRPr="004D15A9">
              <w:rPr>
                <w:color w:val="414142"/>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rPr>
                <w:iCs/>
              </w:rPr>
            </w:pPr>
            <w:r w:rsidRPr="002D2E2B">
              <w:rPr>
                <w:iCs/>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2D2E2B" w:rsidRDefault="00A30834" w:rsidP="00EE5DE0">
            <w:pPr>
              <w:rPr>
                <w:iCs/>
              </w:rPr>
            </w:pPr>
            <w:r>
              <w:rPr>
                <w:iCs/>
              </w:rPr>
              <w:t xml:space="preserve">Iekšlietu ministrija, </w:t>
            </w:r>
            <w:r w:rsidR="00A217F2">
              <w:rPr>
                <w:iCs/>
              </w:rPr>
              <w:t xml:space="preserve">Datu valsts inspekcija un </w:t>
            </w:r>
            <w:r w:rsidR="00DB48D0">
              <w:rPr>
                <w:iCs/>
              </w:rPr>
              <w:t>Ieslodzījuma vietu pārvalde</w:t>
            </w:r>
            <w:r w:rsidR="00A31BCB" w:rsidRPr="002D2E2B">
              <w:rPr>
                <w:iCs/>
              </w:rPr>
              <w:t>.</w:t>
            </w:r>
          </w:p>
        </w:tc>
      </w:tr>
      <w:tr w:rsidR="00A31BCB" w:rsidRPr="004D15A9" w:rsidTr="00EE5DE0">
        <w:tc>
          <w:tcPr>
            <w:tcW w:w="250" w:type="pct"/>
            <w:tcBorders>
              <w:top w:val="outset" w:sz="6" w:space="0" w:color="414142"/>
              <w:left w:val="outset" w:sz="6" w:space="0" w:color="414142"/>
              <w:bottom w:val="outset" w:sz="6" w:space="0" w:color="414142"/>
              <w:right w:val="outset" w:sz="6" w:space="0" w:color="414142"/>
            </w:tcBorders>
            <w:hideMark/>
          </w:tcPr>
          <w:p w:rsidR="00A31BCB" w:rsidRPr="004D15A9" w:rsidRDefault="00A31BCB" w:rsidP="00EE5DE0">
            <w:pPr>
              <w:rPr>
                <w:color w:val="414142"/>
                <w:lang w:eastAsia="lv-LV"/>
              </w:rPr>
            </w:pPr>
            <w:r w:rsidRPr="004D15A9">
              <w:rPr>
                <w:color w:val="414142"/>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rPr>
                <w:iCs/>
              </w:rPr>
            </w:pPr>
            <w:r w:rsidRPr="002D2E2B">
              <w:rPr>
                <w:iCs/>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2D2E2B" w:rsidRDefault="00DB48D0" w:rsidP="00A47F41">
            <w:pPr>
              <w:jc w:val="both"/>
              <w:rPr>
                <w:iCs/>
              </w:rPr>
            </w:pPr>
            <w:r>
              <w:rPr>
                <w:iCs/>
              </w:rPr>
              <w:t>Nav</w:t>
            </w:r>
            <w:r w:rsidR="001125F0">
              <w:rPr>
                <w:iCs/>
              </w:rPr>
              <w:t>.</w:t>
            </w:r>
          </w:p>
        </w:tc>
      </w:tr>
      <w:tr w:rsidR="00A31BCB" w:rsidRPr="004D15A9" w:rsidTr="00EE5DE0">
        <w:trPr>
          <w:trHeight w:val="128"/>
        </w:trPr>
        <w:tc>
          <w:tcPr>
            <w:tcW w:w="5000" w:type="pct"/>
            <w:gridSpan w:val="3"/>
            <w:tcBorders>
              <w:top w:val="outset" w:sz="6" w:space="0" w:color="414142"/>
              <w:left w:val="nil"/>
              <w:bottom w:val="outset" w:sz="6" w:space="0" w:color="414142"/>
              <w:right w:val="nil"/>
            </w:tcBorders>
          </w:tcPr>
          <w:p w:rsidR="00FA5626" w:rsidRPr="004D15A9" w:rsidRDefault="00A31BCB" w:rsidP="00EE5DE0">
            <w:pPr>
              <w:tabs>
                <w:tab w:val="left" w:pos="990"/>
              </w:tabs>
              <w:rPr>
                <w:color w:val="414142"/>
                <w:lang w:eastAsia="lv-LV"/>
              </w:rPr>
            </w:pPr>
            <w:r>
              <w:rPr>
                <w:color w:val="414142"/>
                <w:lang w:eastAsia="lv-LV"/>
              </w:rPr>
              <w:tab/>
            </w:r>
          </w:p>
        </w:tc>
      </w:tr>
    </w:tbl>
    <w:p w:rsidR="00A31BCB" w:rsidRPr="004D15A9" w:rsidRDefault="00A31BCB" w:rsidP="00A31BCB">
      <w:pPr>
        <w:rPr>
          <w:vanish/>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A31BCB" w:rsidRPr="004D15A9" w:rsidTr="00EE5DE0">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A31BCB" w:rsidRPr="004D15A9" w:rsidRDefault="00A31BCB" w:rsidP="00EE5DE0">
            <w:pPr>
              <w:ind w:firstLine="300"/>
              <w:jc w:val="center"/>
              <w:rPr>
                <w:b/>
                <w:bCs/>
                <w:color w:val="414142"/>
                <w:lang w:eastAsia="lv-LV"/>
              </w:rPr>
            </w:pPr>
            <w:r w:rsidRPr="004D15A9">
              <w:rPr>
                <w:b/>
                <w:bCs/>
                <w:color w:val="414142"/>
                <w:lang w:eastAsia="lv-LV"/>
              </w:rPr>
              <w:t>II. Tiesību akta projekta ietekme uz sabiedrību, tautsaimniecības attīstību un administratīvo slogu</w:t>
            </w:r>
          </w:p>
        </w:tc>
      </w:tr>
      <w:tr w:rsidR="00A31BCB" w:rsidRPr="004D15A9"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rPr>
                <w:iCs/>
              </w:rPr>
            </w:pPr>
            <w:r w:rsidRPr="002D2E2B">
              <w:rPr>
                <w:iCs/>
              </w:rPr>
              <w:t>1.</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rPr>
                <w:iCs/>
              </w:rPr>
            </w:pPr>
            <w:r w:rsidRPr="002D2E2B">
              <w:rPr>
                <w:iCs/>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B48D0" w:rsidRDefault="00DB48D0" w:rsidP="00EE5DE0">
            <w:pPr>
              <w:jc w:val="both"/>
              <w:rPr>
                <w:iCs/>
              </w:rPr>
            </w:pPr>
            <w:r w:rsidRPr="00CD015B">
              <w:t>Iekšlietu ministrijas sistēmas iestāžu un Ieslodzījuma vietu pārvaldes amatpersonas ar speciālajām dienesta pakāpēm.</w:t>
            </w:r>
          </w:p>
          <w:p w:rsidR="00A31BCB" w:rsidRPr="002D2E2B" w:rsidRDefault="00A31BCB" w:rsidP="00EE5DE0">
            <w:pPr>
              <w:jc w:val="both"/>
              <w:rPr>
                <w:iCs/>
              </w:rPr>
            </w:pPr>
          </w:p>
        </w:tc>
      </w:tr>
      <w:tr w:rsidR="00A31BCB" w:rsidRPr="004D15A9" w:rsidTr="00EE5DE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rPr>
                <w:iCs/>
              </w:rPr>
            </w:pPr>
            <w:r w:rsidRPr="002D2E2B">
              <w:rPr>
                <w:iCs/>
              </w:rPr>
              <w:t>2.</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rPr>
                <w:iCs/>
              </w:rPr>
            </w:pPr>
            <w:r w:rsidRPr="002D2E2B">
              <w:rPr>
                <w:iCs/>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DD2666" w:rsidRDefault="00DD2666" w:rsidP="00BC5A0C">
            <w:pPr>
              <w:jc w:val="both"/>
              <w:rPr>
                <w:iCs/>
              </w:rPr>
            </w:pPr>
            <w:r w:rsidRPr="00DD2666">
              <w:t>Sabiedrības grupām un institūcijām projekta tiesiskais regulējums nemaina tiesības un pienākumus, kā arī veicamās darbības.</w:t>
            </w:r>
          </w:p>
        </w:tc>
      </w:tr>
      <w:tr w:rsidR="00A31BCB" w:rsidRPr="004D15A9" w:rsidTr="00EE5DE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31BCB" w:rsidRPr="004D15A9" w:rsidRDefault="00A31BCB" w:rsidP="00EE5DE0">
            <w:pPr>
              <w:rPr>
                <w:color w:val="414142"/>
                <w:lang w:eastAsia="lv-LV"/>
              </w:rPr>
            </w:pPr>
            <w:r w:rsidRPr="004D15A9">
              <w:rPr>
                <w:color w:val="414142"/>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rPr>
                <w:iCs/>
              </w:rPr>
            </w:pPr>
            <w:r w:rsidRPr="002D2E2B">
              <w:rPr>
                <w:iCs/>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DD2666" w:rsidRDefault="00DD2666" w:rsidP="00EE5DE0">
            <w:pPr>
              <w:rPr>
                <w:iCs/>
              </w:rPr>
            </w:pPr>
            <w:r w:rsidRPr="00DD2666">
              <w:t>Projekts šo jomu neskar.</w:t>
            </w:r>
          </w:p>
        </w:tc>
      </w:tr>
      <w:tr w:rsidR="00A31BCB" w:rsidRPr="004D15A9" w:rsidTr="00EE5DE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31BCB" w:rsidRPr="004D15A9" w:rsidRDefault="00A31BCB" w:rsidP="00EE5DE0">
            <w:pPr>
              <w:rPr>
                <w:color w:val="414142"/>
                <w:lang w:eastAsia="lv-LV"/>
              </w:rPr>
            </w:pPr>
            <w:r w:rsidRPr="004D15A9">
              <w:rPr>
                <w:color w:val="414142"/>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EE5DE0">
            <w:pPr>
              <w:rPr>
                <w:iCs/>
              </w:rPr>
            </w:pPr>
            <w:r w:rsidRPr="002D2E2B">
              <w:rPr>
                <w:iCs/>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2D2E2B" w:rsidRDefault="00A31BCB" w:rsidP="001125F0">
            <w:pPr>
              <w:rPr>
                <w:iCs/>
              </w:rPr>
            </w:pPr>
            <w:r w:rsidRPr="002D2E2B">
              <w:rPr>
                <w:iCs/>
              </w:rPr>
              <w:t>Nav</w:t>
            </w:r>
            <w:r w:rsidR="001125F0">
              <w:rPr>
                <w:iCs/>
              </w:rPr>
              <w:t>.</w:t>
            </w:r>
          </w:p>
        </w:tc>
      </w:tr>
    </w:tbl>
    <w:p w:rsidR="00A31BCB" w:rsidRPr="004D15A9" w:rsidRDefault="00A31BCB" w:rsidP="00A31BCB">
      <w:pPr>
        <w:rPr>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A31BCB" w:rsidRPr="004D15A9" w:rsidTr="00EE5DE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1BCB" w:rsidRPr="004D15A9" w:rsidRDefault="00A31BCB" w:rsidP="00EE5DE0">
            <w:pPr>
              <w:ind w:firstLine="300"/>
              <w:jc w:val="center"/>
              <w:rPr>
                <w:b/>
                <w:bCs/>
                <w:color w:val="414142"/>
                <w:lang w:eastAsia="lv-LV"/>
              </w:rPr>
            </w:pPr>
            <w:r w:rsidRPr="004D15A9">
              <w:rPr>
                <w:b/>
                <w:bCs/>
                <w:color w:val="414142"/>
                <w:lang w:eastAsia="lv-LV"/>
              </w:rPr>
              <w:t>VI. Sabiedrības līdzdalība un komunikācijas aktivitātes</w:t>
            </w:r>
          </w:p>
        </w:tc>
      </w:tr>
      <w:tr w:rsidR="00A31BCB" w:rsidRPr="004D15A9" w:rsidTr="00EE5DE0">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A31BCB" w:rsidRPr="004D15A9" w:rsidRDefault="00A31BCB" w:rsidP="00EE5DE0">
            <w:pPr>
              <w:rPr>
                <w:color w:val="414142"/>
                <w:lang w:eastAsia="lv-LV"/>
              </w:rPr>
            </w:pPr>
            <w:r w:rsidRPr="004D15A9">
              <w:rPr>
                <w:color w:val="414142"/>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FC7E71" w:rsidRDefault="00A31BCB" w:rsidP="00EE5DE0">
            <w:pPr>
              <w:rPr>
                <w:iCs/>
              </w:rPr>
            </w:pPr>
            <w:r w:rsidRPr="00FC7E71">
              <w:rPr>
                <w:iCs/>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7E03B9" w:rsidRPr="007E03B9" w:rsidRDefault="007E03B9" w:rsidP="00EE5DE0">
            <w:pPr>
              <w:rPr>
                <w:iCs/>
              </w:rPr>
            </w:pPr>
            <w:r w:rsidRPr="007E03B9">
              <w:rPr>
                <w:iCs/>
              </w:rPr>
              <w:t xml:space="preserve">Projekts 2013.gada 7.oktobrī publicēts Iekšlietu ministrijas interneta vietnē </w:t>
            </w:r>
            <w:hyperlink r:id="rId9" w:history="1">
              <w:r w:rsidRPr="007E03B9">
                <w:rPr>
                  <w:rStyle w:val="Hyperlink"/>
                  <w:iCs/>
                </w:rPr>
                <w:t>www.iem.gov.lv</w:t>
              </w:r>
            </w:hyperlink>
            <w:r w:rsidR="007E24FB">
              <w:rPr>
                <w:iCs/>
              </w:rPr>
              <w:t>, komentāri nav saņemti.</w:t>
            </w:r>
          </w:p>
          <w:p w:rsidR="00A31BCB" w:rsidRPr="00FC7E71" w:rsidRDefault="00A31BCB" w:rsidP="00BF141D">
            <w:pPr>
              <w:rPr>
                <w:iCs/>
              </w:rPr>
            </w:pPr>
          </w:p>
        </w:tc>
      </w:tr>
      <w:tr w:rsidR="00A31BCB" w:rsidRPr="004D15A9" w:rsidTr="00EE5DE0">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A31BCB" w:rsidRPr="004D15A9" w:rsidRDefault="00A31BCB" w:rsidP="00EE5DE0">
            <w:pPr>
              <w:rPr>
                <w:color w:val="414142"/>
                <w:lang w:eastAsia="lv-LV"/>
              </w:rPr>
            </w:pPr>
            <w:r w:rsidRPr="004D15A9">
              <w:rPr>
                <w:color w:val="414142"/>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FC7E71" w:rsidRDefault="00A31BCB" w:rsidP="00EE5DE0">
            <w:pPr>
              <w:rPr>
                <w:iCs/>
              </w:rPr>
            </w:pPr>
            <w:r w:rsidRPr="00FC7E71">
              <w:rPr>
                <w:iCs/>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FC7E71" w:rsidRDefault="009C01F7" w:rsidP="00EE5DE0">
            <w:pPr>
              <w:rPr>
                <w:iCs/>
              </w:rPr>
            </w:pPr>
            <w:r>
              <w:t>Projekts šo jomu neskar.</w:t>
            </w:r>
          </w:p>
        </w:tc>
      </w:tr>
      <w:tr w:rsidR="00A31BCB" w:rsidRPr="004D15A9"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4D15A9" w:rsidRDefault="00A31BCB" w:rsidP="00EE5DE0">
            <w:pPr>
              <w:rPr>
                <w:color w:val="414142"/>
                <w:lang w:eastAsia="lv-LV"/>
              </w:rPr>
            </w:pPr>
            <w:r w:rsidRPr="004D15A9">
              <w:rPr>
                <w:color w:val="414142"/>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FC7E71" w:rsidRDefault="00A31BCB" w:rsidP="00EE5DE0">
            <w:pPr>
              <w:rPr>
                <w:iCs/>
              </w:rPr>
            </w:pPr>
            <w:r w:rsidRPr="00FC7E71">
              <w:rPr>
                <w:iCs/>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FC7E71" w:rsidRDefault="009C01F7" w:rsidP="00EE5DE0">
            <w:pPr>
              <w:rPr>
                <w:iCs/>
              </w:rPr>
            </w:pPr>
            <w:r>
              <w:t>Projekts šo jomu neskar.</w:t>
            </w:r>
          </w:p>
        </w:tc>
      </w:tr>
      <w:tr w:rsidR="00A31BCB" w:rsidRPr="004D15A9"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4D15A9" w:rsidRDefault="00A31BCB" w:rsidP="00EE5DE0">
            <w:pPr>
              <w:rPr>
                <w:color w:val="414142"/>
                <w:lang w:eastAsia="lv-LV"/>
              </w:rPr>
            </w:pPr>
            <w:r w:rsidRPr="004D15A9">
              <w:rPr>
                <w:color w:val="414142"/>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FC7E71" w:rsidRDefault="00A31BCB" w:rsidP="00EE5DE0">
            <w:pPr>
              <w:rPr>
                <w:iCs/>
              </w:rPr>
            </w:pPr>
            <w:r w:rsidRPr="00FC7E71">
              <w:rPr>
                <w:iCs/>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FC7E71" w:rsidRDefault="009C01F7" w:rsidP="009C01F7">
            <w:pPr>
              <w:rPr>
                <w:iCs/>
              </w:rPr>
            </w:pPr>
            <w:r>
              <w:rPr>
                <w:iCs/>
              </w:rPr>
              <w:t>Nav</w:t>
            </w:r>
            <w:r w:rsidR="001125F0">
              <w:rPr>
                <w:iCs/>
              </w:rPr>
              <w:t>.</w:t>
            </w:r>
          </w:p>
        </w:tc>
      </w:tr>
    </w:tbl>
    <w:p w:rsidR="00A31BCB" w:rsidRPr="004D15A9" w:rsidRDefault="00A31BCB" w:rsidP="00A31BCB">
      <w:pPr>
        <w:rPr>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A31BCB" w:rsidRPr="004D15A9" w:rsidTr="00EE5DE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1BCB" w:rsidRPr="004D15A9" w:rsidRDefault="00A31BCB" w:rsidP="00EE5DE0">
            <w:pPr>
              <w:ind w:firstLine="300"/>
              <w:jc w:val="center"/>
              <w:rPr>
                <w:b/>
                <w:bCs/>
                <w:color w:val="414142"/>
                <w:lang w:eastAsia="lv-LV"/>
              </w:rPr>
            </w:pPr>
            <w:r w:rsidRPr="004D15A9">
              <w:rPr>
                <w:b/>
                <w:bCs/>
                <w:color w:val="414142"/>
                <w:lang w:eastAsia="lv-LV"/>
              </w:rPr>
              <w:t>VII. Tiesību akta projekta izpildes nodrošināšana un tās ietekme uz institūcijām</w:t>
            </w:r>
          </w:p>
        </w:tc>
      </w:tr>
      <w:tr w:rsidR="00A31BCB" w:rsidRPr="004D15A9" w:rsidTr="00EE5DE0">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A31BCB" w:rsidRPr="008B6004" w:rsidRDefault="00A31BCB" w:rsidP="00EE5DE0">
            <w:pPr>
              <w:rPr>
                <w:iCs/>
              </w:rPr>
            </w:pPr>
            <w:r w:rsidRPr="008B6004">
              <w:rPr>
                <w:iCs/>
              </w:rPr>
              <w:t>1.</w:t>
            </w:r>
          </w:p>
        </w:tc>
        <w:tc>
          <w:tcPr>
            <w:tcW w:w="1900" w:type="pct"/>
            <w:tcBorders>
              <w:top w:val="outset" w:sz="6" w:space="0" w:color="414142"/>
              <w:left w:val="outset" w:sz="6" w:space="0" w:color="414142"/>
              <w:bottom w:val="outset" w:sz="6" w:space="0" w:color="414142"/>
              <w:right w:val="outset" w:sz="6" w:space="0" w:color="414142"/>
            </w:tcBorders>
            <w:hideMark/>
          </w:tcPr>
          <w:p w:rsidR="00A31BCB" w:rsidRPr="008B6004" w:rsidRDefault="00A31BCB" w:rsidP="00EE5DE0">
            <w:pPr>
              <w:rPr>
                <w:iCs/>
              </w:rPr>
            </w:pPr>
            <w:r w:rsidRPr="008B6004">
              <w:rPr>
                <w:iCs/>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31BCB" w:rsidRPr="008B6004" w:rsidRDefault="00D61F39" w:rsidP="00EE5DE0">
            <w:pPr>
              <w:rPr>
                <w:iCs/>
              </w:rPr>
            </w:pPr>
            <w:r>
              <w:rPr>
                <w:iCs/>
              </w:rPr>
              <w:t>Iekšlietu ministrija, Valsts policija un Ieslodzījuma vietu pārvalde.</w:t>
            </w:r>
          </w:p>
        </w:tc>
      </w:tr>
      <w:tr w:rsidR="00A31BCB" w:rsidRPr="004D15A9" w:rsidTr="00EE5DE0">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A31BCB" w:rsidRPr="008B6004" w:rsidRDefault="00A31BCB" w:rsidP="00EE5DE0">
            <w:pPr>
              <w:rPr>
                <w:iCs/>
              </w:rPr>
            </w:pPr>
            <w:r w:rsidRPr="008B6004">
              <w:rPr>
                <w:iCs/>
              </w:rPr>
              <w:t>2.</w:t>
            </w:r>
          </w:p>
        </w:tc>
        <w:tc>
          <w:tcPr>
            <w:tcW w:w="1900" w:type="pct"/>
            <w:tcBorders>
              <w:top w:val="outset" w:sz="6" w:space="0" w:color="414142"/>
              <w:left w:val="outset" w:sz="6" w:space="0" w:color="414142"/>
              <w:bottom w:val="outset" w:sz="6" w:space="0" w:color="414142"/>
              <w:right w:val="outset" w:sz="6" w:space="0" w:color="414142"/>
            </w:tcBorders>
            <w:hideMark/>
          </w:tcPr>
          <w:p w:rsidR="00A31BCB" w:rsidRPr="008B6004" w:rsidRDefault="00A31BCB" w:rsidP="00EE5DE0">
            <w:pPr>
              <w:rPr>
                <w:iCs/>
              </w:rPr>
            </w:pPr>
            <w:r w:rsidRPr="008B6004">
              <w:rPr>
                <w:iCs/>
              </w:rPr>
              <w:t xml:space="preserve">Projekta izpildes ietekme uz pārvaldes funkcijām un institucionālo struktūru. </w:t>
            </w:r>
          </w:p>
          <w:p w:rsidR="00A31BCB" w:rsidRPr="008B6004" w:rsidRDefault="00A31BCB" w:rsidP="00EE5DE0">
            <w:pPr>
              <w:ind w:firstLine="300"/>
              <w:rPr>
                <w:iCs/>
              </w:rPr>
            </w:pPr>
            <w:r w:rsidRPr="008B6004">
              <w:rPr>
                <w:iCs/>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C01F7" w:rsidRPr="008B6004" w:rsidRDefault="009C01F7" w:rsidP="00D61F39">
            <w:pPr>
              <w:rPr>
                <w:iCs/>
              </w:rPr>
            </w:pPr>
            <w:r>
              <w:t>Projekts šo jomu neskar</w:t>
            </w:r>
            <w:r w:rsidR="001125F0">
              <w:t>.</w:t>
            </w:r>
          </w:p>
        </w:tc>
      </w:tr>
      <w:tr w:rsidR="00A31BCB" w:rsidRPr="004D15A9" w:rsidTr="00EE5DE0">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A31BCB" w:rsidRPr="008B6004" w:rsidRDefault="00A31BCB" w:rsidP="00EE5DE0">
            <w:pPr>
              <w:rPr>
                <w:iCs/>
              </w:rPr>
            </w:pPr>
            <w:r w:rsidRPr="008B6004">
              <w:rPr>
                <w:iCs/>
              </w:rPr>
              <w:t>3.</w:t>
            </w:r>
          </w:p>
        </w:tc>
        <w:tc>
          <w:tcPr>
            <w:tcW w:w="1900" w:type="pct"/>
            <w:tcBorders>
              <w:top w:val="outset" w:sz="6" w:space="0" w:color="414142"/>
              <w:left w:val="outset" w:sz="6" w:space="0" w:color="414142"/>
              <w:bottom w:val="outset" w:sz="6" w:space="0" w:color="414142"/>
              <w:right w:val="outset" w:sz="6" w:space="0" w:color="414142"/>
            </w:tcBorders>
            <w:hideMark/>
          </w:tcPr>
          <w:p w:rsidR="00A31BCB" w:rsidRPr="008B6004" w:rsidRDefault="00A31BCB" w:rsidP="00EE5DE0">
            <w:pPr>
              <w:rPr>
                <w:iCs/>
              </w:rPr>
            </w:pPr>
            <w:r w:rsidRPr="008B6004">
              <w:rPr>
                <w:iCs/>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A31BCB" w:rsidRPr="008B6004" w:rsidRDefault="009C01F7" w:rsidP="009C01F7">
            <w:pPr>
              <w:rPr>
                <w:iCs/>
              </w:rPr>
            </w:pPr>
            <w:r>
              <w:rPr>
                <w:iCs/>
              </w:rPr>
              <w:t>Nav</w:t>
            </w:r>
            <w:r w:rsidR="001125F0">
              <w:rPr>
                <w:iCs/>
              </w:rPr>
              <w:t>.</w:t>
            </w:r>
          </w:p>
        </w:tc>
      </w:tr>
    </w:tbl>
    <w:p w:rsidR="001E49D0" w:rsidRDefault="001E49D0" w:rsidP="00A31BCB">
      <w:pPr>
        <w:rPr>
          <w:lang w:eastAsia="lv-LV"/>
        </w:rPr>
      </w:pPr>
    </w:p>
    <w:p w:rsidR="00DD2666" w:rsidRDefault="00DD2666" w:rsidP="00A31BCB">
      <w:r>
        <w:rPr>
          <w:lang w:eastAsia="lv-LV"/>
        </w:rPr>
        <w:t>Anotācijas III, IV un V sadaļa – projekts šīs jomas neskar.</w:t>
      </w:r>
    </w:p>
    <w:p w:rsidR="00DD2666" w:rsidRDefault="00DD2666" w:rsidP="00A31BCB"/>
    <w:p w:rsidR="00366906" w:rsidRPr="004D15A9" w:rsidRDefault="00366906" w:rsidP="00A31BCB"/>
    <w:p w:rsidR="00D61F39" w:rsidRPr="001A58C0" w:rsidRDefault="00D61F39" w:rsidP="00D61F39">
      <w:pPr>
        <w:pStyle w:val="naisf"/>
        <w:tabs>
          <w:tab w:val="left" w:pos="6480"/>
        </w:tabs>
        <w:spacing w:before="0" w:after="0"/>
      </w:pPr>
      <w:r w:rsidRPr="001A58C0">
        <w:t>Iekšlietu ministrs</w:t>
      </w:r>
      <w:r w:rsidRPr="001A58C0">
        <w:tab/>
        <w:t>R.Kozlovskis</w:t>
      </w:r>
    </w:p>
    <w:p w:rsidR="00D61F39" w:rsidRPr="001A58C0" w:rsidRDefault="00D61F39" w:rsidP="00D61F39">
      <w:pPr>
        <w:jc w:val="both"/>
      </w:pPr>
    </w:p>
    <w:p w:rsidR="007B17CA" w:rsidRPr="001A58C0" w:rsidRDefault="007B17CA" w:rsidP="00D61F39">
      <w:pPr>
        <w:jc w:val="both"/>
      </w:pPr>
    </w:p>
    <w:p w:rsidR="00D61F39" w:rsidRPr="001A58C0" w:rsidRDefault="007B17CA" w:rsidP="00D61F39">
      <w:pPr>
        <w:jc w:val="both"/>
      </w:pPr>
      <w:r w:rsidRPr="001A58C0">
        <w:t>Vīza:</w:t>
      </w:r>
      <w:r w:rsidR="00D61F39" w:rsidRPr="001A58C0">
        <w:t xml:space="preserve"> valsts sekretāre</w:t>
      </w:r>
      <w:r w:rsidR="00D61F39" w:rsidRPr="001A58C0">
        <w:tab/>
      </w:r>
      <w:r w:rsidR="00D61F39" w:rsidRPr="001A58C0">
        <w:tab/>
      </w:r>
      <w:r w:rsidR="00D61F39" w:rsidRPr="001A58C0">
        <w:tab/>
      </w:r>
      <w:r w:rsidRPr="001A58C0">
        <w:tab/>
      </w:r>
      <w:r w:rsidRPr="001A58C0">
        <w:tab/>
      </w:r>
      <w:r w:rsidRPr="001A58C0">
        <w:tab/>
      </w:r>
      <w:r w:rsidR="001A58C0">
        <w:tab/>
      </w:r>
      <w:r w:rsidR="00D61F39" w:rsidRPr="001A58C0">
        <w:t>I.Pētersone</w:t>
      </w:r>
      <w:r w:rsidRPr="001A58C0">
        <w:t>-</w:t>
      </w:r>
      <w:r w:rsidR="00D61F39" w:rsidRPr="001A58C0">
        <w:t xml:space="preserve">Godmane </w:t>
      </w:r>
    </w:p>
    <w:p w:rsidR="00FA5626" w:rsidRDefault="00FA5626" w:rsidP="00D61F39">
      <w:pPr>
        <w:jc w:val="both"/>
        <w:rPr>
          <w:sz w:val="20"/>
          <w:szCs w:val="20"/>
        </w:rPr>
      </w:pPr>
    </w:p>
    <w:p w:rsidR="00FA5626" w:rsidRDefault="00FA5626" w:rsidP="00D61F39">
      <w:pPr>
        <w:jc w:val="both"/>
        <w:rPr>
          <w:sz w:val="20"/>
          <w:szCs w:val="20"/>
        </w:rPr>
      </w:pPr>
    </w:p>
    <w:p w:rsidR="00222ED9" w:rsidRDefault="00222ED9" w:rsidP="00D61F39">
      <w:pPr>
        <w:jc w:val="both"/>
        <w:rPr>
          <w:sz w:val="20"/>
          <w:szCs w:val="20"/>
        </w:rPr>
      </w:pPr>
    </w:p>
    <w:p w:rsidR="00222ED9" w:rsidRDefault="00222ED9" w:rsidP="00D61F39">
      <w:pPr>
        <w:jc w:val="both"/>
        <w:rPr>
          <w:sz w:val="20"/>
          <w:szCs w:val="20"/>
        </w:rPr>
      </w:pPr>
    </w:p>
    <w:p w:rsidR="00222ED9" w:rsidRDefault="00222ED9" w:rsidP="00D61F39">
      <w:pPr>
        <w:jc w:val="both"/>
        <w:rPr>
          <w:sz w:val="20"/>
          <w:szCs w:val="20"/>
        </w:rPr>
      </w:pPr>
    </w:p>
    <w:p w:rsidR="00222ED9" w:rsidRDefault="00222ED9" w:rsidP="00D61F39">
      <w:pPr>
        <w:jc w:val="both"/>
        <w:rPr>
          <w:sz w:val="20"/>
          <w:szCs w:val="20"/>
        </w:rPr>
      </w:pPr>
    </w:p>
    <w:p w:rsidR="00222ED9" w:rsidRDefault="00222ED9" w:rsidP="00D61F39">
      <w:pPr>
        <w:jc w:val="both"/>
        <w:rPr>
          <w:sz w:val="20"/>
          <w:szCs w:val="20"/>
        </w:rPr>
      </w:pPr>
    </w:p>
    <w:p w:rsidR="00222ED9" w:rsidRDefault="00222ED9" w:rsidP="00D61F39">
      <w:pPr>
        <w:jc w:val="both"/>
        <w:rPr>
          <w:sz w:val="20"/>
          <w:szCs w:val="20"/>
        </w:rPr>
      </w:pPr>
    </w:p>
    <w:p w:rsidR="00222ED9" w:rsidRDefault="00222ED9" w:rsidP="00D61F39">
      <w:pPr>
        <w:jc w:val="both"/>
        <w:rPr>
          <w:sz w:val="20"/>
          <w:szCs w:val="20"/>
        </w:rPr>
      </w:pPr>
    </w:p>
    <w:p w:rsidR="00222ED9" w:rsidRDefault="00222ED9" w:rsidP="00D61F39">
      <w:pPr>
        <w:jc w:val="both"/>
        <w:rPr>
          <w:sz w:val="20"/>
          <w:szCs w:val="20"/>
        </w:rPr>
      </w:pPr>
    </w:p>
    <w:p w:rsidR="00222ED9" w:rsidRDefault="00222ED9" w:rsidP="00D61F39">
      <w:pPr>
        <w:jc w:val="both"/>
        <w:rPr>
          <w:sz w:val="20"/>
          <w:szCs w:val="20"/>
        </w:rPr>
      </w:pPr>
    </w:p>
    <w:p w:rsidR="00222ED9" w:rsidRDefault="00222ED9" w:rsidP="00D61F39">
      <w:pPr>
        <w:jc w:val="both"/>
        <w:rPr>
          <w:sz w:val="20"/>
          <w:szCs w:val="20"/>
        </w:rPr>
      </w:pPr>
    </w:p>
    <w:p w:rsidR="00222ED9" w:rsidRDefault="00222ED9" w:rsidP="00D61F39">
      <w:pPr>
        <w:jc w:val="both"/>
        <w:rPr>
          <w:sz w:val="20"/>
          <w:szCs w:val="20"/>
        </w:rPr>
      </w:pPr>
    </w:p>
    <w:p w:rsidR="00114CC2" w:rsidRDefault="00114CC2" w:rsidP="00D61F39">
      <w:pPr>
        <w:jc w:val="both"/>
        <w:rPr>
          <w:sz w:val="20"/>
          <w:szCs w:val="20"/>
        </w:rPr>
      </w:pPr>
    </w:p>
    <w:p w:rsidR="004D10E7" w:rsidRDefault="004D10E7" w:rsidP="00D61F39">
      <w:pPr>
        <w:jc w:val="both"/>
        <w:rPr>
          <w:sz w:val="20"/>
          <w:szCs w:val="20"/>
        </w:rPr>
      </w:pPr>
    </w:p>
    <w:p w:rsidR="00114CC2" w:rsidRDefault="00114CC2" w:rsidP="00D61F39">
      <w:pPr>
        <w:jc w:val="both"/>
        <w:rPr>
          <w:sz w:val="20"/>
          <w:szCs w:val="20"/>
        </w:rPr>
      </w:pPr>
    </w:p>
    <w:p w:rsidR="00114CC2" w:rsidRDefault="00114CC2" w:rsidP="00D61F39">
      <w:pPr>
        <w:jc w:val="both"/>
        <w:rPr>
          <w:sz w:val="20"/>
          <w:szCs w:val="20"/>
        </w:rPr>
      </w:pPr>
    </w:p>
    <w:p w:rsidR="00114CC2" w:rsidRDefault="00114CC2" w:rsidP="00D61F39">
      <w:pPr>
        <w:jc w:val="both"/>
        <w:rPr>
          <w:sz w:val="20"/>
          <w:szCs w:val="20"/>
        </w:rPr>
      </w:pPr>
    </w:p>
    <w:p w:rsidR="00BD2F56" w:rsidRDefault="00BD2F56" w:rsidP="00D61F39">
      <w:pPr>
        <w:jc w:val="both"/>
        <w:rPr>
          <w:sz w:val="20"/>
          <w:szCs w:val="20"/>
        </w:rPr>
      </w:pPr>
    </w:p>
    <w:p w:rsidR="00114CC2" w:rsidRDefault="00114CC2" w:rsidP="00D61F39">
      <w:pPr>
        <w:jc w:val="both"/>
        <w:rPr>
          <w:sz w:val="20"/>
          <w:szCs w:val="20"/>
        </w:rPr>
      </w:pPr>
    </w:p>
    <w:p w:rsidR="00114CC2" w:rsidRDefault="00114CC2" w:rsidP="00D61F39">
      <w:pPr>
        <w:jc w:val="both"/>
        <w:rPr>
          <w:sz w:val="20"/>
          <w:szCs w:val="20"/>
        </w:rPr>
      </w:pPr>
    </w:p>
    <w:p w:rsidR="00222ED9" w:rsidRPr="008F6773" w:rsidRDefault="00222ED9" w:rsidP="00D61F39">
      <w:pPr>
        <w:jc w:val="both"/>
        <w:rPr>
          <w:sz w:val="20"/>
          <w:szCs w:val="20"/>
        </w:rPr>
      </w:pPr>
    </w:p>
    <w:p w:rsidR="00D61F39" w:rsidRPr="008F6773" w:rsidRDefault="00D61F39" w:rsidP="00D61F39">
      <w:pPr>
        <w:pStyle w:val="naisf"/>
        <w:spacing w:before="0" w:after="0"/>
        <w:rPr>
          <w:sz w:val="20"/>
          <w:szCs w:val="20"/>
        </w:rPr>
      </w:pPr>
      <w:r w:rsidRPr="008F6773">
        <w:rPr>
          <w:sz w:val="20"/>
          <w:szCs w:val="20"/>
        </w:rPr>
        <w:fldChar w:fldCharType="begin"/>
      </w:r>
      <w:r w:rsidRPr="008F6773">
        <w:rPr>
          <w:sz w:val="20"/>
          <w:szCs w:val="20"/>
        </w:rPr>
        <w:instrText xml:space="preserve"> TIME \@ "dd.MM.yyyy H:mm" </w:instrText>
      </w:r>
      <w:r w:rsidRPr="008F6773">
        <w:rPr>
          <w:sz w:val="20"/>
          <w:szCs w:val="20"/>
        </w:rPr>
        <w:fldChar w:fldCharType="separate"/>
      </w:r>
      <w:r w:rsidR="00BD3498">
        <w:rPr>
          <w:noProof/>
          <w:sz w:val="20"/>
          <w:szCs w:val="20"/>
        </w:rPr>
        <w:t>23.04.2014 12:16</w:t>
      </w:r>
      <w:r w:rsidRPr="008F6773">
        <w:rPr>
          <w:sz w:val="20"/>
          <w:szCs w:val="20"/>
        </w:rPr>
        <w:fldChar w:fldCharType="end"/>
      </w:r>
    </w:p>
    <w:p w:rsidR="00D61F39" w:rsidRPr="008F6773" w:rsidRDefault="00495F6B" w:rsidP="00D61F39">
      <w:pPr>
        <w:rPr>
          <w:sz w:val="20"/>
          <w:szCs w:val="20"/>
        </w:rPr>
      </w:pPr>
      <w:r>
        <w:rPr>
          <w:sz w:val="20"/>
          <w:szCs w:val="20"/>
        </w:rPr>
        <w:t>1</w:t>
      </w:r>
      <w:r w:rsidR="00634280">
        <w:rPr>
          <w:sz w:val="20"/>
          <w:szCs w:val="20"/>
        </w:rPr>
        <w:t>2</w:t>
      </w:r>
      <w:r w:rsidR="009D53C5">
        <w:rPr>
          <w:sz w:val="20"/>
          <w:szCs w:val="20"/>
        </w:rPr>
        <w:t>8</w:t>
      </w:r>
      <w:r w:rsidR="00E56F02">
        <w:rPr>
          <w:sz w:val="20"/>
          <w:szCs w:val="20"/>
        </w:rPr>
        <w:t>4</w:t>
      </w:r>
    </w:p>
    <w:p w:rsidR="00D61F39" w:rsidRPr="008F6773" w:rsidRDefault="00D61F39" w:rsidP="00D61F39">
      <w:pPr>
        <w:rPr>
          <w:sz w:val="20"/>
          <w:szCs w:val="20"/>
        </w:rPr>
      </w:pPr>
      <w:proofErr w:type="spellStart"/>
      <w:r w:rsidRPr="008F6773">
        <w:rPr>
          <w:sz w:val="20"/>
          <w:szCs w:val="20"/>
        </w:rPr>
        <w:t>N.Lazukova</w:t>
      </w:r>
      <w:proofErr w:type="spellEnd"/>
    </w:p>
    <w:p w:rsidR="00A31BCB" w:rsidRPr="00116DB7" w:rsidRDefault="00D61F39" w:rsidP="00D5650C">
      <w:pPr>
        <w:jc w:val="both"/>
        <w:rPr>
          <w:color w:val="0000FF"/>
          <w:sz w:val="20"/>
          <w:szCs w:val="20"/>
          <w:u w:val="single"/>
        </w:rPr>
      </w:pPr>
      <w:r w:rsidRPr="008F6773">
        <w:rPr>
          <w:sz w:val="20"/>
          <w:szCs w:val="20"/>
        </w:rPr>
        <w:t xml:space="preserve">67219177, </w:t>
      </w:r>
      <w:hyperlink r:id="rId10" w:history="1">
        <w:r w:rsidRPr="008F6773">
          <w:rPr>
            <w:rStyle w:val="Hyperlink"/>
            <w:sz w:val="20"/>
            <w:szCs w:val="20"/>
          </w:rPr>
          <w:t>nadezda.lazukova@iem.gov.lv</w:t>
        </w:r>
      </w:hyperlink>
    </w:p>
    <w:sectPr w:rsidR="00A31BCB" w:rsidRPr="00116DB7" w:rsidSect="00BD3498">
      <w:headerReference w:type="default" r:id="rId11"/>
      <w:footerReference w:type="default" r:id="rId12"/>
      <w:footerReference w:type="first" r:id="rId13"/>
      <w:pgSz w:w="11906" w:h="16838"/>
      <w:pgMar w:top="1134" w:right="1134" w:bottom="1134"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21" w:rsidRDefault="00EC7821">
      <w:r>
        <w:separator/>
      </w:r>
    </w:p>
  </w:endnote>
  <w:endnote w:type="continuationSeparator" w:id="0">
    <w:p w:rsidR="00EC7821" w:rsidRDefault="00EC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B" w:rsidRDefault="00002537" w:rsidP="00002537">
    <w:pPr>
      <w:pStyle w:val="Footer"/>
      <w:jc w:val="both"/>
      <w:rPr>
        <w:sz w:val="22"/>
        <w:szCs w:val="22"/>
      </w:rPr>
    </w:pPr>
    <w:r w:rsidRPr="00A559D8">
      <w:rPr>
        <w:sz w:val="20"/>
        <w:szCs w:val="20"/>
      </w:rPr>
      <w:fldChar w:fldCharType="begin"/>
    </w:r>
    <w:r w:rsidRPr="00A559D8">
      <w:rPr>
        <w:sz w:val="20"/>
        <w:szCs w:val="20"/>
      </w:rPr>
      <w:instrText xml:space="preserve"> FILENAME </w:instrText>
    </w:r>
    <w:r w:rsidRPr="00A559D8">
      <w:rPr>
        <w:sz w:val="20"/>
        <w:szCs w:val="20"/>
      </w:rPr>
      <w:fldChar w:fldCharType="separate"/>
    </w:r>
    <w:r w:rsidR="00BD3498">
      <w:rPr>
        <w:noProof/>
        <w:sz w:val="20"/>
        <w:szCs w:val="20"/>
      </w:rPr>
      <w:t>IEMAnot_16042014_338_groz</w:t>
    </w:r>
    <w:r w:rsidRPr="00A559D8">
      <w:rPr>
        <w:sz w:val="20"/>
        <w:szCs w:val="20"/>
      </w:rPr>
      <w:fldChar w:fldCharType="end"/>
    </w:r>
    <w:r>
      <w:rPr>
        <w:sz w:val="20"/>
        <w:szCs w:val="20"/>
      </w:rPr>
      <w:t>; Ministru kabineta noteikumu projekta „Grozījumi Ministru kabineta 2008.gada 19.maija noteikumos Nr.338 „</w:t>
    </w:r>
    <w:r>
      <w:rPr>
        <w:bCs/>
        <w:sz w:val="20"/>
        <w:szCs w:val="20"/>
      </w:rPr>
      <w:t>Noteikumi par Iekšlietu ministrijas sistēmas iestāžu un Ieslodzījuma vietu pārvaldes amatpersonu ar speciālajām dienesta pakāpēm dienesta apliecības un žetona paraugu un dienesta apliecības un žetona izsniegšanas un nodošanas kārtību</w:t>
    </w:r>
    <w:r>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3C" w:rsidRDefault="00640F3C" w:rsidP="00640F3C">
    <w:pPr>
      <w:pStyle w:val="Footer"/>
      <w:jc w:val="both"/>
      <w:rPr>
        <w:sz w:val="22"/>
        <w:szCs w:val="22"/>
      </w:rPr>
    </w:pPr>
    <w:r w:rsidRPr="00A559D8">
      <w:rPr>
        <w:sz w:val="20"/>
        <w:szCs w:val="20"/>
      </w:rPr>
      <w:fldChar w:fldCharType="begin"/>
    </w:r>
    <w:r w:rsidRPr="00A559D8">
      <w:rPr>
        <w:sz w:val="20"/>
        <w:szCs w:val="20"/>
      </w:rPr>
      <w:instrText xml:space="preserve"> FILENAME </w:instrText>
    </w:r>
    <w:r w:rsidRPr="00A559D8">
      <w:rPr>
        <w:sz w:val="20"/>
        <w:szCs w:val="20"/>
      </w:rPr>
      <w:fldChar w:fldCharType="separate"/>
    </w:r>
    <w:r w:rsidR="00BD3498">
      <w:rPr>
        <w:noProof/>
        <w:sz w:val="20"/>
        <w:szCs w:val="20"/>
      </w:rPr>
      <w:t>IEMAnot_16042014_338_groz</w:t>
    </w:r>
    <w:r w:rsidRPr="00A559D8">
      <w:rPr>
        <w:sz w:val="20"/>
        <w:szCs w:val="20"/>
      </w:rPr>
      <w:fldChar w:fldCharType="end"/>
    </w:r>
    <w:r>
      <w:rPr>
        <w:sz w:val="20"/>
        <w:szCs w:val="20"/>
      </w:rPr>
      <w:t>; Ministru kabineta noteikumu projekta „Grozījumi Ministru kabineta 2008.gada 19.maija noteikumos Nr.338 „</w:t>
    </w:r>
    <w:r>
      <w:rPr>
        <w:bCs/>
        <w:sz w:val="20"/>
        <w:szCs w:val="20"/>
      </w:rPr>
      <w:t>Noteikumi par Iekšlietu ministrijas sistēmas iestāžu un Ieslodzījuma vietu pārvaldes amatpersonu ar speciālajām dienesta pakāpēm dienesta apliecības un žetona paraugu un dienesta apliecības un žetona izsniegšanas un nodošanas kārtību</w:t>
    </w:r>
    <w:r>
      <w:rPr>
        <w:sz w:val="20"/>
        <w:szCs w:val="20"/>
      </w:rPr>
      <w:t>”” sākotnējās ietekmes novērtējuma ziņojums (anotācija)</w:t>
    </w:r>
  </w:p>
  <w:p w:rsidR="00640F3C" w:rsidRDefault="0064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21" w:rsidRDefault="00EC7821">
      <w:r>
        <w:separator/>
      </w:r>
    </w:p>
  </w:footnote>
  <w:footnote w:type="continuationSeparator" w:id="0">
    <w:p w:rsidR="00EC7821" w:rsidRDefault="00EC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39627"/>
      <w:docPartObj>
        <w:docPartGallery w:val="Page Numbers (Top of Page)"/>
        <w:docPartUnique/>
      </w:docPartObj>
    </w:sdtPr>
    <w:sdtEndPr>
      <w:rPr>
        <w:noProof/>
        <w:u w:val="single"/>
      </w:rPr>
    </w:sdtEndPr>
    <w:sdtContent>
      <w:p w:rsidR="009023EB" w:rsidRDefault="009023EB">
        <w:pPr>
          <w:pStyle w:val="Header"/>
          <w:jc w:val="center"/>
        </w:pPr>
        <w:r>
          <w:fldChar w:fldCharType="begin"/>
        </w:r>
        <w:r>
          <w:instrText xml:space="preserve"> PAGE   \* MERGEFORMAT </w:instrText>
        </w:r>
        <w:r>
          <w:fldChar w:fldCharType="separate"/>
        </w:r>
        <w:r w:rsidR="00BD3498">
          <w:rPr>
            <w:noProof/>
          </w:rPr>
          <w:t>2</w:t>
        </w:r>
        <w:r>
          <w:rPr>
            <w:noProof/>
          </w:rPr>
          <w:fldChar w:fldCharType="end"/>
        </w:r>
      </w:p>
    </w:sdtContent>
  </w:sdt>
  <w:p w:rsidR="009023EB" w:rsidRDefault="00902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5C"/>
    <w:rsid w:val="00002537"/>
    <w:rsid w:val="00002B37"/>
    <w:rsid w:val="0000304A"/>
    <w:rsid w:val="000246C1"/>
    <w:rsid w:val="00036237"/>
    <w:rsid w:val="000362DE"/>
    <w:rsid w:val="000B175B"/>
    <w:rsid w:val="000B7040"/>
    <w:rsid w:val="000C2DAB"/>
    <w:rsid w:val="000D29DC"/>
    <w:rsid w:val="000F08C4"/>
    <w:rsid w:val="001125F0"/>
    <w:rsid w:val="00114CC2"/>
    <w:rsid w:val="00116DB7"/>
    <w:rsid w:val="001247E2"/>
    <w:rsid w:val="00127ACB"/>
    <w:rsid w:val="00130042"/>
    <w:rsid w:val="001628D9"/>
    <w:rsid w:val="001678A3"/>
    <w:rsid w:val="00181C83"/>
    <w:rsid w:val="0018770F"/>
    <w:rsid w:val="001A02A7"/>
    <w:rsid w:val="001A58C0"/>
    <w:rsid w:val="001B3E52"/>
    <w:rsid w:val="001C1FA1"/>
    <w:rsid w:val="001E49D0"/>
    <w:rsid w:val="001E5EF2"/>
    <w:rsid w:val="001F2A1A"/>
    <w:rsid w:val="001F7A0F"/>
    <w:rsid w:val="002044AC"/>
    <w:rsid w:val="002047AC"/>
    <w:rsid w:val="00214D4A"/>
    <w:rsid w:val="002161DE"/>
    <w:rsid w:val="0022143A"/>
    <w:rsid w:val="00222ED9"/>
    <w:rsid w:val="00236837"/>
    <w:rsid w:val="00246F73"/>
    <w:rsid w:val="00251080"/>
    <w:rsid w:val="00276727"/>
    <w:rsid w:val="00276FDC"/>
    <w:rsid w:val="00284A75"/>
    <w:rsid w:val="002B3D49"/>
    <w:rsid w:val="002C4E61"/>
    <w:rsid w:val="002C7D32"/>
    <w:rsid w:val="002D4D14"/>
    <w:rsid w:val="002E1C30"/>
    <w:rsid w:val="002F2EAD"/>
    <w:rsid w:val="002F6E72"/>
    <w:rsid w:val="00306AFF"/>
    <w:rsid w:val="003136B4"/>
    <w:rsid w:val="00335C4A"/>
    <w:rsid w:val="00335FEE"/>
    <w:rsid w:val="00336183"/>
    <w:rsid w:val="00337596"/>
    <w:rsid w:val="00342F08"/>
    <w:rsid w:val="003469F0"/>
    <w:rsid w:val="00366906"/>
    <w:rsid w:val="0037076F"/>
    <w:rsid w:val="003715B1"/>
    <w:rsid w:val="00377E06"/>
    <w:rsid w:val="00393068"/>
    <w:rsid w:val="003A638C"/>
    <w:rsid w:val="003A65FC"/>
    <w:rsid w:val="003B107C"/>
    <w:rsid w:val="003D0842"/>
    <w:rsid w:val="003F4007"/>
    <w:rsid w:val="0043306D"/>
    <w:rsid w:val="00460093"/>
    <w:rsid w:val="00472E1D"/>
    <w:rsid w:val="00473A61"/>
    <w:rsid w:val="00482F1A"/>
    <w:rsid w:val="00483645"/>
    <w:rsid w:val="00495F6B"/>
    <w:rsid w:val="00497143"/>
    <w:rsid w:val="004A57B9"/>
    <w:rsid w:val="004A7C74"/>
    <w:rsid w:val="004D04CC"/>
    <w:rsid w:val="004D10E7"/>
    <w:rsid w:val="004E11E2"/>
    <w:rsid w:val="004E55FC"/>
    <w:rsid w:val="004E7CAC"/>
    <w:rsid w:val="004F4B99"/>
    <w:rsid w:val="005230E7"/>
    <w:rsid w:val="005277EF"/>
    <w:rsid w:val="00551073"/>
    <w:rsid w:val="005623E3"/>
    <w:rsid w:val="005709BA"/>
    <w:rsid w:val="005B635F"/>
    <w:rsid w:val="005D08D9"/>
    <w:rsid w:val="005D5FF8"/>
    <w:rsid w:val="005F2F7A"/>
    <w:rsid w:val="005F34B4"/>
    <w:rsid w:val="005F6248"/>
    <w:rsid w:val="00601D93"/>
    <w:rsid w:val="0061279E"/>
    <w:rsid w:val="00624A73"/>
    <w:rsid w:val="00634280"/>
    <w:rsid w:val="006400C3"/>
    <w:rsid w:val="00640F3C"/>
    <w:rsid w:val="00652241"/>
    <w:rsid w:val="00670F9A"/>
    <w:rsid w:val="00682959"/>
    <w:rsid w:val="006866FD"/>
    <w:rsid w:val="006A56C7"/>
    <w:rsid w:val="006A5DA4"/>
    <w:rsid w:val="006B063E"/>
    <w:rsid w:val="006B6806"/>
    <w:rsid w:val="006D50EF"/>
    <w:rsid w:val="006F22A8"/>
    <w:rsid w:val="007204DD"/>
    <w:rsid w:val="00732B6D"/>
    <w:rsid w:val="00737735"/>
    <w:rsid w:val="00740743"/>
    <w:rsid w:val="007476AE"/>
    <w:rsid w:val="007617CE"/>
    <w:rsid w:val="00765D33"/>
    <w:rsid w:val="00777532"/>
    <w:rsid w:val="007900DE"/>
    <w:rsid w:val="007902B6"/>
    <w:rsid w:val="00791504"/>
    <w:rsid w:val="007A0BB7"/>
    <w:rsid w:val="007A7A54"/>
    <w:rsid w:val="007B17CA"/>
    <w:rsid w:val="007C4F12"/>
    <w:rsid w:val="007C54AA"/>
    <w:rsid w:val="007C7128"/>
    <w:rsid w:val="007D5F67"/>
    <w:rsid w:val="007E03B9"/>
    <w:rsid w:val="007E24FB"/>
    <w:rsid w:val="0081797F"/>
    <w:rsid w:val="00822BC6"/>
    <w:rsid w:val="0083042E"/>
    <w:rsid w:val="008553AF"/>
    <w:rsid w:val="008903B7"/>
    <w:rsid w:val="008949DC"/>
    <w:rsid w:val="008C3B71"/>
    <w:rsid w:val="008D70E8"/>
    <w:rsid w:val="008F0404"/>
    <w:rsid w:val="008F17F3"/>
    <w:rsid w:val="008F6773"/>
    <w:rsid w:val="009023EB"/>
    <w:rsid w:val="0090585F"/>
    <w:rsid w:val="0090784F"/>
    <w:rsid w:val="00912A42"/>
    <w:rsid w:val="00917187"/>
    <w:rsid w:val="009727B2"/>
    <w:rsid w:val="009A0ABF"/>
    <w:rsid w:val="009A433D"/>
    <w:rsid w:val="009C01F7"/>
    <w:rsid w:val="009C0F60"/>
    <w:rsid w:val="009C4956"/>
    <w:rsid w:val="009D0F53"/>
    <w:rsid w:val="009D53C5"/>
    <w:rsid w:val="009E3726"/>
    <w:rsid w:val="009F19F9"/>
    <w:rsid w:val="00A065BA"/>
    <w:rsid w:val="00A14327"/>
    <w:rsid w:val="00A217F2"/>
    <w:rsid w:val="00A24B4E"/>
    <w:rsid w:val="00A30834"/>
    <w:rsid w:val="00A31BCB"/>
    <w:rsid w:val="00A351DE"/>
    <w:rsid w:val="00A42A96"/>
    <w:rsid w:val="00A43B5D"/>
    <w:rsid w:val="00A47F41"/>
    <w:rsid w:val="00A5358A"/>
    <w:rsid w:val="00A62B24"/>
    <w:rsid w:val="00A73230"/>
    <w:rsid w:val="00A84DE3"/>
    <w:rsid w:val="00AB4B47"/>
    <w:rsid w:val="00AF0970"/>
    <w:rsid w:val="00AF7A0A"/>
    <w:rsid w:val="00B23D52"/>
    <w:rsid w:val="00B31043"/>
    <w:rsid w:val="00B53793"/>
    <w:rsid w:val="00B608F6"/>
    <w:rsid w:val="00B63AF5"/>
    <w:rsid w:val="00B63F41"/>
    <w:rsid w:val="00B750BF"/>
    <w:rsid w:val="00B7689E"/>
    <w:rsid w:val="00B81B63"/>
    <w:rsid w:val="00B90FBF"/>
    <w:rsid w:val="00B94C9C"/>
    <w:rsid w:val="00BA31E1"/>
    <w:rsid w:val="00BB0F61"/>
    <w:rsid w:val="00BB2BDC"/>
    <w:rsid w:val="00BC1296"/>
    <w:rsid w:val="00BC5A0C"/>
    <w:rsid w:val="00BD2DDB"/>
    <w:rsid w:val="00BD2F56"/>
    <w:rsid w:val="00BD3498"/>
    <w:rsid w:val="00BD55C6"/>
    <w:rsid w:val="00BE10A7"/>
    <w:rsid w:val="00BF141D"/>
    <w:rsid w:val="00BF4C9B"/>
    <w:rsid w:val="00C0568F"/>
    <w:rsid w:val="00C10FFB"/>
    <w:rsid w:val="00C26785"/>
    <w:rsid w:val="00C52383"/>
    <w:rsid w:val="00C532B2"/>
    <w:rsid w:val="00C73177"/>
    <w:rsid w:val="00C77917"/>
    <w:rsid w:val="00C807FE"/>
    <w:rsid w:val="00C83858"/>
    <w:rsid w:val="00C905E3"/>
    <w:rsid w:val="00C92076"/>
    <w:rsid w:val="00CA1438"/>
    <w:rsid w:val="00CA3EF0"/>
    <w:rsid w:val="00CA4C13"/>
    <w:rsid w:val="00CC4F6A"/>
    <w:rsid w:val="00CD3C60"/>
    <w:rsid w:val="00CE660A"/>
    <w:rsid w:val="00CF2E74"/>
    <w:rsid w:val="00D01688"/>
    <w:rsid w:val="00D0347E"/>
    <w:rsid w:val="00D10DA2"/>
    <w:rsid w:val="00D4151E"/>
    <w:rsid w:val="00D472C9"/>
    <w:rsid w:val="00D5650C"/>
    <w:rsid w:val="00D57E98"/>
    <w:rsid w:val="00D61F39"/>
    <w:rsid w:val="00D70C57"/>
    <w:rsid w:val="00D87173"/>
    <w:rsid w:val="00D922DF"/>
    <w:rsid w:val="00D97C98"/>
    <w:rsid w:val="00DB1A85"/>
    <w:rsid w:val="00DB48D0"/>
    <w:rsid w:val="00DB713F"/>
    <w:rsid w:val="00DC7590"/>
    <w:rsid w:val="00DD046E"/>
    <w:rsid w:val="00DD2666"/>
    <w:rsid w:val="00DD312A"/>
    <w:rsid w:val="00DD53A8"/>
    <w:rsid w:val="00E0518D"/>
    <w:rsid w:val="00E166F4"/>
    <w:rsid w:val="00E25F9C"/>
    <w:rsid w:val="00E4583F"/>
    <w:rsid w:val="00E55236"/>
    <w:rsid w:val="00E56F02"/>
    <w:rsid w:val="00E613CB"/>
    <w:rsid w:val="00EC7821"/>
    <w:rsid w:val="00ED3C10"/>
    <w:rsid w:val="00ED60DE"/>
    <w:rsid w:val="00EF5895"/>
    <w:rsid w:val="00F140D3"/>
    <w:rsid w:val="00F17937"/>
    <w:rsid w:val="00F24C87"/>
    <w:rsid w:val="00F26855"/>
    <w:rsid w:val="00F3099C"/>
    <w:rsid w:val="00F41BBE"/>
    <w:rsid w:val="00F42E66"/>
    <w:rsid w:val="00F74629"/>
    <w:rsid w:val="00F80BB6"/>
    <w:rsid w:val="00F8459C"/>
    <w:rsid w:val="00F93B0B"/>
    <w:rsid w:val="00FA5626"/>
    <w:rsid w:val="00FB5F81"/>
    <w:rsid w:val="00FC7BC0"/>
    <w:rsid w:val="00FD0FBC"/>
    <w:rsid w:val="00FD1A80"/>
    <w:rsid w:val="00FD4F72"/>
    <w:rsid w:val="00FD68E4"/>
    <w:rsid w:val="00FF37B5"/>
    <w:rsid w:val="00FF7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jc w:val="center"/>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CharChar">
    <w:name w:val="Char Char"/>
    <w:basedOn w:val="DefaultParagraphFont"/>
    <w:rPr>
      <w:sz w:val="24"/>
      <w:szCs w:val="24"/>
      <w:lang w:val="lv-LV" w:eastAsia="ar-SA" w:bidi="ar-SA"/>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righ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lab">
    <w:name w:val="naislab"/>
    <w:basedOn w:val="Normal"/>
    <w:pPr>
      <w:spacing w:before="280" w:after="280"/>
    </w:pPr>
  </w:style>
  <w:style w:type="paragraph" w:customStyle="1" w:styleId="naisc">
    <w:name w:val="naisc"/>
    <w:basedOn w:val="Normal"/>
    <w:pPr>
      <w:spacing w:before="280" w:after="280"/>
    </w:pPr>
  </w:style>
  <w:style w:type="paragraph" w:customStyle="1" w:styleId="naisnod">
    <w:name w:val="naisnod"/>
    <w:basedOn w:val="Normal"/>
    <w:pPr>
      <w:spacing w:before="280" w:after="280"/>
    </w:pPr>
  </w:style>
  <w:style w:type="paragraph" w:customStyle="1" w:styleId="naiskr">
    <w:name w:val="naiskr"/>
    <w:basedOn w:val="Normal"/>
    <w:pPr>
      <w:spacing w:before="280" w:after="280"/>
    </w:pPr>
  </w:style>
  <w:style w:type="paragraph" w:customStyle="1" w:styleId="naisf">
    <w:name w:val="naisf"/>
    <w:basedOn w:val="Normal"/>
    <w:uiPriority w:val="99"/>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Cs w:val="20"/>
      <w:lang w:val="en-GB"/>
    </w:rPr>
  </w:style>
  <w:style w:type="paragraph" w:styleId="PlainText">
    <w:name w:val="Plain Text"/>
    <w:basedOn w:val="Normal"/>
    <w:rPr>
      <w:rFonts w:ascii="Consolas" w:eastAsia="Calibri" w:hAnsi="Consolas"/>
      <w:sz w:val="21"/>
      <w:szCs w:val="21"/>
    </w:rPr>
  </w:style>
  <w:style w:type="paragraph" w:customStyle="1" w:styleId="CharCharChar">
    <w:name w:val="Char Char Char"/>
    <w:basedOn w:val="Normal"/>
    <w:next w:val="BlockText"/>
    <w:pPr>
      <w:widowControl w:val="0"/>
      <w:spacing w:before="120" w:after="160" w:line="240" w:lineRule="exact"/>
      <w:ind w:firstLine="720"/>
      <w:jc w:val="both"/>
      <w:textAlignment w:val="baseline"/>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basedOn w:val="DefaultParagraphFont"/>
    <w:rsid w:val="00002537"/>
    <w:rPr>
      <w:rFonts w:cs="Times New Roman"/>
      <w:color w:val="0000FF"/>
      <w:u w:val="single"/>
    </w:rPr>
  </w:style>
  <w:style w:type="character" w:customStyle="1" w:styleId="HeaderChar">
    <w:name w:val="Header Char"/>
    <w:basedOn w:val="DefaultParagraphFont"/>
    <w:link w:val="Header"/>
    <w:uiPriority w:val="99"/>
    <w:rsid w:val="009023EB"/>
    <w:rPr>
      <w:sz w:val="24"/>
      <w:szCs w:val="24"/>
      <w:lang w:eastAsia="ar-SA"/>
    </w:rPr>
  </w:style>
  <w:style w:type="paragraph" w:customStyle="1" w:styleId="RakstzCharChar">
    <w:name w:val="Rakstz. Char Char"/>
    <w:basedOn w:val="Normal"/>
    <w:rsid w:val="00D922DF"/>
    <w:pPr>
      <w:suppressAutoHyphens w:val="0"/>
      <w:spacing w:before="40"/>
    </w:pPr>
    <w:rPr>
      <w:lang w:val="pl-PL" w:eastAsia="pl-PL"/>
    </w:rPr>
  </w:style>
  <w:style w:type="paragraph" w:customStyle="1" w:styleId="tv213">
    <w:name w:val="tv213"/>
    <w:basedOn w:val="Normal"/>
    <w:rsid w:val="00D922DF"/>
    <w:pPr>
      <w:suppressAutoHyphens w:val="0"/>
      <w:spacing w:before="100" w:beforeAutospacing="1" w:after="100" w:afterAutospacing="1"/>
    </w:pPr>
    <w:rPr>
      <w:lang w:eastAsia="lv-LV"/>
    </w:rPr>
  </w:style>
  <w:style w:type="paragraph" w:customStyle="1" w:styleId="tv2131">
    <w:name w:val="tv2131"/>
    <w:basedOn w:val="Normal"/>
    <w:rsid w:val="00DC7590"/>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1A02A7"/>
    <w:rPr>
      <w:rFonts w:ascii="Tahoma" w:hAnsi="Tahoma" w:cs="Tahoma"/>
      <w:sz w:val="16"/>
      <w:szCs w:val="16"/>
    </w:rPr>
  </w:style>
  <w:style w:type="character" w:customStyle="1" w:styleId="BalloonTextChar">
    <w:name w:val="Balloon Text Char"/>
    <w:basedOn w:val="DefaultParagraphFont"/>
    <w:link w:val="BalloonText"/>
    <w:uiPriority w:val="99"/>
    <w:semiHidden/>
    <w:rsid w:val="001A02A7"/>
    <w:rPr>
      <w:rFonts w:ascii="Tahoma" w:hAnsi="Tahoma" w:cs="Tahoma"/>
      <w:sz w:val="16"/>
      <w:szCs w:val="16"/>
      <w:lang w:eastAsia="ar-SA"/>
    </w:rPr>
  </w:style>
  <w:style w:type="paragraph" w:customStyle="1" w:styleId="StyleRight">
    <w:name w:val="Style Right"/>
    <w:basedOn w:val="Normal"/>
    <w:rsid w:val="00A31BCB"/>
    <w:pPr>
      <w:suppressAutoHyphens w:val="0"/>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jc w:val="center"/>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CharChar">
    <w:name w:val="Char Char"/>
    <w:basedOn w:val="DefaultParagraphFont"/>
    <w:rPr>
      <w:sz w:val="24"/>
      <w:szCs w:val="24"/>
      <w:lang w:val="lv-LV" w:eastAsia="ar-SA" w:bidi="ar-SA"/>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righ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lab">
    <w:name w:val="naislab"/>
    <w:basedOn w:val="Normal"/>
    <w:pPr>
      <w:spacing w:before="280" w:after="280"/>
    </w:pPr>
  </w:style>
  <w:style w:type="paragraph" w:customStyle="1" w:styleId="naisc">
    <w:name w:val="naisc"/>
    <w:basedOn w:val="Normal"/>
    <w:pPr>
      <w:spacing w:before="280" w:after="280"/>
    </w:pPr>
  </w:style>
  <w:style w:type="paragraph" w:customStyle="1" w:styleId="naisnod">
    <w:name w:val="naisnod"/>
    <w:basedOn w:val="Normal"/>
    <w:pPr>
      <w:spacing w:before="280" w:after="280"/>
    </w:pPr>
  </w:style>
  <w:style w:type="paragraph" w:customStyle="1" w:styleId="naiskr">
    <w:name w:val="naiskr"/>
    <w:basedOn w:val="Normal"/>
    <w:pPr>
      <w:spacing w:before="280" w:after="280"/>
    </w:pPr>
  </w:style>
  <w:style w:type="paragraph" w:customStyle="1" w:styleId="naisf">
    <w:name w:val="naisf"/>
    <w:basedOn w:val="Normal"/>
    <w:uiPriority w:val="99"/>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Cs w:val="20"/>
      <w:lang w:val="en-GB"/>
    </w:rPr>
  </w:style>
  <w:style w:type="paragraph" w:styleId="PlainText">
    <w:name w:val="Plain Text"/>
    <w:basedOn w:val="Normal"/>
    <w:rPr>
      <w:rFonts w:ascii="Consolas" w:eastAsia="Calibri" w:hAnsi="Consolas"/>
      <w:sz w:val="21"/>
      <w:szCs w:val="21"/>
    </w:rPr>
  </w:style>
  <w:style w:type="paragraph" w:customStyle="1" w:styleId="CharCharChar">
    <w:name w:val="Char Char Char"/>
    <w:basedOn w:val="Normal"/>
    <w:next w:val="BlockText"/>
    <w:pPr>
      <w:widowControl w:val="0"/>
      <w:spacing w:before="120" w:after="160" w:line="240" w:lineRule="exact"/>
      <w:ind w:firstLine="720"/>
      <w:jc w:val="both"/>
      <w:textAlignment w:val="baseline"/>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basedOn w:val="DefaultParagraphFont"/>
    <w:rsid w:val="00002537"/>
    <w:rPr>
      <w:rFonts w:cs="Times New Roman"/>
      <w:color w:val="0000FF"/>
      <w:u w:val="single"/>
    </w:rPr>
  </w:style>
  <w:style w:type="character" w:customStyle="1" w:styleId="HeaderChar">
    <w:name w:val="Header Char"/>
    <w:basedOn w:val="DefaultParagraphFont"/>
    <w:link w:val="Header"/>
    <w:uiPriority w:val="99"/>
    <w:rsid w:val="009023EB"/>
    <w:rPr>
      <w:sz w:val="24"/>
      <w:szCs w:val="24"/>
      <w:lang w:eastAsia="ar-SA"/>
    </w:rPr>
  </w:style>
  <w:style w:type="paragraph" w:customStyle="1" w:styleId="RakstzCharChar">
    <w:name w:val="Rakstz. Char Char"/>
    <w:basedOn w:val="Normal"/>
    <w:rsid w:val="00D922DF"/>
    <w:pPr>
      <w:suppressAutoHyphens w:val="0"/>
      <w:spacing w:before="40"/>
    </w:pPr>
    <w:rPr>
      <w:lang w:val="pl-PL" w:eastAsia="pl-PL"/>
    </w:rPr>
  </w:style>
  <w:style w:type="paragraph" w:customStyle="1" w:styleId="tv213">
    <w:name w:val="tv213"/>
    <w:basedOn w:val="Normal"/>
    <w:rsid w:val="00D922DF"/>
    <w:pPr>
      <w:suppressAutoHyphens w:val="0"/>
      <w:spacing w:before="100" w:beforeAutospacing="1" w:after="100" w:afterAutospacing="1"/>
    </w:pPr>
    <w:rPr>
      <w:lang w:eastAsia="lv-LV"/>
    </w:rPr>
  </w:style>
  <w:style w:type="paragraph" w:customStyle="1" w:styleId="tv2131">
    <w:name w:val="tv2131"/>
    <w:basedOn w:val="Normal"/>
    <w:rsid w:val="00DC7590"/>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1A02A7"/>
    <w:rPr>
      <w:rFonts w:ascii="Tahoma" w:hAnsi="Tahoma" w:cs="Tahoma"/>
      <w:sz w:val="16"/>
      <w:szCs w:val="16"/>
    </w:rPr>
  </w:style>
  <w:style w:type="character" w:customStyle="1" w:styleId="BalloonTextChar">
    <w:name w:val="Balloon Text Char"/>
    <w:basedOn w:val="DefaultParagraphFont"/>
    <w:link w:val="BalloonText"/>
    <w:uiPriority w:val="99"/>
    <w:semiHidden/>
    <w:rsid w:val="001A02A7"/>
    <w:rPr>
      <w:rFonts w:ascii="Tahoma" w:hAnsi="Tahoma" w:cs="Tahoma"/>
      <w:sz w:val="16"/>
      <w:szCs w:val="16"/>
      <w:lang w:eastAsia="ar-SA"/>
    </w:rPr>
  </w:style>
  <w:style w:type="paragraph" w:customStyle="1" w:styleId="StyleRight">
    <w:name w:val="Style Right"/>
    <w:basedOn w:val="Normal"/>
    <w:rsid w:val="00A31BCB"/>
    <w:pPr>
      <w:suppressAutoHyphens w:val="0"/>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5934">
      <w:bodyDiv w:val="1"/>
      <w:marLeft w:val="0"/>
      <w:marRight w:val="0"/>
      <w:marTop w:val="0"/>
      <w:marBottom w:val="0"/>
      <w:divBdr>
        <w:top w:val="none" w:sz="0" w:space="0" w:color="auto"/>
        <w:left w:val="none" w:sz="0" w:space="0" w:color="auto"/>
        <w:bottom w:val="none" w:sz="0" w:space="0" w:color="auto"/>
        <w:right w:val="none" w:sz="0" w:space="0" w:color="auto"/>
      </w:divBdr>
    </w:div>
    <w:div w:id="1110390554">
      <w:bodyDiv w:val="1"/>
      <w:marLeft w:val="0"/>
      <w:marRight w:val="0"/>
      <w:marTop w:val="0"/>
      <w:marBottom w:val="0"/>
      <w:divBdr>
        <w:top w:val="none" w:sz="0" w:space="0" w:color="auto"/>
        <w:left w:val="none" w:sz="0" w:space="0" w:color="auto"/>
        <w:bottom w:val="none" w:sz="0" w:space="0" w:color="auto"/>
        <w:right w:val="none" w:sz="0" w:space="0" w:color="auto"/>
      </w:divBdr>
      <w:divsChild>
        <w:div w:id="891430513">
          <w:marLeft w:val="0"/>
          <w:marRight w:val="0"/>
          <w:marTop w:val="0"/>
          <w:marBottom w:val="0"/>
          <w:divBdr>
            <w:top w:val="none" w:sz="0" w:space="0" w:color="auto"/>
            <w:left w:val="none" w:sz="0" w:space="0" w:color="auto"/>
            <w:bottom w:val="none" w:sz="0" w:space="0" w:color="auto"/>
            <w:right w:val="none" w:sz="0" w:space="0" w:color="auto"/>
          </w:divBdr>
          <w:divsChild>
            <w:div w:id="647562765">
              <w:marLeft w:val="0"/>
              <w:marRight w:val="0"/>
              <w:marTop w:val="0"/>
              <w:marBottom w:val="0"/>
              <w:divBdr>
                <w:top w:val="none" w:sz="0" w:space="0" w:color="auto"/>
                <w:left w:val="none" w:sz="0" w:space="0" w:color="auto"/>
                <w:bottom w:val="none" w:sz="0" w:space="0" w:color="auto"/>
                <w:right w:val="none" w:sz="0" w:space="0" w:color="auto"/>
              </w:divBdr>
              <w:divsChild>
                <w:div w:id="140537117">
                  <w:marLeft w:val="0"/>
                  <w:marRight w:val="0"/>
                  <w:marTop w:val="0"/>
                  <w:marBottom w:val="0"/>
                  <w:divBdr>
                    <w:top w:val="none" w:sz="0" w:space="0" w:color="auto"/>
                    <w:left w:val="none" w:sz="0" w:space="0" w:color="auto"/>
                    <w:bottom w:val="none" w:sz="0" w:space="0" w:color="auto"/>
                    <w:right w:val="none" w:sz="0" w:space="0" w:color="auto"/>
                  </w:divBdr>
                  <w:divsChild>
                    <w:div w:id="1791241072">
                      <w:marLeft w:val="0"/>
                      <w:marRight w:val="0"/>
                      <w:marTop w:val="0"/>
                      <w:marBottom w:val="0"/>
                      <w:divBdr>
                        <w:top w:val="none" w:sz="0" w:space="0" w:color="auto"/>
                        <w:left w:val="none" w:sz="0" w:space="0" w:color="auto"/>
                        <w:bottom w:val="none" w:sz="0" w:space="0" w:color="auto"/>
                        <w:right w:val="none" w:sz="0" w:space="0" w:color="auto"/>
                      </w:divBdr>
                      <w:divsChild>
                        <w:div w:id="1147819992">
                          <w:marLeft w:val="0"/>
                          <w:marRight w:val="0"/>
                          <w:marTop w:val="0"/>
                          <w:marBottom w:val="0"/>
                          <w:divBdr>
                            <w:top w:val="none" w:sz="0" w:space="0" w:color="auto"/>
                            <w:left w:val="none" w:sz="0" w:space="0" w:color="auto"/>
                            <w:bottom w:val="none" w:sz="0" w:space="0" w:color="auto"/>
                            <w:right w:val="none" w:sz="0" w:space="0" w:color="auto"/>
                          </w:divBdr>
                          <w:divsChild>
                            <w:div w:id="2106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4186">
      <w:bodyDiv w:val="1"/>
      <w:marLeft w:val="0"/>
      <w:marRight w:val="0"/>
      <w:marTop w:val="0"/>
      <w:marBottom w:val="0"/>
      <w:divBdr>
        <w:top w:val="none" w:sz="0" w:space="0" w:color="auto"/>
        <w:left w:val="none" w:sz="0" w:space="0" w:color="auto"/>
        <w:bottom w:val="none" w:sz="0" w:space="0" w:color="auto"/>
        <w:right w:val="none" w:sz="0" w:space="0" w:color="auto"/>
      </w:divBdr>
      <w:divsChild>
        <w:div w:id="1625772386">
          <w:marLeft w:val="0"/>
          <w:marRight w:val="0"/>
          <w:marTop w:val="0"/>
          <w:marBottom w:val="0"/>
          <w:divBdr>
            <w:top w:val="none" w:sz="0" w:space="0" w:color="auto"/>
            <w:left w:val="none" w:sz="0" w:space="0" w:color="auto"/>
            <w:bottom w:val="none" w:sz="0" w:space="0" w:color="auto"/>
            <w:right w:val="none" w:sz="0" w:space="0" w:color="auto"/>
          </w:divBdr>
          <w:divsChild>
            <w:div w:id="1677271919">
              <w:marLeft w:val="0"/>
              <w:marRight w:val="0"/>
              <w:marTop w:val="0"/>
              <w:marBottom w:val="0"/>
              <w:divBdr>
                <w:top w:val="none" w:sz="0" w:space="0" w:color="auto"/>
                <w:left w:val="none" w:sz="0" w:space="0" w:color="auto"/>
                <w:bottom w:val="none" w:sz="0" w:space="0" w:color="auto"/>
                <w:right w:val="none" w:sz="0" w:space="0" w:color="auto"/>
              </w:divBdr>
              <w:divsChild>
                <w:div w:id="326903760">
                  <w:marLeft w:val="0"/>
                  <w:marRight w:val="0"/>
                  <w:marTop w:val="0"/>
                  <w:marBottom w:val="0"/>
                  <w:divBdr>
                    <w:top w:val="none" w:sz="0" w:space="0" w:color="auto"/>
                    <w:left w:val="none" w:sz="0" w:space="0" w:color="auto"/>
                    <w:bottom w:val="none" w:sz="0" w:space="0" w:color="auto"/>
                    <w:right w:val="none" w:sz="0" w:space="0" w:color="auto"/>
                  </w:divBdr>
                  <w:divsChild>
                    <w:div w:id="269778666">
                      <w:marLeft w:val="0"/>
                      <w:marRight w:val="0"/>
                      <w:marTop w:val="0"/>
                      <w:marBottom w:val="0"/>
                      <w:divBdr>
                        <w:top w:val="none" w:sz="0" w:space="0" w:color="auto"/>
                        <w:left w:val="none" w:sz="0" w:space="0" w:color="auto"/>
                        <w:bottom w:val="none" w:sz="0" w:space="0" w:color="auto"/>
                        <w:right w:val="none" w:sz="0" w:space="0" w:color="auto"/>
                      </w:divBdr>
                      <w:divsChild>
                        <w:div w:id="1928879367">
                          <w:marLeft w:val="0"/>
                          <w:marRight w:val="0"/>
                          <w:marTop w:val="0"/>
                          <w:marBottom w:val="0"/>
                          <w:divBdr>
                            <w:top w:val="none" w:sz="0" w:space="0" w:color="auto"/>
                            <w:left w:val="none" w:sz="0" w:space="0" w:color="auto"/>
                            <w:bottom w:val="none" w:sz="0" w:space="0" w:color="auto"/>
                            <w:right w:val="none" w:sz="0" w:space="0" w:color="auto"/>
                          </w:divBdr>
                          <w:divsChild>
                            <w:div w:id="11464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5037">
      <w:bodyDiv w:val="1"/>
      <w:marLeft w:val="0"/>
      <w:marRight w:val="0"/>
      <w:marTop w:val="0"/>
      <w:marBottom w:val="0"/>
      <w:divBdr>
        <w:top w:val="none" w:sz="0" w:space="0" w:color="auto"/>
        <w:left w:val="none" w:sz="0" w:space="0" w:color="auto"/>
        <w:bottom w:val="none" w:sz="0" w:space="0" w:color="auto"/>
        <w:right w:val="none" w:sz="0" w:space="0" w:color="auto"/>
      </w:divBdr>
      <w:divsChild>
        <w:div w:id="1171726027">
          <w:marLeft w:val="0"/>
          <w:marRight w:val="0"/>
          <w:marTop w:val="0"/>
          <w:marBottom w:val="0"/>
          <w:divBdr>
            <w:top w:val="none" w:sz="0" w:space="0" w:color="auto"/>
            <w:left w:val="none" w:sz="0" w:space="0" w:color="auto"/>
            <w:bottom w:val="none" w:sz="0" w:space="0" w:color="auto"/>
            <w:right w:val="none" w:sz="0" w:space="0" w:color="auto"/>
          </w:divBdr>
          <w:divsChild>
            <w:div w:id="1655601663">
              <w:marLeft w:val="0"/>
              <w:marRight w:val="0"/>
              <w:marTop w:val="0"/>
              <w:marBottom w:val="0"/>
              <w:divBdr>
                <w:top w:val="none" w:sz="0" w:space="0" w:color="auto"/>
                <w:left w:val="none" w:sz="0" w:space="0" w:color="auto"/>
                <w:bottom w:val="none" w:sz="0" w:space="0" w:color="auto"/>
                <w:right w:val="none" w:sz="0" w:space="0" w:color="auto"/>
              </w:divBdr>
              <w:divsChild>
                <w:div w:id="1440178682">
                  <w:marLeft w:val="0"/>
                  <w:marRight w:val="0"/>
                  <w:marTop w:val="0"/>
                  <w:marBottom w:val="0"/>
                  <w:divBdr>
                    <w:top w:val="none" w:sz="0" w:space="0" w:color="auto"/>
                    <w:left w:val="none" w:sz="0" w:space="0" w:color="auto"/>
                    <w:bottom w:val="none" w:sz="0" w:space="0" w:color="auto"/>
                    <w:right w:val="none" w:sz="0" w:space="0" w:color="auto"/>
                  </w:divBdr>
                  <w:divsChild>
                    <w:div w:id="201864848">
                      <w:marLeft w:val="0"/>
                      <w:marRight w:val="0"/>
                      <w:marTop w:val="0"/>
                      <w:marBottom w:val="0"/>
                      <w:divBdr>
                        <w:top w:val="none" w:sz="0" w:space="0" w:color="auto"/>
                        <w:left w:val="none" w:sz="0" w:space="0" w:color="auto"/>
                        <w:bottom w:val="none" w:sz="0" w:space="0" w:color="auto"/>
                        <w:right w:val="none" w:sz="0" w:space="0" w:color="auto"/>
                      </w:divBdr>
                      <w:divsChild>
                        <w:div w:id="436558204">
                          <w:marLeft w:val="0"/>
                          <w:marRight w:val="0"/>
                          <w:marTop w:val="0"/>
                          <w:marBottom w:val="0"/>
                          <w:divBdr>
                            <w:top w:val="none" w:sz="0" w:space="0" w:color="auto"/>
                            <w:left w:val="none" w:sz="0" w:space="0" w:color="auto"/>
                            <w:bottom w:val="none" w:sz="0" w:space="0" w:color="auto"/>
                            <w:right w:val="none" w:sz="0" w:space="0" w:color="auto"/>
                          </w:divBdr>
                          <w:divsChild>
                            <w:div w:id="680081702">
                              <w:marLeft w:val="0"/>
                              <w:marRight w:val="0"/>
                              <w:marTop w:val="0"/>
                              <w:marBottom w:val="0"/>
                              <w:divBdr>
                                <w:top w:val="none" w:sz="0" w:space="0" w:color="auto"/>
                                <w:left w:val="none" w:sz="0" w:space="0" w:color="auto"/>
                                <w:bottom w:val="none" w:sz="0" w:space="0" w:color="auto"/>
                                <w:right w:val="none" w:sz="0" w:space="0" w:color="auto"/>
                              </w:divBdr>
                              <w:divsChild>
                                <w:div w:id="429619450">
                                  <w:marLeft w:val="0"/>
                                  <w:marRight w:val="0"/>
                                  <w:marTop w:val="0"/>
                                  <w:marBottom w:val="0"/>
                                  <w:divBdr>
                                    <w:top w:val="none" w:sz="0" w:space="0" w:color="auto"/>
                                    <w:left w:val="none" w:sz="0" w:space="0" w:color="auto"/>
                                    <w:bottom w:val="none" w:sz="0" w:space="0" w:color="auto"/>
                                    <w:right w:val="none" w:sz="0" w:space="0" w:color="auto"/>
                                  </w:divBdr>
                                </w:div>
                              </w:divsChild>
                            </w:div>
                            <w:div w:id="20234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451710">
      <w:bodyDiv w:val="1"/>
      <w:marLeft w:val="0"/>
      <w:marRight w:val="0"/>
      <w:marTop w:val="0"/>
      <w:marBottom w:val="0"/>
      <w:divBdr>
        <w:top w:val="none" w:sz="0" w:space="0" w:color="auto"/>
        <w:left w:val="none" w:sz="0" w:space="0" w:color="auto"/>
        <w:bottom w:val="none" w:sz="0" w:space="0" w:color="auto"/>
        <w:right w:val="none" w:sz="0" w:space="0" w:color="auto"/>
      </w:divBdr>
      <w:divsChild>
        <w:div w:id="262808207">
          <w:marLeft w:val="0"/>
          <w:marRight w:val="0"/>
          <w:marTop w:val="0"/>
          <w:marBottom w:val="0"/>
          <w:divBdr>
            <w:top w:val="none" w:sz="0" w:space="0" w:color="auto"/>
            <w:left w:val="none" w:sz="0" w:space="0" w:color="auto"/>
            <w:bottom w:val="none" w:sz="0" w:space="0" w:color="auto"/>
            <w:right w:val="none" w:sz="0" w:space="0" w:color="auto"/>
          </w:divBdr>
          <w:divsChild>
            <w:div w:id="413554501">
              <w:marLeft w:val="0"/>
              <w:marRight w:val="0"/>
              <w:marTop w:val="0"/>
              <w:marBottom w:val="0"/>
              <w:divBdr>
                <w:top w:val="none" w:sz="0" w:space="0" w:color="auto"/>
                <w:left w:val="none" w:sz="0" w:space="0" w:color="auto"/>
                <w:bottom w:val="none" w:sz="0" w:space="0" w:color="auto"/>
                <w:right w:val="none" w:sz="0" w:space="0" w:color="auto"/>
              </w:divBdr>
              <w:divsChild>
                <w:div w:id="981890073">
                  <w:marLeft w:val="0"/>
                  <w:marRight w:val="0"/>
                  <w:marTop w:val="0"/>
                  <w:marBottom w:val="0"/>
                  <w:divBdr>
                    <w:top w:val="none" w:sz="0" w:space="0" w:color="auto"/>
                    <w:left w:val="none" w:sz="0" w:space="0" w:color="auto"/>
                    <w:bottom w:val="none" w:sz="0" w:space="0" w:color="auto"/>
                    <w:right w:val="none" w:sz="0" w:space="0" w:color="auto"/>
                  </w:divBdr>
                  <w:divsChild>
                    <w:div w:id="1428647468">
                      <w:marLeft w:val="0"/>
                      <w:marRight w:val="0"/>
                      <w:marTop w:val="0"/>
                      <w:marBottom w:val="0"/>
                      <w:divBdr>
                        <w:top w:val="none" w:sz="0" w:space="0" w:color="auto"/>
                        <w:left w:val="none" w:sz="0" w:space="0" w:color="auto"/>
                        <w:bottom w:val="none" w:sz="0" w:space="0" w:color="auto"/>
                        <w:right w:val="none" w:sz="0" w:space="0" w:color="auto"/>
                      </w:divBdr>
                      <w:divsChild>
                        <w:div w:id="283195964">
                          <w:marLeft w:val="0"/>
                          <w:marRight w:val="0"/>
                          <w:marTop w:val="0"/>
                          <w:marBottom w:val="0"/>
                          <w:divBdr>
                            <w:top w:val="none" w:sz="0" w:space="0" w:color="auto"/>
                            <w:left w:val="none" w:sz="0" w:space="0" w:color="auto"/>
                            <w:bottom w:val="none" w:sz="0" w:space="0" w:color="auto"/>
                            <w:right w:val="none" w:sz="0" w:space="0" w:color="auto"/>
                          </w:divBdr>
                          <w:divsChild>
                            <w:div w:id="1252664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dezda.lazukova@iem.gov.lv" TargetMode="External"/><Relationship Id="rId4" Type="http://schemas.microsoft.com/office/2007/relationships/stylesWithEffects" Target="stylesWithEffect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7294-D832-4331-81DC-01A3DE38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6810</Words>
  <Characters>3883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MK noteikumu projekta "Grozījumi MK 2008. gada 19.maija Noteikumos Nr.338</vt:lpstr>
    </vt:vector>
  </TitlesOfParts>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MK 2008. gada 19.maija Noteikumos Nr.338</dc:title>
  <dc:subject>MK noteikumu projekta  anotācija</dc:subject>
  <dc:creator>D.Piebalga</dc:creator>
  <cp:lastModifiedBy>Nadežda Lazukova</cp:lastModifiedBy>
  <cp:revision>5</cp:revision>
  <cp:lastPrinted>2014-04-23T09:16:00Z</cp:lastPrinted>
  <dcterms:created xsi:type="dcterms:W3CDTF">2014-04-15T06:39:00Z</dcterms:created>
  <dcterms:modified xsi:type="dcterms:W3CDTF">2014-04-23T09:22:00Z</dcterms:modified>
</cp:coreProperties>
</file>