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ED0" w:rsidRPr="00A00B5C" w:rsidRDefault="000E7ED0" w:rsidP="000E7ED0">
      <w:pPr>
        <w:jc w:val="center"/>
        <w:rPr>
          <w:b/>
          <w:sz w:val="24"/>
          <w:szCs w:val="24"/>
        </w:rPr>
      </w:pPr>
      <w:r w:rsidRPr="00A00B5C">
        <w:rPr>
          <w:b/>
          <w:sz w:val="24"/>
          <w:szCs w:val="24"/>
        </w:rPr>
        <w:t>Likumprojekta „Iekšējās drošības biroja likums”</w:t>
      </w:r>
    </w:p>
    <w:p w:rsidR="000E7ED0" w:rsidRPr="00A00B5C" w:rsidRDefault="000E7ED0" w:rsidP="000E7ED0">
      <w:pPr>
        <w:jc w:val="center"/>
        <w:rPr>
          <w:b/>
          <w:sz w:val="24"/>
          <w:szCs w:val="24"/>
        </w:rPr>
      </w:pPr>
      <w:r w:rsidRPr="00A00B5C">
        <w:rPr>
          <w:b/>
          <w:sz w:val="24"/>
          <w:szCs w:val="24"/>
        </w:rPr>
        <w:t>sākotnējās ietekmes novērtējuma ziņojums (anotācija)</w:t>
      </w:r>
    </w:p>
    <w:p w:rsidR="00862D0F" w:rsidRDefault="00862D0F"/>
    <w:tbl>
      <w:tblPr>
        <w:tblW w:w="5401"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3"/>
        <w:gridCol w:w="1747"/>
        <w:gridCol w:w="7121"/>
      </w:tblGrid>
      <w:tr w:rsidR="00862D0F" w:rsidRPr="00862D0F" w:rsidTr="006020DB">
        <w:trPr>
          <w:trHeight w:val="405"/>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862D0F" w:rsidRPr="00862D0F" w:rsidRDefault="00862D0F" w:rsidP="00862D0F">
            <w:pPr>
              <w:spacing w:before="100" w:beforeAutospacing="1" w:after="100" w:afterAutospacing="1"/>
              <w:ind w:firstLine="0"/>
              <w:jc w:val="center"/>
              <w:rPr>
                <w:rFonts w:eastAsia="Times New Roman" w:cs="Times New Roman"/>
                <w:b/>
                <w:bCs/>
                <w:sz w:val="24"/>
                <w:szCs w:val="24"/>
                <w:lang w:eastAsia="lv-LV"/>
              </w:rPr>
            </w:pPr>
            <w:r w:rsidRPr="00862D0F">
              <w:rPr>
                <w:rFonts w:eastAsia="Times New Roman" w:cs="Times New Roman"/>
                <w:b/>
                <w:bCs/>
                <w:sz w:val="24"/>
                <w:szCs w:val="24"/>
                <w:lang w:eastAsia="lv-LV"/>
              </w:rPr>
              <w:t>I. Tiesību akta projekta izstrādes nepieciešamība</w:t>
            </w:r>
          </w:p>
        </w:tc>
      </w:tr>
      <w:tr w:rsidR="00862D0F" w:rsidRPr="00862D0F" w:rsidTr="006020DB">
        <w:trPr>
          <w:trHeight w:val="405"/>
          <w:tblCellSpacing w:w="15" w:type="dxa"/>
        </w:trPr>
        <w:tc>
          <w:tcPr>
            <w:tcW w:w="447"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spacing w:before="100" w:beforeAutospacing="1" w:after="100" w:afterAutospacing="1"/>
              <w:ind w:firstLine="0"/>
              <w:jc w:val="center"/>
              <w:rPr>
                <w:rFonts w:eastAsia="Times New Roman" w:cs="Times New Roman"/>
                <w:sz w:val="24"/>
                <w:szCs w:val="24"/>
                <w:lang w:eastAsia="lv-LV"/>
              </w:rPr>
            </w:pPr>
            <w:r w:rsidRPr="00862D0F">
              <w:rPr>
                <w:rFonts w:eastAsia="Times New Roman" w:cs="Times New Roman"/>
                <w:sz w:val="24"/>
                <w:szCs w:val="24"/>
                <w:lang w:eastAsia="lv-LV"/>
              </w:rPr>
              <w:t>1.</w:t>
            </w:r>
          </w:p>
        </w:tc>
        <w:tc>
          <w:tcPr>
            <w:tcW w:w="883"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Pamatojums</w:t>
            </w:r>
          </w:p>
        </w:tc>
        <w:tc>
          <w:tcPr>
            <w:tcW w:w="3608" w:type="pct"/>
            <w:tcBorders>
              <w:top w:val="outset" w:sz="6" w:space="0" w:color="auto"/>
              <w:left w:val="outset" w:sz="6" w:space="0" w:color="auto"/>
              <w:bottom w:val="outset" w:sz="6" w:space="0" w:color="auto"/>
              <w:right w:val="outset" w:sz="6" w:space="0" w:color="auto"/>
            </w:tcBorders>
            <w:hideMark/>
          </w:tcPr>
          <w:p w:rsidR="000E7ED0" w:rsidRPr="00921B07" w:rsidRDefault="000E7ED0" w:rsidP="000E7ED0">
            <w:pPr>
              <w:shd w:val="clear" w:color="auto" w:fill="FFFFFF"/>
              <w:ind w:right="57" w:firstLine="388"/>
              <w:outlineLvl w:val="2"/>
              <w:rPr>
                <w:rFonts w:eastAsia="Times New Roman" w:cs="Times New Roman"/>
                <w:bCs/>
                <w:sz w:val="24"/>
                <w:szCs w:val="24"/>
                <w:lang w:eastAsia="lv-LV"/>
              </w:rPr>
            </w:pPr>
            <w:r w:rsidRPr="00921B07">
              <w:rPr>
                <w:rFonts w:eastAsia="Times New Roman" w:cs="Times New Roman"/>
                <w:bCs/>
                <w:sz w:val="24"/>
                <w:szCs w:val="24"/>
                <w:lang w:eastAsia="lv-LV"/>
              </w:rPr>
              <w:t xml:space="preserve">Saskaņā ar Ministru kabineta </w:t>
            </w:r>
            <w:proofErr w:type="gramStart"/>
            <w:r w:rsidRPr="00921B07">
              <w:rPr>
                <w:rFonts w:eastAsia="Times New Roman" w:cs="Times New Roman"/>
                <w:bCs/>
                <w:sz w:val="24"/>
                <w:szCs w:val="24"/>
                <w:lang w:eastAsia="lv-LV"/>
              </w:rPr>
              <w:t>2012.gada</w:t>
            </w:r>
            <w:proofErr w:type="gramEnd"/>
            <w:r w:rsidRPr="00921B07">
              <w:rPr>
                <w:rFonts w:eastAsia="Times New Roman" w:cs="Times New Roman"/>
                <w:bCs/>
                <w:sz w:val="24"/>
                <w:szCs w:val="24"/>
                <w:lang w:eastAsia="lv-LV"/>
              </w:rPr>
              <w:t xml:space="preserve"> 10.janvāra sēdes protokola Nr.2 45.§ „Informatīvais ziņojums „Par priekšlikumiem efektīva mehānisma nodrošināšanai to amatpersonu iespējamo pārkāpumu noskaidrošanai un saukšanai pie atbildības, kuras veic izmeklēšanas darbības”” 5.punktu Iekšlietu ministrijai bija nepieciešams sagatavot un noteiktā kārtībā iesniegt izskatīšanai Ministru kabinetā tiesību aktu projektus par grozījumiem normatīvajā regulējumā, kas nodrošinātu Valsts policijas Iekšējās drošības biroja atdalīšanu no Valsts policijas, nododot to iekšlietu ministra pārraudzībā.</w:t>
            </w:r>
          </w:p>
          <w:p w:rsidR="000E7ED0" w:rsidRDefault="000E7ED0" w:rsidP="000E7ED0">
            <w:pPr>
              <w:shd w:val="clear" w:color="auto" w:fill="FFFFFF"/>
              <w:ind w:right="57" w:firstLine="388"/>
              <w:outlineLvl w:val="2"/>
              <w:rPr>
                <w:rFonts w:eastAsia="Times New Roman" w:cs="Times New Roman"/>
                <w:bCs/>
                <w:sz w:val="24"/>
                <w:szCs w:val="24"/>
                <w:lang w:eastAsia="lv-LV"/>
              </w:rPr>
            </w:pPr>
            <w:r w:rsidRPr="00921B07">
              <w:rPr>
                <w:rFonts w:eastAsia="Times New Roman" w:cs="Times New Roman"/>
                <w:bCs/>
                <w:sz w:val="24"/>
                <w:szCs w:val="24"/>
                <w:lang w:eastAsia="lv-LV"/>
              </w:rPr>
              <w:t xml:space="preserve">Lai nodrošinātu minētā uzdevuma izpildi, Iekšlietu ministrija izstrādāja koncepcijas projektu par Valsts policijas Iekšējās drošības biroja pārveidošanas par iekšlietu ministra pārraudzībā esošu institūciju risinājumiem (turpmāk – koncepcija), kas tika izskatīts Ministru kabineta </w:t>
            </w:r>
            <w:proofErr w:type="gramStart"/>
            <w:r w:rsidRPr="00921B07">
              <w:rPr>
                <w:rFonts w:eastAsia="Times New Roman" w:cs="Times New Roman"/>
                <w:bCs/>
                <w:sz w:val="24"/>
                <w:szCs w:val="24"/>
                <w:lang w:eastAsia="lv-LV"/>
              </w:rPr>
              <w:t>2013.gada</w:t>
            </w:r>
            <w:proofErr w:type="gramEnd"/>
            <w:r w:rsidRPr="00921B07">
              <w:rPr>
                <w:rFonts w:eastAsia="Times New Roman" w:cs="Times New Roman"/>
                <w:bCs/>
                <w:sz w:val="24"/>
                <w:szCs w:val="24"/>
                <w:lang w:eastAsia="lv-LV"/>
              </w:rPr>
              <w:t xml:space="preserve"> 30.jūlija sēdē (protokols Nr.41, 104.§).</w:t>
            </w:r>
          </w:p>
          <w:p w:rsidR="000E7ED0" w:rsidRPr="00862D0F" w:rsidRDefault="000E7ED0" w:rsidP="000E7ED0">
            <w:pPr>
              <w:ind w:firstLine="0"/>
              <w:rPr>
                <w:rFonts w:eastAsia="Times New Roman" w:cs="Times New Roman"/>
                <w:sz w:val="24"/>
                <w:szCs w:val="24"/>
                <w:lang w:eastAsia="lv-LV"/>
              </w:rPr>
            </w:pPr>
          </w:p>
        </w:tc>
      </w:tr>
      <w:tr w:rsidR="00862D0F" w:rsidRPr="00862D0F" w:rsidTr="006020DB">
        <w:trPr>
          <w:trHeight w:val="465"/>
          <w:tblCellSpacing w:w="15" w:type="dxa"/>
        </w:trPr>
        <w:tc>
          <w:tcPr>
            <w:tcW w:w="447" w:type="pct"/>
            <w:tcBorders>
              <w:top w:val="outset" w:sz="6" w:space="0" w:color="auto"/>
              <w:left w:val="outset" w:sz="6" w:space="0" w:color="auto"/>
              <w:bottom w:val="outset" w:sz="6" w:space="0" w:color="auto"/>
              <w:right w:val="outset" w:sz="6" w:space="0" w:color="auto"/>
            </w:tcBorders>
            <w:hideMark/>
          </w:tcPr>
          <w:p w:rsidR="007E03C9" w:rsidRDefault="007E03C9" w:rsidP="00862D0F">
            <w:pPr>
              <w:spacing w:before="100" w:beforeAutospacing="1" w:after="100" w:afterAutospacing="1"/>
              <w:ind w:firstLine="0"/>
              <w:jc w:val="center"/>
              <w:rPr>
                <w:rFonts w:eastAsia="Times New Roman" w:cs="Times New Roman"/>
                <w:sz w:val="24"/>
                <w:szCs w:val="24"/>
                <w:lang w:eastAsia="lv-LV"/>
              </w:rPr>
            </w:pPr>
          </w:p>
          <w:p w:rsidR="00862D0F" w:rsidRPr="00862D0F" w:rsidRDefault="00862D0F" w:rsidP="00862D0F">
            <w:pPr>
              <w:spacing w:before="100" w:beforeAutospacing="1" w:after="100" w:afterAutospacing="1"/>
              <w:ind w:firstLine="0"/>
              <w:jc w:val="center"/>
              <w:rPr>
                <w:rFonts w:eastAsia="Times New Roman" w:cs="Times New Roman"/>
                <w:sz w:val="24"/>
                <w:szCs w:val="24"/>
                <w:lang w:eastAsia="lv-LV"/>
              </w:rPr>
            </w:pPr>
            <w:r w:rsidRPr="00862D0F">
              <w:rPr>
                <w:rFonts w:eastAsia="Times New Roman" w:cs="Times New Roman"/>
                <w:sz w:val="24"/>
                <w:szCs w:val="24"/>
                <w:lang w:eastAsia="lv-LV"/>
              </w:rPr>
              <w:t>2.</w:t>
            </w:r>
          </w:p>
        </w:tc>
        <w:tc>
          <w:tcPr>
            <w:tcW w:w="883" w:type="pct"/>
            <w:tcBorders>
              <w:top w:val="outset" w:sz="6" w:space="0" w:color="auto"/>
              <w:left w:val="outset" w:sz="6" w:space="0" w:color="auto"/>
              <w:bottom w:val="outset" w:sz="6" w:space="0" w:color="auto"/>
              <w:right w:val="outset" w:sz="6" w:space="0" w:color="auto"/>
            </w:tcBorders>
            <w:hideMark/>
          </w:tcPr>
          <w:p w:rsidR="00455FB6"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Pašreizējā situācija un problēmas, kuru risināšanai tiesību akta projekts izstrādāts, tiesiskā regulējuma mērķis un būtība</w:t>
            </w:r>
          </w:p>
          <w:p w:rsidR="00455FB6" w:rsidRPr="00455FB6" w:rsidRDefault="00455FB6" w:rsidP="00455FB6">
            <w:pPr>
              <w:rPr>
                <w:rFonts w:eastAsia="Times New Roman" w:cs="Times New Roman"/>
                <w:sz w:val="24"/>
                <w:szCs w:val="24"/>
                <w:lang w:eastAsia="lv-LV"/>
              </w:rPr>
            </w:pPr>
          </w:p>
          <w:p w:rsidR="00455FB6" w:rsidRPr="00455FB6" w:rsidRDefault="00455FB6" w:rsidP="00455FB6">
            <w:pPr>
              <w:rPr>
                <w:rFonts w:eastAsia="Times New Roman" w:cs="Times New Roman"/>
                <w:sz w:val="24"/>
                <w:szCs w:val="24"/>
                <w:lang w:eastAsia="lv-LV"/>
              </w:rPr>
            </w:pPr>
          </w:p>
          <w:p w:rsidR="00455FB6" w:rsidRPr="00455FB6" w:rsidRDefault="00455FB6" w:rsidP="00455FB6">
            <w:pPr>
              <w:rPr>
                <w:rFonts w:eastAsia="Times New Roman" w:cs="Times New Roman"/>
                <w:sz w:val="24"/>
                <w:szCs w:val="24"/>
                <w:lang w:eastAsia="lv-LV"/>
              </w:rPr>
            </w:pPr>
          </w:p>
          <w:p w:rsidR="00455FB6" w:rsidRPr="00455FB6" w:rsidRDefault="00455FB6" w:rsidP="00455FB6">
            <w:pPr>
              <w:rPr>
                <w:rFonts w:eastAsia="Times New Roman" w:cs="Times New Roman"/>
                <w:sz w:val="24"/>
                <w:szCs w:val="24"/>
                <w:lang w:eastAsia="lv-LV"/>
              </w:rPr>
            </w:pPr>
          </w:p>
          <w:p w:rsidR="00455FB6" w:rsidRPr="00455FB6" w:rsidRDefault="00455FB6" w:rsidP="00455FB6">
            <w:pPr>
              <w:rPr>
                <w:rFonts w:eastAsia="Times New Roman" w:cs="Times New Roman"/>
                <w:sz w:val="24"/>
                <w:szCs w:val="24"/>
                <w:lang w:eastAsia="lv-LV"/>
              </w:rPr>
            </w:pPr>
          </w:p>
          <w:p w:rsidR="00455FB6" w:rsidRPr="00455FB6" w:rsidRDefault="00BE664F" w:rsidP="00455FB6">
            <w:pPr>
              <w:rPr>
                <w:rFonts w:eastAsia="Times New Roman" w:cs="Times New Roman"/>
                <w:sz w:val="24"/>
                <w:szCs w:val="24"/>
                <w:lang w:eastAsia="lv-LV"/>
              </w:rPr>
            </w:pPr>
            <w:r>
              <w:rPr>
                <w:rFonts w:eastAsia="Times New Roman" w:cs="Times New Roman"/>
                <w:sz w:val="24"/>
                <w:szCs w:val="24"/>
                <w:lang w:eastAsia="lv-LV"/>
              </w:rPr>
              <w:t xml:space="preserve"> </w:t>
            </w:r>
          </w:p>
          <w:p w:rsidR="00455FB6" w:rsidRPr="00455FB6" w:rsidRDefault="00455FB6" w:rsidP="00455FB6">
            <w:pPr>
              <w:rPr>
                <w:rFonts w:eastAsia="Times New Roman" w:cs="Times New Roman"/>
                <w:sz w:val="24"/>
                <w:szCs w:val="24"/>
                <w:lang w:eastAsia="lv-LV"/>
              </w:rPr>
            </w:pPr>
          </w:p>
          <w:p w:rsidR="00455FB6" w:rsidRPr="00455FB6" w:rsidRDefault="00455FB6" w:rsidP="00455FB6">
            <w:pPr>
              <w:rPr>
                <w:rFonts w:eastAsia="Times New Roman" w:cs="Times New Roman"/>
                <w:sz w:val="24"/>
                <w:szCs w:val="24"/>
                <w:lang w:eastAsia="lv-LV"/>
              </w:rPr>
            </w:pPr>
          </w:p>
          <w:p w:rsidR="00455FB6" w:rsidRPr="00455FB6" w:rsidRDefault="00455FB6" w:rsidP="00455FB6">
            <w:pPr>
              <w:rPr>
                <w:rFonts w:eastAsia="Times New Roman" w:cs="Times New Roman"/>
                <w:sz w:val="24"/>
                <w:szCs w:val="24"/>
                <w:lang w:eastAsia="lv-LV"/>
              </w:rPr>
            </w:pPr>
          </w:p>
          <w:p w:rsidR="00455FB6" w:rsidRPr="00455FB6" w:rsidRDefault="00455FB6" w:rsidP="00455FB6">
            <w:pPr>
              <w:rPr>
                <w:rFonts w:eastAsia="Times New Roman" w:cs="Times New Roman"/>
                <w:sz w:val="24"/>
                <w:szCs w:val="24"/>
                <w:lang w:eastAsia="lv-LV"/>
              </w:rPr>
            </w:pPr>
          </w:p>
          <w:p w:rsidR="00455FB6" w:rsidRPr="00455FB6" w:rsidRDefault="00455FB6" w:rsidP="00455FB6">
            <w:pPr>
              <w:rPr>
                <w:rFonts w:eastAsia="Times New Roman" w:cs="Times New Roman"/>
                <w:sz w:val="24"/>
                <w:szCs w:val="24"/>
                <w:lang w:eastAsia="lv-LV"/>
              </w:rPr>
            </w:pPr>
          </w:p>
          <w:p w:rsidR="00455FB6" w:rsidRPr="00455FB6" w:rsidRDefault="00455FB6" w:rsidP="00455FB6">
            <w:pPr>
              <w:rPr>
                <w:rFonts w:eastAsia="Times New Roman" w:cs="Times New Roman"/>
                <w:sz w:val="24"/>
                <w:szCs w:val="24"/>
                <w:lang w:eastAsia="lv-LV"/>
              </w:rPr>
            </w:pPr>
          </w:p>
          <w:p w:rsidR="00455FB6" w:rsidRPr="00455FB6" w:rsidRDefault="00455FB6" w:rsidP="00455FB6">
            <w:pPr>
              <w:rPr>
                <w:rFonts w:eastAsia="Times New Roman" w:cs="Times New Roman"/>
                <w:sz w:val="24"/>
                <w:szCs w:val="24"/>
                <w:lang w:eastAsia="lv-LV"/>
              </w:rPr>
            </w:pPr>
          </w:p>
          <w:p w:rsidR="00455FB6" w:rsidRPr="00455FB6" w:rsidRDefault="00455FB6" w:rsidP="00455FB6">
            <w:pPr>
              <w:rPr>
                <w:rFonts w:eastAsia="Times New Roman" w:cs="Times New Roman"/>
                <w:sz w:val="24"/>
                <w:szCs w:val="24"/>
                <w:lang w:eastAsia="lv-LV"/>
              </w:rPr>
            </w:pPr>
          </w:p>
          <w:p w:rsidR="00455FB6" w:rsidRPr="00455FB6" w:rsidRDefault="00455FB6" w:rsidP="00455FB6">
            <w:pPr>
              <w:rPr>
                <w:rFonts w:eastAsia="Times New Roman" w:cs="Times New Roman"/>
                <w:sz w:val="24"/>
                <w:szCs w:val="24"/>
                <w:lang w:eastAsia="lv-LV"/>
              </w:rPr>
            </w:pPr>
          </w:p>
          <w:p w:rsidR="00455FB6" w:rsidRPr="00455FB6" w:rsidRDefault="00455FB6" w:rsidP="00455FB6">
            <w:pPr>
              <w:rPr>
                <w:rFonts w:eastAsia="Times New Roman" w:cs="Times New Roman"/>
                <w:sz w:val="24"/>
                <w:szCs w:val="24"/>
                <w:lang w:eastAsia="lv-LV"/>
              </w:rPr>
            </w:pPr>
          </w:p>
          <w:p w:rsidR="00455FB6" w:rsidRPr="00455FB6" w:rsidRDefault="00455FB6" w:rsidP="00455FB6">
            <w:pPr>
              <w:rPr>
                <w:rFonts w:eastAsia="Times New Roman" w:cs="Times New Roman"/>
                <w:sz w:val="24"/>
                <w:szCs w:val="24"/>
                <w:lang w:eastAsia="lv-LV"/>
              </w:rPr>
            </w:pPr>
          </w:p>
          <w:p w:rsidR="00455FB6" w:rsidRPr="00455FB6" w:rsidRDefault="00455FB6" w:rsidP="00455FB6">
            <w:pPr>
              <w:rPr>
                <w:rFonts w:eastAsia="Times New Roman" w:cs="Times New Roman"/>
                <w:sz w:val="24"/>
                <w:szCs w:val="24"/>
                <w:lang w:eastAsia="lv-LV"/>
              </w:rPr>
            </w:pPr>
          </w:p>
          <w:p w:rsidR="00455FB6" w:rsidRPr="00455FB6" w:rsidRDefault="00455FB6" w:rsidP="00455FB6">
            <w:pPr>
              <w:rPr>
                <w:rFonts w:eastAsia="Times New Roman" w:cs="Times New Roman"/>
                <w:sz w:val="24"/>
                <w:szCs w:val="24"/>
                <w:lang w:eastAsia="lv-LV"/>
              </w:rPr>
            </w:pPr>
          </w:p>
          <w:p w:rsidR="00862D0F" w:rsidRPr="00455FB6" w:rsidRDefault="00862D0F" w:rsidP="00455FB6">
            <w:pPr>
              <w:rPr>
                <w:rFonts w:eastAsia="Times New Roman" w:cs="Times New Roman"/>
                <w:sz w:val="24"/>
                <w:szCs w:val="24"/>
                <w:lang w:eastAsia="lv-LV"/>
              </w:rPr>
            </w:pPr>
          </w:p>
        </w:tc>
        <w:tc>
          <w:tcPr>
            <w:tcW w:w="3608" w:type="pct"/>
            <w:tcBorders>
              <w:top w:val="outset" w:sz="6" w:space="0" w:color="auto"/>
              <w:left w:val="outset" w:sz="6" w:space="0" w:color="auto"/>
              <w:bottom w:val="outset" w:sz="6" w:space="0" w:color="auto"/>
              <w:right w:val="outset" w:sz="6" w:space="0" w:color="auto"/>
            </w:tcBorders>
            <w:hideMark/>
          </w:tcPr>
          <w:p w:rsidR="00A26085" w:rsidRPr="00A26085" w:rsidRDefault="00D4453F" w:rsidP="001D510D">
            <w:pPr>
              <w:keepLines/>
              <w:autoSpaceDE w:val="0"/>
              <w:autoSpaceDN w:val="0"/>
              <w:adjustRightInd w:val="0"/>
              <w:ind w:firstLine="662"/>
              <w:rPr>
                <w:sz w:val="24"/>
                <w:szCs w:val="24"/>
              </w:rPr>
            </w:pPr>
            <w:r>
              <w:rPr>
                <w:sz w:val="24"/>
                <w:szCs w:val="24"/>
              </w:rPr>
              <w:t>Ņemot vērā koncepcijā minēto</w:t>
            </w:r>
            <w:r w:rsidR="00F83BDB">
              <w:rPr>
                <w:sz w:val="24"/>
                <w:szCs w:val="24"/>
              </w:rPr>
              <w:t>,</w:t>
            </w:r>
            <w:r w:rsidR="00A26085" w:rsidRPr="00A26085">
              <w:rPr>
                <w:sz w:val="24"/>
                <w:szCs w:val="24"/>
              </w:rPr>
              <w:t xml:space="preserve"> par pamatu priekšlikumam izveidot jaunu iestādi – Iekšējās drošības birojs</w:t>
            </w:r>
            <w:r w:rsidR="00055DA7">
              <w:rPr>
                <w:sz w:val="24"/>
                <w:szCs w:val="24"/>
              </w:rPr>
              <w:t xml:space="preserve"> (turpmāk - Birojs)</w:t>
            </w:r>
            <w:r w:rsidR="00A26085" w:rsidRPr="00A26085">
              <w:rPr>
                <w:sz w:val="24"/>
                <w:szCs w:val="24"/>
              </w:rPr>
              <w:t>, kalpoja Tieslietu ministrijas izveidotas starpinstitūciju darba grupas apzināti šādi pašreizējās situ</w:t>
            </w:r>
            <w:r w:rsidR="00DE0A42">
              <w:rPr>
                <w:sz w:val="24"/>
                <w:szCs w:val="24"/>
              </w:rPr>
              <w:t>ācijas un problēmu konstatējumi:</w:t>
            </w:r>
          </w:p>
          <w:p w:rsidR="001D510D" w:rsidRPr="001D510D" w:rsidRDefault="00DE0A42" w:rsidP="001D510D">
            <w:pPr>
              <w:keepLines/>
              <w:autoSpaceDE w:val="0"/>
              <w:autoSpaceDN w:val="0"/>
              <w:adjustRightInd w:val="0"/>
              <w:ind w:firstLine="662"/>
              <w:rPr>
                <w:sz w:val="24"/>
                <w:szCs w:val="24"/>
              </w:rPr>
            </w:pPr>
            <w:r>
              <w:rPr>
                <w:sz w:val="24"/>
                <w:szCs w:val="24"/>
              </w:rPr>
              <w:t xml:space="preserve">1. </w:t>
            </w:r>
            <w:r w:rsidR="001D510D" w:rsidRPr="001D510D">
              <w:rPr>
                <w:sz w:val="24"/>
                <w:szCs w:val="24"/>
              </w:rPr>
              <w:t xml:space="preserve">Saskaņā </w:t>
            </w:r>
            <w:r w:rsidR="001D510D" w:rsidRPr="004E06CB">
              <w:rPr>
                <w:sz w:val="24"/>
                <w:szCs w:val="24"/>
              </w:rPr>
              <w:t xml:space="preserve">ar </w:t>
            </w:r>
            <w:r w:rsidR="00613232" w:rsidRPr="004E06CB">
              <w:rPr>
                <w:sz w:val="24"/>
                <w:szCs w:val="24"/>
              </w:rPr>
              <w:t xml:space="preserve">Eiropas Cilvēktiesību tiesas </w:t>
            </w:r>
            <w:r w:rsidR="00FF59D3" w:rsidRPr="004E06CB">
              <w:rPr>
                <w:sz w:val="24"/>
                <w:szCs w:val="24"/>
              </w:rPr>
              <w:t>(</w:t>
            </w:r>
            <w:r w:rsidR="00613232" w:rsidRPr="004E06CB">
              <w:rPr>
                <w:sz w:val="24"/>
                <w:szCs w:val="24"/>
              </w:rPr>
              <w:t>turpmāk – Tiesa)</w:t>
            </w:r>
            <w:r w:rsidR="001D510D" w:rsidRPr="004E06CB">
              <w:rPr>
                <w:sz w:val="24"/>
                <w:szCs w:val="24"/>
              </w:rPr>
              <w:t xml:space="preserve"> </w:t>
            </w:r>
            <w:r w:rsidR="001D510D" w:rsidRPr="001D510D">
              <w:rPr>
                <w:sz w:val="24"/>
                <w:szCs w:val="24"/>
              </w:rPr>
              <w:t>judikatūru Eiropas Cilvēktiesību un pamatbrīvību aizsardzības konven</w:t>
            </w:r>
            <w:r w:rsidR="00FB599C">
              <w:rPr>
                <w:sz w:val="24"/>
                <w:szCs w:val="24"/>
              </w:rPr>
              <w:t xml:space="preserve">cijas (turpmāk – Konvencija) </w:t>
            </w:r>
            <w:proofErr w:type="gramStart"/>
            <w:r w:rsidR="00FB599C">
              <w:rPr>
                <w:sz w:val="24"/>
                <w:szCs w:val="24"/>
              </w:rPr>
              <w:t>2.</w:t>
            </w:r>
            <w:r w:rsidR="001D510D" w:rsidRPr="001D510D">
              <w:rPr>
                <w:sz w:val="24"/>
                <w:szCs w:val="24"/>
              </w:rPr>
              <w:t>pants</w:t>
            </w:r>
            <w:proofErr w:type="gramEnd"/>
            <w:r w:rsidR="001D510D" w:rsidRPr="001D510D">
              <w:rPr>
                <w:sz w:val="24"/>
                <w:szCs w:val="24"/>
              </w:rPr>
              <w:t xml:space="preserve"> uzliek valstij par pienākumu ne tikai atturēties no nepamatotas personas dzīvības atņemšanas, bet arī spert nepieciešamos soļus, lai aizstāvētu valstu jurisdikcijā esošo personu dz</w:t>
            </w:r>
            <w:r w:rsidR="00FB599C">
              <w:rPr>
                <w:sz w:val="24"/>
                <w:szCs w:val="24"/>
              </w:rPr>
              <w:t xml:space="preserve">īvības. Savukārt Konvencijas </w:t>
            </w:r>
            <w:proofErr w:type="gramStart"/>
            <w:r w:rsidR="00FB599C">
              <w:rPr>
                <w:sz w:val="24"/>
                <w:szCs w:val="24"/>
              </w:rPr>
              <w:t>3.</w:t>
            </w:r>
            <w:r w:rsidR="001D510D" w:rsidRPr="001D510D">
              <w:rPr>
                <w:sz w:val="24"/>
                <w:szCs w:val="24"/>
              </w:rPr>
              <w:t>pants</w:t>
            </w:r>
            <w:proofErr w:type="gramEnd"/>
            <w:r w:rsidR="001D510D" w:rsidRPr="001D510D">
              <w:rPr>
                <w:sz w:val="24"/>
                <w:szCs w:val="24"/>
              </w:rPr>
              <w:t xml:space="preserve"> aizliedz spīdzināšanu, pazemojošu vai necilvēcīgu apiešanos.</w:t>
            </w:r>
            <w:r w:rsidR="00FB599C">
              <w:rPr>
                <w:sz w:val="24"/>
                <w:szCs w:val="24"/>
              </w:rPr>
              <w:t xml:space="preserve"> Vienlaicīgi gan Konvencijas </w:t>
            </w:r>
            <w:proofErr w:type="gramStart"/>
            <w:r w:rsidR="00FB599C">
              <w:rPr>
                <w:sz w:val="24"/>
                <w:szCs w:val="24"/>
              </w:rPr>
              <w:t>2.panta</w:t>
            </w:r>
            <w:proofErr w:type="gramEnd"/>
            <w:r w:rsidR="00FB599C">
              <w:rPr>
                <w:sz w:val="24"/>
                <w:szCs w:val="24"/>
              </w:rPr>
              <w:t>, gan 3.</w:t>
            </w:r>
            <w:r w:rsidR="001D510D" w:rsidRPr="001D510D">
              <w:rPr>
                <w:sz w:val="24"/>
                <w:szCs w:val="24"/>
              </w:rPr>
              <w:t xml:space="preserve">panta procesuālā daļa uzliek valstij pozitīvu pienākumu veikt vispārīgu, rūpīgu un efektīvu izmeklēšanu gadījumos, kad indivīds ir gājis bojā valsts iestāžu amatpersonu darbības vai bezdarbības rezultātā, vai saņemta sūdzība par iespējamo spīdzināšanu, pazemojošu vai necilvēcīgu apiešanos. </w:t>
            </w:r>
          </w:p>
          <w:p w:rsidR="001D510D" w:rsidRPr="001D510D" w:rsidRDefault="00DE0A42" w:rsidP="001D510D">
            <w:pPr>
              <w:tabs>
                <w:tab w:val="left" w:pos="284"/>
              </w:tabs>
              <w:ind w:firstLine="709"/>
              <w:rPr>
                <w:sz w:val="24"/>
                <w:szCs w:val="24"/>
              </w:rPr>
            </w:pPr>
            <w:r>
              <w:rPr>
                <w:sz w:val="24"/>
                <w:szCs w:val="24"/>
              </w:rPr>
              <w:t xml:space="preserve">2. </w:t>
            </w:r>
            <w:proofErr w:type="gramStart"/>
            <w:r w:rsidR="00FB599C">
              <w:rPr>
                <w:sz w:val="24"/>
                <w:szCs w:val="24"/>
              </w:rPr>
              <w:t>2012.</w:t>
            </w:r>
            <w:r w:rsidR="001D510D" w:rsidRPr="001D510D">
              <w:rPr>
                <w:sz w:val="24"/>
                <w:szCs w:val="24"/>
              </w:rPr>
              <w:t>gada</w:t>
            </w:r>
            <w:proofErr w:type="gramEnd"/>
            <w:r w:rsidR="001D510D" w:rsidRPr="001D510D">
              <w:rPr>
                <w:sz w:val="24"/>
                <w:szCs w:val="24"/>
              </w:rPr>
              <w:t xml:space="preserve"> sākumā Ministru kabineta pārstāvja starptautiskajās cilvēktiesību institūcijās biroja aktīvajā lietvedībā atradās 14 lietas par Konvencijas 3. panta (spīdzināšanas aizliegums, pienākums veikt efektīvu izmeklēšanu) iespējamiem pārkāpumiem saistībā ar sūdzībām par iespējamo vardarbību no valsts iestāžu amatpersonu puses. No šīm lietām 10 gadījumos sūdzību pamatā ir Valsts policijas (turpmāk – VP) vai pašvaldības policijas amatpersonu darbības, kas veiktas kriminālprocesa vai administratīvo pārkāpumu lietu ietvaros, kā arī indivīdu sūdzību par iespējamo vardarbību no policijas darbinieku puses izmeklēšanas efektivitāte VP reģionālajās pārvaldēs vai VP Iekšējās</w:t>
            </w:r>
            <w:r w:rsidR="000F38B5">
              <w:rPr>
                <w:sz w:val="24"/>
                <w:szCs w:val="24"/>
              </w:rPr>
              <w:t xml:space="preserve"> drošības birojā</w:t>
            </w:r>
            <w:r w:rsidR="001D510D" w:rsidRPr="001D510D">
              <w:rPr>
                <w:sz w:val="24"/>
                <w:szCs w:val="24"/>
              </w:rPr>
              <w:t>, kā arī prokuratūras veiktās uzraudzības un kontroles efektivitāte.</w:t>
            </w:r>
          </w:p>
          <w:p w:rsidR="001D510D" w:rsidRPr="001D510D" w:rsidRDefault="00DE0A42" w:rsidP="001D510D">
            <w:pPr>
              <w:tabs>
                <w:tab w:val="left" w:pos="284"/>
              </w:tabs>
              <w:ind w:firstLine="709"/>
              <w:rPr>
                <w:sz w:val="24"/>
                <w:szCs w:val="24"/>
              </w:rPr>
            </w:pPr>
            <w:r>
              <w:rPr>
                <w:sz w:val="24"/>
                <w:szCs w:val="24"/>
              </w:rPr>
              <w:t xml:space="preserve">3. </w:t>
            </w:r>
            <w:r w:rsidR="001D510D" w:rsidRPr="001D510D">
              <w:rPr>
                <w:sz w:val="24"/>
                <w:szCs w:val="24"/>
              </w:rPr>
              <w:t xml:space="preserve">Jāatzīmē, ka </w:t>
            </w:r>
            <w:proofErr w:type="gramStart"/>
            <w:r w:rsidR="00FB599C">
              <w:rPr>
                <w:sz w:val="24"/>
                <w:szCs w:val="24"/>
              </w:rPr>
              <w:t>2010.gada</w:t>
            </w:r>
            <w:proofErr w:type="gramEnd"/>
            <w:r w:rsidR="00FB599C">
              <w:rPr>
                <w:sz w:val="24"/>
                <w:szCs w:val="24"/>
              </w:rPr>
              <w:t xml:space="preserve"> 21.</w:t>
            </w:r>
            <w:r w:rsidR="001D510D" w:rsidRPr="001D510D">
              <w:rPr>
                <w:sz w:val="24"/>
                <w:szCs w:val="24"/>
              </w:rPr>
              <w:t>decembrī tika publiskots Tiesas spriedums lietā „</w:t>
            </w:r>
            <w:proofErr w:type="spellStart"/>
            <w:r w:rsidR="001D510D" w:rsidRPr="001D510D">
              <w:rPr>
                <w:i/>
                <w:sz w:val="24"/>
                <w:szCs w:val="24"/>
              </w:rPr>
              <w:t>Jasinskis</w:t>
            </w:r>
            <w:proofErr w:type="spellEnd"/>
            <w:r w:rsidR="001D510D" w:rsidRPr="001D510D">
              <w:rPr>
                <w:i/>
                <w:sz w:val="24"/>
                <w:szCs w:val="24"/>
              </w:rPr>
              <w:t xml:space="preserve"> pret Latviju</w:t>
            </w:r>
            <w:r w:rsidR="001D510D" w:rsidRPr="001D510D">
              <w:rPr>
                <w:sz w:val="24"/>
                <w:szCs w:val="24"/>
              </w:rPr>
              <w:t xml:space="preserve">”, kurā tika konstatēts Konvencijas 2. panta (tiesības uz dzīvību, pienākums veikt efektīvu personas nāves </w:t>
            </w:r>
            <w:r w:rsidR="001D510D" w:rsidRPr="001D510D">
              <w:rPr>
                <w:sz w:val="24"/>
                <w:szCs w:val="24"/>
              </w:rPr>
              <w:lastRenderedPageBreak/>
              <w:t>apstākļu izmeklēšanu) pārkāpums, kurā Tiesa par labu iesniedzējam piesprieda 50 0</w:t>
            </w:r>
            <w:r w:rsidR="008060F1">
              <w:rPr>
                <w:sz w:val="24"/>
                <w:szCs w:val="24"/>
              </w:rPr>
              <w:t xml:space="preserve">00 </w:t>
            </w:r>
            <w:proofErr w:type="spellStart"/>
            <w:r w:rsidR="008060F1" w:rsidRPr="008060F1">
              <w:rPr>
                <w:i/>
                <w:sz w:val="24"/>
                <w:szCs w:val="24"/>
              </w:rPr>
              <w:t>euro</w:t>
            </w:r>
            <w:proofErr w:type="spellEnd"/>
            <w:r w:rsidR="001D510D" w:rsidRPr="001D510D">
              <w:rPr>
                <w:sz w:val="24"/>
                <w:szCs w:val="24"/>
              </w:rPr>
              <w:t xml:space="preserve"> lielu kompensāciju sakarā ar viņa dēla nāves apstākļiem VP Balvu rajona policijas pārvaldes darbinieku bezdarbības dēļ, un tai sekojošo ieilgušo izmeklēšanu</w:t>
            </w:r>
            <w:r w:rsidR="001E0C5C">
              <w:rPr>
                <w:sz w:val="24"/>
                <w:szCs w:val="24"/>
              </w:rPr>
              <w:t xml:space="preserve"> VP</w:t>
            </w:r>
            <w:r w:rsidR="001D510D" w:rsidRPr="001D510D">
              <w:rPr>
                <w:sz w:val="24"/>
                <w:szCs w:val="24"/>
              </w:rPr>
              <w:t xml:space="preserve"> Balvu rajona policijas pārvaldē un IDB, kā arī neefektīvo uzraudzību no prokuratūras iestāžu puses. Tiesas piespriestā kompensācija lietā „</w:t>
            </w:r>
            <w:proofErr w:type="spellStart"/>
            <w:r w:rsidR="001D510D" w:rsidRPr="001D510D">
              <w:rPr>
                <w:i/>
                <w:sz w:val="24"/>
                <w:szCs w:val="24"/>
              </w:rPr>
              <w:t>Jasinskis</w:t>
            </w:r>
            <w:proofErr w:type="spellEnd"/>
            <w:r w:rsidR="001D510D" w:rsidRPr="001D510D">
              <w:rPr>
                <w:i/>
                <w:sz w:val="24"/>
                <w:szCs w:val="24"/>
              </w:rPr>
              <w:t xml:space="preserve"> pret Latviju</w:t>
            </w:r>
            <w:r w:rsidR="001D510D" w:rsidRPr="001D510D">
              <w:rPr>
                <w:sz w:val="24"/>
                <w:szCs w:val="24"/>
              </w:rPr>
              <w:t>” ir lielākā summa, kas Latvijai jebkad ir bijusi jāmaksā sakarā ar Tiesas spriedumu.</w:t>
            </w:r>
          </w:p>
          <w:p w:rsidR="001D510D" w:rsidRPr="001D510D" w:rsidRDefault="00DE0A42" w:rsidP="001D510D">
            <w:pPr>
              <w:tabs>
                <w:tab w:val="left" w:pos="284"/>
              </w:tabs>
              <w:ind w:firstLine="709"/>
              <w:rPr>
                <w:sz w:val="24"/>
                <w:szCs w:val="24"/>
              </w:rPr>
            </w:pPr>
            <w:r>
              <w:rPr>
                <w:sz w:val="24"/>
                <w:szCs w:val="24"/>
              </w:rPr>
              <w:t xml:space="preserve">4. </w:t>
            </w:r>
            <w:r w:rsidR="001D510D" w:rsidRPr="001D510D">
              <w:rPr>
                <w:sz w:val="24"/>
                <w:szCs w:val="24"/>
              </w:rPr>
              <w:t>Vienlaikus arī Eiropas Padomes Komitejas spīdzināšanas un necilvēcīgas vai pazemojošas rīcības vai soda novēršanai ziņojumā par tās vizī</w:t>
            </w:r>
            <w:r w:rsidR="00FB599C">
              <w:rPr>
                <w:sz w:val="24"/>
                <w:szCs w:val="24"/>
              </w:rPr>
              <w:t xml:space="preserve">ti Latvijā laika posmā no </w:t>
            </w:r>
            <w:proofErr w:type="gramStart"/>
            <w:r w:rsidR="00FB599C">
              <w:rPr>
                <w:sz w:val="24"/>
                <w:szCs w:val="24"/>
              </w:rPr>
              <w:t>2007.gada</w:t>
            </w:r>
            <w:proofErr w:type="gramEnd"/>
            <w:r w:rsidR="00FB599C">
              <w:rPr>
                <w:sz w:val="24"/>
                <w:szCs w:val="24"/>
              </w:rPr>
              <w:t xml:space="preserve"> 27.</w:t>
            </w:r>
            <w:r w:rsidR="001D510D" w:rsidRPr="001D510D">
              <w:rPr>
                <w:sz w:val="24"/>
                <w:szCs w:val="24"/>
              </w:rPr>
              <w:t xml:space="preserve">novembra līdz 7. decembrim (turpmāk – EP </w:t>
            </w:r>
            <w:smartTag w:uri="schemas-tilde-lv/tildestengine" w:element="veidnes">
              <w:smartTagPr>
                <w:attr w:name="text" w:val="ziņojums"/>
                <w:attr w:name="baseform" w:val="ziņojums"/>
                <w:attr w:name="id" w:val="-1"/>
              </w:smartTagPr>
              <w:r w:rsidR="001D510D" w:rsidRPr="001D510D">
                <w:rPr>
                  <w:sz w:val="24"/>
                  <w:szCs w:val="24"/>
                </w:rPr>
                <w:t>Ziņojums</w:t>
              </w:r>
            </w:smartTag>
            <w:r w:rsidR="001D510D" w:rsidRPr="001D510D">
              <w:rPr>
                <w:sz w:val="24"/>
                <w:szCs w:val="24"/>
              </w:rPr>
              <w:t xml:space="preserve">) ir konstatēts, ka Ieslodzījuma vietu pārvaldes (turpmāk – </w:t>
            </w:r>
            <w:proofErr w:type="spellStart"/>
            <w:r w:rsidR="001D510D" w:rsidRPr="001D510D">
              <w:rPr>
                <w:sz w:val="24"/>
                <w:szCs w:val="24"/>
              </w:rPr>
              <w:t>IeVP</w:t>
            </w:r>
            <w:proofErr w:type="spellEnd"/>
            <w:r w:rsidR="001D510D" w:rsidRPr="001D510D">
              <w:rPr>
                <w:sz w:val="24"/>
                <w:szCs w:val="24"/>
              </w:rPr>
              <w:t xml:space="preserve">) amatpersonas, izmeklējot </w:t>
            </w:r>
            <w:proofErr w:type="spellStart"/>
            <w:r w:rsidR="001D510D" w:rsidRPr="001D510D">
              <w:rPr>
                <w:sz w:val="24"/>
                <w:szCs w:val="24"/>
              </w:rPr>
              <w:t>IeVP</w:t>
            </w:r>
            <w:proofErr w:type="spellEnd"/>
            <w:r w:rsidR="001D510D" w:rsidRPr="001D510D">
              <w:rPr>
                <w:sz w:val="24"/>
                <w:szCs w:val="24"/>
              </w:rPr>
              <w:t xml:space="preserve"> darbinieku izdarītos noziedzīgos nodarījumus, kas saistīti ar vardarbību pret ieslodzītajiem, atrodas nopietnā interešu konfliktā. Latvija tiek aicināta nodrošināt to, ka šādus nodarījumus izmeklē no ieslodzījuma vietu sistēmas neatkarīga iestāde. Tas, ka minētā problēma nav novērsta, atkārtoti norādīts arī </w:t>
            </w:r>
            <w:r w:rsidR="001E0C5C">
              <w:rPr>
                <w:sz w:val="24"/>
                <w:szCs w:val="24"/>
              </w:rPr>
              <w:t>EP</w:t>
            </w:r>
            <w:r w:rsidR="001D510D" w:rsidRPr="001D510D">
              <w:rPr>
                <w:sz w:val="24"/>
                <w:szCs w:val="24"/>
              </w:rPr>
              <w:t xml:space="preserve"> ziņojumā par tās vizī</w:t>
            </w:r>
            <w:r w:rsidR="00FB599C">
              <w:rPr>
                <w:sz w:val="24"/>
                <w:szCs w:val="24"/>
              </w:rPr>
              <w:t xml:space="preserve">ti Latvijā laika posmā no </w:t>
            </w:r>
            <w:proofErr w:type="gramStart"/>
            <w:r w:rsidR="00FB599C">
              <w:rPr>
                <w:sz w:val="24"/>
                <w:szCs w:val="24"/>
              </w:rPr>
              <w:t>2009.gada</w:t>
            </w:r>
            <w:proofErr w:type="gramEnd"/>
            <w:r w:rsidR="00FB599C">
              <w:rPr>
                <w:sz w:val="24"/>
                <w:szCs w:val="24"/>
              </w:rPr>
              <w:t xml:space="preserve"> 3. līdz 8.</w:t>
            </w:r>
            <w:r w:rsidR="001D510D" w:rsidRPr="001D510D">
              <w:rPr>
                <w:sz w:val="24"/>
                <w:szCs w:val="24"/>
              </w:rPr>
              <w:t>decembrim, un arī šajā ziņojumā Latvija tiek aicināta nekavējoties veikt pasākumus, lai nodrošinātu, ka ieslodzījuma vietu darbinieku izdarītos nodarījumus pret ieslodzītajām personām, kas saistīti ar vardarbību, izmeklētu neatkarīga no ieslodzījuma vietu sistēmas institūcija.</w:t>
            </w:r>
          </w:p>
          <w:p w:rsidR="001D510D" w:rsidRDefault="001D510D" w:rsidP="001D510D">
            <w:pPr>
              <w:ind w:firstLine="709"/>
              <w:rPr>
                <w:sz w:val="24"/>
                <w:szCs w:val="24"/>
              </w:rPr>
            </w:pPr>
            <w:r w:rsidRPr="001D510D">
              <w:rPr>
                <w:sz w:val="24"/>
                <w:szCs w:val="24"/>
              </w:rPr>
              <w:t>Izvērtējot Latvijā iedibinātās sistēmas atbilstību Tiesas judikatūrā noteiktajiem efektīvas izmeklēšanas kritērijiem, kā viens no šādiem kritērijiem uzsvērts „izmeklēšanas neatkarības” kritērijs. Proti, „personām, kuras veic izmeklēšanu, ir jābūt neatkarīgām no personām, kuras ir iesaistītas izmeklējamā incidentā. Tas ietver ne tikai neatkarību no institucionāla un hierarhiska rakstura saitēm, bet arī acīmredzamu neatkarību, kas izpaužas pierādījumu kritiskā novērtēšanā” (</w:t>
            </w:r>
            <w:r w:rsidRPr="001D510D">
              <w:rPr>
                <w:i/>
                <w:iCs/>
                <w:sz w:val="24"/>
                <w:szCs w:val="24"/>
              </w:rPr>
              <w:t>“</w:t>
            </w:r>
            <w:proofErr w:type="spellStart"/>
            <w:r w:rsidRPr="001D510D">
              <w:rPr>
                <w:i/>
                <w:iCs/>
                <w:sz w:val="24"/>
                <w:szCs w:val="24"/>
              </w:rPr>
              <w:t>Salgin</w:t>
            </w:r>
            <w:proofErr w:type="spellEnd"/>
            <w:r w:rsidRPr="001D510D">
              <w:rPr>
                <w:i/>
                <w:iCs/>
                <w:sz w:val="24"/>
                <w:szCs w:val="24"/>
              </w:rPr>
              <w:t xml:space="preserve"> pret Turciju” </w:t>
            </w:r>
            <w:r w:rsidRPr="001D510D">
              <w:rPr>
                <w:sz w:val="24"/>
                <w:szCs w:val="24"/>
              </w:rPr>
              <w:t>(</w:t>
            </w:r>
            <w:smartTag w:uri="schemas-tilde-lv/tildestengine" w:element="veidnes">
              <w:smartTagPr>
                <w:attr w:name="text" w:val="iesniegums"/>
                <w:attr w:name="baseform" w:val="iesniegums"/>
                <w:attr w:name="id" w:val="-1"/>
              </w:smartTagPr>
              <w:r w:rsidRPr="001D510D">
                <w:rPr>
                  <w:sz w:val="24"/>
                  <w:szCs w:val="24"/>
                </w:rPr>
                <w:t>iesniegums</w:t>
              </w:r>
            </w:smartTag>
            <w:r w:rsidR="00FB599C">
              <w:rPr>
                <w:sz w:val="24"/>
                <w:szCs w:val="24"/>
              </w:rPr>
              <w:t xml:space="preserve"> Nr. 46748/99), 2007.gada 20.maija spriedums, 86.</w:t>
            </w:r>
            <w:r w:rsidRPr="001D510D">
              <w:rPr>
                <w:sz w:val="24"/>
                <w:szCs w:val="24"/>
              </w:rPr>
              <w:t xml:space="preserve">rindkopa, </w:t>
            </w:r>
            <w:r w:rsidRPr="001D510D">
              <w:rPr>
                <w:i/>
                <w:iCs/>
                <w:sz w:val="24"/>
                <w:szCs w:val="24"/>
              </w:rPr>
              <w:t>“</w:t>
            </w:r>
            <w:proofErr w:type="spellStart"/>
            <w:r w:rsidRPr="001D510D">
              <w:rPr>
                <w:i/>
                <w:iCs/>
                <w:sz w:val="24"/>
                <w:szCs w:val="24"/>
              </w:rPr>
              <w:t>McKerr</w:t>
            </w:r>
            <w:proofErr w:type="spellEnd"/>
            <w:r w:rsidRPr="001D510D">
              <w:rPr>
                <w:i/>
                <w:iCs/>
                <w:sz w:val="24"/>
                <w:szCs w:val="24"/>
              </w:rPr>
              <w:t xml:space="preserve"> pret Apvienoto Karalisti”</w:t>
            </w:r>
            <w:r w:rsidRPr="001D510D">
              <w:rPr>
                <w:sz w:val="24"/>
                <w:szCs w:val="24"/>
              </w:rPr>
              <w:t xml:space="preserve"> (</w:t>
            </w:r>
            <w:smartTag w:uri="schemas-tilde-lv/tildestengine" w:element="veidnes">
              <w:smartTagPr>
                <w:attr w:name="text" w:val="iesniegums"/>
                <w:attr w:name="baseform" w:val="iesniegums"/>
                <w:attr w:name="id" w:val="-1"/>
              </w:smartTagPr>
              <w:r w:rsidRPr="001D510D">
                <w:rPr>
                  <w:sz w:val="24"/>
                  <w:szCs w:val="24"/>
                </w:rPr>
                <w:t>iesniegums</w:t>
              </w:r>
            </w:smartTag>
            <w:r w:rsidRPr="001D510D">
              <w:rPr>
                <w:sz w:val="24"/>
                <w:szCs w:val="24"/>
              </w:rPr>
              <w:t xml:space="preserve"> Nr. </w:t>
            </w:r>
            <w:r w:rsidRPr="001D510D">
              <w:rPr>
                <w:rStyle w:val="normal--char"/>
                <w:sz w:val="24"/>
                <w:szCs w:val="24"/>
              </w:rPr>
              <w:t>28883/95</w:t>
            </w:r>
            <w:r w:rsidR="00FB599C">
              <w:rPr>
                <w:sz w:val="24"/>
                <w:szCs w:val="24"/>
              </w:rPr>
              <w:t>), 2001.gada 4.maija spriedums, 112.</w:t>
            </w:r>
            <w:r w:rsidRPr="001D510D">
              <w:rPr>
                <w:sz w:val="24"/>
                <w:szCs w:val="24"/>
              </w:rPr>
              <w:t>rindkopa). Šī kritērija kontekstā attiecībā uz izmeklēšanas iestādēm, kurās tiek izmeklēti faktiski šīs pašas iestādes amatpersonu izdarītie noziedzīgie nodarījumi, interešu konfliktu varētu konstatēt VP, D</w:t>
            </w:r>
            <w:r w:rsidR="001E0C5C">
              <w:rPr>
                <w:sz w:val="24"/>
                <w:szCs w:val="24"/>
              </w:rPr>
              <w:t>rošības policijas</w:t>
            </w:r>
            <w:r w:rsidRPr="001D510D">
              <w:rPr>
                <w:sz w:val="24"/>
                <w:szCs w:val="24"/>
              </w:rPr>
              <w:t xml:space="preserve">, Finanšu policijas, Militārās policijas, </w:t>
            </w:r>
            <w:proofErr w:type="spellStart"/>
            <w:r w:rsidRPr="001D510D">
              <w:rPr>
                <w:sz w:val="24"/>
                <w:szCs w:val="24"/>
              </w:rPr>
              <w:t>IeVP</w:t>
            </w:r>
            <w:proofErr w:type="spellEnd"/>
            <w:r w:rsidRPr="001D510D">
              <w:rPr>
                <w:sz w:val="24"/>
                <w:szCs w:val="24"/>
              </w:rPr>
              <w:t xml:space="preserve"> un Valsts robežsardzes veikto izmeklēšanu laikā. Taču vienlaikus, jāatzīst, k</w:t>
            </w:r>
            <w:r w:rsidR="00FB599C">
              <w:rPr>
                <w:sz w:val="24"/>
                <w:szCs w:val="24"/>
              </w:rPr>
              <w:t>a līdz šim Konvencijas 2. un 3.</w:t>
            </w:r>
            <w:r w:rsidRPr="001D510D">
              <w:rPr>
                <w:sz w:val="24"/>
                <w:szCs w:val="24"/>
              </w:rPr>
              <w:t xml:space="preserve">panta </w:t>
            </w:r>
            <w:r w:rsidR="009244D2">
              <w:rPr>
                <w:sz w:val="24"/>
                <w:szCs w:val="24"/>
              </w:rPr>
              <w:t xml:space="preserve">pārkāpumi tikuši konstatēti VP </w:t>
            </w:r>
            <w:r w:rsidRPr="001D510D">
              <w:rPr>
                <w:sz w:val="24"/>
                <w:szCs w:val="24"/>
              </w:rPr>
              <w:t xml:space="preserve">un </w:t>
            </w:r>
            <w:proofErr w:type="spellStart"/>
            <w:r w:rsidRPr="001D510D">
              <w:rPr>
                <w:sz w:val="24"/>
                <w:szCs w:val="24"/>
              </w:rPr>
              <w:t>IeVP</w:t>
            </w:r>
            <w:proofErr w:type="spellEnd"/>
            <w:r w:rsidRPr="001D510D">
              <w:rPr>
                <w:sz w:val="24"/>
                <w:szCs w:val="24"/>
              </w:rPr>
              <w:t xml:space="preserve"> amatpersonu darbībā. Savukārt attiecībā uz VP </w:t>
            </w:r>
            <w:r w:rsidR="001E0C5C">
              <w:rPr>
                <w:sz w:val="24"/>
                <w:szCs w:val="24"/>
              </w:rPr>
              <w:t>Iekšējās drošības biroju</w:t>
            </w:r>
            <w:r w:rsidRPr="001D510D">
              <w:rPr>
                <w:sz w:val="24"/>
                <w:szCs w:val="24"/>
              </w:rPr>
              <w:t xml:space="preserve"> jāuzsver, ka, ņemot vērā to, ka </w:t>
            </w:r>
            <w:r w:rsidR="001E0C5C" w:rsidRPr="001D510D">
              <w:rPr>
                <w:sz w:val="24"/>
                <w:szCs w:val="24"/>
              </w:rPr>
              <w:t xml:space="preserve">VP </w:t>
            </w:r>
            <w:r w:rsidR="001E0C5C">
              <w:rPr>
                <w:sz w:val="24"/>
                <w:szCs w:val="24"/>
              </w:rPr>
              <w:t>Iekšējās drošības birojs</w:t>
            </w:r>
            <w:r w:rsidRPr="001D510D">
              <w:rPr>
                <w:sz w:val="24"/>
                <w:szCs w:val="24"/>
              </w:rPr>
              <w:t xml:space="preserve"> saskaņā ar normatīvajiem aktiem ir tieši pakļauts VP priekšniekam un atrodas VP sastāvā, tas virknē starptautisko institūciju jau ir radījis bažas par </w:t>
            </w:r>
            <w:r w:rsidR="001E0C5C" w:rsidRPr="001D510D">
              <w:rPr>
                <w:sz w:val="24"/>
                <w:szCs w:val="24"/>
              </w:rPr>
              <w:t xml:space="preserve">VP </w:t>
            </w:r>
            <w:r w:rsidR="001E0C5C">
              <w:rPr>
                <w:sz w:val="24"/>
                <w:szCs w:val="24"/>
              </w:rPr>
              <w:t>Iekšējās drošības biroja</w:t>
            </w:r>
            <w:r w:rsidRPr="001D510D">
              <w:rPr>
                <w:sz w:val="24"/>
                <w:szCs w:val="24"/>
              </w:rPr>
              <w:t xml:space="preserve"> veikto izmeklēšanu neatkarību. Arī attiecībā uz pašvaldības policiju darbinieku izdarīto noziedzīgo nodarījumu izmeklēšanu, ko saskaņā</w:t>
            </w:r>
            <w:r w:rsidR="00FB599C">
              <w:rPr>
                <w:sz w:val="24"/>
                <w:szCs w:val="24"/>
              </w:rPr>
              <w:t xml:space="preserve"> ar Kriminālprocesa likuma 387.</w:t>
            </w:r>
            <w:r w:rsidRPr="001D510D">
              <w:rPr>
                <w:sz w:val="24"/>
                <w:szCs w:val="24"/>
              </w:rPr>
              <w:t xml:space="preserve">pantu veic VP, var konstatēt interešu konflikta situācijas, kad starp VP teritoriālās struktūrvienības, kas vairumā gadījumos izmeklē pašvaldības policijas darbinieku izdarītos noziedzīgos nodarījumus, kas saistīti ar vardarbību, un attiecīgās pašvaldības policijas darbiniekiem bieži pastāv neformālas saites un </w:t>
            </w:r>
            <w:r w:rsidRPr="001D510D">
              <w:rPr>
                <w:sz w:val="24"/>
                <w:szCs w:val="24"/>
              </w:rPr>
              <w:lastRenderedPageBreak/>
              <w:t>kontakti, kas dod pamatu apšaubīt izmeklēšanas neatkarību un kuru esamība izmeklēšanā netiek pārbaudīta.</w:t>
            </w:r>
          </w:p>
          <w:p w:rsidR="001D510D" w:rsidRPr="00610DD3" w:rsidRDefault="001D510D" w:rsidP="001D510D">
            <w:pPr>
              <w:keepLines/>
              <w:autoSpaceDE w:val="0"/>
              <w:autoSpaceDN w:val="0"/>
              <w:adjustRightInd w:val="0"/>
              <w:ind w:firstLine="662"/>
              <w:rPr>
                <w:sz w:val="24"/>
                <w:szCs w:val="24"/>
              </w:rPr>
            </w:pPr>
            <w:r w:rsidRPr="001D510D">
              <w:rPr>
                <w:sz w:val="24"/>
                <w:szCs w:val="24"/>
              </w:rPr>
              <w:t>Ievērojot to, ka ar pašvaldību policiju sal</w:t>
            </w:r>
            <w:r w:rsidR="00AE77DE">
              <w:rPr>
                <w:sz w:val="24"/>
                <w:szCs w:val="24"/>
              </w:rPr>
              <w:t>īdzināmā situācijā atrodas arī o</w:t>
            </w:r>
            <w:r w:rsidRPr="001D510D">
              <w:rPr>
                <w:sz w:val="24"/>
                <w:szCs w:val="24"/>
              </w:rPr>
              <w:t xml:space="preserve">stu policiju amatpersonas, neatkarīgas izmeklēšanas nodrošināšanai ar </w:t>
            </w:r>
            <w:r w:rsidRPr="00610DD3">
              <w:rPr>
                <w:sz w:val="24"/>
                <w:szCs w:val="24"/>
              </w:rPr>
              <w:t>vardarbību saistītajos gadījumos arī šīs kategorijas lietas</w:t>
            </w:r>
            <w:r w:rsidR="005404C4" w:rsidRPr="00610DD3">
              <w:rPr>
                <w:sz w:val="24"/>
                <w:szCs w:val="24"/>
              </w:rPr>
              <w:t xml:space="preserve"> būtu nododamas izskatīšanai Birojam</w:t>
            </w:r>
            <w:r w:rsidRPr="00610DD3">
              <w:rPr>
                <w:sz w:val="24"/>
                <w:szCs w:val="24"/>
              </w:rPr>
              <w:t>.</w:t>
            </w:r>
          </w:p>
          <w:p w:rsidR="004F0107" w:rsidRPr="004838C8" w:rsidRDefault="004F0107" w:rsidP="00434C0C">
            <w:pPr>
              <w:keepLines/>
              <w:autoSpaceDE w:val="0"/>
              <w:autoSpaceDN w:val="0"/>
              <w:adjustRightInd w:val="0"/>
              <w:ind w:firstLine="662"/>
              <w:rPr>
                <w:sz w:val="24"/>
                <w:szCs w:val="24"/>
              </w:rPr>
            </w:pPr>
            <w:r w:rsidRPr="002D535D">
              <w:rPr>
                <w:sz w:val="24"/>
                <w:szCs w:val="24"/>
              </w:rPr>
              <w:t>Līdzīgā salīdzināmā situācijā atrodas arī Iekšlietu ministrijas un tās padotībā esošo iestā</w:t>
            </w:r>
            <w:r w:rsidR="00434C0C" w:rsidRPr="002D535D">
              <w:rPr>
                <w:sz w:val="24"/>
                <w:szCs w:val="24"/>
              </w:rPr>
              <w:t>žu amatpersonas</w:t>
            </w:r>
            <w:r w:rsidR="00B520DB" w:rsidRPr="002D535D">
              <w:rPr>
                <w:sz w:val="24"/>
                <w:szCs w:val="24"/>
              </w:rPr>
              <w:t xml:space="preserve"> un darbinieki</w:t>
            </w:r>
            <w:r w:rsidR="00434C0C" w:rsidRPr="002D535D">
              <w:rPr>
                <w:sz w:val="24"/>
                <w:szCs w:val="24"/>
              </w:rPr>
              <w:t>. P</w:t>
            </w:r>
            <w:r w:rsidRPr="002D535D">
              <w:rPr>
                <w:sz w:val="24"/>
                <w:szCs w:val="24"/>
              </w:rPr>
              <w:t>iemēram, persona pašreiz strādā kādā no Iekšlietu ministrijas padot</w:t>
            </w:r>
            <w:r w:rsidR="00434C0C" w:rsidRPr="002D535D">
              <w:rPr>
                <w:sz w:val="24"/>
                <w:szCs w:val="24"/>
              </w:rPr>
              <w:t>īb</w:t>
            </w:r>
            <w:r w:rsidRPr="002D535D">
              <w:rPr>
                <w:sz w:val="24"/>
                <w:szCs w:val="24"/>
              </w:rPr>
              <w:t>as iestādēm, bet iepriekš ir strādājusi VP</w:t>
            </w:r>
            <w:r w:rsidR="00434C0C" w:rsidRPr="002D535D">
              <w:rPr>
                <w:sz w:val="24"/>
                <w:szCs w:val="24"/>
              </w:rPr>
              <w:t xml:space="preserve">. Līdz ar to pastāv neformālas saites un kontakti. </w:t>
            </w:r>
            <w:r w:rsidRPr="002D535D">
              <w:rPr>
                <w:sz w:val="24"/>
                <w:szCs w:val="24"/>
              </w:rPr>
              <w:t>Tādējādi arī attiecīgo amatpersonu</w:t>
            </w:r>
            <w:r w:rsidR="00B520DB" w:rsidRPr="002D535D">
              <w:rPr>
                <w:sz w:val="24"/>
                <w:szCs w:val="24"/>
              </w:rPr>
              <w:t xml:space="preserve"> un darbinieku</w:t>
            </w:r>
            <w:r w:rsidRPr="002D535D">
              <w:rPr>
                <w:sz w:val="24"/>
                <w:szCs w:val="24"/>
              </w:rPr>
              <w:t xml:space="preserve"> izdarīto </w:t>
            </w:r>
            <w:r w:rsidRPr="004838C8">
              <w:rPr>
                <w:sz w:val="24"/>
                <w:szCs w:val="24"/>
              </w:rPr>
              <w:t>noziedzīgo nodarījumu izmeklēšana būtu nododama Birojam.</w:t>
            </w:r>
          </w:p>
          <w:p w:rsidR="001D510D" w:rsidRPr="004838C8" w:rsidRDefault="001D510D" w:rsidP="001D510D">
            <w:pPr>
              <w:keepLines/>
              <w:autoSpaceDE w:val="0"/>
              <w:autoSpaceDN w:val="0"/>
              <w:adjustRightInd w:val="0"/>
              <w:ind w:firstLine="662"/>
              <w:rPr>
                <w:sz w:val="24"/>
                <w:szCs w:val="24"/>
              </w:rPr>
            </w:pPr>
            <w:r w:rsidRPr="004838C8">
              <w:rPr>
                <w:sz w:val="24"/>
                <w:szCs w:val="24"/>
              </w:rPr>
              <w:t xml:space="preserve">Ņemot vērā Tieslietu ministrijas darba grupas secinājumus par nepieciešamību nodrošināt arī </w:t>
            </w:r>
            <w:proofErr w:type="spellStart"/>
            <w:r w:rsidRPr="004838C8">
              <w:rPr>
                <w:sz w:val="24"/>
                <w:szCs w:val="24"/>
              </w:rPr>
              <w:t>IeVP</w:t>
            </w:r>
            <w:proofErr w:type="spellEnd"/>
            <w:r w:rsidRPr="004838C8">
              <w:rPr>
                <w:sz w:val="24"/>
                <w:szCs w:val="24"/>
              </w:rPr>
              <w:t xml:space="preserve"> darbinieku izdarīto noziedzīgo nodarījumu, kas saistīti ar vardarbību pret ieslodzītajiem,</w:t>
            </w:r>
            <w:r w:rsidR="007E0AEF" w:rsidRPr="004838C8">
              <w:rPr>
                <w:sz w:val="24"/>
                <w:szCs w:val="24"/>
              </w:rPr>
              <w:t xml:space="preserve"> izmeklēšanas</w:t>
            </w:r>
            <w:r w:rsidRPr="004838C8">
              <w:rPr>
                <w:sz w:val="24"/>
                <w:szCs w:val="24"/>
              </w:rPr>
              <w:t xml:space="preserve"> neatkarību (tostarp institucionālo) un, lai nepieļautu līdzīgu izmeklēšanas funkciju sadrumstalotību, atzīts, ka arī šī veida noziedzīgo nodarīju</w:t>
            </w:r>
            <w:r w:rsidR="005404C4" w:rsidRPr="004838C8">
              <w:rPr>
                <w:sz w:val="24"/>
                <w:szCs w:val="24"/>
              </w:rPr>
              <w:t>mu izmeklēšana būtu nododama Birojam</w:t>
            </w:r>
            <w:r w:rsidRPr="004838C8">
              <w:rPr>
                <w:sz w:val="24"/>
                <w:szCs w:val="24"/>
              </w:rPr>
              <w:t xml:space="preserve">. </w:t>
            </w:r>
          </w:p>
          <w:p w:rsidR="00CE60DB" w:rsidRPr="004838C8" w:rsidRDefault="00565C83" w:rsidP="00CE60DB">
            <w:pPr>
              <w:rPr>
                <w:sz w:val="24"/>
                <w:szCs w:val="24"/>
              </w:rPr>
            </w:pPr>
            <w:r w:rsidRPr="004838C8">
              <w:rPr>
                <w:sz w:val="24"/>
                <w:szCs w:val="24"/>
              </w:rPr>
              <w:t xml:space="preserve">Ņemot vērā minēto, </w:t>
            </w:r>
            <w:r w:rsidR="005404C4" w:rsidRPr="004838C8">
              <w:rPr>
                <w:sz w:val="24"/>
                <w:szCs w:val="24"/>
              </w:rPr>
              <w:t>Biroja</w:t>
            </w:r>
            <w:r w:rsidR="00CE60DB" w:rsidRPr="004838C8">
              <w:rPr>
                <w:sz w:val="24"/>
                <w:szCs w:val="24"/>
              </w:rPr>
              <w:t xml:space="preserve"> kompetencē ieti</w:t>
            </w:r>
            <w:r w:rsidR="00211AD8" w:rsidRPr="004838C8">
              <w:rPr>
                <w:sz w:val="24"/>
                <w:szCs w:val="24"/>
              </w:rPr>
              <w:t>lps noziedzīgo nodarījumu, kurus</w:t>
            </w:r>
            <w:r w:rsidR="00CE60DB" w:rsidRPr="004838C8">
              <w:rPr>
                <w:sz w:val="24"/>
                <w:szCs w:val="24"/>
              </w:rPr>
              <w:t xml:space="preserve"> izdarījušas </w:t>
            </w:r>
            <w:r w:rsidRPr="004838C8">
              <w:rPr>
                <w:sz w:val="24"/>
                <w:szCs w:val="24"/>
              </w:rPr>
              <w:t>Iekšlietu ministrijas un Iekšlietu ministrijas padotībā esošo iestāžu, izņemot Drošības policiju, amatpersonas un darbinieki</w:t>
            </w:r>
            <w:r w:rsidR="00847877" w:rsidRPr="004838C8">
              <w:rPr>
                <w:sz w:val="24"/>
                <w:szCs w:val="24"/>
              </w:rPr>
              <w:t xml:space="preserve"> </w:t>
            </w:r>
            <w:r w:rsidR="00FE09E3" w:rsidRPr="004838C8">
              <w:rPr>
                <w:sz w:val="24"/>
                <w:szCs w:val="24"/>
              </w:rPr>
              <w:t>atklāšana, izmeklēšana</w:t>
            </w:r>
            <w:r w:rsidR="00847877" w:rsidRPr="004838C8">
              <w:rPr>
                <w:sz w:val="24"/>
                <w:szCs w:val="24"/>
              </w:rPr>
              <w:t xml:space="preserve"> un novēršana</w:t>
            </w:r>
            <w:r w:rsidR="00554147">
              <w:rPr>
                <w:sz w:val="24"/>
                <w:szCs w:val="24"/>
              </w:rPr>
              <w:t>,</w:t>
            </w:r>
            <w:r w:rsidR="00554147" w:rsidRPr="00554147">
              <w:rPr>
                <w:sz w:val="24"/>
                <w:szCs w:val="24"/>
              </w:rPr>
              <w:t xml:space="preserve"> vienlaicīgi saglabājot arī Valsts robežsardzes tiesības izmeklēt robežsarga kā valsts amatpersonas izdarītus noziedzīgus nodarījumus, ja tie nav saistīti ar vardarbību. </w:t>
            </w:r>
            <w:r w:rsidR="00BE22DB" w:rsidRPr="004838C8">
              <w:rPr>
                <w:sz w:val="24"/>
                <w:szCs w:val="24"/>
              </w:rPr>
              <w:t>Savukārt</w:t>
            </w:r>
            <w:r w:rsidR="00CE60DB" w:rsidRPr="004838C8">
              <w:rPr>
                <w:sz w:val="24"/>
                <w:szCs w:val="24"/>
              </w:rPr>
              <w:t xml:space="preserve"> attiecībā uz</w:t>
            </w:r>
            <w:r w:rsidR="00172106" w:rsidRPr="004838C8">
              <w:rPr>
                <w:sz w:val="24"/>
                <w:szCs w:val="24"/>
              </w:rPr>
              <w:t xml:space="preserve"> </w:t>
            </w:r>
            <w:proofErr w:type="spellStart"/>
            <w:r w:rsidR="0007566F" w:rsidRPr="004838C8">
              <w:rPr>
                <w:sz w:val="24"/>
                <w:szCs w:val="24"/>
              </w:rPr>
              <w:t>IeVP</w:t>
            </w:r>
            <w:proofErr w:type="spellEnd"/>
            <w:r w:rsidR="00797D76" w:rsidRPr="004838C8">
              <w:rPr>
                <w:sz w:val="24"/>
                <w:szCs w:val="24"/>
              </w:rPr>
              <w:t>, pašvaldības policijas un ostas policijas</w:t>
            </w:r>
            <w:r w:rsidR="00CE60DB" w:rsidRPr="004838C8">
              <w:rPr>
                <w:sz w:val="24"/>
                <w:szCs w:val="24"/>
              </w:rPr>
              <w:t xml:space="preserve"> </w:t>
            </w:r>
            <w:r w:rsidR="00BE22DB" w:rsidRPr="004838C8">
              <w:rPr>
                <w:sz w:val="24"/>
                <w:szCs w:val="24"/>
              </w:rPr>
              <w:t>darbinieku</w:t>
            </w:r>
            <w:r w:rsidR="00CE60DB" w:rsidRPr="004838C8">
              <w:rPr>
                <w:sz w:val="24"/>
                <w:szCs w:val="24"/>
              </w:rPr>
              <w:t xml:space="preserve"> izdarītajiem </w:t>
            </w:r>
            <w:r w:rsidR="005404C4" w:rsidRPr="004838C8">
              <w:rPr>
                <w:sz w:val="24"/>
                <w:szCs w:val="24"/>
              </w:rPr>
              <w:t>noziedzīgajiem nodarījumiem, Biroja</w:t>
            </w:r>
            <w:r w:rsidR="00CE60DB" w:rsidRPr="004838C8">
              <w:rPr>
                <w:sz w:val="24"/>
                <w:szCs w:val="24"/>
              </w:rPr>
              <w:t xml:space="preserve"> kompetencē ietilps tikai tādu noziedzīgo nodarījumu </w:t>
            </w:r>
            <w:r w:rsidR="00FE09E3" w:rsidRPr="004838C8">
              <w:rPr>
                <w:sz w:val="24"/>
                <w:szCs w:val="24"/>
              </w:rPr>
              <w:t>atklāšana, izmeklēšana</w:t>
            </w:r>
            <w:r w:rsidR="00CE60DB" w:rsidRPr="004838C8">
              <w:rPr>
                <w:sz w:val="24"/>
                <w:szCs w:val="24"/>
              </w:rPr>
              <w:t xml:space="preserve"> un novēršana, kas izdar</w:t>
            </w:r>
            <w:r w:rsidR="00797D76" w:rsidRPr="004838C8">
              <w:rPr>
                <w:sz w:val="24"/>
                <w:szCs w:val="24"/>
              </w:rPr>
              <w:t>īti, pildot dienesta pienākumus,</w:t>
            </w:r>
            <w:r w:rsidR="00CE60DB" w:rsidRPr="004838C8">
              <w:rPr>
                <w:sz w:val="24"/>
                <w:szCs w:val="24"/>
              </w:rPr>
              <w:t xml:space="preserve"> un saistīti ar vardarbību.</w:t>
            </w:r>
          </w:p>
          <w:p w:rsidR="00907B1F" w:rsidRPr="0044584E" w:rsidRDefault="00610DD3" w:rsidP="00907B1F">
            <w:pPr>
              <w:keepLines/>
              <w:autoSpaceDE w:val="0"/>
              <w:autoSpaceDN w:val="0"/>
              <w:adjustRightInd w:val="0"/>
              <w:ind w:firstLine="662"/>
              <w:rPr>
                <w:sz w:val="24"/>
                <w:szCs w:val="24"/>
              </w:rPr>
            </w:pPr>
            <w:r>
              <w:rPr>
                <w:sz w:val="24"/>
                <w:szCs w:val="24"/>
              </w:rPr>
              <w:t>L</w:t>
            </w:r>
            <w:r w:rsidRPr="004D7489">
              <w:rPr>
                <w:sz w:val="24"/>
                <w:szCs w:val="24"/>
              </w:rPr>
              <w:t xml:space="preserve">ai </w:t>
            </w:r>
            <w:r>
              <w:rPr>
                <w:sz w:val="24"/>
                <w:szCs w:val="24"/>
              </w:rPr>
              <w:t>atklātu</w:t>
            </w:r>
            <w:r w:rsidRPr="004D7489">
              <w:rPr>
                <w:sz w:val="24"/>
                <w:szCs w:val="24"/>
              </w:rPr>
              <w:t xml:space="preserve"> noziedzīgo nodarījumu izdarīšanu</w:t>
            </w:r>
            <w:r>
              <w:rPr>
                <w:sz w:val="24"/>
                <w:szCs w:val="24"/>
              </w:rPr>
              <w:t>,</w:t>
            </w:r>
            <w:r w:rsidRPr="004D7489">
              <w:rPr>
                <w:sz w:val="24"/>
                <w:szCs w:val="24"/>
              </w:rPr>
              <w:t xml:space="preserve"> </w:t>
            </w:r>
            <w:r>
              <w:rPr>
                <w:sz w:val="24"/>
                <w:szCs w:val="24"/>
              </w:rPr>
              <w:t>likumprojektā</w:t>
            </w:r>
            <w:r w:rsidR="00291BFD" w:rsidRPr="00610DD3">
              <w:rPr>
                <w:sz w:val="24"/>
                <w:szCs w:val="24"/>
              </w:rPr>
              <w:t xml:space="preserve"> „Iekšējās drošības biroja likums” (turpmāk - Likumprojekts)</w:t>
            </w:r>
            <w:r>
              <w:rPr>
                <w:sz w:val="24"/>
                <w:szCs w:val="24"/>
              </w:rPr>
              <w:t xml:space="preserve"> tiek paredzēts, ka</w:t>
            </w:r>
            <w:r w:rsidR="00291BFD" w:rsidRPr="00610DD3">
              <w:rPr>
                <w:sz w:val="24"/>
                <w:szCs w:val="24"/>
              </w:rPr>
              <w:t xml:space="preserve"> </w:t>
            </w:r>
            <w:r w:rsidR="0007566F" w:rsidRPr="00610DD3">
              <w:rPr>
                <w:sz w:val="24"/>
                <w:szCs w:val="24"/>
              </w:rPr>
              <w:t xml:space="preserve"> </w:t>
            </w:r>
            <w:r w:rsidR="005404C4" w:rsidRPr="00610DD3">
              <w:rPr>
                <w:sz w:val="24"/>
                <w:szCs w:val="24"/>
              </w:rPr>
              <w:t>Birojs</w:t>
            </w:r>
            <w:r w:rsidR="00907B1F" w:rsidRPr="00610DD3">
              <w:rPr>
                <w:sz w:val="24"/>
                <w:szCs w:val="24"/>
              </w:rPr>
              <w:t xml:space="preserve"> ir </w:t>
            </w:r>
            <w:r>
              <w:rPr>
                <w:sz w:val="24"/>
                <w:szCs w:val="24"/>
              </w:rPr>
              <w:t>operatīvās darbības subjekts.</w:t>
            </w:r>
          </w:p>
          <w:p w:rsidR="00907B1F" w:rsidRPr="00005934" w:rsidRDefault="005404C4" w:rsidP="00907B1F">
            <w:pPr>
              <w:autoSpaceDE w:val="0"/>
              <w:autoSpaceDN w:val="0"/>
              <w:adjustRightInd w:val="0"/>
              <w:rPr>
                <w:szCs w:val="28"/>
              </w:rPr>
            </w:pPr>
            <w:r>
              <w:rPr>
                <w:sz w:val="24"/>
                <w:szCs w:val="24"/>
              </w:rPr>
              <w:t>Biroja</w:t>
            </w:r>
            <w:r w:rsidR="0007566F" w:rsidRPr="0044584E">
              <w:rPr>
                <w:sz w:val="24"/>
                <w:szCs w:val="24"/>
              </w:rPr>
              <w:t xml:space="preserve"> darbinieku profesionalitātes, neitralitātes un motivācijas nodrošināšanai Li</w:t>
            </w:r>
            <w:r>
              <w:rPr>
                <w:sz w:val="24"/>
                <w:szCs w:val="24"/>
              </w:rPr>
              <w:t>kumprojekts paredz, ka Biroja</w:t>
            </w:r>
            <w:r w:rsidR="00CC3788">
              <w:rPr>
                <w:sz w:val="24"/>
                <w:szCs w:val="24"/>
              </w:rPr>
              <w:t>m noteikto</w:t>
            </w:r>
            <w:r w:rsidR="0007566F" w:rsidRPr="0044584E">
              <w:rPr>
                <w:sz w:val="24"/>
                <w:szCs w:val="24"/>
              </w:rPr>
              <w:t xml:space="preserve"> funkciju veicēji ir amatpersonas ar speciālajām dienesta pakāpēm. Savukārt personas, kas nodrošinās atbalsta funkciju </w:t>
            </w:r>
            <w:r w:rsidR="0007566F" w:rsidRPr="00005934">
              <w:rPr>
                <w:sz w:val="24"/>
                <w:szCs w:val="24"/>
              </w:rPr>
              <w:t>veikšanu</w:t>
            </w:r>
            <w:r w:rsidR="0044584E" w:rsidRPr="00005934">
              <w:rPr>
                <w:sz w:val="24"/>
                <w:szCs w:val="24"/>
              </w:rPr>
              <w:t>,</w:t>
            </w:r>
            <w:r w:rsidR="0007566F" w:rsidRPr="00005934">
              <w:rPr>
                <w:sz w:val="24"/>
                <w:szCs w:val="24"/>
              </w:rPr>
              <w:t xml:space="preserve"> būs darbinieki</w:t>
            </w:r>
            <w:r w:rsidR="0007566F" w:rsidRPr="00005934">
              <w:rPr>
                <w:szCs w:val="28"/>
              </w:rPr>
              <w:t>.</w:t>
            </w:r>
          </w:p>
          <w:p w:rsidR="00551516" w:rsidRDefault="00222207" w:rsidP="00C05907">
            <w:pPr>
              <w:autoSpaceDE w:val="0"/>
              <w:autoSpaceDN w:val="0"/>
              <w:adjustRightInd w:val="0"/>
              <w:rPr>
                <w:sz w:val="24"/>
                <w:szCs w:val="24"/>
              </w:rPr>
            </w:pPr>
            <w:r w:rsidRPr="00B00CF2">
              <w:rPr>
                <w:sz w:val="24"/>
                <w:szCs w:val="24"/>
              </w:rPr>
              <w:t xml:space="preserve">Veicot </w:t>
            </w:r>
            <w:r w:rsidR="005404C4" w:rsidRPr="00B00CF2">
              <w:rPr>
                <w:sz w:val="24"/>
                <w:szCs w:val="24"/>
              </w:rPr>
              <w:t>Biroja</w:t>
            </w:r>
            <w:r w:rsidR="004D7489" w:rsidRPr="00B00CF2">
              <w:rPr>
                <w:sz w:val="24"/>
                <w:szCs w:val="24"/>
              </w:rPr>
              <w:t>m</w:t>
            </w:r>
            <w:r w:rsidR="00B95D25" w:rsidRPr="00B00CF2">
              <w:rPr>
                <w:sz w:val="24"/>
                <w:szCs w:val="24"/>
              </w:rPr>
              <w:t xml:space="preserve"> noteiktos uzdevumus</w:t>
            </w:r>
            <w:r w:rsidR="003A2985" w:rsidRPr="00B00CF2">
              <w:rPr>
                <w:sz w:val="24"/>
                <w:szCs w:val="24"/>
              </w:rPr>
              <w:t xml:space="preserve"> </w:t>
            </w:r>
            <w:r w:rsidR="00FE09E3">
              <w:rPr>
                <w:sz w:val="24"/>
                <w:szCs w:val="24"/>
              </w:rPr>
              <w:t>–</w:t>
            </w:r>
            <w:r w:rsidR="00B95D25" w:rsidRPr="00B00CF2">
              <w:rPr>
                <w:sz w:val="24"/>
                <w:szCs w:val="24"/>
              </w:rPr>
              <w:t xml:space="preserve"> </w:t>
            </w:r>
            <w:r w:rsidR="00FE09E3" w:rsidRPr="00B00CF2">
              <w:rPr>
                <w:sz w:val="24"/>
                <w:szCs w:val="24"/>
              </w:rPr>
              <w:t xml:space="preserve">atklāt </w:t>
            </w:r>
            <w:r w:rsidR="00FE09E3">
              <w:rPr>
                <w:sz w:val="24"/>
                <w:szCs w:val="24"/>
              </w:rPr>
              <w:t>un</w:t>
            </w:r>
            <w:r w:rsidR="00FE09E3" w:rsidRPr="00B00CF2">
              <w:rPr>
                <w:sz w:val="24"/>
                <w:szCs w:val="24"/>
              </w:rPr>
              <w:t xml:space="preserve"> </w:t>
            </w:r>
            <w:r w:rsidR="00B95D25" w:rsidRPr="00B00CF2">
              <w:rPr>
                <w:sz w:val="24"/>
                <w:szCs w:val="24"/>
              </w:rPr>
              <w:t>izmeklēt noziedzīgos nodarījumus,</w:t>
            </w:r>
            <w:r w:rsidR="005404C4" w:rsidRPr="00B00CF2">
              <w:rPr>
                <w:sz w:val="24"/>
                <w:szCs w:val="24"/>
              </w:rPr>
              <w:t xml:space="preserve"> Biroja</w:t>
            </w:r>
            <w:r w:rsidRPr="00B00CF2">
              <w:rPr>
                <w:sz w:val="24"/>
                <w:szCs w:val="24"/>
              </w:rPr>
              <w:t xml:space="preserve"> amatpersonas ar speciālajām dienesta pakāp</w:t>
            </w:r>
            <w:r w:rsidR="00E2025F" w:rsidRPr="00B00CF2">
              <w:rPr>
                <w:sz w:val="24"/>
                <w:szCs w:val="24"/>
              </w:rPr>
              <w:t>ēm</w:t>
            </w:r>
            <w:r w:rsidRPr="00B00CF2">
              <w:rPr>
                <w:sz w:val="24"/>
                <w:szCs w:val="24"/>
              </w:rPr>
              <w:t xml:space="preserve"> </w:t>
            </w:r>
            <w:r w:rsidRPr="00096827">
              <w:rPr>
                <w:color w:val="000000" w:themeColor="text1"/>
                <w:sz w:val="24"/>
                <w:szCs w:val="24"/>
              </w:rPr>
              <w:t>darbosies Operatīvās darbības likuma un Krimin</w:t>
            </w:r>
            <w:r w:rsidR="00D36617" w:rsidRPr="00096827">
              <w:rPr>
                <w:color w:val="000000" w:themeColor="text1"/>
                <w:sz w:val="24"/>
                <w:szCs w:val="24"/>
              </w:rPr>
              <w:t xml:space="preserve">ālprocesa likuma ietvaros. </w:t>
            </w:r>
            <w:r w:rsidR="00551516" w:rsidRPr="00096827">
              <w:rPr>
                <w:color w:val="000000" w:themeColor="text1"/>
                <w:sz w:val="24"/>
                <w:szCs w:val="24"/>
              </w:rPr>
              <w:t xml:space="preserve">Savukārt Birojam noteiktā funkcija – noziedzīgu nodarījumu novēršana, tiks īstenota, </w:t>
            </w:r>
            <w:r w:rsidR="00A02F7B">
              <w:rPr>
                <w:color w:val="000000" w:themeColor="text1"/>
                <w:sz w:val="24"/>
                <w:szCs w:val="24"/>
              </w:rPr>
              <w:t>analizējot šā likuma 4</w:t>
            </w:r>
            <w:r w:rsidR="00B31167" w:rsidRPr="00096827">
              <w:rPr>
                <w:color w:val="000000" w:themeColor="text1"/>
                <w:sz w:val="24"/>
                <w:szCs w:val="24"/>
              </w:rPr>
              <w:t>.panta pirmajā daļā minēto personu izdarītos noziedzīgos nodarījumus</w:t>
            </w:r>
            <w:r w:rsidR="00716DDF" w:rsidRPr="00096827">
              <w:rPr>
                <w:color w:val="000000" w:themeColor="text1"/>
                <w:sz w:val="24"/>
                <w:szCs w:val="24"/>
              </w:rPr>
              <w:t xml:space="preserve"> (statistiskas analīze, noziedzīgo nodar</w:t>
            </w:r>
            <w:r w:rsidR="00716DDF">
              <w:rPr>
                <w:color w:val="000000" w:themeColor="text1"/>
                <w:sz w:val="24"/>
                <w:szCs w:val="24"/>
              </w:rPr>
              <w:t>ījumu subjektīvās puses analīze u.t.t.)</w:t>
            </w:r>
            <w:r w:rsidR="00716DDF" w:rsidRPr="00096827">
              <w:rPr>
                <w:color w:val="000000" w:themeColor="text1"/>
                <w:sz w:val="24"/>
                <w:szCs w:val="24"/>
              </w:rPr>
              <w:t xml:space="preserve"> </w:t>
            </w:r>
            <w:r w:rsidR="00B31167" w:rsidRPr="00096827">
              <w:rPr>
                <w:color w:val="000000" w:themeColor="text1"/>
                <w:sz w:val="24"/>
                <w:szCs w:val="24"/>
              </w:rPr>
              <w:t xml:space="preserve"> un sniedzot priekšlikumus attiecīgajam iestādes vadītājam konstatēto trūkumu novēršanai</w:t>
            </w:r>
            <w:r w:rsidR="00716DDF">
              <w:rPr>
                <w:color w:val="000000" w:themeColor="text1"/>
                <w:sz w:val="24"/>
                <w:szCs w:val="24"/>
              </w:rPr>
              <w:t xml:space="preserve">. </w:t>
            </w:r>
          </w:p>
          <w:p w:rsidR="0057791C" w:rsidRPr="00B00CF2" w:rsidRDefault="0057791C" w:rsidP="0057791C">
            <w:pPr>
              <w:autoSpaceDE w:val="0"/>
              <w:autoSpaceDN w:val="0"/>
              <w:adjustRightInd w:val="0"/>
              <w:rPr>
                <w:sz w:val="24"/>
                <w:szCs w:val="24"/>
              </w:rPr>
            </w:pPr>
            <w:r w:rsidRPr="00B00CF2">
              <w:rPr>
                <w:sz w:val="24"/>
                <w:szCs w:val="24"/>
              </w:rPr>
              <w:t>Vienlaikus Likumprojektā Biroja amatpersonām tiek paredzētas</w:t>
            </w:r>
            <w:r w:rsidR="00BE2406" w:rsidRPr="00B00CF2">
              <w:rPr>
                <w:sz w:val="24"/>
                <w:szCs w:val="24"/>
              </w:rPr>
              <w:t xml:space="preserve"> </w:t>
            </w:r>
            <w:r w:rsidRPr="00B00CF2">
              <w:rPr>
                <w:sz w:val="24"/>
                <w:szCs w:val="24"/>
              </w:rPr>
              <w:t xml:space="preserve">arī </w:t>
            </w:r>
            <w:r w:rsidR="00B00CF2" w:rsidRPr="00B00CF2">
              <w:rPr>
                <w:sz w:val="24"/>
                <w:szCs w:val="24"/>
              </w:rPr>
              <w:t xml:space="preserve">citas </w:t>
            </w:r>
            <w:r w:rsidRPr="00B00CF2">
              <w:rPr>
                <w:sz w:val="24"/>
                <w:szCs w:val="24"/>
              </w:rPr>
              <w:t xml:space="preserve">tiesības, kas nepieciešamas, lai nodrošinātu Birojam noteikto funkciju – izmeklēt un atklāt noziedzīgos nodarījumus, izpildi. Piemēram, tiesības pielietot šaujamieroci, pārvietot aizturētās un apcietinātās personas apsardzes uzraudzībā (Biroja amatpersonu rīcība, </w:t>
            </w:r>
            <w:r w:rsidRPr="00B00CF2">
              <w:rPr>
                <w:sz w:val="24"/>
                <w:szCs w:val="24"/>
              </w:rPr>
              <w:lastRenderedPageBreak/>
              <w:t>pārvietojot aizturētās un apcietinātās personas apsardzes uzraudzībā, tiks noteikta iekšējā normatīvajā aktā).</w:t>
            </w:r>
          </w:p>
          <w:p w:rsidR="00986CEF" w:rsidRDefault="002C2860" w:rsidP="00986CEF">
            <w:pPr>
              <w:autoSpaceDE w:val="0"/>
              <w:autoSpaceDN w:val="0"/>
              <w:adjustRightInd w:val="0"/>
              <w:rPr>
                <w:sz w:val="24"/>
                <w:szCs w:val="24"/>
              </w:rPr>
            </w:pPr>
            <w:r w:rsidRPr="00B00CF2">
              <w:rPr>
                <w:sz w:val="24"/>
                <w:szCs w:val="24"/>
              </w:rPr>
              <w:t xml:space="preserve">Savukārt, lai nodrošinātu </w:t>
            </w:r>
            <w:r w:rsidR="009C7C37">
              <w:rPr>
                <w:sz w:val="24"/>
                <w:szCs w:val="24"/>
              </w:rPr>
              <w:t>Biroja funkciju izpildi</w:t>
            </w:r>
            <w:r w:rsidR="000F7B17" w:rsidRPr="00B00CF2">
              <w:rPr>
                <w:sz w:val="24"/>
                <w:szCs w:val="24"/>
              </w:rPr>
              <w:t xml:space="preserve">, Biroja amatpersonām tiek paredzētas tiesības </w:t>
            </w:r>
            <w:r w:rsidR="00FF48E0" w:rsidRPr="00B00CF2">
              <w:rPr>
                <w:sz w:val="24"/>
                <w:szCs w:val="24"/>
              </w:rPr>
              <w:t>veikt</w:t>
            </w:r>
            <w:r w:rsidR="009C7C37">
              <w:rPr>
                <w:sz w:val="24"/>
                <w:szCs w:val="24"/>
              </w:rPr>
              <w:t xml:space="preserve"> </w:t>
            </w:r>
            <w:r w:rsidR="009C7C37" w:rsidRPr="009C7C37">
              <w:rPr>
                <w:sz w:val="24"/>
                <w:szCs w:val="24"/>
              </w:rPr>
              <w:t>pārbaudi, lai noskaidrotu un pārbaudītu ar Biroja funkciju izpildi saistītus faktus un apstākļus</w:t>
            </w:r>
            <w:r w:rsidR="009C7C37">
              <w:rPr>
                <w:sz w:val="24"/>
                <w:szCs w:val="24"/>
              </w:rPr>
              <w:t>, kā arī veikt</w:t>
            </w:r>
            <w:r w:rsidR="00FF48E0" w:rsidRPr="00B00CF2">
              <w:rPr>
                <w:sz w:val="24"/>
                <w:szCs w:val="24"/>
              </w:rPr>
              <w:t xml:space="preserve"> personu aptauju, pieņemt paskaidrojumus, kā arī izsaukt uz Biroju jebkuru personu, apskatīt publiski nepieejamas vietas</w:t>
            </w:r>
            <w:r w:rsidR="00AB4D84">
              <w:rPr>
                <w:sz w:val="24"/>
                <w:szCs w:val="24"/>
              </w:rPr>
              <w:t xml:space="preserve"> u.c.</w:t>
            </w:r>
          </w:p>
          <w:p w:rsidR="009C7C37" w:rsidRPr="00B00CF2" w:rsidRDefault="009C7C37" w:rsidP="009C7C37">
            <w:pPr>
              <w:rPr>
                <w:sz w:val="24"/>
                <w:szCs w:val="24"/>
              </w:rPr>
            </w:pPr>
            <w:r>
              <w:rPr>
                <w:sz w:val="24"/>
                <w:szCs w:val="24"/>
              </w:rPr>
              <w:t xml:space="preserve">Vienlaikus likumprojekts paredz, ka </w:t>
            </w:r>
            <w:r w:rsidRPr="009C7C37">
              <w:rPr>
                <w:sz w:val="24"/>
                <w:szCs w:val="24"/>
              </w:rPr>
              <w:t>Valsts policija pēc Biroja pieprasīju sniedz nepieciešamo atbalstu Birojam tā funkciju izpildes nodrošināšanai</w:t>
            </w:r>
            <w:r>
              <w:rPr>
                <w:sz w:val="24"/>
                <w:szCs w:val="24"/>
              </w:rPr>
              <w:t>. Minētais nepieciešams, lai Birojs varētu efektīvi nodrošināt tam noteiktās funkcijas situācijās, kad uzdevuma izpildē ir nepieciešams piesaistīt īpaši ekipētas vai apmācītas amatpersonas, piemēram, noziedzīgu nodarījumu izdarījušu bruņotu personu aizturēšanu.</w:t>
            </w:r>
          </w:p>
          <w:p w:rsidR="00A41CD9" w:rsidRDefault="00DF58DC" w:rsidP="00A41CD9">
            <w:pPr>
              <w:autoSpaceDE w:val="0"/>
              <w:autoSpaceDN w:val="0"/>
              <w:adjustRightInd w:val="0"/>
              <w:rPr>
                <w:sz w:val="24"/>
                <w:szCs w:val="24"/>
              </w:rPr>
            </w:pPr>
            <w:r w:rsidRPr="00B00CF2">
              <w:rPr>
                <w:sz w:val="24"/>
                <w:szCs w:val="24"/>
              </w:rPr>
              <w:t xml:space="preserve">Lai nodrošinātu nepārprotamu skaidrību par </w:t>
            </w:r>
            <w:r w:rsidR="004D263F" w:rsidRPr="00B00CF2">
              <w:rPr>
                <w:sz w:val="24"/>
                <w:szCs w:val="24"/>
              </w:rPr>
              <w:t xml:space="preserve">Biroja amatpersonu </w:t>
            </w:r>
            <w:r w:rsidR="00C3140E" w:rsidRPr="00B00CF2">
              <w:rPr>
                <w:sz w:val="24"/>
                <w:szCs w:val="24"/>
              </w:rPr>
              <w:t>atlīdzību, ierobežojumiem un dienesta gaitu, Likumprojektā ir ietvertas tiesību normas, kur</w:t>
            </w:r>
            <w:r w:rsidR="00A24A33" w:rsidRPr="00B00CF2">
              <w:rPr>
                <w:sz w:val="24"/>
                <w:szCs w:val="24"/>
              </w:rPr>
              <w:t>ās tiek noteik</w:t>
            </w:r>
            <w:r w:rsidR="002655F0" w:rsidRPr="00B00CF2">
              <w:rPr>
                <w:sz w:val="24"/>
                <w:szCs w:val="24"/>
              </w:rPr>
              <w:t>t</w:t>
            </w:r>
            <w:r w:rsidR="00A24A33" w:rsidRPr="00B00CF2">
              <w:rPr>
                <w:sz w:val="24"/>
                <w:szCs w:val="24"/>
              </w:rPr>
              <w:t>s</w:t>
            </w:r>
            <w:r w:rsidR="00C3140E" w:rsidRPr="00B00CF2">
              <w:rPr>
                <w:sz w:val="24"/>
                <w:szCs w:val="24"/>
              </w:rPr>
              <w:t xml:space="preserve">, kādi ārējie normatīvie akti regulē Biroja amatpersonu </w:t>
            </w:r>
            <w:r w:rsidR="002655F0" w:rsidRPr="00B00CF2">
              <w:rPr>
                <w:sz w:val="24"/>
                <w:szCs w:val="24"/>
              </w:rPr>
              <w:t>atlīdzību, ierobežojumus</w:t>
            </w:r>
            <w:r w:rsidR="00A24A33" w:rsidRPr="00B00CF2">
              <w:rPr>
                <w:sz w:val="24"/>
                <w:szCs w:val="24"/>
              </w:rPr>
              <w:t xml:space="preserve"> un dienesta</w:t>
            </w:r>
            <w:r w:rsidR="002655F0" w:rsidRPr="00B00CF2">
              <w:rPr>
                <w:sz w:val="24"/>
                <w:szCs w:val="24"/>
              </w:rPr>
              <w:t xml:space="preserve"> gaitu</w:t>
            </w:r>
            <w:r w:rsidR="00A24A33" w:rsidRPr="00B00CF2">
              <w:rPr>
                <w:sz w:val="24"/>
                <w:szCs w:val="24"/>
              </w:rPr>
              <w:t xml:space="preserve">. Ņemot </w:t>
            </w:r>
            <w:r w:rsidR="002655F0" w:rsidRPr="00B00CF2">
              <w:rPr>
                <w:sz w:val="24"/>
                <w:szCs w:val="24"/>
              </w:rPr>
              <w:t>v</w:t>
            </w:r>
            <w:r w:rsidR="00A24A33" w:rsidRPr="00B00CF2">
              <w:rPr>
                <w:sz w:val="24"/>
                <w:szCs w:val="24"/>
              </w:rPr>
              <w:t>ērā to, ka Biroja amatpersonas būs amatpersonas ar speciālo dienesta pak</w:t>
            </w:r>
            <w:r w:rsidR="00D674EE" w:rsidRPr="00B00CF2">
              <w:rPr>
                <w:sz w:val="24"/>
                <w:szCs w:val="24"/>
              </w:rPr>
              <w:t>āp</w:t>
            </w:r>
            <w:r w:rsidR="002655F0" w:rsidRPr="00B00CF2">
              <w:rPr>
                <w:sz w:val="24"/>
                <w:szCs w:val="24"/>
              </w:rPr>
              <w:t>i</w:t>
            </w:r>
            <w:r w:rsidR="0057791C" w:rsidRPr="00B00CF2">
              <w:rPr>
                <w:sz w:val="24"/>
                <w:szCs w:val="24"/>
              </w:rPr>
              <w:t>,</w:t>
            </w:r>
            <w:r w:rsidR="00D674EE" w:rsidRPr="00B00CF2">
              <w:rPr>
                <w:sz w:val="24"/>
                <w:szCs w:val="24"/>
              </w:rPr>
              <w:t xml:space="preserve"> dienesta gaitu </w:t>
            </w:r>
            <w:r w:rsidR="00A24A33" w:rsidRPr="00B00CF2">
              <w:rPr>
                <w:sz w:val="24"/>
                <w:szCs w:val="24"/>
              </w:rPr>
              <w:t>noteiks</w:t>
            </w:r>
            <w:r w:rsidR="00A41CD9" w:rsidRPr="00B00CF2">
              <w:rPr>
                <w:sz w:val="24"/>
                <w:szCs w:val="24"/>
              </w:rPr>
              <w:t xml:space="preserve"> Iekšlietu ministrijas sistēmas iestāžu un Ieslodzījuma vietu pārvaldes amatpersonu ar speciālajā dienesta pakāpēm dienesta gaita likums. Savukārt </w:t>
            </w:r>
            <w:r w:rsidR="00D674EE" w:rsidRPr="00B00CF2">
              <w:rPr>
                <w:sz w:val="24"/>
                <w:szCs w:val="24"/>
              </w:rPr>
              <w:t>Biroja amatpersonu ienākumu gūšanas, amatu savienošana</w:t>
            </w:r>
            <w:r w:rsidR="002655F0" w:rsidRPr="00B00CF2">
              <w:rPr>
                <w:sz w:val="24"/>
                <w:szCs w:val="24"/>
              </w:rPr>
              <w:t>s</w:t>
            </w:r>
            <w:r w:rsidR="00D674EE" w:rsidRPr="00B00CF2">
              <w:rPr>
                <w:sz w:val="24"/>
                <w:szCs w:val="24"/>
              </w:rPr>
              <w:t>, komercdarbības ierobežojumus, kā arī citus ierobežojumus, aizliegumus un pienākumus nosaka likums “Par interešu konflikta novēršanu valsts amatpersonu darbībā”.</w:t>
            </w:r>
            <w:r w:rsidR="002655F0" w:rsidRPr="00B00CF2">
              <w:rPr>
                <w:sz w:val="24"/>
                <w:szCs w:val="24"/>
              </w:rPr>
              <w:t xml:space="preserve"> Biroja amatpersonu atlīdzība</w:t>
            </w:r>
            <w:r w:rsidR="00BC3254" w:rsidRPr="00B00CF2">
              <w:rPr>
                <w:sz w:val="24"/>
                <w:szCs w:val="24"/>
              </w:rPr>
              <w:t xml:space="preserve"> tiks noteikta atbilstoši Valsts un pašvaldību institūciju amatpersonu un darbinieku atlīdzības likumam.  </w:t>
            </w:r>
          </w:p>
          <w:p w:rsidR="00761F3F" w:rsidRDefault="00761F3F" w:rsidP="00761F3F">
            <w:pPr>
              <w:autoSpaceDE w:val="0"/>
              <w:autoSpaceDN w:val="0"/>
              <w:adjustRightInd w:val="0"/>
              <w:rPr>
                <w:sz w:val="24"/>
                <w:szCs w:val="24"/>
              </w:rPr>
            </w:pPr>
            <w:r>
              <w:rPr>
                <w:sz w:val="24"/>
                <w:szCs w:val="24"/>
              </w:rPr>
              <w:t>B</w:t>
            </w:r>
            <w:r w:rsidRPr="00761F3F">
              <w:rPr>
                <w:sz w:val="24"/>
                <w:szCs w:val="24"/>
              </w:rPr>
              <w:t>iroja amatpersonas</w:t>
            </w:r>
            <w:r w:rsidR="003C732E">
              <w:rPr>
                <w:sz w:val="24"/>
                <w:szCs w:val="24"/>
              </w:rPr>
              <w:t xml:space="preserve"> atklās, izmeklēs </w:t>
            </w:r>
            <w:r w:rsidRPr="00761F3F">
              <w:rPr>
                <w:sz w:val="24"/>
                <w:szCs w:val="24"/>
              </w:rPr>
              <w:t xml:space="preserve">un novērsīs noziedzīgus nodarījumus, ko izdarījušas amatpersonas un darbinieki, kuri ir profesionāli sagatavoti un ar atbilstošu pieredzi tiesībaizsardzības jomā. Līdz ar to Biroja amatpersonām būtu jānosaka atbilstoša tiesiskā aizsardzība.  Tādējādi likumprojektā tiek paredzēts, ka </w:t>
            </w:r>
            <w:r>
              <w:rPr>
                <w:sz w:val="24"/>
                <w:szCs w:val="24"/>
              </w:rPr>
              <w:t>biroja</w:t>
            </w:r>
            <w:r w:rsidRPr="00761F3F">
              <w:rPr>
                <w:sz w:val="24"/>
                <w:szCs w:val="24"/>
              </w:rPr>
              <w:t xml:space="preserve"> amatpersonu</w:t>
            </w:r>
            <w:r>
              <w:rPr>
                <w:sz w:val="24"/>
                <w:szCs w:val="24"/>
              </w:rPr>
              <w:t xml:space="preserve"> nedrīkst administratīvi aiztur</w:t>
            </w:r>
            <w:r w:rsidR="00ED5596">
              <w:rPr>
                <w:sz w:val="24"/>
                <w:szCs w:val="24"/>
              </w:rPr>
              <w:t>ēt</w:t>
            </w:r>
            <w:r w:rsidR="00ED5596" w:rsidRPr="00761F3F">
              <w:rPr>
                <w:sz w:val="24"/>
                <w:szCs w:val="24"/>
              </w:rPr>
              <w:t xml:space="preserve"> (</w:t>
            </w:r>
            <w:r w:rsidR="00ED5596">
              <w:rPr>
                <w:sz w:val="24"/>
                <w:szCs w:val="24"/>
              </w:rPr>
              <w:t xml:space="preserve">šāds tiesiskais regulējums ir noteikts arī attiecībā </w:t>
            </w:r>
            <w:r w:rsidR="00ED5596" w:rsidRPr="00761F3F">
              <w:rPr>
                <w:sz w:val="24"/>
                <w:szCs w:val="24"/>
              </w:rPr>
              <w:t>uz valsts drošības iestāžu un Korupcijas novēršanas un apkarošanas biroja amatpersonām)</w:t>
            </w:r>
            <w:r w:rsidR="00ED5596">
              <w:rPr>
                <w:sz w:val="24"/>
                <w:szCs w:val="24"/>
              </w:rPr>
              <w:t>.</w:t>
            </w:r>
          </w:p>
          <w:p w:rsidR="0027609D" w:rsidRDefault="0027609D" w:rsidP="0027609D">
            <w:pPr>
              <w:autoSpaceDE w:val="0"/>
              <w:autoSpaceDN w:val="0"/>
              <w:adjustRightInd w:val="0"/>
              <w:rPr>
                <w:sz w:val="24"/>
                <w:szCs w:val="24"/>
              </w:rPr>
            </w:pPr>
            <w:r w:rsidRPr="0027609D">
              <w:rPr>
                <w:sz w:val="24"/>
                <w:szCs w:val="24"/>
              </w:rPr>
              <w:t xml:space="preserve">Likumprojekts pašreizējā redakcijā paredz, ka likums stāsies spēkā 2015.gada 1.decembrī. </w:t>
            </w:r>
            <w:r>
              <w:rPr>
                <w:sz w:val="24"/>
                <w:szCs w:val="24"/>
              </w:rPr>
              <w:t xml:space="preserve">Līdz ar to likumprojekta Pārejas noteikumos tiek paredzēts, ka </w:t>
            </w:r>
            <w:r w:rsidRPr="0027609D">
              <w:rPr>
                <w:sz w:val="24"/>
                <w:szCs w:val="24"/>
              </w:rPr>
              <w:t>Ministru kabinets līdz 2015.gada 1.decembrim izdod tiesību aktus, kas nepieciešami Biroja darbības nodrošināšanai, kā arī veic nepieciešamos organizatoriskos pasā</w:t>
            </w:r>
            <w:r>
              <w:rPr>
                <w:sz w:val="24"/>
                <w:szCs w:val="24"/>
              </w:rPr>
              <w:t>kumus Biroja darbības uzsākšanai (</w:t>
            </w:r>
            <w:r w:rsidR="00D26023">
              <w:rPr>
                <w:sz w:val="24"/>
                <w:szCs w:val="24"/>
              </w:rPr>
              <w:t>attiecīgu grozījumu izdarīšana Ministru kabineta noteikumos, nepieciešamības gadījumā</w:t>
            </w:r>
            <w:r w:rsidR="00DF2898">
              <w:rPr>
                <w:sz w:val="24"/>
                <w:szCs w:val="24"/>
              </w:rPr>
              <w:t xml:space="preserve"> citu jautājumu risināšana (</w:t>
            </w:r>
            <w:r w:rsidR="008A19C1">
              <w:rPr>
                <w:sz w:val="24"/>
                <w:szCs w:val="24"/>
              </w:rPr>
              <w:t>telpas,</w:t>
            </w:r>
            <w:r w:rsidR="00DF2898">
              <w:rPr>
                <w:sz w:val="24"/>
                <w:szCs w:val="24"/>
              </w:rPr>
              <w:t xml:space="preserve"> </w:t>
            </w:r>
            <w:r w:rsidR="008A19C1">
              <w:rPr>
                <w:sz w:val="24"/>
                <w:szCs w:val="24"/>
              </w:rPr>
              <w:t>a</w:t>
            </w:r>
            <w:r w:rsidR="00DF2898">
              <w:rPr>
                <w:sz w:val="24"/>
                <w:szCs w:val="24"/>
              </w:rPr>
              <w:t>prīkojums u.t.t)</w:t>
            </w:r>
            <w:r>
              <w:rPr>
                <w:sz w:val="24"/>
                <w:szCs w:val="24"/>
              </w:rPr>
              <w:t>)</w:t>
            </w:r>
            <w:r w:rsidR="00DF2898">
              <w:rPr>
                <w:sz w:val="24"/>
                <w:szCs w:val="24"/>
              </w:rPr>
              <w:t>.</w:t>
            </w:r>
          </w:p>
          <w:p w:rsidR="00554A13" w:rsidRDefault="00554A13" w:rsidP="00554A13">
            <w:pPr>
              <w:autoSpaceDE w:val="0"/>
              <w:autoSpaceDN w:val="0"/>
              <w:adjustRightInd w:val="0"/>
              <w:rPr>
                <w:sz w:val="24"/>
                <w:szCs w:val="24"/>
              </w:rPr>
            </w:pPr>
            <w:r w:rsidRPr="00B00CF2">
              <w:rPr>
                <w:sz w:val="24"/>
                <w:szCs w:val="24"/>
              </w:rPr>
              <w:t xml:space="preserve">Atbilstoši Valsts pārvaldes iekārtas likuma 73.panta pirmās daļas 1.punktam punktam publiskas personas orgāns un amatpersona savas kompetences ietvaros var izdot iekšējos normatīvos aktus par iestādes vai struktūrvienības uzbūvi un darba organizāciju (nolikums, reglaments).  Līdz ar to jautājums par Biroja struktūru būs ietverts Biroja reglamentā. Biroja struktūra tiks veidota atbilstoši koncepcijā noteiktajai Biroja </w:t>
            </w:r>
            <w:r w:rsidRPr="00B00CF2">
              <w:rPr>
                <w:sz w:val="24"/>
                <w:szCs w:val="24"/>
              </w:rPr>
              <w:lastRenderedPageBreak/>
              <w:t>struktūrai. Minētais novērsīs situācijas, kad nepieciešamības gadījumā, veicot izmaiņas Biroja struktūrā, būs jāveic attiecīgi grozījumi likumā.</w:t>
            </w:r>
          </w:p>
          <w:p w:rsidR="00862D0F" w:rsidRPr="00862D0F" w:rsidRDefault="00862D0F" w:rsidP="00DD3BA6">
            <w:pPr>
              <w:autoSpaceDE w:val="0"/>
              <w:autoSpaceDN w:val="0"/>
              <w:adjustRightInd w:val="0"/>
              <w:rPr>
                <w:rFonts w:eastAsia="Times New Roman" w:cs="Times New Roman"/>
                <w:sz w:val="24"/>
                <w:szCs w:val="24"/>
                <w:lang w:eastAsia="lv-LV"/>
              </w:rPr>
            </w:pPr>
          </w:p>
        </w:tc>
      </w:tr>
      <w:tr w:rsidR="00862D0F" w:rsidRPr="00862D0F" w:rsidTr="006020DB">
        <w:trPr>
          <w:trHeight w:val="465"/>
          <w:tblCellSpacing w:w="15" w:type="dxa"/>
        </w:trPr>
        <w:tc>
          <w:tcPr>
            <w:tcW w:w="447"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spacing w:before="100" w:beforeAutospacing="1" w:after="100" w:afterAutospacing="1"/>
              <w:ind w:firstLine="0"/>
              <w:jc w:val="center"/>
              <w:rPr>
                <w:rFonts w:eastAsia="Times New Roman" w:cs="Times New Roman"/>
                <w:sz w:val="24"/>
                <w:szCs w:val="24"/>
                <w:lang w:eastAsia="lv-LV"/>
              </w:rPr>
            </w:pPr>
            <w:r w:rsidRPr="00862D0F">
              <w:rPr>
                <w:rFonts w:eastAsia="Times New Roman" w:cs="Times New Roman"/>
                <w:sz w:val="24"/>
                <w:szCs w:val="24"/>
                <w:lang w:eastAsia="lv-LV"/>
              </w:rPr>
              <w:lastRenderedPageBreak/>
              <w:t>3.</w:t>
            </w:r>
          </w:p>
        </w:tc>
        <w:tc>
          <w:tcPr>
            <w:tcW w:w="883"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Projekta izstrādē iesaistītās institūcijas</w:t>
            </w:r>
          </w:p>
        </w:tc>
        <w:tc>
          <w:tcPr>
            <w:tcW w:w="3608" w:type="pct"/>
            <w:tcBorders>
              <w:top w:val="outset" w:sz="6" w:space="0" w:color="auto"/>
              <w:left w:val="outset" w:sz="6" w:space="0" w:color="auto"/>
              <w:bottom w:val="outset" w:sz="6" w:space="0" w:color="auto"/>
              <w:right w:val="outset" w:sz="6" w:space="0" w:color="auto"/>
            </w:tcBorders>
            <w:hideMark/>
          </w:tcPr>
          <w:p w:rsidR="00862D0F" w:rsidRPr="00862D0F" w:rsidRDefault="005A2741" w:rsidP="00862D0F">
            <w:pPr>
              <w:ind w:firstLine="0"/>
              <w:jc w:val="left"/>
              <w:rPr>
                <w:rFonts w:eastAsia="Times New Roman" w:cs="Times New Roman"/>
                <w:sz w:val="24"/>
                <w:szCs w:val="24"/>
                <w:lang w:eastAsia="lv-LV"/>
              </w:rPr>
            </w:pPr>
            <w:r>
              <w:rPr>
                <w:rFonts w:eastAsia="Times New Roman" w:cs="Times New Roman"/>
                <w:sz w:val="24"/>
                <w:szCs w:val="24"/>
                <w:lang w:eastAsia="lv-LV"/>
              </w:rPr>
              <w:t>Iekšlietu ministrija.</w:t>
            </w:r>
          </w:p>
        </w:tc>
      </w:tr>
      <w:tr w:rsidR="00862D0F" w:rsidRPr="00862D0F" w:rsidTr="006020DB">
        <w:trPr>
          <w:tblCellSpacing w:w="15" w:type="dxa"/>
        </w:trPr>
        <w:tc>
          <w:tcPr>
            <w:tcW w:w="447"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spacing w:before="100" w:beforeAutospacing="1" w:after="100" w:afterAutospacing="1"/>
              <w:ind w:firstLine="0"/>
              <w:jc w:val="center"/>
              <w:rPr>
                <w:rFonts w:eastAsia="Times New Roman" w:cs="Times New Roman"/>
                <w:sz w:val="24"/>
                <w:szCs w:val="24"/>
                <w:lang w:eastAsia="lv-LV"/>
              </w:rPr>
            </w:pPr>
            <w:r w:rsidRPr="00862D0F">
              <w:rPr>
                <w:rFonts w:eastAsia="Times New Roman" w:cs="Times New Roman"/>
                <w:sz w:val="24"/>
                <w:szCs w:val="24"/>
                <w:lang w:eastAsia="lv-LV"/>
              </w:rPr>
              <w:t>4.</w:t>
            </w:r>
          </w:p>
        </w:tc>
        <w:tc>
          <w:tcPr>
            <w:tcW w:w="883"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Cita informācija</w:t>
            </w:r>
          </w:p>
        </w:tc>
        <w:tc>
          <w:tcPr>
            <w:tcW w:w="3608" w:type="pct"/>
            <w:tcBorders>
              <w:top w:val="outset" w:sz="6" w:space="0" w:color="auto"/>
              <w:left w:val="outset" w:sz="6" w:space="0" w:color="auto"/>
              <w:bottom w:val="outset" w:sz="6" w:space="0" w:color="auto"/>
              <w:right w:val="outset" w:sz="6" w:space="0" w:color="auto"/>
            </w:tcBorders>
            <w:hideMark/>
          </w:tcPr>
          <w:p w:rsidR="001B2FFC" w:rsidRPr="004E06CB" w:rsidRDefault="001B2FFC" w:rsidP="001B2FFC">
            <w:pPr>
              <w:autoSpaceDE w:val="0"/>
              <w:autoSpaceDN w:val="0"/>
              <w:adjustRightInd w:val="0"/>
              <w:rPr>
                <w:sz w:val="24"/>
                <w:szCs w:val="24"/>
              </w:rPr>
            </w:pPr>
            <w:r w:rsidRPr="004E06CB">
              <w:rPr>
                <w:sz w:val="24"/>
                <w:szCs w:val="24"/>
              </w:rPr>
              <w:t>Likumprojekts nosaka Iekšējās drošības biroja (turpmāk - Birojs) tiesisko statusu, funkcijas, uzdevumus un Biroja amatpersonu kompetenci.</w:t>
            </w:r>
          </w:p>
          <w:p w:rsidR="001B2FFC" w:rsidRPr="004E06CB" w:rsidRDefault="001B2FFC" w:rsidP="001B2FFC">
            <w:pPr>
              <w:autoSpaceDE w:val="0"/>
              <w:autoSpaceDN w:val="0"/>
              <w:adjustRightInd w:val="0"/>
              <w:rPr>
                <w:sz w:val="24"/>
                <w:szCs w:val="24"/>
              </w:rPr>
            </w:pPr>
            <w:r w:rsidRPr="004E06CB">
              <w:rPr>
                <w:sz w:val="24"/>
                <w:szCs w:val="24"/>
              </w:rPr>
              <w:t>Atbilstoši Valsts pārvaldes iekārtas likuma 16.panta otrajai daļai tiešās pārvaldes nolikumā norāda:</w:t>
            </w:r>
          </w:p>
          <w:p w:rsidR="001B2FFC" w:rsidRPr="004E06CB" w:rsidRDefault="001B2FFC" w:rsidP="001B2FFC">
            <w:pPr>
              <w:autoSpaceDE w:val="0"/>
              <w:autoSpaceDN w:val="0"/>
              <w:adjustRightInd w:val="0"/>
              <w:rPr>
                <w:sz w:val="24"/>
                <w:szCs w:val="24"/>
              </w:rPr>
            </w:pPr>
            <w:r w:rsidRPr="004E06CB">
              <w:rPr>
                <w:sz w:val="24"/>
                <w:szCs w:val="24"/>
              </w:rPr>
              <w:t xml:space="preserve"> 1) iestādes nosaukumu;</w:t>
            </w:r>
          </w:p>
          <w:p w:rsidR="001B2FFC" w:rsidRPr="004E06CB" w:rsidRDefault="001B2FFC" w:rsidP="001B2FFC">
            <w:pPr>
              <w:autoSpaceDE w:val="0"/>
              <w:autoSpaceDN w:val="0"/>
              <w:adjustRightInd w:val="0"/>
              <w:rPr>
                <w:sz w:val="24"/>
                <w:szCs w:val="24"/>
              </w:rPr>
            </w:pPr>
            <w:r w:rsidRPr="004E06CB">
              <w:rPr>
                <w:sz w:val="24"/>
                <w:szCs w:val="24"/>
              </w:rPr>
              <w:t>2) Ministru kabineta locekli, kura padotībā iestāde atrodas;</w:t>
            </w:r>
          </w:p>
          <w:p w:rsidR="001B2FFC" w:rsidRPr="004E06CB" w:rsidRDefault="001B2FFC" w:rsidP="001B2FFC">
            <w:pPr>
              <w:autoSpaceDE w:val="0"/>
              <w:autoSpaceDN w:val="0"/>
              <w:adjustRightInd w:val="0"/>
              <w:rPr>
                <w:sz w:val="24"/>
                <w:szCs w:val="24"/>
              </w:rPr>
            </w:pPr>
            <w:r w:rsidRPr="004E06CB">
              <w:rPr>
                <w:sz w:val="24"/>
                <w:szCs w:val="24"/>
              </w:rPr>
              <w:t>3) iestādes funkcijas, uzdevumus un kompetenci;</w:t>
            </w:r>
          </w:p>
          <w:p w:rsidR="001B2FFC" w:rsidRPr="004E06CB" w:rsidRDefault="001B2FFC" w:rsidP="001B2FFC">
            <w:pPr>
              <w:autoSpaceDE w:val="0"/>
              <w:autoSpaceDN w:val="0"/>
              <w:adjustRightInd w:val="0"/>
              <w:rPr>
                <w:sz w:val="24"/>
                <w:szCs w:val="24"/>
              </w:rPr>
            </w:pPr>
            <w:r w:rsidRPr="004E06CB">
              <w:rPr>
                <w:sz w:val="24"/>
                <w:szCs w:val="24"/>
              </w:rPr>
              <w:t>4) kārtību, kādā sniedzami pārskati par iestādes funkciju pildīšanu un līdzekļu izmantošanu;</w:t>
            </w:r>
          </w:p>
          <w:p w:rsidR="001B2FFC" w:rsidRPr="004E06CB" w:rsidRDefault="001B2FFC" w:rsidP="001B2FFC">
            <w:pPr>
              <w:autoSpaceDE w:val="0"/>
              <w:autoSpaceDN w:val="0"/>
              <w:adjustRightInd w:val="0"/>
              <w:rPr>
                <w:sz w:val="24"/>
                <w:szCs w:val="24"/>
              </w:rPr>
            </w:pPr>
            <w:r w:rsidRPr="004E06CB">
              <w:rPr>
                <w:sz w:val="24"/>
                <w:szCs w:val="24"/>
              </w:rPr>
              <w:t>5) iestādes darbības tiesiskuma nodrošināšanas mehānismu;</w:t>
            </w:r>
          </w:p>
          <w:p w:rsidR="001B2FFC" w:rsidRPr="004E06CB" w:rsidRDefault="001B2FFC" w:rsidP="001B2FFC">
            <w:pPr>
              <w:autoSpaceDE w:val="0"/>
              <w:autoSpaceDN w:val="0"/>
              <w:adjustRightInd w:val="0"/>
              <w:rPr>
                <w:sz w:val="24"/>
                <w:szCs w:val="24"/>
              </w:rPr>
            </w:pPr>
            <w:r w:rsidRPr="004E06CB">
              <w:rPr>
                <w:sz w:val="24"/>
                <w:szCs w:val="24"/>
              </w:rPr>
              <w:t>6) iestādi vai pārvaldes amatpersonu, kurai privātpersona var apstrīdēt administratīvo aktu vai faktisko rīcību;</w:t>
            </w:r>
          </w:p>
          <w:p w:rsidR="001B2FFC" w:rsidRPr="004E06CB" w:rsidRDefault="001B2FFC" w:rsidP="001B2FFC">
            <w:pPr>
              <w:autoSpaceDE w:val="0"/>
              <w:autoSpaceDN w:val="0"/>
              <w:adjustRightInd w:val="0"/>
              <w:rPr>
                <w:sz w:val="24"/>
                <w:szCs w:val="24"/>
              </w:rPr>
            </w:pPr>
            <w:r w:rsidRPr="004E06CB">
              <w:rPr>
                <w:sz w:val="24"/>
                <w:szCs w:val="24"/>
              </w:rPr>
              <w:t>7) citus jautājumus, kurus Ministru kabinets uzskata par svarīgiem.</w:t>
            </w:r>
          </w:p>
          <w:p w:rsidR="001B2FFC" w:rsidRPr="004E06CB" w:rsidRDefault="001B2FFC" w:rsidP="001B2FFC">
            <w:pPr>
              <w:autoSpaceDE w:val="0"/>
              <w:autoSpaceDN w:val="0"/>
              <w:adjustRightInd w:val="0"/>
              <w:rPr>
                <w:sz w:val="24"/>
                <w:szCs w:val="24"/>
              </w:rPr>
            </w:pPr>
            <w:r w:rsidRPr="004E06CB">
              <w:rPr>
                <w:sz w:val="24"/>
                <w:szCs w:val="24"/>
              </w:rPr>
              <w:t>Likumprojektā tiek regulēts plašāks jautājumu loks nekā tas ir ietverams tiešās pārvaldes iestādes nolikumā, proti, atbilstoši likumprojekta 2.panta trešajai daļai Birojs būs operatīvās darbības subjekts.</w:t>
            </w:r>
          </w:p>
          <w:p w:rsidR="001B2FFC" w:rsidRPr="004E06CB" w:rsidRDefault="001B2FFC" w:rsidP="001B2FFC">
            <w:pPr>
              <w:autoSpaceDE w:val="0"/>
              <w:autoSpaceDN w:val="0"/>
              <w:adjustRightInd w:val="0"/>
              <w:rPr>
                <w:sz w:val="24"/>
                <w:szCs w:val="24"/>
              </w:rPr>
            </w:pPr>
            <w:r w:rsidRPr="004E06CB">
              <w:rPr>
                <w:sz w:val="24"/>
                <w:szCs w:val="24"/>
              </w:rPr>
              <w:t xml:space="preserve">Operatīvās darbības likuma 3.panta pirmā daļa noteic, ka operatīvās darbības tiesiskais pamats ir Latvijas Republikas Satversme, Kriminālprocesa likums, šis likums, kā arī citi likumi un starptautiskie līgumi, kas reglamentē valsts drošības, aizsardzības, ekonomiskās suverenitātes un sabiedriskās kārtības nodrošināšanas subjektu uzdevumus, tiesības un pienākumus. </w:t>
            </w:r>
          </w:p>
          <w:p w:rsidR="001B2FFC" w:rsidRPr="004E06CB" w:rsidRDefault="001B2FFC" w:rsidP="001B2FFC">
            <w:pPr>
              <w:autoSpaceDE w:val="0"/>
              <w:autoSpaceDN w:val="0"/>
              <w:adjustRightInd w:val="0"/>
              <w:rPr>
                <w:sz w:val="24"/>
                <w:szCs w:val="24"/>
              </w:rPr>
            </w:pPr>
            <w:r w:rsidRPr="004E06CB">
              <w:rPr>
                <w:sz w:val="24"/>
                <w:szCs w:val="24"/>
              </w:rPr>
              <w:t>Savukārt saskaņā ar Operatīvās darbības likuma 3.panta otro daļu valsts institūcijas, kurām ar likumu ir noteiktas tiesības veikt operatīvo darbību, savas kompetences ietvaros un atbilstoši šim likumam izdod iekšējos normatīvos aktus par šīs darbības organizāciju, metodēm, taktiku, līdzekļiem un uzskaiti. Šie normatīvie akti stājas spēkā tikai pēc tam, kad tos akceptējis ģenerālprokurors.</w:t>
            </w:r>
          </w:p>
          <w:p w:rsidR="001B2FFC" w:rsidRPr="004E06CB" w:rsidRDefault="001B2FFC" w:rsidP="001B2FFC">
            <w:pPr>
              <w:autoSpaceDE w:val="0"/>
              <w:autoSpaceDN w:val="0"/>
              <w:adjustRightInd w:val="0"/>
              <w:rPr>
                <w:sz w:val="24"/>
                <w:szCs w:val="24"/>
              </w:rPr>
            </w:pPr>
            <w:r w:rsidRPr="004E06CB">
              <w:rPr>
                <w:sz w:val="24"/>
                <w:szCs w:val="24"/>
              </w:rPr>
              <w:t>Ņemot vērā minēto, jautājums par to, vai Birojam ir piešķiramas operatīvā darbības subjekta tiesības, ir Saeimas kompetences jautājums.</w:t>
            </w:r>
          </w:p>
          <w:p w:rsidR="001B2FFC" w:rsidRPr="004E06CB" w:rsidRDefault="001B2FFC" w:rsidP="001B2FFC">
            <w:pPr>
              <w:autoSpaceDE w:val="0"/>
              <w:autoSpaceDN w:val="0"/>
              <w:adjustRightInd w:val="0"/>
              <w:rPr>
                <w:sz w:val="24"/>
                <w:szCs w:val="24"/>
              </w:rPr>
            </w:pPr>
            <w:r w:rsidRPr="004E06CB">
              <w:rPr>
                <w:sz w:val="24"/>
                <w:szCs w:val="24"/>
              </w:rPr>
              <w:t xml:space="preserve"> Likumprojektā ir ietvertas Biroja amatpersonu tiesības, kas var ierobežot vai aizskart Latvijas Republikas Satversmē noteiktās personu pamattiesības (piemēram, tiesības pielietot dienesta šaujamieročus, kā rezultātā var tikt apdraudēta personas dzīvība vai veselība). Lemt par šādu tiesību piešķiršanu Biroja amatpersonām ir likumdevēja kompetences jautājums. </w:t>
            </w:r>
          </w:p>
          <w:p w:rsidR="00862D0F" w:rsidRPr="00862D0F" w:rsidRDefault="001B2FFC" w:rsidP="004E06CB">
            <w:pPr>
              <w:autoSpaceDE w:val="0"/>
              <w:autoSpaceDN w:val="0"/>
              <w:adjustRightInd w:val="0"/>
              <w:rPr>
                <w:rFonts w:eastAsia="Times New Roman" w:cs="Times New Roman"/>
                <w:sz w:val="24"/>
                <w:szCs w:val="24"/>
                <w:lang w:eastAsia="lv-LV"/>
              </w:rPr>
            </w:pPr>
            <w:r w:rsidRPr="004E06CB">
              <w:rPr>
                <w:sz w:val="24"/>
                <w:szCs w:val="24"/>
              </w:rPr>
              <w:t>Ņemot vērā minēto, Biroja tiesiskais  statuss, funkcijas, uzdevumi un Biroja amatpersonu kompetence ir nosakāma likumā.</w:t>
            </w:r>
          </w:p>
        </w:tc>
      </w:tr>
    </w:tbl>
    <w:p w:rsidR="00862D0F" w:rsidRPr="00862D0F" w:rsidRDefault="00862D0F" w:rsidP="00862D0F">
      <w:pPr>
        <w:spacing w:before="100" w:beforeAutospacing="1" w:after="100" w:afterAutospacing="1"/>
        <w:ind w:firstLine="0"/>
        <w:jc w:val="left"/>
        <w:rPr>
          <w:rFonts w:eastAsia="Times New Roman" w:cs="Times New Roman"/>
          <w:sz w:val="24"/>
          <w:szCs w:val="24"/>
          <w:lang w:eastAsia="lv-LV"/>
        </w:rPr>
      </w:pPr>
      <w:r w:rsidRPr="00862D0F">
        <w:rPr>
          <w:rFonts w:eastAsia="Times New Roman" w:cs="Times New Roman"/>
          <w:sz w:val="24"/>
          <w:szCs w:val="24"/>
          <w:lang w:eastAsia="lv-LV"/>
        </w:rPr>
        <w:t> </w:t>
      </w:r>
    </w:p>
    <w:tbl>
      <w:tblPr>
        <w:tblW w:w="5401"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2083"/>
        <w:gridCol w:w="7134"/>
      </w:tblGrid>
      <w:tr w:rsidR="00862D0F" w:rsidRPr="00862D0F" w:rsidTr="008C16EE">
        <w:trPr>
          <w:trHeight w:val="555"/>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862D0F" w:rsidRPr="00862D0F" w:rsidRDefault="00862D0F" w:rsidP="00862D0F">
            <w:pPr>
              <w:spacing w:before="100" w:beforeAutospacing="1" w:after="100" w:afterAutospacing="1"/>
              <w:ind w:firstLine="0"/>
              <w:jc w:val="center"/>
              <w:rPr>
                <w:rFonts w:eastAsia="Times New Roman" w:cs="Times New Roman"/>
                <w:b/>
                <w:bCs/>
                <w:sz w:val="24"/>
                <w:szCs w:val="24"/>
                <w:lang w:eastAsia="lv-LV"/>
              </w:rPr>
            </w:pPr>
            <w:r w:rsidRPr="00862D0F">
              <w:rPr>
                <w:rFonts w:eastAsia="Times New Roman" w:cs="Times New Roman"/>
                <w:b/>
                <w:bCs/>
                <w:sz w:val="24"/>
                <w:szCs w:val="24"/>
                <w:lang w:eastAsia="lv-LV"/>
              </w:rPr>
              <w:lastRenderedPageBreak/>
              <w:t>II. Tiesību akta projekta ietekme uz sabiedrību, tautsaimniecības attīstību un administratīvo slogu</w:t>
            </w:r>
          </w:p>
        </w:tc>
      </w:tr>
      <w:tr w:rsidR="00862D0F" w:rsidRPr="00862D0F" w:rsidTr="008C16EE">
        <w:trPr>
          <w:trHeight w:val="465"/>
          <w:tblCellSpacing w:w="15" w:type="dxa"/>
        </w:trPr>
        <w:tc>
          <w:tcPr>
            <w:tcW w:w="267"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1.</w:t>
            </w:r>
          </w:p>
        </w:tc>
        <w:tc>
          <w:tcPr>
            <w:tcW w:w="1056"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Sabiedrības mērķgrupas, kuras tiesiskais regulējums ietekmē vai varētu ietekmēt</w:t>
            </w:r>
          </w:p>
        </w:tc>
        <w:tc>
          <w:tcPr>
            <w:tcW w:w="3615" w:type="pct"/>
            <w:tcBorders>
              <w:top w:val="outset" w:sz="6" w:space="0" w:color="auto"/>
              <w:left w:val="outset" w:sz="6" w:space="0" w:color="auto"/>
              <w:bottom w:val="outset" w:sz="6" w:space="0" w:color="auto"/>
              <w:right w:val="outset" w:sz="6" w:space="0" w:color="auto"/>
            </w:tcBorders>
            <w:hideMark/>
          </w:tcPr>
          <w:p w:rsidR="00BE6D54" w:rsidRPr="0006719A" w:rsidRDefault="00BE6D54" w:rsidP="00BE6D54">
            <w:pPr>
              <w:shd w:val="clear" w:color="auto" w:fill="FFFFFF"/>
              <w:ind w:left="57" w:right="57" w:firstLine="227"/>
              <w:rPr>
                <w:rFonts w:eastAsia="Calibri" w:cs="Times New Roman"/>
                <w:sz w:val="24"/>
                <w:szCs w:val="24"/>
              </w:rPr>
            </w:pPr>
            <w:r w:rsidRPr="0006719A">
              <w:rPr>
                <w:rFonts w:eastAsia="Calibri" w:cs="Times New Roman"/>
                <w:sz w:val="24"/>
                <w:szCs w:val="24"/>
              </w:rPr>
              <w:t>Likumprojekts ietekmēs:</w:t>
            </w:r>
          </w:p>
          <w:p w:rsidR="00BE6D54" w:rsidRPr="00771E25" w:rsidRDefault="00BE6D54" w:rsidP="000D513D">
            <w:pPr>
              <w:shd w:val="clear" w:color="auto" w:fill="FFFFFF"/>
              <w:ind w:left="57" w:right="57" w:firstLine="214"/>
              <w:rPr>
                <w:rFonts w:eastAsia="Calibri" w:cs="Times New Roman"/>
                <w:color w:val="FF0000"/>
                <w:sz w:val="24"/>
                <w:szCs w:val="24"/>
              </w:rPr>
            </w:pPr>
            <w:r w:rsidRPr="00180E3E">
              <w:rPr>
                <w:rFonts w:eastAsia="Calibri" w:cs="Times New Roman"/>
                <w:sz w:val="24"/>
                <w:szCs w:val="24"/>
              </w:rPr>
              <w:t xml:space="preserve">1) Iekšlietu ministrijas </w:t>
            </w:r>
            <w:r w:rsidR="00771E25" w:rsidRPr="00180E3E">
              <w:rPr>
                <w:rFonts w:eastAsia="Calibri" w:cs="Times New Roman"/>
                <w:sz w:val="24"/>
                <w:szCs w:val="24"/>
              </w:rPr>
              <w:t>un tās padotībā esošo iestāžu</w:t>
            </w:r>
            <w:r w:rsidRPr="00180E3E">
              <w:rPr>
                <w:rFonts w:eastAsia="Calibri" w:cs="Times New Roman"/>
                <w:sz w:val="24"/>
                <w:szCs w:val="24"/>
              </w:rPr>
              <w:t>, izņemot Drošības policiju, Ieslodzījuma</w:t>
            </w:r>
            <w:r w:rsidRPr="000B3666">
              <w:rPr>
                <w:rFonts w:eastAsia="Calibri" w:cs="Times New Roman"/>
                <w:sz w:val="24"/>
                <w:szCs w:val="24"/>
              </w:rPr>
              <w:t xml:space="preserve"> vietu pā</w:t>
            </w:r>
            <w:r w:rsidR="008773AE" w:rsidRPr="000B3666">
              <w:rPr>
                <w:rFonts w:eastAsia="Calibri" w:cs="Times New Roman"/>
                <w:sz w:val="24"/>
                <w:szCs w:val="24"/>
              </w:rPr>
              <w:t>rvaldes amatpersonas ar speciālajām dienesta pakāpēm</w:t>
            </w:r>
            <w:r w:rsidRPr="000B3666">
              <w:rPr>
                <w:rFonts w:eastAsia="Calibri" w:cs="Times New Roman"/>
                <w:sz w:val="24"/>
                <w:szCs w:val="24"/>
              </w:rPr>
              <w:t>,</w:t>
            </w:r>
            <w:r w:rsidR="006569DF" w:rsidRPr="000B3666">
              <w:rPr>
                <w:rFonts w:eastAsia="Calibri" w:cs="Times New Roman"/>
                <w:sz w:val="24"/>
                <w:szCs w:val="24"/>
              </w:rPr>
              <w:t xml:space="preserve"> civildi</w:t>
            </w:r>
            <w:r w:rsidR="008773AE" w:rsidRPr="000B3666">
              <w:rPr>
                <w:rFonts w:eastAsia="Calibri" w:cs="Times New Roman"/>
                <w:sz w:val="24"/>
                <w:szCs w:val="24"/>
              </w:rPr>
              <w:t>enesta ierēdņus un darbiniekus,</w:t>
            </w:r>
            <w:r w:rsidRPr="000B3666">
              <w:rPr>
                <w:rFonts w:eastAsia="Calibri" w:cs="Times New Roman"/>
                <w:sz w:val="24"/>
                <w:szCs w:val="24"/>
              </w:rPr>
              <w:t xml:space="preserve"> pašvaldību policijas darbiniekus un ostas policijas darbiniekus;</w:t>
            </w:r>
          </w:p>
          <w:p w:rsidR="00862D0F" w:rsidRPr="00862D0F" w:rsidRDefault="00BE6D54" w:rsidP="004F55B2">
            <w:pPr>
              <w:ind w:firstLine="271"/>
              <w:jc w:val="left"/>
              <w:rPr>
                <w:rFonts w:eastAsia="Times New Roman" w:cs="Times New Roman"/>
                <w:sz w:val="24"/>
                <w:szCs w:val="24"/>
                <w:lang w:eastAsia="lv-LV"/>
              </w:rPr>
            </w:pPr>
            <w:r>
              <w:rPr>
                <w:rFonts w:eastAsia="Calibri" w:cs="Times New Roman"/>
                <w:sz w:val="24"/>
                <w:szCs w:val="24"/>
              </w:rPr>
              <w:t>2) f</w:t>
            </w:r>
            <w:r w:rsidRPr="0006719A">
              <w:rPr>
                <w:rFonts w:eastAsia="Calibri" w:cs="Times New Roman"/>
                <w:sz w:val="24"/>
                <w:szCs w:val="24"/>
              </w:rPr>
              <w:t>iziskas pers</w:t>
            </w:r>
            <w:r>
              <w:rPr>
                <w:rFonts w:eastAsia="Calibri" w:cs="Times New Roman"/>
                <w:sz w:val="24"/>
                <w:szCs w:val="24"/>
              </w:rPr>
              <w:t xml:space="preserve">onas, kas </w:t>
            </w:r>
            <w:r w:rsidR="004F55B2">
              <w:rPr>
                <w:rFonts w:eastAsia="Calibri" w:cs="Times New Roman"/>
                <w:sz w:val="24"/>
                <w:szCs w:val="24"/>
              </w:rPr>
              <w:t>cietušas noziedzīgu nodarījumu rezultātā, ku</w:t>
            </w:r>
            <w:r w:rsidR="001D27BE">
              <w:rPr>
                <w:rFonts w:eastAsia="Calibri" w:cs="Times New Roman"/>
                <w:sz w:val="24"/>
                <w:szCs w:val="24"/>
              </w:rPr>
              <w:t>rus izdarījušas iepriekš minēt</w:t>
            </w:r>
            <w:r w:rsidR="004F55B2">
              <w:rPr>
                <w:rFonts w:eastAsia="Calibri" w:cs="Times New Roman"/>
                <w:sz w:val="24"/>
                <w:szCs w:val="24"/>
              </w:rPr>
              <w:t>ās personas</w:t>
            </w:r>
            <w:r>
              <w:rPr>
                <w:rFonts w:eastAsia="Calibri" w:cs="Times New Roman"/>
                <w:sz w:val="24"/>
                <w:szCs w:val="24"/>
              </w:rPr>
              <w:t>.</w:t>
            </w:r>
          </w:p>
        </w:tc>
      </w:tr>
      <w:tr w:rsidR="00862D0F" w:rsidRPr="00862D0F" w:rsidTr="008C16EE">
        <w:trPr>
          <w:trHeight w:val="510"/>
          <w:tblCellSpacing w:w="15" w:type="dxa"/>
        </w:trPr>
        <w:tc>
          <w:tcPr>
            <w:tcW w:w="267"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2.</w:t>
            </w:r>
          </w:p>
        </w:tc>
        <w:tc>
          <w:tcPr>
            <w:tcW w:w="1056"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Tiesiskā regulējuma ietekme uz tautsaimniecību un administratīvo slogu</w:t>
            </w:r>
          </w:p>
        </w:tc>
        <w:tc>
          <w:tcPr>
            <w:tcW w:w="3615" w:type="pct"/>
            <w:tcBorders>
              <w:top w:val="outset" w:sz="6" w:space="0" w:color="auto"/>
              <w:left w:val="outset" w:sz="6" w:space="0" w:color="auto"/>
              <w:bottom w:val="outset" w:sz="6" w:space="0" w:color="auto"/>
              <w:right w:val="outset" w:sz="6" w:space="0" w:color="auto"/>
            </w:tcBorders>
            <w:hideMark/>
          </w:tcPr>
          <w:p w:rsidR="00862D0F" w:rsidRPr="00862D0F" w:rsidRDefault="005937BE" w:rsidP="00862D0F">
            <w:pPr>
              <w:ind w:firstLine="0"/>
              <w:jc w:val="left"/>
              <w:rPr>
                <w:rFonts w:eastAsia="Times New Roman" w:cs="Times New Roman"/>
                <w:sz w:val="24"/>
                <w:szCs w:val="24"/>
                <w:lang w:eastAsia="lv-LV"/>
              </w:rPr>
            </w:pPr>
            <w:r>
              <w:rPr>
                <w:rFonts w:eastAsia="Times New Roman" w:cs="Times New Roman"/>
                <w:sz w:val="24"/>
                <w:szCs w:val="24"/>
                <w:lang w:eastAsia="lv-LV"/>
              </w:rPr>
              <w:t>Projekts šo jomu neskar.</w:t>
            </w:r>
          </w:p>
        </w:tc>
      </w:tr>
      <w:tr w:rsidR="00862D0F" w:rsidRPr="00862D0F" w:rsidTr="008C16EE">
        <w:trPr>
          <w:trHeight w:val="510"/>
          <w:tblCellSpacing w:w="15" w:type="dxa"/>
        </w:trPr>
        <w:tc>
          <w:tcPr>
            <w:tcW w:w="267"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3.</w:t>
            </w:r>
          </w:p>
        </w:tc>
        <w:tc>
          <w:tcPr>
            <w:tcW w:w="1056"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Administratīvo izmaksu monetārs novērtējums</w:t>
            </w:r>
          </w:p>
        </w:tc>
        <w:tc>
          <w:tcPr>
            <w:tcW w:w="3615" w:type="pct"/>
            <w:tcBorders>
              <w:top w:val="outset" w:sz="6" w:space="0" w:color="auto"/>
              <w:left w:val="outset" w:sz="6" w:space="0" w:color="auto"/>
              <w:bottom w:val="outset" w:sz="6" w:space="0" w:color="auto"/>
              <w:right w:val="outset" w:sz="6" w:space="0" w:color="auto"/>
            </w:tcBorders>
            <w:hideMark/>
          </w:tcPr>
          <w:p w:rsidR="00862D0F" w:rsidRPr="00862D0F" w:rsidRDefault="006C7180" w:rsidP="00862D0F">
            <w:pPr>
              <w:ind w:firstLine="0"/>
              <w:jc w:val="left"/>
              <w:rPr>
                <w:rFonts w:eastAsia="Times New Roman" w:cs="Times New Roman"/>
                <w:sz w:val="24"/>
                <w:szCs w:val="24"/>
                <w:lang w:eastAsia="lv-LV"/>
              </w:rPr>
            </w:pPr>
            <w:r>
              <w:rPr>
                <w:rFonts w:eastAsia="Times New Roman" w:cs="Times New Roman"/>
                <w:sz w:val="24"/>
                <w:szCs w:val="24"/>
                <w:lang w:eastAsia="lv-LV"/>
              </w:rPr>
              <w:t>Projekts šo jomu neskar.</w:t>
            </w:r>
          </w:p>
        </w:tc>
      </w:tr>
      <w:tr w:rsidR="00862D0F" w:rsidRPr="00862D0F" w:rsidTr="008C16EE">
        <w:trPr>
          <w:trHeight w:val="345"/>
          <w:tblCellSpacing w:w="15" w:type="dxa"/>
        </w:trPr>
        <w:tc>
          <w:tcPr>
            <w:tcW w:w="267"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4.</w:t>
            </w:r>
          </w:p>
        </w:tc>
        <w:tc>
          <w:tcPr>
            <w:tcW w:w="1056"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Cita informācija</w:t>
            </w:r>
          </w:p>
        </w:tc>
        <w:tc>
          <w:tcPr>
            <w:tcW w:w="3615" w:type="pct"/>
            <w:tcBorders>
              <w:top w:val="outset" w:sz="6" w:space="0" w:color="auto"/>
              <w:left w:val="outset" w:sz="6" w:space="0" w:color="auto"/>
              <w:bottom w:val="outset" w:sz="6" w:space="0" w:color="auto"/>
              <w:right w:val="outset" w:sz="6" w:space="0" w:color="auto"/>
            </w:tcBorders>
            <w:hideMark/>
          </w:tcPr>
          <w:p w:rsidR="00862D0F" w:rsidRPr="00862D0F" w:rsidRDefault="006C7180" w:rsidP="00862D0F">
            <w:pPr>
              <w:spacing w:before="100" w:beforeAutospacing="1" w:after="100" w:afterAutospacing="1"/>
              <w:ind w:firstLine="0"/>
              <w:jc w:val="left"/>
              <w:rPr>
                <w:rFonts w:eastAsia="Times New Roman" w:cs="Times New Roman"/>
                <w:sz w:val="24"/>
                <w:szCs w:val="24"/>
                <w:lang w:eastAsia="lv-LV"/>
              </w:rPr>
            </w:pPr>
            <w:r>
              <w:rPr>
                <w:rFonts w:eastAsia="Times New Roman" w:cs="Times New Roman"/>
                <w:sz w:val="24"/>
                <w:szCs w:val="24"/>
                <w:lang w:eastAsia="lv-LV"/>
              </w:rPr>
              <w:t>Nav.</w:t>
            </w:r>
          </w:p>
        </w:tc>
      </w:tr>
    </w:tbl>
    <w:p w:rsidR="003D6EA8" w:rsidRPr="005128C9" w:rsidRDefault="00862D0F" w:rsidP="008C16EE">
      <w:pPr>
        <w:spacing w:before="100" w:beforeAutospacing="1" w:after="100" w:afterAutospacing="1"/>
        <w:ind w:firstLine="0"/>
        <w:jc w:val="left"/>
        <w:rPr>
          <w:rFonts w:cs="Times New Roman"/>
          <w:sz w:val="24"/>
          <w:szCs w:val="24"/>
        </w:rPr>
      </w:pPr>
      <w:r w:rsidRPr="00862D0F">
        <w:rPr>
          <w:rFonts w:eastAsia="Times New Roman" w:cs="Times New Roman"/>
          <w:sz w:val="24"/>
          <w:szCs w:val="24"/>
          <w:lang w:eastAsia="lv-LV"/>
        </w:rPr>
        <w:t> </w:t>
      </w: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
        <w:gridCol w:w="1877"/>
        <w:gridCol w:w="1369"/>
        <w:gridCol w:w="1478"/>
        <w:gridCol w:w="1563"/>
        <w:gridCol w:w="1586"/>
        <w:gridCol w:w="1586"/>
      </w:tblGrid>
      <w:tr w:rsidR="003D6EA8" w:rsidRPr="005128C9" w:rsidTr="003D6EA8">
        <w:trPr>
          <w:trHeight w:val="361"/>
          <w:jc w:val="center"/>
        </w:trPr>
        <w:tc>
          <w:tcPr>
            <w:tcW w:w="9795" w:type="dxa"/>
            <w:gridSpan w:val="7"/>
            <w:vAlign w:val="center"/>
          </w:tcPr>
          <w:p w:rsidR="003D6EA8" w:rsidRPr="005128C9" w:rsidRDefault="003D6EA8" w:rsidP="00D1729E">
            <w:pPr>
              <w:pStyle w:val="naisnod"/>
              <w:spacing w:before="0" w:beforeAutospacing="0" w:after="0" w:afterAutospacing="0"/>
              <w:jc w:val="center"/>
              <w:rPr>
                <w:b/>
                <w:i/>
              </w:rPr>
            </w:pPr>
            <w:r w:rsidRPr="005128C9">
              <w:br w:type="page"/>
            </w:r>
            <w:r w:rsidRPr="005128C9">
              <w:rPr>
                <w:b/>
              </w:rPr>
              <w:t>III. Tiesību akta projekta ietekme uz valsts budžetu un pašvaldību budžetiem</w:t>
            </w:r>
          </w:p>
        </w:tc>
      </w:tr>
      <w:tr w:rsidR="003D6EA8" w:rsidRPr="005128C9" w:rsidTr="003D6EA8">
        <w:trPr>
          <w:jc w:val="center"/>
        </w:trPr>
        <w:tc>
          <w:tcPr>
            <w:tcW w:w="2359" w:type="dxa"/>
            <w:gridSpan w:val="2"/>
            <w:vMerge w:val="restart"/>
            <w:vAlign w:val="center"/>
          </w:tcPr>
          <w:p w:rsidR="003D6EA8" w:rsidRPr="005128C9" w:rsidRDefault="003D6EA8" w:rsidP="00D1729E">
            <w:pPr>
              <w:pStyle w:val="naisf"/>
              <w:spacing w:before="0" w:after="0"/>
              <w:jc w:val="center"/>
              <w:rPr>
                <w:b/>
              </w:rPr>
            </w:pPr>
            <w:r w:rsidRPr="005128C9">
              <w:rPr>
                <w:b/>
              </w:rPr>
              <w:t>Rādītāji</w:t>
            </w:r>
          </w:p>
        </w:tc>
        <w:tc>
          <w:tcPr>
            <w:tcW w:w="2783" w:type="dxa"/>
            <w:gridSpan w:val="2"/>
            <w:vMerge w:val="restart"/>
            <w:vAlign w:val="center"/>
          </w:tcPr>
          <w:p w:rsidR="003D6EA8" w:rsidRPr="005128C9" w:rsidRDefault="003D6EA8" w:rsidP="00D1729E">
            <w:pPr>
              <w:pStyle w:val="naisf"/>
              <w:spacing w:before="0" w:after="0"/>
              <w:jc w:val="center"/>
              <w:rPr>
                <w:b/>
              </w:rPr>
            </w:pPr>
            <w:r>
              <w:rPr>
                <w:b/>
              </w:rPr>
              <w:t>2014</w:t>
            </w:r>
          </w:p>
        </w:tc>
        <w:tc>
          <w:tcPr>
            <w:tcW w:w="4653" w:type="dxa"/>
            <w:gridSpan w:val="3"/>
            <w:vAlign w:val="center"/>
          </w:tcPr>
          <w:p w:rsidR="003D6EA8" w:rsidRPr="005128C9" w:rsidRDefault="003D6EA8" w:rsidP="00D1729E">
            <w:pPr>
              <w:pStyle w:val="naisf"/>
              <w:spacing w:before="0" w:after="0"/>
              <w:jc w:val="center"/>
              <w:rPr>
                <w:b/>
                <w:i/>
              </w:rPr>
            </w:pPr>
            <w:r>
              <w:t>Turpmākie trīs gadi (</w:t>
            </w:r>
            <w:proofErr w:type="spellStart"/>
            <w:r w:rsidRPr="00E7737A">
              <w:rPr>
                <w:i/>
              </w:rPr>
              <w:t>euro</w:t>
            </w:r>
            <w:proofErr w:type="spellEnd"/>
            <w:r w:rsidRPr="005128C9">
              <w:t>)</w:t>
            </w:r>
          </w:p>
        </w:tc>
      </w:tr>
      <w:tr w:rsidR="003D6EA8" w:rsidRPr="005128C9" w:rsidTr="003D6EA8">
        <w:trPr>
          <w:jc w:val="center"/>
        </w:trPr>
        <w:tc>
          <w:tcPr>
            <w:tcW w:w="2359" w:type="dxa"/>
            <w:gridSpan w:val="2"/>
            <w:vMerge/>
            <w:vAlign w:val="center"/>
          </w:tcPr>
          <w:p w:rsidR="003D6EA8" w:rsidRPr="005128C9" w:rsidRDefault="003D6EA8" w:rsidP="00D1729E">
            <w:pPr>
              <w:pStyle w:val="naisf"/>
              <w:spacing w:before="0" w:after="0"/>
              <w:jc w:val="center"/>
              <w:rPr>
                <w:b/>
                <w:i/>
              </w:rPr>
            </w:pPr>
          </w:p>
        </w:tc>
        <w:tc>
          <w:tcPr>
            <w:tcW w:w="2783" w:type="dxa"/>
            <w:gridSpan w:val="2"/>
            <w:vMerge/>
            <w:vAlign w:val="center"/>
          </w:tcPr>
          <w:p w:rsidR="003D6EA8" w:rsidRPr="005128C9" w:rsidRDefault="003D6EA8" w:rsidP="00D1729E">
            <w:pPr>
              <w:pStyle w:val="naisf"/>
              <w:spacing w:before="0" w:after="0"/>
              <w:jc w:val="center"/>
              <w:rPr>
                <w:b/>
                <w:i/>
              </w:rPr>
            </w:pPr>
          </w:p>
        </w:tc>
        <w:tc>
          <w:tcPr>
            <w:tcW w:w="1551" w:type="dxa"/>
            <w:vAlign w:val="center"/>
          </w:tcPr>
          <w:p w:rsidR="003D6EA8" w:rsidRPr="005128C9" w:rsidRDefault="003D6EA8" w:rsidP="00D1729E">
            <w:pPr>
              <w:pStyle w:val="naisf"/>
              <w:spacing w:before="0" w:after="0"/>
              <w:jc w:val="center"/>
              <w:rPr>
                <w:b/>
                <w:i/>
              </w:rPr>
            </w:pPr>
            <w:r>
              <w:rPr>
                <w:b/>
                <w:bCs/>
              </w:rPr>
              <w:t>2015</w:t>
            </w:r>
          </w:p>
        </w:tc>
        <w:tc>
          <w:tcPr>
            <w:tcW w:w="1551" w:type="dxa"/>
            <w:vAlign w:val="center"/>
          </w:tcPr>
          <w:p w:rsidR="003D6EA8" w:rsidRPr="005128C9" w:rsidRDefault="003D6EA8" w:rsidP="00D1729E">
            <w:pPr>
              <w:pStyle w:val="naisf"/>
              <w:spacing w:before="0" w:after="0"/>
              <w:jc w:val="center"/>
              <w:rPr>
                <w:b/>
                <w:i/>
              </w:rPr>
            </w:pPr>
            <w:r>
              <w:rPr>
                <w:b/>
                <w:bCs/>
              </w:rPr>
              <w:t>2016</w:t>
            </w:r>
          </w:p>
        </w:tc>
        <w:tc>
          <w:tcPr>
            <w:tcW w:w="1551" w:type="dxa"/>
            <w:vAlign w:val="center"/>
          </w:tcPr>
          <w:p w:rsidR="003D6EA8" w:rsidRPr="005128C9" w:rsidRDefault="003D6EA8" w:rsidP="00D1729E">
            <w:pPr>
              <w:pStyle w:val="naisf"/>
              <w:spacing w:before="0" w:after="0"/>
              <w:jc w:val="center"/>
              <w:rPr>
                <w:b/>
                <w:i/>
              </w:rPr>
            </w:pPr>
            <w:r>
              <w:rPr>
                <w:b/>
                <w:bCs/>
              </w:rPr>
              <w:t>2017</w:t>
            </w:r>
          </w:p>
        </w:tc>
      </w:tr>
      <w:tr w:rsidR="003D6EA8" w:rsidRPr="005128C9" w:rsidTr="003D6EA8">
        <w:trPr>
          <w:jc w:val="center"/>
        </w:trPr>
        <w:tc>
          <w:tcPr>
            <w:tcW w:w="2359" w:type="dxa"/>
            <w:gridSpan w:val="2"/>
            <w:vMerge/>
            <w:vAlign w:val="center"/>
          </w:tcPr>
          <w:p w:rsidR="003D6EA8" w:rsidRPr="005128C9" w:rsidRDefault="003D6EA8" w:rsidP="00D1729E">
            <w:pPr>
              <w:pStyle w:val="naisf"/>
              <w:spacing w:before="0" w:after="0"/>
              <w:jc w:val="center"/>
              <w:rPr>
                <w:b/>
                <w:i/>
              </w:rPr>
            </w:pPr>
          </w:p>
        </w:tc>
        <w:tc>
          <w:tcPr>
            <w:tcW w:w="1338" w:type="dxa"/>
            <w:vAlign w:val="center"/>
          </w:tcPr>
          <w:p w:rsidR="003D6EA8" w:rsidRPr="005128C9" w:rsidRDefault="003D6EA8" w:rsidP="00D1729E">
            <w:pPr>
              <w:pStyle w:val="naisf"/>
              <w:spacing w:before="0" w:after="0"/>
              <w:jc w:val="center"/>
              <w:rPr>
                <w:b/>
                <w:i/>
              </w:rPr>
            </w:pPr>
            <w:r w:rsidRPr="005128C9">
              <w:t>saskaņā ar valsts budžetu kārtējam gadam</w:t>
            </w:r>
          </w:p>
        </w:tc>
        <w:tc>
          <w:tcPr>
            <w:tcW w:w="1445" w:type="dxa"/>
            <w:vAlign w:val="center"/>
          </w:tcPr>
          <w:p w:rsidR="003D6EA8" w:rsidRPr="005128C9" w:rsidRDefault="003D6EA8" w:rsidP="00D1729E">
            <w:pPr>
              <w:pStyle w:val="naisf"/>
              <w:spacing w:before="0" w:after="0"/>
              <w:jc w:val="center"/>
              <w:rPr>
                <w:b/>
                <w:i/>
              </w:rPr>
            </w:pPr>
            <w:r w:rsidRPr="005128C9">
              <w:t>izmaiņas kārtējā gadā, salīdzinot ar budžetu kārtējam gadam</w:t>
            </w:r>
          </w:p>
        </w:tc>
        <w:tc>
          <w:tcPr>
            <w:tcW w:w="1551" w:type="dxa"/>
            <w:vAlign w:val="center"/>
          </w:tcPr>
          <w:p w:rsidR="003D6EA8" w:rsidRPr="005128C9" w:rsidRDefault="003D6EA8" w:rsidP="00D1729E">
            <w:pPr>
              <w:pStyle w:val="naisf"/>
              <w:spacing w:before="0" w:after="0"/>
              <w:jc w:val="center"/>
              <w:rPr>
                <w:b/>
                <w:i/>
              </w:rPr>
            </w:pPr>
            <w:r w:rsidRPr="005128C9">
              <w:t>izm</w:t>
            </w:r>
            <w:r>
              <w:t>aiņas, salīdzinot ar kārtējo 2014.</w:t>
            </w:r>
            <w:r w:rsidRPr="005128C9">
              <w:t xml:space="preserve"> gadu</w:t>
            </w:r>
          </w:p>
        </w:tc>
        <w:tc>
          <w:tcPr>
            <w:tcW w:w="1551" w:type="dxa"/>
            <w:vAlign w:val="center"/>
          </w:tcPr>
          <w:p w:rsidR="003D6EA8" w:rsidRPr="005128C9" w:rsidRDefault="003D6EA8" w:rsidP="00D1729E">
            <w:pPr>
              <w:pStyle w:val="naisf"/>
              <w:spacing w:before="0" w:after="0"/>
              <w:jc w:val="center"/>
              <w:rPr>
                <w:b/>
                <w:i/>
              </w:rPr>
            </w:pPr>
            <w:r w:rsidRPr="005128C9">
              <w:t xml:space="preserve">izmaiņas, salīdzinot ar kārtējo </w:t>
            </w:r>
            <w:r>
              <w:t>2014.</w:t>
            </w:r>
            <w:r w:rsidRPr="005128C9">
              <w:t xml:space="preserve"> gadu</w:t>
            </w:r>
          </w:p>
        </w:tc>
        <w:tc>
          <w:tcPr>
            <w:tcW w:w="1551" w:type="dxa"/>
            <w:vAlign w:val="center"/>
          </w:tcPr>
          <w:p w:rsidR="003D6EA8" w:rsidRPr="005128C9" w:rsidRDefault="003D6EA8" w:rsidP="00D1729E">
            <w:pPr>
              <w:pStyle w:val="naisf"/>
              <w:spacing w:before="0" w:after="0"/>
              <w:jc w:val="center"/>
              <w:rPr>
                <w:b/>
                <w:i/>
              </w:rPr>
            </w:pPr>
            <w:r w:rsidRPr="005128C9">
              <w:t xml:space="preserve">izmaiņas, salīdzinot ar kārtējo </w:t>
            </w:r>
            <w:r>
              <w:t>2014.</w:t>
            </w:r>
            <w:r w:rsidRPr="005128C9">
              <w:t xml:space="preserve"> gadu</w:t>
            </w:r>
          </w:p>
        </w:tc>
      </w:tr>
      <w:tr w:rsidR="003D6EA8" w:rsidRPr="005128C9" w:rsidTr="003D6EA8">
        <w:trPr>
          <w:jc w:val="center"/>
        </w:trPr>
        <w:tc>
          <w:tcPr>
            <w:tcW w:w="2359" w:type="dxa"/>
            <w:gridSpan w:val="2"/>
            <w:vAlign w:val="center"/>
          </w:tcPr>
          <w:p w:rsidR="003D6EA8" w:rsidRPr="005128C9" w:rsidRDefault="003D6EA8" w:rsidP="00D1729E">
            <w:pPr>
              <w:pStyle w:val="naisf"/>
              <w:spacing w:before="0" w:after="0"/>
              <w:jc w:val="center"/>
              <w:rPr>
                <w:bCs/>
              </w:rPr>
            </w:pPr>
            <w:r w:rsidRPr="005128C9">
              <w:rPr>
                <w:bCs/>
              </w:rPr>
              <w:t>1</w:t>
            </w:r>
          </w:p>
        </w:tc>
        <w:tc>
          <w:tcPr>
            <w:tcW w:w="1338" w:type="dxa"/>
            <w:vAlign w:val="center"/>
          </w:tcPr>
          <w:p w:rsidR="003D6EA8" w:rsidRPr="005128C9" w:rsidRDefault="003D6EA8" w:rsidP="00D1729E">
            <w:pPr>
              <w:pStyle w:val="naisf"/>
              <w:spacing w:before="0" w:after="0"/>
              <w:jc w:val="center"/>
              <w:rPr>
                <w:bCs/>
              </w:rPr>
            </w:pPr>
            <w:r w:rsidRPr="005128C9">
              <w:rPr>
                <w:bCs/>
              </w:rPr>
              <w:t>2</w:t>
            </w:r>
          </w:p>
        </w:tc>
        <w:tc>
          <w:tcPr>
            <w:tcW w:w="1445" w:type="dxa"/>
            <w:vAlign w:val="center"/>
          </w:tcPr>
          <w:p w:rsidR="003D6EA8" w:rsidRPr="005128C9" w:rsidRDefault="003D6EA8" w:rsidP="00D1729E">
            <w:pPr>
              <w:pStyle w:val="naisf"/>
              <w:spacing w:before="0" w:after="0"/>
              <w:jc w:val="center"/>
              <w:rPr>
                <w:bCs/>
              </w:rPr>
            </w:pPr>
            <w:r w:rsidRPr="005128C9">
              <w:rPr>
                <w:bCs/>
              </w:rPr>
              <w:t>3</w:t>
            </w:r>
          </w:p>
        </w:tc>
        <w:tc>
          <w:tcPr>
            <w:tcW w:w="1551" w:type="dxa"/>
            <w:vAlign w:val="center"/>
          </w:tcPr>
          <w:p w:rsidR="003D6EA8" w:rsidRPr="005128C9" w:rsidRDefault="003D6EA8" w:rsidP="00D1729E">
            <w:pPr>
              <w:pStyle w:val="naisf"/>
              <w:spacing w:before="0" w:after="0"/>
              <w:jc w:val="center"/>
              <w:rPr>
                <w:bCs/>
              </w:rPr>
            </w:pPr>
            <w:r w:rsidRPr="005128C9">
              <w:rPr>
                <w:bCs/>
              </w:rPr>
              <w:t>4</w:t>
            </w:r>
          </w:p>
        </w:tc>
        <w:tc>
          <w:tcPr>
            <w:tcW w:w="1551" w:type="dxa"/>
            <w:vAlign w:val="center"/>
          </w:tcPr>
          <w:p w:rsidR="003D6EA8" w:rsidRPr="005128C9" w:rsidRDefault="003D6EA8" w:rsidP="00D1729E">
            <w:pPr>
              <w:pStyle w:val="naisf"/>
              <w:spacing w:before="0" w:after="0"/>
              <w:jc w:val="center"/>
              <w:rPr>
                <w:bCs/>
              </w:rPr>
            </w:pPr>
            <w:r w:rsidRPr="005128C9">
              <w:rPr>
                <w:bCs/>
              </w:rPr>
              <w:t>5</w:t>
            </w:r>
          </w:p>
        </w:tc>
        <w:tc>
          <w:tcPr>
            <w:tcW w:w="1551" w:type="dxa"/>
            <w:vAlign w:val="center"/>
          </w:tcPr>
          <w:p w:rsidR="003D6EA8" w:rsidRPr="005128C9" w:rsidRDefault="003D6EA8" w:rsidP="00D1729E">
            <w:pPr>
              <w:pStyle w:val="naisf"/>
              <w:spacing w:before="0" w:after="0"/>
              <w:jc w:val="center"/>
              <w:rPr>
                <w:bCs/>
              </w:rPr>
            </w:pPr>
            <w:r w:rsidRPr="005128C9">
              <w:rPr>
                <w:bCs/>
              </w:rPr>
              <w:t>6</w:t>
            </w:r>
          </w:p>
        </w:tc>
      </w:tr>
      <w:tr w:rsidR="003D6EA8" w:rsidRPr="005128C9" w:rsidTr="003D6EA8">
        <w:trPr>
          <w:jc w:val="center"/>
        </w:trPr>
        <w:tc>
          <w:tcPr>
            <w:tcW w:w="2359" w:type="dxa"/>
            <w:gridSpan w:val="2"/>
          </w:tcPr>
          <w:p w:rsidR="003D6EA8" w:rsidRPr="005128C9" w:rsidRDefault="003D6EA8" w:rsidP="00D1729E">
            <w:pPr>
              <w:pStyle w:val="naisf"/>
              <w:spacing w:before="0" w:after="0"/>
              <w:rPr>
                <w:i/>
              </w:rPr>
            </w:pPr>
            <w:r w:rsidRPr="005128C9">
              <w:t>1. Budžeta ieņēmumi:</w:t>
            </w:r>
          </w:p>
        </w:tc>
        <w:tc>
          <w:tcPr>
            <w:tcW w:w="1338" w:type="dxa"/>
          </w:tcPr>
          <w:p w:rsidR="003D6EA8" w:rsidRPr="00E7737A" w:rsidRDefault="003D6EA8" w:rsidP="00D1729E">
            <w:pPr>
              <w:pStyle w:val="naisf"/>
              <w:spacing w:before="0" w:after="0"/>
              <w:jc w:val="center"/>
            </w:pPr>
            <w:r w:rsidRPr="00E7737A">
              <w:t>0</w:t>
            </w:r>
          </w:p>
        </w:tc>
        <w:tc>
          <w:tcPr>
            <w:tcW w:w="1445" w:type="dxa"/>
          </w:tcPr>
          <w:p w:rsidR="003D6EA8" w:rsidRPr="00E7737A" w:rsidRDefault="003D6EA8" w:rsidP="00D1729E">
            <w:pPr>
              <w:pStyle w:val="naisf"/>
              <w:spacing w:before="0" w:after="0"/>
              <w:jc w:val="center"/>
            </w:pPr>
            <w:r w:rsidRPr="00E7737A">
              <w:t>0</w:t>
            </w:r>
          </w:p>
        </w:tc>
        <w:tc>
          <w:tcPr>
            <w:tcW w:w="1551" w:type="dxa"/>
          </w:tcPr>
          <w:p w:rsidR="003D6EA8" w:rsidRPr="00AE43FB" w:rsidRDefault="00BE3D7A" w:rsidP="00D1729E">
            <w:pPr>
              <w:pStyle w:val="naisf"/>
              <w:spacing w:before="0" w:after="0"/>
              <w:jc w:val="center"/>
              <w:rPr>
                <w:u w:val="single"/>
              </w:rPr>
            </w:pPr>
            <w:r w:rsidRPr="00AE43FB">
              <w:rPr>
                <w:u w:val="single"/>
              </w:rPr>
              <w:t>1 490 666</w:t>
            </w:r>
          </w:p>
        </w:tc>
        <w:tc>
          <w:tcPr>
            <w:tcW w:w="1551" w:type="dxa"/>
          </w:tcPr>
          <w:p w:rsidR="003D6EA8" w:rsidRPr="00C42479" w:rsidRDefault="003D6EA8" w:rsidP="00D1729E">
            <w:pPr>
              <w:pStyle w:val="naisf"/>
              <w:spacing w:before="0" w:after="0"/>
              <w:jc w:val="center"/>
            </w:pPr>
            <w:r w:rsidRPr="00C42479">
              <w:t>4 057 547</w:t>
            </w:r>
          </w:p>
        </w:tc>
        <w:tc>
          <w:tcPr>
            <w:tcW w:w="1551" w:type="dxa"/>
          </w:tcPr>
          <w:p w:rsidR="003D6EA8" w:rsidRPr="00E7737A" w:rsidRDefault="003D6EA8" w:rsidP="00D1729E">
            <w:pPr>
              <w:pStyle w:val="naisf"/>
              <w:spacing w:before="0" w:after="0"/>
              <w:jc w:val="center"/>
            </w:pPr>
            <w:r w:rsidRPr="00462F0F">
              <w:t>4 057 547</w:t>
            </w:r>
          </w:p>
        </w:tc>
      </w:tr>
      <w:tr w:rsidR="003D6EA8" w:rsidRPr="005128C9" w:rsidTr="003D6EA8">
        <w:trPr>
          <w:jc w:val="center"/>
        </w:trPr>
        <w:tc>
          <w:tcPr>
            <w:tcW w:w="2359" w:type="dxa"/>
            <w:gridSpan w:val="2"/>
          </w:tcPr>
          <w:p w:rsidR="003D6EA8" w:rsidRPr="005128C9" w:rsidRDefault="003D6EA8" w:rsidP="00D1729E">
            <w:pPr>
              <w:pStyle w:val="naisf"/>
              <w:spacing w:before="0" w:after="0"/>
              <w:rPr>
                <w:i/>
              </w:rPr>
            </w:pPr>
            <w:r w:rsidRPr="005128C9">
              <w:t>1.1. valsts pamatbudžets, tai skaitā ieņēmumi no maksas pakalpojumiem un citi pašu ieņēmumi</w:t>
            </w:r>
          </w:p>
        </w:tc>
        <w:tc>
          <w:tcPr>
            <w:tcW w:w="1338" w:type="dxa"/>
          </w:tcPr>
          <w:p w:rsidR="003D6EA8" w:rsidRPr="00E7737A" w:rsidRDefault="003D6EA8" w:rsidP="00D1729E">
            <w:pPr>
              <w:pStyle w:val="naisf"/>
              <w:spacing w:before="0" w:after="0"/>
              <w:jc w:val="center"/>
            </w:pPr>
            <w:r w:rsidRPr="00E7737A">
              <w:t>0</w:t>
            </w:r>
          </w:p>
        </w:tc>
        <w:tc>
          <w:tcPr>
            <w:tcW w:w="1445" w:type="dxa"/>
          </w:tcPr>
          <w:p w:rsidR="003D6EA8" w:rsidRPr="00E7737A" w:rsidRDefault="003D6EA8" w:rsidP="00D1729E">
            <w:pPr>
              <w:pStyle w:val="naisf"/>
              <w:spacing w:before="0" w:after="0"/>
              <w:jc w:val="center"/>
            </w:pPr>
            <w:r w:rsidRPr="00E7737A">
              <w:t>0</w:t>
            </w:r>
          </w:p>
        </w:tc>
        <w:tc>
          <w:tcPr>
            <w:tcW w:w="1551" w:type="dxa"/>
          </w:tcPr>
          <w:p w:rsidR="003D6EA8" w:rsidRPr="00AE43FB" w:rsidRDefault="00BE3D7A" w:rsidP="00D1729E">
            <w:pPr>
              <w:pStyle w:val="naisf"/>
              <w:spacing w:before="0" w:after="0"/>
              <w:jc w:val="center"/>
              <w:rPr>
                <w:u w:val="single"/>
              </w:rPr>
            </w:pPr>
            <w:r w:rsidRPr="00AE43FB">
              <w:rPr>
                <w:u w:val="single"/>
              </w:rPr>
              <w:t>1 490 666</w:t>
            </w:r>
          </w:p>
        </w:tc>
        <w:tc>
          <w:tcPr>
            <w:tcW w:w="1551" w:type="dxa"/>
          </w:tcPr>
          <w:p w:rsidR="003D6EA8" w:rsidRPr="00C42479" w:rsidRDefault="003D6EA8" w:rsidP="00D1729E">
            <w:pPr>
              <w:pStyle w:val="naisf"/>
              <w:spacing w:before="0" w:after="0"/>
              <w:jc w:val="center"/>
            </w:pPr>
            <w:r w:rsidRPr="00C42479">
              <w:t>4 057 547</w:t>
            </w:r>
          </w:p>
        </w:tc>
        <w:tc>
          <w:tcPr>
            <w:tcW w:w="1551" w:type="dxa"/>
          </w:tcPr>
          <w:p w:rsidR="003D6EA8" w:rsidRPr="00E7737A" w:rsidRDefault="003D6EA8" w:rsidP="00D1729E">
            <w:pPr>
              <w:pStyle w:val="naisf"/>
              <w:spacing w:before="0" w:after="0"/>
              <w:jc w:val="center"/>
            </w:pPr>
            <w:r w:rsidRPr="00462F0F">
              <w:t>4 057 547</w:t>
            </w:r>
          </w:p>
        </w:tc>
      </w:tr>
      <w:tr w:rsidR="003D6EA8" w:rsidRPr="005128C9" w:rsidTr="003D6EA8">
        <w:trPr>
          <w:jc w:val="center"/>
        </w:trPr>
        <w:tc>
          <w:tcPr>
            <w:tcW w:w="2359" w:type="dxa"/>
            <w:gridSpan w:val="2"/>
          </w:tcPr>
          <w:p w:rsidR="003D6EA8" w:rsidRPr="005128C9" w:rsidRDefault="003D6EA8" w:rsidP="00D1729E">
            <w:pPr>
              <w:pStyle w:val="naisf"/>
              <w:spacing w:before="0" w:after="0"/>
              <w:rPr>
                <w:i/>
              </w:rPr>
            </w:pPr>
            <w:r w:rsidRPr="005128C9">
              <w:t>1.2. valsts speciālais budžets</w:t>
            </w:r>
          </w:p>
        </w:tc>
        <w:tc>
          <w:tcPr>
            <w:tcW w:w="1338" w:type="dxa"/>
          </w:tcPr>
          <w:p w:rsidR="003D6EA8" w:rsidRPr="00E7737A" w:rsidRDefault="003D6EA8" w:rsidP="00D1729E">
            <w:pPr>
              <w:pStyle w:val="naisf"/>
              <w:spacing w:before="0" w:after="0"/>
              <w:jc w:val="center"/>
            </w:pPr>
            <w:r w:rsidRPr="00E7737A">
              <w:t>0</w:t>
            </w:r>
          </w:p>
        </w:tc>
        <w:tc>
          <w:tcPr>
            <w:tcW w:w="1445" w:type="dxa"/>
          </w:tcPr>
          <w:p w:rsidR="003D6EA8" w:rsidRPr="00E7737A" w:rsidRDefault="003D6EA8" w:rsidP="00D1729E">
            <w:pPr>
              <w:pStyle w:val="naisf"/>
              <w:spacing w:before="0" w:after="0"/>
              <w:jc w:val="center"/>
            </w:pPr>
            <w:r w:rsidRPr="00E7737A">
              <w:t>0</w:t>
            </w:r>
          </w:p>
        </w:tc>
        <w:tc>
          <w:tcPr>
            <w:tcW w:w="1551" w:type="dxa"/>
          </w:tcPr>
          <w:p w:rsidR="003D6EA8" w:rsidRPr="00AE43FB" w:rsidRDefault="003D6EA8" w:rsidP="00D1729E">
            <w:pPr>
              <w:pStyle w:val="naisf"/>
              <w:spacing w:before="0" w:after="0"/>
              <w:jc w:val="center"/>
              <w:rPr>
                <w:u w:val="single"/>
              </w:rPr>
            </w:pPr>
            <w:r w:rsidRPr="00AE43FB">
              <w:rPr>
                <w:u w:val="single"/>
              </w:rPr>
              <w:t>0</w:t>
            </w:r>
          </w:p>
        </w:tc>
        <w:tc>
          <w:tcPr>
            <w:tcW w:w="1551" w:type="dxa"/>
          </w:tcPr>
          <w:p w:rsidR="003D6EA8" w:rsidRPr="00C42479" w:rsidRDefault="003D6EA8" w:rsidP="00D1729E">
            <w:pPr>
              <w:pStyle w:val="naisf"/>
              <w:spacing w:before="0" w:after="0"/>
              <w:jc w:val="center"/>
            </w:pPr>
            <w:r w:rsidRPr="00C42479">
              <w:t>0</w:t>
            </w:r>
          </w:p>
        </w:tc>
        <w:tc>
          <w:tcPr>
            <w:tcW w:w="1551" w:type="dxa"/>
          </w:tcPr>
          <w:p w:rsidR="003D6EA8" w:rsidRPr="00E7737A" w:rsidRDefault="003D6EA8" w:rsidP="00D1729E">
            <w:pPr>
              <w:pStyle w:val="naisf"/>
              <w:spacing w:before="0" w:after="0"/>
              <w:jc w:val="center"/>
            </w:pPr>
            <w:r w:rsidRPr="00E7737A">
              <w:t>0</w:t>
            </w:r>
          </w:p>
        </w:tc>
      </w:tr>
      <w:tr w:rsidR="003D6EA8" w:rsidRPr="005128C9" w:rsidTr="003D6EA8">
        <w:trPr>
          <w:jc w:val="center"/>
        </w:trPr>
        <w:tc>
          <w:tcPr>
            <w:tcW w:w="2359" w:type="dxa"/>
            <w:gridSpan w:val="2"/>
          </w:tcPr>
          <w:p w:rsidR="003D6EA8" w:rsidRPr="005128C9" w:rsidRDefault="003D6EA8" w:rsidP="00D1729E">
            <w:pPr>
              <w:pStyle w:val="naisf"/>
              <w:spacing w:before="0" w:after="0"/>
              <w:rPr>
                <w:i/>
              </w:rPr>
            </w:pPr>
            <w:r w:rsidRPr="005128C9">
              <w:t>1.3. pašvaldību budžets</w:t>
            </w:r>
          </w:p>
        </w:tc>
        <w:tc>
          <w:tcPr>
            <w:tcW w:w="1338" w:type="dxa"/>
          </w:tcPr>
          <w:p w:rsidR="003D6EA8" w:rsidRPr="00E7737A" w:rsidRDefault="003D6EA8" w:rsidP="00D1729E">
            <w:pPr>
              <w:pStyle w:val="naisf"/>
              <w:spacing w:before="0" w:after="0"/>
              <w:jc w:val="center"/>
            </w:pPr>
            <w:r w:rsidRPr="00E7737A">
              <w:t>0</w:t>
            </w:r>
          </w:p>
        </w:tc>
        <w:tc>
          <w:tcPr>
            <w:tcW w:w="1445" w:type="dxa"/>
          </w:tcPr>
          <w:p w:rsidR="003D6EA8" w:rsidRPr="00E7737A" w:rsidRDefault="003D6EA8" w:rsidP="00D1729E">
            <w:pPr>
              <w:pStyle w:val="naisf"/>
              <w:spacing w:before="0" w:after="0"/>
              <w:jc w:val="center"/>
            </w:pPr>
            <w:r w:rsidRPr="00E7737A">
              <w:t>0</w:t>
            </w:r>
          </w:p>
        </w:tc>
        <w:tc>
          <w:tcPr>
            <w:tcW w:w="1551" w:type="dxa"/>
          </w:tcPr>
          <w:p w:rsidR="003D6EA8" w:rsidRPr="00AE43FB" w:rsidRDefault="003D6EA8" w:rsidP="00D1729E">
            <w:pPr>
              <w:pStyle w:val="naisf"/>
              <w:spacing w:before="0" w:after="0"/>
              <w:jc w:val="center"/>
              <w:rPr>
                <w:u w:val="single"/>
              </w:rPr>
            </w:pPr>
            <w:r w:rsidRPr="00AE43FB">
              <w:rPr>
                <w:u w:val="single"/>
              </w:rPr>
              <w:t>0</w:t>
            </w:r>
          </w:p>
        </w:tc>
        <w:tc>
          <w:tcPr>
            <w:tcW w:w="1551" w:type="dxa"/>
          </w:tcPr>
          <w:p w:rsidR="003D6EA8" w:rsidRPr="00C42479" w:rsidRDefault="003D6EA8" w:rsidP="00D1729E">
            <w:pPr>
              <w:pStyle w:val="naisf"/>
              <w:spacing w:before="0" w:after="0"/>
              <w:jc w:val="center"/>
            </w:pPr>
            <w:r w:rsidRPr="00C42479">
              <w:t>0</w:t>
            </w:r>
          </w:p>
        </w:tc>
        <w:tc>
          <w:tcPr>
            <w:tcW w:w="1551" w:type="dxa"/>
          </w:tcPr>
          <w:p w:rsidR="003D6EA8" w:rsidRPr="00E7737A" w:rsidRDefault="003D6EA8" w:rsidP="00D1729E">
            <w:pPr>
              <w:pStyle w:val="naisf"/>
              <w:spacing w:before="0" w:after="0"/>
              <w:jc w:val="center"/>
            </w:pPr>
            <w:r w:rsidRPr="00E7737A">
              <w:t>0</w:t>
            </w:r>
          </w:p>
        </w:tc>
      </w:tr>
      <w:tr w:rsidR="003D6EA8" w:rsidRPr="005128C9" w:rsidTr="003D6EA8">
        <w:trPr>
          <w:jc w:val="center"/>
        </w:trPr>
        <w:tc>
          <w:tcPr>
            <w:tcW w:w="2359" w:type="dxa"/>
            <w:gridSpan w:val="2"/>
          </w:tcPr>
          <w:p w:rsidR="003D6EA8" w:rsidRPr="005128C9" w:rsidRDefault="003D6EA8" w:rsidP="00C46783">
            <w:pPr>
              <w:ind w:firstLine="451"/>
              <w:rPr>
                <w:rFonts w:cs="Times New Roman"/>
                <w:sz w:val="24"/>
                <w:szCs w:val="24"/>
              </w:rPr>
            </w:pPr>
            <w:r w:rsidRPr="005128C9">
              <w:rPr>
                <w:rFonts w:cs="Times New Roman"/>
                <w:sz w:val="24"/>
                <w:szCs w:val="24"/>
              </w:rPr>
              <w:t>2. Budžeta izdevumi:</w:t>
            </w:r>
          </w:p>
        </w:tc>
        <w:tc>
          <w:tcPr>
            <w:tcW w:w="1338" w:type="dxa"/>
          </w:tcPr>
          <w:p w:rsidR="003D6EA8" w:rsidRPr="00E7737A" w:rsidRDefault="003D6EA8" w:rsidP="00D1729E">
            <w:pPr>
              <w:pStyle w:val="naisf"/>
              <w:spacing w:before="0" w:after="0"/>
              <w:jc w:val="center"/>
            </w:pPr>
            <w:r w:rsidRPr="00E7737A">
              <w:t>0</w:t>
            </w:r>
          </w:p>
        </w:tc>
        <w:tc>
          <w:tcPr>
            <w:tcW w:w="1445" w:type="dxa"/>
          </w:tcPr>
          <w:p w:rsidR="003D6EA8" w:rsidRPr="00E7737A" w:rsidRDefault="003D6EA8" w:rsidP="00D1729E">
            <w:pPr>
              <w:pStyle w:val="naisf"/>
              <w:spacing w:before="0" w:after="0"/>
              <w:jc w:val="center"/>
            </w:pPr>
            <w:r w:rsidRPr="00E7737A">
              <w:t>0</w:t>
            </w:r>
          </w:p>
        </w:tc>
        <w:tc>
          <w:tcPr>
            <w:tcW w:w="1551" w:type="dxa"/>
          </w:tcPr>
          <w:p w:rsidR="003D6EA8" w:rsidRPr="00AE43FB" w:rsidRDefault="00BE3D7A" w:rsidP="00D1729E">
            <w:pPr>
              <w:pStyle w:val="naisf"/>
              <w:spacing w:before="0" w:after="0"/>
              <w:jc w:val="center"/>
              <w:rPr>
                <w:u w:val="single"/>
              </w:rPr>
            </w:pPr>
            <w:r w:rsidRPr="00AE43FB">
              <w:rPr>
                <w:u w:val="single"/>
              </w:rPr>
              <w:t>1 490 666</w:t>
            </w:r>
          </w:p>
        </w:tc>
        <w:tc>
          <w:tcPr>
            <w:tcW w:w="1551" w:type="dxa"/>
          </w:tcPr>
          <w:p w:rsidR="003D6EA8" w:rsidRPr="00C42479" w:rsidRDefault="003D6EA8" w:rsidP="00D1729E">
            <w:pPr>
              <w:pStyle w:val="naisf"/>
              <w:spacing w:before="0" w:after="0"/>
              <w:jc w:val="center"/>
            </w:pPr>
            <w:r w:rsidRPr="00C42479">
              <w:t>4 057 547</w:t>
            </w:r>
          </w:p>
        </w:tc>
        <w:tc>
          <w:tcPr>
            <w:tcW w:w="1551" w:type="dxa"/>
          </w:tcPr>
          <w:p w:rsidR="003D6EA8" w:rsidRPr="00E7737A" w:rsidRDefault="003D6EA8" w:rsidP="00D1729E">
            <w:pPr>
              <w:pStyle w:val="naisf"/>
              <w:spacing w:before="0" w:after="0"/>
              <w:jc w:val="center"/>
            </w:pPr>
            <w:r w:rsidRPr="00462F0F">
              <w:t>4 057 547</w:t>
            </w:r>
          </w:p>
        </w:tc>
      </w:tr>
      <w:tr w:rsidR="003D6EA8" w:rsidRPr="005128C9" w:rsidTr="003D6EA8">
        <w:trPr>
          <w:jc w:val="center"/>
        </w:trPr>
        <w:tc>
          <w:tcPr>
            <w:tcW w:w="2359" w:type="dxa"/>
            <w:gridSpan w:val="2"/>
          </w:tcPr>
          <w:p w:rsidR="003D6EA8" w:rsidRPr="005128C9" w:rsidRDefault="003D6EA8" w:rsidP="00C46783">
            <w:pPr>
              <w:ind w:firstLine="451"/>
              <w:rPr>
                <w:rFonts w:cs="Times New Roman"/>
                <w:sz w:val="24"/>
                <w:szCs w:val="24"/>
              </w:rPr>
            </w:pPr>
            <w:r w:rsidRPr="005128C9">
              <w:rPr>
                <w:rFonts w:cs="Times New Roman"/>
                <w:sz w:val="24"/>
                <w:szCs w:val="24"/>
              </w:rPr>
              <w:t>2.1. valsts pamatbudžets</w:t>
            </w:r>
          </w:p>
        </w:tc>
        <w:tc>
          <w:tcPr>
            <w:tcW w:w="1338" w:type="dxa"/>
          </w:tcPr>
          <w:p w:rsidR="003D6EA8" w:rsidRPr="00E7737A" w:rsidRDefault="003D6EA8" w:rsidP="00D1729E">
            <w:pPr>
              <w:pStyle w:val="naisf"/>
              <w:spacing w:before="0" w:after="0"/>
              <w:jc w:val="center"/>
            </w:pPr>
            <w:r w:rsidRPr="00E7737A">
              <w:t>0</w:t>
            </w:r>
          </w:p>
        </w:tc>
        <w:tc>
          <w:tcPr>
            <w:tcW w:w="1445" w:type="dxa"/>
          </w:tcPr>
          <w:p w:rsidR="003D6EA8" w:rsidRPr="00E7737A" w:rsidRDefault="003D6EA8" w:rsidP="00D1729E">
            <w:pPr>
              <w:pStyle w:val="naisf"/>
              <w:spacing w:before="0" w:after="0"/>
              <w:jc w:val="center"/>
            </w:pPr>
            <w:r w:rsidRPr="00E7737A">
              <w:t>0</w:t>
            </w:r>
          </w:p>
        </w:tc>
        <w:tc>
          <w:tcPr>
            <w:tcW w:w="1551" w:type="dxa"/>
          </w:tcPr>
          <w:p w:rsidR="003D6EA8" w:rsidRPr="00AE43FB" w:rsidRDefault="00BE3D7A" w:rsidP="00D1729E">
            <w:pPr>
              <w:pStyle w:val="naisf"/>
              <w:spacing w:before="0" w:after="0"/>
              <w:jc w:val="center"/>
              <w:rPr>
                <w:u w:val="single"/>
              </w:rPr>
            </w:pPr>
            <w:r w:rsidRPr="00AE43FB">
              <w:rPr>
                <w:u w:val="single"/>
              </w:rPr>
              <w:t>1 490 666</w:t>
            </w:r>
          </w:p>
        </w:tc>
        <w:tc>
          <w:tcPr>
            <w:tcW w:w="1551" w:type="dxa"/>
          </w:tcPr>
          <w:p w:rsidR="003D6EA8" w:rsidRPr="00C42479" w:rsidRDefault="003D6EA8" w:rsidP="00D1729E">
            <w:pPr>
              <w:pStyle w:val="naisf"/>
              <w:spacing w:before="0" w:after="0"/>
              <w:jc w:val="center"/>
            </w:pPr>
            <w:r w:rsidRPr="00C42479">
              <w:t>4 057 547</w:t>
            </w:r>
          </w:p>
        </w:tc>
        <w:tc>
          <w:tcPr>
            <w:tcW w:w="1551" w:type="dxa"/>
          </w:tcPr>
          <w:p w:rsidR="003D6EA8" w:rsidRPr="00E7737A" w:rsidRDefault="003D6EA8" w:rsidP="00D1729E">
            <w:pPr>
              <w:pStyle w:val="naisf"/>
              <w:spacing w:before="0" w:after="0"/>
              <w:jc w:val="center"/>
            </w:pPr>
            <w:r w:rsidRPr="00462F0F">
              <w:t>4 057 547</w:t>
            </w:r>
          </w:p>
        </w:tc>
      </w:tr>
      <w:tr w:rsidR="003D6EA8" w:rsidRPr="005128C9" w:rsidTr="003D6EA8">
        <w:trPr>
          <w:jc w:val="center"/>
        </w:trPr>
        <w:tc>
          <w:tcPr>
            <w:tcW w:w="2359" w:type="dxa"/>
            <w:gridSpan w:val="2"/>
          </w:tcPr>
          <w:p w:rsidR="003D6EA8" w:rsidRPr="005128C9" w:rsidRDefault="003D6EA8" w:rsidP="00D1729E">
            <w:pPr>
              <w:rPr>
                <w:rFonts w:cs="Times New Roman"/>
                <w:sz w:val="24"/>
                <w:szCs w:val="24"/>
              </w:rPr>
            </w:pPr>
            <w:r w:rsidRPr="005128C9">
              <w:rPr>
                <w:rFonts w:cs="Times New Roman"/>
                <w:sz w:val="24"/>
                <w:szCs w:val="24"/>
              </w:rPr>
              <w:lastRenderedPageBreak/>
              <w:t>2.2. valsts speciālais budžets</w:t>
            </w:r>
          </w:p>
        </w:tc>
        <w:tc>
          <w:tcPr>
            <w:tcW w:w="1338" w:type="dxa"/>
          </w:tcPr>
          <w:p w:rsidR="003D6EA8" w:rsidRPr="00E7737A" w:rsidRDefault="003D6EA8" w:rsidP="00D1729E">
            <w:pPr>
              <w:pStyle w:val="naisf"/>
              <w:spacing w:before="0" w:after="0"/>
              <w:jc w:val="center"/>
            </w:pPr>
            <w:r w:rsidRPr="00E7737A">
              <w:t>0</w:t>
            </w:r>
          </w:p>
        </w:tc>
        <w:tc>
          <w:tcPr>
            <w:tcW w:w="1445" w:type="dxa"/>
          </w:tcPr>
          <w:p w:rsidR="003D6EA8" w:rsidRPr="00E7737A" w:rsidRDefault="003D6EA8" w:rsidP="00D1729E">
            <w:pPr>
              <w:pStyle w:val="naisf"/>
              <w:spacing w:before="0" w:after="0"/>
              <w:jc w:val="center"/>
            </w:pPr>
            <w:r w:rsidRPr="00E7737A">
              <w:t>0</w:t>
            </w:r>
          </w:p>
        </w:tc>
        <w:tc>
          <w:tcPr>
            <w:tcW w:w="1551" w:type="dxa"/>
          </w:tcPr>
          <w:p w:rsidR="003D6EA8" w:rsidRPr="00E7737A" w:rsidRDefault="003D6EA8" w:rsidP="00D1729E">
            <w:pPr>
              <w:pStyle w:val="naisf"/>
              <w:spacing w:before="0" w:after="0"/>
              <w:jc w:val="center"/>
            </w:pPr>
            <w:r w:rsidRPr="00E7737A">
              <w:t>0</w:t>
            </w:r>
          </w:p>
        </w:tc>
        <w:tc>
          <w:tcPr>
            <w:tcW w:w="1551" w:type="dxa"/>
          </w:tcPr>
          <w:p w:rsidR="003D6EA8" w:rsidRPr="00E7737A" w:rsidRDefault="003D6EA8" w:rsidP="00D1729E">
            <w:pPr>
              <w:pStyle w:val="naisf"/>
              <w:spacing w:before="0" w:after="0"/>
              <w:jc w:val="center"/>
            </w:pPr>
            <w:r w:rsidRPr="00E7737A">
              <w:t>0</w:t>
            </w:r>
          </w:p>
        </w:tc>
        <w:tc>
          <w:tcPr>
            <w:tcW w:w="1551" w:type="dxa"/>
          </w:tcPr>
          <w:p w:rsidR="003D6EA8" w:rsidRPr="00E7737A" w:rsidRDefault="003D6EA8" w:rsidP="00D1729E">
            <w:pPr>
              <w:pStyle w:val="naisf"/>
              <w:spacing w:before="0" w:after="0"/>
              <w:jc w:val="center"/>
            </w:pPr>
            <w:r w:rsidRPr="00E7737A">
              <w:t>0</w:t>
            </w:r>
          </w:p>
        </w:tc>
      </w:tr>
      <w:tr w:rsidR="003D6EA8" w:rsidRPr="005128C9" w:rsidTr="003D6EA8">
        <w:trPr>
          <w:jc w:val="center"/>
        </w:trPr>
        <w:tc>
          <w:tcPr>
            <w:tcW w:w="2359" w:type="dxa"/>
            <w:gridSpan w:val="2"/>
          </w:tcPr>
          <w:p w:rsidR="003D6EA8" w:rsidRPr="005128C9" w:rsidRDefault="003D6EA8" w:rsidP="00D1729E">
            <w:pPr>
              <w:rPr>
                <w:rFonts w:cs="Times New Roman"/>
                <w:sz w:val="24"/>
                <w:szCs w:val="24"/>
              </w:rPr>
            </w:pPr>
            <w:r w:rsidRPr="005128C9">
              <w:rPr>
                <w:rFonts w:cs="Times New Roman"/>
                <w:sz w:val="24"/>
                <w:szCs w:val="24"/>
              </w:rPr>
              <w:t xml:space="preserve">2.3. pašvaldību budžets </w:t>
            </w:r>
          </w:p>
        </w:tc>
        <w:tc>
          <w:tcPr>
            <w:tcW w:w="1338" w:type="dxa"/>
          </w:tcPr>
          <w:p w:rsidR="003D6EA8" w:rsidRPr="00E7737A" w:rsidRDefault="003D6EA8" w:rsidP="00D1729E">
            <w:pPr>
              <w:pStyle w:val="naisf"/>
              <w:spacing w:before="0" w:after="0"/>
              <w:jc w:val="center"/>
            </w:pPr>
            <w:r w:rsidRPr="00E7737A">
              <w:t>0</w:t>
            </w:r>
          </w:p>
        </w:tc>
        <w:tc>
          <w:tcPr>
            <w:tcW w:w="1445" w:type="dxa"/>
          </w:tcPr>
          <w:p w:rsidR="003D6EA8" w:rsidRPr="00E7737A" w:rsidRDefault="003D6EA8" w:rsidP="00D1729E">
            <w:pPr>
              <w:pStyle w:val="naisf"/>
              <w:spacing w:before="0" w:after="0"/>
              <w:jc w:val="center"/>
            </w:pPr>
            <w:r w:rsidRPr="00E7737A">
              <w:t>0</w:t>
            </w:r>
          </w:p>
        </w:tc>
        <w:tc>
          <w:tcPr>
            <w:tcW w:w="1551" w:type="dxa"/>
          </w:tcPr>
          <w:p w:rsidR="003D6EA8" w:rsidRPr="00E7737A" w:rsidRDefault="003D6EA8" w:rsidP="00D1729E">
            <w:pPr>
              <w:pStyle w:val="naisf"/>
              <w:spacing w:before="0" w:after="0"/>
              <w:jc w:val="center"/>
            </w:pPr>
            <w:r w:rsidRPr="00E7737A">
              <w:t>0</w:t>
            </w:r>
          </w:p>
        </w:tc>
        <w:tc>
          <w:tcPr>
            <w:tcW w:w="1551" w:type="dxa"/>
          </w:tcPr>
          <w:p w:rsidR="003D6EA8" w:rsidRPr="00E7737A" w:rsidRDefault="003D6EA8" w:rsidP="00D1729E">
            <w:pPr>
              <w:pStyle w:val="naisf"/>
              <w:spacing w:before="0" w:after="0"/>
              <w:jc w:val="center"/>
            </w:pPr>
            <w:r w:rsidRPr="00E7737A">
              <w:t>0</w:t>
            </w:r>
          </w:p>
        </w:tc>
        <w:tc>
          <w:tcPr>
            <w:tcW w:w="1551" w:type="dxa"/>
          </w:tcPr>
          <w:p w:rsidR="003D6EA8" w:rsidRPr="00E7737A" w:rsidRDefault="003D6EA8" w:rsidP="00D1729E">
            <w:pPr>
              <w:pStyle w:val="naisf"/>
              <w:spacing w:before="0" w:after="0"/>
              <w:jc w:val="center"/>
            </w:pPr>
            <w:r w:rsidRPr="00E7737A">
              <w:t>0</w:t>
            </w:r>
          </w:p>
        </w:tc>
      </w:tr>
      <w:tr w:rsidR="003D6EA8" w:rsidRPr="005128C9" w:rsidTr="003D6EA8">
        <w:trPr>
          <w:jc w:val="center"/>
        </w:trPr>
        <w:tc>
          <w:tcPr>
            <w:tcW w:w="2359" w:type="dxa"/>
            <w:gridSpan w:val="2"/>
          </w:tcPr>
          <w:p w:rsidR="003D6EA8" w:rsidRPr="005128C9" w:rsidRDefault="003D6EA8" w:rsidP="00D1729E">
            <w:pPr>
              <w:rPr>
                <w:rFonts w:cs="Times New Roman"/>
                <w:sz w:val="24"/>
                <w:szCs w:val="24"/>
              </w:rPr>
            </w:pPr>
            <w:r w:rsidRPr="005128C9">
              <w:rPr>
                <w:rFonts w:cs="Times New Roman"/>
                <w:sz w:val="24"/>
                <w:szCs w:val="24"/>
              </w:rPr>
              <w:t>3. Finansiālā ietekme:</w:t>
            </w:r>
          </w:p>
        </w:tc>
        <w:tc>
          <w:tcPr>
            <w:tcW w:w="1338" w:type="dxa"/>
            <w:shd w:val="clear" w:color="auto" w:fill="auto"/>
            <w:vAlign w:val="center"/>
          </w:tcPr>
          <w:p w:rsidR="003D6EA8" w:rsidRPr="00E7737A" w:rsidRDefault="003D6EA8" w:rsidP="00D1729E">
            <w:pPr>
              <w:pStyle w:val="naisf"/>
              <w:spacing w:before="0" w:after="0"/>
              <w:jc w:val="center"/>
            </w:pPr>
            <w:r w:rsidRPr="00E7737A">
              <w:t>0</w:t>
            </w:r>
          </w:p>
        </w:tc>
        <w:tc>
          <w:tcPr>
            <w:tcW w:w="1445" w:type="dxa"/>
          </w:tcPr>
          <w:p w:rsidR="003D6EA8" w:rsidRPr="00E7737A" w:rsidRDefault="003D6EA8" w:rsidP="00D1729E">
            <w:pPr>
              <w:pStyle w:val="naisf"/>
              <w:spacing w:before="0" w:after="0"/>
              <w:jc w:val="center"/>
            </w:pPr>
            <w:r w:rsidRPr="00E7737A">
              <w:t>0</w:t>
            </w:r>
          </w:p>
        </w:tc>
        <w:tc>
          <w:tcPr>
            <w:tcW w:w="1551" w:type="dxa"/>
          </w:tcPr>
          <w:p w:rsidR="003D6EA8" w:rsidRPr="00E7737A" w:rsidRDefault="003D6EA8" w:rsidP="00D1729E">
            <w:pPr>
              <w:pStyle w:val="naisf"/>
              <w:spacing w:before="0" w:after="0"/>
              <w:jc w:val="center"/>
            </w:pPr>
            <w:r w:rsidRPr="00E7737A">
              <w:t>0</w:t>
            </w:r>
          </w:p>
        </w:tc>
        <w:tc>
          <w:tcPr>
            <w:tcW w:w="1551" w:type="dxa"/>
          </w:tcPr>
          <w:p w:rsidR="003D6EA8" w:rsidRPr="00E7737A" w:rsidRDefault="003D6EA8" w:rsidP="00D1729E">
            <w:pPr>
              <w:pStyle w:val="naisf"/>
              <w:spacing w:before="0" w:after="0"/>
              <w:jc w:val="center"/>
            </w:pPr>
            <w:r w:rsidRPr="00E7737A">
              <w:t>0</w:t>
            </w:r>
          </w:p>
        </w:tc>
        <w:tc>
          <w:tcPr>
            <w:tcW w:w="1551" w:type="dxa"/>
          </w:tcPr>
          <w:p w:rsidR="003D6EA8" w:rsidRPr="00E7737A" w:rsidRDefault="003D6EA8" w:rsidP="00D1729E">
            <w:pPr>
              <w:pStyle w:val="naisf"/>
              <w:spacing w:before="0" w:after="0"/>
              <w:jc w:val="center"/>
            </w:pPr>
            <w:r w:rsidRPr="00E7737A">
              <w:t>0</w:t>
            </w:r>
          </w:p>
        </w:tc>
      </w:tr>
      <w:tr w:rsidR="003D6EA8" w:rsidRPr="005128C9" w:rsidTr="003D6EA8">
        <w:trPr>
          <w:jc w:val="center"/>
        </w:trPr>
        <w:tc>
          <w:tcPr>
            <w:tcW w:w="2359" w:type="dxa"/>
            <w:gridSpan w:val="2"/>
          </w:tcPr>
          <w:p w:rsidR="003D6EA8" w:rsidRPr="005128C9" w:rsidRDefault="003D6EA8" w:rsidP="00D1729E">
            <w:pPr>
              <w:rPr>
                <w:rFonts w:cs="Times New Roman"/>
                <w:sz w:val="24"/>
                <w:szCs w:val="24"/>
              </w:rPr>
            </w:pPr>
            <w:r w:rsidRPr="005128C9">
              <w:rPr>
                <w:rFonts w:cs="Times New Roman"/>
                <w:sz w:val="24"/>
                <w:szCs w:val="24"/>
              </w:rPr>
              <w:t>3.1. valsts pamatbudžets</w:t>
            </w:r>
          </w:p>
        </w:tc>
        <w:tc>
          <w:tcPr>
            <w:tcW w:w="1338" w:type="dxa"/>
            <w:shd w:val="clear" w:color="auto" w:fill="auto"/>
          </w:tcPr>
          <w:p w:rsidR="003D6EA8" w:rsidRPr="00E7737A" w:rsidRDefault="003D6EA8" w:rsidP="00D1729E">
            <w:pPr>
              <w:pStyle w:val="naisf"/>
              <w:spacing w:before="0" w:after="0"/>
              <w:jc w:val="center"/>
            </w:pPr>
            <w:r w:rsidRPr="00E7737A">
              <w:t>0</w:t>
            </w:r>
          </w:p>
        </w:tc>
        <w:tc>
          <w:tcPr>
            <w:tcW w:w="1445" w:type="dxa"/>
          </w:tcPr>
          <w:p w:rsidR="003D6EA8" w:rsidRPr="00E7737A" w:rsidRDefault="003D6EA8" w:rsidP="00D1729E">
            <w:pPr>
              <w:pStyle w:val="naisf"/>
              <w:spacing w:before="0" w:after="0"/>
              <w:jc w:val="center"/>
            </w:pPr>
            <w:r w:rsidRPr="00E7737A">
              <w:t>0</w:t>
            </w:r>
          </w:p>
        </w:tc>
        <w:tc>
          <w:tcPr>
            <w:tcW w:w="1551" w:type="dxa"/>
          </w:tcPr>
          <w:p w:rsidR="003D6EA8" w:rsidRPr="00E7737A" w:rsidRDefault="003D6EA8" w:rsidP="00D1729E">
            <w:pPr>
              <w:pStyle w:val="naisf"/>
              <w:spacing w:before="0" w:after="0"/>
              <w:jc w:val="center"/>
            </w:pPr>
            <w:r w:rsidRPr="00E7737A">
              <w:t>0</w:t>
            </w:r>
          </w:p>
        </w:tc>
        <w:tc>
          <w:tcPr>
            <w:tcW w:w="1551" w:type="dxa"/>
          </w:tcPr>
          <w:p w:rsidR="003D6EA8" w:rsidRPr="00E7737A" w:rsidRDefault="003D6EA8" w:rsidP="00D1729E">
            <w:pPr>
              <w:pStyle w:val="naisf"/>
              <w:spacing w:before="0" w:after="0"/>
              <w:jc w:val="center"/>
            </w:pPr>
            <w:r w:rsidRPr="00E7737A">
              <w:t>0</w:t>
            </w:r>
          </w:p>
        </w:tc>
        <w:tc>
          <w:tcPr>
            <w:tcW w:w="1551" w:type="dxa"/>
          </w:tcPr>
          <w:p w:rsidR="003D6EA8" w:rsidRPr="00E7737A" w:rsidRDefault="003D6EA8" w:rsidP="00D1729E">
            <w:pPr>
              <w:pStyle w:val="naisf"/>
              <w:spacing w:before="0" w:after="0"/>
              <w:jc w:val="center"/>
            </w:pPr>
            <w:r w:rsidRPr="00E7737A">
              <w:t>0</w:t>
            </w:r>
          </w:p>
        </w:tc>
      </w:tr>
      <w:tr w:rsidR="003D6EA8" w:rsidRPr="005128C9" w:rsidTr="003D6EA8">
        <w:trPr>
          <w:jc w:val="center"/>
        </w:trPr>
        <w:tc>
          <w:tcPr>
            <w:tcW w:w="2359" w:type="dxa"/>
            <w:gridSpan w:val="2"/>
          </w:tcPr>
          <w:p w:rsidR="003D6EA8" w:rsidRPr="005128C9" w:rsidRDefault="003D6EA8" w:rsidP="00D1729E">
            <w:pPr>
              <w:rPr>
                <w:rFonts w:cs="Times New Roman"/>
                <w:sz w:val="24"/>
                <w:szCs w:val="24"/>
              </w:rPr>
            </w:pPr>
            <w:r w:rsidRPr="005128C9">
              <w:rPr>
                <w:rFonts w:cs="Times New Roman"/>
                <w:sz w:val="24"/>
                <w:szCs w:val="24"/>
              </w:rPr>
              <w:t>3.2. speciālais budžets</w:t>
            </w:r>
          </w:p>
        </w:tc>
        <w:tc>
          <w:tcPr>
            <w:tcW w:w="1338" w:type="dxa"/>
            <w:shd w:val="clear" w:color="auto" w:fill="auto"/>
          </w:tcPr>
          <w:p w:rsidR="003D6EA8" w:rsidRPr="00E7737A" w:rsidRDefault="003D6EA8" w:rsidP="00D1729E">
            <w:pPr>
              <w:pStyle w:val="naisf"/>
              <w:spacing w:before="0" w:after="0"/>
              <w:jc w:val="center"/>
            </w:pPr>
            <w:r w:rsidRPr="00E7737A">
              <w:t>0</w:t>
            </w:r>
          </w:p>
        </w:tc>
        <w:tc>
          <w:tcPr>
            <w:tcW w:w="1445" w:type="dxa"/>
          </w:tcPr>
          <w:p w:rsidR="003D6EA8" w:rsidRPr="00E7737A" w:rsidRDefault="003D6EA8" w:rsidP="00D1729E">
            <w:pPr>
              <w:pStyle w:val="naisf"/>
              <w:spacing w:before="0" w:after="0"/>
              <w:jc w:val="center"/>
            </w:pPr>
            <w:r w:rsidRPr="00E7737A">
              <w:t>0</w:t>
            </w:r>
          </w:p>
        </w:tc>
        <w:tc>
          <w:tcPr>
            <w:tcW w:w="1551" w:type="dxa"/>
          </w:tcPr>
          <w:p w:rsidR="003D6EA8" w:rsidRPr="00E7737A" w:rsidRDefault="003D6EA8" w:rsidP="00D1729E">
            <w:pPr>
              <w:pStyle w:val="naisf"/>
              <w:spacing w:before="0" w:after="0"/>
              <w:jc w:val="center"/>
            </w:pPr>
            <w:r w:rsidRPr="00E7737A">
              <w:t>0</w:t>
            </w:r>
          </w:p>
        </w:tc>
        <w:tc>
          <w:tcPr>
            <w:tcW w:w="1551" w:type="dxa"/>
          </w:tcPr>
          <w:p w:rsidR="003D6EA8" w:rsidRPr="00E7737A" w:rsidRDefault="003D6EA8" w:rsidP="00D1729E">
            <w:pPr>
              <w:pStyle w:val="naisf"/>
              <w:spacing w:before="0" w:after="0"/>
              <w:jc w:val="center"/>
            </w:pPr>
            <w:r w:rsidRPr="00E7737A">
              <w:t>0</w:t>
            </w:r>
          </w:p>
        </w:tc>
        <w:tc>
          <w:tcPr>
            <w:tcW w:w="1551" w:type="dxa"/>
          </w:tcPr>
          <w:p w:rsidR="003D6EA8" w:rsidRPr="00E7737A" w:rsidRDefault="003D6EA8" w:rsidP="00D1729E">
            <w:pPr>
              <w:pStyle w:val="naisf"/>
              <w:spacing w:before="0" w:after="0"/>
              <w:jc w:val="center"/>
            </w:pPr>
            <w:r w:rsidRPr="00E7737A">
              <w:t>0</w:t>
            </w:r>
          </w:p>
        </w:tc>
      </w:tr>
      <w:tr w:rsidR="003D6EA8" w:rsidRPr="005128C9" w:rsidTr="003D6EA8">
        <w:trPr>
          <w:jc w:val="center"/>
        </w:trPr>
        <w:tc>
          <w:tcPr>
            <w:tcW w:w="2359" w:type="dxa"/>
            <w:gridSpan w:val="2"/>
          </w:tcPr>
          <w:p w:rsidR="003D6EA8" w:rsidRPr="005128C9" w:rsidRDefault="003D6EA8" w:rsidP="00D1729E">
            <w:pPr>
              <w:rPr>
                <w:rFonts w:cs="Times New Roman"/>
                <w:sz w:val="24"/>
                <w:szCs w:val="24"/>
              </w:rPr>
            </w:pPr>
            <w:r w:rsidRPr="005128C9">
              <w:rPr>
                <w:rFonts w:cs="Times New Roman"/>
                <w:sz w:val="24"/>
                <w:szCs w:val="24"/>
              </w:rPr>
              <w:t xml:space="preserve">3.3. pašvaldību budžets </w:t>
            </w:r>
          </w:p>
        </w:tc>
        <w:tc>
          <w:tcPr>
            <w:tcW w:w="1338" w:type="dxa"/>
            <w:shd w:val="clear" w:color="auto" w:fill="auto"/>
          </w:tcPr>
          <w:p w:rsidR="003D6EA8" w:rsidRPr="00E7737A" w:rsidRDefault="003D6EA8" w:rsidP="00D1729E">
            <w:pPr>
              <w:pStyle w:val="naisf"/>
              <w:spacing w:before="0" w:after="0"/>
              <w:jc w:val="center"/>
            </w:pPr>
            <w:r w:rsidRPr="00E7737A">
              <w:t>0</w:t>
            </w:r>
          </w:p>
        </w:tc>
        <w:tc>
          <w:tcPr>
            <w:tcW w:w="1445" w:type="dxa"/>
          </w:tcPr>
          <w:p w:rsidR="003D6EA8" w:rsidRPr="00E7737A" w:rsidRDefault="003D6EA8" w:rsidP="00D1729E">
            <w:pPr>
              <w:pStyle w:val="naisf"/>
              <w:spacing w:before="0" w:after="0"/>
              <w:jc w:val="center"/>
            </w:pPr>
            <w:r w:rsidRPr="00E7737A">
              <w:t>0</w:t>
            </w:r>
          </w:p>
        </w:tc>
        <w:tc>
          <w:tcPr>
            <w:tcW w:w="1551" w:type="dxa"/>
          </w:tcPr>
          <w:p w:rsidR="003D6EA8" w:rsidRPr="00E7737A" w:rsidRDefault="003D6EA8" w:rsidP="00D1729E">
            <w:pPr>
              <w:pStyle w:val="naisf"/>
              <w:spacing w:before="0" w:after="0"/>
              <w:jc w:val="center"/>
            </w:pPr>
            <w:r w:rsidRPr="00E7737A">
              <w:t>0</w:t>
            </w:r>
          </w:p>
        </w:tc>
        <w:tc>
          <w:tcPr>
            <w:tcW w:w="1551" w:type="dxa"/>
          </w:tcPr>
          <w:p w:rsidR="003D6EA8" w:rsidRPr="00E7737A" w:rsidRDefault="003D6EA8" w:rsidP="00D1729E">
            <w:pPr>
              <w:pStyle w:val="naisf"/>
              <w:spacing w:before="0" w:after="0"/>
              <w:jc w:val="center"/>
            </w:pPr>
            <w:r w:rsidRPr="00E7737A">
              <w:t>0</w:t>
            </w:r>
          </w:p>
        </w:tc>
        <w:tc>
          <w:tcPr>
            <w:tcW w:w="1551" w:type="dxa"/>
          </w:tcPr>
          <w:p w:rsidR="003D6EA8" w:rsidRPr="00E7737A" w:rsidRDefault="003D6EA8" w:rsidP="00D1729E">
            <w:pPr>
              <w:pStyle w:val="naisf"/>
              <w:spacing w:before="0" w:after="0"/>
              <w:jc w:val="center"/>
            </w:pPr>
            <w:r w:rsidRPr="00E7737A">
              <w:t>0</w:t>
            </w:r>
          </w:p>
        </w:tc>
      </w:tr>
      <w:tr w:rsidR="003D6EA8" w:rsidRPr="005128C9" w:rsidTr="003D6EA8">
        <w:trPr>
          <w:jc w:val="center"/>
        </w:trPr>
        <w:tc>
          <w:tcPr>
            <w:tcW w:w="2359" w:type="dxa"/>
            <w:gridSpan w:val="2"/>
            <w:vMerge w:val="restart"/>
          </w:tcPr>
          <w:p w:rsidR="003D6EA8" w:rsidRPr="005128C9" w:rsidRDefault="003D6EA8" w:rsidP="00D1729E">
            <w:pPr>
              <w:rPr>
                <w:rFonts w:cs="Times New Roman"/>
                <w:sz w:val="24"/>
                <w:szCs w:val="24"/>
              </w:rPr>
            </w:pPr>
            <w:r w:rsidRPr="005128C9">
              <w:rPr>
                <w:rFonts w:cs="Times New Roman"/>
                <w:sz w:val="24"/>
                <w:szCs w:val="24"/>
              </w:rPr>
              <w:t>4. Finanšu līdzekļi papildu izdevumu finansēšanai (kompensējošu izdevumu samazinājumu norāda ar "+" zīmi)</w:t>
            </w:r>
          </w:p>
        </w:tc>
        <w:tc>
          <w:tcPr>
            <w:tcW w:w="1338" w:type="dxa"/>
            <w:vMerge w:val="restart"/>
          </w:tcPr>
          <w:p w:rsidR="003D6EA8" w:rsidRPr="005128C9" w:rsidRDefault="003D6EA8" w:rsidP="00D1729E">
            <w:pPr>
              <w:pStyle w:val="naisf"/>
              <w:spacing w:before="0" w:after="0"/>
              <w:jc w:val="center"/>
              <w:rPr>
                <w:i/>
              </w:rPr>
            </w:pPr>
            <w:r w:rsidRPr="005128C9">
              <w:t>X</w:t>
            </w:r>
          </w:p>
        </w:tc>
        <w:tc>
          <w:tcPr>
            <w:tcW w:w="1445" w:type="dxa"/>
          </w:tcPr>
          <w:p w:rsidR="003D6EA8" w:rsidRPr="00E7737A" w:rsidRDefault="003D6EA8" w:rsidP="00D1729E">
            <w:pPr>
              <w:pStyle w:val="naisf"/>
              <w:spacing w:before="0" w:after="0"/>
              <w:jc w:val="center"/>
            </w:pPr>
            <w:r w:rsidRPr="00E7737A">
              <w:t>0</w:t>
            </w:r>
          </w:p>
        </w:tc>
        <w:tc>
          <w:tcPr>
            <w:tcW w:w="1551" w:type="dxa"/>
          </w:tcPr>
          <w:p w:rsidR="003D6EA8" w:rsidRPr="00E7737A" w:rsidRDefault="003D6EA8" w:rsidP="00D1729E">
            <w:pPr>
              <w:pStyle w:val="naisf"/>
              <w:spacing w:before="0" w:after="0"/>
              <w:jc w:val="center"/>
            </w:pPr>
            <w:r w:rsidRPr="00E7737A">
              <w:t>0</w:t>
            </w:r>
          </w:p>
        </w:tc>
        <w:tc>
          <w:tcPr>
            <w:tcW w:w="1551" w:type="dxa"/>
          </w:tcPr>
          <w:p w:rsidR="003D6EA8" w:rsidRPr="00E7737A" w:rsidRDefault="003D6EA8" w:rsidP="00D1729E">
            <w:pPr>
              <w:pStyle w:val="naisf"/>
              <w:spacing w:before="0" w:after="0"/>
              <w:jc w:val="center"/>
            </w:pPr>
            <w:r w:rsidRPr="00E7737A">
              <w:t>0</w:t>
            </w:r>
          </w:p>
        </w:tc>
        <w:tc>
          <w:tcPr>
            <w:tcW w:w="1551" w:type="dxa"/>
          </w:tcPr>
          <w:p w:rsidR="003D6EA8" w:rsidRPr="00E7737A" w:rsidRDefault="003D6EA8" w:rsidP="00D1729E">
            <w:pPr>
              <w:pStyle w:val="naisf"/>
              <w:spacing w:before="0" w:after="0"/>
              <w:jc w:val="center"/>
            </w:pPr>
            <w:r w:rsidRPr="00E7737A">
              <w:t>0</w:t>
            </w:r>
          </w:p>
        </w:tc>
      </w:tr>
      <w:tr w:rsidR="003D6EA8" w:rsidRPr="005128C9" w:rsidTr="003D6EA8">
        <w:trPr>
          <w:jc w:val="center"/>
        </w:trPr>
        <w:tc>
          <w:tcPr>
            <w:tcW w:w="2359" w:type="dxa"/>
            <w:gridSpan w:val="2"/>
            <w:vMerge/>
          </w:tcPr>
          <w:p w:rsidR="003D6EA8" w:rsidRPr="005128C9" w:rsidRDefault="003D6EA8" w:rsidP="00D1729E">
            <w:pPr>
              <w:rPr>
                <w:rFonts w:cs="Times New Roman"/>
                <w:sz w:val="24"/>
                <w:szCs w:val="24"/>
              </w:rPr>
            </w:pPr>
          </w:p>
        </w:tc>
        <w:tc>
          <w:tcPr>
            <w:tcW w:w="1338" w:type="dxa"/>
            <w:vMerge/>
          </w:tcPr>
          <w:p w:rsidR="003D6EA8" w:rsidRPr="005128C9" w:rsidRDefault="003D6EA8" w:rsidP="00D1729E">
            <w:pPr>
              <w:pStyle w:val="naisf"/>
              <w:spacing w:before="0" w:after="0"/>
              <w:jc w:val="center"/>
              <w:rPr>
                <w:i/>
              </w:rPr>
            </w:pPr>
          </w:p>
        </w:tc>
        <w:tc>
          <w:tcPr>
            <w:tcW w:w="1445" w:type="dxa"/>
          </w:tcPr>
          <w:p w:rsidR="003D6EA8" w:rsidRPr="00E7737A" w:rsidRDefault="003D6EA8" w:rsidP="00D1729E">
            <w:pPr>
              <w:pStyle w:val="naisf"/>
              <w:spacing w:before="0" w:after="0"/>
              <w:jc w:val="center"/>
            </w:pPr>
            <w:r w:rsidRPr="00E7737A">
              <w:t>0</w:t>
            </w:r>
          </w:p>
        </w:tc>
        <w:tc>
          <w:tcPr>
            <w:tcW w:w="1551" w:type="dxa"/>
          </w:tcPr>
          <w:p w:rsidR="003D6EA8" w:rsidRPr="00E7737A" w:rsidRDefault="003D6EA8" w:rsidP="00D1729E">
            <w:pPr>
              <w:pStyle w:val="naisf"/>
              <w:spacing w:before="0" w:after="0"/>
              <w:jc w:val="center"/>
            </w:pPr>
            <w:r w:rsidRPr="00E7737A">
              <w:t>0</w:t>
            </w:r>
          </w:p>
        </w:tc>
        <w:tc>
          <w:tcPr>
            <w:tcW w:w="1551" w:type="dxa"/>
          </w:tcPr>
          <w:p w:rsidR="003D6EA8" w:rsidRPr="00E7737A" w:rsidRDefault="003D6EA8" w:rsidP="00D1729E">
            <w:pPr>
              <w:pStyle w:val="naisf"/>
              <w:spacing w:before="0" w:after="0"/>
              <w:jc w:val="center"/>
            </w:pPr>
            <w:r w:rsidRPr="00E7737A">
              <w:t>0</w:t>
            </w:r>
          </w:p>
        </w:tc>
        <w:tc>
          <w:tcPr>
            <w:tcW w:w="1551" w:type="dxa"/>
          </w:tcPr>
          <w:p w:rsidR="003D6EA8" w:rsidRPr="00E7737A" w:rsidRDefault="003D6EA8" w:rsidP="00D1729E">
            <w:pPr>
              <w:pStyle w:val="naisf"/>
              <w:spacing w:before="0" w:after="0"/>
              <w:jc w:val="center"/>
            </w:pPr>
            <w:r w:rsidRPr="00E7737A">
              <w:t>0</w:t>
            </w:r>
          </w:p>
        </w:tc>
      </w:tr>
      <w:tr w:rsidR="003D6EA8" w:rsidRPr="005128C9" w:rsidTr="003D6EA8">
        <w:trPr>
          <w:jc w:val="center"/>
        </w:trPr>
        <w:tc>
          <w:tcPr>
            <w:tcW w:w="2359" w:type="dxa"/>
            <w:gridSpan w:val="2"/>
            <w:vMerge/>
          </w:tcPr>
          <w:p w:rsidR="003D6EA8" w:rsidRPr="005128C9" w:rsidRDefault="003D6EA8" w:rsidP="00D1729E">
            <w:pPr>
              <w:rPr>
                <w:rFonts w:cs="Times New Roman"/>
                <w:sz w:val="24"/>
                <w:szCs w:val="24"/>
              </w:rPr>
            </w:pPr>
          </w:p>
        </w:tc>
        <w:tc>
          <w:tcPr>
            <w:tcW w:w="1338" w:type="dxa"/>
            <w:vMerge/>
          </w:tcPr>
          <w:p w:rsidR="003D6EA8" w:rsidRPr="005128C9" w:rsidRDefault="003D6EA8" w:rsidP="00D1729E">
            <w:pPr>
              <w:pStyle w:val="naisf"/>
              <w:spacing w:before="0" w:after="0"/>
              <w:jc w:val="center"/>
              <w:rPr>
                <w:i/>
              </w:rPr>
            </w:pPr>
          </w:p>
        </w:tc>
        <w:tc>
          <w:tcPr>
            <w:tcW w:w="1445" w:type="dxa"/>
          </w:tcPr>
          <w:p w:rsidR="003D6EA8" w:rsidRPr="00E7737A" w:rsidRDefault="003D6EA8" w:rsidP="00D1729E">
            <w:pPr>
              <w:pStyle w:val="naisf"/>
              <w:spacing w:before="0" w:after="0"/>
              <w:jc w:val="center"/>
            </w:pPr>
            <w:r w:rsidRPr="00E7737A">
              <w:t>0</w:t>
            </w:r>
          </w:p>
        </w:tc>
        <w:tc>
          <w:tcPr>
            <w:tcW w:w="1551" w:type="dxa"/>
          </w:tcPr>
          <w:p w:rsidR="003D6EA8" w:rsidRPr="00E7737A" w:rsidRDefault="003D6EA8" w:rsidP="00D1729E">
            <w:pPr>
              <w:pStyle w:val="naisf"/>
              <w:spacing w:before="0" w:after="0"/>
              <w:jc w:val="center"/>
            </w:pPr>
            <w:r w:rsidRPr="00E7737A">
              <w:t>0</w:t>
            </w:r>
          </w:p>
        </w:tc>
        <w:tc>
          <w:tcPr>
            <w:tcW w:w="1551" w:type="dxa"/>
          </w:tcPr>
          <w:p w:rsidR="003D6EA8" w:rsidRPr="00E7737A" w:rsidRDefault="003D6EA8" w:rsidP="00D1729E">
            <w:pPr>
              <w:pStyle w:val="naisf"/>
              <w:spacing w:before="0" w:after="0"/>
              <w:jc w:val="center"/>
            </w:pPr>
            <w:r w:rsidRPr="00E7737A">
              <w:t>0</w:t>
            </w:r>
          </w:p>
        </w:tc>
        <w:tc>
          <w:tcPr>
            <w:tcW w:w="1551" w:type="dxa"/>
          </w:tcPr>
          <w:p w:rsidR="003D6EA8" w:rsidRPr="00E7737A" w:rsidRDefault="003D6EA8" w:rsidP="00D1729E">
            <w:pPr>
              <w:pStyle w:val="naisf"/>
              <w:spacing w:before="0" w:after="0"/>
              <w:jc w:val="center"/>
            </w:pPr>
            <w:r w:rsidRPr="00E7737A">
              <w:t>0</w:t>
            </w:r>
          </w:p>
        </w:tc>
      </w:tr>
      <w:tr w:rsidR="003D6EA8" w:rsidRPr="005128C9" w:rsidTr="003D6EA8">
        <w:trPr>
          <w:jc w:val="center"/>
        </w:trPr>
        <w:tc>
          <w:tcPr>
            <w:tcW w:w="2359" w:type="dxa"/>
            <w:gridSpan w:val="2"/>
          </w:tcPr>
          <w:p w:rsidR="003D6EA8" w:rsidRPr="005128C9" w:rsidRDefault="003D6EA8" w:rsidP="00D1729E">
            <w:pPr>
              <w:rPr>
                <w:rFonts w:cs="Times New Roman"/>
                <w:sz w:val="24"/>
                <w:szCs w:val="24"/>
              </w:rPr>
            </w:pPr>
            <w:r w:rsidRPr="005128C9">
              <w:rPr>
                <w:rFonts w:cs="Times New Roman"/>
                <w:sz w:val="24"/>
                <w:szCs w:val="24"/>
              </w:rPr>
              <w:t>5. Precizēta finansiālā ietekme:</w:t>
            </w:r>
          </w:p>
        </w:tc>
        <w:tc>
          <w:tcPr>
            <w:tcW w:w="1338" w:type="dxa"/>
            <w:vMerge w:val="restart"/>
          </w:tcPr>
          <w:p w:rsidR="003D6EA8" w:rsidRPr="005128C9" w:rsidRDefault="003D6EA8" w:rsidP="00D1729E">
            <w:pPr>
              <w:pStyle w:val="naisf"/>
              <w:spacing w:before="0" w:after="0"/>
              <w:jc w:val="center"/>
              <w:rPr>
                <w:i/>
              </w:rPr>
            </w:pPr>
            <w:r w:rsidRPr="005128C9">
              <w:t>X</w:t>
            </w:r>
          </w:p>
        </w:tc>
        <w:tc>
          <w:tcPr>
            <w:tcW w:w="1445" w:type="dxa"/>
          </w:tcPr>
          <w:p w:rsidR="003D6EA8" w:rsidRPr="00E7737A" w:rsidRDefault="003D6EA8" w:rsidP="00D1729E">
            <w:pPr>
              <w:pStyle w:val="naisf"/>
              <w:spacing w:before="0" w:after="0"/>
              <w:jc w:val="center"/>
            </w:pPr>
            <w:r w:rsidRPr="00E7737A">
              <w:t>0</w:t>
            </w:r>
          </w:p>
        </w:tc>
        <w:tc>
          <w:tcPr>
            <w:tcW w:w="1551" w:type="dxa"/>
          </w:tcPr>
          <w:p w:rsidR="003D6EA8" w:rsidRPr="00E7737A" w:rsidRDefault="003D6EA8" w:rsidP="00D1729E">
            <w:pPr>
              <w:pStyle w:val="naisf"/>
              <w:spacing w:before="0" w:after="0"/>
              <w:jc w:val="center"/>
            </w:pPr>
            <w:r w:rsidRPr="00E7737A">
              <w:t>0</w:t>
            </w:r>
          </w:p>
        </w:tc>
        <w:tc>
          <w:tcPr>
            <w:tcW w:w="1551" w:type="dxa"/>
          </w:tcPr>
          <w:p w:rsidR="003D6EA8" w:rsidRPr="00E7737A" w:rsidRDefault="003D6EA8" w:rsidP="00D1729E">
            <w:pPr>
              <w:pStyle w:val="naisf"/>
              <w:spacing w:before="0" w:after="0"/>
              <w:jc w:val="center"/>
            </w:pPr>
            <w:r w:rsidRPr="00E7737A">
              <w:t>0</w:t>
            </w:r>
          </w:p>
        </w:tc>
        <w:tc>
          <w:tcPr>
            <w:tcW w:w="1551" w:type="dxa"/>
          </w:tcPr>
          <w:p w:rsidR="003D6EA8" w:rsidRPr="00E7737A" w:rsidRDefault="003D6EA8" w:rsidP="00D1729E">
            <w:pPr>
              <w:pStyle w:val="naisf"/>
              <w:spacing w:before="0" w:after="0"/>
              <w:jc w:val="center"/>
            </w:pPr>
            <w:r w:rsidRPr="00E7737A">
              <w:t>0</w:t>
            </w:r>
          </w:p>
        </w:tc>
      </w:tr>
      <w:tr w:rsidR="003D6EA8" w:rsidRPr="005128C9" w:rsidTr="003D6EA8">
        <w:trPr>
          <w:jc w:val="center"/>
        </w:trPr>
        <w:tc>
          <w:tcPr>
            <w:tcW w:w="2359" w:type="dxa"/>
            <w:gridSpan w:val="2"/>
          </w:tcPr>
          <w:p w:rsidR="003D6EA8" w:rsidRPr="005128C9" w:rsidRDefault="003D6EA8" w:rsidP="00D1729E">
            <w:pPr>
              <w:rPr>
                <w:rFonts w:cs="Times New Roman"/>
                <w:sz w:val="24"/>
                <w:szCs w:val="24"/>
              </w:rPr>
            </w:pPr>
            <w:r w:rsidRPr="005128C9">
              <w:rPr>
                <w:rFonts w:cs="Times New Roman"/>
                <w:sz w:val="24"/>
                <w:szCs w:val="24"/>
              </w:rPr>
              <w:t>5.1. valsts pamatbudžets</w:t>
            </w:r>
          </w:p>
        </w:tc>
        <w:tc>
          <w:tcPr>
            <w:tcW w:w="1338" w:type="dxa"/>
            <w:vMerge/>
            <w:vAlign w:val="center"/>
          </w:tcPr>
          <w:p w:rsidR="003D6EA8" w:rsidRPr="005128C9" w:rsidRDefault="003D6EA8" w:rsidP="00D1729E">
            <w:pPr>
              <w:pStyle w:val="naisf"/>
              <w:spacing w:before="0" w:after="0"/>
              <w:jc w:val="center"/>
              <w:rPr>
                <w:i/>
              </w:rPr>
            </w:pPr>
          </w:p>
        </w:tc>
        <w:tc>
          <w:tcPr>
            <w:tcW w:w="1445" w:type="dxa"/>
          </w:tcPr>
          <w:p w:rsidR="003D6EA8" w:rsidRPr="00E7737A" w:rsidRDefault="003D6EA8" w:rsidP="00D1729E">
            <w:pPr>
              <w:pStyle w:val="naisf"/>
              <w:spacing w:before="0" w:after="0"/>
              <w:jc w:val="center"/>
            </w:pPr>
            <w:r w:rsidRPr="00E7737A">
              <w:t>0</w:t>
            </w:r>
          </w:p>
        </w:tc>
        <w:tc>
          <w:tcPr>
            <w:tcW w:w="1551" w:type="dxa"/>
          </w:tcPr>
          <w:p w:rsidR="003D6EA8" w:rsidRPr="00E7737A" w:rsidRDefault="003D6EA8" w:rsidP="00D1729E">
            <w:pPr>
              <w:pStyle w:val="naisf"/>
              <w:spacing w:before="0" w:after="0"/>
              <w:jc w:val="center"/>
            </w:pPr>
            <w:r w:rsidRPr="00E7737A">
              <w:t>0</w:t>
            </w:r>
          </w:p>
        </w:tc>
        <w:tc>
          <w:tcPr>
            <w:tcW w:w="1551" w:type="dxa"/>
          </w:tcPr>
          <w:p w:rsidR="003D6EA8" w:rsidRPr="00E7737A" w:rsidRDefault="003D6EA8" w:rsidP="00D1729E">
            <w:pPr>
              <w:pStyle w:val="naisf"/>
              <w:spacing w:before="0" w:after="0"/>
              <w:jc w:val="center"/>
            </w:pPr>
            <w:r w:rsidRPr="00E7737A">
              <w:t>0</w:t>
            </w:r>
          </w:p>
        </w:tc>
        <w:tc>
          <w:tcPr>
            <w:tcW w:w="1551" w:type="dxa"/>
          </w:tcPr>
          <w:p w:rsidR="003D6EA8" w:rsidRPr="00E7737A" w:rsidRDefault="003D6EA8" w:rsidP="00D1729E">
            <w:pPr>
              <w:pStyle w:val="naisf"/>
              <w:spacing w:before="0" w:after="0"/>
              <w:jc w:val="center"/>
            </w:pPr>
            <w:r w:rsidRPr="00E7737A">
              <w:t>0</w:t>
            </w:r>
          </w:p>
        </w:tc>
      </w:tr>
      <w:tr w:rsidR="003D6EA8" w:rsidRPr="005128C9" w:rsidTr="003D6EA8">
        <w:trPr>
          <w:jc w:val="center"/>
        </w:trPr>
        <w:tc>
          <w:tcPr>
            <w:tcW w:w="2359" w:type="dxa"/>
            <w:gridSpan w:val="2"/>
          </w:tcPr>
          <w:p w:rsidR="003D6EA8" w:rsidRPr="005128C9" w:rsidRDefault="003D6EA8" w:rsidP="00D1729E">
            <w:pPr>
              <w:rPr>
                <w:rFonts w:cs="Times New Roman"/>
                <w:sz w:val="24"/>
                <w:szCs w:val="24"/>
              </w:rPr>
            </w:pPr>
            <w:r w:rsidRPr="005128C9">
              <w:rPr>
                <w:rFonts w:cs="Times New Roman"/>
                <w:sz w:val="24"/>
                <w:szCs w:val="24"/>
              </w:rPr>
              <w:t>5.2. speciālais budžets</w:t>
            </w:r>
          </w:p>
        </w:tc>
        <w:tc>
          <w:tcPr>
            <w:tcW w:w="1338" w:type="dxa"/>
            <w:vMerge/>
            <w:vAlign w:val="center"/>
          </w:tcPr>
          <w:p w:rsidR="003D6EA8" w:rsidRPr="005128C9" w:rsidRDefault="003D6EA8" w:rsidP="00D1729E">
            <w:pPr>
              <w:pStyle w:val="naisf"/>
              <w:spacing w:before="0" w:after="0"/>
              <w:jc w:val="center"/>
              <w:rPr>
                <w:i/>
              </w:rPr>
            </w:pPr>
          </w:p>
        </w:tc>
        <w:tc>
          <w:tcPr>
            <w:tcW w:w="1445" w:type="dxa"/>
          </w:tcPr>
          <w:p w:rsidR="003D6EA8" w:rsidRPr="00E7737A" w:rsidRDefault="003D6EA8" w:rsidP="00D1729E">
            <w:pPr>
              <w:pStyle w:val="naisf"/>
              <w:spacing w:before="0" w:after="0"/>
              <w:jc w:val="center"/>
            </w:pPr>
            <w:r w:rsidRPr="00E7737A">
              <w:t>0</w:t>
            </w:r>
          </w:p>
        </w:tc>
        <w:tc>
          <w:tcPr>
            <w:tcW w:w="1551" w:type="dxa"/>
          </w:tcPr>
          <w:p w:rsidR="003D6EA8" w:rsidRPr="00E7737A" w:rsidRDefault="003D6EA8" w:rsidP="00D1729E">
            <w:pPr>
              <w:pStyle w:val="naisf"/>
              <w:spacing w:before="0" w:after="0"/>
              <w:jc w:val="center"/>
            </w:pPr>
            <w:r w:rsidRPr="00E7737A">
              <w:t>0</w:t>
            </w:r>
          </w:p>
        </w:tc>
        <w:tc>
          <w:tcPr>
            <w:tcW w:w="1551" w:type="dxa"/>
          </w:tcPr>
          <w:p w:rsidR="003D6EA8" w:rsidRPr="00E7737A" w:rsidRDefault="003D6EA8" w:rsidP="00D1729E">
            <w:pPr>
              <w:pStyle w:val="naisf"/>
              <w:spacing w:before="0" w:after="0"/>
              <w:jc w:val="center"/>
            </w:pPr>
            <w:r w:rsidRPr="00E7737A">
              <w:t>0</w:t>
            </w:r>
          </w:p>
        </w:tc>
        <w:tc>
          <w:tcPr>
            <w:tcW w:w="1551" w:type="dxa"/>
          </w:tcPr>
          <w:p w:rsidR="003D6EA8" w:rsidRPr="00E7737A" w:rsidRDefault="003D6EA8" w:rsidP="00D1729E">
            <w:pPr>
              <w:pStyle w:val="naisf"/>
              <w:spacing w:before="0" w:after="0"/>
              <w:jc w:val="center"/>
            </w:pPr>
            <w:r w:rsidRPr="00E7737A">
              <w:t>0</w:t>
            </w:r>
          </w:p>
        </w:tc>
      </w:tr>
      <w:tr w:rsidR="003D6EA8" w:rsidRPr="005128C9" w:rsidTr="003D6EA8">
        <w:trPr>
          <w:jc w:val="center"/>
        </w:trPr>
        <w:tc>
          <w:tcPr>
            <w:tcW w:w="2359" w:type="dxa"/>
            <w:gridSpan w:val="2"/>
          </w:tcPr>
          <w:p w:rsidR="003D6EA8" w:rsidRPr="005128C9" w:rsidRDefault="003D6EA8" w:rsidP="00D1729E">
            <w:pPr>
              <w:rPr>
                <w:rFonts w:cs="Times New Roman"/>
                <w:sz w:val="24"/>
                <w:szCs w:val="24"/>
              </w:rPr>
            </w:pPr>
            <w:r w:rsidRPr="005128C9">
              <w:rPr>
                <w:rFonts w:cs="Times New Roman"/>
                <w:sz w:val="24"/>
                <w:szCs w:val="24"/>
              </w:rPr>
              <w:t xml:space="preserve">5.3. pašvaldību budžets </w:t>
            </w:r>
          </w:p>
        </w:tc>
        <w:tc>
          <w:tcPr>
            <w:tcW w:w="1338" w:type="dxa"/>
            <w:vMerge/>
            <w:vAlign w:val="center"/>
          </w:tcPr>
          <w:p w:rsidR="003D6EA8" w:rsidRPr="005128C9" w:rsidRDefault="003D6EA8" w:rsidP="00D1729E">
            <w:pPr>
              <w:pStyle w:val="naisf"/>
              <w:spacing w:before="0" w:after="0"/>
              <w:jc w:val="center"/>
              <w:rPr>
                <w:i/>
              </w:rPr>
            </w:pPr>
          </w:p>
        </w:tc>
        <w:tc>
          <w:tcPr>
            <w:tcW w:w="1445" w:type="dxa"/>
          </w:tcPr>
          <w:p w:rsidR="003D6EA8" w:rsidRPr="00E7737A" w:rsidRDefault="003D6EA8" w:rsidP="00D1729E">
            <w:pPr>
              <w:pStyle w:val="naisf"/>
              <w:spacing w:before="0" w:after="0"/>
              <w:jc w:val="center"/>
            </w:pPr>
            <w:r w:rsidRPr="00E7737A">
              <w:t>0</w:t>
            </w:r>
          </w:p>
        </w:tc>
        <w:tc>
          <w:tcPr>
            <w:tcW w:w="1551" w:type="dxa"/>
          </w:tcPr>
          <w:p w:rsidR="003D6EA8" w:rsidRPr="00E7737A" w:rsidRDefault="003D6EA8" w:rsidP="00D1729E">
            <w:pPr>
              <w:pStyle w:val="naisf"/>
              <w:spacing w:before="0" w:after="0"/>
              <w:jc w:val="center"/>
            </w:pPr>
            <w:r w:rsidRPr="00E7737A">
              <w:t>0</w:t>
            </w:r>
          </w:p>
        </w:tc>
        <w:tc>
          <w:tcPr>
            <w:tcW w:w="1551" w:type="dxa"/>
          </w:tcPr>
          <w:p w:rsidR="003D6EA8" w:rsidRPr="00E7737A" w:rsidRDefault="003D6EA8" w:rsidP="00D1729E">
            <w:pPr>
              <w:pStyle w:val="naisf"/>
              <w:spacing w:before="0" w:after="0"/>
              <w:jc w:val="center"/>
            </w:pPr>
            <w:r w:rsidRPr="00E7737A">
              <w:t>0</w:t>
            </w:r>
          </w:p>
        </w:tc>
        <w:tc>
          <w:tcPr>
            <w:tcW w:w="1551" w:type="dxa"/>
          </w:tcPr>
          <w:p w:rsidR="003D6EA8" w:rsidRPr="00E7737A" w:rsidRDefault="003D6EA8" w:rsidP="00D1729E">
            <w:pPr>
              <w:pStyle w:val="naisf"/>
              <w:spacing w:before="0" w:after="0"/>
              <w:jc w:val="center"/>
            </w:pPr>
            <w:r w:rsidRPr="00E7737A">
              <w:t>0</w:t>
            </w:r>
          </w:p>
        </w:tc>
      </w:tr>
      <w:tr w:rsidR="003D6EA8" w:rsidRPr="005128C9" w:rsidTr="003D6EA8">
        <w:trPr>
          <w:jc w:val="center"/>
        </w:trPr>
        <w:tc>
          <w:tcPr>
            <w:tcW w:w="2359" w:type="dxa"/>
            <w:gridSpan w:val="2"/>
          </w:tcPr>
          <w:p w:rsidR="003D6EA8" w:rsidRPr="005128C9" w:rsidRDefault="003D6EA8" w:rsidP="00D1729E">
            <w:pPr>
              <w:rPr>
                <w:rFonts w:cs="Times New Roman"/>
                <w:sz w:val="24"/>
                <w:szCs w:val="24"/>
              </w:rPr>
            </w:pPr>
            <w:r w:rsidRPr="005128C9">
              <w:rPr>
                <w:rFonts w:cs="Times New Roman"/>
                <w:sz w:val="24"/>
                <w:szCs w:val="24"/>
              </w:rPr>
              <w:t>6. Detalizēts ieņēmumu un izdevumu aprēķins (ja nepie</w:t>
            </w:r>
            <w:r w:rsidRPr="005128C9">
              <w:rPr>
                <w:rFonts w:cs="Times New Roman"/>
                <w:sz w:val="24"/>
                <w:szCs w:val="24"/>
              </w:rPr>
              <w:softHyphen/>
              <w:t>ciešams, detalizētu ieņēmumu un izdevumu aprēķinu var pie</w:t>
            </w:r>
            <w:r w:rsidRPr="005128C9">
              <w:rPr>
                <w:rFonts w:cs="Times New Roman"/>
                <w:sz w:val="24"/>
                <w:szCs w:val="24"/>
              </w:rPr>
              <w:softHyphen/>
              <w:t>vienot anotācijas pielikumā):</w:t>
            </w:r>
          </w:p>
        </w:tc>
        <w:tc>
          <w:tcPr>
            <w:tcW w:w="7436" w:type="dxa"/>
            <w:gridSpan w:val="5"/>
            <w:vMerge w:val="restart"/>
            <w:vAlign w:val="center"/>
          </w:tcPr>
          <w:p w:rsidR="003D6EA8" w:rsidRPr="000D4E29" w:rsidRDefault="003D6EA8" w:rsidP="00D1729E">
            <w:pPr>
              <w:pStyle w:val="naisf"/>
              <w:spacing w:before="0" w:after="0"/>
              <w:rPr>
                <w:u w:val="single"/>
              </w:rPr>
            </w:pPr>
            <w:r w:rsidRPr="000D4E29">
              <w:rPr>
                <w:u w:val="single"/>
              </w:rPr>
              <w:t>Kopā finansējums:</w:t>
            </w:r>
          </w:p>
          <w:p w:rsidR="003D6EA8" w:rsidRPr="000D4E29" w:rsidRDefault="003D6EA8" w:rsidP="00D1729E">
            <w:pPr>
              <w:pStyle w:val="naisf"/>
              <w:spacing w:before="0" w:after="0"/>
              <w:rPr>
                <w:u w:val="single"/>
              </w:rPr>
            </w:pPr>
            <w:r w:rsidRPr="000D4E29">
              <w:rPr>
                <w:u w:val="single"/>
              </w:rPr>
              <w:t xml:space="preserve">2015.gadā: </w:t>
            </w:r>
            <w:r w:rsidR="00BE3D7A" w:rsidRPr="000D4E29">
              <w:rPr>
                <w:b/>
                <w:u w:val="single"/>
              </w:rPr>
              <w:t>1 490 666</w:t>
            </w:r>
            <w:r w:rsidRPr="000D4E29">
              <w:rPr>
                <w:b/>
                <w:u w:val="single"/>
              </w:rPr>
              <w:t xml:space="preserve"> </w:t>
            </w:r>
            <w:proofErr w:type="spellStart"/>
            <w:r w:rsidRPr="000D4E29">
              <w:rPr>
                <w:b/>
                <w:i/>
                <w:u w:val="single"/>
              </w:rPr>
              <w:t>euro</w:t>
            </w:r>
            <w:proofErr w:type="spellEnd"/>
            <w:r w:rsidRPr="000D4E29">
              <w:rPr>
                <w:b/>
                <w:u w:val="single"/>
              </w:rPr>
              <w:t>;</w:t>
            </w:r>
          </w:p>
          <w:p w:rsidR="003D6EA8" w:rsidRPr="00260CFD" w:rsidRDefault="003D6EA8" w:rsidP="00D1729E">
            <w:pPr>
              <w:pStyle w:val="naisf"/>
              <w:spacing w:before="0" w:after="0"/>
              <w:rPr>
                <w:b/>
              </w:rPr>
            </w:pPr>
            <w:r w:rsidRPr="00260CFD">
              <w:t xml:space="preserve">2016.gada un turpmāk ik gadu: </w:t>
            </w:r>
            <w:r w:rsidRPr="00260CFD">
              <w:rPr>
                <w:b/>
              </w:rPr>
              <w:t xml:space="preserve">4 057 547 </w:t>
            </w:r>
            <w:proofErr w:type="spellStart"/>
            <w:r w:rsidRPr="00260CFD">
              <w:rPr>
                <w:b/>
                <w:i/>
              </w:rPr>
              <w:t>euro</w:t>
            </w:r>
            <w:proofErr w:type="spellEnd"/>
            <w:r w:rsidRPr="00260CFD">
              <w:rPr>
                <w:b/>
              </w:rPr>
              <w:t>.</w:t>
            </w:r>
          </w:p>
          <w:p w:rsidR="003D6EA8" w:rsidRPr="00260CFD" w:rsidRDefault="003D6EA8" w:rsidP="00D1729E">
            <w:pPr>
              <w:pStyle w:val="naisf"/>
              <w:spacing w:before="0" w:after="0"/>
            </w:pPr>
            <w:r w:rsidRPr="00260CFD">
              <w:rPr>
                <w:b/>
              </w:rPr>
              <w:t>I.</w:t>
            </w:r>
            <w:r w:rsidRPr="00260CFD">
              <w:t xml:space="preserve"> Saskaņā ar likumu „Par vidēja termiņa budžeta ietvaru 2014., 2015. un 2016.gadam”  Iekšējās drošības biroja darbības nodrošināšanai</w:t>
            </w:r>
            <w:r w:rsidR="00336D84" w:rsidRPr="00260CFD">
              <w:t xml:space="preserve"> budžeta programmā 42.00.00 “Iekšējās drošības biroja darbība”</w:t>
            </w:r>
            <w:r w:rsidRPr="00260CFD">
              <w:t xml:space="preserve"> paredzēts finansējums:</w:t>
            </w:r>
          </w:p>
          <w:p w:rsidR="003D6EA8" w:rsidRPr="00260CFD" w:rsidRDefault="003D6EA8" w:rsidP="003D6EA8">
            <w:pPr>
              <w:pStyle w:val="naisf"/>
              <w:numPr>
                <w:ilvl w:val="0"/>
                <w:numId w:val="4"/>
              </w:numPr>
              <w:spacing w:before="0" w:after="0"/>
              <w:ind w:left="88" w:firstLine="0"/>
            </w:pPr>
            <w:r w:rsidRPr="00260CFD">
              <w:t>saskaņā Ministru kabineta 2013.gada 27.augusta sēdē nolemto (prot.Nr.46, 102.§ 1.p.) (jaunās politikas iniciatīva „Iekšējās drošības biroja izveidošana”):</w:t>
            </w:r>
          </w:p>
          <w:p w:rsidR="003D6EA8" w:rsidRPr="00260CFD" w:rsidRDefault="003D6EA8" w:rsidP="003D6EA8">
            <w:pPr>
              <w:pStyle w:val="naisf"/>
              <w:numPr>
                <w:ilvl w:val="0"/>
                <w:numId w:val="7"/>
              </w:numPr>
              <w:spacing w:before="0" w:after="0"/>
              <w:ind w:left="513" w:hanging="284"/>
              <w:rPr>
                <w:i/>
              </w:rPr>
            </w:pPr>
            <w:r w:rsidRPr="00260CFD">
              <w:t xml:space="preserve">2015.gadā </w:t>
            </w:r>
            <w:r w:rsidRPr="00260CFD">
              <w:sym w:font="Symbol" w:char="F02D"/>
            </w:r>
            <w:r w:rsidRPr="00260CFD">
              <w:t xml:space="preserve"> </w:t>
            </w:r>
            <w:r w:rsidRPr="00260CFD">
              <w:rPr>
                <w:b/>
              </w:rPr>
              <w:t xml:space="preserve">1 422 872 </w:t>
            </w:r>
            <w:proofErr w:type="spellStart"/>
            <w:r w:rsidRPr="00260CFD">
              <w:rPr>
                <w:b/>
                <w:i/>
              </w:rPr>
              <w:t>euro</w:t>
            </w:r>
            <w:proofErr w:type="spellEnd"/>
            <w:r w:rsidRPr="00260CFD">
              <w:rPr>
                <w:i/>
              </w:rPr>
              <w:t>;</w:t>
            </w:r>
          </w:p>
          <w:p w:rsidR="003D6EA8" w:rsidRPr="00260CFD" w:rsidRDefault="003D6EA8" w:rsidP="003D6EA8">
            <w:pPr>
              <w:pStyle w:val="naisf"/>
              <w:numPr>
                <w:ilvl w:val="0"/>
                <w:numId w:val="7"/>
              </w:numPr>
              <w:spacing w:before="0" w:after="0"/>
              <w:ind w:left="513" w:hanging="284"/>
            </w:pPr>
            <w:r w:rsidRPr="00260CFD">
              <w:t xml:space="preserve">2016.gadā un turpmāk ik gadu </w:t>
            </w:r>
            <w:r w:rsidRPr="00260CFD">
              <w:sym w:font="Symbol" w:char="F02D"/>
            </w:r>
            <w:r w:rsidRPr="00260CFD">
              <w:t xml:space="preserve"> </w:t>
            </w:r>
            <w:r w:rsidRPr="00260CFD">
              <w:rPr>
                <w:b/>
              </w:rPr>
              <w:t xml:space="preserve">3 612 341 </w:t>
            </w:r>
            <w:proofErr w:type="spellStart"/>
            <w:r w:rsidRPr="00260CFD">
              <w:rPr>
                <w:b/>
                <w:i/>
              </w:rPr>
              <w:t>euro</w:t>
            </w:r>
            <w:proofErr w:type="spellEnd"/>
            <w:r w:rsidRPr="00260CFD">
              <w:t xml:space="preserve"> </w:t>
            </w:r>
          </w:p>
          <w:p w:rsidR="003D6EA8" w:rsidRPr="00260CFD" w:rsidRDefault="003D6EA8" w:rsidP="003D6EA8">
            <w:pPr>
              <w:pStyle w:val="naisf"/>
              <w:numPr>
                <w:ilvl w:val="0"/>
                <w:numId w:val="4"/>
              </w:numPr>
              <w:spacing w:before="0" w:after="0"/>
              <w:ind w:left="88" w:firstLine="0"/>
            </w:pPr>
            <w:r w:rsidRPr="00260CFD">
              <w:t>veicot finansējuma pārdali* Iekšlietu ministrijas budžeta ietvaros (saskaņā ar Ministru kabineta 2013.gada 30.jūlija sēdē (prot. Nr.41, 104.§) izskatīto koncepciju par Valsts policijas Iekšējās drošības biroja pārveidošanas par iekšlietu ministra pārraudzībā esošu institūciju risinājumiem):</w:t>
            </w:r>
          </w:p>
          <w:p w:rsidR="003D6EA8" w:rsidRPr="00260CFD" w:rsidRDefault="003D6EA8" w:rsidP="00D1729E">
            <w:pPr>
              <w:pStyle w:val="naisf"/>
              <w:spacing w:before="0" w:after="0"/>
              <w:ind w:left="188"/>
            </w:pPr>
            <w:r w:rsidRPr="00260CFD">
              <w:t xml:space="preserve"> no budžeta apakšprogrammas 06.01.00 „Valsts policija”:</w:t>
            </w:r>
          </w:p>
          <w:p w:rsidR="003D6EA8" w:rsidRPr="00260CFD" w:rsidRDefault="003D6EA8" w:rsidP="003D6EA8">
            <w:pPr>
              <w:pStyle w:val="naisf"/>
              <w:numPr>
                <w:ilvl w:val="0"/>
                <w:numId w:val="7"/>
              </w:numPr>
              <w:spacing w:before="0" w:after="0"/>
              <w:ind w:left="513" w:hanging="284"/>
            </w:pPr>
            <w:r w:rsidRPr="00260CFD">
              <w:t xml:space="preserve">2015.gadā </w:t>
            </w:r>
            <w:r w:rsidRPr="00260CFD">
              <w:sym w:font="Symbol" w:char="F02D"/>
            </w:r>
            <w:r w:rsidRPr="00260CFD">
              <w:t xml:space="preserve"> </w:t>
            </w:r>
            <w:r w:rsidRPr="00260CFD">
              <w:rPr>
                <w:b/>
              </w:rPr>
              <w:t xml:space="preserve">58 891 </w:t>
            </w:r>
            <w:proofErr w:type="spellStart"/>
            <w:r w:rsidRPr="00260CFD">
              <w:rPr>
                <w:b/>
                <w:i/>
              </w:rPr>
              <w:t>euro</w:t>
            </w:r>
            <w:proofErr w:type="spellEnd"/>
          </w:p>
          <w:p w:rsidR="003D6EA8" w:rsidRPr="00260CFD" w:rsidRDefault="003D6EA8" w:rsidP="003D6EA8">
            <w:pPr>
              <w:pStyle w:val="naisf"/>
              <w:numPr>
                <w:ilvl w:val="0"/>
                <w:numId w:val="7"/>
              </w:numPr>
              <w:spacing w:before="0" w:after="0"/>
              <w:ind w:left="513" w:hanging="284"/>
              <w:rPr>
                <w:i/>
              </w:rPr>
            </w:pPr>
            <w:r w:rsidRPr="00260CFD">
              <w:t xml:space="preserve">2016.gadā un turpmāk ik gadu </w:t>
            </w:r>
            <w:r w:rsidRPr="00260CFD">
              <w:sym w:font="Symbol" w:char="F02D"/>
            </w:r>
            <w:r w:rsidRPr="00260CFD">
              <w:t xml:space="preserve"> </w:t>
            </w:r>
            <w:r w:rsidRPr="00260CFD">
              <w:rPr>
                <w:b/>
              </w:rPr>
              <w:t xml:space="preserve">355 916 </w:t>
            </w:r>
            <w:proofErr w:type="spellStart"/>
            <w:r w:rsidRPr="00260CFD">
              <w:rPr>
                <w:b/>
                <w:i/>
              </w:rPr>
              <w:t>euro</w:t>
            </w:r>
            <w:proofErr w:type="spellEnd"/>
          </w:p>
          <w:p w:rsidR="003D6EA8" w:rsidRPr="00260CFD" w:rsidRDefault="003D6EA8" w:rsidP="00D1729E">
            <w:pPr>
              <w:pStyle w:val="naisf"/>
              <w:spacing w:before="0" w:after="0"/>
              <w:ind w:left="188"/>
            </w:pPr>
            <w:r w:rsidRPr="00260CFD">
              <w:t>un no budžeta programmas 10.00.00 „Valsts robežsardzes darbība”:</w:t>
            </w:r>
          </w:p>
          <w:p w:rsidR="003D6EA8" w:rsidRPr="00260CFD" w:rsidRDefault="003D6EA8" w:rsidP="003D6EA8">
            <w:pPr>
              <w:pStyle w:val="naisf"/>
              <w:numPr>
                <w:ilvl w:val="0"/>
                <w:numId w:val="7"/>
              </w:numPr>
              <w:spacing w:before="0" w:after="0"/>
              <w:ind w:left="513" w:hanging="284"/>
              <w:rPr>
                <w:i/>
              </w:rPr>
            </w:pPr>
            <w:r w:rsidRPr="00260CFD">
              <w:t xml:space="preserve">2015.gadā </w:t>
            </w:r>
            <w:r w:rsidRPr="00260CFD">
              <w:sym w:font="Symbol" w:char="F02D"/>
            </w:r>
            <w:r w:rsidRPr="00260CFD">
              <w:t xml:space="preserve"> </w:t>
            </w:r>
            <w:r w:rsidRPr="00260CFD">
              <w:rPr>
                <w:b/>
              </w:rPr>
              <w:t xml:space="preserve">8 903 </w:t>
            </w:r>
            <w:proofErr w:type="spellStart"/>
            <w:r w:rsidRPr="00260CFD">
              <w:rPr>
                <w:b/>
                <w:i/>
              </w:rPr>
              <w:t>euro</w:t>
            </w:r>
            <w:proofErr w:type="spellEnd"/>
          </w:p>
          <w:p w:rsidR="003D6EA8" w:rsidRPr="00260CFD" w:rsidRDefault="003D6EA8" w:rsidP="003D6EA8">
            <w:pPr>
              <w:pStyle w:val="naisf"/>
              <w:numPr>
                <w:ilvl w:val="0"/>
                <w:numId w:val="7"/>
              </w:numPr>
              <w:spacing w:before="0" w:after="0"/>
              <w:ind w:left="513" w:hanging="284"/>
            </w:pPr>
            <w:r w:rsidRPr="00260CFD">
              <w:lastRenderedPageBreak/>
              <w:t xml:space="preserve">2016.gadā un turpmāk ik gadu </w:t>
            </w:r>
            <w:r w:rsidRPr="00260CFD">
              <w:sym w:font="Symbol" w:char="F02D"/>
            </w:r>
            <w:r w:rsidRPr="00260CFD">
              <w:t xml:space="preserve">  </w:t>
            </w:r>
            <w:r w:rsidRPr="00260CFD">
              <w:rPr>
                <w:b/>
              </w:rPr>
              <w:t xml:space="preserve">57 858 </w:t>
            </w:r>
            <w:proofErr w:type="spellStart"/>
            <w:r w:rsidRPr="00260CFD">
              <w:rPr>
                <w:b/>
                <w:i/>
              </w:rPr>
              <w:t>euro</w:t>
            </w:r>
            <w:proofErr w:type="spellEnd"/>
          </w:p>
          <w:p w:rsidR="003D6EA8" w:rsidRPr="00D40F1E" w:rsidRDefault="003D6EA8" w:rsidP="00D1729E">
            <w:pPr>
              <w:pStyle w:val="naisf"/>
              <w:spacing w:before="0" w:after="0"/>
              <w:rPr>
                <w:u w:val="single"/>
              </w:rPr>
            </w:pPr>
            <w:r w:rsidRPr="00D40F1E">
              <w:rPr>
                <w:b/>
                <w:u w:val="single"/>
              </w:rPr>
              <w:t xml:space="preserve">II. </w:t>
            </w:r>
            <w:r w:rsidRPr="00D40F1E">
              <w:rPr>
                <w:u w:val="single"/>
              </w:rPr>
              <w:t>Papildus (saskaņā ar Ministru kabineta 2013.gada 30.jūlija sēdē (prot.Nr.41, 104.§) izskatīto koncepciju par Valsts policijas Iekšējās drošības biroja pārveidošanas par iekšlietu ministra pārraudzībā esošu institūciju risinājumiem) 2015.gada budžeta sagatavošanas procesā nepieciešama divu amata vietu un finansējuma pārdale no Tieslietu ministrijas (Ieslodzījuma vietu pārvaldes) budžeta apakšprogrammas 04.01.00 „Ieslodzījuma vietas” uz Iekšlietu ministrijas budžetu:</w:t>
            </w:r>
          </w:p>
          <w:p w:rsidR="003D6EA8" w:rsidRPr="00D40F1E" w:rsidRDefault="003D6EA8" w:rsidP="00D1729E">
            <w:pPr>
              <w:pStyle w:val="naisf"/>
              <w:spacing w:before="0" w:after="0"/>
              <w:ind w:left="472"/>
              <w:rPr>
                <w:u w:val="single"/>
              </w:rPr>
            </w:pPr>
            <w:r w:rsidRPr="00D40F1E">
              <w:rPr>
                <w:u w:val="single"/>
              </w:rPr>
              <w:t xml:space="preserve">2016.gadā un turpmāk ik gadu </w:t>
            </w:r>
            <w:r w:rsidRPr="00D40F1E">
              <w:rPr>
                <w:u w:val="single"/>
              </w:rPr>
              <w:sym w:font="Symbol" w:char="F02D"/>
            </w:r>
            <w:r w:rsidRPr="00D40F1E">
              <w:rPr>
                <w:u w:val="single"/>
              </w:rPr>
              <w:t xml:space="preserve">  </w:t>
            </w:r>
            <w:r w:rsidRPr="00D40F1E">
              <w:rPr>
                <w:b/>
                <w:u w:val="single"/>
              </w:rPr>
              <w:t xml:space="preserve">31 432 </w:t>
            </w:r>
            <w:proofErr w:type="spellStart"/>
            <w:r w:rsidRPr="00D40F1E">
              <w:rPr>
                <w:b/>
                <w:i/>
                <w:u w:val="single"/>
              </w:rPr>
              <w:t>euro</w:t>
            </w:r>
            <w:proofErr w:type="spellEnd"/>
            <w:r w:rsidRPr="00D40F1E">
              <w:rPr>
                <w:i/>
                <w:u w:val="single"/>
              </w:rPr>
              <w:t xml:space="preserve"> </w:t>
            </w:r>
            <w:r w:rsidRPr="00D40F1E">
              <w:rPr>
                <w:u w:val="single"/>
              </w:rPr>
              <w:t>(gads)</w:t>
            </w:r>
          </w:p>
          <w:p w:rsidR="003D6EA8" w:rsidRPr="00D40F1E" w:rsidRDefault="003D6EA8" w:rsidP="00D1729E">
            <w:pPr>
              <w:pStyle w:val="naisf"/>
              <w:spacing w:before="0" w:after="0"/>
              <w:rPr>
                <w:u w:val="single"/>
              </w:rPr>
            </w:pPr>
            <w:r w:rsidRPr="00D40F1E">
              <w:rPr>
                <w:u w:val="single"/>
              </w:rPr>
              <w:t>Aprēķins:</w:t>
            </w:r>
          </w:p>
          <w:p w:rsidR="003D6EA8" w:rsidRPr="00D40F1E" w:rsidRDefault="003D6EA8" w:rsidP="00D1729E">
            <w:pPr>
              <w:pStyle w:val="naiskr"/>
              <w:spacing w:before="0" w:beforeAutospacing="0" w:after="0" w:afterAutospacing="0"/>
              <w:ind w:firstLine="709"/>
              <w:jc w:val="both"/>
              <w:rPr>
                <w:u w:val="single"/>
              </w:rPr>
            </w:pPr>
            <w:r w:rsidRPr="00D40F1E">
              <w:rPr>
                <w:u w:val="single"/>
              </w:rPr>
              <w:t>Uzturēšanas izdevumi 2016.gadā un turpmāk ik gadu 31 432 </w:t>
            </w:r>
            <w:proofErr w:type="spellStart"/>
            <w:r w:rsidRPr="00D40F1E">
              <w:rPr>
                <w:i/>
                <w:u w:val="single"/>
              </w:rPr>
              <w:t>euro</w:t>
            </w:r>
            <w:proofErr w:type="spellEnd"/>
            <w:r w:rsidRPr="00D40F1E">
              <w:rPr>
                <w:u w:val="single"/>
              </w:rPr>
              <w:t xml:space="preserve">, </w:t>
            </w:r>
          </w:p>
          <w:p w:rsidR="003D6EA8" w:rsidRPr="00D40F1E" w:rsidRDefault="003D6EA8" w:rsidP="00D1729E">
            <w:pPr>
              <w:pStyle w:val="naiskr"/>
              <w:spacing w:before="0" w:beforeAutospacing="0" w:after="0" w:afterAutospacing="0"/>
              <w:jc w:val="both"/>
              <w:rPr>
                <w:u w:val="single"/>
              </w:rPr>
            </w:pPr>
            <w:r w:rsidRPr="00D40F1E">
              <w:rPr>
                <w:u w:val="single"/>
              </w:rPr>
              <w:t>1.1. Atlīdzība (IKK 1000) 2016.gadā un turpmāk ik gadu 30 894 </w:t>
            </w:r>
            <w:proofErr w:type="spellStart"/>
            <w:r w:rsidRPr="00D40F1E">
              <w:rPr>
                <w:i/>
                <w:u w:val="single"/>
              </w:rPr>
              <w:t>euro</w:t>
            </w:r>
            <w:proofErr w:type="spellEnd"/>
            <w:r w:rsidRPr="00D40F1E">
              <w:rPr>
                <w:u w:val="single"/>
              </w:rPr>
              <w:t>:</w:t>
            </w:r>
          </w:p>
          <w:p w:rsidR="003D6EA8" w:rsidRPr="00D40F1E" w:rsidRDefault="003D6EA8" w:rsidP="00D1729E">
            <w:pPr>
              <w:pStyle w:val="NormalWeb"/>
              <w:spacing w:before="0" w:beforeAutospacing="0" w:after="0" w:afterAutospacing="0"/>
              <w:jc w:val="both"/>
              <w:rPr>
                <w:u w:val="single"/>
              </w:rPr>
            </w:pPr>
            <w:r w:rsidRPr="00D40F1E">
              <w:rPr>
                <w:u w:val="single"/>
              </w:rPr>
              <w:t>Atalgojums (IKK 1100) 2 016,40 </w:t>
            </w:r>
            <w:proofErr w:type="spellStart"/>
            <w:r w:rsidRPr="00D40F1E">
              <w:rPr>
                <w:i/>
                <w:u w:val="single"/>
              </w:rPr>
              <w:t>euro</w:t>
            </w:r>
            <w:proofErr w:type="spellEnd"/>
            <w:r w:rsidRPr="00D40F1E">
              <w:rPr>
                <w:u w:val="single"/>
              </w:rPr>
              <w:t>:</w:t>
            </w:r>
          </w:p>
          <w:p w:rsidR="003D6EA8" w:rsidRPr="00D40F1E" w:rsidRDefault="003D6EA8" w:rsidP="00D1729E">
            <w:pPr>
              <w:pStyle w:val="NormalWeb"/>
              <w:spacing w:before="0" w:beforeAutospacing="0" w:after="0" w:afterAutospacing="0"/>
              <w:jc w:val="both"/>
              <w:rPr>
                <w:u w:val="single"/>
              </w:rPr>
            </w:pPr>
            <w:r w:rsidRPr="00D40F1E">
              <w:rPr>
                <w:u w:val="single"/>
              </w:rPr>
              <w:t>(800 + 78,20 + 130) x 2 = 2 016,40 </w:t>
            </w:r>
            <w:proofErr w:type="spellStart"/>
            <w:r w:rsidRPr="00D40F1E">
              <w:rPr>
                <w:i/>
                <w:u w:val="single"/>
              </w:rPr>
              <w:t>euro</w:t>
            </w:r>
            <w:proofErr w:type="spellEnd"/>
            <w:r w:rsidRPr="00D40F1E">
              <w:rPr>
                <w:u w:val="single"/>
              </w:rPr>
              <w:t>, kur:</w:t>
            </w:r>
          </w:p>
          <w:p w:rsidR="003D6EA8" w:rsidRPr="00D40F1E" w:rsidRDefault="003D6EA8" w:rsidP="00D1729E">
            <w:pPr>
              <w:pStyle w:val="NormalWeb"/>
              <w:spacing w:before="0" w:beforeAutospacing="0" w:after="0" w:afterAutospacing="0"/>
              <w:jc w:val="both"/>
              <w:rPr>
                <w:u w:val="single"/>
              </w:rPr>
            </w:pPr>
            <w:r w:rsidRPr="00D40F1E">
              <w:rPr>
                <w:u w:val="single"/>
              </w:rPr>
              <w:t>800 </w:t>
            </w:r>
            <w:proofErr w:type="spellStart"/>
            <w:r w:rsidRPr="00D40F1E">
              <w:rPr>
                <w:i/>
                <w:u w:val="single"/>
              </w:rPr>
              <w:t>euro</w:t>
            </w:r>
            <w:proofErr w:type="spellEnd"/>
            <w:r w:rsidRPr="00D40F1E">
              <w:rPr>
                <w:u w:val="single"/>
              </w:rPr>
              <w:t> – vidējā vienas amatpersonas mēnešalga,</w:t>
            </w:r>
          </w:p>
          <w:p w:rsidR="003D6EA8" w:rsidRPr="00D40F1E" w:rsidRDefault="003D6EA8" w:rsidP="00D1729E">
            <w:pPr>
              <w:pStyle w:val="NormalWeb"/>
              <w:spacing w:before="0" w:beforeAutospacing="0" w:after="0" w:afterAutospacing="0"/>
              <w:jc w:val="both"/>
              <w:rPr>
                <w:u w:val="single"/>
              </w:rPr>
            </w:pPr>
            <w:r w:rsidRPr="00D40F1E">
              <w:rPr>
                <w:u w:val="single"/>
              </w:rPr>
              <w:t>78,20 </w:t>
            </w:r>
            <w:proofErr w:type="spellStart"/>
            <w:r w:rsidRPr="00D40F1E">
              <w:rPr>
                <w:i/>
                <w:u w:val="single"/>
              </w:rPr>
              <w:t>euro</w:t>
            </w:r>
            <w:proofErr w:type="spellEnd"/>
            <w:r w:rsidRPr="00D40F1E">
              <w:rPr>
                <w:u w:val="single"/>
              </w:rPr>
              <w:t> – vidējā piemaksa par speciālo dienesta pakāpi,</w:t>
            </w:r>
          </w:p>
          <w:p w:rsidR="003D6EA8" w:rsidRPr="00D40F1E" w:rsidRDefault="003D6EA8" w:rsidP="00D1729E">
            <w:pPr>
              <w:pStyle w:val="NormalWeb"/>
              <w:spacing w:before="0" w:beforeAutospacing="0" w:after="0" w:afterAutospacing="0"/>
              <w:jc w:val="both"/>
              <w:rPr>
                <w:u w:val="single"/>
              </w:rPr>
            </w:pPr>
            <w:r w:rsidRPr="00D40F1E">
              <w:rPr>
                <w:u w:val="single"/>
              </w:rPr>
              <w:t>130 </w:t>
            </w:r>
            <w:proofErr w:type="spellStart"/>
            <w:r w:rsidRPr="00D40F1E">
              <w:rPr>
                <w:i/>
                <w:u w:val="single"/>
              </w:rPr>
              <w:t>euro</w:t>
            </w:r>
            <w:proofErr w:type="spellEnd"/>
            <w:r w:rsidRPr="00D40F1E">
              <w:rPr>
                <w:u w:val="single"/>
              </w:rPr>
              <w:t> – piemaksa par dienesta (darba) pienākumu pildīšanu, kas saistīts ar īpašu risku,</w:t>
            </w:r>
          </w:p>
          <w:p w:rsidR="003D6EA8" w:rsidRPr="00D40F1E" w:rsidRDefault="003D6EA8" w:rsidP="00D1729E">
            <w:pPr>
              <w:pStyle w:val="NormalWeb"/>
              <w:spacing w:before="0" w:beforeAutospacing="0" w:after="0" w:afterAutospacing="0"/>
              <w:jc w:val="both"/>
              <w:rPr>
                <w:u w:val="single"/>
              </w:rPr>
            </w:pPr>
            <w:r w:rsidRPr="00D40F1E">
              <w:rPr>
                <w:u w:val="single"/>
              </w:rPr>
              <w:t>2 – amatu skaits.</w:t>
            </w:r>
          </w:p>
          <w:p w:rsidR="003D6EA8" w:rsidRPr="00D40F1E" w:rsidRDefault="003D6EA8" w:rsidP="00D1729E">
            <w:pPr>
              <w:pStyle w:val="NormalWeb"/>
              <w:spacing w:before="0" w:beforeAutospacing="0" w:after="0" w:afterAutospacing="0"/>
              <w:jc w:val="both"/>
              <w:rPr>
                <w:u w:val="single"/>
              </w:rPr>
            </w:pPr>
            <w:r w:rsidRPr="00D40F1E">
              <w:rPr>
                <w:u w:val="single"/>
              </w:rPr>
              <w:t>Darba dēvēja VSAOI (23,59%) (IKK 1200) 475,67 </w:t>
            </w:r>
            <w:proofErr w:type="spellStart"/>
            <w:r w:rsidRPr="00D40F1E">
              <w:rPr>
                <w:i/>
                <w:u w:val="single"/>
              </w:rPr>
              <w:t>euro</w:t>
            </w:r>
            <w:proofErr w:type="spellEnd"/>
            <w:r w:rsidRPr="00D40F1E">
              <w:rPr>
                <w:u w:val="single"/>
              </w:rPr>
              <w:t>:</w:t>
            </w:r>
          </w:p>
          <w:p w:rsidR="003D6EA8" w:rsidRPr="00D40F1E" w:rsidRDefault="003D6EA8" w:rsidP="00D1729E">
            <w:pPr>
              <w:pStyle w:val="NormalWeb"/>
              <w:spacing w:before="0" w:beforeAutospacing="0" w:after="0" w:afterAutospacing="0"/>
              <w:jc w:val="both"/>
              <w:rPr>
                <w:u w:val="single"/>
              </w:rPr>
            </w:pPr>
            <w:r w:rsidRPr="00D40F1E">
              <w:rPr>
                <w:u w:val="single"/>
              </w:rPr>
              <w:t>2 016,40 x 23,59 % = 475,67 </w:t>
            </w:r>
            <w:proofErr w:type="spellStart"/>
            <w:r w:rsidRPr="00D40F1E">
              <w:rPr>
                <w:i/>
                <w:u w:val="single"/>
              </w:rPr>
              <w:t>euro</w:t>
            </w:r>
            <w:proofErr w:type="spellEnd"/>
            <w:r w:rsidRPr="00D40F1E">
              <w:rPr>
                <w:u w:val="single"/>
              </w:rPr>
              <w:t>, kur:</w:t>
            </w:r>
          </w:p>
          <w:p w:rsidR="003D6EA8" w:rsidRPr="00D40F1E" w:rsidRDefault="003D6EA8" w:rsidP="00D1729E">
            <w:pPr>
              <w:pStyle w:val="NormalWeb"/>
              <w:spacing w:before="0" w:beforeAutospacing="0" w:after="0" w:afterAutospacing="0"/>
              <w:jc w:val="both"/>
              <w:rPr>
                <w:u w:val="single"/>
              </w:rPr>
            </w:pPr>
            <w:r w:rsidRPr="00D40F1E">
              <w:rPr>
                <w:u w:val="single"/>
              </w:rPr>
              <w:t>2 016,40 </w:t>
            </w:r>
            <w:proofErr w:type="spellStart"/>
            <w:r w:rsidRPr="00D40F1E">
              <w:rPr>
                <w:i/>
                <w:u w:val="single"/>
              </w:rPr>
              <w:t>euro</w:t>
            </w:r>
            <w:proofErr w:type="spellEnd"/>
            <w:r w:rsidRPr="00D40F1E">
              <w:rPr>
                <w:u w:val="single"/>
              </w:rPr>
              <w:t> – atalgojums mēnesī,</w:t>
            </w:r>
          </w:p>
          <w:p w:rsidR="003D6EA8" w:rsidRPr="00D40F1E" w:rsidRDefault="003D6EA8" w:rsidP="00D1729E">
            <w:pPr>
              <w:pStyle w:val="NormalWeb"/>
              <w:spacing w:before="0" w:beforeAutospacing="0" w:after="0" w:afterAutospacing="0"/>
              <w:jc w:val="both"/>
              <w:rPr>
                <w:u w:val="single"/>
              </w:rPr>
            </w:pPr>
            <w:r w:rsidRPr="00D40F1E">
              <w:rPr>
                <w:u w:val="single"/>
              </w:rPr>
              <w:t>23,59 % – darba dēvēja valsts sociālās apdrošināšanas likme.</w:t>
            </w:r>
          </w:p>
          <w:p w:rsidR="003D6EA8" w:rsidRPr="00D40F1E" w:rsidRDefault="003D6EA8" w:rsidP="00D1729E">
            <w:pPr>
              <w:rPr>
                <w:rFonts w:cs="Times New Roman"/>
                <w:sz w:val="24"/>
                <w:szCs w:val="24"/>
                <w:u w:val="single"/>
              </w:rPr>
            </w:pPr>
            <w:r w:rsidRPr="00D40F1E">
              <w:rPr>
                <w:rFonts w:cs="Times New Roman"/>
                <w:sz w:val="24"/>
                <w:szCs w:val="24"/>
                <w:u w:val="single"/>
              </w:rPr>
              <w:t>2016.gadā un turpmāk ik gadu 30 894 </w:t>
            </w:r>
            <w:proofErr w:type="spellStart"/>
            <w:r w:rsidRPr="00D40F1E">
              <w:rPr>
                <w:rFonts w:cs="Times New Roman"/>
                <w:i/>
                <w:sz w:val="24"/>
                <w:szCs w:val="24"/>
                <w:u w:val="single"/>
              </w:rPr>
              <w:t>euro</w:t>
            </w:r>
            <w:proofErr w:type="spellEnd"/>
            <w:r w:rsidRPr="00D40F1E">
              <w:rPr>
                <w:rFonts w:cs="Times New Roman"/>
                <w:sz w:val="24"/>
                <w:szCs w:val="24"/>
                <w:u w:val="single"/>
              </w:rPr>
              <w:t>:</w:t>
            </w:r>
          </w:p>
          <w:p w:rsidR="003D6EA8" w:rsidRPr="00D40F1E" w:rsidRDefault="003D6EA8" w:rsidP="00D1729E">
            <w:pPr>
              <w:rPr>
                <w:rFonts w:cs="Times New Roman"/>
                <w:sz w:val="24"/>
                <w:szCs w:val="24"/>
                <w:u w:val="single"/>
              </w:rPr>
            </w:pPr>
            <w:r w:rsidRPr="00D40F1E">
              <w:rPr>
                <w:rFonts w:cs="Times New Roman"/>
                <w:sz w:val="24"/>
                <w:szCs w:val="24"/>
                <w:u w:val="single"/>
              </w:rPr>
              <w:t>(2 016,40 + 475,67) x 12 + ((800 x 50 % x 2) x 1,2359) = 30 894 </w:t>
            </w:r>
            <w:proofErr w:type="spellStart"/>
            <w:r w:rsidRPr="00D40F1E">
              <w:rPr>
                <w:rFonts w:cs="Times New Roman"/>
                <w:i/>
                <w:sz w:val="24"/>
                <w:szCs w:val="24"/>
                <w:u w:val="single"/>
              </w:rPr>
              <w:t>euro</w:t>
            </w:r>
            <w:proofErr w:type="spellEnd"/>
            <w:r w:rsidRPr="00D40F1E">
              <w:rPr>
                <w:rFonts w:cs="Times New Roman"/>
                <w:sz w:val="24"/>
                <w:szCs w:val="24"/>
                <w:u w:val="single"/>
              </w:rPr>
              <w:t>, kur:</w:t>
            </w:r>
          </w:p>
          <w:p w:rsidR="003D6EA8" w:rsidRPr="00D40F1E" w:rsidRDefault="003D6EA8" w:rsidP="00D1729E">
            <w:pPr>
              <w:pStyle w:val="NormalWeb"/>
              <w:spacing w:before="0" w:beforeAutospacing="0" w:after="0" w:afterAutospacing="0"/>
              <w:jc w:val="both"/>
              <w:rPr>
                <w:u w:val="single"/>
              </w:rPr>
            </w:pPr>
            <w:r w:rsidRPr="00D40F1E">
              <w:rPr>
                <w:u w:val="single"/>
              </w:rPr>
              <w:t>2 016,40 </w:t>
            </w:r>
            <w:proofErr w:type="spellStart"/>
            <w:r w:rsidRPr="00D40F1E">
              <w:rPr>
                <w:i/>
                <w:u w:val="single"/>
              </w:rPr>
              <w:t>euro</w:t>
            </w:r>
            <w:proofErr w:type="spellEnd"/>
            <w:r w:rsidRPr="00D40F1E">
              <w:rPr>
                <w:u w:val="single"/>
              </w:rPr>
              <w:t> – atalgojuma izdevumi mēnesī,</w:t>
            </w:r>
          </w:p>
          <w:p w:rsidR="003D6EA8" w:rsidRPr="00D40F1E" w:rsidRDefault="003D6EA8" w:rsidP="00D1729E">
            <w:pPr>
              <w:pStyle w:val="NormalWeb"/>
              <w:spacing w:before="0" w:beforeAutospacing="0" w:after="0" w:afterAutospacing="0"/>
              <w:jc w:val="both"/>
              <w:rPr>
                <w:u w:val="single"/>
              </w:rPr>
            </w:pPr>
            <w:r w:rsidRPr="00D40F1E">
              <w:rPr>
                <w:u w:val="single"/>
              </w:rPr>
              <w:t>475,67 </w:t>
            </w:r>
            <w:proofErr w:type="spellStart"/>
            <w:r w:rsidRPr="00D40F1E">
              <w:rPr>
                <w:i/>
                <w:u w:val="single"/>
              </w:rPr>
              <w:t>euro</w:t>
            </w:r>
            <w:proofErr w:type="spellEnd"/>
            <w:r w:rsidRPr="00D40F1E">
              <w:rPr>
                <w:u w:val="single"/>
              </w:rPr>
              <w:t> – VSAOI izdevumi mēnesī,</w:t>
            </w:r>
          </w:p>
          <w:p w:rsidR="003D6EA8" w:rsidRPr="00D40F1E" w:rsidRDefault="003D6EA8" w:rsidP="00D1729E">
            <w:pPr>
              <w:pStyle w:val="NormalWeb"/>
              <w:spacing w:before="0" w:beforeAutospacing="0" w:after="0" w:afterAutospacing="0"/>
              <w:jc w:val="both"/>
              <w:rPr>
                <w:u w:val="single"/>
              </w:rPr>
            </w:pPr>
            <w:r w:rsidRPr="00D40F1E">
              <w:rPr>
                <w:u w:val="single"/>
              </w:rPr>
              <w:t>12 – mēnešu skaits gadā,</w:t>
            </w:r>
          </w:p>
          <w:p w:rsidR="003D6EA8" w:rsidRPr="00D40F1E" w:rsidRDefault="003D6EA8" w:rsidP="00D1729E">
            <w:pPr>
              <w:pStyle w:val="NormalWeb"/>
              <w:spacing w:before="0" w:beforeAutospacing="0" w:after="0" w:afterAutospacing="0"/>
              <w:jc w:val="both"/>
              <w:rPr>
                <w:u w:val="single"/>
              </w:rPr>
            </w:pPr>
            <w:r w:rsidRPr="00D40F1E">
              <w:rPr>
                <w:u w:val="single"/>
              </w:rPr>
              <w:t>800 </w:t>
            </w:r>
            <w:proofErr w:type="spellStart"/>
            <w:r w:rsidRPr="00D40F1E">
              <w:rPr>
                <w:i/>
                <w:u w:val="single"/>
              </w:rPr>
              <w:t>euro</w:t>
            </w:r>
            <w:proofErr w:type="spellEnd"/>
            <w:r w:rsidRPr="00D40F1E">
              <w:rPr>
                <w:u w:val="single"/>
              </w:rPr>
              <w:t> – vidējā vienas amatpersonas mēnešalga,</w:t>
            </w:r>
          </w:p>
          <w:p w:rsidR="003D6EA8" w:rsidRPr="00D40F1E" w:rsidRDefault="003D6EA8" w:rsidP="00D1729E">
            <w:pPr>
              <w:pStyle w:val="NormalWeb"/>
              <w:spacing w:before="0" w:beforeAutospacing="0" w:after="0" w:afterAutospacing="0"/>
              <w:jc w:val="both"/>
              <w:rPr>
                <w:u w:val="single"/>
              </w:rPr>
            </w:pPr>
            <w:r w:rsidRPr="00D40F1E">
              <w:rPr>
                <w:u w:val="single"/>
              </w:rPr>
              <w:t>50 % – atvaļinājuma pabalsta apmērs gadā,</w:t>
            </w:r>
          </w:p>
          <w:p w:rsidR="003D6EA8" w:rsidRPr="00D40F1E" w:rsidRDefault="003D6EA8" w:rsidP="00D1729E">
            <w:pPr>
              <w:pStyle w:val="NormalWeb"/>
              <w:spacing w:before="0" w:beforeAutospacing="0" w:after="0" w:afterAutospacing="0"/>
              <w:jc w:val="both"/>
              <w:rPr>
                <w:u w:val="single"/>
              </w:rPr>
            </w:pPr>
            <w:r w:rsidRPr="00D40F1E">
              <w:rPr>
                <w:u w:val="single"/>
              </w:rPr>
              <w:t>2 – amatu skaits,</w:t>
            </w:r>
          </w:p>
          <w:p w:rsidR="003D6EA8" w:rsidRPr="00D40F1E" w:rsidRDefault="003D6EA8" w:rsidP="00D1729E">
            <w:pPr>
              <w:pStyle w:val="NormalWeb"/>
              <w:spacing w:before="0" w:beforeAutospacing="0" w:after="0" w:afterAutospacing="0"/>
              <w:jc w:val="both"/>
              <w:rPr>
                <w:u w:val="single"/>
              </w:rPr>
            </w:pPr>
            <w:r w:rsidRPr="00D40F1E">
              <w:rPr>
                <w:u w:val="single"/>
              </w:rPr>
              <w:t>23,59 % – darba dēvēja valsts sociālās apdrošināšanas likme.</w:t>
            </w:r>
          </w:p>
          <w:p w:rsidR="00421CF8" w:rsidRPr="00D40F1E" w:rsidRDefault="00421CF8" w:rsidP="00D1729E">
            <w:pPr>
              <w:pStyle w:val="NormalWeb"/>
              <w:spacing w:before="0" w:beforeAutospacing="0" w:after="0" w:afterAutospacing="0"/>
              <w:jc w:val="both"/>
              <w:rPr>
                <w:u w:val="single"/>
              </w:rPr>
            </w:pPr>
          </w:p>
          <w:tbl>
            <w:tblPr>
              <w:tblStyle w:val="TableGrid"/>
              <w:tblW w:w="0" w:type="auto"/>
              <w:jc w:val="center"/>
              <w:tblLook w:val="04A0" w:firstRow="1" w:lastRow="0" w:firstColumn="1" w:lastColumn="0" w:noHBand="0" w:noVBand="1"/>
            </w:tblPr>
            <w:tblGrid>
              <w:gridCol w:w="456"/>
              <w:gridCol w:w="1043"/>
              <w:gridCol w:w="830"/>
              <w:gridCol w:w="901"/>
              <w:gridCol w:w="687"/>
              <w:gridCol w:w="696"/>
              <w:gridCol w:w="910"/>
              <w:gridCol w:w="1003"/>
              <w:gridCol w:w="830"/>
            </w:tblGrid>
            <w:tr w:rsidR="00421CF8" w:rsidRPr="00D40F1E" w:rsidTr="00BB5FAD">
              <w:trPr>
                <w:jc w:val="center"/>
              </w:trPr>
              <w:tc>
                <w:tcPr>
                  <w:tcW w:w="456" w:type="dxa"/>
                  <w:vAlign w:val="center"/>
                </w:tcPr>
                <w:p w:rsidR="00421CF8" w:rsidRPr="00D40F1E" w:rsidRDefault="00421CF8" w:rsidP="00421CF8">
                  <w:pPr>
                    <w:jc w:val="center"/>
                    <w:rPr>
                      <w:sz w:val="16"/>
                      <w:szCs w:val="16"/>
                      <w:u w:val="single"/>
                    </w:rPr>
                  </w:pPr>
                  <w:r w:rsidRPr="00D40F1E">
                    <w:rPr>
                      <w:sz w:val="16"/>
                      <w:szCs w:val="16"/>
                      <w:u w:val="single"/>
                    </w:rPr>
                    <w:t>Nr. p.k.</w:t>
                  </w:r>
                </w:p>
              </w:tc>
              <w:tc>
                <w:tcPr>
                  <w:tcW w:w="1043" w:type="dxa"/>
                  <w:vAlign w:val="center"/>
                </w:tcPr>
                <w:p w:rsidR="00421CF8" w:rsidRPr="00D40F1E" w:rsidRDefault="00421CF8" w:rsidP="00421CF8">
                  <w:pPr>
                    <w:jc w:val="center"/>
                    <w:rPr>
                      <w:sz w:val="16"/>
                      <w:szCs w:val="16"/>
                      <w:u w:val="single"/>
                    </w:rPr>
                  </w:pPr>
                  <w:r w:rsidRPr="00D40F1E">
                    <w:rPr>
                      <w:sz w:val="16"/>
                      <w:szCs w:val="16"/>
                      <w:u w:val="single"/>
                    </w:rPr>
                    <w:t>Amata nosaukums</w:t>
                  </w:r>
                </w:p>
              </w:tc>
              <w:tc>
                <w:tcPr>
                  <w:tcW w:w="721" w:type="dxa"/>
                  <w:vAlign w:val="center"/>
                </w:tcPr>
                <w:p w:rsidR="00421CF8" w:rsidRPr="00D40F1E" w:rsidRDefault="00421CF8" w:rsidP="00421CF8">
                  <w:pPr>
                    <w:jc w:val="center"/>
                    <w:rPr>
                      <w:sz w:val="16"/>
                      <w:szCs w:val="16"/>
                      <w:u w:val="single"/>
                    </w:rPr>
                  </w:pPr>
                  <w:r w:rsidRPr="00D40F1E">
                    <w:rPr>
                      <w:sz w:val="16"/>
                      <w:szCs w:val="16"/>
                      <w:u w:val="single"/>
                    </w:rPr>
                    <w:t>Esošā dienesta pakāpe</w:t>
                  </w:r>
                </w:p>
              </w:tc>
              <w:tc>
                <w:tcPr>
                  <w:tcW w:w="901" w:type="dxa"/>
                  <w:vAlign w:val="center"/>
                </w:tcPr>
                <w:p w:rsidR="00421CF8" w:rsidRPr="00D40F1E" w:rsidRDefault="00421CF8" w:rsidP="00421CF8">
                  <w:pPr>
                    <w:jc w:val="center"/>
                    <w:rPr>
                      <w:sz w:val="16"/>
                      <w:szCs w:val="16"/>
                      <w:u w:val="single"/>
                    </w:rPr>
                  </w:pPr>
                  <w:r w:rsidRPr="00D40F1E">
                    <w:rPr>
                      <w:sz w:val="16"/>
                      <w:szCs w:val="16"/>
                      <w:u w:val="single"/>
                    </w:rPr>
                    <w:t>Amata kategorija/ amata līmenis</w:t>
                  </w:r>
                </w:p>
              </w:tc>
              <w:tc>
                <w:tcPr>
                  <w:tcW w:w="839" w:type="dxa"/>
                  <w:vAlign w:val="center"/>
                </w:tcPr>
                <w:p w:rsidR="00421CF8" w:rsidRPr="00D40F1E" w:rsidRDefault="00421CF8" w:rsidP="00421CF8">
                  <w:pPr>
                    <w:jc w:val="center"/>
                    <w:rPr>
                      <w:sz w:val="16"/>
                      <w:szCs w:val="16"/>
                      <w:u w:val="single"/>
                    </w:rPr>
                  </w:pPr>
                  <w:r w:rsidRPr="00D40F1E">
                    <w:rPr>
                      <w:sz w:val="16"/>
                      <w:szCs w:val="16"/>
                      <w:u w:val="single"/>
                    </w:rPr>
                    <w:t>Izdiena</w:t>
                  </w:r>
                </w:p>
              </w:tc>
              <w:tc>
                <w:tcPr>
                  <w:tcW w:w="837" w:type="dxa"/>
                  <w:vAlign w:val="center"/>
                </w:tcPr>
                <w:p w:rsidR="00421CF8" w:rsidRPr="00D40F1E" w:rsidRDefault="00421CF8" w:rsidP="00421CF8">
                  <w:pPr>
                    <w:jc w:val="center"/>
                    <w:rPr>
                      <w:sz w:val="16"/>
                      <w:szCs w:val="16"/>
                      <w:u w:val="single"/>
                    </w:rPr>
                  </w:pPr>
                  <w:proofErr w:type="spellStart"/>
                  <w:r w:rsidRPr="00D40F1E">
                    <w:rPr>
                      <w:sz w:val="16"/>
                      <w:szCs w:val="16"/>
                      <w:u w:val="single"/>
                    </w:rPr>
                    <w:t>Mēneš-alga</w:t>
                  </w:r>
                  <w:proofErr w:type="spellEnd"/>
                  <w:r w:rsidRPr="00D40F1E">
                    <w:rPr>
                      <w:sz w:val="16"/>
                      <w:szCs w:val="16"/>
                      <w:u w:val="single"/>
                    </w:rPr>
                    <w:t xml:space="preserve"> (MK Nr. 568*)</w:t>
                  </w:r>
                </w:p>
              </w:tc>
              <w:tc>
                <w:tcPr>
                  <w:tcW w:w="951" w:type="dxa"/>
                  <w:vAlign w:val="center"/>
                </w:tcPr>
                <w:p w:rsidR="00421CF8" w:rsidRPr="00D40F1E" w:rsidRDefault="00421CF8" w:rsidP="00421CF8">
                  <w:pPr>
                    <w:jc w:val="center"/>
                    <w:rPr>
                      <w:sz w:val="16"/>
                      <w:szCs w:val="16"/>
                      <w:u w:val="single"/>
                    </w:rPr>
                  </w:pPr>
                  <w:r w:rsidRPr="00D40F1E">
                    <w:rPr>
                      <w:sz w:val="16"/>
                      <w:szCs w:val="16"/>
                      <w:u w:val="single"/>
                    </w:rPr>
                    <w:t>Mēnešalga noteiktā</w:t>
                  </w:r>
                </w:p>
              </w:tc>
              <w:tc>
                <w:tcPr>
                  <w:tcW w:w="1003" w:type="dxa"/>
                </w:tcPr>
                <w:p w:rsidR="00421CF8" w:rsidRPr="00D40F1E" w:rsidRDefault="00421CF8" w:rsidP="00421CF8">
                  <w:pPr>
                    <w:jc w:val="center"/>
                    <w:rPr>
                      <w:sz w:val="16"/>
                      <w:szCs w:val="16"/>
                      <w:u w:val="single"/>
                    </w:rPr>
                  </w:pPr>
                  <w:r w:rsidRPr="00D40F1E">
                    <w:rPr>
                      <w:sz w:val="16"/>
                      <w:szCs w:val="16"/>
                      <w:u w:val="single"/>
                    </w:rPr>
                    <w:t xml:space="preserve">Piemaksa par dienesta pienākumu pildīšanu**, kas saistīts ar īpašu risku noteiktā </w:t>
                  </w:r>
                </w:p>
              </w:tc>
              <w:tc>
                <w:tcPr>
                  <w:tcW w:w="830" w:type="dxa"/>
                </w:tcPr>
                <w:p w:rsidR="00421CF8" w:rsidRPr="00D40F1E" w:rsidRDefault="00421CF8" w:rsidP="00421CF8">
                  <w:pPr>
                    <w:jc w:val="center"/>
                    <w:rPr>
                      <w:sz w:val="16"/>
                      <w:szCs w:val="16"/>
                      <w:u w:val="single"/>
                    </w:rPr>
                  </w:pPr>
                  <w:r w:rsidRPr="00D40F1E">
                    <w:rPr>
                      <w:sz w:val="16"/>
                      <w:szCs w:val="16"/>
                      <w:u w:val="single"/>
                    </w:rPr>
                    <w:t>Piemaksa par speciālo dienesta pakāpi</w:t>
                  </w:r>
                </w:p>
              </w:tc>
            </w:tr>
            <w:tr w:rsidR="00421CF8" w:rsidRPr="00D40F1E" w:rsidTr="002A3A46">
              <w:trPr>
                <w:jc w:val="center"/>
              </w:trPr>
              <w:tc>
                <w:tcPr>
                  <w:tcW w:w="456" w:type="dxa"/>
                </w:tcPr>
                <w:p w:rsidR="00421CF8" w:rsidRPr="00D40F1E" w:rsidRDefault="00421CF8" w:rsidP="00421CF8">
                  <w:pPr>
                    <w:rPr>
                      <w:sz w:val="16"/>
                      <w:szCs w:val="16"/>
                      <w:u w:val="single"/>
                    </w:rPr>
                  </w:pPr>
                  <w:r w:rsidRPr="00D40F1E">
                    <w:rPr>
                      <w:sz w:val="16"/>
                      <w:szCs w:val="16"/>
                      <w:u w:val="single"/>
                    </w:rPr>
                    <w:t>1.</w:t>
                  </w:r>
                </w:p>
              </w:tc>
              <w:tc>
                <w:tcPr>
                  <w:tcW w:w="1043" w:type="dxa"/>
                </w:tcPr>
                <w:p w:rsidR="00421CF8" w:rsidRPr="00D40F1E" w:rsidRDefault="00421CF8" w:rsidP="00421CF8">
                  <w:pPr>
                    <w:jc w:val="left"/>
                    <w:rPr>
                      <w:sz w:val="16"/>
                      <w:szCs w:val="16"/>
                      <w:u w:val="single"/>
                    </w:rPr>
                  </w:pPr>
                  <w:r w:rsidRPr="00D40F1E">
                    <w:rPr>
                      <w:sz w:val="16"/>
                      <w:szCs w:val="16"/>
                      <w:u w:val="single"/>
                    </w:rPr>
                    <w:t>Ieslodzījuma vietu pārvaldes centrālā aparāta galvenais inspektors</w:t>
                  </w:r>
                </w:p>
              </w:tc>
              <w:tc>
                <w:tcPr>
                  <w:tcW w:w="721" w:type="dxa"/>
                  <w:vAlign w:val="center"/>
                </w:tcPr>
                <w:p w:rsidR="00421CF8" w:rsidRPr="00D40F1E" w:rsidRDefault="00421CF8" w:rsidP="002A3A46">
                  <w:pPr>
                    <w:jc w:val="center"/>
                    <w:rPr>
                      <w:sz w:val="16"/>
                      <w:szCs w:val="16"/>
                      <w:u w:val="single"/>
                    </w:rPr>
                  </w:pPr>
                  <w:proofErr w:type="spellStart"/>
                  <w:r w:rsidRPr="00D40F1E">
                    <w:rPr>
                      <w:sz w:val="16"/>
                      <w:szCs w:val="16"/>
                      <w:u w:val="single"/>
                    </w:rPr>
                    <w:t>Pulkvež-leitnants</w:t>
                  </w:r>
                  <w:proofErr w:type="spellEnd"/>
                </w:p>
              </w:tc>
              <w:tc>
                <w:tcPr>
                  <w:tcW w:w="901" w:type="dxa"/>
                  <w:vAlign w:val="center"/>
                </w:tcPr>
                <w:p w:rsidR="00421CF8" w:rsidRPr="00D40F1E" w:rsidRDefault="00421CF8" w:rsidP="00421CF8">
                  <w:pPr>
                    <w:jc w:val="center"/>
                    <w:rPr>
                      <w:sz w:val="16"/>
                      <w:szCs w:val="16"/>
                      <w:u w:val="single"/>
                    </w:rPr>
                  </w:pPr>
                  <w:r w:rsidRPr="00D40F1E">
                    <w:rPr>
                      <w:sz w:val="16"/>
                      <w:szCs w:val="16"/>
                      <w:u w:val="single"/>
                    </w:rPr>
                    <w:t>10/C</w:t>
                  </w:r>
                </w:p>
              </w:tc>
              <w:tc>
                <w:tcPr>
                  <w:tcW w:w="839" w:type="dxa"/>
                  <w:vAlign w:val="center"/>
                </w:tcPr>
                <w:p w:rsidR="00421CF8" w:rsidRPr="00D40F1E" w:rsidRDefault="00421CF8" w:rsidP="00421CF8">
                  <w:pPr>
                    <w:jc w:val="center"/>
                    <w:rPr>
                      <w:sz w:val="16"/>
                      <w:szCs w:val="16"/>
                      <w:u w:val="single"/>
                    </w:rPr>
                  </w:pPr>
                  <w:r w:rsidRPr="00D40F1E">
                    <w:rPr>
                      <w:sz w:val="16"/>
                      <w:szCs w:val="16"/>
                      <w:u w:val="single"/>
                    </w:rPr>
                    <w:t>29 gadi</w:t>
                  </w:r>
                </w:p>
              </w:tc>
              <w:tc>
                <w:tcPr>
                  <w:tcW w:w="837" w:type="dxa"/>
                  <w:vAlign w:val="center"/>
                </w:tcPr>
                <w:p w:rsidR="00421CF8" w:rsidRPr="00D40F1E" w:rsidRDefault="00421CF8" w:rsidP="00421CF8">
                  <w:pPr>
                    <w:jc w:val="center"/>
                    <w:rPr>
                      <w:sz w:val="16"/>
                      <w:szCs w:val="16"/>
                      <w:u w:val="single"/>
                    </w:rPr>
                  </w:pPr>
                  <w:r w:rsidRPr="00D40F1E">
                    <w:rPr>
                      <w:sz w:val="16"/>
                      <w:szCs w:val="16"/>
                      <w:u w:val="single"/>
                    </w:rPr>
                    <w:t>763 – 988</w:t>
                  </w:r>
                </w:p>
              </w:tc>
              <w:tc>
                <w:tcPr>
                  <w:tcW w:w="951" w:type="dxa"/>
                  <w:vAlign w:val="center"/>
                </w:tcPr>
                <w:p w:rsidR="00421CF8" w:rsidRPr="00D40F1E" w:rsidRDefault="00421CF8" w:rsidP="00421CF8">
                  <w:pPr>
                    <w:jc w:val="center"/>
                    <w:rPr>
                      <w:sz w:val="16"/>
                      <w:szCs w:val="16"/>
                      <w:u w:val="single"/>
                    </w:rPr>
                  </w:pPr>
                  <w:r w:rsidRPr="00D40F1E">
                    <w:rPr>
                      <w:sz w:val="16"/>
                      <w:szCs w:val="16"/>
                      <w:u w:val="single"/>
                    </w:rPr>
                    <w:t>810</w:t>
                  </w:r>
                </w:p>
              </w:tc>
              <w:tc>
                <w:tcPr>
                  <w:tcW w:w="1003" w:type="dxa"/>
                  <w:vAlign w:val="center"/>
                </w:tcPr>
                <w:p w:rsidR="00421CF8" w:rsidRPr="00D40F1E" w:rsidRDefault="00421CF8" w:rsidP="00421CF8">
                  <w:pPr>
                    <w:jc w:val="center"/>
                    <w:rPr>
                      <w:sz w:val="16"/>
                      <w:szCs w:val="16"/>
                      <w:u w:val="single"/>
                    </w:rPr>
                  </w:pPr>
                  <w:r w:rsidRPr="00D40F1E">
                    <w:rPr>
                      <w:sz w:val="16"/>
                      <w:szCs w:val="16"/>
                      <w:u w:val="single"/>
                    </w:rPr>
                    <w:t>130</w:t>
                  </w:r>
                </w:p>
              </w:tc>
              <w:tc>
                <w:tcPr>
                  <w:tcW w:w="830" w:type="dxa"/>
                  <w:vAlign w:val="center"/>
                </w:tcPr>
                <w:p w:rsidR="00421CF8" w:rsidRPr="00D40F1E" w:rsidRDefault="00421CF8" w:rsidP="00421CF8">
                  <w:pPr>
                    <w:jc w:val="center"/>
                    <w:rPr>
                      <w:sz w:val="16"/>
                      <w:szCs w:val="16"/>
                      <w:u w:val="single"/>
                    </w:rPr>
                  </w:pPr>
                  <w:r w:rsidRPr="00D40F1E">
                    <w:rPr>
                      <w:sz w:val="16"/>
                      <w:szCs w:val="16"/>
                      <w:u w:val="single"/>
                    </w:rPr>
                    <w:t>99,60</w:t>
                  </w:r>
                </w:p>
              </w:tc>
            </w:tr>
            <w:tr w:rsidR="00421CF8" w:rsidRPr="00D40F1E" w:rsidTr="002A3A46">
              <w:trPr>
                <w:jc w:val="center"/>
              </w:trPr>
              <w:tc>
                <w:tcPr>
                  <w:tcW w:w="456" w:type="dxa"/>
                </w:tcPr>
                <w:p w:rsidR="00421CF8" w:rsidRPr="00D40F1E" w:rsidRDefault="00421CF8" w:rsidP="00421CF8">
                  <w:pPr>
                    <w:rPr>
                      <w:sz w:val="16"/>
                      <w:szCs w:val="16"/>
                      <w:u w:val="single"/>
                    </w:rPr>
                  </w:pPr>
                  <w:r w:rsidRPr="00D40F1E">
                    <w:rPr>
                      <w:sz w:val="16"/>
                      <w:szCs w:val="16"/>
                      <w:u w:val="single"/>
                    </w:rPr>
                    <w:t>2.</w:t>
                  </w:r>
                </w:p>
              </w:tc>
              <w:tc>
                <w:tcPr>
                  <w:tcW w:w="1043" w:type="dxa"/>
                </w:tcPr>
                <w:p w:rsidR="00421CF8" w:rsidRPr="00D40F1E" w:rsidRDefault="00421CF8" w:rsidP="00421CF8">
                  <w:pPr>
                    <w:jc w:val="left"/>
                    <w:rPr>
                      <w:sz w:val="16"/>
                      <w:szCs w:val="16"/>
                      <w:u w:val="single"/>
                    </w:rPr>
                  </w:pPr>
                  <w:r w:rsidRPr="00D40F1E">
                    <w:rPr>
                      <w:sz w:val="16"/>
                      <w:szCs w:val="16"/>
                      <w:u w:val="single"/>
                    </w:rPr>
                    <w:t>Ieslodzījuma vietu pārvaldes centrālā aparāta galvenais inspektors</w:t>
                  </w:r>
                </w:p>
              </w:tc>
              <w:tc>
                <w:tcPr>
                  <w:tcW w:w="721" w:type="dxa"/>
                  <w:vAlign w:val="center"/>
                </w:tcPr>
                <w:p w:rsidR="00421CF8" w:rsidRPr="00D40F1E" w:rsidRDefault="00421CF8" w:rsidP="002A3A46">
                  <w:pPr>
                    <w:jc w:val="center"/>
                    <w:rPr>
                      <w:sz w:val="16"/>
                      <w:szCs w:val="16"/>
                      <w:u w:val="single"/>
                    </w:rPr>
                  </w:pPr>
                  <w:r w:rsidRPr="00D40F1E">
                    <w:rPr>
                      <w:sz w:val="16"/>
                      <w:szCs w:val="16"/>
                      <w:u w:val="single"/>
                    </w:rPr>
                    <w:t>Kapteinis</w:t>
                  </w:r>
                </w:p>
              </w:tc>
              <w:tc>
                <w:tcPr>
                  <w:tcW w:w="901" w:type="dxa"/>
                  <w:vAlign w:val="center"/>
                </w:tcPr>
                <w:p w:rsidR="00421CF8" w:rsidRPr="00D40F1E" w:rsidRDefault="00421CF8" w:rsidP="00421CF8">
                  <w:pPr>
                    <w:jc w:val="center"/>
                    <w:rPr>
                      <w:sz w:val="16"/>
                      <w:szCs w:val="16"/>
                      <w:u w:val="single"/>
                    </w:rPr>
                  </w:pPr>
                  <w:r w:rsidRPr="00D40F1E">
                    <w:rPr>
                      <w:sz w:val="16"/>
                      <w:szCs w:val="16"/>
                      <w:u w:val="single"/>
                    </w:rPr>
                    <w:t>10/C</w:t>
                  </w:r>
                </w:p>
              </w:tc>
              <w:tc>
                <w:tcPr>
                  <w:tcW w:w="839" w:type="dxa"/>
                  <w:vAlign w:val="center"/>
                </w:tcPr>
                <w:p w:rsidR="00421CF8" w:rsidRPr="00D40F1E" w:rsidRDefault="00421CF8" w:rsidP="00421CF8">
                  <w:pPr>
                    <w:jc w:val="center"/>
                    <w:rPr>
                      <w:sz w:val="16"/>
                      <w:szCs w:val="16"/>
                      <w:u w:val="single"/>
                    </w:rPr>
                  </w:pPr>
                  <w:r w:rsidRPr="00D40F1E">
                    <w:rPr>
                      <w:sz w:val="16"/>
                      <w:szCs w:val="16"/>
                      <w:u w:val="single"/>
                    </w:rPr>
                    <w:t>15 gadi</w:t>
                  </w:r>
                </w:p>
              </w:tc>
              <w:tc>
                <w:tcPr>
                  <w:tcW w:w="837" w:type="dxa"/>
                  <w:vAlign w:val="center"/>
                </w:tcPr>
                <w:p w:rsidR="00421CF8" w:rsidRPr="00D40F1E" w:rsidRDefault="00421CF8" w:rsidP="00421CF8">
                  <w:pPr>
                    <w:jc w:val="center"/>
                    <w:rPr>
                      <w:sz w:val="16"/>
                      <w:szCs w:val="16"/>
                      <w:u w:val="single"/>
                    </w:rPr>
                  </w:pPr>
                  <w:r w:rsidRPr="00D40F1E">
                    <w:rPr>
                      <w:sz w:val="16"/>
                      <w:szCs w:val="16"/>
                      <w:u w:val="single"/>
                    </w:rPr>
                    <w:t>744 – 969</w:t>
                  </w:r>
                </w:p>
              </w:tc>
              <w:tc>
                <w:tcPr>
                  <w:tcW w:w="951" w:type="dxa"/>
                  <w:vAlign w:val="center"/>
                </w:tcPr>
                <w:p w:rsidR="00421CF8" w:rsidRPr="00D40F1E" w:rsidRDefault="00421CF8" w:rsidP="00421CF8">
                  <w:pPr>
                    <w:jc w:val="center"/>
                    <w:rPr>
                      <w:sz w:val="16"/>
                      <w:szCs w:val="16"/>
                      <w:u w:val="single"/>
                    </w:rPr>
                  </w:pPr>
                  <w:r w:rsidRPr="00D40F1E">
                    <w:rPr>
                      <w:sz w:val="16"/>
                      <w:szCs w:val="16"/>
                      <w:u w:val="single"/>
                    </w:rPr>
                    <w:t>790</w:t>
                  </w:r>
                </w:p>
              </w:tc>
              <w:tc>
                <w:tcPr>
                  <w:tcW w:w="1003" w:type="dxa"/>
                  <w:vAlign w:val="center"/>
                </w:tcPr>
                <w:p w:rsidR="00421CF8" w:rsidRPr="00D40F1E" w:rsidRDefault="00421CF8" w:rsidP="00421CF8">
                  <w:pPr>
                    <w:jc w:val="center"/>
                    <w:rPr>
                      <w:sz w:val="16"/>
                      <w:szCs w:val="16"/>
                      <w:u w:val="single"/>
                    </w:rPr>
                  </w:pPr>
                  <w:r w:rsidRPr="00D40F1E">
                    <w:rPr>
                      <w:sz w:val="16"/>
                      <w:szCs w:val="16"/>
                      <w:u w:val="single"/>
                    </w:rPr>
                    <w:t>130</w:t>
                  </w:r>
                </w:p>
              </w:tc>
              <w:tc>
                <w:tcPr>
                  <w:tcW w:w="830" w:type="dxa"/>
                  <w:vAlign w:val="center"/>
                </w:tcPr>
                <w:p w:rsidR="00421CF8" w:rsidRPr="00D40F1E" w:rsidRDefault="00421CF8" w:rsidP="00421CF8">
                  <w:pPr>
                    <w:jc w:val="center"/>
                    <w:rPr>
                      <w:sz w:val="16"/>
                      <w:szCs w:val="16"/>
                      <w:u w:val="single"/>
                    </w:rPr>
                  </w:pPr>
                  <w:r w:rsidRPr="00D40F1E">
                    <w:rPr>
                      <w:sz w:val="16"/>
                      <w:szCs w:val="16"/>
                      <w:u w:val="single"/>
                    </w:rPr>
                    <w:t>56,91</w:t>
                  </w:r>
                </w:p>
              </w:tc>
            </w:tr>
            <w:tr w:rsidR="00421CF8" w:rsidRPr="00D40F1E" w:rsidTr="00BB5FAD">
              <w:trPr>
                <w:jc w:val="center"/>
              </w:trPr>
              <w:tc>
                <w:tcPr>
                  <w:tcW w:w="456" w:type="dxa"/>
                </w:tcPr>
                <w:p w:rsidR="00421CF8" w:rsidRPr="00D40F1E" w:rsidRDefault="00421CF8" w:rsidP="00421CF8">
                  <w:pPr>
                    <w:rPr>
                      <w:sz w:val="16"/>
                      <w:szCs w:val="16"/>
                      <w:u w:val="single"/>
                    </w:rPr>
                  </w:pPr>
                </w:p>
              </w:tc>
              <w:tc>
                <w:tcPr>
                  <w:tcW w:w="1043" w:type="dxa"/>
                </w:tcPr>
                <w:p w:rsidR="00421CF8" w:rsidRPr="00D40F1E" w:rsidRDefault="00421CF8" w:rsidP="00421CF8">
                  <w:pPr>
                    <w:jc w:val="left"/>
                    <w:rPr>
                      <w:sz w:val="16"/>
                      <w:szCs w:val="16"/>
                      <w:u w:val="single"/>
                    </w:rPr>
                  </w:pPr>
                </w:p>
              </w:tc>
              <w:tc>
                <w:tcPr>
                  <w:tcW w:w="721" w:type="dxa"/>
                </w:tcPr>
                <w:p w:rsidR="00421CF8" w:rsidRPr="00D40F1E" w:rsidRDefault="00421CF8" w:rsidP="00421CF8">
                  <w:pPr>
                    <w:jc w:val="center"/>
                    <w:rPr>
                      <w:sz w:val="16"/>
                      <w:szCs w:val="16"/>
                      <w:u w:val="single"/>
                    </w:rPr>
                  </w:pPr>
                </w:p>
              </w:tc>
              <w:tc>
                <w:tcPr>
                  <w:tcW w:w="901" w:type="dxa"/>
                  <w:vAlign w:val="center"/>
                </w:tcPr>
                <w:p w:rsidR="00421CF8" w:rsidRPr="00D40F1E" w:rsidRDefault="00421CF8" w:rsidP="00421CF8">
                  <w:pPr>
                    <w:jc w:val="center"/>
                    <w:rPr>
                      <w:sz w:val="16"/>
                      <w:szCs w:val="16"/>
                      <w:u w:val="single"/>
                    </w:rPr>
                  </w:pPr>
                </w:p>
              </w:tc>
              <w:tc>
                <w:tcPr>
                  <w:tcW w:w="839" w:type="dxa"/>
                  <w:vAlign w:val="center"/>
                </w:tcPr>
                <w:p w:rsidR="00421CF8" w:rsidRPr="00D40F1E" w:rsidRDefault="00421CF8" w:rsidP="00421CF8">
                  <w:pPr>
                    <w:jc w:val="center"/>
                    <w:rPr>
                      <w:sz w:val="16"/>
                      <w:szCs w:val="16"/>
                      <w:u w:val="single"/>
                    </w:rPr>
                  </w:pPr>
                  <w:r w:rsidRPr="00D40F1E">
                    <w:rPr>
                      <w:b/>
                      <w:sz w:val="16"/>
                      <w:szCs w:val="16"/>
                      <w:u w:val="single"/>
                    </w:rPr>
                    <w:t>KOPĀ</w:t>
                  </w:r>
                </w:p>
              </w:tc>
              <w:tc>
                <w:tcPr>
                  <w:tcW w:w="837" w:type="dxa"/>
                  <w:vAlign w:val="center"/>
                </w:tcPr>
                <w:p w:rsidR="00421CF8" w:rsidRPr="00D40F1E" w:rsidRDefault="00421CF8" w:rsidP="00421CF8">
                  <w:pPr>
                    <w:jc w:val="center"/>
                    <w:rPr>
                      <w:sz w:val="16"/>
                      <w:szCs w:val="16"/>
                      <w:u w:val="single"/>
                    </w:rPr>
                  </w:pPr>
                  <w:r w:rsidRPr="00D40F1E">
                    <w:rPr>
                      <w:sz w:val="16"/>
                      <w:szCs w:val="16"/>
                      <w:u w:val="single"/>
                    </w:rPr>
                    <w:t>x</w:t>
                  </w:r>
                </w:p>
              </w:tc>
              <w:tc>
                <w:tcPr>
                  <w:tcW w:w="951" w:type="dxa"/>
                  <w:vAlign w:val="center"/>
                </w:tcPr>
                <w:p w:rsidR="00421CF8" w:rsidRPr="00D40F1E" w:rsidRDefault="00421CF8" w:rsidP="00421CF8">
                  <w:pPr>
                    <w:jc w:val="center"/>
                    <w:rPr>
                      <w:sz w:val="16"/>
                      <w:szCs w:val="16"/>
                      <w:u w:val="single"/>
                    </w:rPr>
                  </w:pPr>
                  <w:r w:rsidRPr="00D40F1E">
                    <w:rPr>
                      <w:sz w:val="16"/>
                      <w:szCs w:val="16"/>
                      <w:u w:val="single"/>
                    </w:rPr>
                    <w:t>1600</w:t>
                  </w:r>
                </w:p>
              </w:tc>
              <w:tc>
                <w:tcPr>
                  <w:tcW w:w="1003" w:type="dxa"/>
                  <w:vAlign w:val="center"/>
                </w:tcPr>
                <w:p w:rsidR="00421CF8" w:rsidRPr="00D40F1E" w:rsidRDefault="00421CF8" w:rsidP="00421CF8">
                  <w:pPr>
                    <w:jc w:val="center"/>
                    <w:rPr>
                      <w:sz w:val="16"/>
                      <w:szCs w:val="16"/>
                      <w:u w:val="single"/>
                    </w:rPr>
                  </w:pPr>
                  <w:r w:rsidRPr="00D40F1E">
                    <w:rPr>
                      <w:sz w:val="16"/>
                      <w:szCs w:val="16"/>
                      <w:u w:val="single"/>
                    </w:rPr>
                    <w:t>260</w:t>
                  </w:r>
                </w:p>
              </w:tc>
              <w:tc>
                <w:tcPr>
                  <w:tcW w:w="830" w:type="dxa"/>
                  <w:vAlign w:val="center"/>
                </w:tcPr>
                <w:p w:rsidR="00421CF8" w:rsidRPr="00D40F1E" w:rsidRDefault="00421CF8" w:rsidP="00421CF8">
                  <w:pPr>
                    <w:jc w:val="center"/>
                    <w:rPr>
                      <w:sz w:val="16"/>
                      <w:szCs w:val="16"/>
                      <w:u w:val="single"/>
                    </w:rPr>
                  </w:pPr>
                  <w:r w:rsidRPr="00D40F1E">
                    <w:rPr>
                      <w:sz w:val="16"/>
                      <w:szCs w:val="16"/>
                      <w:u w:val="single"/>
                    </w:rPr>
                    <w:t>156.51</w:t>
                  </w:r>
                </w:p>
              </w:tc>
            </w:tr>
            <w:tr w:rsidR="00421CF8" w:rsidRPr="00D40F1E" w:rsidTr="00BB5FAD">
              <w:trPr>
                <w:jc w:val="center"/>
              </w:trPr>
              <w:tc>
                <w:tcPr>
                  <w:tcW w:w="456" w:type="dxa"/>
                </w:tcPr>
                <w:p w:rsidR="00421CF8" w:rsidRPr="00D40F1E" w:rsidRDefault="00421CF8" w:rsidP="00421CF8">
                  <w:pPr>
                    <w:rPr>
                      <w:sz w:val="16"/>
                      <w:szCs w:val="16"/>
                      <w:u w:val="single"/>
                    </w:rPr>
                  </w:pPr>
                </w:p>
              </w:tc>
              <w:tc>
                <w:tcPr>
                  <w:tcW w:w="1043" w:type="dxa"/>
                </w:tcPr>
                <w:p w:rsidR="00421CF8" w:rsidRPr="00D40F1E" w:rsidRDefault="00421CF8" w:rsidP="00421CF8">
                  <w:pPr>
                    <w:jc w:val="left"/>
                    <w:rPr>
                      <w:sz w:val="16"/>
                      <w:szCs w:val="16"/>
                      <w:u w:val="single"/>
                    </w:rPr>
                  </w:pPr>
                </w:p>
              </w:tc>
              <w:tc>
                <w:tcPr>
                  <w:tcW w:w="721" w:type="dxa"/>
                </w:tcPr>
                <w:p w:rsidR="00421CF8" w:rsidRPr="00D40F1E" w:rsidRDefault="00421CF8" w:rsidP="00421CF8">
                  <w:pPr>
                    <w:jc w:val="center"/>
                    <w:rPr>
                      <w:sz w:val="16"/>
                      <w:szCs w:val="16"/>
                      <w:u w:val="single"/>
                    </w:rPr>
                  </w:pPr>
                </w:p>
              </w:tc>
              <w:tc>
                <w:tcPr>
                  <w:tcW w:w="1740" w:type="dxa"/>
                  <w:gridSpan w:val="2"/>
                  <w:vAlign w:val="center"/>
                </w:tcPr>
                <w:p w:rsidR="00421CF8" w:rsidRPr="00D40F1E" w:rsidRDefault="00421CF8" w:rsidP="00421CF8">
                  <w:pPr>
                    <w:jc w:val="center"/>
                    <w:rPr>
                      <w:sz w:val="16"/>
                      <w:szCs w:val="16"/>
                      <w:u w:val="single"/>
                    </w:rPr>
                  </w:pPr>
                  <w:r w:rsidRPr="00D40F1E">
                    <w:rPr>
                      <w:b/>
                      <w:sz w:val="16"/>
                      <w:szCs w:val="16"/>
                      <w:u w:val="single"/>
                    </w:rPr>
                    <w:t>Vidēji izdevumi</w:t>
                  </w:r>
                </w:p>
              </w:tc>
              <w:tc>
                <w:tcPr>
                  <w:tcW w:w="837" w:type="dxa"/>
                  <w:vAlign w:val="center"/>
                </w:tcPr>
                <w:p w:rsidR="00421CF8" w:rsidRPr="00D40F1E" w:rsidRDefault="00421CF8" w:rsidP="00421CF8">
                  <w:pPr>
                    <w:jc w:val="center"/>
                    <w:rPr>
                      <w:sz w:val="16"/>
                      <w:szCs w:val="16"/>
                      <w:u w:val="single"/>
                    </w:rPr>
                  </w:pPr>
                  <w:r w:rsidRPr="00D40F1E">
                    <w:rPr>
                      <w:sz w:val="16"/>
                      <w:szCs w:val="16"/>
                      <w:u w:val="single"/>
                    </w:rPr>
                    <w:t>x</w:t>
                  </w:r>
                </w:p>
              </w:tc>
              <w:tc>
                <w:tcPr>
                  <w:tcW w:w="951" w:type="dxa"/>
                  <w:vAlign w:val="center"/>
                </w:tcPr>
                <w:p w:rsidR="00421CF8" w:rsidRPr="00D40F1E" w:rsidRDefault="00421CF8" w:rsidP="00421CF8">
                  <w:pPr>
                    <w:jc w:val="center"/>
                    <w:rPr>
                      <w:sz w:val="16"/>
                      <w:szCs w:val="16"/>
                      <w:u w:val="single"/>
                    </w:rPr>
                  </w:pPr>
                  <w:r w:rsidRPr="00D40F1E">
                    <w:rPr>
                      <w:sz w:val="16"/>
                      <w:szCs w:val="16"/>
                      <w:u w:val="single"/>
                    </w:rPr>
                    <w:t>800</w:t>
                  </w:r>
                </w:p>
              </w:tc>
              <w:tc>
                <w:tcPr>
                  <w:tcW w:w="1003" w:type="dxa"/>
                  <w:vAlign w:val="center"/>
                </w:tcPr>
                <w:p w:rsidR="00421CF8" w:rsidRPr="00D40F1E" w:rsidRDefault="00421CF8" w:rsidP="00421CF8">
                  <w:pPr>
                    <w:jc w:val="center"/>
                    <w:rPr>
                      <w:sz w:val="16"/>
                      <w:szCs w:val="16"/>
                      <w:u w:val="single"/>
                    </w:rPr>
                  </w:pPr>
                  <w:r w:rsidRPr="00D40F1E">
                    <w:rPr>
                      <w:sz w:val="16"/>
                      <w:szCs w:val="16"/>
                      <w:u w:val="single"/>
                    </w:rPr>
                    <w:t>130</w:t>
                  </w:r>
                </w:p>
              </w:tc>
              <w:tc>
                <w:tcPr>
                  <w:tcW w:w="830" w:type="dxa"/>
                  <w:vAlign w:val="center"/>
                </w:tcPr>
                <w:p w:rsidR="00421CF8" w:rsidRPr="00D40F1E" w:rsidRDefault="00421CF8" w:rsidP="00421CF8">
                  <w:pPr>
                    <w:jc w:val="center"/>
                    <w:rPr>
                      <w:sz w:val="16"/>
                      <w:szCs w:val="16"/>
                      <w:u w:val="single"/>
                    </w:rPr>
                  </w:pPr>
                  <w:r w:rsidRPr="00D40F1E">
                    <w:rPr>
                      <w:sz w:val="16"/>
                      <w:szCs w:val="16"/>
                      <w:u w:val="single"/>
                    </w:rPr>
                    <w:t>78,25</w:t>
                  </w:r>
                </w:p>
              </w:tc>
            </w:tr>
          </w:tbl>
          <w:p w:rsidR="00093C5E" w:rsidRPr="00D40F1E" w:rsidRDefault="00093C5E" w:rsidP="00093C5E">
            <w:pPr>
              <w:rPr>
                <w:rFonts w:eastAsia="Times New Roman"/>
                <w:sz w:val="16"/>
                <w:szCs w:val="16"/>
                <w:u w:val="single"/>
                <w:lang w:eastAsia="lv-LV"/>
              </w:rPr>
            </w:pPr>
            <w:r w:rsidRPr="00D40F1E">
              <w:rPr>
                <w:rFonts w:eastAsia="Times New Roman"/>
                <w:bCs/>
                <w:sz w:val="16"/>
                <w:szCs w:val="16"/>
                <w:u w:val="single"/>
                <w:lang w:eastAsia="lv-LV"/>
              </w:rPr>
              <w:lastRenderedPageBreak/>
              <w:t xml:space="preserve">* Ministru kabineta </w:t>
            </w:r>
            <w:r w:rsidRPr="00D40F1E">
              <w:rPr>
                <w:rFonts w:eastAsia="Times New Roman"/>
                <w:sz w:val="16"/>
                <w:szCs w:val="16"/>
                <w:u w:val="single"/>
                <w:lang w:eastAsia="lv-LV"/>
              </w:rPr>
              <w:t>2010.gada 21.jūnija</w:t>
            </w:r>
            <w:r w:rsidRPr="00D40F1E">
              <w:rPr>
                <w:rFonts w:eastAsia="Times New Roman"/>
                <w:bCs/>
                <w:sz w:val="16"/>
                <w:szCs w:val="16"/>
                <w:u w:val="single"/>
                <w:lang w:eastAsia="lv-LV"/>
              </w:rPr>
              <w:t xml:space="preserve"> noteikumi Nr.568</w:t>
            </w:r>
            <w:r w:rsidRPr="00D40F1E">
              <w:rPr>
                <w:rFonts w:eastAsia="Times New Roman"/>
                <w:sz w:val="16"/>
                <w:szCs w:val="16"/>
                <w:u w:val="single"/>
                <w:lang w:eastAsia="lv-LV"/>
              </w:rPr>
              <w:t xml:space="preserve"> „Noteikumi par Iekšlietu ministrijas sistēmas iestāžu un Ieslodzījuma vietu pārvaldes amatpersonu ar speciālajām dienesta pakāpēm mēnešalgu un speciālajām piemaksām”</w:t>
            </w:r>
          </w:p>
          <w:p w:rsidR="00093C5E" w:rsidRPr="00D40F1E" w:rsidRDefault="00093C5E" w:rsidP="00093C5E">
            <w:pPr>
              <w:rPr>
                <w:rFonts w:eastAsia="Times New Roman"/>
                <w:sz w:val="16"/>
                <w:szCs w:val="16"/>
                <w:u w:val="single"/>
                <w:lang w:eastAsia="lv-LV"/>
              </w:rPr>
            </w:pPr>
            <w:r w:rsidRPr="00D40F1E">
              <w:rPr>
                <w:rFonts w:eastAsia="Times New Roman"/>
                <w:bCs/>
                <w:sz w:val="16"/>
                <w:szCs w:val="16"/>
                <w:u w:val="single"/>
                <w:lang w:eastAsia="lv-LV"/>
              </w:rPr>
              <w:t xml:space="preserve">**Saskaņā ar Ministru kabineta </w:t>
            </w:r>
            <w:r w:rsidRPr="00D40F1E">
              <w:rPr>
                <w:rFonts w:eastAsia="Times New Roman"/>
                <w:sz w:val="16"/>
                <w:szCs w:val="16"/>
                <w:u w:val="single"/>
                <w:lang w:eastAsia="lv-LV"/>
              </w:rPr>
              <w:t>2010.gada 21.jūnija</w:t>
            </w:r>
            <w:r w:rsidRPr="00D40F1E">
              <w:rPr>
                <w:rFonts w:eastAsia="Times New Roman"/>
                <w:bCs/>
                <w:sz w:val="16"/>
                <w:szCs w:val="16"/>
                <w:u w:val="single"/>
                <w:lang w:eastAsia="lv-LV"/>
              </w:rPr>
              <w:t xml:space="preserve"> noteikumu Nr.568</w:t>
            </w:r>
            <w:r w:rsidRPr="00D40F1E">
              <w:rPr>
                <w:rFonts w:eastAsia="Times New Roman"/>
                <w:sz w:val="16"/>
                <w:szCs w:val="16"/>
                <w:u w:val="single"/>
                <w:lang w:eastAsia="lv-LV"/>
              </w:rPr>
              <w:t xml:space="preserve"> „Noteikumi par Iekšlietu ministrijas sistēmas iestāžu un Ieslodzījuma vietu pārvaldes amatpersonu ar speciālajām dienesta pakāpēm mēnešalgu un speciālajām piemaksām”</w:t>
            </w:r>
            <w:r w:rsidRPr="00D40F1E">
              <w:rPr>
                <w:sz w:val="16"/>
                <w:szCs w:val="16"/>
                <w:u w:val="single"/>
              </w:rPr>
              <w:t xml:space="preserve"> 4.pielikuma 16.punktu līdz 214 </w:t>
            </w:r>
            <w:proofErr w:type="spellStart"/>
            <w:r w:rsidRPr="00D40F1E">
              <w:rPr>
                <w:i/>
                <w:sz w:val="16"/>
                <w:szCs w:val="16"/>
                <w:u w:val="single"/>
              </w:rPr>
              <w:t>euro</w:t>
            </w:r>
            <w:proofErr w:type="spellEnd"/>
            <w:r w:rsidRPr="00D40F1E">
              <w:rPr>
                <w:sz w:val="16"/>
                <w:szCs w:val="16"/>
                <w:u w:val="single"/>
              </w:rPr>
              <w:t>.</w:t>
            </w:r>
          </w:p>
          <w:p w:rsidR="00421CF8" w:rsidRPr="00D40F1E" w:rsidRDefault="00421CF8" w:rsidP="00D1729E">
            <w:pPr>
              <w:pStyle w:val="NormalWeb"/>
              <w:spacing w:before="0" w:beforeAutospacing="0" w:after="0" w:afterAutospacing="0"/>
              <w:jc w:val="both"/>
              <w:rPr>
                <w:u w:val="single"/>
              </w:rPr>
            </w:pPr>
          </w:p>
          <w:p w:rsidR="003D6EA8" w:rsidRPr="00D40F1E" w:rsidRDefault="003D6EA8" w:rsidP="00801E4D">
            <w:pPr>
              <w:ind w:firstLine="0"/>
              <w:rPr>
                <w:rFonts w:cs="Times New Roman"/>
                <w:sz w:val="24"/>
                <w:szCs w:val="24"/>
                <w:u w:val="single"/>
              </w:rPr>
            </w:pPr>
            <w:r w:rsidRPr="00D40F1E">
              <w:rPr>
                <w:rFonts w:cs="Times New Roman"/>
                <w:sz w:val="24"/>
                <w:szCs w:val="24"/>
                <w:u w:val="single"/>
              </w:rPr>
              <w:t>1.2. Preces un pakalpojumi (KK 2000) 538 </w:t>
            </w:r>
            <w:proofErr w:type="spellStart"/>
            <w:r w:rsidRPr="00D40F1E">
              <w:rPr>
                <w:rFonts w:cs="Times New Roman"/>
                <w:i/>
                <w:sz w:val="24"/>
                <w:szCs w:val="24"/>
                <w:u w:val="single"/>
              </w:rPr>
              <w:t>euro</w:t>
            </w:r>
            <w:proofErr w:type="spellEnd"/>
            <w:r w:rsidRPr="00D40F1E">
              <w:rPr>
                <w:rFonts w:cs="Times New Roman"/>
                <w:sz w:val="24"/>
                <w:szCs w:val="24"/>
                <w:u w:val="single"/>
              </w:rPr>
              <w:t>:</w:t>
            </w:r>
          </w:p>
          <w:p w:rsidR="003D6EA8" w:rsidRPr="00D40F1E" w:rsidRDefault="003D6EA8" w:rsidP="00D1729E">
            <w:pPr>
              <w:rPr>
                <w:rFonts w:cs="Times New Roman"/>
                <w:sz w:val="24"/>
                <w:szCs w:val="24"/>
                <w:u w:val="single"/>
              </w:rPr>
            </w:pPr>
            <w:r w:rsidRPr="00D40F1E">
              <w:rPr>
                <w:rFonts w:cs="Times New Roman"/>
                <w:sz w:val="24"/>
                <w:szCs w:val="24"/>
                <w:u w:val="single"/>
              </w:rPr>
              <w:t>(45 + 85 + 11 + 128) x 2 = 538 </w:t>
            </w:r>
            <w:proofErr w:type="spellStart"/>
            <w:r w:rsidRPr="00D40F1E">
              <w:rPr>
                <w:rFonts w:cs="Times New Roman"/>
                <w:i/>
                <w:sz w:val="24"/>
                <w:szCs w:val="24"/>
                <w:u w:val="single"/>
              </w:rPr>
              <w:t>euro</w:t>
            </w:r>
            <w:proofErr w:type="spellEnd"/>
            <w:r w:rsidRPr="00D40F1E">
              <w:rPr>
                <w:rFonts w:cs="Times New Roman"/>
                <w:sz w:val="24"/>
                <w:szCs w:val="24"/>
                <w:u w:val="single"/>
              </w:rPr>
              <w:t>, kur</w:t>
            </w:r>
          </w:p>
          <w:p w:rsidR="003D6EA8" w:rsidRPr="00D40F1E" w:rsidRDefault="003D6EA8" w:rsidP="00D1729E">
            <w:pPr>
              <w:rPr>
                <w:rFonts w:cs="Times New Roman"/>
                <w:sz w:val="24"/>
                <w:szCs w:val="24"/>
                <w:u w:val="single"/>
              </w:rPr>
            </w:pPr>
            <w:r w:rsidRPr="00D40F1E">
              <w:rPr>
                <w:rFonts w:cs="Times New Roman"/>
                <w:sz w:val="24"/>
                <w:szCs w:val="24"/>
                <w:u w:val="single"/>
              </w:rPr>
              <w:t>45 </w:t>
            </w:r>
            <w:proofErr w:type="spellStart"/>
            <w:r w:rsidRPr="00D40F1E">
              <w:rPr>
                <w:rFonts w:cs="Times New Roman"/>
                <w:i/>
                <w:sz w:val="24"/>
                <w:szCs w:val="24"/>
                <w:u w:val="single"/>
              </w:rPr>
              <w:t>euro</w:t>
            </w:r>
            <w:proofErr w:type="spellEnd"/>
            <w:r w:rsidRPr="00D40F1E">
              <w:rPr>
                <w:rFonts w:cs="Times New Roman"/>
                <w:sz w:val="24"/>
                <w:szCs w:val="24"/>
                <w:u w:val="single"/>
              </w:rPr>
              <w:t> – vidējie sakaru pakalpojumu izdevumi gadā,</w:t>
            </w:r>
          </w:p>
          <w:p w:rsidR="003D6EA8" w:rsidRPr="00D40F1E" w:rsidRDefault="003D6EA8" w:rsidP="00D1729E">
            <w:pPr>
              <w:rPr>
                <w:rFonts w:cs="Times New Roman"/>
                <w:sz w:val="24"/>
                <w:szCs w:val="24"/>
                <w:u w:val="single"/>
              </w:rPr>
            </w:pPr>
            <w:r w:rsidRPr="00D40F1E">
              <w:rPr>
                <w:rFonts w:cs="Times New Roman"/>
                <w:sz w:val="24"/>
                <w:szCs w:val="24"/>
                <w:u w:val="single"/>
              </w:rPr>
              <w:t>85 </w:t>
            </w:r>
            <w:proofErr w:type="spellStart"/>
            <w:r w:rsidRPr="00D40F1E">
              <w:rPr>
                <w:rFonts w:cs="Times New Roman"/>
                <w:i/>
                <w:sz w:val="24"/>
                <w:szCs w:val="24"/>
                <w:u w:val="single"/>
              </w:rPr>
              <w:t>euro</w:t>
            </w:r>
            <w:proofErr w:type="spellEnd"/>
            <w:r w:rsidRPr="00D40F1E">
              <w:rPr>
                <w:rFonts w:cs="Times New Roman"/>
                <w:sz w:val="24"/>
                <w:szCs w:val="24"/>
                <w:u w:val="single"/>
              </w:rPr>
              <w:t> – vidējie izdevumi biroja precēm gadā,</w:t>
            </w:r>
          </w:p>
          <w:p w:rsidR="003D6EA8" w:rsidRPr="00D40F1E" w:rsidRDefault="003D6EA8" w:rsidP="00D1729E">
            <w:pPr>
              <w:rPr>
                <w:rFonts w:cs="Times New Roman"/>
                <w:sz w:val="24"/>
                <w:szCs w:val="24"/>
                <w:u w:val="single"/>
              </w:rPr>
            </w:pPr>
            <w:r w:rsidRPr="00D40F1E">
              <w:rPr>
                <w:rFonts w:cs="Times New Roman"/>
                <w:sz w:val="24"/>
                <w:szCs w:val="24"/>
                <w:u w:val="single"/>
              </w:rPr>
              <w:t>11 </w:t>
            </w:r>
            <w:proofErr w:type="spellStart"/>
            <w:r w:rsidRPr="00D40F1E">
              <w:rPr>
                <w:rFonts w:cs="Times New Roman"/>
                <w:i/>
                <w:sz w:val="24"/>
                <w:szCs w:val="24"/>
                <w:u w:val="single"/>
              </w:rPr>
              <w:t>euro</w:t>
            </w:r>
            <w:proofErr w:type="spellEnd"/>
            <w:r w:rsidRPr="00D40F1E">
              <w:rPr>
                <w:rFonts w:cs="Times New Roman"/>
                <w:sz w:val="24"/>
                <w:szCs w:val="24"/>
                <w:u w:val="single"/>
              </w:rPr>
              <w:t> – vidējie izdevumi inventāra atjaunošanai gadā,</w:t>
            </w:r>
          </w:p>
          <w:p w:rsidR="003D6EA8" w:rsidRPr="00D40F1E" w:rsidRDefault="003D6EA8" w:rsidP="00D1729E">
            <w:pPr>
              <w:rPr>
                <w:rFonts w:cs="Times New Roman"/>
                <w:sz w:val="24"/>
                <w:szCs w:val="24"/>
                <w:u w:val="single"/>
              </w:rPr>
            </w:pPr>
            <w:r w:rsidRPr="00D40F1E">
              <w:rPr>
                <w:rFonts w:cs="Times New Roman"/>
                <w:sz w:val="24"/>
                <w:szCs w:val="24"/>
                <w:u w:val="single"/>
              </w:rPr>
              <w:t>85 </w:t>
            </w:r>
            <w:proofErr w:type="spellStart"/>
            <w:r w:rsidRPr="00D40F1E">
              <w:rPr>
                <w:rFonts w:cs="Times New Roman"/>
                <w:i/>
                <w:sz w:val="24"/>
                <w:szCs w:val="24"/>
                <w:u w:val="single"/>
              </w:rPr>
              <w:t>euro</w:t>
            </w:r>
            <w:proofErr w:type="spellEnd"/>
            <w:r w:rsidRPr="00D40F1E">
              <w:rPr>
                <w:rFonts w:cs="Times New Roman"/>
                <w:sz w:val="24"/>
                <w:szCs w:val="24"/>
                <w:u w:val="single"/>
              </w:rPr>
              <w:t> – vidējie izdevumi formas tērpu atjaunošanai gadā,</w:t>
            </w:r>
          </w:p>
          <w:p w:rsidR="003D6EA8" w:rsidRPr="00D40F1E" w:rsidRDefault="003D6EA8" w:rsidP="00D1729E">
            <w:pPr>
              <w:pStyle w:val="NormalWeb"/>
              <w:spacing w:before="0" w:beforeAutospacing="0" w:after="0" w:afterAutospacing="0"/>
              <w:jc w:val="both"/>
              <w:rPr>
                <w:u w:val="single"/>
              </w:rPr>
            </w:pPr>
            <w:r w:rsidRPr="00D40F1E">
              <w:rPr>
                <w:u w:val="single"/>
              </w:rPr>
              <w:t>2 – amatu skaits.</w:t>
            </w:r>
          </w:p>
          <w:p w:rsidR="003D6EA8" w:rsidRPr="00D40F1E" w:rsidRDefault="003D6EA8" w:rsidP="00D1729E">
            <w:pPr>
              <w:pStyle w:val="naisf"/>
              <w:spacing w:before="0" w:after="0"/>
              <w:rPr>
                <w:u w:val="single"/>
              </w:rPr>
            </w:pPr>
          </w:p>
          <w:p w:rsidR="003D6EA8" w:rsidRPr="00D40F1E" w:rsidRDefault="003D6EA8" w:rsidP="00D1729E">
            <w:pPr>
              <w:pStyle w:val="naisf"/>
              <w:spacing w:before="0" w:after="0"/>
              <w:rPr>
                <w:u w:val="single"/>
              </w:rPr>
            </w:pPr>
            <w:r w:rsidRPr="00D40F1E">
              <w:rPr>
                <w:u w:val="single"/>
              </w:rPr>
              <w:t>*Finansējuma apjoms var tikt precizēts atbilstoši faktiskajai situācijai.</w:t>
            </w:r>
          </w:p>
          <w:p w:rsidR="003D6EA8" w:rsidRPr="00260CFD" w:rsidRDefault="003D6EA8" w:rsidP="00D1729E">
            <w:pPr>
              <w:pStyle w:val="naisf"/>
              <w:spacing w:before="0" w:after="0"/>
            </w:pPr>
          </w:p>
        </w:tc>
      </w:tr>
      <w:tr w:rsidR="003D6EA8" w:rsidRPr="005128C9" w:rsidTr="003D6EA8">
        <w:trPr>
          <w:jc w:val="center"/>
        </w:trPr>
        <w:tc>
          <w:tcPr>
            <w:tcW w:w="2359" w:type="dxa"/>
            <w:gridSpan w:val="2"/>
          </w:tcPr>
          <w:p w:rsidR="003D6EA8" w:rsidRPr="005128C9" w:rsidRDefault="003D6EA8" w:rsidP="00D1729E">
            <w:pPr>
              <w:rPr>
                <w:rFonts w:cs="Times New Roman"/>
                <w:sz w:val="24"/>
                <w:szCs w:val="24"/>
              </w:rPr>
            </w:pPr>
            <w:r w:rsidRPr="005128C9">
              <w:rPr>
                <w:rFonts w:cs="Times New Roman"/>
                <w:sz w:val="24"/>
                <w:szCs w:val="24"/>
              </w:rPr>
              <w:t>6.1. detalizēts ieņēmumu aprēķins</w:t>
            </w:r>
          </w:p>
        </w:tc>
        <w:tc>
          <w:tcPr>
            <w:tcW w:w="7436" w:type="dxa"/>
            <w:gridSpan w:val="5"/>
            <w:vMerge/>
          </w:tcPr>
          <w:p w:rsidR="003D6EA8" w:rsidRPr="00260CFD" w:rsidRDefault="003D6EA8" w:rsidP="00D1729E">
            <w:pPr>
              <w:pStyle w:val="naisf"/>
              <w:spacing w:before="0" w:after="0"/>
              <w:rPr>
                <w:b/>
                <w:i/>
              </w:rPr>
            </w:pPr>
          </w:p>
        </w:tc>
      </w:tr>
      <w:tr w:rsidR="003D6EA8" w:rsidRPr="005128C9" w:rsidTr="003D6EA8">
        <w:trPr>
          <w:jc w:val="center"/>
        </w:trPr>
        <w:tc>
          <w:tcPr>
            <w:tcW w:w="2359" w:type="dxa"/>
            <w:gridSpan w:val="2"/>
          </w:tcPr>
          <w:p w:rsidR="003D6EA8" w:rsidRPr="005128C9" w:rsidRDefault="003D6EA8" w:rsidP="00D1729E">
            <w:pPr>
              <w:rPr>
                <w:rFonts w:cs="Times New Roman"/>
                <w:sz w:val="24"/>
                <w:szCs w:val="24"/>
              </w:rPr>
            </w:pPr>
            <w:r w:rsidRPr="005128C9">
              <w:rPr>
                <w:rFonts w:cs="Times New Roman"/>
                <w:sz w:val="24"/>
                <w:szCs w:val="24"/>
              </w:rPr>
              <w:t>6.2. detalizēts izdevumu aprēķins</w:t>
            </w:r>
          </w:p>
        </w:tc>
        <w:tc>
          <w:tcPr>
            <w:tcW w:w="7436" w:type="dxa"/>
            <w:gridSpan w:val="5"/>
            <w:vMerge/>
          </w:tcPr>
          <w:p w:rsidR="003D6EA8" w:rsidRPr="00260CFD" w:rsidRDefault="003D6EA8" w:rsidP="00D1729E">
            <w:pPr>
              <w:pStyle w:val="naisf"/>
              <w:spacing w:before="0" w:after="0"/>
              <w:rPr>
                <w:b/>
                <w:i/>
              </w:rPr>
            </w:pPr>
          </w:p>
        </w:tc>
      </w:tr>
      <w:tr w:rsidR="003D6EA8" w:rsidRPr="005128C9" w:rsidTr="003D6EA8">
        <w:trPr>
          <w:trHeight w:val="556"/>
          <w:jc w:val="center"/>
        </w:trPr>
        <w:tc>
          <w:tcPr>
            <w:tcW w:w="2359" w:type="dxa"/>
            <w:gridSpan w:val="2"/>
          </w:tcPr>
          <w:p w:rsidR="003D6EA8" w:rsidRPr="005128C9" w:rsidRDefault="003D6EA8" w:rsidP="00D1729E">
            <w:pPr>
              <w:rPr>
                <w:rFonts w:cs="Times New Roman"/>
                <w:sz w:val="24"/>
                <w:szCs w:val="24"/>
              </w:rPr>
            </w:pPr>
            <w:r w:rsidRPr="005128C9">
              <w:rPr>
                <w:rFonts w:cs="Times New Roman"/>
                <w:sz w:val="24"/>
                <w:szCs w:val="24"/>
              </w:rPr>
              <w:lastRenderedPageBreak/>
              <w:t>7. Cita informācija</w:t>
            </w:r>
          </w:p>
        </w:tc>
        <w:tc>
          <w:tcPr>
            <w:tcW w:w="7436" w:type="dxa"/>
            <w:gridSpan w:val="5"/>
          </w:tcPr>
          <w:p w:rsidR="005C08CF" w:rsidRPr="00D40F1E" w:rsidRDefault="003D6EA8" w:rsidP="005C08CF">
            <w:pPr>
              <w:pStyle w:val="naisf"/>
              <w:tabs>
                <w:tab w:val="left" w:pos="4644"/>
              </w:tabs>
              <w:spacing w:before="0" w:after="0"/>
              <w:rPr>
                <w:u w:val="single"/>
              </w:rPr>
            </w:pPr>
            <w:r w:rsidRPr="00D40F1E">
              <w:rPr>
                <w:u w:val="single"/>
              </w:rPr>
              <w:t>Pievienotais Ministru kabineta sēdes</w:t>
            </w:r>
            <w:r w:rsidR="00E5286B" w:rsidRPr="00D40F1E">
              <w:rPr>
                <w:u w:val="single"/>
              </w:rPr>
              <w:t xml:space="preserve"> </w:t>
            </w:r>
            <w:proofErr w:type="spellStart"/>
            <w:r w:rsidR="00E5286B" w:rsidRPr="00D40F1E">
              <w:rPr>
                <w:u w:val="single"/>
              </w:rPr>
              <w:t>protokollēmuma</w:t>
            </w:r>
            <w:proofErr w:type="spellEnd"/>
            <w:r w:rsidR="00E5286B" w:rsidRPr="00D40F1E">
              <w:rPr>
                <w:u w:val="single"/>
              </w:rPr>
              <w:t xml:space="preserve"> projekts paredz</w:t>
            </w:r>
            <w:r w:rsidR="005C08CF" w:rsidRPr="00D40F1E">
              <w:rPr>
                <w:u w:val="single"/>
              </w:rPr>
              <w:t xml:space="preserve"> Iekšlietu ministrijai un Tieslietu ministrijai iesniegt Finanšu ministrijā priekšlikumus iekļaušanai likumprojekta “Par vidēja termiņa budžeta ietvaru 2015., 2016. un 2017.gadam” izskatīšanai Saeimā otrajam lasījumam, paredzot pārdalīt divas amata vietas un finansējumu  no Tieslietu ministrijas budžeta apakšprogrammas 04.01.00 „Ieslodzījuma vietas” uz Iekšlietu ministrijas budžeta programmu 42.00.00 „Iekšējās drošības biroja darbība” 2016.gadā un turpmāk ik gadu 31 432 </w:t>
            </w:r>
            <w:proofErr w:type="spellStart"/>
            <w:r w:rsidR="005C08CF" w:rsidRPr="00D40F1E">
              <w:rPr>
                <w:i/>
                <w:u w:val="single"/>
              </w:rPr>
              <w:t>euro</w:t>
            </w:r>
            <w:proofErr w:type="spellEnd"/>
            <w:r w:rsidR="005C08CF" w:rsidRPr="00D40F1E">
              <w:rPr>
                <w:i/>
                <w:u w:val="single"/>
              </w:rPr>
              <w:t xml:space="preserve"> </w:t>
            </w:r>
            <w:r w:rsidR="005C08CF" w:rsidRPr="00D40F1E">
              <w:rPr>
                <w:u w:val="single"/>
              </w:rPr>
              <w:t xml:space="preserve">apmērā (tai skaitā atlīdzībai 30 894 </w:t>
            </w:r>
            <w:proofErr w:type="spellStart"/>
            <w:r w:rsidR="005C08CF" w:rsidRPr="00D40F1E">
              <w:rPr>
                <w:i/>
                <w:u w:val="single"/>
              </w:rPr>
              <w:t>euro</w:t>
            </w:r>
            <w:proofErr w:type="spellEnd"/>
            <w:r w:rsidR="005C08CF" w:rsidRPr="00D40F1E">
              <w:rPr>
                <w:u w:val="single"/>
              </w:rPr>
              <w:t>).</w:t>
            </w:r>
          </w:p>
          <w:p w:rsidR="00E5286B" w:rsidRPr="00D40F1E" w:rsidRDefault="00E5286B" w:rsidP="00D1729E">
            <w:pPr>
              <w:pStyle w:val="naisf"/>
              <w:tabs>
                <w:tab w:val="left" w:pos="4644"/>
              </w:tabs>
              <w:spacing w:before="0" w:after="0"/>
              <w:rPr>
                <w:u w:val="single"/>
              </w:rPr>
            </w:pPr>
          </w:p>
          <w:p w:rsidR="003D6EA8" w:rsidRPr="00D40F1E" w:rsidRDefault="00213068" w:rsidP="00E5286B">
            <w:pPr>
              <w:tabs>
                <w:tab w:val="left" w:pos="0"/>
              </w:tabs>
              <w:ind w:firstLine="0"/>
              <w:rPr>
                <w:sz w:val="24"/>
                <w:szCs w:val="24"/>
                <w:u w:val="single"/>
              </w:rPr>
            </w:pPr>
            <w:r w:rsidRPr="00D40F1E">
              <w:rPr>
                <w:rFonts w:cs="Times New Roman"/>
                <w:sz w:val="24"/>
                <w:szCs w:val="24"/>
                <w:u w:val="single"/>
              </w:rPr>
              <w:t>Iekšlietu ministrija</w:t>
            </w:r>
            <w:r w:rsidR="003D6EA8" w:rsidRPr="00D40F1E">
              <w:rPr>
                <w:rFonts w:cs="Times New Roman"/>
                <w:sz w:val="24"/>
                <w:szCs w:val="24"/>
                <w:u w:val="single"/>
              </w:rPr>
              <w:t xml:space="preserve">, ja nepieciešams, </w:t>
            </w:r>
            <w:r w:rsidRPr="00D40F1E">
              <w:rPr>
                <w:rFonts w:cs="Times New Roman"/>
                <w:sz w:val="24"/>
                <w:szCs w:val="24"/>
                <w:u w:val="single"/>
              </w:rPr>
              <w:t xml:space="preserve">var </w:t>
            </w:r>
            <w:r w:rsidR="003D6EA8" w:rsidRPr="00D40F1E">
              <w:rPr>
                <w:rFonts w:cs="Times New Roman"/>
                <w:sz w:val="24"/>
                <w:szCs w:val="24"/>
                <w:u w:val="single"/>
              </w:rPr>
              <w:t>precizēt izdevumus 2015.gadam un turpmākajiem gadiem sadalījumā pa budžeta programmām un apakšprogrammām un izdevumu ek</w:t>
            </w:r>
            <w:r w:rsidR="00C16445" w:rsidRPr="00D40F1E">
              <w:rPr>
                <w:rFonts w:cs="Times New Roman"/>
                <w:sz w:val="24"/>
                <w:szCs w:val="24"/>
                <w:u w:val="single"/>
              </w:rPr>
              <w:t>onomiskās klasifikācijas kodiem, tai skaitā izdevumus atlīdzībai.</w:t>
            </w:r>
          </w:p>
          <w:p w:rsidR="003D6EA8" w:rsidRPr="00260CFD" w:rsidRDefault="003D6EA8" w:rsidP="00D1729E">
            <w:pPr>
              <w:pStyle w:val="naisf"/>
              <w:tabs>
                <w:tab w:val="left" w:pos="4644"/>
              </w:tabs>
              <w:spacing w:before="0" w:after="0"/>
              <w:rPr>
                <w:b/>
                <w:i/>
              </w:rPr>
            </w:pPr>
          </w:p>
        </w:tc>
      </w:tr>
      <w:tr w:rsidR="00862D0F" w:rsidRPr="00862D0F" w:rsidTr="003D6EA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trHeight w:val="450"/>
          <w:tblCellSpacing w:w="15" w:type="dxa"/>
          <w:jc w:val="center"/>
        </w:trPr>
        <w:tc>
          <w:tcPr>
            <w:tcW w:w="9795" w:type="dxa"/>
            <w:gridSpan w:val="7"/>
            <w:tcBorders>
              <w:top w:val="outset" w:sz="6" w:space="0" w:color="auto"/>
              <w:left w:val="outset" w:sz="6" w:space="0" w:color="auto"/>
              <w:bottom w:val="outset" w:sz="6" w:space="0" w:color="auto"/>
              <w:right w:val="outset" w:sz="6" w:space="0" w:color="auto"/>
            </w:tcBorders>
            <w:vAlign w:val="center"/>
            <w:hideMark/>
          </w:tcPr>
          <w:p w:rsidR="00E16B74" w:rsidRDefault="00E16B74" w:rsidP="00862D0F">
            <w:pPr>
              <w:spacing w:before="100" w:beforeAutospacing="1" w:after="100" w:afterAutospacing="1"/>
              <w:ind w:firstLine="0"/>
              <w:jc w:val="center"/>
              <w:rPr>
                <w:rFonts w:eastAsia="Times New Roman" w:cs="Times New Roman"/>
                <w:b/>
                <w:bCs/>
                <w:sz w:val="24"/>
                <w:szCs w:val="24"/>
                <w:lang w:eastAsia="lv-LV"/>
              </w:rPr>
            </w:pPr>
          </w:p>
          <w:p w:rsidR="00862D0F" w:rsidRPr="00862D0F" w:rsidRDefault="00862D0F" w:rsidP="00862D0F">
            <w:pPr>
              <w:spacing w:before="100" w:beforeAutospacing="1" w:after="100" w:afterAutospacing="1"/>
              <w:ind w:firstLine="0"/>
              <w:jc w:val="center"/>
              <w:rPr>
                <w:rFonts w:eastAsia="Times New Roman" w:cs="Times New Roman"/>
                <w:b/>
                <w:bCs/>
                <w:sz w:val="24"/>
                <w:szCs w:val="24"/>
                <w:lang w:eastAsia="lv-LV"/>
              </w:rPr>
            </w:pPr>
            <w:r w:rsidRPr="00862D0F">
              <w:rPr>
                <w:rFonts w:eastAsia="Times New Roman" w:cs="Times New Roman"/>
                <w:b/>
                <w:bCs/>
                <w:sz w:val="24"/>
                <w:szCs w:val="24"/>
                <w:lang w:eastAsia="lv-LV"/>
              </w:rPr>
              <w:t>IV. Tiesību akta projekta ietekme uz spēkā esošo tiesību normu sistēmu</w:t>
            </w:r>
          </w:p>
        </w:tc>
      </w:tr>
      <w:tr w:rsidR="00862D0F" w:rsidRPr="00862D0F" w:rsidTr="003D6EA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tblCellSpacing w:w="15" w:type="dxa"/>
          <w:jc w:val="center"/>
        </w:trPr>
        <w:tc>
          <w:tcPr>
            <w:tcW w:w="418" w:type="dxa"/>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1.</w:t>
            </w:r>
          </w:p>
        </w:tc>
        <w:tc>
          <w:tcPr>
            <w:tcW w:w="1941" w:type="dxa"/>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Nepieciešamie saistītie tiesību aktu projekti</w:t>
            </w:r>
          </w:p>
        </w:tc>
        <w:tc>
          <w:tcPr>
            <w:tcW w:w="7436" w:type="dxa"/>
            <w:gridSpan w:val="5"/>
            <w:tcBorders>
              <w:top w:val="outset" w:sz="6" w:space="0" w:color="auto"/>
              <w:left w:val="outset" w:sz="6" w:space="0" w:color="auto"/>
              <w:bottom w:val="outset" w:sz="6" w:space="0" w:color="auto"/>
              <w:right w:val="outset" w:sz="6" w:space="0" w:color="auto"/>
            </w:tcBorders>
            <w:hideMark/>
          </w:tcPr>
          <w:p w:rsidR="00F3628F" w:rsidRPr="00623A32" w:rsidRDefault="00623A32" w:rsidP="00381BF9">
            <w:pPr>
              <w:pStyle w:val="ListParagraph"/>
              <w:numPr>
                <w:ilvl w:val="0"/>
                <w:numId w:val="2"/>
              </w:numPr>
              <w:ind w:left="0" w:firstLine="360"/>
              <w:rPr>
                <w:bCs/>
                <w:color w:val="000000"/>
                <w:kern w:val="36"/>
                <w:sz w:val="24"/>
                <w:szCs w:val="24"/>
              </w:rPr>
            </w:pPr>
            <w:r>
              <w:rPr>
                <w:bCs/>
                <w:color w:val="000000"/>
                <w:kern w:val="36"/>
                <w:sz w:val="24"/>
                <w:szCs w:val="24"/>
              </w:rPr>
              <w:t>likumprojekts „G</w:t>
            </w:r>
            <w:r w:rsidRPr="00623A32">
              <w:rPr>
                <w:bCs/>
                <w:color w:val="000000"/>
                <w:kern w:val="36"/>
                <w:sz w:val="24"/>
                <w:szCs w:val="24"/>
              </w:rPr>
              <w:t>rozījumi</w:t>
            </w:r>
            <w:r w:rsidR="00F3628F" w:rsidRPr="00623A32">
              <w:rPr>
                <w:bCs/>
                <w:color w:val="000000"/>
                <w:kern w:val="36"/>
                <w:sz w:val="24"/>
                <w:szCs w:val="24"/>
              </w:rPr>
              <w:t xml:space="preserve"> </w:t>
            </w:r>
            <w:r>
              <w:rPr>
                <w:bCs/>
                <w:color w:val="000000"/>
                <w:kern w:val="36"/>
                <w:sz w:val="24"/>
                <w:szCs w:val="24"/>
              </w:rPr>
              <w:t>Kriminālprocesa likumā</w:t>
            </w:r>
            <w:r w:rsidR="00887DF1">
              <w:rPr>
                <w:bCs/>
                <w:color w:val="000000"/>
                <w:kern w:val="36"/>
                <w:sz w:val="24"/>
                <w:szCs w:val="24"/>
              </w:rPr>
              <w:t xml:space="preserve">”, nosakot </w:t>
            </w:r>
            <w:r w:rsidR="00381BF9">
              <w:rPr>
                <w:bCs/>
                <w:color w:val="000000"/>
                <w:kern w:val="36"/>
                <w:sz w:val="24"/>
                <w:szCs w:val="24"/>
              </w:rPr>
              <w:t>Biroja</w:t>
            </w:r>
            <w:r w:rsidR="004F62C2">
              <w:rPr>
                <w:bCs/>
                <w:color w:val="000000"/>
                <w:kern w:val="36"/>
                <w:sz w:val="24"/>
                <w:szCs w:val="24"/>
              </w:rPr>
              <w:t xml:space="preserve"> kompetenci;</w:t>
            </w:r>
          </w:p>
          <w:p w:rsidR="00F3628F" w:rsidRPr="00623A32" w:rsidRDefault="00F3628F" w:rsidP="00F8250F">
            <w:pPr>
              <w:pStyle w:val="ListParagraph"/>
              <w:numPr>
                <w:ilvl w:val="0"/>
                <w:numId w:val="2"/>
              </w:numPr>
              <w:ind w:left="0" w:firstLine="360"/>
              <w:rPr>
                <w:sz w:val="24"/>
                <w:szCs w:val="24"/>
              </w:rPr>
            </w:pPr>
            <w:r w:rsidRPr="00623A32">
              <w:rPr>
                <w:bCs/>
                <w:color w:val="000000"/>
                <w:kern w:val="36"/>
                <w:sz w:val="24"/>
                <w:szCs w:val="24"/>
              </w:rPr>
              <w:t>likumprojekts „</w:t>
            </w:r>
            <w:r w:rsidRPr="00623A32">
              <w:rPr>
                <w:sz w:val="24"/>
                <w:szCs w:val="24"/>
              </w:rPr>
              <w:t xml:space="preserve">Grozījumi </w:t>
            </w:r>
            <w:r w:rsidRPr="00623A32">
              <w:rPr>
                <w:bCs/>
                <w:color w:val="000000"/>
                <w:sz w:val="24"/>
                <w:szCs w:val="24"/>
                <w:shd w:val="clear" w:color="auto" w:fill="FFFFFF"/>
              </w:rPr>
              <w:t>Iekšlietu ministrijas sistēmas iestāžu un Ieslodzījuma vietu pārvaldes amatpersonu ar speciālajām dienesta pakāpēm dienesta gaitas likum</w:t>
            </w:r>
            <w:r w:rsidR="00623A32">
              <w:rPr>
                <w:bCs/>
                <w:color w:val="000000"/>
                <w:sz w:val="24"/>
                <w:szCs w:val="24"/>
                <w:shd w:val="clear" w:color="auto" w:fill="FFFFFF"/>
              </w:rPr>
              <w:t>ā”</w:t>
            </w:r>
            <w:r w:rsidR="00381BF9">
              <w:rPr>
                <w:bCs/>
                <w:color w:val="000000"/>
                <w:sz w:val="24"/>
                <w:szCs w:val="24"/>
                <w:shd w:val="clear" w:color="auto" w:fill="FFFFFF"/>
              </w:rPr>
              <w:t>, paredzot, ka Biroja</w:t>
            </w:r>
            <w:r w:rsidR="00A24594">
              <w:rPr>
                <w:bCs/>
                <w:color w:val="000000"/>
                <w:sz w:val="24"/>
                <w:szCs w:val="24"/>
                <w:shd w:val="clear" w:color="auto" w:fill="FFFFFF"/>
              </w:rPr>
              <w:t xml:space="preserve"> amatpersonu ar speciālajām dienesta pakāpēm dienesta gaitu n</w:t>
            </w:r>
            <w:r w:rsidR="006C76BC">
              <w:rPr>
                <w:bCs/>
                <w:color w:val="000000"/>
                <w:sz w:val="24"/>
                <w:szCs w:val="24"/>
                <w:shd w:val="clear" w:color="auto" w:fill="FFFFFF"/>
              </w:rPr>
              <w:t>osaka minētais likums</w:t>
            </w:r>
            <w:r w:rsidR="00623A32">
              <w:rPr>
                <w:bCs/>
                <w:color w:val="000000"/>
                <w:sz w:val="24"/>
                <w:szCs w:val="24"/>
                <w:shd w:val="clear" w:color="auto" w:fill="FFFFFF"/>
              </w:rPr>
              <w:t>;</w:t>
            </w:r>
          </w:p>
          <w:p w:rsidR="00F3628F" w:rsidRPr="00FB58EA" w:rsidRDefault="00F3628F" w:rsidP="00F26636">
            <w:pPr>
              <w:numPr>
                <w:ilvl w:val="0"/>
                <w:numId w:val="2"/>
              </w:numPr>
              <w:ind w:left="50" w:firstLine="310"/>
              <w:rPr>
                <w:sz w:val="24"/>
                <w:szCs w:val="24"/>
              </w:rPr>
            </w:pPr>
            <w:r w:rsidRPr="001D5646">
              <w:rPr>
                <w:bCs/>
                <w:color w:val="000000"/>
                <w:sz w:val="24"/>
                <w:szCs w:val="24"/>
                <w:shd w:val="clear" w:color="auto" w:fill="FFFFFF"/>
              </w:rPr>
              <w:t>likumprojekts „</w:t>
            </w:r>
            <w:r w:rsidRPr="001D5646">
              <w:rPr>
                <w:sz w:val="24"/>
                <w:szCs w:val="24"/>
              </w:rPr>
              <w:t>Grozījumi likumā „</w:t>
            </w:r>
            <w:r w:rsidRPr="001D5646">
              <w:rPr>
                <w:bCs/>
                <w:color w:val="000000"/>
                <w:sz w:val="24"/>
                <w:szCs w:val="24"/>
                <w:shd w:val="clear" w:color="auto" w:fill="FFFFFF"/>
              </w:rPr>
              <w:t>Par interešu konflikta novēršan</w:t>
            </w:r>
            <w:r w:rsidR="00F81D8F">
              <w:rPr>
                <w:bCs/>
                <w:color w:val="000000"/>
                <w:sz w:val="24"/>
                <w:szCs w:val="24"/>
                <w:shd w:val="clear" w:color="auto" w:fill="FFFFFF"/>
              </w:rPr>
              <w:t>u valsts amatpersonu darbībā”</w:t>
            </w:r>
            <w:r w:rsidR="00F26636">
              <w:rPr>
                <w:bCs/>
                <w:color w:val="000000"/>
                <w:sz w:val="24"/>
                <w:szCs w:val="24"/>
                <w:shd w:val="clear" w:color="auto" w:fill="FFFFFF"/>
              </w:rPr>
              <w:t>,</w:t>
            </w:r>
            <w:r w:rsidR="00F26636">
              <w:t xml:space="preserve"> </w:t>
            </w:r>
            <w:r w:rsidR="00F26636" w:rsidRPr="00F26636">
              <w:rPr>
                <w:bCs/>
                <w:color w:val="000000"/>
                <w:sz w:val="24"/>
                <w:szCs w:val="24"/>
                <w:shd w:val="clear" w:color="auto" w:fill="FFFFFF"/>
              </w:rPr>
              <w:t>paredzot amatu savienošanas ierobežojumus IDB amatpersonām</w:t>
            </w:r>
            <w:r w:rsidR="00FB58EA">
              <w:rPr>
                <w:bCs/>
                <w:color w:val="000000"/>
                <w:sz w:val="24"/>
                <w:szCs w:val="24"/>
                <w:shd w:val="clear" w:color="auto" w:fill="FFFFFF"/>
              </w:rPr>
              <w:t>;</w:t>
            </w:r>
          </w:p>
          <w:p w:rsidR="00FB58EA" w:rsidRPr="009A5CF6" w:rsidRDefault="00FB58EA" w:rsidP="00F26636">
            <w:pPr>
              <w:numPr>
                <w:ilvl w:val="0"/>
                <w:numId w:val="2"/>
              </w:numPr>
              <w:ind w:left="50" w:firstLine="310"/>
              <w:rPr>
                <w:sz w:val="24"/>
                <w:szCs w:val="24"/>
              </w:rPr>
            </w:pPr>
            <w:r>
              <w:rPr>
                <w:bCs/>
                <w:color w:val="000000"/>
                <w:sz w:val="24"/>
                <w:szCs w:val="24"/>
                <w:shd w:val="clear" w:color="auto" w:fill="FFFFFF"/>
              </w:rPr>
              <w:t>likumprojekts „Grozījumi Šengenas informā</w:t>
            </w:r>
            <w:r w:rsidR="00455938">
              <w:rPr>
                <w:bCs/>
                <w:color w:val="000000"/>
                <w:sz w:val="24"/>
                <w:szCs w:val="24"/>
                <w:shd w:val="clear" w:color="auto" w:fill="FFFFFF"/>
              </w:rPr>
              <w:t>cijas sistēmas darbības likumā”, paredzot</w:t>
            </w:r>
            <w:r w:rsidR="00455938" w:rsidRPr="00455938">
              <w:rPr>
                <w:rFonts w:eastAsia="Times New Roman" w:cs="Times New Roman"/>
                <w:szCs w:val="28"/>
                <w:lang w:eastAsia="lv-LV"/>
              </w:rPr>
              <w:t xml:space="preserve"> </w:t>
            </w:r>
            <w:r w:rsidR="00381BF9">
              <w:rPr>
                <w:bCs/>
                <w:color w:val="000000"/>
                <w:sz w:val="24"/>
                <w:szCs w:val="24"/>
                <w:shd w:val="clear" w:color="auto" w:fill="FFFFFF"/>
              </w:rPr>
              <w:t>Biroja</w:t>
            </w:r>
            <w:r w:rsidR="00455938" w:rsidRPr="00455938">
              <w:rPr>
                <w:bCs/>
                <w:color w:val="000000"/>
                <w:sz w:val="24"/>
                <w:szCs w:val="24"/>
                <w:shd w:val="clear" w:color="auto" w:fill="FFFFFF"/>
              </w:rPr>
              <w:t xml:space="preserve"> pilnvaras savas kompetences ietvaros apstrādāt ziņojumus Šengenas informācijas sistēmā</w:t>
            </w:r>
            <w:r w:rsidR="009A5CF6">
              <w:rPr>
                <w:bCs/>
                <w:color w:val="000000"/>
                <w:sz w:val="24"/>
                <w:szCs w:val="24"/>
                <w:shd w:val="clear" w:color="auto" w:fill="FFFFFF"/>
              </w:rPr>
              <w:t>;</w:t>
            </w:r>
          </w:p>
          <w:p w:rsidR="009A5CF6" w:rsidRPr="00623A32" w:rsidRDefault="009A5CF6" w:rsidP="00F26636">
            <w:pPr>
              <w:numPr>
                <w:ilvl w:val="0"/>
                <w:numId w:val="2"/>
              </w:numPr>
              <w:ind w:left="50" w:firstLine="310"/>
              <w:rPr>
                <w:sz w:val="24"/>
                <w:szCs w:val="24"/>
              </w:rPr>
            </w:pPr>
            <w:r>
              <w:rPr>
                <w:bCs/>
                <w:color w:val="000000"/>
                <w:sz w:val="24"/>
                <w:szCs w:val="24"/>
                <w:shd w:val="clear" w:color="auto" w:fill="FFFFFF"/>
              </w:rPr>
              <w:t>likumprojekts “Grozījums Ieslodzījuma vietu pār</w:t>
            </w:r>
            <w:r w:rsidR="00381BF9">
              <w:rPr>
                <w:bCs/>
                <w:color w:val="000000"/>
                <w:sz w:val="24"/>
                <w:szCs w:val="24"/>
                <w:shd w:val="clear" w:color="auto" w:fill="FFFFFF"/>
              </w:rPr>
              <w:t>valdes likumā”, paredzot, ka Biroja</w:t>
            </w:r>
            <w:r>
              <w:rPr>
                <w:bCs/>
                <w:color w:val="000000"/>
                <w:sz w:val="24"/>
                <w:szCs w:val="24"/>
                <w:shd w:val="clear" w:color="auto" w:fill="FFFFFF"/>
              </w:rPr>
              <w:t xml:space="preserve"> amatpersonas ar speciālajām dienesta pakāpēm bez speciālās atļaujas var apmeklēt ieslodzījuma vietas.</w:t>
            </w:r>
          </w:p>
          <w:p w:rsidR="00F26636" w:rsidRPr="009C1D16" w:rsidRDefault="00F26636" w:rsidP="002C01C2">
            <w:pPr>
              <w:ind w:firstLine="0"/>
              <w:rPr>
                <w:sz w:val="24"/>
                <w:szCs w:val="24"/>
              </w:rPr>
            </w:pPr>
          </w:p>
          <w:p w:rsidR="00623A32" w:rsidRPr="009C1D16" w:rsidRDefault="009C1D16" w:rsidP="002C01C2">
            <w:pPr>
              <w:ind w:firstLine="0"/>
              <w:rPr>
                <w:sz w:val="24"/>
                <w:szCs w:val="24"/>
              </w:rPr>
            </w:pPr>
            <w:r w:rsidRPr="009C1D16">
              <w:rPr>
                <w:sz w:val="24"/>
                <w:szCs w:val="24"/>
              </w:rPr>
              <w:lastRenderedPageBreak/>
              <w:t>N</w:t>
            </w:r>
            <w:r w:rsidR="00850A1C" w:rsidRPr="009C1D16">
              <w:rPr>
                <w:sz w:val="24"/>
                <w:szCs w:val="24"/>
              </w:rPr>
              <w:t>epieciešams izstrādāt šādus Ministru kabineta noteikumu projektus</w:t>
            </w:r>
            <w:r w:rsidR="00EA5285">
              <w:rPr>
                <w:sz w:val="24"/>
                <w:szCs w:val="24"/>
              </w:rPr>
              <w:t>,</w:t>
            </w:r>
            <w:r w:rsidR="00381BF9">
              <w:rPr>
                <w:sz w:val="24"/>
                <w:szCs w:val="24"/>
              </w:rPr>
              <w:t xml:space="preserve"> attiecinot tos  uz Biroja</w:t>
            </w:r>
            <w:r w:rsidRPr="009C1D16">
              <w:rPr>
                <w:sz w:val="24"/>
                <w:szCs w:val="24"/>
              </w:rPr>
              <w:t xml:space="preserve"> amatpersonām ar speciālajām dienesta pakāpēm</w:t>
            </w:r>
            <w:r w:rsidR="00850A1C" w:rsidRPr="009C1D16">
              <w:rPr>
                <w:sz w:val="24"/>
                <w:szCs w:val="24"/>
              </w:rPr>
              <w:t>:</w:t>
            </w:r>
          </w:p>
          <w:p w:rsidR="00F3628F" w:rsidRPr="001D5646" w:rsidRDefault="00F3628F" w:rsidP="00571B50">
            <w:pPr>
              <w:numPr>
                <w:ilvl w:val="0"/>
                <w:numId w:val="3"/>
              </w:numPr>
              <w:ind w:left="50" w:firstLine="283"/>
              <w:rPr>
                <w:sz w:val="24"/>
                <w:szCs w:val="24"/>
              </w:rPr>
            </w:pPr>
            <w:r w:rsidRPr="001D5646">
              <w:rPr>
                <w:sz w:val="24"/>
                <w:szCs w:val="24"/>
              </w:rPr>
              <w:t>Grozījumi Ministru kabineta 2</w:t>
            </w:r>
            <w:r w:rsidR="00050AFD">
              <w:rPr>
                <w:sz w:val="24"/>
                <w:szCs w:val="24"/>
              </w:rPr>
              <w:t>009.gada 10.</w:t>
            </w:r>
            <w:r w:rsidR="00616CC7">
              <w:rPr>
                <w:sz w:val="24"/>
                <w:szCs w:val="24"/>
              </w:rPr>
              <w:t>februāra noteikumos Nr.</w:t>
            </w:r>
            <w:r w:rsidRPr="001D5646">
              <w:rPr>
                <w:sz w:val="24"/>
                <w:szCs w:val="24"/>
              </w:rPr>
              <w:t xml:space="preserve">137 „Noteikumi par Iekšlietu ministrijas sistēmas iestāžu un Ieslodzījuma vietu pārvaldes amatpersonu ar speciālajām dienesta pakāpēm formas tērpu un atšķirības zīmju aprakstu, speciālā apģērba, individuālo aizsardzības līdzekļu, ekipējuma un inventāra veidiem </w:t>
            </w:r>
            <w:r w:rsidR="00A900F4">
              <w:rPr>
                <w:sz w:val="24"/>
                <w:szCs w:val="24"/>
              </w:rPr>
              <w:t>un to izsniegšanas normām”</w:t>
            </w:r>
            <w:r w:rsidRPr="001D5646">
              <w:rPr>
                <w:sz w:val="24"/>
                <w:szCs w:val="24"/>
              </w:rPr>
              <w:t>;</w:t>
            </w:r>
          </w:p>
          <w:p w:rsidR="00F3628F" w:rsidRPr="001D5646" w:rsidRDefault="00F3628F" w:rsidP="00571B50">
            <w:pPr>
              <w:numPr>
                <w:ilvl w:val="0"/>
                <w:numId w:val="3"/>
              </w:numPr>
              <w:ind w:left="50" w:firstLine="283"/>
              <w:rPr>
                <w:sz w:val="24"/>
                <w:szCs w:val="24"/>
              </w:rPr>
            </w:pPr>
            <w:r w:rsidRPr="001D5646">
              <w:rPr>
                <w:sz w:val="24"/>
                <w:szCs w:val="24"/>
              </w:rPr>
              <w:t>Grozījumi Ministru kabineta 2010.</w:t>
            </w:r>
            <w:r w:rsidR="00050AFD">
              <w:rPr>
                <w:sz w:val="24"/>
                <w:szCs w:val="24"/>
              </w:rPr>
              <w:t>gada 21.</w:t>
            </w:r>
            <w:r w:rsidR="00616CC7">
              <w:rPr>
                <w:sz w:val="24"/>
                <w:szCs w:val="24"/>
              </w:rPr>
              <w:t>jūnija noteikumos Nr.</w:t>
            </w:r>
            <w:r w:rsidRPr="001D5646">
              <w:rPr>
                <w:sz w:val="24"/>
                <w:szCs w:val="24"/>
              </w:rPr>
              <w:t>568 „Noteikumi par Iekšlietu ministrijas sistēmas iestāžu un Ieslodzījuma vietu pārvaldes amatpersonu ar speciālajām dienesta pakāpēm mēnešalgu un speciālajām piemaksām”;</w:t>
            </w:r>
          </w:p>
          <w:p w:rsidR="00F3628F" w:rsidRPr="001D5646" w:rsidRDefault="00F3628F" w:rsidP="00571B50">
            <w:pPr>
              <w:numPr>
                <w:ilvl w:val="0"/>
                <w:numId w:val="3"/>
              </w:numPr>
              <w:ind w:left="50" w:firstLine="283"/>
              <w:rPr>
                <w:sz w:val="24"/>
                <w:szCs w:val="24"/>
              </w:rPr>
            </w:pPr>
            <w:r w:rsidRPr="001D5646">
              <w:rPr>
                <w:sz w:val="24"/>
                <w:szCs w:val="24"/>
              </w:rPr>
              <w:t>Grozījumi Ministru kabineta</w:t>
            </w:r>
            <w:r w:rsidR="00050AFD">
              <w:rPr>
                <w:sz w:val="24"/>
                <w:szCs w:val="24"/>
              </w:rPr>
              <w:t xml:space="preserve"> 2010.gada 29.</w:t>
            </w:r>
            <w:r w:rsidR="00616CC7">
              <w:rPr>
                <w:sz w:val="24"/>
                <w:szCs w:val="24"/>
              </w:rPr>
              <w:t>jūnija noteikumos Nr.</w:t>
            </w:r>
            <w:r w:rsidRPr="001D5646">
              <w:rPr>
                <w:sz w:val="24"/>
                <w:szCs w:val="24"/>
              </w:rPr>
              <w:t>601 „Noteikumi par Iekšlietu ministrijas sistēmas iestāžu un Ieslodzījuma vietu pārvaldes amatpersonu ar speciālajām dienesta pakāpēm amatiem atbilstošajām augstākajām speciāl</w:t>
            </w:r>
            <w:r w:rsidR="00A900F4">
              <w:rPr>
                <w:sz w:val="24"/>
                <w:szCs w:val="24"/>
              </w:rPr>
              <w:t>ajām dienesta pakāpēm”</w:t>
            </w:r>
            <w:r w:rsidRPr="001D5646">
              <w:rPr>
                <w:sz w:val="24"/>
                <w:szCs w:val="24"/>
              </w:rPr>
              <w:t>;</w:t>
            </w:r>
          </w:p>
          <w:p w:rsidR="00F3628F" w:rsidRPr="001D5646" w:rsidRDefault="00F3628F" w:rsidP="00571B50">
            <w:pPr>
              <w:numPr>
                <w:ilvl w:val="0"/>
                <w:numId w:val="3"/>
              </w:numPr>
              <w:ind w:left="50" w:firstLine="283"/>
              <w:rPr>
                <w:sz w:val="24"/>
                <w:szCs w:val="24"/>
              </w:rPr>
            </w:pPr>
            <w:r w:rsidRPr="001D5646">
              <w:rPr>
                <w:sz w:val="24"/>
                <w:szCs w:val="24"/>
              </w:rPr>
              <w:t>Gr</w:t>
            </w:r>
            <w:r w:rsidR="00050AFD">
              <w:rPr>
                <w:sz w:val="24"/>
                <w:szCs w:val="24"/>
              </w:rPr>
              <w:t>ozījumi Ministru kabineta 2011.gada 18.</w:t>
            </w:r>
            <w:r w:rsidR="00616CC7">
              <w:rPr>
                <w:sz w:val="24"/>
                <w:szCs w:val="24"/>
              </w:rPr>
              <w:t>janvāra noteikumos Nr.</w:t>
            </w:r>
            <w:r w:rsidRPr="001D5646">
              <w:rPr>
                <w:sz w:val="24"/>
                <w:szCs w:val="24"/>
              </w:rPr>
              <w:t>55 „Noteikumi par speciālo līdzekļu veidiem un kārtību, kādā tos lieto policijas darbinieki un robežsargi”;</w:t>
            </w:r>
          </w:p>
          <w:p w:rsidR="00F3628F" w:rsidRDefault="00F3628F" w:rsidP="00571B50">
            <w:pPr>
              <w:numPr>
                <w:ilvl w:val="0"/>
                <w:numId w:val="3"/>
              </w:numPr>
              <w:ind w:left="50" w:firstLine="283"/>
              <w:rPr>
                <w:sz w:val="24"/>
                <w:szCs w:val="24"/>
              </w:rPr>
            </w:pPr>
            <w:r w:rsidRPr="001D5646">
              <w:rPr>
                <w:sz w:val="24"/>
                <w:szCs w:val="24"/>
              </w:rPr>
              <w:t>Grozījumi Ministru kabineta 2011</w:t>
            </w:r>
            <w:r w:rsidR="00050AFD">
              <w:rPr>
                <w:sz w:val="24"/>
                <w:szCs w:val="24"/>
              </w:rPr>
              <w:t>.gada 7.</w:t>
            </w:r>
            <w:r w:rsidR="00616CC7">
              <w:rPr>
                <w:sz w:val="24"/>
                <w:szCs w:val="24"/>
              </w:rPr>
              <w:t>jūnija noteikumos Nr.</w:t>
            </w:r>
            <w:r w:rsidRPr="001D5646">
              <w:rPr>
                <w:sz w:val="24"/>
                <w:szCs w:val="24"/>
              </w:rPr>
              <w:t>429 „Noteikumi par integrētajā iekšlietu informācijas sistēmā iekļaujamām ziņām personas, mantas vai dokumenta atrašanās vietas vai cilvēka personības noskaidrošanai vai neatpazīta cilvēka līķa identificēšanai”.</w:t>
            </w:r>
          </w:p>
          <w:p w:rsidR="00850A1C" w:rsidRPr="00571B50" w:rsidRDefault="00850A1C" w:rsidP="00850A1C">
            <w:pPr>
              <w:pStyle w:val="ListParagraph"/>
              <w:numPr>
                <w:ilvl w:val="0"/>
                <w:numId w:val="3"/>
              </w:numPr>
              <w:ind w:left="50" w:firstLine="283"/>
              <w:rPr>
                <w:sz w:val="24"/>
                <w:szCs w:val="24"/>
              </w:rPr>
            </w:pPr>
            <w:r w:rsidRPr="00571B50">
              <w:rPr>
                <w:bCs/>
                <w:color w:val="000000"/>
                <w:sz w:val="24"/>
                <w:szCs w:val="24"/>
                <w:shd w:val="clear" w:color="auto" w:fill="FFFFFF"/>
              </w:rPr>
              <w:t xml:space="preserve">Grozījumi </w:t>
            </w:r>
            <w:r w:rsidRPr="00571B50">
              <w:rPr>
                <w:sz w:val="24"/>
                <w:szCs w:val="24"/>
              </w:rPr>
              <w:t>Ministru kabineta 2003.</w:t>
            </w:r>
            <w:r w:rsidR="00050AFD">
              <w:rPr>
                <w:sz w:val="24"/>
                <w:szCs w:val="24"/>
              </w:rPr>
              <w:t>gada 29.</w:t>
            </w:r>
            <w:r w:rsidR="00616CC7">
              <w:rPr>
                <w:sz w:val="24"/>
                <w:szCs w:val="24"/>
              </w:rPr>
              <w:t>aprīļa noteikumos Nr.</w:t>
            </w:r>
            <w:r w:rsidRPr="00571B50">
              <w:rPr>
                <w:sz w:val="24"/>
                <w:szCs w:val="24"/>
              </w:rPr>
              <w:t>240 „Iekšlietu ministrijas nolikums”</w:t>
            </w:r>
            <w:r>
              <w:rPr>
                <w:sz w:val="24"/>
                <w:szCs w:val="24"/>
              </w:rPr>
              <w:t>.</w:t>
            </w:r>
          </w:p>
          <w:p w:rsidR="00862D0F" w:rsidRPr="00862D0F" w:rsidRDefault="00862D0F" w:rsidP="00862D0F">
            <w:pPr>
              <w:ind w:firstLine="0"/>
              <w:jc w:val="left"/>
              <w:rPr>
                <w:rFonts w:eastAsia="Times New Roman" w:cs="Times New Roman"/>
                <w:sz w:val="24"/>
                <w:szCs w:val="24"/>
                <w:lang w:eastAsia="lv-LV"/>
              </w:rPr>
            </w:pPr>
          </w:p>
        </w:tc>
      </w:tr>
      <w:tr w:rsidR="00862D0F" w:rsidRPr="00862D0F" w:rsidTr="003D6EA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tblCellSpacing w:w="15" w:type="dxa"/>
          <w:jc w:val="center"/>
        </w:trPr>
        <w:tc>
          <w:tcPr>
            <w:tcW w:w="418" w:type="dxa"/>
            <w:tcBorders>
              <w:top w:val="outset" w:sz="6" w:space="0" w:color="auto"/>
              <w:left w:val="outset" w:sz="6" w:space="0" w:color="auto"/>
              <w:bottom w:val="outset" w:sz="6" w:space="0" w:color="auto"/>
              <w:right w:val="outset" w:sz="6" w:space="0" w:color="auto"/>
            </w:tcBorders>
            <w:hideMark/>
          </w:tcPr>
          <w:p w:rsidR="00862D0F" w:rsidRPr="00862D0F" w:rsidRDefault="00C5101D" w:rsidP="00862D0F">
            <w:pPr>
              <w:ind w:firstLine="0"/>
              <w:jc w:val="left"/>
              <w:rPr>
                <w:rFonts w:eastAsia="Times New Roman" w:cs="Times New Roman"/>
                <w:sz w:val="24"/>
                <w:szCs w:val="24"/>
                <w:lang w:eastAsia="lv-LV"/>
              </w:rPr>
            </w:pPr>
            <w:r>
              <w:rPr>
                <w:rFonts w:eastAsia="Times New Roman" w:cs="Times New Roman"/>
                <w:sz w:val="24"/>
                <w:szCs w:val="24"/>
                <w:lang w:eastAsia="lv-LV"/>
              </w:rPr>
              <w:lastRenderedPageBreak/>
              <w:t>2.</w:t>
            </w:r>
          </w:p>
        </w:tc>
        <w:tc>
          <w:tcPr>
            <w:tcW w:w="1941" w:type="dxa"/>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Atbildīgā institūcija</w:t>
            </w:r>
          </w:p>
        </w:tc>
        <w:tc>
          <w:tcPr>
            <w:tcW w:w="7436" w:type="dxa"/>
            <w:gridSpan w:val="5"/>
            <w:tcBorders>
              <w:top w:val="outset" w:sz="6" w:space="0" w:color="auto"/>
              <w:left w:val="outset" w:sz="6" w:space="0" w:color="auto"/>
              <w:bottom w:val="outset" w:sz="6" w:space="0" w:color="auto"/>
              <w:right w:val="outset" w:sz="6" w:space="0" w:color="auto"/>
            </w:tcBorders>
            <w:hideMark/>
          </w:tcPr>
          <w:p w:rsidR="00862D0F" w:rsidRPr="00862D0F" w:rsidRDefault="00F3628F" w:rsidP="00862D0F">
            <w:pPr>
              <w:ind w:firstLine="0"/>
              <w:jc w:val="left"/>
              <w:rPr>
                <w:rFonts w:eastAsia="Times New Roman" w:cs="Times New Roman"/>
                <w:sz w:val="24"/>
                <w:szCs w:val="24"/>
                <w:lang w:eastAsia="lv-LV"/>
              </w:rPr>
            </w:pPr>
            <w:r>
              <w:rPr>
                <w:rFonts w:eastAsia="Times New Roman" w:cs="Times New Roman"/>
                <w:sz w:val="24"/>
                <w:szCs w:val="24"/>
                <w:lang w:eastAsia="lv-LV"/>
              </w:rPr>
              <w:t>Iekšlietu ministrija.</w:t>
            </w:r>
          </w:p>
        </w:tc>
      </w:tr>
      <w:tr w:rsidR="00862D0F" w:rsidRPr="00862D0F" w:rsidTr="003D6EA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tblCellSpacing w:w="15" w:type="dxa"/>
          <w:jc w:val="center"/>
        </w:trPr>
        <w:tc>
          <w:tcPr>
            <w:tcW w:w="418" w:type="dxa"/>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3.</w:t>
            </w:r>
          </w:p>
        </w:tc>
        <w:tc>
          <w:tcPr>
            <w:tcW w:w="1941" w:type="dxa"/>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Cita informācija</w:t>
            </w:r>
          </w:p>
        </w:tc>
        <w:tc>
          <w:tcPr>
            <w:tcW w:w="7436" w:type="dxa"/>
            <w:gridSpan w:val="5"/>
            <w:tcBorders>
              <w:top w:val="outset" w:sz="6" w:space="0" w:color="auto"/>
              <w:left w:val="outset" w:sz="6" w:space="0" w:color="auto"/>
              <w:bottom w:val="outset" w:sz="6" w:space="0" w:color="auto"/>
              <w:right w:val="outset" w:sz="6" w:space="0" w:color="auto"/>
            </w:tcBorders>
            <w:hideMark/>
          </w:tcPr>
          <w:p w:rsidR="00862D0F" w:rsidRPr="00862D0F" w:rsidRDefault="00F3628F" w:rsidP="00F2138E">
            <w:pPr>
              <w:spacing w:before="100" w:beforeAutospacing="1" w:after="100" w:afterAutospacing="1"/>
              <w:ind w:firstLine="0"/>
              <w:rPr>
                <w:rFonts w:eastAsia="Times New Roman" w:cs="Times New Roman"/>
                <w:sz w:val="24"/>
                <w:szCs w:val="24"/>
                <w:lang w:eastAsia="lv-LV"/>
              </w:rPr>
            </w:pPr>
            <w:r>
              <w:rPr>
                <w:rFonts w:eastAsia="Times New Roman" w:cs="Times New Roman"/>
                <w:sz w:val="24"/>
                <w:szCs w:val="24"/>
                <w:lang w:eastAsia="lv-LV"/>
              </w:rPr>
              <w:t xml:space="preserve">Netiks </w:t>
            </w:r>
            <w:r w:rsidR="00715FE0">
              <w:rPr>
                <w:rFonts w:eastAsia="Times New Roman" w:cs="Times New Roman"/>
                <w:sz w:val="24"/>
                <w:szCs w:val="24"/>
                <w:lang w:eastAsia="lv-LV"/>
              </w:rPr>
              <w:t xml:space="preserve">izstrādāts Ministru kabineta noteikumu projekts „Iekšējās drošības biroja nolikums”, jo </w:t>
            </w:r>
            <w:r w:rsidR="00183AE1">
              <w:rPr>
                <w:rFonts w:eastAsia="Times New Roman" w:cs="Times New Roman"/>
                <w:sz w:val="24"/>
                <w:szCs w:val="24"/>
                <w:lang w:eastAsia="lv-LV"/>
              </w:rPr>
              <w:t>L</w:t>
            </w:r>
            <w:r w:rsidR="00161FC1">
              <w:rPr>
                <w:rFonts w:eastAsia="Times New Roman" w:cs="Times New Roman"/>
                <w:sz w:val="24"/>
                <w:szCs w:val="24"/>
                <w:lang w:eastAsia="lv-LV"/>
              </w:rPr>
              <w:t>ikumprojektā</w:t>
            </w:r>
            <w:r w:rsidR="00183AE1">
              <w:rPr>
                <w:rFonts w:eastAsia="Times New Roman" w:cs="Times New Roman"/>
                <w:sz w:val="24"/>
                <w:szCs w:val="24"/>
                <w:lang w:eastAsia="lv-LV"/>
              </w:rPr>
              <w:t xml:space="preserve"> jau ir ietvertas tiesību norma</w:t>
            </w:r>
            <w:r w:rsidR="00583CFA">
              <w:rPr>
                <w:rFonts w:eastAsia="Times New Roman" w:cs="Times New Roman"/>
                <w:sz w:val="24"/>
                <w:szCs w:val="24"/>
                <w:lang w:eastAsia="lv-LV"/>
              </w:rPr>
              <w:t>s (funkcijas, uzdevumi, kompetence)</w:t>
            </w:r>
            <w:r w:rsidR="001D681A">
              <w:rPr>
                <w:rFonts w:eastAsia="Times New Roman" w:cs="Times New Roman"/>
                <w:sz w:val="24"/>
                <w:szCs w:val="24"/>
                <w:lang w:eastAsia="lv-LV"/>
              </w:rPr>
              <w:t>, kas saskaņā ar Valsts pārvaldes iekārtas likuma 16.pantu ir iekļaujamas tiešās pārvaldes iestādes nolikumā.</w:t>
            </w:r>
          </w:p>
        </w:tc>
      </w:tr>
    </w:tbl>
    <w:p w:rsidR="00862D0F" w:rsidRDefault="00862D0F" w:rsidP="00862D0F">
      <w:pPr>
        <w:spacing w:before="100" w:beforeAutospacing="1" w:after="100" w:afterAutospacing="1"/>
        <w:ind w:firstLine="0"/>
        <w:jc w:val="left"/>
        <w:rPr>
          <w:rFonts w:eastAsia="Times New Roman" w:cs="Times New Roman"/>
          <w:sz w:val="24"/>
          <w:szCs w:val="24"/>
          <w:lang w:eastAsia="lv-LV"/>
        </w:rPr>
      </w:pPr>
      <w:r w:rsidRPr="00862D0F">
        <w:rPr>
          <w:rFonts w:eastAsia="Times New Roman" w:cs="Times New Roman"/>
          <w:sz w:val="24"/>
          <w:szCs w:val="24"/>
          <w:lang w:eastAsia="lv-LV"/>
        </w:rPr>
        <w:t> </w:t>
      </w:r>
    </w:p>
    <w:tbl>
      <w:tblPr>
        <w:tblW w:w="5401"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81"/>
      </w:tblGrid>
      <w:tr w:rsidR="00862D0F" w:rsidRPr="00862D0F" w:rsidTr="008C16EE">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862D0F" w:rsidRPr="00862D0F" w:rsidRDefault="00862D0F" w:rsidP="00862D0F">
            <w:pPr>
              <w:spacing w:before="100" w:beforeAutospacing="1" w:after="100" w:afterAutospacing="1"/>
              <w:ind w:firstLine="0"/>
              <w:jc w:val="center"/>
              <w:rPr>
                <w:rFonts w:eastAsia="Times New Roman" w:cs="Times New Roman"/>
                <w:b/>
                <w:bCs/>
                <w:sz w:val="24"/>
                <w:szCs w:val="24"/>
                <w:lang w:eastAsia="lv-LV"/>
              </w:rPr>
            </w:pPr>
            <w:r w:rsidRPr="00862D0F">
              <w:rPr>
                <w:rFonts w:eastAsia="Times New Roman" w:cs="Times New Roman"/>
                <w:b/>
                <w:bCs/>
                <w:sz w:val="24"/>
                <w:szCs w:val="24"/>
                <w:lang w:eastAsia="lv-LV"/>
              </w:rPr>
              <w:t>V. Tiesību akta projekta atbilstība Latvijas Republikas starptautiskajām saistībām</w:t>
            </w:r>
          </w:p>
        </w:tc>
      </w:tr>
      <w:tr w:rsidR="00687DEE" w:rsidRPr="00862D0F" w:rsidTr="008C16EE">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tcPr>
          <w:p w:rsidR="00687DEE" w:rsidRPr="00687DEE" w:rsidRDefault="00687DEE" w:rsidP="00862D0F">
            <w:pPr>
              <w:spacing w:before="100" w:beforeAutospacing="1" w:after="100" w:afterAutospacing="1"/>
              <w:ind w:firstLine="0"/>
              <w:jc w:val="center"/>
              <w:rPr>
                <w:rFonts w:eastAsia="Times New Roman" w:cs="Times New Roman"/>
                <w:bCs/>
                <w:sz w:val="24"/>
                <w:szCs w:val="24"/>
                <w:lang w:eastAsia="lv-LV"/>
              </w:rPr>
            </w:pPr>
            <w:r w:rsidRPr="00687DEE">
              <w:rPr>
                <w:rFonts w:eastAsia="Times New Roman" w:cs="Times New Roman"/>
                <w:bCs/>
                <w:sz w:val="24"/>
                <w:szCs w:val="24"/>
                <w:lang w:eastAsia="lv-LV"/>
              </w:rPr>
              <w:t>Projekts šo jomu neskar</w:t>
            </w:r>
          </w:p>
        </w:tc>
      </w:tr>
    </w:tbl>
    <w:p w:rsidR="00862D0F" w:rsidRPr="00862D0F" w:rsidRDefault="00862D0F" w:rsidP="00687DEE">
      <w:pPr>
        <w:spacing w:before="100" w:beforeAutospacing="1" w:after="100" w:afterAutospacing="1"/>
        <w:ind w:firstLine="0"/>
        <w:jc w:val="left"/>
        <w:rPr>
          <w:rFonts w:eastAsia="Times New Roman" w:cs="Times New Roman"/>
          <w:sz w:val="24"/>
          <w:szCs w:val="24"/>
          <w:lang w:eastAsia="lv-LV"/>
        </w:rPr>
      </w:pPr>
      <w:r w:rsidRPr="00862D0F">
        <w:rPr>
          <w:rFonts w:eastAsia="Times New Roman" w:cs="Times New Roman"/>
          <w:sz w:val="24"/>
          <w:szCs w:val="24"/>
          <w:lang w:eastAsia="lv-LV"/>
        </w:rPr>
        <w:t>  </w:t>
      </w:r>
    </w:p>
    <w:tbl>
      <w:tblPr>
        <w:tblW w:w="5406"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7"/>
        <w:gridCol w:w="3006"/>
        <w:gridCol w:w="6367"/>
      </w:tblGrid>
      <w:tr w:rsidR="00862D0F" w:rsidRPr="00862D0F" w:rsidTr="008C16EE">
        <w:trPr>
          <w:trHeight w:val="420"/>
          <w:tblCellSpacing w:w="15" w:type="dxa"/>
          <w:jc w:val="center"/>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862D0F" w:rsidRPr="00862D0F" w:rsidRDefault="00862D0F" w:rsidP="00862D0F">
            <w:pPr>
              <w:spacing w:before="100" w:beforeAutospacing="1" w:after="100" w:afterAutospacing="1"/>
              <w:ind w:firstLine="0"/>
              <w:jc w:val="center"/>
              <w:rPr>
                <w:rFonts w:eastAsia="Times New Roman" w:cs="Times New Roman"/>
                <w:b/>
                <w:bCs/>
                <w:sz w:val="24"/>
                <w:szCs w:val="24"/>
                <w:lang w:eastAsia="lv-LV"/>
              </w:rPr>
            </w:pPr>
            <w:r w:rsidRPr="00862D0F">
              <w:rPr>
                <w:rFonts w:eastAsia="Times New Roman" w:cs="Times New Roman"/>
                <w:b/>
                <w:bCs/>
                <w:sz w:val="24"/>
                <w:szCs w:val="24"/>
                <w:lang w:eastAsia="lv-LV"/>
              </w:rPr>
              <w:t>VI. Sabiedrības līdzdalība un komunikācijas aktivitātes</w:t>
            </w:r>
          </w:p>
        </w:tc>
      </w:tr>
      <w:tr w:rsidR="00862D0F" w:rsidRPr="00862D0F" w:rsidTr="008C16EE">
        <w:trPr>
          <w:trHeight w:val="540"/>
          <w:tblCellSpacing w:w="15" w:type="dxa"/>
          <w:jc w:val="center"/>
        </w:trPr>
        <w:tc>
          <w:tcPr>
            <w:tcW w:w="191"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1.</w:t>
            </w:r>
          </w:p>
        </w:tc>
        <w:tc>
          <w:tcPr>
            <w:tcW w:w="1529" w:type="pct"/>
            <w:tcBorders>
              <w:top w:val="outset" w:sz="6" w:space="0" w:color="auto"/>
              <w:left w:val="outset" w:sz="6" w:space="0" w:color="auto"/>
              <w:bottom w:val="outset" w:sz="6" w:space="0" w:color="auto"/>
              <w:right w:val="outset" w:sz="6" w:space="0" w:color="auto"/>
            </w:tcBorders>
            <w:hideMark/>
          </w:tcPr>
          <w:p w:rsidR="00862D0F" w:rsidRPr="00005934" w:rsidRDefault="00862D0F" w:rsidP="00862D0F">
            <w:pPr>
              <w:ind w:firstLine="0"/>
              <w:jc w:val="left"/>
              <w:rPr>
                <w:rFonts w:eastAsia="Times New Roman" w:cs="Times New Roman"/>
                <w:sz w:val="24"/>
                <w:szCs w:val="24"/>
                <w:lang w:eastAsia="lv-LV"/>
              </w:rPr>
            </w:pPr>
            <w:r w:rsidRPr="00005934">
              <w:rPr>
                <w:rFonts w:eastAsia="Times New Roman" w:cs="Times New Roman"/>
                <w:sz w:val="24"/>
                <w:szCs w:val="24"/>
                <w:lang w:eastAsia="lv-LV"/>
              </w:rPr>
              <w:t>Plānotās sabiedrības līdzdalības un komunikācijas aktivitātes saistībā ar projektu</w:t>
            </w:r>
          </w:p>
        </w:tc>
        <w:tc>
          <w:tcPr>
            <w:tcW w:w="3219" w:type="pct"/>
            <w:tcBorders>
              <w:top w:val="outset" w:sz="6" w:space="0" w:color="auto"/>
              <w:left w:val="outset" w:sz="6" w:space="0" w:color="auto"/>
              <w:bottom w:val="outset" w:sz="6" w:space="0" w:color="auto"/>
              <w:right w:val="outset" w:sz="6" w:space="0" w:color="auto"/>
            </w:tcBorders>
            <w:hideMark/>
          </w:tcPr>
          <w:p w:rsidR="00862D0F" w:rsidRPr="00005934" w:rsidRDefault="00FD5177" w:rsidP="001D5646">
            <w:pPr>
              <w:ind w:firstLine="0"/>
              <w:rPr>
                <w:rFonts w:eastAsia="Calibri" w:cs="Times New Roman"/>
                <w:sz w:val="24"/>
                <w:szCs w:val="24"/>
              </w:rPr>
            </w:pPr>
            <w:r w:rsidRPr="00005934">
              <w:rPr>
                <w:rFonts w:eastAsia="Calibri" w:cs="Times New Roman"/>
                <w:sz w:val="24"/>
                <w:szCs w:val="24"/>
              </w:rPr>
              <w:t xml:space="preserve">Sabiedrības līdzdalība projektā izstrādē netika nodrošināta, ņemot vērā, ka Likumprojekts ir izstrādāts atbilstoši </w:t>
            </w:r>
            <w:r w:rsidRPr="00005934">
              <w:rPr>
                <w:rFonts w:eastAsia="Calibri" w:cs="Times New Roman"/>
                <w:bCs/>
                <w:sz w:val="24"/>
                <w:szCs w:val="24"/>
              </w:rPr>
              <w:t>Ministru kabineta 2013.gada 30.jūlija sēdē (protokols Nr.41, 104.§) izskatītajai  koncepcijai.</w:t>
            </w:r>
          </w:p>
          <w:p w:rsidR="00FD5177" w:rsidRPr="00005934" w:rsidRDefault="00FD5177" w:rsidP="00FD5177">
            <w:pPr>
              <w:ind w:firstLine="0"/>
              <w:rPr>
                <w:rFonts w:eastAsia="Times New Roman" w:cs="Times New Roman"/>
                <w:sz w:val="24"/>
                <w:szCs w:val="24"/>
                <w:lang w:eastAsia="lv-LV"/>
              </w:rPr>
            </w:pPr>
          </w:p>
        </w:tc>
      </w:tr>
      <w:tr w:rsidR="00862D0F" w:rsidRPr="00862D0F" w:rsidTr="008C16EE">
        <w:trPr>
          <w:trHeight w:val="330"/>
          <w:tblCellSpacing w:w="15" w:type="dxa"/>
          <w:jc w:val="center"/>
        </w:trPr>
        <w:tc>
          <w:tcPr>
            <w:tcW w:w="191"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lastRenderedPageBreak/>
              <w:t>2.</w:t>
            </w:r>
          </w:p>
        </w:tc>
        <w:tc>
          <w:tcPr>
            <w:tcW w:w="1529"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Sabiedrības līdzdalība projekta izstrādē</w:t>
            </w:r>
          </w:p>
        </w:tc>
        <w:tc>
          <w:tcPr>
            <w:tcW w:w="3219" w:type="pct"/>
            <w:tcBorders>
              <w:top w:val="outset" w:sz="6" w:space="0" w:color="auto"/>
              <w:left w:val="outset" w:sz="6" w:space="0" w:color="auto"/>
              <w:bottom w:val="outset" w:sz="6" w:space="0" w:color="auto"/>
              <w:right w:val="outset" w:sz="6" w:space="0" w:color="auto"/>
            </w:tcBorders>
            <w:hideMark/>
          </w:tcPr>
          <w:p w:rsidR="00862D0F" w:rsidRPr="00FD5177" w:rsidRDefault="00FD5177" w:rsidP="00862D0F">
            <w:pPr>
              <w:ind w:firstLine="0"/>
              <w:jc w:val="left"/>
              <w:rPr>
                <w:rFonts w:eastAsia="Times New Roman" w:cs="Times New Roman"/>
                <w:sz w:val="24"/>
                <w:szCs w:val="24"/>
                <w:lang w:eastAsia="lv-LV"/>
              </w:rPr>
            </w:pPr>
            <w:r>
              <w:rPr>
                <w:rFonts w:eastAsia="Times New Roman" w:cs="Times New Roman"/>
                <w:sz w:val="24"/>
                <w:szCs w:val="24"/>
                <w:lang w:eastAsia="lv-LV"/>
              </w:rPr>
              <w:t>Projekts šo jomu neskar.</w:t>
            </w:r>
          </w:p>
        </w:tc>
      </w:tr>
      <w:tr w:rsidR="00862D0F" w:rsidRPr="00862D0F" w:rsidTr="008C16EE">
        <w:trPr>
          <w:trHeight w:val="465"/>
          <w:tblCellSpacing w:w="15" w:type="dxa"/>
          <w:jc w:val="center"/>
        </w:trPr>
        <w:tc>
          <w:tcPr>
            <w:tcW w:w="191"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3.</w:t>
            </w:r>
          </w:p>
        </w:tc>
        <w:tc>
          <w:tcPr>
            <w:tcW w:w="1529"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Sabiedrības līdzdalības rezultāti</w:t>
            </w:r>
          </w:p>
        </w:tc>
        <w:tc>
          <w:tcPr>
            <w:tcW w:w="3219" w:type="pct"/>
            <w:tcBorders>
              <w:top w:val="outset" w:sz="6" w:space="0" w:color="auto"/>
              <w:left w:val="outset" w:sz="6" w:space="0" w:color="auto"/>
              <w:bottom w:val="outset" w:sz="6" w:space="0" w:color="auto"/>
              <w:right w:val="outset" w:sz="6" w:space="0" w:color="auto"/>
            </w:tcBorders>
            <w:hideMark/>
          </w:tcPr>
          <w:p w:rsidR="00862D0F" w:rsidRPr="00FD5177" w:rsidRDefault="00FD5177" w:rsidP="00862D0F">
            <w:pPr>
              <w:ind w:firstLine="0"/>
              <w:jc w:val="left"/>
              <w:rPr>
                <w:rFonts w:eastAsia="Times New Roman" w:cs="Times New Roman"/>
                <w:sz w:val="24"/>
                <w:szCs w:val="24"/>
                <w:lang w:eastAsia="lv-LV"/>
              </w:rPr>
            </w:pPr>
            <w:r>
              <w:rPr>
                <w:rFonts w:eastAsia="Times New Roman" w:cs="Times New Roman"/>
                <w:sz w:val="24"/>
                <w:szCs w:val="24"/>
                <w:lang w:eastAsia="lv-LV"/>
              </w:rPr>
              <w:t>Projekts šo jomu neskar.</w:t>
            </w:r>
          </w:p>
        </w:tc>
      </w:tr>
      <w:tr w:rsidR="00862D0F" w:rsidRPr="00862D0F" w:rsidTr="008C16EE">
        <w:trPr>
          <w:trHeight w:val="465"/>
          <w:tblCellSpacing w:w="15" w:type="dxa"/>
          <w:jc w:val="center"/>
        </w:trPr>
        <w:tc>
          <w:tcPr>
            <w:tcW w:w="191"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4.</w:t>
            </w:r>
          </w:p>
        </w:tc>
        <w:tc>
          <w:tcPr>
            <w:tcW w:w="1529"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Cita informācija</w:t>
            </w:r>
          </w:p>
        </w:tc>
        <w:tc>
          <w:tcPr>
            <w:tcW w:w="3219" w:type="pct"/>
            <w:tcBorders>
              <w:top w:val="outset" w:sz="6" w:space="0" w:color="auto"/>
              <w:left w:val="outset" w:sz="6" w:space="0" w:color="auto"/>
              <w:bottom w:val="outset" w:sz="6" w:space="0" w:color="auto"/>
              <w:right w:val="outset" w:sz="6" w:space="0" w:color="auto"/>
            </w:tcBorders>
            <w:hideMark/>
          </w:tcPr>
          <w:p w:rsidR="00862D0F" w:rsidRPr="00862D0F" w:rsidRDefault="00687DEE" w:rsidP="00862D0F">
            <w:pPr>
              <w:spacing w:before="100" w:beforeAutospacing="1" w:after="100" w:afterAutospacing="1"/>
              <w:ind w:firstLine="0"/>
              <w:jc w:val="left"/>
              <w:rPr>
                <w:rFonts w:eastAsia="Times New Roman" w:cs="Times New Roman"/>
                <w:sz w:val="24"/>
                <w:szCs w:val="24"/>
                <w:lang w:eastAsia="lv-LV"/>
              </w:rPr>
            </w:pPr>
            <w:r>
              <w:rPr>
                <w:rFonts w:eastAsia="Times New Roman" w:cs="Times New Roman"/>
                <w:sz w:val="24"/>
                <w:szCs w:val="24"/>
                <w:lang w:eastAsia="lv-LV"/>
              </w:rPr>
              <w:t>Nav.</w:t>
            </w:r>
          </w:p>
        </w:tc>
      </w:tr>
    </w:tbl>
    <w:p w:rsidR="00862D0F" w:rsidRPr="00862D0F" w:rsidRDefault="00862D0F" w:rsidP="00862D0F">
      <w:pPr>
        <w:spacing w:before="100" w:beforeAutospacing="1" w:after="100" w:afterAutospacing="1"/>
        <w:ind w:firstLine="0"/>
        <w:jc w:val="left"/>
        <w:rPr>
          <w:rFonts w:eastAsia="Times New Roman" w:cs="Times New Roman"/>
          <w:sz w:val="24"/>
          <w:szCs w:val="24"/>
          <w:lang w:eastAsia="lv-LV"/>
        </w:rPr>
      </w:pPr>
      <w:r w:rsidRPr="00862D0F">
        <w:rPr>
          <w:rFonts w:eastAsia="Times New Roman" w:cs="Times New Roman"/>
          <w:sz w:val="24"/>
          <w:szCs w:val="24"/>
          <w:lang w:eastAsia="lv-LV"/>
        </w:rPr>
        <w:t> </w:t>
      </w:r>
    </w:p>
    <w:tbl>
      <w:tblPr>
        <w:tblW w:w="5323"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4"/>
        <w:gridCol w:w="3977"/>
        <w:gridCol w:w="5249"/>
      </w:tblGrid>
      <w:tr w:rsidR="00862D0F" w:rsidRPr="00862D0F" w:rsidTr="008C16EE">
        <w:trPr>
          <w:trHeight w:val="375"/>
          <w:tblCellSpacing w:w="15" w:type="dxa"/>
          <w:jc w:val="center"/>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862D0F" w:rsidRPr="00862D0F" w:rsidRDefault="00862D0F" w:rsidP="00862D0F">
            <w:pPr>
              <w:spacing w:before="100" w:beforeAutospacing="1" w:after="100" w:afterAutospacing="1"/>
              <w:ind w:firstLine="0"/>
              <w:jc w:val="center"/>
              <w:rPr>
                <w:rFonts w:eastAsia="Times New Roman" w:cs="Times New Roman"/>
                <w:b/>
                <w:bCs/>
                <w:sz w:val="24"/>
                <w:szCs w:val="24"/>
                <w:lang w:eastAsia="lv-LV"/>
              </w:rPr>
            </w:pPr>
            <w:r w:rsidRPr="00862D0F">
              <w:rPr>
                <w:rFonts w:eastAsia="Times New Roman" w:cs="Times New Roman"/>
                <w:b/>
                <w:bCs/>
                <w:sz w:val="24"/>
                <w:szCs w:val="24"/>
                <w:lang w:eastAsia="lv-LV"/>
              </w:rPr>
              <w:t>VII. Tiesību akta projekta izpildes nodrošināšana un tās ietekme uz institūcijām</w:t>
            </w:r>
          </w:p>
        </w:tc>
      </w:tr>
      <w:tr w:rsidR="00862D0F" w:rsidRPr="00862D0F" w:rsidTr="008C16EE">
        <w:trPr>
          <w:trHeight w:val="420"/>
          <w:tblCellSpacing w:w="15" w:type="dxa"/>
          <w:jc w:val="center"/>
        </w:trPr>
        <w:tc>
          <w:tcPr>
            <w:tcW w:w="193"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1.</w:t>
            </w:r>
          </w:p>
        </w:tc>
        <w:tc>
          <w:tcPr>
            <w:tcW w:w="2060"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Projekta izpildē iesaistītās institūcijas</w:t>
            </w:r>
          </w:p>
        </w:tc>
        <w:tc>
          <w:tcPr>
            <w:tcW w:w="2684" w:type="pct"/>
            <w:tcBorders>
              <w:top w:val="outset" w:sz="6" w:space="0" w:color="auto"/>
              <w:left w:val="outset" w:sz="6" w:space="0" w:color="auto"/>
              <w:bottom w:val="outset" w:sz="6" w:space="0" w:color="auto"/>
              <w:right w:val="outset" w:sz="6" w:space="0" w:color="auto"/>
            </w:tcBorders>
            <w:hideMark/>
          </w:tcPr>
          <w:p w:rsidR="00862D0F" w:rsidRPr="00862D0F" w:rsidRDefault="006F223E" w:rsidP="00862D0F">
            <w:pPr>
              <w:ind w:firstLine="0"/>
              <w:jc w:val="left"/>
              <w:rPr>
                <w:rFonts w:eastAsia="Times New Roman" w:cs="Times New Roman"/>
                <w:sz w:val="24"/>
                <w:szCs w:val="24"/>
                <w:lang w:eastAsia="lv-LV"/>
              </w:rPr>
            </w:pPr>
            <w:r>
              <w:rPr>
                <w:rFonts w:eastAsia="Times New Roman" w:cs="Times New Roman"/>
                <w:sz w:val="24"/>
                <w:szCs w:val="24"/>
                <w:lang w:eastAsia="lv-LV"/>
              </w:rPr>
              <w:t>Iekšējās drošības birojs.</w:t>
            </w:r>
          </w:p>
        </w:tc>
      </w:tr>
      <w:tr w:rsidR="00862D0F" w:rsidRPr="00862D0F" w:rsidTr="008C16EE">
        <w:trPr>
          <w:trHeight w:val="450"/>
          <w:tblCellSpacing w:w="15" w:type="dxa"/>
          <w:jc w:val="center"/>
        </w:trPr>
        <w:tc>
          <w:tcPr>
            <w:tcW w:w="193"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2.</w:t>
            </w:r>
          </w:p>
        </w:tc>
        <w:tc>
          <w:tcPr>
            <w:tcW w:w="2060" w:type="pct"/>
            <w:tcBorders>
              <w:top w:val="outset" w:sz="6" w:space="0" w:color="auto"/>
              <w:left w:val="outset" w:sz="6" w:space="0" w:color="auto"/>
              <w:bottom w:val="outset" w:sz="6" w:space="0" w:color="auto"/>
              <w:right w:val="outset" w:sz="6" w:space="0" w:color="auto"/>
            </w:tcBorders>
            <w:hideMark/>
          </w:tcPr>
          <w:p w:rsidR="00862D0F" w:rsidRPr="00862D0F" w:rsidRDefault="00862D0F" w:rsidP="002A3D3A">
            <w:pPr>
              <w:ind w:firstLine="0"/>
              <w:rPr>
                <w:rFonts w:eastAsia="Times New Roman" w:cs="Times New Roman"/>
                <w:sz w:val="24"/>
                <w:szCs w:val="24"/>
                <w:lang w:eastAsia="lv-LV"/>
              </w:rPr>
            </w:pPr>
            <w:r w:rsidRPr="00862D0F">
              <w:rPr>
                <w:rFonts w:eastAsia="Times New Roman" w:cs="Times New Roman"/>
                <w:sz w:val="24"/>
                <w:szCs w:val="24"/>
                <w:lang w:eastAsia="lv-LV"/>
              </w:rPr>
              <w:t xml:space="preserve">Projekta izpildes ietekme uz pārvaldes funkcijām un institucionālo struktūru. </w:t>
            </w:r>
          </w:p>
          <w:p w:rsidR="00862D0F" w:rsidRPr="00862D0F" w:rsidRDefault="00862D0F" w:rsidP="002A3D3A">
            <w:pPr>
              <w:spacing w:before="100" w:beforeAutospacing="1" w:after="100" w:afterAutospacing="1"/>
              <w:ind w:firstLine="0"/>
              <w:rPr>
                <w:rFonts w:eastAsia="Times New Roman" w:cs="Times New Roman"/>
                <w:sz w:val="24"/>
                <w:szCs w:val="24"/>
                <w:lang w:eastAsia="lv-LV"/>
              </w:rPr>
            </w:pPr>
            <w:r w:rsidRPr="00862D0F">
              <w:rPr>
                <w:rFonts w:eastAsia="Times New Roman" w:cs="Times New Roman"/>
                <w:sz w:val="24"/>
                <w:szCs w:val="24"/>
                <w:lang w:eastAsia="lv-LV"/>
              </w:rPr>
              <w:t>Jaunu institūciju izveide, esošu institūciju likvidācija vai reorganizācija, to ietekme uz institūcijas cilvēkresursiem</w:t>
            </w:r>
          </w:p>
        </w:tc>
        <w:tc>
          <w:tcPr>
            <w:tcW w:w="2684" w:type="pct"/>
            <w:tcBorders>
              <w:top w:val="outset" w:sz="6" w:space="0" w:color="auto"/>
              <w:left w:val="outset" w:sz="6" w:space="0" w:color="auto"/>
              <w:bottom w:val="outset" w:sz="6" w:space="0" w:color="auto"/>
              <w:right w:val="outset" w:sz="6" w:space="0" w:color="auto"/>
            </w:tcBorders>
            <w:hideMark/>
          </w:tcPr>
          <w:p w:rsidR="00862D0F" w:rsidRDefault="002A3D3A" w:rsidP="002A3D3A">
            <w:pPr>
              <w:ind w:firstLine="0"/>
              <w:rPr>
                <w:rFonts w:eastAsia="Calibri" w:cs="Times New Roman"/>
                <w:sz w:val="24"/>
                <w:szCs w:val="24"/>
              </w:rPr>
            </w:pPr>
            <w:r>
              <w:rPr>
                <w:rFonts w:eastAsia="Calibri" w:cs="Times New Roman"/>
                <w:sz w:val="24"/>
                <w:szCs w:val="24"/>
              </w:rPr>
              <w:t>Tiks izveidota jauna val</w:t>
            </w:r>
            <w:r w:rsidR="007803AA">
              <w:rPr>
                <w:rFonts w:eastAsia="Calibri" w:cs="Times New Roman"/>
                <w:sz w:val="24"/>
                <w:szCs w:val="24"/>
              </w:rPr>
              <w:t>sts pārvaldes iestāde – Iekšējā</w:t>
            </w:r>
            <w:r>
              <w:rPr>
                <w:rFonts w:eastAsia="Calibri" w:cs="Times New Roman"/>
                <w:sz w:val="24"/>
                <w:szCs w:val="24"/>
              </w:rPr>
              <w:t>s drošības birojs, kas atradīsies iekšlietu ministra pārraudzībā.</w:t>
            </w:r>
          </w:p>
          <w:p w:rsidR="00227ED8" w:rsidRDefault="00227ED8" w:rsidP="002A3D3A">
            <w:pPr>
              <w:ind w:firstLine="0"/>
              <w:rPr>
                <w:rFonts w:eastAsia="Calibri" w:cs="Times New Roman"/>
                <w:sz w:val="24"/>
                <w:szCs w:val="24"/>
              </w:rPr>
            </w:pPr>
          </w:p>
          <w:p w:rsidR="00AB6F4E" w:rsidRPr="006D3AEC" w:rsidRDefault="00227ED8" w:rsidP="00227ED8">
            <w:pPr>
              <w:ind w:firstLine="0"/>
              <w:rPr>
                <w:rFonts w:eastAsia="Times New Roman" w:cs="Times New Roman"/>
                <w:bCs/>
                <w:sz w:val="24"/>
                <w:szCs w:val="24"/>
                <w:lang w:eastAsia="lv-LV"/>
              </w:rPr>
            </w:pPr>
            <w:r w:rsidRPr="006D3AEC">
              <w:rPr>
                <w:rFonts w:eastAsia="Calibri" w:cs="Times New Roman"/>
                <w:sz w:val="24"/>
                <w:szCs w:val="24"/>
              </w:rPr>
              <w:t xml:space="preserve">Atbilstoši </w:t>
            </w:r>
            <w:r w:rsidR="00183AE1" w:rsidRPr="006D3AEC">
              <w:rPr>
                <w:rFonts w:eastAsia="Times New Roman" w:cs="Times New Roman"/>
                <w:bCs/>
                <w:sz w:val="24"/>
                <w:szCs w:val="24"/>
                <w:lang w:eastAsia="lv-LV"/>
              </w:rPr>
              <w:t xml:space="preserve">koncepcijā minētajam </w:t>
            </w:r>
            <w:r w:rsidR="00A146F0">
              <w:rPr>
                <w:sz w:val="24"/>
                <w:szCs w:val="24"/>
              </w:rPr>
              <w:t>kopumā Biroja</w:t>
            </w:r>
            <w:r w:rsidR="00AB6F4E" w:rsidRPr="006D3AEC">
              <w:rPr>
                <w:sz w:val="24"/>
                <w:szCs w:val="24"/>
              </w:rPr>
              <w:t xml:space="preserve"> </w:t>
            </w:r>
            <w:r w:rsidR="00183AE1" w:rsidRPr="006D3AEC">
              <w:rPr>
                <w:sz w:val="24"/>
                <w:szCs w:val="24"/>
              </w:rPr>
              <w:t>darbības</w:t>
            </w:r>
            <w:r w:rsidR="00AB6F4E" w:rsidRPr="006D3AEC">
              <w:rPr>
                <w:sz w:val="24"/>
                <w:szCs w:val="24"/>
              </w:rPr>
              <w:t xml:space="preserve"> nodrošināšanai paredz</w:t>
            </w:r>
            <w:r w:rsidR="00C75CD7" w:rsidRPr="006D3AEC">
              <w:rPr>
                <w:sz w:val="24"/>
                <w:szCs w:val="24"/>
              </w:rPr>
              <w:t>ēts</w:t>
            </w:r>
            <w:r w:rsidR="00AB6F4E" w:rsidRPr="006D3AEC">
              <w:rPr>
                <w:sz w:val="24"/>
                <w:szCs w:val="24"/>
              </w:rPr>
              <w:t xml:space="preserve"> nodarbināt 92 </w:t>
            </w:r>
            <w:r w:rsidR="00C75CD7" w:rsidRPr="006D3AEC">
              <w:rPr>
                <w:sz w:val="24"/>
                <w:szCs w:val="24"/>
              </w:rPr>
              <w:t>amatpersonas</w:t>
            </w:r>
            <w:r w:rsidR="00AB6F4E" w:rsidRPr="006D3AEC">
              <w:rPr>
                <w:sz w:val="24"/>
                <w:szCs w:val="24"/>
              </w:rPr>
              <w:t xml:space="preserve"> ar speciālo dienesta pakāpi un </w:t>
            </w:r>
            <w:r w:rsidR="00C75CD7" w:rsidRPr="006D3AEC">
              <w:rPr>
                <w:sz w:val="24"/>
                <w:szCs w:val="24"/>
              </w:rPr>
              <w:t>29 darbiniekus</w:t>
            </w:r>
            <w:proofErr w:type="gramStart"/>
            <w:r w:rsidR="00C75CD7" w:rsidRPr="006D3AEC">
              <w:rPr>
                <w:sz w:val="24"/>
                <w:szCs w:val="24"/>
              </w:rPr>
              <w:t xml:space="preserve"> </w:t>
            </w:r>
            <w:r w:rsidR="00AB6F4E" w:rsidRPr="006D3AEC">
              <w:rPr>
                <w:sz w:val="24"/>
                <w:szCs w:val="24"/>
              </w:rPr>
              <w:t xml:space="preserve"> </w:t>
            </w:r>
            <w:proofErr w:type="gramEnd"/>
            <w:r w:rsidR="00AB6F4E" w:rsidRPr="006D3AEC">
              <w:rPr>
                <w:sz w:val="24"/>
                <w:szCs w:val="24"/>
              </w:rPr>
              <w:t>(pavisam kopā – 121 nodarbinātais).</w:t>
            </w:r>
          </w:p>
          <w:p w:rsidR="00AB6F4E" w:rsidRPr="00862D0F" w:rsidRDefault="00AB6F4E" w:rsidP="00227ED8">
            <w:pPr>
              <w:ind w:firstLine="0"/>
              <w:rPr>
                <w:rFonts w:eastAsia="Times New Roman" w:cs="Times New Roman"/>
                <w:sz w:val="24"/>
                <w:szCs w:val="24"/>
                <w:lang w:eastAsia="lv-LV"/>
              </w:rPr>
            </w:pPr>
          </w:p>
        </w:tc>
      </w:tr>
      <w:tr w:rsidR="00862D0F" w:rsidRPr="00862D0F" w:rsidTr="008C16EE">
        <w:trPr>
          <w:trHeight w:val="390"/>
          <w:tblCellSpacing w:w="15" w:type="dxa"/>
          <w:jc w:val="center"/>
        </w:trPr>
        <w:tc>
          <w:tcPr>
            <w:tcW w:w="193"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3.</w:t>
            </w:r>
          </w:p>
        </w:tc>
        <w:tc>
          <w:tcPr>
            <w:tcW w:w="2060"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Cita informācija</w:t>
            </w:r>
          </w:p>
        </w:tc>
        <w:tc>
          <w:tcPr>
            <w:tcW w:w="2684" w:type="pct"/>
            <w:tcBorders>
              <w:top w:val="outset" w:sz="6" w:space="0" w:color="auto"/>
              <w:left w:val="outset" w:sz="6" w:space="0" w:color="auto"/>
              <w:bottom w:val="outset" w:sz="6" w:space="0" w:color="auto"/>
              <w:right w:val="outset" w:sz="6" w:space="0" w:color="auto"/>
            </w:tcBorders>
            <w:hideMark/>
          </w:tcPr>
          <w:p w:rsidR="00862D0F" w:rsidRPr="00862D0F" w:rsidRDefault="006F223E" w:rsidP="00862D0F">
            <w:pPr>
              <w:spacing w:before="100" w:beforeAutospacing="1" w:after="100" w:afterAutospacing="1"/>
              <w:ind w:firstLine="0"/>
              <w:jc w:val="left"/>
              <w:rPr>
                <w:rFonts w:eastAsia="Times New Roman" w:cs="Times New Roman"/>
                <w:sz w:val="24"/>
                <w:szCs w:val="24"/>
                <w:lang w:eastAsia="lv-LV"/>
              </w:rPr>
            </w:pPr>
            <w:r>
              <w:rPr>
                <w:rFonts w:eastAsia="Times New Roman" w:cs="Times New Roman"/>
                <w:sz w:val="24"/>
                <w:szCs w:val="24"/>
                <w:lang w:eastAsia="lv-LV"/>
              </w:rPr>
              <w:t>Nav.</w:t>
            </w:r>
          </w:p>
        </w:tc>
      </w:tr>
    </w:tbl>
    <w:p w:rsidR="00140597" w:rsidRDefault="00140597" w:rsidP="00140597">
      <w:pPr>
        <w:ind w:left="-284" w:firstLine="0"/>
      </w:pPr>
    </w:p>
    <w:p w:rsidR="00FD4230" w:rsidRDefault="00FD4230" w:rsidP="00140597">
      <w:pPr>
        <w:ind w:left="-284" w:firstLine="0"/>
      </w:pPr>
    </w:p>
    <w:p w:rsidR="00140597" w:rsidRPr="00B0329B" w:rsidRDefault="00140597" w:rsidP="00140597">
      <w:pPr>
        <w:ind w:firstLine="0"/>
        <w:rPr>
          <w:sz w:val="24"/>
          <w:szCs w:val="24"/>
        </w:rPr>
      </w:pPr>
      <w:r w:rsidRPr="00B0329B">
        <w:rPr>
          <w:sz w:val="24"/>
          <w:szCs w:val="24"/>
        </w:rPr>
        <w:t>Iekšlietu ministrs</w:t>
      </w:r>
      <w:r w:rsidRPr="00B0329B">
        <w:rPr>
          <w:sz w:val="24"/>
          <w:szCs w:val="24"/>
        </w:rPr>
        <w:tab/>
      </w:r>
      <w:r w:rsidRPr="00B0329B">
        <w:rPr>
          <w:sz w:val="24"/>
          <w:szCs w:val="24"/>
        </w:rPr>
        <w:tab/>
      </w:r>
      <w:r w:rsidRPr="00B0329B">
        <w:rPr>
          <w:sz w:val="24"/>
          <w:szCs w:val="24"/>
        </w:rPr>
        <w:tab/>
      </w:r>
      <w:r w:rsidRPr="00B0329B">
        <w:rPr>
          <w:sz w:val="24"/>
          <w:szCs w:val="24"/>
        </w:rPr>
        <w:tab/>
      </w:r>
      <w:r w:rsidRPr="00B0329B">
        <w:rPr>
          <w:sz w:val="24"/>
          <w:szCs w:val="24"/>
        </w:rPr>
        <w:tab/>
      </w:r>
      <w:r w:rsidRPr="00B0329B">
        <w:rPr>
          <w:sz w:val="24"/>
          <w:szCs w:val="24"/>
        </w:rPr>
        <w:tab/>
      </w:r>
      <w:r w:rsidRPr="00B0329B">
        <w:rPr>
          <w:sz w:val="24"/>
          <w:szCs w:val="24"/>
        </w:rPr>
        <w:tab/>
      </w:r>
      <w:r w:rsidRPr="00B0329B">
        <w:rPr>
          <w:sz w:val="24"/>
          <w:szCs w:val="24"/>
        </w:rPr>
        <w:tab/>
        <w:t xml:space="preserve">    </w:t>
      </w:r>
      <w:r w:rsidR="00B0329B">
        <w:rPr>
          <w:sz w:val="24"/>
          <w:szCs w:val="24"/>
        </w:rPr>
        <w:t xml:space="preserve">    </w:t>
      </w:r>
      <w:r w:rsidRPr="00B0329B">
        <w:rPr>
          <w:sz w:val="24"/>
          <w:szCs w:val="24"/>
        </w:rPr>
        <w:t>R.Kozlovskis</w:t>
      </w:r>
    </w:p>
    <w:p w:rsidR="00140597" w:rsidRDefault="00140597" w:rsidP="00140597">
      <w:pPr>
        <w:ind w:firstLine="0"/>
        <w:rPr>
          <w:sz w:val="24"/>
          <w:szCs w:val="24"/>
        </w:rPr>
      </w:pPr>
    </w:p>
    <w:p w:rsidR="009B7956" w:rsidRPr="00B0329B" w:rsidRDefault="009B7956" w:rsidP="00140597">
      <w:pPr>
        <w:ind w:firstLine="0"/>
        <w:rPr>
          <w:sz w:val="24"/>
          <w:szCs w:val="24"/>
        </w:rPr>
      </w:pPr>
    </w:p>
    <w:p w:rsidR="00D43D96" w:rsidRDefault="00140597" w:rsidP="00140597">
      <w:pPr>
        <w:ind w:firstLine="0"/>
        <w:rPr>
          <w:sz w:val="24"/>
          <w:szCs w:val="24"/>
        </w:rPr>
      </w:pPr>
      <w:r w:rsidRPr="00B0329B">
        <w:rPr>
          <w:sz w:val="24"/>
          <w:szCs w:val="24"/>
        </w:rPr>
        <w:t>Valsts sekretāre</w:t>
      </w:r>
      <w:r w:rsidR="00D43D96">
        <w:rPr>
          <w:sz w:val="24"/>
          <w:szCs w:val="24"/>
        </w:rPr>
        <w:t>s</w:t>
      </w:r>
    </w:p>
    <w:p w:rsidR="00140597" w:rsidRPr="00B0329B" w:rsidRDefault="00D43D96" w:rsidP="00140597">
      <w:pPr>
        <w:ind w:firstLine="0"/>
        <w:rPr>
          <w:sz w:val="24"/>
          <w:szCs w:val="24"/>
        </w:rPr>
      </w:pPr>
      <w:r>
        <w:rPr>
          <w:sz w:val="24"/>
          <w:szCs w:val="24"/>
        </w:rPr>
        <w:t>pienākumu izpildītāja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roofErr w:type="spellStart"/>
      <w:r>
        <w:rPr>
          <w:sz w:val="24"/>
          <w:szCs w:val="24"/>
        </w:rPr>
        <w:t>I.Aire</w:t>
      </w:r>
      <w:proofErr w:type="spellEnd"/>
      <w:r w:rsidR="00140597" w:rsidRPr="00B0329B">
        <w:rPr>
          <w:sz w:val="24"/>
          <w:szCs w:val="24"/>
        </w:rPr>
        <w:tab/>
      </w:r>
      <w:r w:rsidR="00140597" w:rsidRPr="00B0329B">
        <w:rPr>
          <w:sz w:val="24"/>
          <w:szCs w:val="24"/>
        </w:rPr>
        <w:tab/>
      </w:r>
      <w:r w:rsidR="00140597" w:rsidRPr="00B0329B">
        <w:rPr>
          <w:sz w:val="24"/>
          <w:szCs w:val="24"/>
        </w:rPr>
        <w:tab/>
      </w:r>
      <w:r w:rsidR="00140597" w:rsidRPr="00B0329B">
        <w:rPr>
          <w:sz w:val="24"/>
          <w:szCs w:val="24"/>
        </w:rPr>
        <w:tab/>
      </w:r>
      <w:r w:rsidR="00140597" w:rsidRPr="00B0329B">
        <w:rPr>
          <w:sz w:val="24"/>
          <w:szCs w:val="24"/>
        </w:rPr>
        <w:tab/>
      </w:r>
      <w:r w:rsidR="00140597" w:rsidRPr="00B0329B">
        <w:rPr>
          <w:sz w:val="24"/>
          <w:szCs w:val="24"/>
        </w:rPr>
        <w:tab/>
      </w:r>
      <w:r w:rsidR="00140597" w:rsidRPr="00B0329B">
        <w:rPr>
          <w:sz w:val="24"/>
          <w:szCs w:val="24"/>
        </w:rPr>
        <w:tab/>
      </w:r>
    </w:p>
    <w:p w:rsidR="00FE68D5" w:rsidRDefault="00FE68D5" w:rsidP="00140597">
      <w:pPr>
        <w:ind w:firstLine="0"/>
      </w:pPr>
    </w:p>
    <w:p w:rsidR="003235AA" w:rsidRDefault="003235AA" w:rsidP="00140597">
      <w:pPr>
        <w:ind w:firstLine="0"/>
      </w:pPr>
    </w:p>
    <w:p w:rsidR="00FD4230" w:rsidRDefault="00FD4230" w:rsidP="00140597">
      <w:pPr>
        <w:ind w:firstLine="0"/>
      </w:pPr>
    </w:p>
    <w:p w:rsidR="00FD4230" w:rsidRDefault="00FD4230" w:rsidP="00140597">
      <w:pPr>
        <w:ind w:firstLine="0"/>
      </w:pPr>
    </w:p>
    <w:p w:rsidR="00FD4230" w:rsidRDefault="00FD4230" w:rsidP="00140597">
      <w:pPr>
        <w:ind w:firstLine="0"/>
      </w:pPr>
    </w:p>
    <w:p w:rsidR="00FD4230" w:rsidRDefault="00FD4230" w:rsidP="00140597">
      <w:pPr>
        <w:ind w:firstLine="0"/>
      </w:pPr>
    </w:p>
    <w:p w:rsidR="00FD4230" w:rsidRDefault="00FD4230" w:rsidP="00140597">
      <w:pPr>
        <w:ind w:firstLine="0"/>
      </w:pPr>
    </w:p>
    <w:p w:rsidR="00FD4230" w:rsidRDefault="00FD4230" w:rsidP="00140597">
      <w:pPr>
        <w:ind w:firstLine="0"/>
      </w:pPr>
    </w:p>
    <w:p w:rsidR="00FD4230" w:rsidRDefault="00FD4230" w:rsidP="00140597">
      <w:pPr>
        <w:ind w:firstLine="0"/>
      </w:pPr>
    </w:p>
    <w:p w:rsidR="005C0CFA" w:rsidRDefault="005C0CFA" w:rsidP="00140597">
      <w:pPr>
        <w:ind w:firstLine="0"/>
      </w:pPr>
    </w:p>
    <w:p w:rsidR="00FE68D5" w:rsidRPr="00FE68D5" w:rsidRDefault="00722A78" w:rsidP="005C0CFA">
      <w:pPr>
        <w:tabs>
          <w:tab w:val="center" w:pos="4535"/>
        </w:tabs>
        <w:ind w:firstLine="0"/>
        <w:rPr>
          <w:sz w:val="20"/>
          <w:szCs w:val="20"/>
        </w:rPr>
      </w:pPr>
      <w:r>
        <w:rPr>
          <w:sz w:val="20"/>
          <w:szCs w:val="20"/>
        </w:rPr>
        <w:t>21</w:t>
      </w:r>
      <w:r w:rsidR="004838C8">
        <w:rPr>
          <w:sz w:val="20"/>
          <w:szCs w:val="20"/>
        </w:rPr>
        <w:t>.11.</w:t>
      </w:r>
      <w:r w:rsidR="00687674">
        <w:rPr>
          <w:sz w:val="20"/>
          <w:szCs w:val="20"/>
        </w:rPr>
        <w:t>2014. 16:3</w:t>
      </w:r>
      <w:r w:rsidR="00DE1E49">
        <w:rPr>
          <w:sz w:val="20"/>
          <w:szCs w:val="20"/>
        </w:rPr>
        <w:t>3</w:t>
      </w:r>
      <w:r w:rsidR="005C0CFA">
        <w:rPr>
          <w:sz w:val="20"/>
          <w:szCs w:val="20"/>
        </w:rPr>
        <w:tab/>
      </w:r>
    </w:p>
    <w:p w:rsidR="00FE68D5" w:rsidRDefault="00687674" w:rsidP="00140597">
      <w:pPr>
        <w:ind w:firstLine="0"/>
        <w:rPr>
          <w:sz w:val="20"/>
          <w:szCs w:val="20"/>
        </w:rPr>
      </w:pPr>
      <w:r>
        <w:rPr>
          <w:sz w:val="20"/>
          <w:szCs w:val="20"/>
        </w:rPr>
        <w:t>3401</w:t>
      </w:r>
      <w:bookmarkStart w:id="0" w:name="_GoBack"/>
      <w:bookmarkEnd w:id="0"/>
    </w:p>
    <w:p w:rsidR="00FE68D5" w:rsidRPr="00FE68D5" w:rsidRDefault="00FE68D5" w:rsidP="00140597">
      <w:pPr>
        <w:ind w:firstLine="0"/>
        <w:rPr>
          <w:sz w:val="20"/>
          <w:szCs w:val="20"/>
        </w:rPr>
      </w:pPr>
      <w:proofErr w:type="spellStart"/>
      <w:r w:rsidRPr="00FE68D5">
        <w:rPr>
          <w:sz w:val="20"/>
          <w:szCs w:val="20"/>
        </w:rPr>
        <w:t>Dz.Rancāne</w:t>
      </w:r>
      <w:proofErr w:type="spellEnd"/>
    </w:p>
    <w:p w:rsidR="00FE68D5" w:rsidRDefault="00FE68D5" w:rsidP="00140597">
      <w:pPr>
        <w:ind w:firstLine="0"/>
        <w:rPr>
          <w:sz w:val="20"/>
          <w:szCs w:val="20"/>
        </w:rPr>
      </w:pPr>
      <w:r w:rsidRPr="00FE68D5">
        <w:rPr>
          <w:sz w:val="20"/>
          <w:szCs w:val="20"/>
        </w:rPr>
        <w:t xml:space="preserve">67219419, </w:t>
      </w:r>
      <w:proofErr w:type="spellStart"/>
      <w:r w:rsidRPr="00FE68D5">
        <w:rPr>
          <w:sz w:val="20"/>
          <w:szCs w:val="20"/>
        </w:rPr>
        <w:t>dzintra</w:t>
      </w:r>
      <w:proofErr w:type="spellEnd"/>
      <w:r w:rsidRPr="00FE68D5">
        <w:rPr>
          <w:sz w:val="20"/>
          <w:szCs w:val="20"/>
        </w:rPr>
        <w:t xml:space="preserve"> </w:t>
      </w:r>
      <w:r w:rsidR="00963E11" w:rsidRPr="00963E11">
        <w:rPr>
          <w:sz w:val="20"/>
          <w:szCs w:val="20"/>
        </w:rPr>
        <w:t>rancane@iem.gov.lv</w:t>
      </w:r>
    </w:p>
    <w:p w:rsidR="00963E11" w:rsidRDefault="00963E11" w:rsidP="00140597">
      <w:pPr>
        <w:ind w:firstLine="0"/>
        <w:rPr>
          <w:sz w:val="20"/>
          <w:szCs w:val="20"/>
        </w:rPr>
      </w:pPr>
      <w:proofErr w:type="spellStart"/>
      <w:r>
        <w:rPr>
          <w:sz w:val="20"/>
          <w:szCs w:val="20"/>
        </w:rPr>
        <w:t>I.Potjomkina</w:t>
      </w:r>
      <w:proofErr w:type="spellEnd"/>
    </w:p>
    <w:p w:rsidR="00CC29F0" w:rsidRPr="00FE68D5" w:rsidRDefault="00963E11" w:rsidP="00140597">
      <w:pPr>
        <w:ind w:firstLine="0"/>
        <w:rPr>
          <w:sz w:val="20"/>
          <w:szCs w:val="20"/>
        </w:rPr>
      </w:pPr>
      <w:r>
        <w:rPr>
          <w:sz w:val="20"/>
          <w:szCs w:val="20"/>
        </w:rPr>
        <w:t xml:space="preserve">67219606, </w:t>
      </w:r>
      <w:r w:rsidR="00CC29F0" w:rsidRPr="00B0329B">
        <w:rPr>
          <w:sz w:val="20"/>
          <w:szCs w:val="20"/>
        </w:rPr>
        <w:t>ieva.potjomkina@iem.gov.lv</w:t>
      </w:r>
    </w:p>
    <w:sectPr w:rsidR="00CC29F0" w:rsidRPr="00FE68D5" w:rsidSect="00005934">
      <w:headerReference w:type="default" r:id="rId8"/>
      <w:footerReference w:type="default" r:id="rId9"/>
      <w:footerReference w:type="first" r:id="rId10"/>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989" w:rsidRDefault="00A22989" w:rsidP="00F3628F">
      <w:r>
        <w:separator/>
      </w:r>
    </w:p>
  </w:endnote>
  <w:endnote w:type="continuationSeparator" w:id="0">
    <w:p w:rsidR="00A22989" w:rsidRDefault="00A22989" w:rsidP="00F36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84" w:rsidRPr="000E5184" w:rsidRDefault="00260CFD" w:rsidP="000E5184">
    <w:pPr>
      <w:pStyle w:val="Footer"/>
      <w:ind w:firstLine="0"/>
      <w:rPr>
        <w:sz w:val="20"/>
        <w:szCs w:val="20"/>
      </w:rPr>
    </w:pPr>
    <w:r>
      <w:rPr>
        <w:sz w:val="20"/>
        <w:szCs w:val="20"/>
      </w:rPr>
      <w:t>IEMAnot_21</w:t>
    </w:r>
    <w:r w:rsidR="004838C8">
      <w:rPr>
        <w:sz w:val="20"/>
        <w:szCs w:val="20"/>
      </w:rPr>
      <w:t>11</w:t>
    </w:r>
    <w:r w:rsidR="000E5184">
      <w:rPr>
        <w:sz w:val="20"/>
        <w:szCs w:val="20"/>
      </w:rPr>
      <w:t>14; likumprojekta „Iekšējās drošības biroja likums” sākotnējās ietekmes novērtējuma ziņojums (anotācija)</w:t>
    </w:r>
  </w:p>
  <w:p w:rsidR="000E5184" w:rsidRPr="000E5184" w:rsidRDefault="00E91610" w:rsidP="00E91610">
    <w:pPr>
      <w:pStyle w:val="Footer"/>
      <w:tabs>
        <w:tab w:val="clear" w:pos="4153"/>
        <w:tab w:val="clear" w:pos="8306"/>
        <w:tab w:val="left" w:pos="230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84" w:rsidRPr="000E5184" w:rsidRDefault="00260CFD" w:rsidP="000E5184">
    <w:pPr>
      <w:pStyle w:val="Footer"/>
      <w:ind w:firstLine="0"/>
      <w:rPr>
        <w:sz w:val="20"/>
        <w:szCs w:val="20"/>
      </w:rPr>
    </w:pPr>
    <w:r>
      <w:rPr>
        <w:sz w:val="20"/>
        <w:szCs w:val="20"/>
      </w:rPr>
      <w:t>IEMAnot_21</w:t>
    </w:r>
    <w:r w:rsidR="004838C8">
      <w:rPr>
        <w:sz w:val="20"/>
        <w:szCs w:val="20"/>
      </w:rPr>
      <w:t>11</w:t>
    </w:r>
    <w:r w:rsidR="000E5184">
      <w:rPr>
        <w:sz w:val="20"/>
        <w:szCs w:val="20"/>
      </w:rPr>
      <w:t>14; likumprojekta „Iekšējās drošības biroja likums”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989" w:rsidRDefault="00A22989" w:rsidP="00F3628F">
      <w:r>
        <w:separator/>
      </w:r>
    </w:p>
  </w:footnote>
  <w:footnote w:type="continuationSeparator" w:id="0">
    <w:p w:rsidR="00A22989" w:rsidRDefault="00A22989" w:rsidP="00F36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0693882"/>
      <w:docPartObj>
        <w:docPartGallery w:val="Page Numbers (Top of Page)"/>
        <w:docPartUnique/>
      </w:docPartObj>
    </w:sdtPr>
    <w:sdtEndPr>
      <w:rPr>
        <w:noProof/>
      </w:rPr>
    </w:sdtEndPr>
    <w:sdtContent>
      <w:p w:rsidR="00B605EA" w:rsidRDefault="00B605EA">
        <w:pPr>
          <w:pStyle w:val="Header"/>
          <w:jc w:val="center"/>
        </w:pPr>
        <w:r w:rsidRPr="00B605EA">
          <w:rPr>
            <w:sz w:val="20"/>
            <w:szCs w:val="20"/>
          </w:rPr>
          <w:fldChar w:fldCharType="begin"/>
        </w:r>
        <w:r w:rsidRPr="00B605EA">
          <w:rPr>
            <w:sz w:val="20"/>
            <w:szCs w:val="20"/>
          </w:rPr>
          <w:instrText xml:space="preserve"> PAGE   \* MERGEFORMAT </w:instrText>
        </w:r>
        <w:r w:rsidRPr="00B605EA">
          <w:rPr>
            <w:sz w:val="20"/>
            <w:szCs w:val="20"/>
          </w:rPr>
          <w:fldChar w:fldCharType="separate"/>
        </w:r>
        <w:r w:rsidR="00687674">
          <w:rPr>
            <w:noProof/>
            <w:sz w:val="20"/>
            <w:szCs w:val="20"/>
          </w:rPr>
          <w:t>10</w:t>
        </w:r>
        <w:r w:rsidRPr="00B605EA">
          <w:rPr>
            <w:noProof/>
            <w:sz w:val="20"/>
            <w:szCs w:val="20"/>
          </w:rPr>
          <w:fldChar w:fldCharType="end"/>
        </w:r>
      </w:p>
    </w:sdtContent>
  </w:sdt>
  <w:p w:rsidR="00B605EA" w:rsidRDefault="00B605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77326"/>
    <w:multiLevelType w:val="hybridMultilevel"/>
    <w:tmpl w:val="8D0683E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4475899"/>
    <w:multiLevelType w:val="hybridMultilevel"/>
    <w:tmpl w:val="9C3083FE"/>
    <w:lvl w:ilvl="0" w:tplc="7A489870">
      <w:start w:val="3"/>
      <w:numFmt w:val="decimal"/>
      <w:lvlText w:val="%1."/>
      <w:lvlJc w:val="left"/>
      <w:pPr>
        <w:ind w:left="1500" w:hanging="360"/>
      </w:pPr>
      <w:rPr>
        <w:rFonts w:hint="default"/>
        <w:u w:val="none"/>
      </w:r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2">
    <w:nsid w:val="096C20B5"/>
    <w:multiLevelType w:val="hybridMultilevel"/>
    <w:tmpl w:val="EF5061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2E459FF"/>
    <w:multiLevelType w:val="hybridMultilevel"/>
    <w:tmpl w:val="8C66A744"/>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7AC5D0B"/>
    <w:multiLevelType w:val="hybridMultilevel"/>
    <w:tmpl w:val="F5D8F722"/>
    <w:lvl w:ilvl="0" w:tplc="458806FA">
      <w:start w:val="2014"/>
      <w:numFmt w:val="bullet"/>
      <w:lvlText w:val="-"/>
      <w:lvlJc w:val="left"/>
      <w:pPr>
        <w:ind w:left="502" w:hanging="360"/>
      </w:pPr>
      <w:rPr>
        <w:rFonts w:ascii="Times New Roman" w:eastAsia="Times New Roman" w:hAnsi="Times New Roman" w:hint="default"/>
      </w:rPr>
    </w:lvl>
    <w:lvl w:ilvl="1" w:tplc="04260003" w:tentative="1">
      <w:start w:val="1"/>
      <w:numFmt w:val="bullet"/>
      <w:lvlText w:val="o"/>
      <w:lvlJc w:val="left"/>
      <w:pPr>
        <w:ind w:left="1222" w:hanging="360"/>
      </w:pPr>
      <w:rPr>
        <w:rFonts w:ascii="Courier New" w:hAnsi="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5">
    <w:nsid w:val="49713258"/>
    <w:multiLevelType w:val="hybridMultilevel"/>
    <w:tmpl w:val="8C2AD1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E0D3663"/>
    <w:multiLevelType w:val="hybridMultilevel"/>
    <w:tmpl w:val="89CCBAB0"/>
    <w:lvl w:ilvl="0" w:tplc="F0F69BB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nsid w:val="7A1D6E08"/>
    <w:multiLevelType w:val="hybridMultilevel"/>
    <w:tmpl w:val="034827B6"/>
    <w:lvl w:ilvl="0" w:tplc="E4AE95D8">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7AA43FC3"/>
    <w:multiLevelType w:val="hybridMultilevel"/>
    <w:tmpl w:val="CA84BF3A"/>
    <w:lvl w:ilvl="0" w:tplc="F0F69BB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7"/>
  </w:num>
  <w:num w:numId="4">
    <w:abstractNumId w:val="5"/>
  </w:num>
  <w:num w:numId="5">
    <w:abstractNumId w:val="3"/>
  </w:num>
  <w:num w:numId="6">
    <w:abstractNumId w:val="8"/>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0F"/>
    <w:rsid w:val="00003748"/>
    <w:rsid w:val="00003E54"/>
    <w:rsid w:val="000042A5"/>
    <w:rsid w:val="00005934"/>
    <w:rsid w:val="00014974"/>
    <w:rsid w:val="00016A6A"/>
    <w:rsid w:val="00050AFD"/>
    <w:rsid w:val="00055DA7"/>
    <w:rsid w:val="000572FA"/>
    <w:rsid w:val="00065018"/>
    <w:rsid w:val="0007566F"/>
    <w:rsid w:val="00081DC8"/>
    <w:rsid w:val="000822A7"/>
    <w:rsid w:val="0008799E"/>
    <w:rsid w:val="000936B9"/>
    <w:rsid w:val="00093C5E"/>
    <w:rsid w:val="00096827"/>
    <w:rsid w:val="000B3666"/>
    <w:rsid w:val="000C514E"/>
    <w:rsid w:val="000C5FC4"/>
    <w:rsid w:val="000D02A0"/>
    <w:rsid w:val="000D4E29"/>
    <w:rsid w:val="000D513D"/>
    <w:rsid w:val="000D79C8"/>
    <w:rsid w:val="000E1AE1"/>
    <w:rsid w:val="000E33C1"/>
    <w:rsid w:val="000E5184"/>
    <w:rsid w:val="000E5D67"/>
    <w:rsid w:val="000E7ED0"/>
    <w:rsid w:val="000F0650"/>
    <w:rsid w:val="000F38B5"/>
    <w:rsid w:val="000F3F25"/>
    <w:rsid w:val="000F7B17"/>
    <w:rsid w:val="00116901"/>
    <w:rsid w:val="00132F1A"/>
    <w:rsid w:val="0013550B"/>
    <w:rsid w:val="0013569A"/>
    <w:rsid w:val="00140597"/>
    <w:rsid w:val="0014129F"/>
    <w:rsid w:val="00142695"/>
    <w:rsid w:val="001457A3"/>
    <w:rsid w:val="00151C8F"/>
    <w:rsid w:val="00161FC1"/>
    <w:rsid w:val="00164646"/>
    <w:rsid w:val="001700C2"/>
    <w:rsid w:val="00172106"/>
    <w:rsid w:val="00180E3E"/>
    <w:rsid w:val="00183AE1"/>
    <w:rsid w:val="001860F6"/>
    <w:rsid w:val="001968C1"/>
    <w:rsid w:val="001A4487"/>
    <w:rsid w:val="001B2FFC"/>
    <w:rsid w:val="001C1D63"/>
    <w:rsid w:val="001D27BE"/>
    <w:rsid w:val="001D510D"/>
    <w:rsid w:val="001D5311"/>
    <w:rsid w:val="001D5646"/>
    <w:rsid w:val="001D681A"/>
    <w:rsid w:val="001E0C5C"/>
    <w:rsid w:val="001E2C23"/>
    <w:rsid w:val="001E4331"/>
    <w:rsid w:val="001F6BF6"/>
    <w:rsid w:val="00200A31"/>
    <w:rsid w:val="00205CD5"/>
    <w:rsid w:val="00211AD8"/>
    <w:rsid w:val="0021213F"/>
    <w:rsid w:val="00213068"/>
    <w:rsid w:val="00222207"/>
    <w:rsid w:val="00224917"/>
    <w:rsid w:val="00225B68"/>
    <w:rsid w:val="00227ED8"/>
    <w:rsid w:val="0024052C"/>
    <w:rsid w:val="00243873"/>
    <w:rsid w:val="00260CFD"/>
    <w:rsid w:val="00262036"/>
    <w:rsid w:val="002655F0"/>
    <w:rsid w:val="0027455A"/>
    <w:rsid w:val="0027609D"/>
    <w:rsid w:val="00282D27"/>
    <w:rsid w:val="00291BFD"/>
    <w:rsid w:val="002A1F94"/>
    <w:rsid w:val="002A268E"/>
    <w:rsid w:val="002A3A46"/>
    <w:rsid w:val="002A3D3A"/>
    <w:rsid w:val="002C01C2"/>
    <w:rsid w:val="002C2860"/>
    <w:rsid w:val="002C34BA"/>
    <w:rsid w:val="002D2B36"/>
    <w:rsid w:val="002D535D"/>
    <w:rsid w:val="002E1208"/>
    <w:rsid w:val="002F64CB"/>
    <w:rsid w:val="00321276"/>
    <w:rsid w:val="003235AA"/>
    <w:rsid w:val="00336D84"/>
    <w:rsid w:val="003417A9"/>
    <w:rsid w:val="00363E39"/>
    <w:rsid w:val="00371B29"/>
    <w:rsid w:val="00381BF9"/>
    <w:rsid w:val="00381CBF"/>
    <w:rsid w:val="0039064F"/>
    <w:rsid w:val="0039795E"/>
    <w:rsid w:val="003A2985"/>
    <w:rsid w:val="003C732E"/>
    <w:rsid w:val="003D6EA8"/>
    <w:rsid w:val="003E3298"/>
    <w:rsid w:val="003F13A6"/>
    <w:rsid w:val="003F2898"/>
    <w:rsid w:val="00416BFC"/>
    <w:rsid w:val="0041714D"/>
    <w:rsid w:val="00421CF8"/>
    <w:rsid w:val="00424E37"/>
    <w:rsid w:val="004259A3"/>
    <w:rsid w:val="00434C0C"/>
    <w:rsid w:val="0044584E"/>
    <w:rsid w:val="00455938"/>
    <w:rsid w:val="00455FB6"/>
    <w:rsid w:val="004701FD"/>
    <w:rsid w:val="00472B58"/>
    <w:rsid w:val="00476E9D"/>
    <w:rsid w:val="004838C8"/>
    <w:rsid w:val="004A307B"/>
    <w:rsid w:val="004A49A2"/>
    <w:rsid w:val="004B15A8"/>
    <w:rsid w:val="004C5BF9"/>
    <w:rsid w:val="004D039A"/>
    <w:rsid w:val="004D263F"/>
    <w:rsid w:val="004D64D6"/>
    <w:rsid w:val="004D7489"/>
    <w:rsid w:val="004E06CB"/>
    <w:rsid w:val="004E507A"/>
    <w:rsid w:val="004F0107"/>
    <w:rsid w:val="004F55B2"/>
    <w:rsid w:val="004F62C2"/>
    <w:rsid w:val="00507BA0"/>
    <w:rsid w:val="005404C4"/>
    <w:rsid w:val="00551516"/>
    <w:rsid w:val="00552F36"/>
    <w:rsid w:val="00554147"/>
    <w:rsid w:val="00554A13"/>
    <w:rsid w:val="00555CD0"/>
    <w:rsid w:val="00565C83"/>
    <w:rsid w:val="00571866"/>
    <w:rsid w:val="00571B50"/>
    <w:rsid w:val="0057791C"/>
    <w:rsid w:val="00580DDF"/>
    <w:rsid w:val="00583CFA"/>
    <w:rsid w:val="005937BE"/>
    <w:rsid w:val="005942D5"/>
    <w:rsid w:val="005951DF"/>
    <w:rsid w:val="005A2741"/>
    <w:rsid w:val="005A2F8D"/>
    <w:rsid w:val="005C08CF"/>
    <w:rsid w:val="005C0CFA"/>
    <w:rsid w:val="005C477A"/>
    <w:rsid w:val="005C5D50"/>
    <w:rsid w:val="005D0051"/>
    <w:rsid w:val="005D5CDA"/>
    <w:rsid w:val="006020DB"/>
    <w:rsid w:val="00610DD3"/>
    <w:rsid w:val="00613232"/>
    <w:rsid w:val="00616CC7"/>
    <w:rsid w:val="00623A32"/>
    <w:rsid w:val="00631F88"/>
    <w:rsid w:val="006462A7"/>
    <w:rsid w:val="00646FBC"/>
    <w:rsid w:val="006569DF"/>
    <w:rsid w:val="006818BD"/>
    <w:rsid w:val="00686006"/>
    <w:rsid w:val="00687674"/>
    <w:rsid w:val="00687DEE"/>
    <w:rsid w:val="006A1D45"/>
    <w:rsid w:val="006B6CC7"/>
    <w:rsid w:val="006C7180"/>
    <w:rsid w:val="006C76BC"/>
    <w:rsid w:val="006D2D08"/>
    <w:rsid w:val="006D3AEC"/>
    <w:rsid w:val="006F223E"/>
    <w:rsid w:val="006F2280"/>
    <w:rsid w:val="006F3AF3"/>
    <w:rsid w:val="00701337"/>
    <w:rsid w:val="0071094F"/>
    <w:rsid w:val="00715FE0"/>
    <w:rsid w:val="00716A69"/>
    <w:rsid w:val="00716DDF"/>
    <w:rsid w:val="00722A78"/>
    <w:rsid w:val="0073700E"/>
    <w:rsid w:val="007536A2"/>
    <w:rsid w:val="007560CA"/>
    <w:rsid w:val="00761F3F"/>
    <w:rsid w:val="00771E25"/>
    <w:rsid w:val="007747B8"/>
    <w:rsid w:val="007803AA"/>
    <w:rsid w:val="00781767"/>
    <w:rsid w:val="00793216"/>
    <w:rsid w:val="00797C25"/>
    <w:rsid w:val="00797D76"/>
    <w:rsid w:val="007C0812"/>
    <w:rsid w:val="007C4ED3"/>
    <w:rsid w:val="007C57B2"/>
    <w:rsid w:val="007D5075"/>
    <w:rsid w:val="007E03C9"/>
    <w:rsid w:val="007E0AEF"/>
    <w:rsid w:val="007F54A9"/>
    <w:rsid w:val="00801125"/>
    <w:rsid w:val="00801E4D"/>
    <w:rsid w:val="008060F1"/>
    <w:rsid w:val="00841539"/>
    <w:rsid w:val="00847877"/>
    <w:rsid w:val="00850A1C"/>
    <w:rsid w:val="00862D0F"/>
    <w:rsid w:val="00864374"/>
    <w:rsid w:val="008675C9"/>
    <w:rsid w:val="00874AD6"/>
    <w:rsid w:val="00874F0F"/>
    <w:rsid w:val="008773AE"/>
    <w:rsid w:val="00877D9B"/>
    <w:rsid w:val="00880B34"/>
    <w:rsid w:val="0088221C"/>
    <w:rsid w:val="00884B0C"/>
    <w:rsid w:val="00887DF1"/>
    <w:rsid w:val="00892721"/>
    <w:rsid w:val="008A19C1"/>
    <w:rsid w:val="008A79C5"/>
    <w:rsid w:val="008B6BB3"/>
    <w:rsid w:val="008C16EE"/>
    <w:rsid w:val="008C7D98"/>
    <w:rsid w:val="008D1141"/>
    <w:rsid w:val="008E7094"/>
    <w:rsid w:val="00902BE1"/>
    <w:rsid w:val="009037F9"/>
    <w:rsid w:val="00907B1F"/>
    <w:rsid w:val="00915D58"/>
    <w:rsid w:val="009244D2"/>
    <w:rsid w:val="00924896"/>
    <w:rsid w:val="009313B3"/>
    <w:rsid w:val="00950B39"/>
    <w:rsid w:val="009566B4"/>
    <w:rsid w:val="0095742E"/>
    <w:rsid w:val="009629B8"/>
    <w:rsid w:val="00963E11"/>
    <w:rsid w:val="009662F7"/>
    <w:rsid w:val="009740C3"/>
    <w:rsid w:val="00975547"/>
    <w:rsid w:val="00986CEF"/>
    <w:rsid w:val="009A5CF6"/>
    <w:rsid w:val="009B2E47"/>
    <w:rsid w:val="009B479F"/>
    <w:rsid w:val="009B4ED1"/>
    <w:rsid w:val="009B7956"/>
    <w:rsid w:val="009C1D16"/>
    <w:rsid w:val="009C44F3"/>
    <w:rsid w:val="009C48F1"/>
    <w:rsid w:val="009C7C37"/>
    <w:rsid w:val="009E482B"/>
    <w:rsid w:val="00A00B5C"/>
    <w:rsid w:val="00A02F7B"/>
    <w:rsid w:val="00A114B2"/>
    <w:rsid w:val="00A13C24"/>
    <w:rsid w:val="00A146F0"/>
    <w:rsid w:val="00A15A14"/>
    <w:rsid w:val="00A22989"/>
    <w:rsid w:val="00A24594"/>
    <w:rsid w:val="00A24A33"/>
    <w:rsid w:val="00A26085"/>
    <w:rsid w:val="00A41CD9"/>
    <w:rsid w:val="00A900F4"/>
    <w:rsid w:val="00A9559E"/>
    <w:rsid w:val="00A974F2"/>
    <w:rsid w:val="00AB4D84"/>
    <w:rsid w:val="00AB6F4E"/>
    <w:rsid w:val="00AC6B8B"/>
    <w:rsid w:val="00AC751D"/>
    <w:rsid w:val="00AE43FB"/>
    <w:rsid w:val="00AE77DE"/>
    <w:rsid w:val="00AE7815"/>
    <w:rsid w:val="00AF03C1"/>
    <w:rsid w:val="00AF0DE4"/>
    <w:rsid w:val="00AF2B4C"/>
    <w:rsid w:val="00AF7FCC"/>
    <w:rsid w:val="00B00CF2"/>
    <w:rsid w:val="00B029C8"/>
    <w:rsid w:val="00B0329B"/>
    <w:rsid w:val="00B21D01"/>
    <w:rsid w:val="00B2271E"/>
    <w:rsid w:val="00B30091"/>
    <w:rsid w:val="00B31167"/>
    <w:rsid w:val="00B520DB"/>
    <w:rsid w:val="00B562B5"/>
    <w:rsid w:val="00B605EA"/>
    <w:rsid w:val="00B61F02"/>
    <w:rsid w:val="00B75620"/>
    <w:rsid w:val="00B863A9"/>
    <w:rsid w:val="00B90E84"/>
    <w:rsid w:val="00B95580"/>
    <w:rsid w:val="00B95D25"/>
    <w:rsid w:val="00BC3254"/>
    <w:rsid w:val="00BC5244"/>
    <w:rsid w:val="00BC54EA"/>
    <w:rsid w:val="00BE22DB"/>
    <w:rsid w:val="00BE2406"/>
    <w:rsid w:val="00BE3D7A"/>
    <w:rsid w:val="00BE664F"/>
    <w:rsid w:val="00BE6D54"/>
    <w:rsid w:val="00BF4C08"/>
    <w:rsid w:val="00BF7E55"/>
    <w:rsid w:val="00C00BF4"/>
    <w:rsid w:val="00C05907"/>
    <w:rsid w:val="00C16445"/>
    <w:rsid w:val="00C22A7A"/>
    <w:rsid w:val="00C27EEB"/>
    <w:rsid w:val="00C3140E"/>
    <w:rsid w:val="00C42479"/>
    <w:rsid w:val="00C4358E"/>
    <w:rsid w:val="00C46783"/>
    <w:rsid w:val="00C5101D"/>
    <w:rsid w:val="00C62B5F"/>
    <w:rsid w:val="00C75CD7"/>
    <w:rsid w:val="00C84161"/>
    <w:rsid w:val="00C90B42"/>
    <w:rsid w:val="00C952CB"/>
    <w:rsid w:val="00C97EDC"/>
    <w:rsid w:val="00CB0FEC"/>
    <w:rsid w:val="00CC29F0"/>
    <w:rsid w:val="00CC3788"/>
    <w:rsid w:val="00CC472E"/>
    <w:rsid w:val="00CD2406"/>
    <w:rsid w:val="00CD3A06"/>
    <w:rsid w:val="00CE4CEF"/>
    <w:rsid w:val="00CE60DB"/>
    <w:rsid w:val="00D0737C"/>
    <w:rsid w:val="00D26023"/>
    <w:rsid w:val="00D34BA7"/>
    <w:rsid w:val="00D36617"/>
    <w:rsid w:val="00D40F1E"/>
    <w:rsid w:val="00D43D96"/>
    <w:rsid w:val="00D4453F"/>
    <w:rsid w:val="00D557A4"/>
    <w:rsid w:val="00D568A0"/>
    <w:rsid w:val="00D63A07"/>
    <w:rsid w:val="00D674EE"/>
    <w:rsid w:val="00D847A7"/>
    <w:rsid w:val="00D87E7A"/>
    <w:rsid w:val="00DB05B5"/>
    <w:rsid w:val="00DB0ED8"/>
    <w:rsid w:val="00DB158A"/>
    <w:rsid w:val="00DB7A94"/>
    <w:rsid w:val="00DD3BA6"/>
    <w:rsid w:val="00DE0A42"/>
    <w:rsid w:val="00DE1E49"/>
    <w:rsid w:val="00DE36C0"/>
    <w:rsid w:val="00DF2898"/>
    <w:rsid w:val="00DF2EA8"/>
    <w:rsid w:val="00DF58DC"/>
    <w:rsid w:val="00E014FC"/>
    <w:rsid w:val="00E0609E"/>
    <w:rsid w:val="00E16B74"/>
    <w:rsid w:val="00E1773F"/>
    <w:rsid w:val="00E2025F"/>
    <w:rsid w:val="00E21D7E"/>
    <w:rsid w:val="00E323E7"/>
    <w:rsid w:val="00E365C1"/>
    <w:rsid w:val="00E42CC0"/>
    <w:rsid w:val="00E457CE"/>
    <w:rsid w:val="00E5286B"/>
    <w:rsid w:val="00E548A1"/>
    <w:rsid w:val="00E5750D"/>
    <w:rsid w:val="00E7623A"/>
    <w:rsid w:val="00E91610"/>
    <w:rsid w:val="00EA430B"/>
    <w:rsid w:val="00EA5285"/>
    <w:rsid w:val="00EB0963"/>
    <w:rsid w:val="00EB1BA9"/>
    <w:rsid w:val="00EB4546"/>
    <w:rsid w:val="00EB6876"/>
    <w:rsid w:val="00EC2A1E"/>
    <w:rsid w:val="00EC2D4F"/>
    <w:rsid w:val="00EC7A72"/>
    <w:rsid w:val="00ED297A"/>
    <w:rsid w:val="00ED5596"/>
    <w:rsid w:val="00EE2134"/>
    <w:rsid w:val="00EE3E11"/>
    <w:rsid w:val="00EF35E7"/>
    <w:rsid w:val="00EF52DE"/>
    <w:rsid w:val="00F00BCE"/>
    <w:rsid w:val="00F035E5"/>
    <w:rsid w:val="00F2138E"/>
    <w:rsid w:val="00F26636"/>
    <w:rsid w:val="00F26EB0"/>
    <w:rsid w:val="00F27991"/>
    <w:rsid w:val="00F32B1E"/>
    <w:rsid w:val="00F3628F"/>
    <w:rsid w:val="00F40CF2"/>
    <w:rsid w:val="00F42669"/>
    <w:rsid w:val="00F51D6B"/>
    <w:rsid w:val="00F705E3"/>
    <w:rsid w:val="00F81D8F"/>
    <w:rsid w:val="00F8250F"/>
    <w:rsid w:val="00F83BDB"/>
    <w:rsid w:val="00FA0C29"/>
    <w:rsid w:val="00FA26AF"/>
    <w:rsid w:val="00FA6543"/>
    <w:rsid w:val="00FB063A"/>
    <w:rsid w:val="00FB58EA"/>
    <w:rsid w:val="00FB599C"/>
    <w:rsid w:val="00FC108E"/>
    <w:rsid w:val="00FC2DC1"/>
    <w:rsid w:val="00FD0514"/>
    <w:rsid w:val="00FD4230"/>
    <w:rsid w:val="00FD5177"/>
    <w:rsid w:val="00FE09E3"/>
    <w:rsid w:val="00FE68D5"/>
    <w:rsid w:val="00FF0E79"/>
    <w:rsid w:val="00FF48E0"/>
    <w:rsid w:val="00FF59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5:chartTrackingRefBased/>
  <w15:docId w15:val="{601C0613-3455-49CC-973A-B098F3243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1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
    <w:name w:val="normal--char"/>
    <w:rsid w:val="001D510D"/>
    <w:rPr>
      <w:rFonts w:ascii="Times New Roman" w:hAnsi="Times New Roman" w:cs="Times New Roman"/>
    </w:rPr>
  </w:style>
  <w:style w:type="paragraph" w:styleId="FootnoteText">
    <w:name w:val="footnote text"/>
    <w:basedOn w:val="Normal"/>
    <w:link w:val="FootnoteTextChar"/>
    <w:rsid w:val="00F3628F"/>
    <w:pPr>
      <w:ind w:firstLine="0"/>
      <w:jc w:val="left"/>
    </w:pPr>
    <w:rPr>
      <w:rFonts w:eastAsia="Times New Roman" w:cs="Times New Roman"/>
      <w:sz w:val="20"/>
      <w:szCs w:val="20"/>
      <w:lang w:eastAsia="lv-LV"/>
    </w:rPr>
  </w:style>
  <w:style w:type="character" w:customStyle="1" w:styleId="FootnoteTextChar">
    <w:name w:val="Footnote Text Char"/>
    <w:basedOn w:val="DefaultParagraphFont"/>
    <w:link w:val="FootnoteText"/>
    <w:rsid w:val="00F3628F"/>
    <w:rPr>
      <w:rFonts w:eastAsia="Times New Roman" w:cs="Times New Roman"/>
      <w:sz w:val="20"/>
      <w:szCs w:val="20"/>
      <w:lang w:eastAsia="lv-LV"/>
    </w:rPr>
  </w:style>
  <w:style w:type="character" w:styleId="FootnoteReference">
    <w:name w:val="footnote reference"/>
    <w:aliases w:val="Footnote Reference Number"/>
    <w:rsid w:val="00F3628F"/>
    <w:rPr>
      <w:vertAlign w:val="superscript"/>
    </w:rPr>
  </w:style>
  <w:style w:type="paragraph" w:customStyle="1" w:styleId="naisf">
    <w:name w:val="naisf"/>
    <w:basedOn w:val="Normal"/>
    <w:rsid w:val="00F3628F"/>
    <w:pPr>
      <w:spacing w:before="75" w:after="75"/>
      <w:ind w:firstLine="375"/>
    </w:pPr>
    <w:rPr>
      <w:rFonts w:eastAsia="Calibri" w:cs="Times New Roman"/>
      <w:sz w:val="24"/>
      <w:szCs w:val="24"/>
      <w:lang w:eastAsia="lv-LV"/>
    </w:rPr>
  </w:style>
  <w:style w:type="paragraph" w:styleId="ListParagraph">
    <w:name w:val="List Paragraph"/>
    <w:basedOn w:val="Normal"/>
    <w:uiPriority w:val="34"/>
    <w:qFormat/>
    <w:rsid w:val="00623A32"/>
    <w:pPr>
      <w:ind w:left="720"/>
      <w:contextualSpacing/>
    </w:pPr>
  </w:style>
  <w:style w:type="paragraph" w:customStyle="1" w:styleId="naisnod">
    <w:name w:val="naisnod"/>
    <w:basedOn w:val="Normal"/>
    <w:rsid w:val="003D6EA8"/>
    <w:pPr>
      <w:spacing w:before="100" w:beforeAutospacing="1" w:after="100" w:afterAutospacing="1"/>
      <w:ind w:firstLine="0"/>
      <w:jc w:val="left"/>
    </w:pPr>
    <w:rPr>
      <w:rFonts w:eastAsia="Times New Roman" w:cs="Times New Roman"/>
      <w:sz w:val="24"/>
      <w:szCs w:val="24"/>
      <w:lang w:eastAsia="lv-LV"/>
    </w:rPr>
  </w:style>
  <w:style w:type="paragraph" w:customStyle="1" w:styleId="naiskr">
    <w:name w:val="naiskr"/>
    <w:basedOn w:val="Normal"/>
    <w:rsid w:val="003D6EA8"/>
    <w:pPr>
      <w:spacing w:before="100" w:beforeAutospacing="1" w:after="100" w:afterAutospacing="1"/>
      <w:ind w:firstLine="0"/>
      <w:jc w:val="left"/>
    </w:pPr>
    <w:rPr>
      <w:rFonts w:eastAsia="Times New Roman" w:cs="Times New Roman"/>
      <w:sz w:val="24"/>
      <w:szCs w:val="24"/>
      <w:lang w:eastAsia="lv-LV"/>
    </w:rPr>
  </w:style>
  <w:style w:type="paragraph" w:styleId="NormalWeb">
    <w:name w:val="Normal (Web)"/>
    <w:basedOn w:val="Normal"/>
    <w:uiPriority w:val="99"/>
    <w:rsid w:val="003D6EA8"/>
    <w:pPr>
      <w:spacing w:before="100" w:beforeAutospacing="1" w:after="100" w:afterAutospacing="1"/>
      <w:ind w:firstLine="0"/>
      <w:jc w:val="left"/>
    </w:pPr>
    <w:rPr>
      <w:rFonts w:eastAsia="Times New Roman" w:cs="Times New Roman"/>
      <w:sz w:val="24"/>
      <w:szCs w:val="24"/>
      <w:lang w:eastAsia="lv-LV"/>
    </w:rPr>
  </w:style>
  <w:style w:type="paragraph" w:styleId="Header">
    <w:name w:val="header"/>
    <w:basedOn w:val="Normal"/>
    <w:link w:val="HeaderChar"/>
    <w:uiPriority w:val="99"/>
    <w:unhideWhenUsed/>
    <w:rsid w:val="00B605EA"/>
    <w:pPr>
      <w:tabs>
        <w:tab w:val="center" w:pos="4153"/>
        <w:tab w:val="right" w:pos="8306"/>
      </w:tabs>
    </w:pPr>
  </w:style>
  <w:style w:type="character" w:customStyle="1" w:styleId="HeaderChar">
    <w:name w:val="Header Char"/>
    <w:basedOn w:val="DefaultParagraphFont"/>
    <w:link w:val="Header"/>
    <w:uiPriority w:val="99"/>
    <w:rsid w:val="00B605EA"/>
  </w:style>
  <w:style w:type="paragraph" w:styleId="Footer">
    <w:name w:val="footer"/>
    <w:basedOn w:val="Normal"/>
    <w:link w:val="FooterChar"/>
    <w:uiPriority w:val="99"/>
    <w:unhideWhenUsed/>
    <w:rsid w:val="00B605EA"/>
    <w:pPr>
      <w:tabs>
        <w:tab w:val="center" w:pos="4153"/>
        <w:tab w:val="right" w:pos="8306"/>
      </w:tabs>
    </w:pPr>
  </w:style>
  <w:style w:type="character" w:customStyle="1" w:styleId="FooterChar">
    <w:name w:val="Footer Char"/>
    <w:basedOn w:val="DefaultParagraphFont"/>
    <w:link w:val="Footer"/>
    <w:uiPriority w:val="99"/>
    <w:rsid w:val="00B605EA"/>
  </w:style>
  <w:style w:type="paragraph" w:styleId="BalloonText">
    <w:name w:val="Balloon Text"/>
    <w:basedOn w:val="Normal"/>
    <w:link w:val="BalloonTextChar"/>
    <w:uiPriority w:val="99"/>
    <w:semiHidden/>
    <w:unhideWhenUsed/>
    <w:rsid w:val="00887DF1"/>
    <w:rPr>
      <w:rFonts w:ascii="Arial" w:hAnsi="Arial" w:cs="Arial"/>
      <w:sz w:val="18"/>
      <w:szCs w:val="18"/>
    </w:rPr>
  </w:style>
  <w:style w:type="character" w:customStyle="1" w:styleId="BalloonTextChar">
    <w:name w:val="Balloon Text Char"/>
    <w:basedOn w:val="DefaultParagraphFont"/>
    <w:link w:val="BalloonText"/>
    <w:uiPriority w:val="99"/>
    <w:semiHidden/>
    <w:rsid w:val="00887DF1"/>
    <w:rPr>
      <w:rFonts w:ascii="Arial" w:hAnsi="Arial" w:cs="Arial"/>
      <w:sz w:val="18"/>
      <w:szCs w:val="18"/>
    </w:rPr>
  </w:style>
  <w:style w:type="character" w:styleId="Hyperlink">
    <w:name w:val="Hyperlink"/>
    <w:basedOn w:val="DefaultParagraphFont"/>
    <w:uiPriority w:val="99"/>
    <w:unhideWhenUsed/>
    <w:rsid w:val="00963E11"/>
    <w:rPr>
      <w:color w:val="0563C1" w:themeColor="hyperlink"/>
      <w:u w:val="single"/>
    </w:rPr>
  </w:style>
  <w:style w:type="paragraph" w:customStyle="1" w:styleId="naisc">
    <w:name w:val="naisc"/>
    <w:basedOn w:val="Normal"/>
    <w:rsid w:val="00EC2D4F"/>
    <w:pPr>
      <w:spacing w:before="75" w:after="75"/>
      <w:ind w:firstLine="0"/>
      <w:jc w:val="center"/>
    </w:pPr>
    <w:rPr>
      <w:rFonts w:eastAsia="Times New Roman" w:cs="Times New Roman"/>
      <w:sz w:val="24"/>
      <w:szCs w:val="24"/>
      <w:lang w:eastAsia="lv-LV"/>
    </w:rPr>
  </w:style>
  <w:style w:type="character" w:styleId="CommentReference">
    <w:name w:val="annotation reference"/>
    <w:rsid w:val="005C08CF"/>
    <w:rPr>
      <w:sz w:val="16"/>
      <w:szCs w:val="16"/>
    </w:rPr>
  </w:style>
  <w:style w:type="paragraph" w:styleId="CommentText">
    <w:name w:val="annotation text"/>
    <w:basedOn w:val="Normal"/>
    <w:link w:val="CommentTextChar"/>
    <w:rsid w:val="005C08CF"/>
    <w:pPr>
      <w:suppressAutoHyphens/>
      <w:ind w:firstLine="0"/>
      <w:jc w:val="left"/>
    </w:pPr>
    <w:rPr>
      <w:rFonts w:eastAsia="Times New Roman" w:cs="Calibri"/>
      <w:color w:val="000000"/>
      <w:spacing w:val="-2"/>
      <w:sz w:val="20"/>
      <w:szCs w:val="20"/>
      <w:lang w:eastAsia="ar-SA"/>
    </w:rPr>
  </w:style>
  <w:style w:type="character" w:customStyle="1" w:styleId="CommentTextChar">
    <w:name w:val="Comment Text Char"/>
    <w:basedOn w:val="DefaultParagraphFont"/>
    <w:link w:val="CommentText"/>
    <w:rsid w:val="005C08CF"/>
    <w:rPr>
      <w:rFonts w:eastAsia="Times New Roman" w:cs="Calibri"/>
      <w:color w:val="000000"/>
      <w:spacing w:val="-2"/>
      <w:sz w:val="20"/>
      <w:szCs w:val="20"/>
      <w:lang w:eastAsia="ar-SA"/>
    </w:rPr>
  </w:style>
  <w:style w:type="paragraph" w:styleId="CommentSubject">
    <w:name w:val="annotation subject"/>
    <w:basedOn w:val="CommentText"/>
    <w:next w:val="CommentText"/>
    <w:link w:val="CommentSubjectChar"/>
    <w:uiPriority w:val="99"/>
    <w:semiHidden/>
    <w:unhideWhenUsed/>
    <w:rsid w:val="005C08CF"/>
    <w:pPr>
      <w:suppressAutoHyphens w:val="0"/>
      <w:ind w:firstLine="720"/>
      <w:jc w:val="both"/>
    </w:pPr>
    <w:rPr>
      <w:rFonts w:eastAsiaTheme="minorHAnsi" w:cstheme="minorBidi"/>
      <w:b/>
      <w:bCs/>
      <w:color w:val="auto"/>
      <w:spacing w:val="0"/>
      <w:lang w:eastAsia="en-US"/>
    </w:rPr>
  </w:style>
  <w:style w:type="character" w:customStyle="1" w:styleId="CommentSubjectChar">
    <w:name w:val="Comment Subject Char"/>
    <w:basedOn w:val="CommentTextChar"/>
    <w:link w:val="CommentSubject"/>
    <w:uiPriority w:val="99"/>
    <w:semiHidden/>
    <w:rsid w:val="005C08CF"/>
    <w:rPr>
      <w:rFonts w:eastAsia="Times New Roman" w:cs="Calibri"/>
      <w:b/>
      <w:bCs/>
      <w:color w:val="000000"/>
      <w:spacing w:val="-2"/>
      <w:sz w:val="20"/>
      <w:szCs w:val="20"/>
      <w:lang w:eastAsia="ar-SA"/>
    </w:rPr>
  </w:style>
  <w:style w:type="table" w:styleId="TableGrid">
    <w:name w:val="Table Grid"/>
    <w:basedOn w:val="TableNormal"/>
    <w:uiPriority w:val="59"/>
    <w:rsid w:val="00421CF8"/>
    <w:pPr>
      <w:ind w:firstLine="0"/>
    </w:pPr>
    <w:rPr>
      <w:rFonts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532376">
      <w:bodyDiv w:val="1"/>
      <w:marLeft w:val="0"/>
      <w:marRight w:val="0"/>
      <w:marTop w:val="0"/>
      <w:marBottom w:val="0"/>
      <w:divBdr>
        <w:top w:val="none" w:sz="0" w:space="0" w:color="auto"/>
        <w:left w:val="none" w:sz="0" w:space="0" w:color="auto"/>
        <w:bottom w:val="none" w:sz="0" w:space="0" w:color="auto"/>
        <w:right w:val="none" w:sz="0" w:space="0" w:color="auto"/>
      </w:divBdr>
    </w:div>
    <w:div w:id="1316111250">
      <w:bodyDiv w:val="1"/>
      <w:marLeft w:val="0"/>
      <w:marRight w:val="0"/>
      <w:marTop w:val="0"/>
      <w:marBottom w:val="0"/>
      <w:divBdr>
        <w:top w:val="none" w:sz="0" w:space="0" w:color="auto"/>
        <w:left w:val="none" w:sz="0" w:space="0" w:color="auto"/>
        <w:bottom w:val="none" w:sz="0" w:space="0" w:color="auto"/>
        <w:right w:val="none" w:sz="0" w:space="0" w:color="auto"/>
      </w:divBdr>
    </w:div>
    <w:div w:id="206513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2ADCE-9F51-4686-94BA-0240FD82E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17255</Words>
  <Characters>9836</Characters>
  <Application>Microsoft Office Word</Application>
  <DocSecurity>0</DocSecurity>
  <Lines>81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Dzintra Rancāne</dc:creator>
  <cp:keywords/>
  <dc:description/>
  <cp:lastModifiedBy>Dzintra Rancāne</cp:lastModifiedBy>
  <cp:revision>16</cp:revision>
  <cp:lastPrinted>2014-11-21T13:23:00Z</cp:lastPrinted>
  <dcterms:created xsi:type="dcterms:W3CDTF">2014-11-21T13:42:00Z</dcterms:created>
  <dcterms:modified xsi:type="dcterms:W3CDTF">2014-11-21T14:33:00Z</dcterms:modified>
</cp:coreProperties>
</file>