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FB90" w14:textId="674F4BFE" w:rsidR="007F6B1C" w:rsidRPr="000F5EDB" w:rsidRDefault="00E53494" w:rsidP="006F293E">
      <w:pPr>
        <w:pStyle w:val="NormalWeb"/>
        <w:spacing w:before="0" w:beforeAutospacing="0" w:after="0" w:afterAutospacing="0"/>
        <w:jc w:val="center"/>
        <w:rPr>
          <w:sz w:val="28"/>
          <w:szCs w:val="28"/>
        </w:rPr>
      </w:pPr>
      <w:r w:rsidRPr="000F5EDB">
        <w:rPr>
          <w:b/>
          <w:bCs/>
          <w:sz w:val="28"/>
          <w:szCs w:val="28"/>
        </w:rPr>
        <w:t>Rīkojuma</w:t>
      </w:r>
      <w:r w:rsidR="005128C9" w:rsidRPr="000F5EDB">
        <w:rPr>
          <w:b/>
          <w:bCs/>
          <w:sz w:val="28"/>
          <w:szCs w:val="28"/>
        </w:rPr>
        <w:t xml:space="preserve"> projekta „</w:t>
      </w:r>
      <w:r w:rsidR="00B50250" w:rsidRPr="00B50250">
        <w:rPr>
          <w:b/>
          <w:sz w:val="28"/>
          <w:szCs w:val="28"/>
        </w:rPr>
        <w:t>Par finanšu līdzekļu piešķiršanu Iekšlietu ministrijai ar transportlīdzekļu iegādi saistītu izdevumu segšanai Latvijas Republikas prezidentūras Eiropas Savienības Padomē pasākumu nodrošināšanai</w:t>
      </w:r>
      <w:r w:rsidR="005128C9" w:rsidRPr="000F5EDB">
        <w:rPr>
          <w:b/>
          <w:bCs/>
          <w:sz w:val="28"/>
          <w:szCs w:val="28"/>
        </w:rPr>
        <w:t xml:space="preserve">” sākotnējās ietekmes novērtējuma </w:t>
      </w:r>
      <w:smartTag w:uri="schemas-tilde-lv/tildestengine" w:element="veidnes">
        <w:smartTagPr>
          <w:attr w:name="text" w:val="ziņojums"/>
          <w:attr w:name="baseform" w:val="ziņojums"/>
          <w:attr w:name="id" w:val="-1"/>
        </w:smartTagPr>
        <w:r w:rsidR="005128C9" w:rsidRPr="000F5EDB">
          <w:rPr>
            <w:b/>
            <w:bCs/>
            <w:sz w:val="28"/>
            <w:szCs w:val="28"/>
          </w:rPr>
          <w:t>ziņojums</w:t>
        </w:r>
      </w:smartTag>
      <w:r w:rsidR="005128C9" w:rsidRPr="000F5EDB">
        <w:rPr>
          <w:b/>
          <w:bCs/>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0F5EDB" w:rsidRPr="000F5EDB" w14:paraId="0877641A" w14:textId="77777777" w:rsidTr="000D2380">
        <w:trPr>
          <w:trHeight w:val="419"/>
        </w:trPr>
        <w:tc>
          <w:tcPr>
            <w:tcW w:w="5000" w:type="pct"/>
            <w:gridSpan w:val="3"/>
            <w:vAlign w:val="center"/>
          </w:tcPr>
          <w:p w14:paraId="718EA5B1" w14:textId="77777777" w:rsidR="007F6B1C" w:rsidRPr="000F5EDB" w:rsidRDefault="007F6B1C" w:rsidP="000D2380">
            <w:pPr>
              <w:pStyle w:val="naisnod"/>
              <w:spacing w:before="0" w:beforeAutospacing="0" w:after="0" w:afterAutospacing="0"/>
              <w:ind w:left="57" w:right="57"/>
              <w:jc w:val="center"/>
              <w:rPr>
                <w:b/>
              </w:rPr>
            </w:pPr>
            <w:r w:rsidRPr="000F5EDB">
              <w:rPr>
                <w:b/>
              </w:rPr>
              <w:t>I. Tiesību akta projekta izstrādes nepieciešamība</w:t>
            </w:r>
          </w:p>
        </w:tc>
      </w:tr>
      <w:tr w:rsidR="000F5EDB" w:rsidRPr="000F5EDB" w14:paraId="2AF0A2AA" w14:textId="77777777" w:rsidTr="000D2380">
        <w:trPr>
          <w:trHeight w:val="415"/>
        </w:trPr>
        <w:tc>
          <w:tcPr>
            <w:tcW w:w="227" w:type="pct"/>
          </w:tcPr>
          <w:p w14:paraId="6747E307" w14:textId="77777777" w:rsidR="007F6B1C" w:rsidRPr="000F5EDB" w:rsidRDefault="007F6B1C" w:rsidP="000D2380">
            <w:pPr>
              <w:pStyle w:val="naiskr"/>
              <w:spacing w:before="0" w:beforeAutospacing="0" w:after="0" w:afterAutospacing="0"/>
              <w:ind w:left="57" w:right="57"/>
              <w:jc w:val="center"/>
            </w:pPr>
            <w:r w:rsidRPr="000F5EDB">
              <w:t>1.</w:t>
            </w:r>
          </w:p>
        </w:tc>
        <w:tc>
          <w:tcPr>
            <w:tcW w:w="1565" w:type="pct"/>
          </w:tcPr>
          <w:p w14:paraId="4BDD7C7A" w14:textId="1D0890B3" w:rsidR="00350BAD" w:rsidRDefault="007F6B1C" w:rsidP="000D2380">
            <w:pPr>
              <w:pStyle w:val="naiskr"/>
              <w:spacing w:before="0" w:beforeAutospacing="0" w:after="0" w:afterAutospacing="0"/>
              <w:ind w:left="57" w:right="57"/>
            </w:pPr>
            <w:r w:rsidRPr="000F5EDB">
              <w:t>Pamatojums</w:t>
            </w:r>
          </w:p>
          <w:p w14:paraId="3CBAB081" w14:textId="77777777" w:rsidR="00350BAD" w:rsidRPr="00350BAD" w:rsidRDefault="00350BAD" w:rsidP="00350BAD">
            <w:pPr>
              <w:rPr>
                <w:lang w:eastAsia="lv-LV"/>
              </w:rPr>
            </w:pPr>
          </w:p>
          <w:p w14:paraId="6CA3D6F3" w14:textId="61121556" w:rsidR="00350BAD" w:rsidRDefault="00350BAD" w:rsidP="00350BAD">
            <w:pPr>
              <w:rPr>
                <w:lang w:eastAsia="lv-LV"/>
              </w:rPr>
            </w:pPr>
          </w:p>
          <w:p w14:paraId="0DC9613B" w14:textId="77777777" w:rsidR="007F6B1C" w:rsidRPr="00350BAD" w:rsidRDefault="007F6B1C" w:rsidP="00350BAD">
            <w:pPr>
              <w:ind w:firstLine="720"/>
              <w:rPr>
                <w:lang w:eastAsia="lv-LV"/>
              </w:rPr>
            </w:pPr>
          </w:p>
        </w:tc>
        <w:tc>
          <w:tcPr>
            <w:tcW w:w="3207" w:type="pct"/>
          </w:tcPr>
          <w:p w14:paraId="08BC4F94" w14:textId="3002F4C4" w:rsidR="00B50250" w:rsidRPr="00B50250" w:rsidRDefault="00B50250" w:rsidP="00B50250">
            <w:pPr>
              <w:pStyle w:val="Heading3"/>
              <w:shd w:val="clear" w:color="auto" w:fill="FFFFFF"/>
              <w:spacing w:before="0" w:beforeAutospacing="0" w:after="0" w:afterAutospacing="0"/>
              <w:ind w:right="57" w:firstLine="386"/>
              <w:jc w:val="both"/>
              <w:rPr>
                <w:b w:val="0"/>
                <w:sz w:val="24"/>
                <w:szCs w:val="24"/>
              </w:rPr>
            </w:pPr>
            <w:r w:rsidRPr="00B50250">
              <w:rPr>
                <w:b w:val="0"/>
                <w:sz w:val="24"/>
                <w:szCs w:val="24"/>
              </w:rPr>
              <w:t>Iekšlietu ministrijas iniciatīva.</w:t>
            </w:r>
          </w:p>
          <w:p w14:paraId="0AFD349B" w14:textId="0127D056" w:rsidR="005D2C25" w:rsidRPr="00B50250" w:rsidRDefault="005D2C25" w:rsidP="00B50250">
            <w:pPr>
              <w:pStyle w:val="Heading3"/>
              <w:shd w:val="clear" w:color="auto" w:fill="FFFFFF"/>
              <w:spacing w:before="0" w:beforeAutospacing="0" w:after="0" w:afterAutospacing="0"/>
              <w:ind w:right="57" w:firstLine="386"/>
              <w:jc w:val="both"/>
              <w:rPr>
                <w:b w:val="0"/>
                <w:sz w:val="24"/>
                <w:szCs w:val="24"/>
              </w:rPr>
            </w:pPr>
            <w:r w:rsidRPr="00B50250">
              <w:rPr>
                <w:b w:val="0"/>
                <w:sz w:val="24"/>
                <w:szCs w:val="24"/>
              </w:rPr>
              <w:t>Ministru kabineta 2009.gada</w:t>
            </w:r>
            <w:r w:rsidR="00B50250" w:rsidRPr="00B50250">
              <w:rPr>
                <w:b w:val="0"/>
                <w:sz w:val="24"/>
                <w:szCs w:val="24"/>
              </w:rPr>
              <w:t xml:space="preserve"> 22.decembra noteikumu Nr.1644 </w:t>
            </w:r>
            <w:r w:rsidR="00B50250" w:rsidRPr="00B50250">
              <w:rPr>
                <w:b w:val="0"/>
                <w:color w:val="000000"/>
                <w:sz w:val="24"/>
                <w:szCs w:val="24"/>
              </w:rPr>
              <w:t>„</w:t>
            </w:r>
            <w:r w:rsidRPr="00B50250">
              <w:rPr>
                <w:b w:val="0"/>
                <w:sz w:val="24"/>
                <w:szCs w:val="24"/>
              </w:rPr>
              <w:t>Kārtība, kādā pieprasa</w:t>
            </w:r>
            <w:r w:rsidR="00B50250" w:rsidRPr="00B50250">
              <w:rPr>
                <w:b w:val="0"/>
                <w:sz w:val="24"/>
                <w:szCs w:val="24"/>
              </w:rPr>
              <w:t xml:space="preserve"> un izlieto budžeta programmas </w:t>
            </w:r>
            <w:r w:rsidR="00B50250" w:rsidRPr="00B50250">
              <w:rPr>
                <w:b w:val="0"/>
                <w:color w:val="000000"/>
                <w:sz w:val="24"/>
                <w:szCs w:val="24"/>
              </w:rPr>
              <w:t>„</w:t>
            </w:r>
            <w:r w:rsidRPr="00B50250">
              <w:rPr>
                <w:b w:val="0"/>
                <w:sz w:val="24"/>
                <w:szCs w:val="24"/>
              </w:rPr>
              <w:t>Lī</w:t>
            </w:r>
            <w:r w:rsidR="00B50250" w:rsidRPr="00B50250">
              <w:rPr>
                <w:b w:val="0"/>
                <w:sz w:val="24"/>
                <w:szCs w:val="24"/>
              </w:rPr>
              <w:t>dzekļi neparedzētiem gadījumiem”</w:t>
            </w:r>
            <w:r w:rsidRPr="00B50250">
              <w:rPr>
                <w:b w:val="0"/>
                <w:sz w:val="24"/>
                <w:szCs w:val="24"/>
              </w:rPr>
              <w:t xml:space="preserve"> līdzekļus” 3.punkts, kas pa</w:t>
            </w:r>
            <w:r w:rsidR="00B50250" w:rsidRPr="00B50250">
              <w:rPr>
                <w:b w:val="0"/>
                <w:sz w:val="24"/>
                <w:szCs w:val="24"/>
              </w:rPr>
              <w:t xml:space="preserve">redz, ka no budžeta programmas </w:t>
            </w:r>
            <w:r w:rsidR="00B50250" w:rsidRPr="00B50250">
              <w:rPr>
                <w:b w:val="0"/>
                <w:color w:val="000000"/>
                <w:sz w:val="24"/>
                <w:szCs w:val="24"/>
              </w:rPr>
              <w:t>„</w:t>
            </w:r>
            <w:r w:rsidRPr="00B50250">
              <w:rPr>
                <w:b w:val="0"/>
                <w:sz w:val="24"/>
                <w:szCs w:val="24"/>
              </w:rPr>
              <w:t>Lī</w:t>
            </w:r>
            <w:r w:rsidR="00B50250" w:rsidRPr="00B50250">
              <w:rPr>
                <w:b w:val="0"/>
                <w:sz w:val="24"/>
                <w:szCs w:val="24"/>
              </w:rPr>
              <w:t>dzekļi neparedzētiem gadījumiem”</w:t>
            </w:r>
            <w:r w:rsidRPr="00B50250">
              <w:rPr>
                <w:b w:val="0"/>
                <w:sz w:val="24"/>
                <w:szCs w:val="24"/>
              </w:rPr>
              <w:t xml:space="preserve"> līdzekļus piešķir valsts pamatbudžeta apropriācijās neparedzētiem izdevumiem valstiski īpaši nozīmīgiem pasākumiem.</w:t>
            </w:r>
          </w:p>
          <w:p w14:paraId="2ED7E172" w14:textId="77777777" w:rsidR="00096ACC" w:rsidRPr="00CF707C" w:rsidRDefault="00096ACC" w:rsidP="007B64C4">
            <w:pPr>
              <w:pStyle w:val="Heading3"/>
              <w:shd w:val="clear" w:color="auto" w:fill="FFFFFF"/>
              <w:spacing w:before="0" w:beforeAutospacing="0" w:after="0" w:afterAutospacing="0"/>
              <w:ind w:right="57"/>
              <w:jc w:val="both"/>
              <w:rPr>
                <w:b w:val="0"/>
                <w:sz w:val="24"/>
                <w:szCs w:val="24"/>
              </w:rPr>
            </w:pPr>
          </w:p>
        </w:tc>
      </w:tr>
      <w:tr w:rsidR="000F5EDB" w:rsidRPr="00F841AE" w14:paraId="00652929" w14:textId="77777777" w:rsidTr="000D2380">
        <w:trPr>
          <w:trHeight w:val="472"/>
        </w:trPr>
        <w:tc>
          <w:tcPr>
            <w:tcW w:w="227" w:type="pct"/>
          </w:tcPr>
          <w:p w14:paraId="6C9D1BD6" w14:textId="77777777" w:rsidR="00FB5064" w:rsidRDefault="007F6B1C" w:rsidP="000D2380">
            <w:pPr>
              <w:pStyle w:val="naiskr"/>
              <w:spacing w:before="0" w:beforeAutospacing="0" w:after="0" w:afterAutospacing="0"/>
              <w:ind w:left="57" w:right="57"/>
              <w:jc w:val="center"/>
            </w:pPr>
            <w:r w:rsidRPr="000F5EDB">
              <w:t>2.</w:t>
            </w:r>
          </w:p>
          <w:p w14:paraId="6241D6E7" w14:textId="77777777" w:rsidR="00FB5064" w:rsidRPr="00FB5064" w:rsidRDefault="00FB5064" w:rsidP="00FB5064">
            <w:pPr>
              <w:rPr>
                <w:lang w:eastAsia="lv-LV"/>
              </w:rPr>
            </w:pPr>
          </w:p>
          <w:p w14:paraId="12DE46FE" w14:textId="77777777" w:rsidR="00FB5064" w:rsidRPr="00FB5064" w:rsidRDefault="00FB5064" w:rsidP="00FB5064">
            <w:pPr>
              <w:rPr>
                <w:lang w:eastAsia="lv-LV"/>
              </w:rPr>
            </w:pPr>
          </w:p>
          <w:p w14:paraId="74564767" w14:textId="77777777" w:rsidR="00FB5064" w:rsidRPr="00FB5064" w:rsidRDefault="00FB5064" w:rsidP="00FB5064">
            <w:pPr>
              <w:rPr>
                <w:lang w:eastAsia="lv-LV"/>
              </w:rPr>
            </w:pPr>
          </w:p>
          <w:p w14:paraId="2CFE1F0C" w14:textId="77777777" w:rsidR="00FB5064" w:rsidRPr="00FB5064" w:rsidRDefault="00FB5064" w:rsidP="00FB5064">
            <w:pPr>
              <w:rPr>
                <w:lang w:eastAsia="lv-LV"/>
              </w:rPr>
            </w:pPr>
          </w:p>
          <w:p w14:paraId="2BF9E71A" w14:textId="77777777" w:rsidR="00FB5064" w:rsidRPr="00FB5064" w:rsidRDefault="00FB5064" w:rsidP="00FB5064">
            <w:pPr>
              <w:rPr>
                <w:lang w:eastAsia="lv-LV"/>
              </w:rPr>
            </w:pPr>
          </w:p>
          <w:p w14:paraId="2D239ED2" w14:textId="77777777" w:rsidR="00FB5064" w:rsidRPr="00FB5064" w:rsidRDefault="00FB5064" w:rsidP="00FB5064">
            <w:pPr>
              <w:rPr>
                <w:lang w:eastAsia="lv-LV"/>
              </w:rPr>
            </w:pPr>
          </w:p>
          <w:p w14:paraId="4A90B7FA" w14:textId="77777777" w:rsidR="00FB5064" w:rsidRPr="00FB5064" w:rsidRDefault="00FB5064" w:rsidP="00FB5064">
            <w:pPr>
              <w:rPr>
                <w:lang w:eastAsia="lv-LV"/>
              </w:rPr>
            </w:pPr>
          </w:p>
          <w:p w14:paraId="2CEEDBEC" w14:textId="77777777" w:rsidR="00FB5064" w:rsidRPr="00FB5064" w:rsidRDefault="00FB5064" w:rsidP="00FB5064">
            <w:pPr>
              <w:rPr>
                <w:lang w:eastAsia="lv-LV"/>
              </w:rPr>
            </w:pPr>
          </w:p>
          <w:p w14:paraId="6277A800" w14:textId="77777777" w:rsidR="00FB5064" w:rsidRPr="00FB5064" w:rsidRDefault="00FB5064" w:rsidP="00FB5064">
            <w:pPr>
              <w:rPr>
                <w:lang w:eastAsia="lv-LV"/>
              </w:rPr>
            </w:pPr>
          </w:p>
          <w:p w14:paraId="2374FBD7" w14:textId="77777777" w:rsidR="00FB5064" w:rsidRPr="00FB5064" w:rsidRDefault="00FB5064" w:rsidP="00FB5064">
            <w:pPr>
              <w:rPr>
                <w:lang w:eastAsia="lv-LV"/>
              </w:rPr>
            </w:pPr>
          </w:p>
          <w:p w14:paraId="59EE39E6" w14:textId="77777777" w:rsidR="00FB5064" w:rsidRPr="00FB5064" w:rsidRDefault="00FB5064" w:rsidP="00FB5064">
            <w:pPr>
              <w:rPr>
                <w:lang w:eastAsia="lv-LV"/>
              </w:rPr>
            </w:pPr>
          </w:p>
          <w:p w14:paraId="233021BF" w14:textId="77777777" w:rsidR="00FB5064" w:rsidRPr="00FB5064" w:rsidRDefault="00FB5064" w:rsidP="00FB5064">
            <w:pPr>
              <w:rPr>
                <w:lang w:eastAsia="lv-LV"/>
              </w:rPr>
            </w:pPr>
          </w:p>
          <w:p w14:paraId="088B532A" w14:textId="77777777" w:rsidR="00FB5064" w:rsidRDefault="00FB5064" w:rsidP="00FB5064">
            <w:pPr>
              <w:rPr>
                <w:lang w:eastAsia="lv-LV"/>
              </w:rPr>
            </w:pPr>
          </w:p>
          <w:p w14:paraId="64021D44" w14:textId="77777777" w:rsidR="007F6B1C" w:rsidRPr="00FB5064" w:rsidRDefault="007F6B1C" w:rsidP="00FB5064">
            <w:pPr>
              <w:rPr>
                <w:lang w:eastAsia="lv-LV"/>
              </w:rPr>
            </w:pPr>
          </w:p>
        </w:tc>
        <w:tc>
          <w:tcPr>
            <w:tcW w:w="1565" w:type="pct"/>
          </w:tcPr>
          <w:p w14:paraId="40299D95" w14:textId="77777777" w:rsidR="00FB5064" w:rsidRDefault="007F6B1C" w:rsidP="000D2380">
            <w:pPr>
              <w:pStyle w:val="naiskr"/>
              <w:tabs>
                <w:tab w:val="left" w:pos="170"/>
              </w:tabs>
              <w:spacing w:before="0" w:beforeAutospacing="0" w:after="0" w:afterAutospacing="0"/>
              <w:ind w:left="57" w:right="57"/>
            </w:pPr>
            <w:r w:rsidRPr="000F5EDB">
              <w:t>Pašreizējā situācija un problēmas, kuru risināšanai tiesību akta projekts izstrādāts, tiesiskā regulējuma mērķis un būtība</w:t>
            </w:r>
          </w:p>
          <w:p w14:paraId="178F3BD7" w14:textId="77777777" w:rsidR="00FB5064" w:rsidRPr="00FB5064" w:rsidRDefault="00FB5064" w:rsidP="00EA7BD0">
            <w:pPr>
              <w:jc w:val="center"/>
              <w:rPr>
                <w:lang w:eastAsia="lv-LV"/>
              </w:rPr>
            </w:pPr>
          </w:p>
          <w:p w14:paraId="6CF7715B" w14:textId="77777777" w:rsidR="00FB5064" w:rsidRPr="00FB5064" w:rsidRDefault="00FB5064" w:rsidP="00FB5064">
            <w:pPr>
              <w:rPr>
                <w:lang w:eastAsia="lv-LV"/>
              </w:rPr>
            </w:pPr>
          </w:p>
          <w:p w14:paraId="6BC4B07C" w14:textId="77777777" w:rsidR="00FB5064" w:rsidRPr="00FB5064" w:rsidRDefault="00FB5064" w:rsidP="00FB5064">
            <w:pPr>
              <w:rPr>
                <w:lang w:eastAsia="lv-LV"/>
              </w:rPr>
            </w:pPr>
          </w:p>
          <w:p w14:paraId="73B36BC5" w14:textId="77777777" w:rsidR="00FB5064" w:rsidRPr="00FB5064" w:rsidRDefault="00FB5064" w:rsidP="00FB5064">
            <w:pPr>
              <w:rPr>
                <w:lang w:eastAsia="lv-LV"/>
              </w:rPr>
            </w:pPr>
          </w:p>
          <w:p w14:paraId="453A65F8" w14:textId="77777777" w:rsidR="00FB5064" w:rsidRPr="00FB5064" w:rsidRDefault="00FB5064" w:rsidP="00FB5064">
            <w:pPr>
              <w:rPr>
                <w:lang w:eastAsia="lv-LV"/>
              </w:rPr>
            </w:pPr>
          </w:p>
          <w:p w14:paraId="6C66A93E" w14:textId="77777777" w:rsidR="00FB5064" w:rsidRPr="00FB5064" w:rsidRDefault="00FB5064" w:rsidP="00FB5064">
            <w:pPr>
              <w:rPr>
                <w:lang w:eastAsia="lv-LV"/>
              </w:rPr>
            </w:pPr>
          </w:p>
          <w:p w14:paraId="39779AAC" w14:textId="77777777" w:rsidR="00FB5064" w:rsidRPr="00FB5064" w:rsidRDefault="00FB5064" w:rsidP="00FB5064">
            <w:pPr>
              <w:rPr>
                <w:lang w:eastAsia="lv-LV"/>
              </w:rPr>
            </w:pPr>
          </w:p>
          <w:p w14:paraId="3C7588BC" w14:textId="77777777" w:rsidR="00FB5064" w:rsidRPr="00FB5064" w:rsidRDefault="00FB5064" w:rsidP="00FB5064">
            <w:pPr>
              <w:rPr>
                <w:lang w:eastAsia="lv-LV"/>
              </w:rPr>
            </w:pPr>
          </w:p>
          <w:p w14:paraId="040B5C62" w14:textId="77777777" w:rsidR="00FB5064" w:rsidRPr="00FB5064" w:rsidRDefault="00FB5064" w:rsidP="00FB5064">
            <w:pPr>
              <w:rPr>
                <w:lang w:eastAsia="lv-LV"/>
              </w:rPr>
            </w:pPr>
          </w:p>
          <w:p w14:paraId="42E3C509" w14:textId="77777777" w:rsidR="00FB5064" w:rsidRPr="00FB5064" w:rsidRDefault="00FB5064" w:rsidP="00FB5064">
            <w:pPr>
              <w:rPr>
                <w:lang w:eastAsia="lv-LV"/>
              </w:rPr>
            </w:pPr>
          </w:p>
          <w:p w14:paraId="370AD545" w14:textId="77777777" w:rsidR="00FB5064" w:rsidRPr="00FB5064" w:rsidRDefault="00FB5064" w:rsidP="00FB5064">
            <w:pPr>
              <w:rPr>
                <w:lang w:eastAsia="lv-LV"/>
              </w:rPr>
            </w:pPr>
          </w:p>
          <w:p w14:paraId="35A47A3B" w14:textId="77777777" w:rsidR="00FB5064" w:rsidRPr="00FB5064" w:rsidRDefault="00FB5064" w:rsidP="00FB5064">
            <w:pPr>
              <w:rPr>
                <w:lang w:eastAsia="lv-LV"/>
              </w:rPr>
            </w:pPr>
          </w:p>
          <w:p w14:paraId="01F1EBD3" w14:textId="77777777" w:rsidR="00FB5064" w:rsidRDefault="00FB5064" w:rsidP="00FB5064">
            <w:pPr>
              <w:rPr>
                <w:lang w:eastAsia="lv-LV"/>
              </w:rPr>
            </w:pPr>
          </w:p>
          <w:p w14:paraId="38F0AE95" w14:textId="77777777" w:rsidR="007F6B1C" w:rsidRPr="00FB5064" w:rsidRDefault="007F6B1C" w:rsidP="00FB5064">
            <w:pPr>
              <w:ind w:firstLine="720"/>
              <w:rPr>
                <w:lang w:eastAsia="lv-LV"/>
              </w:rPr>
            </w:pPr>
          </w:p>
        </w:tc>
        <w:tc>
          <w:tcPr>
            <w:tcW w:w="3207" w:type="pct"/>
          </w:tcPr>
          <w:p w14:paraId="1005F091" w14:textId="0B42B38D" w:rsidR="00B50250" w:rsidRDefault="005D2C25" w:rsidP="00B50250">
            <w:pPr>
              <w:spacing w:line="240" w:lineRule="auto"/>
              <w:ind w:firstLine="386"/>
              <w:contextualSpacing/>
              <w:jc w:val="both"/>
              <w:rPr>
                <w:rFonts w:ascii="Times New Roman" w:hAnsi="Times New Roman"/>
                <w:color w:val="000000"/>
                <w:sz w:val="24"/>
                <w:szCs w:val="24"/>
              </w:rPr>
            </w:pPr>
            <w:r w:rsidRPr="009E59C6">
              <w:rPr>
                <w:rFonts w:ascii="Times New Roman" w:hAnsi="Times New Roman"/>
                <w:color w:val="000000"/>
                <w:sz w:val="24"/>
                <w:szCs w:val="24"/>
              </w:rPr>
              <w:t xml:space="preserve">Iekšlietu ministrija saskaņā ar Latvijas prezidentūras Eiropas Savienības Padomē sekretariāta 2012.gada 24.aprīļa vēstuli Nr.11/9 „Par papildus finansējuma pieprasījumiem 2013.-2015.gadam Latvijas prezidentūras ES Padomē nodrošināšanai” un Ministru kabineta 2012.gada 24.aprīļa </w:t>
            </w:r>
            <w:proofErr w:type="spellStart"/>
            <w:r w:rsidRPr="009E59C6">
              <w:rPr>
                <w:rFonts w:ascii="Times New Roman" w:hAnsi="Times New Roman"/>
                <w:color w:val="000000"/>
                <w:sz w:val="24"/>
                <w:szCs w:val="24"/>
              </w:rPr>
              <w:t>protokollēmuma</w:t>
            </w:r>
            <w:proofErr w:type="spellEnd"/>
            <w:r w:rsidRPr="009E59C6">
              <w:rPr>
                <w:rFonts w:ascii="Times New Roman" w:hAnsi="Times New Roman"/>
                <w:color w:val="000000"/>
                <w:sz w:val="24"/>
                <w:szCs w:val="24"/>
              </w:rPr>
              <w:t xml:space="preserve"> (prot. Nr.22 52.§) 3.punktu iesniedza Latvijas prezidentūras Eiropas Savienības Padomē </w:t>
            </w:r>
            <w:r w:rsidRPr="00A270DD">
              <w:rPr>
                <w:rFonts w:ascii="Times New Roman" w:hAnsi="Times New Roman"/>
                <w:color w:val="000000"/>
                <w:sz w:val="24"/>
                <w:szCs w:val="24"/>
              </w:rPr>
              <w:t xml:space="preserve">(turpmāk – Prezidentūra) </w:t>
            </w:r>
            <w:r w:rsidRPr="009E59C6">
              <w:rPr>
                <w:rFonts w:ascii="Times New Roman" w:hAnsi="Times New Roman"/>
                <w:color w:val="000000"/>
                <w:sz w:val="24"/>
                <w:szCs w:val="24"/>
              </w:rPr>
              <w:t xml:space="preserve"> sekretariātam papildus nepieciešamā finansējuma pieprasījumu 2013.-2015.gadam Prezidentūras</w:t>
            </w:r>
            <w:r w:rsidR="0022206E">
              <w:rPr>
                <w:rFonts w:ascii="Times New Roman" w:hAnsi="Times New Roman"/>
                <w:color w:val="000000"/>
                <w:sz w:val="24"/>
                <w:szCs w:val="24"/>
              </w:rPr>
              <w:t xml:space="preserve"> drošības pasākumu</w:t>
            </w:r>
            <w:r w:rsidRPr="009E59C6">
              <w:rPr>
                <w:rFonts w:ascii="Times New Roman" w:hAnsi="Times New Roman"/>
                <w:color w:val="000000"/>
                <w:sz w:val="24"/>
                <w:szCs w:val="24"/>
              </w:rPr>
              <w:t xml:space="preserve"> nodrošināšanai. Taču Iekšlietu ministrijas 2012.gada 18.maija vēstulē Nr.1-40/1526 „Par papildu nepieciešamo finansējumu Latvijas prezidentūras Eiropas Savienības Padomē nodrošināšanai” minētais transportlīdzekļu pieprasījums, kas paredzēja nodrošināt Valsts policiju 2014.gadā ar vienu bruņumašīnu un 40 vieglajiem automobiļiem neguva atbalstu, un finanšu līdzekļi netika piešķirti sakarā ar ierobežoto finansējumu Prezidentūras nodrošināšanai.</w:t>
            </w:r>
          </w:p>
          <w:p w14:paraId="03769E0A" w14:textId="77777777" w:rsidR="00B50250" w:rsidRDefault="005D2C25" w:rsidP="00B50250">
            <w:pPr>
              <w:spacing w:line="240" w:lineRule="auto"/>
              <w:ind w:firstLine="386"/>
              <w:contextualSpacing/>
              <w:jc w:val="both"/>
              <w:rPr>
                <w:rFonts w:ascii="Times New Roman" w:hAnsi="Times New Roman"/>
                <w:color w:val="000000"/>
                <w:sz w:val="24"/>
                <w:szCs w:val="24"/>
              </w:rPr>
            </w:pPr>
            <w:r w:rsidRPr="00B50435">
              <w:rPr>
                <w:rFonts w:ascii="Times New Roman" w:hAnsi="Times New Roman"/>
                <w:color w:val="000000"/>
                <w:sz w:val="24"/>
                <w:szCs w:val="24"/>
              </w:rPr>
              <w:t xml:space="preserve">Prezidentūras laikā Valsts policijai </w:t>
            </w:r>
            <w:r>
              <w:rPr>
                <w:rFonts w:ascii="Times New Roman" w:hAnsi="Times New Roman"/>
                <w:color w:val="000000"/>
                <w:sz w:val="24"/>
                <w:szCs w:val="24"/>
              </w:rPr>
              <w:t xml:space="preserve">atbilstoši </w:t>
            </w:r>
            <w:r w:rsidRPr="00B50435">
              <w:rPr>
                <w:rFonts w:ascii="Times New Roman" w:hAnsi="Times New Roman"/>
                <w:color w:val="000000"/>
                <w:sz w:val="24"/>
                <w:szCs w:val="24"/>
              </w:rPr>
              <w:t>Ministru kabineta 2003.gada 25.jūnija noteikum</w:t>
            </w:r>
            <w:r>
              <w:rPr>
                <w:rFonts w:ascii="Times New Roman" w:hAnsi="Times New Roman"/>
                <w:color w:val="000000"/>
                <w:sz w:val="24"/>
                <w:szCs w:val="24"/>
              </w:rPr>
              <w:t>u</w:t>
            </w:r>
            <w:r w:rsidRPr="00B50435">
              <w:rPr>
                <w:rFonts w:ascii="Times New Roman" w:hAnsi="Times New Roman"/>
                <w:color w:val="000000"/>
                <w:sz w:val="24"/>
                <w:szCs w:val="24"/>
              </w:rPr>
              <w:t xml:space="preserve"> Nr.340 </w:t>
            </w:r>
            <w:r>
              <w:rPr>
                <w:rFonts w:ascii="Times New Roman" w:hAnsi="Times New Roman"/>
                <w:color w:val="000000"/>
                <w:sz w:val="24"/>
                <w:szCs w:val="24"/>
              </w:rPr>
              <w:t>„</w:t>
            </w:r>
            <w:r w:rsidRPr="00B50435">
              <w:rPr>
                <w:rFonts w:ascii="Times New Roman" w:hAnsi="Times New Roman"/>
                <w:color w:val="000000"/>
                <w:sz w:val="24"/>
                <w:szCs w:val="24"/>
              </w:rPr>
              <w:t>Kārtība, kādā Drošības policija veic aizsargājamo amatpersonu aizsardzību (apsardzi)”</w:t>
            </w:r>
            <w:r>
              <w:rPr>
                <w:rFonts w:ascii="Times New Roman" w:hAnsi="Times New Roman"/>
                <w:color w:val="000000"/>
                <w:sz w:val="24"/>
                <w:szCs w:val="24"/>
              </w:rPr>
              <w:t xml:space="preserve"> 9., 12. un 15.punktam </w:t>
            </w:r>
            <w:r w:rsidRPr="00B50435">
              <w:rPr>
                <w:rFonts w:ascii="Times New Roman" w:hAnsi="Times New Roman"/>
                <w:color w:val="000000"/>
                <w:sz w:val="24"/>
                <w:szCs w:val="24"/>
              </w:rPr>
              <w:t xml:space="preserve">būs jānodrošina ap 200 dažāda līmeņa un satura pasākumi, kuru laikā būs jāveic Eiropas Savienības (turpmāk – ES) valstu līderu, dažādu ekspertu un nozaru ministru, </w:t>
            </w:r>
            <w:r>
              <w:rPr>
                <w:rFonts w:ascii="Times New Roman" w:hAnsi="Times New Roman"/>
                <w:color w:val="000000"/>
                <w:sz w:val="24"/>
                <w:szCs w:val="24"/>
              </w:rPr>
              <w:t xml:space="preserve">kā arī </w:t>
            </w:r>
            <w:r w:rsidRPr="00B50435">
              <w:rPr>
                <w:rFonts w:ascii="Times New Roman" w:hAnsi="Times New Roman"/>
                <w:color w:val="000000"/>
                <w:sz w:val="24"/>
                <w:szCs w:val="24"/>
              </w:rPr>
              <w:t>delegāciju drošības pasākumu nodrošināšan</w:t>
            </w:r>
            <w:r>
              <w:rPr>
                <w:rFonts w:ascii="Times New Roman" w:hAnsi="Times New Roman"/>
                <w:color w:val="000000"/>
                <w:sz w:val="24"/>
                <w:szCs w:val="24"/>
              </w:rPr>
              <w:t>a</w:t>
            </w:r>
            <w:r w:rsidRPr="00B50435">
              <w:rPr>
                <w:rFonts w:ascii="Times New Roman" w:hAnsi="Times New Roman"/>
                <w:color w:val="000000"/>
                <w:sz w:val="24"/>
                <w:szCs w:val="24"/>
              </w:rPr>
              <w:t xml:space="preserve">. </w:t>
            </w:r>
          </w:p>
          <w:p w14:paraId="6004B4B7" w14:textId="77777777" w:rsidR="00976707" w:rsidRDefault="005D2C25" w:rsidP="00976707">
            <w:pPr>
              <w:spacing w:line="240" w:lineRule="auto"/>
              <w:ind w:firstLine="386"/>
              <w:contextualSpacing/>
              <w:jc w:val="both"/>
              <w:rPr>
                <w:rFonts w:ascii="Times New Roman" w:hAnsi="Times New Roman"/>
                <w:color w:val="000000"/>
                <w:sz w:val="24"/>
                <w:szCs w:val="24"/>
              </w:rPr>
            </w:pPr>
            <w:r w:rsidRPr="00B50435">
              <w:rPr>
                <w:rFonts w:ascii="Times New Roman" w:hAnsi="Times New Roman"/>
                <w:color w:val="000000"/>
                <w:sz w:val="24"/>
                <w:szCs w:val="24"/>
              </w:rPr>
              <w:t xml:space="preserve">Prezidentūras laikā notiks virkne </w:t>
            </w:r>
            <w:r w:rsidRPr="009E59C6">
              <w:rPr>
                <w:rFonts w:ascii="Times New Roman" w:hAnsi="Times New Roman"/>
                <w:color w:val="000000"/>
                <w:sz w:val="24"/>
                <w:szCs w:val="24"/>
              </w:rPr>
              <w:t>ES un trešo valstu daudzpusējas sanāksmes, tajā skaitā Austrumu partnerības samits</w:t>
            </w:r>
            <w:r>
              <w:rPr>
                <w:rFonts w:ascii="Times New Roman" w:hAnsi="Times New Roman"/>
                <w:color w:val="000000"/>
                <w:sz w:val="24"/>
                <w:szCs w:val="24"/>
              </w:rPr>
              <w:t xml:space="preserve"> (turpmāk – Samits)</w:t>
            </w:r>
            <w:r w:rsidRPr="00B50435">
              <w:rPr>
                <w:rFonts w:ascii="Times New Roman" w:hAnsi="Times New Roman"/>
                <w:color w:val="000000"/>
                <w:sz w:val="24"/>
                <w:szCs w:val="24"/>
              </w:rPr>
              <w:t xml:space="preserve">, kura laikā vienlaicīgi būs jāpavada </w:t>
            </w:r>
            <w:r>
              <w:rPr>
                <w:rFonts w:ascii="Times New Roman" w:hAnsi="Times New Roman"/>
                <w:color w:val="000000"/>
                <w:sz w:val="24"/>
                <w:szCs w:val="24"/>
              </w:rPr>
              <w:t xml:space="preserve">līdz </w:t>
            </w:r>
            <w:r w:rsidRPr="009E59C6">
              <w:rPr>
                <w:rFonts w:ascii="Times New Roman" w:hAnsi="Times New Roman"/>
                <w:color w:val="000000"/>
                <w:sz w:val="24"/>
                <w:szCs w:val="24"/>
              </w:rPr>
              <w:t>45 transportlīdzekļiem lielas kolonnas.</w:t>
            </w:r>
            <w:r w:rsidRPr="00B50435">
              <w:rPr>
                <w:rFonts w:ascii="Times New Roman" w:hAnsi="Times New Roman"/>
                <w:color w:val="000000"/>
                <w:sz w:val="24"/>
                <w:szCs w:val="24"/>
              </w:rPr>
              <w:t xml:space="preserve"> Sadarbība ar Austrumu partnerības valstīm (Armēnija, Azerbaidžāna, Baltkrievija, Gruzija, Moldova, Ukraina) ir Latvijas ārpol</w:t>
            </w:r>
            <w:r>
              <w:rPr>
                <w:rFonts w:ascii="Times New Roman" w:hAnsi="Times New Roman"/>
                <w:color w:val="000000"/>
                <w:sz w:val="24"/>
                <w:szCs w:val="24"/>
              </w:rPr>
              <w:t>itikas prioritāte. Organizējot S</w:t>
            </w:r>
            <w:r w:rsidRPr="00B50435">
              <w:rPr>
                <w:rFonts w:ascii="Times New Roman" w:hAnsi="Times New Roman"/>
                <w:color w:val="000000"/>
                <w:sz w:val="24"/>
                <w:szCs w:val="24"/>
              </w:rPr>
              <w:t xml:space="preserve">amitu, Latvija aktīvi virzīs Austrumu partnerības politiku ES līmenī, tā sekmējot </w:t>
            </w:r>
            <w:r w:rsidRPr="00B50435">
              <w:rPr>
                <w:rFonts w:ascii="Times New Roman" w:hAnsi="Times New Roman"/>
                <w:color w:val="000000"/>
                <w:sz w:val="24"/>
                <w:szCs w:val="24"/>
              </w:rPr>
              <w:lastRenderedPageBreak/>
              <w:t xml:space="preserve">Austrumu partnerības valstu tuvināšanos ES, kā arī īstenos savas nacionālās intereses, attīstot divpusējo sadarbību ar </w:t>
            </w:r>
            <w:r>
              <w:rPr>
                <w:rFonts w:ascii="Times New Roman" w:hAnsi="Times New Roman"/>
                <w:color w:val="000000"/>
                <w:sz w:val="24"/>
                <w:szCs w:val="24"/>
              </w:rPr>
              <w:t>ār</w:t>
            </w:r>
            <w:r w:rsidRPr="00B50435">
              <w:rPr>
                <w:rFonts w:ascii="Times New Roman" w:hAnsi="Times New Roman"/>
                <w:color w:val="000000"/>
                <w:sz w:val="24"/>
                <w:szCs w:val="24"/>
              </w:rPr>
              <w:t xml:space="preserve">valstīm. </w:t>
            </w:r>
            <w:r>
              <w:rPr>
                <w:rFonts w:ascii="Times New Roman" w:hAnsi="Times New Roman"/>
                <w:color w:val="000000"/>
                <w:sz w:val="24"/>
                <w:szCs w:val="24"/>
              </w:rPr>
              <w:t>S</w:t>
            </w:r>
            <w:r w:rsidRPr="00B50435">
              <w:rPr>
                <w:rFonts w:ascii="Times New Roman" w:hAnsi="Times New Roman"/>
                <w:color w:val="000000"/>
                <w:sz w:val="24"/>
                <w:szCs w:val="24"/>
              </w:rPr>
              <w:t xml:space="preserve">amita laikā Latvijā ieradīsies valstu un valdību vadītāji no visām ES dalībvalstīm un Austrumu partnerības valstīm, kā arī ES institūciju pārstāvji. </w:t>
            </w:r>
            <w:r>
              <w:rPr>
                <w:rFonts w:ascii="Times New Roman" w:hAnsi="Times New Roman"/>
                <w:color w:val="000000"/>
                <w:sz w:val="24"/>
                <w:szCs w:val="24"/>
              </w:rPr>
              <w:t>S</w:t>
            </w:r>
            <w:r w:rsidRPr="00B50435">
              <w:rPr>
                <w:rFonts w:ascii="Times New Roman" w:hAnsi="Times New Roman"/>
                <w:color w:val="000000"/>
                <w:sz w:val="24"/>
                <w:szCs w:val="24"/>
              </w:rPr>
              <w:t>amita organizēšanu Prezidentūras laikā ir apstiprinājusi Eiropadome.</w:t>
            </w:r>
            <w:r>
              <w:rPr>
                <w:rFonts w:ascii="Times New Roman" w:hAnsi="Times New Roman"/>
                <w:color w:val="000000"/>
                <w:sz w:val="24"/>
                <w:szCs w:val="24"/>
              </w:rPr>
              <w:t xml:space="preserve"> </w:t>
            </w:r>
            <w:r w:rsidRPr="009E59C6">
              <w:rPr>
                <w:rFonts w:ascii="Times New Roman" w:hAnsi="Times New Roman"/>
                <w:color w:val="000000"/>
                <w:sz w:val="24"/>
                <w:szCs w:val="24"/>
              </w:rPr>
              <w:t xml:space="preserve">Visa Samita norises laikā visām delegācijām (plānotais delegāciju skaits – 42) būs jānodrošina netraucēta un droša pārvietošanās policijas eskorta pavadībā. </w:t>
            </w:r>
          </w:p>
          <w:p w14:paraId="386B605C" w14:textId="77777777" w:rsidR="00014682" w:rsidRDefault="005D2C25" w:rsidP="00014682">
            <w:pPr>
              <w:spacing w:line="240" w:lineRule="auto"/>
              <w:ind w:firstLine="386"/>
              <w:contextualSpacing/>
              <w:jc w:val="both"/>
              <w:rPr>
                <w:rFonts w:ascii="Times New Roman" w:hAnsi="Times New Roman"/>
                <w:color w:val="000000"/>
                <w:sz w:val="24"/>
                <w:szCs w:val="24"/>
              </w:rPr>
            </w:pPr>
            <w:r w:rsidRPr="002E59B2">
              <w:rPr>
                <w:rFonts w:ascii="Times New Roman" w:hAnsi="Times New Roman"/>
                <w:color w:val="000000"/>
                <w:sz w:val="24"/>
                <w:szCs w:val="24"/>
              </w:rPr>
              <w:t xml:space="preserve">2015.gada pirmajā pusē Prezidentūras laikā Latvijā tiek plānotas arī </w:t>
            </w:r>
            <w:r w:rsidRPr="009E59C6">
              <w:rPr>
                <w:rFonts w:ascii="Times New Roman" w:hAnsi="Times New Roman"/>
                <w:color w:val="000000"/>
                <w:sz w:val="24"/>
                <w:szCs w:val="24"/>
              </w:rPr>
              <w:t>ministru līmeņa daudzpusējas starptautiskas tikšanās</w:t>
            </w:r>
            <w:r w:rsidRPr="002E59B2">
              <w:rPr>
                <w:rFonts w:ascii="Times New Roman" w:hAnsi="Times New Roman"/>
                <w:color w:val="000000"/>
                <w:sz w:val="24"/>
                <w:szCs w:val="24"/>
              </w:rPr>
              <w:t>. Rīgā ieradīsies virkne Apvienoto Nāciju Organizācijas dalībvalstu ārlietu ministru, turklāt ES dalībvalstu ārlietu ministri</w:t>
            </w:r>
            <w:r w:rsidRPr="009E59C6">
              <w:rPr>
                <w:rFonts w:ascii="Times New Roman" w:hAnsi="Times New Roman"/>
                <w:color w:val="000000"/>
                <w:sz w:val="24"/>
                <w:szCs w:val="24"/>
              </w:rPr>
              <w:t xml:space="preserve"> </w:t>
            </w:r>
            <w:r w:rsidRPr="002E59B2">
              <w:rPr>
                <w:rFonts w:ascii="Times New Roman" w:hAnsi="Times New Roman"/>
                <w:color w:val="000000"/>
                <w:sz w:val="24"/>
                <w:szCs w:val="24"/>
              </w:rPr>
              <w:t xml:space="preserve">regulāri tiksies ārlietu padomē, kas notiek ES prezidējošajā valstī, līdz ar to pusgada laikā ārvalstu ministri apmeklēs Latviju vairākas reizes. </w:t>
            </w:r>
            <w:r w:rsidRPr="009E59C6">
              <w:rPr>
                <w:rFonts w:ascii="Times New Roman" w:hAnsi="Times New Roman"/>
                <w:color w:val="000000"/>
                <w:sz w:val="24"/>
                <w:szCs w:val="24"/>
              </w:rPr>
              <w:t xml:space="preserve">Ārlietu ministru un aizsardzības ministru neformālo tikšanos laikā (plānotais delegāciju skaits – 40) netraucēta un droša pārvietošanās policijas eskorta pavadībā būs jānodrošina no lidostas „Rīga” līdz attiecīgajai viesnīcai un no viesnīcas līdz lidostai „Rīga”. No viesnīcām, pasākumu un vakariņu norises vietām un atpakaļ delegācijas pārvietosies ar autobusiem, kuriem arī būs jānodrošina netraucēta un droša pārvietošanās policijas eskorta pavadībā. </w:t>
            </w:r>
            <w:r w:rsidRPr="00B50435">
              <w:rPr>
                <w:rFonts w:ascii="Times New Roman" w:hAnsi="Times New Roman"/>
                <w:color w:val="000000"/>
                <w:sz w:val="24"/>
                <w:szCs w:val="24"/>
              </w:rPr>
              <w:t xml:space="preserve">Prezidentūras laikā tiks organizēta </w:t>
            </w:r>
            <w:r w:rsidRPr="009E59C6">
              <w:rPr>
                <w:rFonts w:ascii="Times New Roman" w:hAnsi="Times New Roman"/>
                <w:color w:val="000000"/>
                <w:sz w:val="24"/>
                <w:szCs w:val="24"/>
              </w:rPr>
              <w:t>Eiropas un Āzijas izglītības ministru konference, kā arī Eiropas un Āzijas ārlietu ministru tikšanās</w:t>
            </w:r>
            <w:r w:rsidRPr="00B50435">
              <w:rPr>
                <w:rFonts w:ascii="Times New Roman" w:hAnsi="Times New Roman"/>
                <w:color w:val="000000"/>
                <w:sz w:val="24"/>
                <w:szCs w:val="24"/>
              </w:rPr>
              <w:t xml:space="preserve">, kurā piedalīsies ES dalībvalstu, 17 Āzijas valstu, Austrālijas, Jaunzēlandes, Norvēģijas, Krievijas, Šveices, Eiropas Komisijas, kā arī Dienvidaustrumāzijas Nāciju Asociācijas sekretariāta pārstāvji. Tāpat Prezidentūras laikā Latvijā notiks virkne </w:t>
            </w:r>
            <w:r w:rsidRPr="009E59C6">
              <w:rPr>
                <w:rFonts w:ascii="Times New Roman" w:hAnsi="Times New Roman"/>
                <w:color w:val="000000"/>
                <w:sz w:val="24"/>
                <w:szCs w:val="24"/>
              </w:rPr>
              <w:t>augsta līmeņa konferences un semināri par aktuāliem ES darba kārtības jautājumiem.</w:t>
            </w:r>
            <w:r w:rsidR="005665E0">
              <w:rPr>
                <w:rFonts w:ascii="Times New Roman" w:hAnsi="Times New Roman"/>
                <w:color w:val="000000"/>
                <w:sz w:val="24"/>
                <w:szCs w:val="24"/>
              </w:rPr>
              <w:t xml:space="preserve"> </w:t>
            </w:r>
            <w:r w:rsidRPr="00B50435">
              <w:rPr>
                <w:rFonts w:ascii="Times New Roman" w:hAnsi="Times New Roman"/>
                <w:color w:val="000000"/>
                <w:sz w:val="24"/>
                <w:szCs w:val="24"/>
              </w:rPr>
              <w:t xml:space="preserve">Katrā no šiem pasākumiem, izņemot </w:t>
            </w:r>
            <w:r>
              <w:rPr>
                <w:rFonts w:ascii="Times New Roman" w:hAnsi="Times New Roman"/>
                <w:color w:val="000000"/>
                <w:sz w:val="24"/>
                <w:szCs w:val="24"/>
              </w:rPr>
              <w:t>S</w:t>
            </w:r>
            <w:r w:rsidRPr="00B50435">
              <w:rPr>
                <w:rFonts w:ascii="Times New Roman" w:hAnsi="Times New Roman"/>
                <w:color w:val="000000"/>
                <w:sz w:val="24"/>
                <w:szCs w:val="24"/>
              </w:rPr>
              <w:t xml:space="preserve">amitu, vienlaicīgi būs jāveic vismaz 30 </w:t>
            </w:r>
            <w:r w:rsidRPr="009E59C6">
              <w:rPr>
                <w:rFonts w:ascii="Times New Roman" w:hAnsi="Times New Roman"/>
                <w:color w:val="000000"/>
                <w:sz w:val="24"/>
                <w:szCs w:val="24"/>
              </w:rPr>
              <w:t>transportlīdzekļu lielu kolonnu pavadīšana</w:t>
            </w:r>
            <w:r w:rsidRPr="00B50435">
              <w:rPr>
                <w:rFonts w:ascii="Times New Roman" w:hAnsi="Times New Roman"/>
                <w:color w:val="000000"/>
                <w:sz w:val="24"/>
                <w:szCs w:val="24"/>
              </w:rPr>
              <w:t>, neskaitot to, ka būs nepieciešams papildus nodrošināt pavadīšanu apsargājamo amatpersonu ģimenes locekļiem, bagāžai, kā arī jāparedz rezerves automašīn</w:t>
            </w:r>
            <w:r>
              <w:rPr>
                <w:rFonts w:ascii="Times New Roman" w:hAnsi="Times New Roman"/>
                <w:color w:val="000000"/>
                <w:sz w:val="24"/>
                <w:szCs w:val="24"/>
              </w:rPr>
              <w:t>u esamība</w:t>
            </w:r>
            <w:r w:rsidRPr="00B50435">
              <w:rPr>
                <w:rFonts w:ascii="Times New Roman" w:hAnsi="Times New Roman"/>
                <w:color w:val="000000"/>
                <w:sz w:val="24"/>
                <w:szCs w:val="24"/>
              </w:rPr>
              <w:t xml:space="preserve">. </w:t>
            </w:r>
            <w:r w:rsidRPr="009E59C6">
              <w:rPr>
                <w:rFonts w:ascii="Times New Roman" w:hAnsi="Times New Roman"/>
                <w:color w:val="000000"/>
                <w:sz w:val="24"/>
                <w:szCs w:val="24"/>
              </w:rPr>
              <w:t>Lai realizētu šādu transportlīdzekļu kolonnu pavadīšanu,</w:t>
            </w:r>
            <w:r w:rsidRPr="00B50435">
              <w:rPr>
                <w:rFonts w:ascii="Times New Roman" w:hAnsi="Times New Roman"/>
                <w:color w:val="000000"/>
                <w:sz w:val="24"/>
                <w:szCs w:val="24"/>
              </w:rPr>
              <w:t xml:space="preserve"> ir nepieciešamas 60 līdz 100 automašīnas ar </w:t>
            </w:r>
            <w:r>
              <w:rPr>
                <w:rFonts w:ascii="Times New Roman" w:hAnsi="Times New Roman"/>
                <w:color w:val="000000"/>
                <w:sz w:val="24"/>
                <w:szCs w:val="24"/>
              </w:rPr>
              <w:t>Latvijas v</w:t>
            </w:r>
            <w:r w:rsidRPr="00B50435">
              <w:rPr>
                <w:rFonts w:ascii="Times New Roman" w:hAnsi="Times New Roman"/>
                <w:color w:val="000000"/>
                <w:sz w:val="24"/>
                <w:szCs w:val="24"/>
              </w:rPr>
              <w:t>alsts standartā noteikto policijas transportlīdzekļa speciālo krāsojumu, speciālām gaismas un skaņas signālu ierīcēm. Turklāt, lai veiktu drošu kolonnu pavadīšanu</w:t>
            </w:r>
            <w:r>
              <w:rPr>
                <w:rFonts w:ascii="Times New Roman" w:hAnsi="Times New Roman"/>
                <w:color w:val="000000"/>
                <w:sz w:val="24"/>
                <w:szCs w:val="24"/>
              </w:rPr>
              <w:t>,</w:t>
            </w:r>
            <w:r w:rsidRPr="00B50435">
              <w:rPr>
                <w:rFonts w:ascii="Times New Roman" w:hAnsi="Times New Roman"/>
                <w:color w:val="000000"/>
                <w:sz w:val="24"/>
                <w:szCs w:val="24"/>
              </w:rPr>
              <w:t xml:space="preserve"> tiks izmantoti visi Valsts policijas rīcībā esošie motocikli, tādējādi nodrošinot maksimālu mobilitāti. </w:t>
            </w:r>
            <w:r>
              <w:rPr>
                <w:rFonts w:ascii="Times New Roman" w:hAnsi="Times New Roman"/>
                <w:color w:val="000000"/>
                <w:sz w:val="24"/>
                <w:szCs w:val="24"/>
              </w:rPr>
              <w:t xml:space="preserve">Motociklu skaits, kuri tiks izmantoti gan kolonnu pavadīšanā, gan atbalsta nodrošināšanai, veicot transportlīdzekļu kolonnu pavadīšanu, ir nepietiekošs. </w:t>
            </w:r>
            <w:r w:rsidRPr="00B50435">
              <w:rPr>
                <w:rFonts w:ascii="Times New Roman" w:hAnsi="Times New Roman"/>
                <w:color w:val="000000"/>
                <w:sz w:val="24"/>
                <w:szCs w:val="24"/>
              </w:rPr>
              <w:t xml:space="preserve">Kā liecina Lietuvas pieredze, </w:t>
            </w:r>
            <w:r>
              <w:rPr>
                <w:rFonts w:ascii="Times New Roman" w:hAnsi="Times New Roman"/>
                <w:color w:val="000000"/>
                <w:sz w:val="24"/>
                <w:szCs w:val="24"/>
              </w:rPr>
              <w:t xml:space="preserve">tās </w:t>
            </w:r>
            <w:r w:rsidRPr="00B50435">
              <w:rPr>
                <w:rFonts w:ascii="Times New Roman" w:hAnsi="Times New Roman"/>
                <w:color w:val="000000"/>
                <w:sz w:val="24"/>
                <w:szCs w:val="24"/>
              </w:rPr>
              <w:t xml:space="preserve">prezidentūras laikā </w:t>
            </w:r>
            <w:r>
              <w:rPr>
                <w:rFonts w:ascii="Times New Roman" w:hAnsi="Times New Roman"/>
                <w:color w:val="000000"/>
                <w:sz w:val="24"/>
                <w:szCs w:val="24"/>
              </w:rPr>
              <w:t>transportlīdzekļu</w:t>
            </w:r>
            <w:r w:rsidRPr="00B50435">
              <w:rPr>
                <w:rFonts w:ascii="Times New Roman" w:hAnsi="Times New Roman"/>
                <w:color w:val="000000"/>
                <w:sz w:val="24"/>
                <w:szCs w:val="24"/>
              </w:rPr>
              <w:t xml:space="preserve"> kolonnu pavadīšanā</w:t>
            </w:r>
            <w:r>
              <w:rPr>
                <w:rFonts w:ascii="Times New Roman" w:hAnsi="Times New Roman"/>
                <w:color w:val="000000"/>
                <w:sz w:val="24"/>
                <w:szCs w:val="24"/>
              </w:rPr>
              <w:t xml:space="preserve"> vienlaikus tika iesaistītas pat 90 automašīnas.</w:t>
            </w:r>
            <w:r w:rsidR="00FE5879">
              <w:rPr>
                <w:rFonts w:ascii="Times New Roman" w:hAnsi="Times New Roman"/>
                <w:color w:val="000000"/>
                <w:sz w:val="24"/>
                <w:szCs w:val="24"/>
              </w:rPr>
              <w:t xml:space="preserve"> </w:t>
            </w:r>
            <w:r w:rsidRPr="009E59C6">
              <w:rPr>
                <w:rFonts w:ascii="Times New Roman" w:hAnsi="Times New Roman"/>
                <w:color w:val="000000"/>
                <w:sz w:val="24"/>
                <w:szCs w:val="24"/>
              </w:rPr>
              <w:t xml:space="preserve">Prezidējošā valsts ir atbildīga par visu iepriekš minēto pasākumu sekmīgu norisi, kura nav iespējama bez tās dalībnieku drošības </w:t>
            </w:r>
            <w:r w:rsidRPr="009E59C6">
              <w:rPr>
                <w:rFonts w:ascii="Times New Roman" w:hAnsi="Times New Roman"/>
                <w:color w:val="000000"/>
                <w:sz w:val="24"/>
                <w:szCs w:val="24"/>
              </w:rPr>
              <w:lastRenderedPageBreak/>
              <w:t>nodrošināšanas. Netraucēta un droša pārvietošanās policijas eskorta pavadībā būs jānodrošina visos A pakalpojumu nodrošinājuma līmeņa pasākumos. Šobrīd ir paredzēts, ka Prezidentūras laikā norisināsies 14 A pakalpojumu nodrošinājuma līmeņa pasākumi. Plānots, ka jau 2015.gada janvāra sākumā notiks Prezidentūras atklāšanas pasākums, kura laikā Rīgā ieradīsies Eiropas parlamenta priekšsēdētājs, Eiropadomes priekšsēdētājs, Eiropas Komisijas vadītājs un 27 komisāri.</w:t>
            </w:r>
            <w:r w:rsidR="00755FBC">
              <w:rPr>
                <w:rFonts w:ascii="Times New Roman" w:hAnsi="Times New Roman"/>
                <w:color w:val="000000"/>
                <w:sz w:val="24"/>
                <w:szCs w:val="24"/>
              </w:rPr>
              <w:t xml:space="preserve"> </w:t>
            </w:r>
            <w:r>
              <w:rPr>
                <w:rFonts w:ascii="Times New Roman" w:hAnsi="Times New Roman"/>
                <w:color w:val="000000"/>
                <w:sz w:val="24"/>
                <w:szCs w:val="24"/>
              </w:rPr>
              <w:t xml:space="preserve">2015.gadā ir plānots, ka Latvijā ieradīsies ap 75 valstu delegācijas, kuru drošības pasākumu nodrošināšanai tiks izmantoti arī Valsts policijas rīcībā esošie resursi, tai skaitā, Valsts policijas lietošanā esošās automašīnas un </w:t>
            </w:r>
            <w:proofErr w:type="spellStart"/>
            <w:r w:rsidRPr="009E59C6">
              <w:rPr>
                <w:rFonts w:ascii="Times New Roman" w:hAnsi="Times New Roman"/>
                <w:color w:val="000000"/>
                <w:sz w:val="24"/>
                <w:szCs w:val="24"/>
              </w:rPr>
              <w:t>patruļmotocikli</w:t>
            </w:r>
            <w:proofErr w:type="spellEnd"/>
            <w:r w:rsidRPr="009E59C6">
              <w:rPr>
                <w:rFonts w:ascii="Times New Roman" w:hAnsi="Times New Roman"/>
                <w:color w:val="000000"/>
                <w:sz w:val="24"/>
                <w:szCs w:val="24"/>
              </w:rPr>
              <w:t>.</w:t>
            </w:r>
            <w:r>
              <w:rPr>
                <w:rFonts w:ascii="Times New Roman" w:hAnsi="Times New Roman"/>
                <w:color w:val="000000"/>
                <w:sz w:val="24"/>
                <w:szCs w:val="24"/>
              </w:rPr>
              <w:t xml:space="preserve"> Valsts policija, izvērtējot Valsts policijas autoparka stāvokli, konstatē, ka tai nav pietiekoša skaita automašīnu, lai nodrošinātu S</w:t>
            </w:r>
            <w:r w:rsidRPr="00B50435">
              <w:rPr>
                <w:rFonts w:ascii="Times New Roman" w:hAnsi="Times New Roman"/>
                <w:color w:val="000000"/>
                <w:sz w:val="24"/>
                <w:szCs w:val="24"/>
              </w:rPr>
              <w:t>amita</w:t>
            </w:r>
            <w:r>
              <w:rPr>
                <w:rFonts w:ascii="Times New Roman" w:hAnsi="Times New Roman"/>
                <w:color w:val="000000"/>
                <w:sz w:val="24"/>
                <w:szCs w:val="24"/>
              </w:rPr>
              <w:t xml:space="preserve"> dalībnieku drošību aizsargājamo amatpersonu pārvietošanās laikā, kā arī nav neviena </w:t>
            </w:r>
            <w:r w:rsidRPr="009E59C6">
              <w:rPr>
                <w:rFonts w:ascii="Times New Roman" w:hAnsi="Times New Roman"/>
                <w:color w:val="000000"/>
                <w:sz w:val="24"/>
                <w:szCs w:val="24"/>
              </w:rPr>
              <w:t>speciāli transportlīdzekļu kolonnu pavadīšanas nodrošināšanai paredzēta eskorta motocikla. Turklāt, noslēdzoties Prezidentūrai, iegādātās automašīnas un motocikli tiks izmantoti ceļu satiksmes uzraudzības veikšanai, tādējādi nodrošinot 2010.gadā jūlijā Eiropas Komisijas pieņemtās Ceļu satiksmes drošības programmas 2011.– 2020.gadam izvirzītā mērķa realizēšanu – nākamajos desmit gados bojāgājušo skaitu uz Eiropas</w:t>
            </w:r>
            <w:r w:rsidR="00755FBC">
              <w:rPr>
                <w:rFonts w:ascii="Times New Roman" w:hAnsi="Times New Roman"/>
                <w:color w:val="000000"/>
                <w:sz w:val="24"/>
                <w:szCs w:val="24"/>
              </w:rPr>
              <w:t xml:space="preserve"> ceļiem samazinātu vēl uz pusi.</w:t>
            </w:r>
            <w:r w:rsidRPr="009E59C6">
              <w:rPr>
                <w:rFonts w:ascii="Times New Roman" w:hAnsi="Times New Roman"/>
                <w:color w:val="000000"/>
                <w:sz w:val="24"/>
                <w:szCs w:val="24"/>
              </w:rPr>
              <w:t xml:space="preserve"> Atbilstoši Eiropas Komisijas pieņemtajai Ceļu satik</w:t>
            </w:r>
            <w:r w:rsidR="00755FBC">
              <w:rPr>
                <w:rFonts w:ascii="Times New Roman" w:hAnsi="Times New Roman"/>
                <w:color w:val="000000"/>
                <w:sz w:val="24"/>
                <w:szCs w:val="24"/>
              </w:rPr>
              <w:t>smes drošības programmai 2011.–</w:t>
            </w:r>
            <w:r w:rsidRPr="009E59C6">
              <w:rPr>
                <w:rFonts w:ascii="Times New Roman" w:hAnsi="Times New Roman"/>
                <w:color w:val="000000"/>
                <w:sz w:val="24"/>
                <w:szCs w:val="24"/>
              </w:rPr>
              <w:t>2020.gadam un Latvijas Republikas Ministru kabineta apstiprinātajā Ceļu</w:t>
            </w:r>
            <w:r w:rsidR="00755FBC">
              <w:rPr>
                <w:rFonts w:ascii="Times New Roman" w:hAnsi="Times New Roman"/>
                <w:color w:val="000000"/>
                <w:sz w:val="24"/>
                <w:szCs w:val="24"/>
              </w:rPr>
              <w:t xml:space="preserve"> satiksmes drošības plānā 2014.–</w:t>
            </w:r>
            <w:r w:rsidRPr="009E59C6">
              <w:rPr>
                <w:rFonts w:ascii="Times New Roman" w:hAnsi="Times New Roman"/>
                <w:color w:val="000000"/>
                <w:sz w:val="24"/>
                <w:szCs w:val="24"/>
              </w:rPr>
              <w:t>2016.gadam izvirzītajām prioritātēm Valsts policija, veicot ceļu satiksmes uzraudzību, pievērsīs īpašu uzmanību</w:t>
            </w:r>
            <w:r w:rsidR="005665E0">
              <w:rPr>
                <w:rFonts w:ascii="Times New Roman" w:hAnsi="Times New Roman"/>
                <w:color w:val="000000"/>
                <w:sz w:val="24"/>
                <w:szCs w:val="24"/>
              </w:rPr>
              <w:t xml:space="preserve"> </w:t>
            </w:r>
            <w:r w:rsidRPr="009E59C6">
              <w:rPr>
                <w:rFonts w:ascii="Times New Roman" w:hAnsi="Times New Roman"/>
                <w:color w:val="000000"/>
                <w:sz w:val="24"/>
                <w:szCs w:val="24"/>
              </w:rPr>
              <w:t>mazaizsargāto satiksmes dalībnieku uzraudzībai (gājēju un velosipēdistu drošība);</w:t>
            </w:r>
            <w:r w:rsidR="00FE5879">
              <w:rPr>
                <w:rFonts w:ascii="Times New Roman" w:hAnsi="Times New Roman"/>
                <w:color w:val="000000"/>
                <w:sz w:val="24"/>
                <w:szCs w:val="24"/>
              </w:rPr>
              <w:t xml:space="preserve"> </w:t>
            </w:r>
            <w:r w:rsidRPr="009E59C6">
              <w:rPr>
                <w:rFonts w:ascii="Times New Roman" w:hAnsi="Times New Roman"/>
                <w:color w:val="000000"/>
                <w:sz w:val="24"/>
                <w:szCs w:val="24"/>
              </w:rPr>
              <w:t>drošības jostu un citu drošības līdzekļu (bērnu sēdeklīši, aizsargķiveres) lietošanas noteikumu kontrolei;</w:t>
            </w:r>
            <w:r w:rsidR="00FE5879">
              <w:rPr>
                <w:rFonts w:ascii="Times New Roman" w:hAnsi="Times New Roman"/>
                <w:color w:val="000000"/>
                <w:sz w:val="24"/>
                <w:szCs w:val="24"/>
              </w:rPr>
              <w:t xml:space="preserve"> </w:t>
            </w:r>
            <w:r w:rsidRPr="009E59C6">
              <w:rPr>
                <w:rFonts w:ascii="Times New Roman" w:hAnsi="Times New Roman"/>
                <w:color w:val="000000"/>
                <w:sz w:val="24"/>
                <w:szCs w:val="24"/>
              </w:rPr>
              <w:t>motociklistu un citu divriteņu motorizētu transportlīdzekļu kontrolei;</w:t>
            </w:r>
            <w:r w:rsidR="00FE5879">
              <w:rPr>
                <w:rFonts w:ascii="Times New Roman" w:hAnsi="Times New Roman"/>
                <w:color w:val="000000"/>
                <w:sz w:val="24"/>
                <w:szCs w:val="24"/>
              </w:rPr>
              <w:t xml:space="preserve"> </w:t>
            </w:r>
            <w:r w:rsidRPr="009E59C6">
              <w:rPr>
                <w:rFonts w:ascii="Times New Roman" w:hAnsi="Times New Roman"/>
                <w:color w:val="000000"/>
                <w:sz w:val="24"/>
                <w:szCs w:val="24"/>
              </w:rPr>
              <w:t>atļautā braukšanas ātruma kontrolei; transportlīdzekļu vadīšanai alkoholisko, narkotisko un psihotropo vielu ietekmē; kravas automobiļu un autobusu kontrolei.</w:t>
            </w:r>
            <w:r w:rsidR="00FE5879">
              <w:rPr>
                <w:rFonts w:ascii="Times New Roman" w:hAnsi="Times New Roman"/>
                <w:color w:val="000000"/>
                <w:sz w:val="24"/>
                <w:szCs w:val="24"/>
              </w:rPr>
              <w:t xml:space="preserve"> </w:t>
            </w:r>
            <w:r w:rsidRPr="009E59C6">
              <w:rPr>
                <w:rFonts w:ascii="Times New Roman" w:hAnsi="Times New Roman"/>
                <w:color w:val="000000"/>
                <w:sz w:val="24"/>
                <w:szCs w:val="24"/>
              </w:rPr>
              <w:t>Lai sasniegtu izvirzītos mērķus, Valsts policijai būtiski jāpastiprina ceļu satiksmes uzraudzība, ko nav iespējams realizēt ar šobrīd Valsts policijas rīcībā esošo ceļu satiksmes uzraudzībai paredzēto automašīnu un motociklu skaitu. Līdz ar to, noslēdzoties Prezidentūrai, iegādātās automašīnas un motocikli tiks izmantoti ceļu satiksmes uzraudzības veikšanai, kā arī, lai Valsts policijas Galvenās kārtības policijas pārvaldes Satiksmes drošības pārvaldes Satiksmes uzraudzības un koordinācijas biroja Speciālo uzdevumu nodaļa (turpmāk – Nodaļa) nodrošinātu transportlīdzekļu kolonnu pavadīšanas saskaņā ar Ministru kabineta 2003.gada 25.jūnija noteikumiem Nr.340 „Kārtība, kādā Drošības policija veic aizsargājamo amatpersonu aizsardzību (apsardzi)”.</w:t>
            </w:r>
            <w:bookmarkStart w:id="0" w:name="_Toc377040996"/>
            <w:r w:rsidR="00FE5879">
              <w:rPr>
                <w:rFonts w:ascii="Times New Roman" w:hAnsi="Times New Roman"/>
                <w:color w:val="000000"/>
                <w:sz w:val="24"/>
                <w:szCs w:val="24"/>
              </w:rPr>
              <w:t xml:space="preserve"> </w:t>
            </w:r>
            <w:r w:rsidRPr="009E59C6">
              <w:rPr>
                <w:rFonts w:ascii="Times New Roman" w:hAnsi="Times New Roman"/>
                <w:color w:val="000000"/>
                <w:sz w:val="24"/>
                <w:szCs w:val="24"/>
              </w:rPr>
              <w:t>Jāatzīmē, ka Ceļu</w:t>
            </w:r>
            <w:r w:rsidR="00755FBC">
              <w:rPr>
                <w:rFonts w:ascii="Times New Roman" w:hAnsi="Times New Roman"/>
                <w:color w:val="000000"/>
                <w:sz w:val="24"/>
                <w:szCs w:val="24"/>
              </w:rPr>
              <w:t xml:space="preserve"> satiksmes drošības </w:t>
            </w:r>
            <w:r w:rsidR="00755FBC">
              <w:rPr>
                <w:rFonts w:ascii="Times New Roman" w:hAnsi="Times New Roman"/>
                <w:color w:val="000000"/>
                <w:sz w:val="24"/>
                <w:szCs w:val="24"/>
              </w:rPr>
              <w:lastRenderedPageBreak/>
              <w:t>plāna 2014.–</w:t>
            </w:r>
            <w:r w:rsidRPr="009E59C6">
              <w:rPr>
                <w:rFonts w:ascii="Times New Roman" w:hAnsi="Times New Roman"/>
                <w:color w:val="000000"/>
                <w:sz w:val="24"/>
                <w:szCs w:val="24"/>
              </w:rPr>
              <w:t xml:space="preserve">2016.gadam </w:t>
            </w:r>
            <w:bookmarkEnd w:id="0"/>
            <w:r w:rsidRPr="009E59C6">
              <w:rPr>
                <w:rFonts w:ascii="Times New Roman" w:hAnsi="Times New Roman"/>
                <w:color w:val="000000"/>
                <w:sz w:val="24"/>
                <w:szCs w:val="24"/>
              </w:rPr>
              <w:t xml:space="preserve">5.tabulas „Ceļu satiksmes dalībnieku uzraudzības kontrole” II. sadaļas 6.punktā paredzēts papildu nepieciešamais finansējums laika posmā no 2014. līdz 2016.gadam 4064,9 tūkst. </w:t>
            </w:r>
            <w:proofErr w:type="spellStart"/>
            <w:r w:rsidRPr="005665E0">
              <w:rPr>
                <w:rFonts w:ascii="Times New Roman" w:hAnsi="Times New Roman"/>
                <w:i/>
                <w:color w:val="000000"/>
                <w:sz w:val="24"/>
                <w:szCs w:val="24"/>
              </w:rPr>
              <w:t>euro</w:t>
            </w:r>
            <w:proofErr w:type="spellEnd"/>
            <w:r w:rsidRPr="009E59C6">
              <w:rPr>
                <w:rFonts w:ascii="Times New Roman" w:hAnsi="Times New Roman"/>
                <w:color w:val="000000"/>
                <w:sz w:val="24"/>
                <w:szCs w:val="24"/>
              </w:rPr>
              <w:t xml:space="preserve"> apmērā Valsts policijas nodrošināšanai ar ceļu satiksmes uzraudzības veikšanai nepieciešamajiem transportlīdzekļiem (automašīnas un motocikli), kas aprīkoti ar navigācijas iekārtām, video aparatūru un datoriem ar iespēju piekļūt attiecīgajām datubāzēm. 2015.gadā papildu finansējums nepieciešams piecdesmit rūpnieciski ražotu satiksmes uzraudzībai paredzētu automašīnu un trīsdesmit rūpnieciski ražotu satiksmes uzraudzībai paredzētu motociklu iegādei.</w:t>
            </w:r>
            <w:r w:rsidR="00DA4A11">
              <w:rPr>
                <w:rFonts w:ascii="Times New Roman" w:hAnsi="Times New Roman"/>
                <w:color w:val="000000"/>
                <w:sz w:val="24"/>
                <w:szCs w:val="24"/>
              </w:rPr>
              <w:t xml:space="preserve"> </w:t>
            </w:r>
            <w:r w:rsidR="00680012" w:rsidRPr="00B50435">
              <w:rPr>
                <w:rFonts w:ascii="Times New Roman" w:hAnsi="Times New Roman"/>
                <w:color w:val="000000"/>
                <w:sz w:val="24"/>
                <w:szCs w:val="24"/>
              </w:rPr>
              <w:t xml:space="preserve">Izanalizējot situāciju ar Valsts policijas rīcībā esošo autoparku, pastāv </w:t>
            </w:r>
            <w:r w:rsidR="00680012">
              <w:rPr>
                <w:rFonts w:ascii="Times New Roman" w:hAnsi="Times New Roman"/>
                <w:color w:val="000000"/>
                <w:sz w:val="24"/>
                <w:szCs w:val="24"/>
              </w:rPr>
              <w:t xml:space="preserve">augsts </w:t>
            </w:r>
            <w:r w:rsidR="00680012" w:rsidRPr="00B50435">
              <w:rPr>
                <w:rFonts w:ascii="Times New Roman" w:hAnsi="Times New Roman"/>
                <w:color w:val="000000"/>
                <w:sz w:val="24"/>
                <w:szCs w:val="24"/>
              </w:rPr>
              <w:t xml:space="preserve">risks, ka 2015.gadā Valsts policija nespēs nodrošināt kolonnu pavadīšanu Prezidentūras laikā, jo Valsts policijas īpašumā šobrīd ir </w:t>
            </w:r>
            <w:r w:rsidR="00680012">
              <w:rPr>
                <w:rFonts w:ascii="Times New Roman" w:hAnsi="Times New Roman"/>
                <w:color w:val="000000"/>
                <w:sz w:val="24"/>
                <w:szCs w:val="24"/>
              </w:rPr>
              <w:t>285</w:t>
            </w:r>
            <w:r w:rsidR="00680012" w:rsidRPr="00B50435">
              <w:rPr>
                <w:rFonts w:ascii="Times New Roman" w:hAnsi="Times New Roman"/>
                <w:color w:val="000000"/>
                <w:sz w:val="24"/>
                <w:szCs w:val="24"/>
              </w:rPr>
              <w:t xml:space="preserve"> </w:t>
            </w:r>
            <w:r w:rsidR="00680012">
              <w:rPr>
                <w:rFonts w:ascii="Times New Roman" w:hAnsi="Times New Roman"/>
                <w:color w:val="000000"/>
                <w:sz w:val="24"/>
                <w:szCs w:val="24"/>
              </w:rPr>
              <w:t>vieglās operatīvās</w:t>
            </w:r>
            <w:r w:rsidR="00680012" w:rsidRPr="00B50435">
              <w:rPr>
                <w:rFonts w:ascii="Times New Roman" w:hAnsi="Times New Roman"/>
                <w:color w:val="000000"/>
                <w:sz w:val="24"/>
                <w:szCs w:val="24"/>
              </w:rPr>
              <w:t xml:space="preserve"> automašīna</w:t>
            </w:r>
            <w:r w:rsidR="00680012">
              <w:rPr>
                <w:rFonts w:ascii="Times New Roman" w:hAnsi="Times New Roman"/>
                <w:color w:val="000000"/>
                <w:sz w:val="24"/>
                <w:szCs w:val="24"/>
              </w:rPr>
              <w:t>s</w:t>
            </w:r>
            <w:r w:rsidR="00680012" w:rsidRPr="00B50435">
              <w:rPr>
                <w:rFonts w:ascii="Times New Roman" w:hAnsi="Times New Roman"/>
                <w:color w:val="000000"/>
                <w:sz w:val="24"/>
                <w:szCs w:val="24"/>
              </w:rPr>
              <w:t xml:space="preserve"> ar </w:t>
            </w:r>
            <w:r w:rsidR="00680012">
              <w:rPr>
                <w:rFonts w:ascii="Times New Roman" w:hAnsi="Times New Roman"/>
                <w:color w:val="000000"/>
                <w:sz w:val="24"/>
                <w:szCs w:val="24"/>
              </w:rPr>
              <w:t>Latvijas v</w:t>
            </w:r>
            <w:r w:rsidR="00680012" w:rsidRPr="00B50435">
              <w:rPr>
                <w:rFonts w:ascii="Times New Roman" w:hAnsi="Times New Roman"/>
                <w:color w:val="000000"/>
                <w:sz w:val="24"/>
                <w:szCs w:val="24"/>
              </w:rPr>
              <w:t>alsts standartā noteikto policijas transportlīdzekļa speciā</w:t>
            </w:r>
            <w:r w:rsidR="00680012">
              <w:rPr>
                <w:rFonts w:ascii="Times New Roman" w:hAnsi="Times New Roman"/>
                <w:color w:val="000000"/>
                <w:sz w:val="24"/>
                <w:szCs w:val="24"/>
              </w:rPr>
              <w:t>lo krāsojumu, speciālām gaismas</w:t>
            </w:r>
            <w:r w:rsidR="00680012" w:rsidRPr="00B50435">
              <w:rPr>
                <w:rFonts w:ascii="Times New Roman" w:hAnsi="Times New Roman"/>
                <w:color w:val="000000"/>
                <w:sz w:val="24"/>
                <w:szCs w:val="24"/>
              </w:rPr>
              <w:t xml:space="preserve"> un skaņas signālu ierīcēm</w:t>
            </w:r>
            <w:r w:rsidR="00680012">
              <w:rPr>
                <w:rFonts w:ascii="Times New Roman" w:hAnsi="Times New Roman"/>
                <w:color w:val="000000"/>
                <w:sz w:val="24"/>
                <w:szCs w:val="24"/>
              </w:rPr>
              <w:t xml:space="preserve"> (</w:t>
            </w:r>
            <w:proofErr w:type="spellStart"/>
            <w:r w:rsidR="00680012">
              <w:rPr>
                <w:rFonts w:ascii="Times New Roman" w:hAnsi="Times New Roman"/>
                <w:color w:val="000000"/>
                <w:sz w:val="24"/>
                <w:szCs w:val="24"/>
              </w:rPr>
              <w:t>trafarētas</w:t>
            </w:r>
            <w:proofErr w:type="spellEnd"/>
            <w:r w:rsidR="00680012">
              <w:rPr>
                <w:rFonts w:ascii="Times New Roman" w:hAnsi="Times New Roman"/>
                <w:color w:val="000000"/>
                <w:sz w:val="24"/>
                <w:szCs w:val="24"/>
              </w:rPr>
              <w:t xml:space="preserve"> automašīnas) un turējumā atrodas 305 </w:t>
            </w:r>
            <w:proofErr w:type="spellStart"/>
            <w:r w:rsidR="00680012">
              <w:rPr>
                <w:rFonts w:ascii="Times New Roman" w:hAnsi="Times New Roman"/>
                <w:color w:val="000000"/>
                <w:sz w:val="24"/>
                <w:szCs w:val="24"/>
              </w:rPr>
              <w:t>trafarētas</w:t>
            </w:r>
            <w:proofErr w:type="spellEnd"/>
            <w:r w:rsidR="00680012">
              <w:rPr>
                <w:rFonts w:ascii="Times New Roman" w:hAnsi="Times New Roman"/>
                <w:color w:val="000000"/>
                <w:sz w:val="24"/>
                <w:szCs w:val="24"/>
              </w:rPr>
              <w:t xml:space="preserve"> automašīnas. </w:t>
            </w:r>
            <w:r w:rsidR="00680012" w:rsidRPr="00106D6D">
              <w:rPr>
                <w:rFonts w:ascii="Times New Roman" w:hAnsi="Times New Roman"/>
                <w:color w:val="000000"/>
                <w:sz w:val="24"/>
                <w:szCs w:val="24"/>
              </w:rPr>
              <w:t xml:space="preserve"> </w:t>
            </w:r>
            <w:r w:rsidR="00680012" w:rsidRPr="00B50435">
              <w:rPr>
                <w:rFonts w:ascii="Times New Roman" w:hAnsi="Times New Roman"/>
                <w:color w:val="000000"/>
                <w:sz w:val="24"/>
                <w:szCs w:val="24"/>
              </w:rPr>
              <w:t>Jā</w:t>
            </w:r>
            <w:r w:rsidR="00680012">
              <w:rPr>
                <w:rFonts w:ascii="Times New Roman" w:hAnsi="Times New Roman"/>
                <w:color w:val="000000"/>
                <w:sz w:val="24"/>
                <w:szCs w:val="24"/>
              </w:rPr>
              <w:t>ņem vērā</w:t>
            </w:r>
            <w:r w:rsidR="00680012" w:rsidRPr="00B50435">
              <w:rPr>
                <w:rFonts w:ascii="Times New Roman" w:hAnsi="Times New Roman"/>
                <w:color w:val="000000"/>
                <w:sz w:val="24"/>
                <w:szCs w:val="24"/>
              </w:rPr>
              <w:t>, ka 2014.gadā Valsts policija plāno norakstīt</w:t>
            </w:r>
            <w:r w:rsidR="00680012">
              <w:rPr>
                <w:rFonts w:ascii="Times New Roman" w:hAnsi="Times New Roman"/>
                <w:color w:val="000000"/>
                <w:sz w:val="24"/>
                <w:szCs w:val="24"/>
              </w:rPr>
              <w:t xml:space="preserve"> un izslēgt no grāmatvedības reģistriem</w:t>
            </w:r>
            <w:r w:rsidR="00680012" w:rsidRPr="00B50435">
              <w:rPr>
                <w:rFonts w:ascii="Times New Roman" w:hAnsi="Times New Roman"/>
                <w:color w:val="000000"/>
                <w:sz w:val="24"/>
                <w:szCs w:val="24"/>
              </w:rPr>
              <w:t xml:space="preserve"> </w:t>
            </w:r>
            <w:r w:rsidR="00680012">
              <w:rPr>
                <w:rFonts w:ascii="Times New Roman" w:hAnsi="Times New Roman"/>
                <w:color w:val="000000"/>
                <w:sz w:val="24"/>
                <w:szCs w:val="24"/>
              </w:rPr>
              <w:t>30</w:t>
            </w:r>
            <w:r w:rsidR="00680012" w:rsidRPr="00B50435">
              <w:rPr>
                <w:rFonts w:ascii="Times New Roman" w:hAnsi="Times New Roman"/>
                <w:color w:val="000000"/>
                <w:sz w:val="24"/>
                <w:szCs w:val="24"/>
              </w:rPr>
              <w:t xml:space="preserve"> </w:t>
            </w:r>
            <w:proofErr w:type="spellStart"/>
            <w:r w:rsidR="00680012">
              <w:rPr>
                <w:rFonts w:ascii="Times New Roman" w:hAnsi="Times New Roman"/>
                <w:color w:val="000000"/>
                <w:sz w:val="24"/>
                <w:szCs w:val="24"/>
              </w:rPr>
              <w:t>trafarētas</w:t>
            </w:r>
            <w:proofErr w:type="spellEnd"/>
            <w:r w:rsidR="00680012">
              <w:rPr>
                <w:rFonts w:ascii="Times New Roman" w:hAnsi="Times New Roman"/>
                <w:color w:val="000000"/>
                <w:sz w:val="24"/>
                <w:szCs w:val="24"/>
              </w:rPr>
              <w:t xml:space="preserve"> automašīnas, bet </w:t>
            </w:r>
            <w:r w:rsidR="00680012" w:rsidRPr="00B50435">
              <w:rPr>
                <w:rFonts w:ascii="Times New Roman" w:hAnsi="Times New Roman"/>
                <w:color w:val="000000"/>
                <w:sz w:val="24"/>
                <w:szCs w:val="24"/>
              </w:rPr>
              <w:t>2015.gadā</w:t>
            </w:r>
            <w:r w:rsidR="00680012">
              <w:rPr>
                <w:rFonts w:ascii="Times New Roman" w:hAnsi="Times New Roman"/>
                <w:color w:val="000000"/>
                <w:sz w:val="24"/>
                <w:szCs w:val="24"/>
              </w:rPr>
              <w:t xml:space="preserve"> –</w:t>
            </w:r>
            <w:r w:rsidR="00680012" w:rsidRPr="00B50435">
              <w:rPr>
                <w:rFonts w:ascii="Times New Roman" w:hAnsi="Times New Roman"/>
                <w:color w:val="000000"/>
                <w:sz w:val="24"/>
                <w:szCs w:val="24"/>
              </w:rPr>
              <w:t xml:space="preserve"> </w:t>
            </w:r>
            <w:r w:rsidR="00680012">
              <w:rPr>
                <w:rFonts w:ascii="Times New Roman" w:hAnsi="Times New Roman"/>
                <w:color w:val="000000"/>
                <w:sz w:val="24"/>
                <w:szCs w:val="24"/>
              </w:rPr>
              <w:t xml:space="preserve">25 </w:t>
            </w:r>
            <w:proofErr w:type="spellStart"/>
            <w:r w:rsidR="00680012">
              <w:rPr>
                <w:rFonts w:ascii="Times New Roman" w:hAnsi="Times New Roman"/>
                <w:color w:val="000000"/>
                <w:sz w:val="24"/>
                <w:szCs w:val="24"/>
              </w:rPr>
              <w:t>trafarētas</w:t>
            </w:r>
            <w:proofErr w:type="spellEnd"/>
            <w:r w:rsidR="00680012" w:rsidRPr="00B50435">
              <w:rPr>
                <w:rFonts w:ascii="Times New Roman" w:hAnsi="Times New Roman"/>
                <w:color w:val="000000"/>
                <w:sz w:val="24"/>
                <w:szCs w:val="24"/>
              </w:rPr>
              <w:t xml:space="preserve"> automašīnas</w:t>
            </w:r>
            <w:r w:rsidR="00680012">
              <w:rPr>
                <w:rFonts w:ascii="Times New Roman" w:hAnsi="Times New Roman"/>
                <w:color w:val="000000"/>
                <w:sz w:val="24"/>
                <w:szCs w:val="24"/>
              </w:rPr>
              <w:t>;</w:t>
            </w:r>
            <w:r w:rsidR="00680012" w:rsidRPr="00B50435">
              <w:rPr>
                <w:rFonts w:ascii="Times New Roman" w:hAnsi="Times New Roman"/>
                <w:color w:val="000000"/>
                <w:sz w:val="24"/>
                <w:szCs w:val="24"/>
              </w:rPr>
              <w:t xml:space="preserve"> kopā </w:t>
            </w:r>
            <w:r w:rsidR="00680012">
              <w:rPr>
                <w:rFonts w:ascii="Times New Roman" w:hAnsi="Times New Roman"/>
                <w:color w:val="000000"/>
                <w:sz w:val="24"/>
                <w:szCs w:val="24"/>
              </w:rPr>
              <w:t>55</w:t>
            </w:r>
            <w:r w:rsidR="00680012" w:rsidRPr="00B50435">
              <w:rPr>
                <w:rFonts w:ascii="Times New Roman" w:hAnsi="Times New Roman"/>
                <w:color w:val="000000"/>
                <w:sz w:val="24"/>
                <w:szCs w:val="24"/>
              </w:rPr>
              <w:t xml:space="preserve"> </w:t>
            </w:r>
            <w:proofErr w:type="spellStart"/>
            <w:r w:rsidR="00680012">
              <w:rPr>
                <w:rFonts w:ascii="Times New Roman" w:hAnsi="Times New Roman"/>
                <w:color w:val="000000"/>
                <w:sz w:val="24"/>
                <w:szCs w:val="24"/>
              </w:rPr>
              <w:t>trafarētas</w:t>
            </w:r>
            <w:proofErr w:type="spellEnd"/>
            <w:r w:rsidR="00680012">
              <w:rPr>
                <w:rFonts w:ascii="Times New Roman" w:hAnsi="Times New Roman"/>
                <w:color w:val="000000"/>
                <w:sz w:val="24"/>
                <w:szCs w:val="24"/>
              </w:rPr>
              <w:t xml:space="preserve"> automašīnas jeb 19,3% no Valsts policijas īpašumā esošo </w:t>
            </w:r>
            <w:proofErr w:type="spellStart"/>
            <w:r w:rsidR="00680012">
              <w:rPr>
                <w:rFonts w:ascii="Times New Roman" w:hAnsi="Times New Roman"/>
                <w:color w:val="000000"/>
                <w:sz w:val="24"/>
                <w:szCs w:val="24"/>
              </w:rPr>
              <w:t>trafarēto</w:t>
            </w:r>
            <w:proofErr w:type="spellEnd"/>
            <w:r w:rsidR="00680012">
              <w:rPr>
                <w:rFonts w:ascii="Times New Roman" w:hAnsi="Times New Roman"/>
                <w:color w:val="000000"/>
                <w:sz w:val="24"/>
                <w:szCs w:val="24"/>
              </w:rPr>
              <w:t xml:space="preserve"> automašīnu kopskaita.</w:t>
            </w:r>
            <w:r w:rsidR="00680012" w:rsidRPr="009E59C6">
              <w:rPr>
                <w:rFonts w:ascii="Times New Roman" w:hAnsi="Times New Roman"/>
                <w:color w:val="000000"/>
                <w:sz w:val="24"/>
                <w:szCs w:val="24"/>
              </w:rPr>
              <w:t xml:space="preserve"> </w:t>
            </w:r>
            <w:r w:rsidR="00680012">
              <w:rPr>
                <w:rFonts w:ascii="Times New Roman" w:hAnsi="Times New Roman"/>
                <w:color w:val="000000"/>
                <w:sz w:val="24"/>
                <w:szCs w:val="24"/>
              </w:rPr>
              <w:t xml:space="preserve">Valsts policijā </w:t>
            </w:r>
            <w:r w:rsidR="00680012" w:rsidRPr="00B50435">
              <w:rPr>
                <w:rFonts w:ascii="Times New Roman" w:hAnsi="Times New Roman"/>
                <w:color w:val="000000"/>
                <w:sz w:val="24"/>
                <w:szCs w:val="24"/>
              </w:rPr>
              <w:t>transportlīdzekļu kolonnu pavadīšan</w:t>
            </w:r>
            <w:r w:rsidR="00680012">
              <w:rPr>
                <w:rFonts w:ascii="Times New Roman" w:hAnsi="Times New Roman"/>
                <w:color w:val="000000"/>
                <w:sz w:val="24"/>
                <w:szCs w:val="24"/>
              </w:rPr>
              <w:t>u</w:t>
            </w:r>
            <w:r w:rsidR="00680012" w:rsidRPr="00B50435">
              <w:rPr>
                <w:rFonts w:ascii="Times New Roman" w:hAnsi="Times New Roman"/>
                <w:color w:val="000000"/>
                <w:sz w:val="24"/>
                <w:szCs w:val="24"/>
              </w:rPr>
              <w:t xml:space="preserve"> nodrošināšana</w:t>
            </w:r>
            <w:r w:rsidR="00680012">
              <w:rPr>
                <w:rFonts w:ascii="Times New Roman" w:hAnsi="Times New Roman"/>
                <w:color w:val="000000"/>
                <w:sz w:val="24"/>
                <w:szCs w:val="24"/>
              </w:rPr>
              <w:t xml:space="preserve"> Nodaļa</w:t>
            </w:r>
            <w:r w:rsidR="00680012" w:rsidRPr="00845F14">
              <w:rPr>
                <w:rFonts w:ascii="Times New Roman" w:hAnsi="Times New Roman"/>
                <w:color w:val="000000"/>
                <w:sz w:val="24"/>
                <w:szCs w:val="24"/>
              </w:rPr>
              <w:t xml:space="preserve"> </w:t>
            </w:r>
            <w:r w:rsidR="00680012" w:rsidRPr="00B50435">
              <w:rPr>
                <w:rFonts w:ascii="Times New Roman" w:hAnsi="Times New Roman"/>
                <w:color w:val="000000"/>
                <w:sz w:val="24"/>
                <w:szCs w:val="24"/>
              </w:rPr>
              <w:t xml:space="preserve">saskaņā ar Ministru kabineta 2003.gada 25.jūnija noteikumiem Nr.340 </w:t>
            </w:r>
            <w:r w:rsidR="00680012">
              <w:rPr>
                <w:rFonts w:ascii="Times New Roman" w:hAnsi="Times New Roman"/>
                <w:color w:val="000000"/>
                <w:sz w:val="24"/>
                <w:szCs w:val="24"/>
              </w:rPr>
              <w:t>„</w:t>
            </w:r>
            <w:r w:rsidR="00680012" w:rsidRPr="00B50435">
              <w:rPr>
                <w:rFonts w:ascii="Times New Roman" w:hAnsi="Times New Roman"/>
                <w:color w:val="000000"/>
                <w:sz w:val="24"/>
                <w:szCs w:val="24"/>
              </w:rPr>
              <w:t>Kārtība, kādā Drošības policija veic aizsargājamo amatpersonu aizsardzību (apsardzi)”</w:t>
            </w:r>
            <w:r w:rsidR="00680012">
              <w:rPr>
                <w:rFonts w:ascii="Times New Roman" w:hAnsi="Times New Roman"/>
                <w:color w:val="000000"/>
                <w:sz w:val="24"/>
                <w:szCs w:val="24"/>
              </w:rPr>
              <w:t>. L</w:t>
            </w:r>
            <w:r w:rsidR="00680012" w:rsidRPr="00B50435">
              <w:rPr>
                <w:rFonts w:ascii="Times New Roman" w:hAnsi="Times New Roman"/>
                <w:color w:val="000000"/>
                <w:sz w:val="24"/>
                <w:szCs w:val="24"/>
              </w:rPr>
              <w:t>ai veiktu šo uzdevumu</w:t>
            </w:r>
            <w:r w:rsidR="00680012">
              <w:rPr>
                <w:rFonts w:ascii="Times New Roman" w:hAnsi="Times New Roman"/>
                <w:color w:val="000000"/>
                <w:sz w:val="24"/>
                <w:szCs w:val="24"/>
              </w:rPr>
              <w:t>,</w:t>
            </w:r>
            <w:r w:rsidR="00680012" w:rsidRPr="00B50435">
              <w:rPr>
                <w:rFonts w:ascii="Times New Roman" w:hAnsi="Times New Roman"/>
                <w:color w:val="000000"/>
                <w:sz w:val="24"/>
                <w:szCs w:val="24"/>
              </w:rPr>
              <w:t xml:space="preserve"> </w:t>
            </w:r>
            <w:r w:rsidR="00680012">
              <w:rPr>
                <w:rFonts w:ascii="Times New Roman" w:hAnsi="Times New Roman"/>
                <w:color w:val="000000"/>
                <w:sz w:val="24"/>
                <w:szCs w:val="24"/>
              </w:rPr>
              <w:t xml:space="preserve">Valsts policijas rīcībā ir 19 </w:t>
            </w:r>
            <w:r w:rsidR="00680012" w:rsidRPr="00B50435">
              <w:rPr>
                <w:rFonts w:ascii="Times New Roman" w:hAnsi="Times New Roman"/>
                <w:color w:val="000000"/>
                <w:sz w:val="24"/>
                <w:szCs w:val="24"/>
              </w:rPr>
              <w:t>2006.gada izlaiduma Volvo S60 automašīnas (vidējais nobraukums ir 2</w:t>
            </w:r>
            <w:r w:rsidR="00680012">
              <w:rPr>
                <w:rFonts w:ascii="Times New Roman" w:hAnsi="Times New Roman"/>
                <w:color w:val="000000"/>
                <w:sz w:val="24"/>
                <w:szCs w:val="24"/>
              </w:rPr>
              <w:t>06</w:t>
            </w:r>
            <w:r w:rsidR="00680012" w:rsidRPr="00B50435">
              <w:rPr>
                <w:rFonts w:ascii="Times New Roman" w:hAnsi="Times New Roman"/>
                <w:color w:val="000000"/>
                <w:sz w:val="24"/>
                <w:szCs w:val="24"/>
              </w:rPr>
              <w:t> </w:t>
            </w:r>
            <w:r w:rsidR="00680012">
              <w:rPr>
                <w:rFonts w:ascii="Times New Roman" w:hAnsi="Times New Roman"/>
                <w:color w:val="000000"/>
                <w:sz w:val="24"/>
                <w:szCs w:val="24"/>
              </w:rPr>
              <w:t>593</w:t>
            </w:r>
            <w:r w:rsidR="00680012" w:rsidRPr="00B50435">
              <w:rPr>
                <w:rFonts w:ascii="Times New Roman" w:hAnsi="Times New Roman"/>
                <w:color w:val="000000"/>
                <w:sz w:val="24"/>
                <w:szCs w:val="24"/>
              </w:rPr>
              <w:t xml:space="preserve"> km) (sk</w:t>
            </w:r>
            <w:r w:rsidR="00680012">
              <w:rPr>
                <w:rFonts w:ascii="Times New Roman" w:hAnsi="Times New Roman"/>
                <w:color w:val="000000"/>
                <w:sz w:val="24"/>
                <w:szCs w:val="24"/>
              </w:rPr>
              <w:t>atīt</w:t>
            </w:r>
            <w:r w:rsidR="00680012" w:rsidRPr="00B50435">
              <w:rPr>
                <w:rFonts w:ascii="Times New Roman" w:hAnsi="Times New Roman"/>
                <w:color w:val="000000"/>
                <w:sz w:val="24"/>
                <w:szCs w:val="24"/>
              </w:rPr>
              <w:t xml:space="preserve"> </w:t>
            </w:r>
            <w:r w:rsidR="00680012">
              <w:rPr>
                <w:rFonts w:ascii="Times New Roman" w:hAnsi="Times New Roman"/>
                <w:color w:val="000000"/>
                <w:sz w:val="24"/>
                <w:szCs w:val="24"/>
              </w:rPr>
              <w:t>1.</w:t>
            </w:r>
            <w:r w:rsidR="00680012" w:rsidRPr="00B50435">
              <w:rPr>
                <w:rFonts w:ascii="Times New Roman" w:hAnsi="Times New Roman"/>
                <w:color w:val="000000"/>
                <w:sz w:val="24"/>
                <w:szCs w:val="24"/>
              </w:rPr>
              <w:t>tabulu), kuru</w:t>
            </w:r>
            <w:r w:rsidR="00680012" w:rsidRPr="009E59C6">
              <w:rPr>
                <w:rFonts w:ascii="Times New Roman" w:hAnsi="Times New Roman"/>
                <w:color w:val="000000"/>
                <w:sz w:val="24"/>
                <w:szCs w:val="24"/>
              </w:rPr>
              <w:t xml:space="preserve"> </w:t>
            </w:r>
            <w:r w:rsidR="00680012" w:rsidRPr="00B50435">
              <w:rPr>
                <w:rFonts w:ascii="Times New Roman" w:hAnsi="Times New Roman"/>
                <w:color w:val="000000"/>
                <w:sz w:val="24"/>
                <w:szCs w:val="24"/>
              </w:rPr>
              <w:t xml:space="preserve">tehniskais stāvoklis jau šobrīd ir kritisks, par ko liecina vairāki gadījumi, kad, veicot kolonnu pavadīšanu </w:t>
            </w:r>
            <w:proofErr w:type="spellStart"/>
            <w:r w:rsidR="00680012" w:rsidRPr="00755FBC">
              <w:rPr>
                <w:rFonts w:ascii="Times New Roman" w:hAnsi="Times New Roman"/>
                <w:i/>
                <w:color w:val="000000"/>
                <w:sz w:val="24"/>
                <w:szCs w:val="24"/>
              </w:rPr>
              <w:t>euro</w:t>
            </w:r>
            <w:proofErr w:type="spellEnd"/>
            <w:r w:rsidR="00680012" w:rsidRPr="009E59C6">
              <w:rPr>
                <w:rFonts w:ascii="Times New Roman" w:hAnsi="Times New Roman"/>
                <w:color w:val="000000"/>
                <w:sz w:val="24"/>
                <w:szCs w:val="24"/>
              </w:rPr>
              <w:t xml:space="preserve"> </w:t>
            </w:r>
            <w:r w:rsidR="00680012" w:rsidRPr="00B50435">
              <w:rPr>
                <w:rFonts w:ascii="Times New Roman" w:hAnsi="Times New Roman"/>
                <w:color w:val="000000"/>
                <w:sz w:val="24"/>
                <w:szCs w:val="24"/>
              </w:rPr>
              <w:t xml:space="preserve">valūtas </w:t>
            </w:r>
            <w:proofErr w:type="spellStart"/>
            <w:r w:rsidR="00680012" w:rsidRPr="00B50435">
              <w:rPr>
                <w:rFonts w:ascii="Times New Roman" w:hAnsi="Times New Roman"/>
                <w:color w:val="000000"/>
                <w:sz w:val="24"/>
                <w:szCs w:val="24"/>
              </w:rPr>
              <w:t>priekšpiegādes</w:t>
            </w:r>
            <w:proofErr w:type="spellEnd"/>
            <w:r w:rsidR="00680012" w:rsidRPr="00B50435">
              <w:rPr>
                <w:rFonts w:ascii="Times New Roman" w:hAnsi="Times New Roman"/>
                <w:color w:val="000000"/>
                <w:sz w:val="24"/>
                <w:szCs w:val="24"/>
              </w:rPr>
              <w:t xml:space="preserve"> laikā, automašīnas tehnisku iemeslu dēļ (sabojājās bremžu sistēma, stūres iekārta, sajūgs u.tml.) nespēja turpināt ceļu</w:t>
            </w:r>
            <w:r w:rsidR="00680012">
              <w:rPr>
                <w:rFonts w:ascii="Times New Roman" w:hAnsi="Times New Roman"/>
                <w:color w:val="000000"/>
                <w:sz w:val="24"/>
                <w:szCs w:val="24"/>
              </w:rPr>
              <w:t>.</w:t>
            </w:r>
            <w:r w:rsidR="00680012" w:rsidRPr="00B50435">
              <w:rPr>
                <w:rFonts w:ascii="Times New Roman" w:hAnsi="Times New Roman"/>
                <w:color w:val="000000"/>
                <w:sz w:val="24"/>
                <w:szCs w:val="24"/>
              </w:rPr>
              <w:t xml:space="preserve"> </w:t>
            </w:r>
            <w:r w:rsidR="00680012">
              <w:rPr>
                <w:rFonts w:ascii="Times New Roman" w:hAnsi="Times New Roman"/>
                <w:color w:val="000000"/>
                <w:sz w:val="24"/>
                <w:szCs w:val="24"/>
              </w:rPr>
              <w:t>P</w:t>
            </w:r>
            <w:r w:rsidR="00680012" w:rsidRPr="00B50435">
              <w:rPr>
                <w:rFonts w:ascii="Times New Roman" w:hAnsi="Times New Roman"/>
                <w:color w:val="000000"/>
                <w:sz w:val="24"/>
                <w:szCs w:val="24"/>
              </w:rPr>
              <w:t>iemēram, 2014.gada 16.janvārī</w:t>
            </w:r>
            <w:r w:rsidR="00680012">
              <w:rPr>
                <w:rFonts w:ascii="Times New Roman" w:hAnsi="Times New Roman"/>
                <w:color w:val="000000"/>
                <w:sz w:val="24"/>
                <w:szCs w:val="24"/>
              </w:rPr>
              <w:t>,</w:t>
            </w:r>
            <w:r w:rsidR="00680012" w:rsidRPr="00B50435">
              <w:rPr>
                <w:rFonts w:ascii="Times New Roman" w:hAnsi="Times New Roman"/>
                <w:color w:val="000000"/>
                <w:sz w:val="24"/>
                <w:szCs w:val="24"/>
              </w:rPr>
              <w:t xml:space="preserve"> veicot šādas kolonnas pavadīšanu no Rīgas uz Daugavpili, pavadošai policijas automašīnai </w:t>
            </w:r>
            <w:r w:rsidR="00680012">
              <w:rPr>
                <w:rFonts w:ascii="Times New Roman" w:hAnsi="Times New Roman"/>
                <w:color w:val="000000"/>
                <w:sz w:val="24"/>
                <w:szCs w:val="24"/>
              </w:rPr>
              <w:t>sabojājās</w:t>
            </w:r>
            <w:r w:rsidR="00680012" w:rsidRPr="00B50435">
              <w:rPr>
                <w:rFonts w:ascii="Times New Roman" w:hAnsi="Times New Roman"/>
                <w:color w:val="000000"/>
                <w:sz w:val="24"/>
                <w:szCs w:val="24"/>
              </w:rPr>
              <w:t xml:space="preserve"> bremžu sistēma, kā rezultātā kolonnas</w:t>
            </w:r>
            <w:r w:rsidR="00680012" w:rsidRPr="009E59C6">
              <w:rPr>
                <w:rFonts w:ascii="Times New Roman" w:hAnsi="Times New Roman"/>
                <w:color w:val="000000"/>
                <w:sz w:val="24"/>
                <w:szCs w:val="24"/>
              </w:rPr>
              <w:t xml:space="preserve"> </w:t>
            </w:r>
            <w:r w:rsidR="00680012" w:rsidRPr="00B50435">
              <w:rPr>
                <w:rFonts w:ascii="Times New Roman" w:hAnsi="Times New Roman"/>
                <w:color w:val="000000"/>
                <w:sz w:val="24"/>
                <w:szCs w:val="24"/>
              </w:rPr>
              <w:t xml:space="preserve">pavadīšana bija jāveic ar vienu policijas automašīnu, tādējādi apdraudot ceļu satiksmes un pavadāmo materiālo vērtību drošību. </w:t>
            </w:r>
            <w:r w:rsidR="008D7590" w:rsidRPr="00B50435">
              <w:rPr>
                <w:rFonts w:ascii="Times New Roman" w:hAnsi="Times New Roman"/>
                <w:color w:val="000000"/>
                <w:sz w:val="24"/>
                <w:szCs w:val="24"/>
              </w:rPr>
              <w:t xml:space="preserve">Ņemot vērā to, ka </w:t>
            </w:r>
            <w:r w:rsidR="008D7590">
              <w:rPr>
                <w:rFonts w:ascii="Times New Roman" w:hAnsi="Times New Roman"/>
                <w:color w:val="000000"/>
                <w:sz w:val="24"/>
                <w:szCs w:val="24"/>
              </w:rPr>
              <w:t xml:space="preserve">minētās </w:t>
            </w:r>
            <w:r w:rsidR="008D7590" w:rsidRPr="00B50435">
              <w:rPr>
                <w:rFonts w:ascii="Times New Roman" w:hAnsi="Times New Roman"/>
                <w:color w:val="000000"/>
                <w:sz w:val="24"/>
                <w:szCs w:val="24"/>
              </w:rPr>
              <w:t xml:space="preserve">automašīnas būs jāekspluatē arī </w:t>
            </w:r>
            <w:r w:rsidR="008D7590">
              <w:rPr>
                <w:rFonts w:ascii="Times New Roman" w:hAnsi="Times New Roman"/>
                <w:color w:val="000000"/>
                <w:sz w:val="24"/>
                <w:szCs w:val="24"/>
              </w:rPr>
              <w:t>kārtējā gada laikā</w:t>
            </w:r>
            <w:r w:rsidR="008D7590" w:rsidRPr="00B50435">
              <w:rPr>
                <w:rFonts w:ascii="Times New Roman" w:hAnsi="Times New Roman"/>
                <w:color w:val="000000"/>
                <w:sz w:val="24"/>
                <w:szCs w:val="24"/>
              </w:rPr>
              <w:t>, to tehniskais stāvoklis tikai pasliktināsies, tādējādi būtiski apdraudot iespēju nodrošināt kolonnu pavadīšan</w:t>
            </w:r>
            <w:r w:rsidR="008D7590">
              <w:rPr>
                <w:rFonts w:ascii="Times New Roman" w:hAnsi="Times New Roman"/>
                <w:color w:val="000000"/>
                <w:sz w:val="24"/>
                <w:szCs w:val="24"/>
              </w:rPr>
              <w:t>u</w:t>
            </w:r>
            <w:r w:rsidR="008D7590" w:rsidRPr="00B50435">
              <w:rPr>
                <w:rFonts w:ascii="Times New Roman" w:hAnsi="Times New Roman"/>
                <w:color w:val="000000"/>
                <w:sz w:val="24"/>
                <w:szCs w:val="24"/>
              </w:rPr>
              <w:t xml:space="preserve"> Prezidentūras laikā.</w:t>
            </w:r>
            <w:r w:rsidR="008D7590">
              <w:rPr>
                <w:rFonts w:ascii="Times New Roman" w:hAnsi="Times New Roman"/>
                <w:color w:val="000000"/>
                <w:sz w:val="24"/>
                <w:szCs w:val="24"/>
              </w:rPr>
              <w:t xml:space="preserve"> </w:t>
            </w:r>
            <w:r w:rsidR="008D7590" w:rsidRPr="007D6338">
              <w:rPr>
                <w:rFonts w:ascii="Times New Roman" w:hAnsi="Times New Roman"/>
                <w:color w:val="000000"/>
                <w:sz w:val="24"/>
                <w:szCs w:val="24"/>
              </w:rPr>
              <w:t>Turklāt jāņem vērā, ka</w:t>
            </w:r>
            <w:r w:rsidR="008D7590">
              <w:rPr>
                <w:rFonts w:ascii="Times New Roman" w:hAnsi="Times New Roman"/>
                <w:color w:val="000000"/>
                <w:sz w:val="24"/>
                <w:szCs w:val="24"/>
              </w:rPr>
              <w:t>,</w:t>
            </w:r>
            <w:r w:rsidR="008D7590" w:rsidRPr="007D6338">
              <w:rPr>
                <w:rFonts w:ascii="Times New Roman" w:hAnsi="Times New Roman"/>
                <w:color w:val="000000"/>
                <w:sz w:val="24"/>
                <w:szCs w:val="24"/>
              </w:rPr>
              <w:t xml:space="preserve"> nododot Nodaļas rīcībā uz Prezidentūras laiku </w:t>
            </w:r>
            <w:proofErr w:type="spellStart"/>
            <w:r w:rsidR="008D7590" w:rsidRPr="007D6338">
              <w:rPr>
                <w:rFonts w:ascii="Times New Roman" w:hAnsi="Times New Roman"/>
                <w:color w:val="000000"/>
                <w:sz w:val="24"/>
                <w:szCs w:val="24"/>
              </w:rPr>
              <w:t>trafar</w:t>
            </w:r>
            <w:r w:rsidR="008D7590">
              <w:rPr>
                <w:rFonts w:ascii="Times New Roman" w:hAnsi="Times New Roman"/>
                <w:color w:val="000000"/>
                <w:sz w:val="24"/>
                <w:szCs w:val="24"/>
              </w:rPr>
              <w:t>ē</w:t>
            </w:r>
            <w:r w:rsidR="008D7590" w:rsidRPr="007D6338">
              <w:rPr>
                <w:rFonts w:ascii="Times New Roman" w:hAnsi="Times New Roman"/>
                <w:color w:val="000000"/>
                <w:sz w:val="24"/>
                <w:szCs w:val="24"/>
              </w:rPr>
              <w:t>tas</w:t>
            </w:r>
            <w:proofErr w:type="spellEnd"/>
            <w:r w:rsidR="008D7590" w:rsidRPr="007D6338">
              <w:rPr>
                <w:rFonts w:ascii="Times New Roman" w:hAnsi="Times New Roman"/>
                <w:color w:val="000000"/>
                <w:sz w:val="24"/>
                <w:szCs w:val="24"/>
              </w:rPr>
              <w:t xml:space="preserve"> automašīnas no citām Valsts policijas struktūrvienībām</w:t>
            </w:r>
            <w:r w:rsidR="008D7590">
              <w:rPr>
                <w:rFonts w:ascii="Times New Roman" w:hAnsi="Times New Roman"/>
                <w:color w:val="000000"/>
                <w:sz w:val="24"/>
                <w:szCs w:val="24"/>
              </w:rPr>
              <w:t>,</w:t>
            </w:r>
            <w:r w:rsidR="008D7590" w:rsidRPr="007D6338">
              <w:rPr>
                <w:rFonts w:ascii="Times New Roman" w:hAnsi="Times New Roman"/>
                <w:color w:val="000000"/>
                <w:sz w:val="24"/>
                <w:szCs w:val="24"/>
              </w:rPr>
              <w:t xml:space="preserve"> nevarēs īstenot Valsts policijas funkcijas nepieciešamajā līmenī (2014.gada līmenī)</w:t>
            </w:r>
            <w:r w:rsidR="008D7590">
              <w:rPr>
                <w:rFonts w:ascii="Times New Roman" w:hAnsi="Times New Roman"/>
                <w:color w:val="000000"/>
                <w:sz w:val="24"/>
                <w:szCs w:val="24"/>
              </w:rPr>
              <w:t>.</w:t>
            </w:r>
            <w:r w:rsidR="008D7590" w:rsidRPr="007D6338">
              <w:rPr>
                <w:rFonts w:ascii="Times New Roman" w:hAnsi="Times New Roman"/>
                <w:color w:val="000000"/>
                <w:sz w:val="24"/>
                <w:szCs w:val="24"/>
              </w:rPr>
              <w:t xml:space="preserve"> </w:t>
            </w:r>
            <w:r w:rsidR="008D7590">
              <w:rPr>
                <w:rFonts w:ascii="Times New Roman" w:hAnsi="Times New Roman"/>
                <w:color w:val="000000"/>
                <w:sz w:val="24"/>
                <w:szCs w:val="24"/>
              </w:rPr>
              <w:t>P</w:t>
            </w:r>
            <w:r w:rsidR="008D7590" w:rsidRPr="007D6338">
              <w:rPr>
                <w:rFonts w:ascii="Times New Roman" w:hAnsi="Times New Roman"/>
                <w:color w:val="000000"/>
                <w:sz w:val="24"/>
                <w:szCs w:val="24"/>
              </w:rPr>
              <w:t xml:space="preserve">iemēram, Valsts policijas Rīgas reģiona pārvaldes Kārtības policijas pārvaldes Patruļpolicijas pārvaldes Ceļu policijas </w:t>
            </w:r>
            <w:r w:rsidR="008D7590" w:rsidRPr="007D6338">
              <w:rPr>
                <w:rFonts w:ascii="Times New Roman" w:hAnsi="Times New Roman"/>
                <w:color w:val="000000"/>
                <w:sz w:val="24"/>
                <w:szCs w:val="24"/>
              </w:rPr>
              <w:lastRenderedPageBreak/>
              <w:t>bataljona rīcībā esošās automašīnas novirzot transportlīdzekļu kolonnu pavadīšanas nodrošināšanai</w:t>
            </w:r>
            <w:r w:rsidR="008D7590">
              <w:rPr>
                <w:rFonts w:ascii="Times New Roman" w:hAnsi="Times New Roman"/>
                <w:color w:val="000000"/>
                <w:sz w:val="24"/>
                <w:szCs w:val="24"/>
              </w:rPr>
              <w:t>,</w:t>
            </w:r>
            <w:r w:rsidR="008D7590" w:rsidRPr="007D6338">
              <w:rPr>
                <w:rFonts w:ascii="Times New Roman" w:hAnsi="Times New Roman"/>
                <w:color w:val="000000"/>
                <w:sz w:val="24"/>
                <w:szCs w:val="24"/>
              </w:rPr>
              <w:t xml:space="preserve"> tiks būtiski apdraudēta ceļu satiksmes drošības uzraudzība. Lai Valsts policija </w:t>
            </w:r>
            <w:r w:rsidR="008D7590" w:rsidRPr="009E59C6">
              <w:rPr>
                <w:rFonts w:ascii="Times New Roman" w:hAnsi="Times New Roman"/>
                <w:color w:val="000000"/>
                <w:sz w:val="24"/>
                <w:szCs w:val="24"/>
              </w:rPr>
              <w:t>atbilstoši kompetencei īstenotu valsts politiku noziedzības apkarošanas un sabiedriskās kārtības un drošības aizsardzībā, kā arī personu tiesību un likumīgo interešu aizsardzībā, nodrošinātu uzdevumus un f</w:t>
            </w:r>
            <w:r w:rsidR="00755FBC">
              <w:rPr>
                <w:rFonts w:ascii="Times New Roman" w:hAnsi="Times New Roman"/>
                <w:color w:val="000000"/>
                <w:sz w:val="24"/>
                <w:szCs w:val="24"/>
              </w:rPr>
              <w:t xml:space="preserve">unkcijas, kas noteiktas likumā </w:t>
            </w:r>
            <w:r w:rsidR="00755FBC" w:rsidRPr="009E59C6">
              <w:rPr>
                <w:rFonts w:ascii="Times New Roman" w:hAnsi="Times New Roman"/>
                <w:color w:val="000000"/>
                <w:sz w:val="24"/>
                <w:szCs w:val="24"/>
              </w:rPr>
              <w:t>„</w:t>
            </w:r>
            <w:r w:rsidR="008D7590" w:rsidRPr="009E59C6">
              <w:rPr>
                <w:rFonts w:ascii="Times New Roman" w:hAnsi="Times New Roman"/>
                <w:color w:val="000000"/>
                <w:sz w:val="24"/>
                <w:szCs w:val="24"/>
              </w:rPr>
              <w:t xml:space="preserve">Par policiju” un citos normatīvajos aktos, kas regulē Valsts policijas darbību, un tajā pašā laikā nodrošinātu transportlīdzekļu kolonnu pavadīšanu Prezidentūras laikā, ir nepieciešams papildus iegādāties minimāli 20 </w:t>
            </w:r>
            <w:proofErr w:type="spellStart"/>
            <w:r w:rsidR="008D7590" w:rsidRPr="009E59C6">
              <w:rPr>
                <w:rFonts w:ascii="Times New Roman" w:hAnsi="Times New Roman"/>
                <w:color w:val="000000"/>
                <w:sz w:val="24"/>
                <w:szCs w:val="24"/>
              </w:rPr>
              <w:t>trafarētas</w:t>
            </w:r>
            <w:proofErr w:type="spellEnd"/>
            <w:r w:rsidR="008D7590" w:rsidRPr="009E59C6">
              <w:rPr>
                <w:rFonts w:ascii="Times New Roman" w:hAnsi="Times New Roman"/>
                <w:color w:val="000000"/>
                <w:sz w:val="24"/>
                <w:szCs w:val="24"/>
              </w:rPr>
              <w:t xml:space="preserve"> automašīnas, kas, beidzoties Prezidentūrai, tiktu nodotas Nodaļai transportlīdzekļu kolonnu pavadīšanas nodrošināšanai un ceļu satiksmes uzraudzības veikšanai. Savukārt, šobrīd Nodaļas rīcībā esošās automašīnas tiktu nodotas citām Valsts policijas struktūrvienībām to uzdevumu izpildes nodrošināšanai, aizstājot norakstītās automašīnas.</w:t>
            </w:r>
            <w:r w:rsidR="00FE5879">
              <w:rPr>
                <w:rFonts w:ascii="Times New Roman" w:hAnsi="Times New Roman"/>
                <w:color w:val="000000"/>
                <w:sz w:val="24"/>
                <w:szCs w:val="24"/>
              </w:rPr>
              <w:t xml:space="preserve"> </w:t>
            </w:r>
            <w:r w:rsidR="008D7590" w:rsidRPr="009E59C6">
              <w:rPr>
                <w:rFonts w:ascii="Times New Roman" w:hAnsi="Times New Roman"/>
                <w:color w:val="000000"/>
                <w:sz w:val="24"/>
                <w:szCs w:val="24"/>
              </w:rPr>
              <w:t>Lai nodrošinātu aizs</w:t>
            </w:r>
            <w:r w:rsidR="008D7590">
              <w:rPr>
                <w:rFonts w:ascii="Times New Roman" w:hAnsi="Times New Roman"/>
                <w:color w:val="000000"/>
                <w:sz w:val="24"/>
                <w:szCs w:val="24"/>
              </w:rPr>
              <w:t>argājamo amatpersonu</w:t>
            </w:r>
            <w:r w:rsidR="008D7590" w:rsidRPr="00B50435">
              <w:rPr>
                <w:rFonts w:ascii="Times New Roman" w:hAnsi="Times New Roman"/>
                <w:color w:val="000000"/>
                <w:sz w:val="24"/>
                <w:szCs w:val="24"/>
              </w:rPr>
              <w:t xml:space="preserve"> aizsardzību</w:t>
            </w:r>
            <w:r w:rsidR="008D7590">
              <w:rPr>
                <w:rFonts w:ascii="Times New Roman" w:hAnsi="Times New Roman"/>
                <w:color w:val="000000"/>
                <w:sz w:val="24"/>
                <w:szCs w:val="24"/>
              </w:rPr>
              <w:t xml:space="preserve"> braukšanas laikā</w:t>
            </w:r>
            <w:r w:rsidR="008D7590" w:rsidRPr="00B50435">
              <w:rPr>
                <w:rFonts w:ascii="Times New Roman" w:hAnsi="Times New Roman"/>
                <w:color w:val="000000"/>
                <w:sz w:val="24"/>
                <w:szCs w:val="24"/>
              </w:rPr>
              <w:t xml:space="preserve">, kolonnai jāspēj dinamiski paātrināties, mainīt kustības virzienu vai maršrutu, neizjaucot kolonnas ierindu, tādējādi izvairoties no iespējamiem apdraudējumiem. Jāatzīmē, ka uz jaudīgu automašīnu izmantošanu, veicot kolonnu pavadīšanu, </w:t>
            </w:r>
            <w:r w:rsidR="008D7590">
              <w:rPr>
                <w:rFonts w:ascii="Times New Roman" w:hAnsi="Times New Roman"/>
                <w:color w:val="000000"/>
                <w:sz w:val="24"/>
                <w:szCs w:val="24"/>
              </w:rPr>
              <w:t>vairā</w:t>
            </w:r>
            <w:r w:rsidR="008D7590" w:rsidRPr="00B50435">
              <w:rPr>
                <w:rFonts w:ascii="Times New Roman" w:hAnsi="Times New Roman"/>
                <w:color w:val="000000"/>
                <w:sz w:val="24"/>
                <w:szCs w:val="24"/>
              </w:rPr>
              <w:t>kkārt norādījusi Drošības policija. Turklāt, Drošības policijas ieskatā kolonnu pavadīšanai nav vēlams izmantot dažādu tipu automašīnas (mikroautobusus, apvidus automobiļus, vieglos pasažieru (MPV tipa) u.tml.), jo šajā gadījumā, ņemot vērā automašīnu dažādās tehniskās iespējas un konstrukcijas īpatnības, tiek apgrūtināta vienmērīga kolon</w:t>
            </w:r>
            <w:r w:rsidR="008D7590">
              <w:rPr>
                <w:rFonts w:ascii="Times New Roman" w:hAnsi="Times New Roman"/>
                <w:color w:val="000000"/>
                <w:sz w:val="24"/>
                <w:szCs w:val="24"/>
              </w:rPr>
              <w:t>n</w:t>
            </w:r>
            <w:r w:rsidR="008D7590" w:rsidRPr="00B50435">
              <w:rPr>
                <w:rFonts w:ascii="Times New Roman" w:hAnsi="Times New Roman"/>
                <w:color w:val="000000"/>
                <w:sz w:val="24"/>
                <w:szCs w:val="24"/>
              </w:rPr>
              <w:t xml:space="preserve">as kustība, īpaši, ja nepieciešams straujš paātrinājums, apgrūtināta pārredzamība u.tml.2015.gada 21. un 22.maijā notiks vērienīgs </w:t>
            </w:r>
            <w:r w:rsidR="008D7590">
              <w:rPr>
                <w:rFonts w:ascii="Times New Roman" w:hAnsi="Times New Roman"/>
                <w:color w:val="000000"/>
                <w:sz w:val="24"/>
                <w:szCs w:val="24"/>
              </w:rPr>
              <w:t>S</w:t>
            </w:r>
            <w:r w:rsidR="008D7590" w:rsidRPr="00B50435">
              <w:rPr>
                <w:rFonts w:ascii="Times New Roman" w:hAnsi="Times New Roman"/>
                <w:color w:val="000000"/>
                <w:sz w:val="24"/>
                <w:szCs w:val="24"/>
              </w:rPr>
              <w:t xml:space="preserve">amits, kura laikā vienlaicīgi būs jāpavada </w:t>
            </w:r>
            <w:r w:rsidR="008D7590">
              <w:rPr>
                <w:rFonts w:ascii="Times New Roman" w:hAnsi="Times New Roman"/>
                <w:color w:val="000000"/>
                <w:sz w:val="24"/>
                <w:szCs w:val="24"/>
              </w:rPr>
              <w:t>45</w:t>
            </w:r>
            <w:r w:rsidR="008D7590" w:rsidRPr="00B50435">
              <w:rPr>
                <w:rFonts w:ascii="Times New Roman" w:hAnsi="Times New Roman"/>
                <w:color w:val="000000"/>
                <w:sz w:val="24"/>
                <w:szCs w:val="24"/>
              </w:rPr>
              <w:t xml:space="preserve"> transportlīdzekļu </w:t>
            </w:r>
            <w:r w:rsidR="008D7590">
              <w:rPr>
                <w:rFonts w:ascii="Times New Roman" w:hAnsi="Times New Roman"/>
                <w:color w:val="000000"/>
                <w:sz w:val="24"/>
                <w:szCs w:val="24"/>
              </w:rPr>
              <w:t xml:space="preserve">lielas </w:t>
            </w:r>
            <w:r w:rsidR="008D7590" w:rsidRPr="00B50435">
              <w:rPr>
                <w:rFonts w:ascii="Times New Roman" w:hAnsi="Times New Roman"/>
                <w:color w:val="000000"/>
                <w:sz w:val="24"/>
                <w:szCs w:val="24"/>
              </w:rPr>
              <w:t xml:space="preserve">kolonnas. Lai nodrošinātu šo pasākumu, </w:t>
            </w:r>
            <w:r w:rsidR="008D7590">
              <w:rPr>
                <w:rFonts w:ascii="Times New Roman" w:hAnsi="Times New Roman"/>
                <w:color w:val="000000"/>
                <w:sz w:val="24"/>
                <w:szCs w:val="24"/>
              </w:rPr>
              <w:t xml:space="preserve">papildus nepieciešami 20 motocikli eskorta nodrošināšanai, vienlaikus </w:t>
            </w:r>
            <w:r w:rsidR="008D7590" w:rsidRPr="00B50435">
              <w:rPr>
                <w:rFonts w:ascii="Times New Roman" w:hAnsi="Times New Roman"/>
                <w:color w:val="000000"/>
                <w:sz w:val="24"/>
                <w:szCs w:val="24"/>
              </w:rPr>
              <w:t>izmanto</w:t>
            </w:r>
            <w:r w:rsidR="008D7590">
              <w:rPr>
                <w:rFonts w:ascii="Times New Roman" w:hAnsi="Times New Roman"/>
                <w:color w:val="000000"/>
                <w:sz w:val="24"/>
                <w:szCs w:val="24"/>
              </w:rPr>
              <w:t>jot</w:t>
            </w:r>
            <w:r w:rsidR="008D7590" w:rsidRPr="00B50435">
              <w:rPr>
                <w:rFonts w:ascii="Times New Roman" w:hAnsi="Times New Roman"/>
                <w:color w:val="000000"/>
                <w:sz w:val="24"/>
                <w:szCs w:val="24"/>
              </w:rPr>
              <w:t xml:space="preserve"> </w:t>
            </w:r>
            <w:r w:rsidR="008D7590">
              <w:rPr>
                <w:rFonts w:ascii="Times New Roman" w:hAnsi="Times New Roman"/>
                <w:color w:val="000000"/>
                <w:sz w:val="24"/>
                <w:szCs w:val="24"/>
              </w:rPr>
              <w:t>visus</w:t>
            </w:r>
            <w:r w:rsidR="008D7590" w:rsidRPr="00B50435">
              <w:rPr>
                <w:rFonts w:ascii="Times New Roman" w:hAnsi="Times New Roman"/>
                <w:color w:val="000000"/>
                <w:sz w:val="24"/>
                <w:szCs w:val="24"/>
              </w:rPr>
              <w:t xml:space="preserve"> Valsts </w:t>
            </w:r>
            <w:r w:rsidR="008D7590" w:rsidRPr="00D57035">
              <w:rPr>
                <w:rFonts w:ascii="Times New Roman" w:hAnsi="Times New Roman"/>
                <w:color w:val="000000"/>
                <w:sz w:val="24"/>
                <w:szCs w:val="24"/>
              </w:rPr>
              <w:t>policijas rīcībā esoš</w:t>
            </w:r>
            <w:r w:rsidR="008D7590">
              <w:rPr>
                <w:rFonts w:ascii="Times New Roman" w:hAnsi="Times New Roman"/>
                <w:color w:val="000000"/>
                <w:sz w:val="24"/>
                <w:szCs w:val="24"/>
              </w:rPr>
              <w:t>os</w:t>
            </w:r>
            <w:r w:rsidR="008D7590" w:rsidRPr="00D57035">
              <w:rPr>
                <w:rFonts w:ascii="Times New Roman" w:hAnsi="Times New Roman"/>
                <w:color w:val="000000"/>
                <w:sz w:val="24"/>
                <w:szCs w:val="24"/>
              </w:rPr>
              <w:t xml:space="preserve"> </w:t>
            </w:r>
            <w:proofErr w:type="spellStart"/>
            <w:r w:rsidR="008D7590">
              <w:rPr>
                <w:rFonts w:ascii="Times New Roman" w:hAnsi="Times New Roman"/>
                <w:color w:val="000000"/>
                <w:sz w:val="24"/>
                <w:szCs w:val="24"/>
              </w:rPr>
              <w:t>patruļmotociklus</w:t>
            </w:r>
            <w:proofErr w:type="spellEnd"/>
            <w:r w:rsidR="008D7590">
              <w:rPr>
                <w:rFonts w:ascii="Times New Roman" w:hAnsi="Times New Roman"/>
                <w:color w:val="000000"/>
                <w:sz w:val="24"/>
                <w:szCs w:val="24"/>
              </w:rPr>
              <w:t>.</w:t>
            </w:r>
            <w:r w:rsidR="00FE5879">
              <w:rPr>
                <w:rFonts w:ascii="Times New Roman" w:hAnsi="Times New Roman"/>
                <w:color w:val="000000"/>
                <w:sz w:val="24"/>
                <w:szCs w:val="24"/>
              </w:rPr>
              <w:t xml:space="preserve"> </w:t>
            </w:r>
            <w:r w:rsidR="008D7590" w:rsidRPr="009E59C6">
              <w:rPr>
                <w:rFonts w:ascii="Times New Roman" w:hAnsi="Times New Roman"/>
                <w:color w:val="000000"/>
                <w:sz w:val="24"/>
                <w:szCs w:val="24"/>
              </w:rPr>
              <w:t xml:space="preserve">Valsts policijas rīcībā ir 34 </w:t>
            </w:r>
            <w:proofErr w:type="spellStart"/>
            <w:r w:rsidR="008D7590" w:rsidRPr="009E59C6">
              <w:rPr>
                <w:rFonts w:ascii="Times New Roman" w:hAnsi="Times New Roman"/>
                <w:color w:val="000000"/>
                <w:sz w:val="24"/>
                <w:szCs w:val="24"/>
              </w:rPr>
              <w:t>patruļmotocikli</w:t>
            </w:r>
            <w:proofErr w:type="spellEnd"/>
            <w:r w:rsidR="008D7590" w:rsidRPr="009E59C6">
              <w:rPr>
                <w:rFonts w:ascii="Times New Roman" w:hAnsi="Times New Roman"/>
                <w:color w:val="000000"/>
                <w:sz w:val="24"/>
                <w:szCs w:val="24"/>
              </w:rPr>
              <w:t xml:space="preserve"> un nav neviena motocikla eskorta nodrošināšanai. Atbilstoši Ministru kabineta 2006.gada</w:t>
            </w:r>
            <w:r w:rsidR="00014682">
              <w:rPr>
                <w:rFonts w:ascii="Times New Roman" w:hAnsi="Times New Roman"/>
                <w:color w:val="000000"/>
                <w:sz w:val="24"/>
                <w:szCs w:val="24"/>
              </w:rPr>
              <w:t xml:space="preserve"> 19.decembra noteikumu Nr.1065 </w:t>
            </w:r>
            <w:r w:rsidR="00014682" w:rsidRPr="009E59C6">
              <w:rPr>
                <w:rFonts w:ascii="Times New Roman" w:hAnsi="Times New Roman"/>
                <w:color w:val="000000"/>
                <w:sz w:val="24"/>
                <w:szCs w:val="24"/>
              </w:rPr>
              <w:t>„</w:t>
            </w:r>
            <w:r w:rsidR="008D7590" w:rsidRPr="009E59C6">
              <w:rPr>
                <w:rFonts w:ascii="Times New Roman" w:hAnsi="Times New Roman"/>
                <w:color w:val="000000"/>
                <w:sz w:val="24"/>
                <w:szCs w:val="24"/>
              </w:rPr>
              <w:t xml:space="preserve">Valsts policijas materiāltehniskās apgādes normas” (turpmāk – noteikumi Nr.1065) 4.pielikumam Valsts policija ir jānodrošina ar 20 motocikliem eskorta nodrošināšanai. Atbilstoši noteikumu Nr.1065 4.pielikumam motociklu eskorta nodrošināšanai un </w:t>
            </w:r>
            <w:proofErr w:type="spellStart"/>
            <w:r w:rsidR="008D7590" w:rsidRPr="009E59C6">
              <w:rPr>
                <w:rFonts w:ascii="Times New Roman" w:hAnsi="Times New Roman"/>
                <w:color w:val="000000"/>
                <w:sz w:val="24"/>
                <w:szCs w:val="24"/>
              </w:rPr>
              <w:t>patruļmotociklu</w:t>
            </w:r>
            <w:proofErr w:type="spellEnd"/>
            <w:r w:rsidR="008D7590" w:rsidRPr="009E59C6">
              <w:rPr>
                <w:rFonts w:ascii="Times New Roman" w:hAnsi="Times New Roman"/>
                <w:color w:val="000000"/>
                <w:sz w:val="24"/>
                <w:szCs w:val="24"/>
              </w:rPr>
              <w:t xml:space="preserve"> nobraukums ir 50 000 km. Jau šobrīd daļa no </w:t>
            </w:r>
            <w:proofErr w:type="spellStart"/>
            <w:r w:rsidR="008D7590" w:rsidRPr="009E59C6">
              <w:rPr>
                <w:rFonts w:ascii="Times New Roman" w:hAnsi="Times New Roman"/>
                <w:color w:val="000000"/>
                <w:sz w:val="24"/>
                <w:szCs w:val="24"/>
              </w:rPr>
              <w:t>patruļmotocikliem</w:t>
            </w:r>
            <w:proofErr w:type="spellEnd"/>
            <w:r w:rsidR="008D7590" w:rsidRPr="009E59C6">
              <w:rPr>
                <w:rFonts w:ascii="Times New Roman" w:hAnsi="Times New Roman"/>
                <w:color w:val="000000"/>
                <w:sz w:val="24"/>
                <w:szCs w:val="24"/>
              </w:rPr>
              <w:t xml:space="preserve"> ir sliktā tehniskā stāvoklī, un to nobraukums pārsniedz noteikumos Nr.1065 noteikto nobraukumu (skatīt </w:t>
            </w:r>
            <w:r w:rsidR="00503B6A" w:rsidRPr="009E59C6">
              <w:rPr>
                <w:rFonts w:ascii="Times New Roman" w:hAnsi="Times New Roman"/>
                <w:color w:val="000000"/>
                <w:sz w:val="24"/>
                <w:szCs w:val="24"/>
              </w:rPr>
              <w:t xml:space="preserve">pielikuma </w:t>
            </w:r>
            <w:r w:rsidR="008D7590" w:rsidRPr="009E59C6">
              <w:rPr>
                <w:rFonts w:ascii="Times New Roman" w:hAnsi="Times New Roman"/>
                <w:color w:val="000000"/>
                <w:sz w:val="24"/>
                <w:szCs w:val="24"/>
              </w:rPr>
              <w:t>2.tabulu), tādēļ jo svarīgāka ir motociklu eskorta nodrošināšanai iegāde.</w:t>
            </w:r>
            <w:r w:rsidR="00FE5879">
              <w:rPr>
                <w:rFonts w:ascii="Times New Roman" w:hAnsi="Times New Roman"/>
                <w:color w:val="000000"/>
                <w:sz w:val="24"/>
                <w:szCs w:val="24"/>
              </w:rPr>
              <w:t xml:space="preserve"> </w:t>
            </w:r>
            <w:r w:rsidR="00473220" w:rsidRPr="009E59C6">
              <w:rPr>
                <w:rFonts w:ascii="Times New Roman" w:hAnsi="Times New Roman"/>
                <w:color w:val="000000"/>
                <w:sz w:val="24"/>
                <w:szCs w:val="24"/>
              </w:rPr>
              <w:t xml:space="preserve">Katram motociklam ir piesaistīti divi policijas darbinieki (katram policijas darbiniekam ir viens motociklista ekipējuma komplekts), līdz ar to nepieciešami 108 motociklista ekipējuma komplekti. </w:t>
            </w:r>
            <w:r w:rsidR="00473220" w:rsidRPr="009E59C6">
              <w:rPr>
                <w:rFonts w:ascii="Times New Roman" w:hAnsi="Times New Roman"/>
                <w:color w:val="000000"/>
                <w:sz w:val="24"/>
                <w:szCs w:val="24"/>
              </w:rPr>
              <w:lastRenderedPageBreak/>
              <w:t xml:space="preserve">Šobrīd nav iespējams izmantot visus </w:t>
            </w:r>
            <w:proofErr w:type="spellStart"/>
            <w:r w:rsidR="00473220" w:rsidRPr="009E59C6">
              <w:rPr>
                <w:rFonts w:ascii="Times New Roman" w:hAnsi="Times New Roman"/>
                <w:color w:val="000000"/>
                <w:sz w:val="24"/>
                <w:szCs w:val="24"/>
              </w:rPr>
              <w:t>patruļmotociklus</w:t>
            </w:r>
            <w:proofErr w:type="spellEnd"/>
            <w:r w:rsidR="00473220" w:rsidRPr="009E59C6">
              <w:rPr>
                <w:rFonts w:ascii="Times New Roman" w:hAnsi="Times New Roman"/>
                <w:color w:val="000000"/>
                <w:sz w:val="24"/>
                <w:szCs w:val="24"/>
              </w:rPr>
              <w:t xml:space="preserve">, jo nepietiek motociklistu ekipējuma komplektu. Turklāt, Ministru kabineta </w:t>
            </w:r>
            <w:r w:rsidR="00473220" w:rsidRPr="00D57035">
              <w:rPr>
                <w:rFonts w:ascii="Times New Roman" w:hAnsi="Times New Roman"/>
                <w:color w:val="000000"/>
                <w:sz w:val="24"/>
                <w:szCs w:val="24"/>
              </w:rPr>
              <w:t>2009.gada 10.februāra noteikumos Nr.137 „</w:t>
            </w:r>
            <w:r w:rsidR="00473220" w:rsidRPr="009E59C6">
              <w:rPr>
                <w:rFonts w:ascii="Times New Roman" w:hAnsi="Times New Roman"/>
                <w:color w:val="000000"/>
                <w:sz w:val="24"/>
                <w:szCs w:val="24"/>
              </w:rPr>
              <w:t>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paredzētais motociklista</w:t>
            </w:r>
            <w:r w:rsidR="00473220" w:rsidRPr="00D57035">
              <w:rPr>
                <w:rFonts w:ascii="Times New Roman" w:hAnsi="Times New Roman"/>
                <w:color w:val="000000"/>
                <w:sz w:val="24"/>
                <w:szCs w:val="24"/>
              </w:rPr>
              <w:t xml:space="preserve"> ekipējums (zābaki, cimdi, ķivere, </w:t>
            </w:r>
            <w:r w:rsidR="00473220" w:rsidRPr="009E59C6">
              <w:rPr>
                <w:rFonts w:ascii="Times New Roman" w:hAnsi="Times New Roman"/>
                <w:color w:val="000000"/>
                <w:sz w:val="24"/>
                <w:szCs w:val="24"/>
              </w:rPr>
              <w:t xml:space="preserve">virsvalks vai motociklistu virsjaka un </w:t>
            </w:r>
            <w:proofErr w:type="spellStart"/>
            <w:r w:rsidR="00473220" w:rsidRPr="009E59C6">
              <w:rPr>
                <w:rFonts w:ascii="Times New Roman" w:hAnsi="Times New Roman"/>
                <w:color w:val="000000"/>
                <w:sz w:val="24"/>
                <w:szCs w:val="24"/>
              </w:rPr>
              <w:t>puskombinezons</w:t>
            </w:r>
            <w:proofErr w:type="spellEnd"/>
            <w:r w:rsidR="00473220" w:rsidRPr="009E59C6">
              <w:rPr>
                <w:rFonts w:ascii="Times New Roman" w:hAnsi="Times New Roman"/>
                <w:color w:val="000000"/>
                <w:sz w:val="24"/>
                <w:szCs w:val="24"/>
              </w:rPr>
              <w:t xml:space="preserve"> (ar </w:t>
            </w:r>
            <w:proofErr w:type="spellStart"/>
            <w:r w:rsidR="00473220" w:rsidRPr="009E59C6">
              <w:rPr>
                <w:rFonts w:ascii="Times New Roman" w:hAnsi="Times New Roman"/>
                <w:color w:val="000000"/>
                <w:sz w:val="24"/>
                <w:szCs w:val="24"/>
              </w:rPr>
              <w:t>aizsargbruņām</w:t>
            </w:r>
            <w:proofErr w:type="spellEnd"/>
            <w:r w:rsidR="00473220" w:rsidRPr="009E59C6">
              <w:rPr>
                <w:rFonts w:ascii="Times New Roman" w:hAnsi="Times New Roman"/>
                <w:color w:val="000000"/>
                <w:sz w:val="24"/>
                <w:szCs w:val="24"/>
              </w:rPr>
              <w:t xml:space="preserve"> uz pleciem, muguras, elkoņiem un ceļiem</w:t>
            </w:r>
            <w:r w:rsidR="00473220" w:rsidRPr="00D57035">
              <w:rPr>
                <w:rFonts w:ascii="Times New Roman" w:hAnsi="Times New Roman"/>
                <w:color w:val="000000"/>
                <w:sz w:val="24"/>
                <w:szCs w:val="24"/>
              </w:rPr>
              <w:t>)</w:t>
            </w:r>
            <w:r w:rsidR="00473220">
              <w:rPr>
                <w:rFonts w:ascii="Times New Roman" w:hAnsi="Times New Roman"/>
                <w:color w:val="000000"/>
                <w:sz w:val="24"/>
                <w:szCs w:val="24"/>
              </w:rPr>
              <w:t xml:space="preserve">, baltā ieroču josta ar uzkabi, plānā </w:t>
            </w:r>
            <w:r w:rsidR="00473220" w:rsidRPr="009E59C6">
              <w:rPr>
                <w:rFonts w:ascii="Times New Roman" w:hAnsi="Times New Roman"/>
                <w:color w:val="000000"/>
                <w:sz w:val="24"/>
                <w:szCs w:val="24"/>
              </w:rPr>
              <w:t xml:space="preserve">un biezā </w:t>
            </w:r>
            <w:proofErr w:type="spellStart"/>
            <w:r w:rsidR="00473220" w:rsidRPr="009E59C6">
              <w:rPr>
                <w:rFonts w:ascii="Times New Roman" w:hAnsi="Times New Roman"/>
                <w:color w:val="000000"/>
                <w:sz w:val="24"/>
                <w:szCs w:val="24"/>
              </w:rPr>
              <w:t>termoveļa</w:t>
            </w:r>
            <w:proofErr w:type="spellEnd"/>
            <w:r w:rsidR="00473220" w:rsidRPr="009E59C6">
              <w:rPr>
                <w:rFonts w:ascii="Times New Roman" w:hAnsi="Times New Roman"/>
                <w:color w:val="000000"/>
                <w:sz w:val="24"/>
                <w:szCs w:val="24"/>
              </w:rPr>
              <w:t xml:space="preserve">) ir nolietojies un nav ekspluatējams. Viena komplekta vidējā cena ir 2362 </w:t>
            </w:r>
            <w:proofErr w:type="spellStart"/>
            <w:r w:rsidR="00473220" w:rsidRPr="00FE5879">
              <w:rPr>
                <w:rFonts w:ascii="Times New Roman" w:hAnsi="Times New Roman"/>
                <w:i/>
                <w:color w:val="000000"/>
                <w:sz w:val="24"/>
                <w:szCs w:val="24"/>
              </w:rPr>
              <w:t>euro</w:t>
            </w:r>
            <w:proofErr w:type="spellEnd"/>
            <w:r w:rsidR="00473220">
              <w:rPr>
                <w:rFonts w:ascii="Times New Roman" w:hAnsi="Times New Roman"/>
                <w:color w:val="000000"/>
                <w:sz w:val="24"/>
                <w:szCs w:val="24"/>
              </w:rPr>
              <w:t xml:space="preserve"> (skatīt pielikuma 3.tabulu). Motociklistu ekipējuma komplektu iegāde nodrošinās arī motociklistu vienotu vizuālo tēlu (apģērbs vizuāli neatšķirsies atkarībā no nolietojuma), radot ārvalstu amatpersonām pozitīvu priekšstatu par valsti.</w:t>
            </w:r>
          </w:p>
          <w:p w14:paraId="34054612" w14:textId="18EEE67E" w:rsidR="00963272" w:rsidRDefault="009E59C6" w:rsidP="00963272">
            <w:pPr>
              <w:spacing w:line="240" w:lineRule="auto"/>
              <w:ind w:firstLine="386"/>
              <w:contextualSpacing/>
              <w:jc w:val="both"/>
              <w:rPr>
                <w:rFonts w:ascii="Times New Roman" w:hAnsi="Times New Roman"/>
                <w:color w:val="000000"/>
                <w:sz w:val="24"/>
                <w:szCs w:val="24"/>
              </w:rPr>
            </w:pPr>
            <w:r>
              <w:rPr>
                <w:rFonts w:ascii="Times New Roman" w:hAnsi="Times New Roman"/>
                <w:color w:val="000000"/>
                <w:sz w:val="24"/>
                <w:szCs w:val="24"/>
              </w:rPr>
              <w:t>Rīkojuma projekt</w:t>
            </w:r>
            <w:r w:rsidR="004C3860">
              <w:rPr>
                <w:rFonts w:ascii="Times New Roman" w:hAnsi="Times New Roman"/>
                <w:color w:val="000000"/>
                <w:sz w:val="24"/>
                <w:szCs w:val="24"/>
              </w:rPr>
              <w:t>a 1.punkts paredz, ka</w:t>
            </w:r>
            <w:r w:rsidR="0022206E">
              <w:rPr>
                <w:rFonts w:ascii="Times New Roman" w:hAnsi="Times New Roman"/>
                <w:color w:val="000000"/>
                <w:sz w:val="24"/>
                <w:szCs w:val="24"/>
              </w:rPr>
              <w:t>,</w:t>
            </w:r>
            <w:r w:rsidR="004C3860">
              <w:rPr>
                <w:rFonts w:ascii="Times New Roman" w:hAnsi="Times New Roman"/>
                <w:color w:val="000000"/>
                <w:sz w:val="24"/>
                <w:szCs w:val="24"/>
              </w:rPr>
              <w:t xml:space="preserve"> lai </w:t>
            </w:r>
            <w:r w:rsidR="004C3860" w:rsidRPr="004C3860">
              <w:rPr>
                <w:rFonts w:ascii="Times New Roman" w:hAnsi="Times New Roman"/>
                <w:color w:val="000000"/>
                <w:sz w:val="24"/>
                <w:szCs w:val="24"/>
              </w:rPr>
              <w:t xml:space="preserve">segtu izdevumus, kas saistīti ar transportlīdzekļu (20 automašīnas un 20 motocikli) iegādi un to apdrošināšanu, kā arī motociklista ekipējuma (108 komplekti) iegādi, lai nodrošinātu transportlīdzekļu kolonnu pavadīšanu Latvijas prezidentūras </w:t>
            </w:r>
            <w:r w:rsidR="004C3860">
              <w:rPr>
                <w:rFonts w:ascii="Times New Roman" w:hAnsi="Times New Roman"/>
                <w:color w:val="000000"/>
                <w:sz w:val="24"/>
                <w:szCs w:val="24"/>
              </w:rPr>
              <w:t>Eiropas Savienības Padomē laikā ir nepieciešams pārdalīt finansējumu no</w:t>
            </w:r>
            <w:r w:rsidR="004C3860" w:rsidRPr="004C3860">
              <w:rPr>
                <w:rFonts w:ascii="Times New Roman" w:hAnsi="Times New Roman"/>
                <w:color w:val="000000"/>
                <w:sz w:val="24"/>
                <w:szCs w:val="24"/>
              </w:rPr>
              <w:t xml:space="preserve"> Iekšlietu ministrijas </w:t>
            </w:r>
            <w:r w:rsidR="004C3860">
              <w:rPr>
                <w:rFonts w:ascii="Times New Roman" w:hAnsi="Times New Roman"/>
                <w:color w:val="000000"/>
                <w:sz w:val="24"/>
                <w:szCs w:val="24"/>
              </w:rPr>
              <w:t>budžeta apakšprogrammas</w:t>
            </w:r>
            <w:r w:rsidR="004C3860" w:rsidRPr="004C3860">
              <w:rPr>
                <w:rFonts w:ascii="Times New Roman" w:hAnsi="Times New Roman"/>
                <w:color w:val="000000"/>
                <w:sz w:val="24"/>
                <w:szCs w:val="24"/>
              </w:rPr>
              <w:t xml:space="preserve"> 40.02.00 „Nekustamais īpašums un centralizētais iepirkums” ilgtermiņa saistību pasākumam „Latvijas Republikas un Krievijas Federācijas valsts robežas demarkācija” 2014.gadā neapgūtā finansējuma 373 395 </w:t>
            </w:r>
            <w:proofErr w:type="spellStart"/>
            <w:r w:rsidR="004C3860" w:rsidRPr="0039456E">
              <w:rPr>
                <w:rFonts w:ascii="Times New Roman" w:hAnsi="Times New Roman"/>
                <w:i/>
                <w:color w:val="000000"/>
                <w:sz w:val="24"/>
                <w:szCs w:val="24"/>
              </w:rPr>
              <w:t>euro</w:t>
            </w:r>
            <w:proofErr w:type="spellEnd"/>
            <w:r w:rsidR="004C3860" w:rsidRPr="004C3860">
              <w:rPr>
                <w:rFonts w:ascii="Times New Roman" w:hAnsi="Times New Roman"/>
                <w:color w:val="000000"/>
                <w:sz w:val="24"/>
                <w:szCs w:val="24"/>
              </w:rPr>
              <w:t xml:space="preserve"> apmērā uz Iekšlietu ministrijas budžeta apakšprogr</w:t>
            </w:r>
            <w:r w:rsidR="004C3860">
              <w:rPr>
                <w:rFonts w:ascii="Times New Roman" w:hAnsi="Times New Roman"/>
                <w:color w:val="000000"/>
                <w:sz w:val="24"/>
                <w:szCs w:val="24"/>
              </w:rPr>
              <w:t xml:space="preserve">ammu 06.01.00 „Valsts policija” un no </w:t>
            </w:r>
            <w:r w:rsidR="004C3860" w:rsidRPr="004C3860">
              <w:rPr>
                <w:rFonts w:ascii="Times New Roman" w:hAnsi="Times New Roman"/>
                <w:color w:val="000000"/>
                <w:sz w:val="24"/>
                <w:szCs w:val="24"/>
              </w:rPr>
              <w:t>Iekšlie</w:t>
            </w:r>
            <w:r w:rsidR="004C3860">
              <w:rPr>
                <w:rFonts w:ascii="Times New Roman" w:hAnsi="Times New Roman"/>
                <w:color w:val="000000"/>
                <w:sz w:val="24"/>
                <w:szCs w:val="24"/>
              </w:rPr>
              <w:t>tu ministrijas budžeta programmas</w:t>
            </w:r>
            <w:r w:rsidR="004C3860" w:rsidRPr="004C3860">
              <w:rPr>
                <w:rFonts w:ascii="Times New Roman" w:hAnsi="Times New Roman"/>
                <w:color w:val="000000"/>
                <w:sz w:val="24"/>
                <w:szCs w:val="24"/>
              </w:rPr>
              <w:t xml:space="preserve"> 10.00.00 „Valsts robežsardzes darbība” ilgtermiņa saistību pasākumam „Latvijas Republikas un Krievijas Federācijas valsts robežas demarkācija” 2014.gadā neapgūtā finansējuma 964 030 </w:t>
            </w:r>
            <w:proofErr w:type="spellStart"/>
            <w:r w:rsidR="004C3860" w:rsidRPr="004C3860">
              <w:rPr>
                <w:rFonts w:ascii="Times New Roman" w:hAnsi="Times New Roman"/>
                <w:i/>
                <w:color w:val="000000"/>
                <w:sz w:val="24"/>
                <w:szCs w:val="24"/>
              </w:rPr>
              <w:t>euro</w:t>
            </w:r>
            <w:proofErr w:type="spellEnd"/>
            <w:r w:rsidR="004C3860" w:rsidRPr="004C3860">
              <w:rPr>
                <w:rFonts w:ascii="Times New Roman" w:hAnsi="Times New Roman"/>
                <w:color w:val="000000"/>
                <w:sz w:val="24"/>
                <w:szCs w:val="24"/>
              </w:rPr>
              <w:t xml:space="preserve"> apmērā uz Iekšlietu ministrijas budžeta apakšprogr</w:t>
            </w:r>
            <w:r w:rsidR="0039456E">
              <w:rPr>
                <w:rFonts w:ascii="Times New Roman" w:hAnsi="Times New Roman"/>
                <w:color w:val="000000"/>
                <w:sz w:val="24"/>
                <w:szCs w:val="24"/>
              </w:rPr>
              <w:t xml:space="preserve">ammu 06.01.00 „Valsts policija”, kā arī no </w:t>
            </w:r>
            <w:r w:rsidR="004C3860" w:rsidRPr="004C3860">
              <w:rPr>
                <w:rFonts w:ascii="Times New Roman" w:hAnsi="Times New Roman"/>
                <w:color w:val="000000"/>
                <w:sz w:val="24"/>
                <w:szCs w:val="24"/>
              </w:rPr>
              <w:t>Finanšu ministrijai no valsts budžeta programmas 02.00.00 „Līdzekļi neparedzētiem gadījumiem” piešķirt Iekšlie</w:t>
            </w:r>
            <w:r w:rsidR="004C3860" w:rsidRPr="00963272">
              <w:rPr>
                <w:rFonts w:ascii="Times New Roman" w:hAnsi="Times New Roman"/>
                <w:color w:val="000000"/>
                <w:sz w:val="24"/>
                <w:szCs w:val="24"/>
              </w:rPr>
              <w:t xml:space="preserve">tu ministrijai (Valsts policijai) 1 163 417 </w:t>
            </w:r>
            <w:proofErr w:type="spellStart"/>
            <w:r w:rsidR="004C3860" w:rsidRPr="00963272">
              <w:rPr>
                <w:rFonts w:ascii="Times New Roman" w:hAnsi="Times New Roman"/>
                <w:i/>
                <w:color w:val="000000"/>
                <w:sz w:val="24"/>
                <w:szCs w:val="24"/>
              </w:rPr>
              <w:t>euro</w:t>
            </w:r>
            <w:proofErr w:type="spellEnd"/>
            <w:r w:rsidR="004C3860" w:rsidRPr="00963272">
              <w:rPr>
                <w:rFonts w:ascii="Times New Roman" w:hAnsi="Times New Roman"/>
                <w:color w:val="000000"/>
                <w:sz w:val="24"/>
                <w:szCs w:val="24"/>
              </w:rPr>
              <w:t xml:space="preserve"> (budžeta apakšprogramma 06.01.00 „Valsts policija”).</w:t>
            </w:r>
          </w:p>
          <w:p w14:paraId="723645DC" w14:textId="77777777" w:rsidR="00963272" w:rsidRDefault="00963272" w:rsidP="00963272">
            <w:pPr>
              <w:spacing w:line="240" w:lineRule="auto"/>
              <w:ind w:firstLine="386"/>
              <w:contextualSpacing/>
              <w:jc w:val="both"/>
              <w:rPr>
                <w:rFonts w:ascii="Times New Roman" w:hAnsi="Times New Roman"/>
                <w:color w:val="000000"/>
                <w:sz w:val="24"/>
                <w:szCs w:val="24"/>
              </w:rPr>
            </w:pPr>
            <w:r w:rsidRPr="00963272">
              <w:rPr>
                <w:rFonts w:ascii="Times New Roman" w:hAnsi="Times New Roman" w:cs="Times New Roman"/>
                <w:sz w:val="24"/>
                <w:szCs w:val="24"/>
              </w:rPr>
              <w:t xml:space="preserve">Attiecībā uz ilgtermiņa saistību pasākumu „Latvijas Republikas un Krievijas Federācijas valsts robežas demarkācija” jānorāda, ka jau 2009.gada beigās tika apstiprināta Latvijas un Krievijas demarkācijas komisija, kuras uzdevums bija noteikt un apzīmēt abu valstu robežu dabā. Latvijas–Krievijas robežas demarkācijas darbi tiek veikti vienlaicīgi atbilstoši komisijas pieņemtajiem lēmumiem, bet tā kā atsevišķos jautājumos abu pušu viedoklis ne vienmēr sakrīt, tad bija nepieciešams vairāk laika kā sākotnēji tika plānots. 2013.gada 12.-14.februārī Rīgā </w:t>
            </w:r>
            <w:r w:rsidRPr="00963272">
              <w:rPr>
                <w:rFonts w:ascii="Times New Roman" w:hAnsi="Times New Roman" w:cs="Times New Roman"/>
                <w:sz w:val="24"/>
                <w:szCs w:val="24"/>
              </w:rPr>
              <w:lastRenderedPageBreak/>
              <w:t xml:space="preserve">notikušajā Kopējās Latvijas – Krievijas komisijas sēdē tika apstiprināta valstu robežas līnijas izvietošana dabā no 500. līdz 559.robežzīmei, bet netika panākta vienošanās par robežas līnijas apstiprināšanu no 300. līdz 500.robežzīmei. Šis process izrādījās laikietilpīgs un ilgstošāks nekā sākotnēji tika plānots. Lēmumi par atsevišķiem robežas līnijas posmiem tika pieņemti arī 2013.gada oktobrī un apstiprināti 2013.gada novembrī, bet joprojām netika panākta vienošanās par visu robežas līnijas atrašanās vietas noteikšanu dabā. Galīgā vienošanās par atlikušo robežas posmu nospraušanu dabā tika panākta tikai 2014.gada 19.-23.maijā Pleskavā notikušajā kopējā Latvijas–Krievijas komisijas sēdē. Līdz ar to, ieilgstot abu valstu robežas līnijas saskaņošanai dabā, būtiski aizkavējās plānoto darbu izpilde. Sakarā ar to 2014.gadā tiek plānots, ka tiks veikta atlikušo robežstabu iebūve un tikai daļēja 12 m platās joslas apauguma novākšana. Atlikušos darbus plānots pabeigt 2015.gadā. </w:t>
            </w:r>
          </w:p>
          <w:p w14:paraId="3631B6F4" w14:textId="1AA19292" w:rsidR="00963272" w:rsidRDefault="00963272" w:rsidP="00963272">
            <w:pPr>
              <w:spacing w:after="0" w:line="240" w:lineRule="auto"/>
              <w:ind w:firstLine="386"/>
              <w:contextualSpacing/>
              <w:jc w:val="both"/>
              <w:rPr>
                <w:rFonts w:ascii="Times New Roman" w:hAnsi="Times New Roman"/>
                <w:color w:val="000000"/>
                <w:sz w:val="24"/>
                <w:szCs w:val="24"/>
              </w:rPr>
            </w:pPr>
            <w:r w:rsidRPr="00963272">
              <w:rPr>
                <w:rFonts w:ascii="Times New Roman" w:hAnsi="Times New Roman" w:cs="Times New Roman"/>
                <w:sz w:val="24"/>
                <w:szCs w:val="24"/>
              </w:rPr>
              <w:t>Zemes īpašumu sakārtošanu aizkavē gan ilgstošais Kopējās Krievijas – Latvijas demarkācijas komisijas saskaņošanas process par robežas līnijas atrašanās vietas noteikšanu dabā, gan nepieciešamība veikt privātīpašnieku zemes robežu aktualizēšanu, jo Nekustamā īpašuma valsts kadastra sistēmā (NĪVKIS) reģistrētie dati neatbilst reālajai situācijai sakarā ar privātīpašnieku pirmreizēji nekvalitatīvi veiktajiem zemes robežu iemērīšanas darbiem un to, ka dati nav aktualizēti. Bez tam saskaņā ar Valsts zemes dienesta sniegto informāciju 32 atsavināmajām zemes vienībām vēl nevar tikt veikta uzmērīšana, jo informācija par robežstabu uzstādīšanas nepieciešamību būs pieejama tikai pēc objektu apsekošanas dabā. Papildus minētajam, veicot nekustamo īpašumu atsavināšanas procesu, tika konstatēti gadījumi, kad zemes īpašnieks nepiekrīt zemes piespiedu atsavināšanas nosacījumiem, kā rezultātā būs nepieciešams veikt zemes piespiedu atsavināšanu, kas ir laikietilpīgs process, jo</w:t>
            </w:r>
            <w:r w:rsidR="0022206E">
              <w:rPr>
                <w:rFonts w:ascii="Times New Roman" w:hAnsi="Times New Roman" w:cs="Times New Roman"/>
                <w:sz w:val="24"/>
                <w:szCs w:val="24"/>
              </w:rPr>
              <w:t>,</w:t>
            </w:r>
            <w:r w:rsidRPr="00963272">
              <w:rPr>
                <w:rFonts w:ascii="Times New Roman" w:hAnsi="Times New Roman" w:cs="Times New Roman"/>
                <w:sz w:val="24"/>
                <w:szCs w:val="24"/>
              </w:rPr>
              <w:t xml:space="preserve"> iespējams</w:t>
            </w:r>
            <w:r w:rsidR="0022206E">
              <w:rPr>
                <w:rFonts w:ascii="Times New Roman" w:hAnsi="Times New Roman" w:cs="Times New Roman"/>
                <w:sz w:val="24"/>
                <w:szCs w:val="24"/>
              </w:rPr>
              <w:t>,</w:t>
            </w:r>
            <w:r w:rsidRPr="00963272">
              <w:rPr>
                <w:rFonts w:ascii="Times New Roman" w:hAnsi="Times New Roman" w:cs="Times New Roman"/>
                <w:sz w:val="24"/>
                <w:szCs w:val="24"/>
              </w:rPr>
              <w:t xml:space="preserve"> būs nepieciešams tiesvedības process, kas var ieilgt. Tāpat </w:t>
            </w:r>
            <w:r w:rsidR="0022206E">
              <w:rPr>
                <w:rFonts w:ascii="Times New Roman" w:hAnsi="Times New Roman" w:cs="Times New Roman"/>
                <w:sz w:val="24"/>
                <w:szCs w:val="24"/>
              </w:rPr>
              <w:t>starp atsavināšanai paredzētajiem</w:t>
            </w:r>
            <w:r w:rsidRPr="00963272">
              <w:rPr>
                <w:rFonts w:ascii="Times New Roman" w:hAnsi="Times New Roman" w:cs="Times New Roman"/>
                <w:sz w:val="24"/>
                <w:szCs w:val="24"/>
              </w:rPr>
              <w:t xml:space="preserve"> nekustam</w:t>
            </w:r>
            <w:r w:rsidR="0022206E">
              <w:rPr>
                <w:rFonts w:ascii="Times New Roman" w:hAnsi="Times New Roman" w:cs="Times New Roman"/>
                <w:sz w:val="24"/>
                <w:szCs w:val="24"/>
              </w:rPr>
              <w:t>ajiem īpašumiem</w:t>
            </w:r>
            <w:r w:rsidRPr="00963272">
              <w:rPr>
                <w:rFonts w:ascii="Times New Roman" w:hAnsi="Times New Roman" w:cs="Times New Roman"/>
                <w:sz w:val="24"/>
                <w:szCs w:val="24"/>
              </w:rPr>
              <w:t xml:space="preserve"> ir tādi zemes gabali, kuru īpašnieki ir miruši un mantinieki vēl nav ieguvuši mantojuma tiesības likumā noteiktajā kārtībā, kā rezultātā ir nepieciešams noformēt mantojuma lietas. Ņemot vērā minēto</w:t>
            </w:r>
            <w:r w:rsidR="0022206E">
              <w:rPr>
                <w:rFonts w:ascii="Times New Roman" w:hAnsi="Times New Roman" w:cs="Times New Roman"/>
                <w:sz w:val="24"/>
                <w:szCs w:val="24"/>
              </w:rPr>
              <w:t>,</w:t>
            </w:r>
            <w:r w:rsidRPr="00963272">
              <w:rPr>
                <w:rFonts w:ascii="Times New Roman" w:hAnsi="Times New Roman" w:cs="Times New Roman"/>
                <w:sz w:val="24"/>
                <w:szCs w:val="24"/>
              </w:rPr>
              <w:t xml:space="preserve"> tiek plānots, ka zemes īpašumu uzmērīšanas un atsavināšanas process netiks p</w:t>
            </w:r>
            <w:r w:rsidR="0022206E">
              <w:rPr>
                <w:rFonts w:ascii="Times New Roman" w:hAnsi="Times New Roman" w:cs="Times New Roman"/>
                <w:sz w:val="24"/>
                <w:szCs w:val="24"/>
              </w:rPr>
              <w:t>abeigts ātrāk</w:t>
            </w:r>
            <w:r w:rsidRPr="00963272">
              <w:rPr>
                <w:rFonts w:ascii="Times New Roman" w:hAnsi="Times New Roman" w:cs="Times New Roman"/>
                <w:sz w:val="24"/>
                <w:szCs w:val="24"/>
              </w:rPr>
              <w:t xml:space="preserve"> kā 2015.gada beigās, bet, ja</w:t>
            </w:r>
            <w:r w:rsidR="0022206E">
              <w:rPr>
                <w:rFonts w:ascii="Times New Roman" w:hAnsi="Times New Roman" w:cs="Times New Roman"/>
                <w:sz w:val="24"/>
                <w:szCs w:val="24"/>
              </w:rPr>
              <w:t>,</w:t>
            </w:r>
            <w:r w:rsidRPr="00963272">
              <w:rPr>
                <w:rFonts w:ascii="Times New Roman" w:hAnsi="Times New Roman" w:cs="Times New Roman"/>
                <w:sz w:val="24"/>
                <w:szCs w:val="24"/>
              </w:rPr>
              <w:t xml:space="preserve"> būs nepieciešams uzsākt tiesvedības procesus par atsevišķu nekustamo īpašumu piespiedu atsavināšanu, tad pastāv iespēja, ka atsevišķi darbi tiks pabeigti tikai 2016.gadā.</w:t>
            </w:r>
          </w:p>
          <w:p w14:paraId="6824ECDB" w14:textId="07DA31E0" w:rsidR="00963272" w:rsidRPr="00963272" w:rsidRDefault="00963272" w:rsidP="00963272">
            <w:pPr>
              <w:spacing w:after="0" w:line="240" w:lineRule="auto"/>
              <w:ind w:firstLine="386"/>
              <w:contextualSpacing/>
              <w:jc w:val="both"/>
              <w:rPr>
                <w:rFonts w:ascii="Times New Roman" w:hAnsi="Times New Roman"/>
                <w:color w:val="000000"/>
                <w:sz w:val="24"/>
                <w:szCs w:val="24"/>
              </w:rPr>
            </w:pPr>
            <w:r w:rsidRPr="00963272">
              <w:rPr>
                <w:rFonts w:ascii="Times New Roman" w:hAnsi="Times New Roman" w:cs="Times New Roman"/>
                <w:sz w:val="24"/>
                <w:szCs w:val="24"/>
              </w:rPr>
              <w:t xml:space="preserve">Ņemot vērā, ka Latvijas un Krievijas puse nevarēja vienoties par robežas līnijas vietas atrašanos dabā, tika kavēta robežas līnijas noteikšana un uzmērīšana dabā un īpašumu tiesības sakārtošana, kā arī 12 m joslas attīrīšana. Tādējādi </w:t>
            </w:r>
            <w:r w:rsidR="0022206E">
              <w:rPr>
                <w:rFonts w:ascii="Times New Roman" w:hAnsi="Times New Roman" w:cs="Times New Roman"/>
                <w:sz w:val="24"/>
                <w:szCs w:val="24"/>
              </w:rPr>
              <w:t>izveidoja</w:t>
            </w:r>
            <w:r w:rsidRPr="00963272">
              <w:rPr>
                <w:rFonts w:ascii="Times New Roman" w:hAnsi="Times New Roman" w:cs="Times New Roman"/>
                <w:sz w:val="24"/>
                <w:szCs w:val="24"/>
              </w:rPr>
              <w:t xml:space="preserve">s līdzekļu ekonomija ilgtermiņa saistību pasākumam </w:t>
            </w:r>
            <w:r w:rsidRPr="00963272">
              <w:rPr>
                <w:rFonts w:ascii="Times New Roman" w:hAnsi="Times New Roman" w:cs="Times New Roman"/>
                <w:sz w:val="24"/>
                <w:szCs w:val="24"/>
              </w:rPr>
              <w:lastRenderedPageBreak/>
              <w:t xml:space="preserve">„Latvijas Republikas un Krievijas Federācijas valsts robežas demarkācija” 2014.gadā 1 337 425 </w:t>
            </w:r>
            <w:proofErr w:type="spellStart"/>
            <w:r w:rsidRPr="00963272">
              <w:rPr>
                <w:rFonts w:ascii="Times New Roman" w:hAnsi="Times New Roman" w:cs="Times New Roman"/>
                <w:i/>
                <w:sz w:val="24"/>
                <w:szCs w:val="24"/>
              </w:rPr>
              <w:t>euro</w:t>
            </w:r>
            <w:proofErr w:type="spellEnd"/>
            <w:r w:rsidRPr="00963272">
              <w:rPr>
                <w:rFonts w:ascii="Times New Roman" w:hAnsi="Times New Roman" w:cs="Times New Roman"/>
                <w:sz w:val="24"/>
                <w:szCs w:val="24"/>
              </w:rPr>
              <w:t xml:space="preserve"> apmērā, tai skaitā:</w:t>
            </w:r>
          </w:p>
          <w:p w14:paraId="6B9F8345" w14:textId="77777777" w:rsidR="00963272" w:rsidRPr="00963272" w:rsidRDefault="00963272" w:rsidP="00963272">
            <w:pPr>
              <w:pStyle w:val="ListParagraph"/>
              <w:numPr>
                <w:ilvl w:val="0"/>
                <w:numId w:val="3"/>
              </w:numPr>
              <w:spacing w:after="0" w:line="240" w:lineRule="auto"/>
              <w:jc w:val="both"/>
              <w:rPr>
                <w:rFonts w:ascii="Times New Roman" w:hAnsi="Times New Roman"/>
                <w:sz w:val="24"/>
                <w:szCs w:val="24"/>
              </w:rPr>
            </w:pPr>
            <w:r w:rsidRPr="00963272">
              <w:rPr>
                <w:rFonts w:ascii="Times New Roman" w:hAnsi="Times New Roman"/>
                <w:sz w:val="24"/>
                <w:szCs w:val="24"/>
              </w:rPr>
              <w:t xml:space="preserve">budžeta apakšprogrammā 40.02.00 „Nekustamais īpašums un centralizētais iepirkums” neapgūtais finansējums 373 395 </w:t>
            </w:r>
            <w:proofErr w:type="spellStart"/>
            <w:r w:rsidRPr="00963272">
              <w:rPr>
                <w:rFonts w:ascii="Times New Roman" w:hAnsi="Times New Roman"/>
                <w:i/>
                <w:sz w:val="24"/>
                <w:szCs w:val="24"/>
              </w:rPr>
              <w:t>euro</w:t>
            </w:r>
            <w:proofErr w:type="spellEnd"/>
            <w:r w:rsidRPr="00963272">
              <w:rPr>
                <w:rFonts w:ascii="Times New Roman" w:hAnsi="Times New Roman"/>
                <w:sz w:val="24"/>
                <w:szCs w:val="24"/>
              </w:rPr>
              <w:t xml:space="preserve"> apmērā;</w:t>
            </w:r>
          </w:p>
          <w:p w14:paraId="617BD59E" w14:textId="77777777" w:rsidR="00963272" w:rsidRPr="00963272" w:rsidRDefault="00963272" w:rsidP="00963272">
            <w:pPr>
              <w:pStyle w:val="ListParagraph"/>
              <w:numPr>
                <w:ilvl w:val="0"/>
                <w:numId w:val="3"/>
              </w:numPr>
              <w:spacing w:after="0" w:line="240" w:lineRule="auto"/>
              <w:jc w:val="both"/>
              <w:rPr>
                <w:rFonts w:ascii="Times New Roman" w:hAnsi="Times New Roman"/>
                <w:sz w:val="24"/>
                <w:szCs w:val="24"/>
              </w:rPr>
            </w:pPr>
            <w:r w:rsidRPr="00963272">
              <w:rPr>
                <w:rFonts w:ascii="Times New Roman" w:hAnsi="Times New Roman"/>
                <w:sz w:val="24"/>
                <w:szCs w:val="24"/>
              </w:rPr>
              <w:t xml:space="preserve">budžeta programmā 10.00.00 „Valsts robežsardzes darbība” neapgūtais finansējums 964 030 </w:t>
            </w:r>
            <w:proofErr w:type="spellStart"/>
            <w:r w:rsidRPr="00963272">
              <w:rPr>
                <w:rFonts w:ascii="Times New Roman" w:hAnsi="Times New Roman"/>
                <w:i/>
                <w:sz w:val="24"/>
                <w:szCs w:val="24"/>
              </w:rPr>
              <w:t>euro</w:t>
            </w:r>
            <w:proofErr w:type="spellEnd"/>
            <w:r w:rsidRPr="00963272">
              <w:rPr>
                <w:rFonts w:ascii="Times New Roman" w:hAnsi="Times New Roman"/>
                <w:sz w:val="24"/>
                <w:szCs w:val="24"/>
              </w:rPr>
              <w:t xml:space="preserve"> apmērā.</w:t>
            </w:r>
          </w:p>
          <w:p w14:paraId="2EFA6EC0" w14:textId="1ECA698E" w:rsidR="008E1202" w:rsidRDefault="00AD79F1" w:rsidP="00963272">
            <w:pPr>
              <w:spacing w:after="0" w:line="240" w:lineRule="auto"/>
              <w:ind w:firstLine="386"/>
              <w:contextualSpacing/>
              <w:jc w:val="both"/>
              <w:rPr>
                <w:rFonts w:ascii="Times New Roman" w:hAnsi="Times New Roman"/>
                <w:color w:val="000000"/>
                <w:sz w:val="24"/>
                <w:szCs w:val="24"/>
              </w:rPr>
            </w:pPr>
            <w:r w:rsidRPr="00963272">
              <w:rPr>
                <w:rFonts w:ascii="Times New Roman" w:hAnsi="Times New Roman"/>
                <w:color w:val="000000"/>
                <w:sz w:val="24"/>
                <w:szCs w:val="24"/>
              </w:rPr>
              <w:t>Attiecībā uz finanšu līdzekļu piešķiršanu no valsts budžeta programmas 02.00.00 „Līdzekļi neparedzētiem gadījumiem” jānorāda, ka</w:t>
            </w:r>
            <w:r w:rsidR="0022206E">
              <w:rPr>
                <w:rFonts w:ascii="Times New Roman" w:hAnsi="Times New Roman"/>
                <w:color w:val="000000"/>
                <w:sz w:val="24"/>
                <w:szCs w:val="24"/>
              </w:rPr>
              <w:t>,</w:t>
            </w:r>
            <w:r w:rsidRPr="00963272">
              <w:rPr>
                <w:rFonts w:ascii="Times New Roman" w:hAnsi="Times New Roman"/>
                <w:color w:val="000000"/>
                <w:sz w:val="24"/>
                <w:szCs w:val="24"/>
              </w:rPr>
              <w:t xml:space="preserve"> pamatojoties uz likumprojekta „Grozījumi Valsts un pašvaldību institūciju amatpersonu un darbinieku atlīdzības</w:t>
            </w:r>
            <w:r w:rsidRPr="00AD79F1">
              <w:rPr>
                <w:rFonts w:ascii="Times New Roman" w:hAnsi="Times New Roman"/>
                <w:color w:val="000000"/>
                <w:sz w:val="24"/>
                <w:szCs w:val="24"/>
              </w:rPr>
              <w:t xml:space="preserve"> likumā” (</w:t>
            </w:r>
            <w:proofErr w:type="spellStart"/>
            <w:r w:rsidRPr="00AD79F1">
              <w:rPr>
                <w:rFonts w:ascii="Times New Roman" w:hAnsi="Times New Roman"/>
                <w:color w:val="000000"/>
                <w:sz w:val="24"/>
                <w:szCs w:val="24"/>
              </w:rPr>
              <w:t>Nr</w:t>
            </w:r>
            <w:proofErr w:type="spellEnd"/>
            <w:r w:rsidRPr="00AD79F1">
              <w:rPr>
                <w:rFonts w:ascii="Times New Roman" w:hAnsi="Times New Roman"/>
                <w:color w:val="000000"/>
                <w:sz w:val="24"/>
                <w:szCs w:val="24"/>
              </w:rPr>
              <w:t>: 1023/Lp11) anotācijā minēto</w:t>
            </w:r>
            <w:r w:rsidR="0022206E">
              <w:rPr>
                <w:rFonts w:ascii="Times New Roman" w:hAnsi="Times New Roman"/>
                <w:color w:val="000000"/>
                <w:sz w:val="24"/>
                <w:szCs w:val="24"/>
              </w:rPr>
              <w:t>,</w:t>
            </w:r>
            <w:r w:rsidRPr="00AD79F1">
              <w:rPr>
                <w:rFonts w:ascii="Times New Roman" w:hAnsi="Times New Roman"/>
                <w:color w:val="000000"/>
                <w:sz w:val="24"/>
                <w:szCs w:val="24"/>
              </w:rPr>
              <w:t xml:space="preserve"> Iekšlietu mini</w:t>
            </w:r>
            <w:r w:rsidR="0022206E">
              <w:rPr>
                <w:rFonts w:ascii="Times New Roman" w:hAnsi="Times New Roman"/>
                <w:color w:val="000000"/>
                <w:sz w:val="24"/>
                <w:szCs w:val="24"/>
              </w:rPr>
              <w:t>strijai ir rezervēti 2014.gadā</w:t>
            </w:r>
            <w:r w:rsidRPr="00AD79F1">
              <w:rPr>
                <w:rFonts w:ascii="Times New Roman" w:hAnsi="Times New Roman"/>
                <w:color w:val="000000"/>
                <w:sz w:val="24"/>
                <w:szCs w:val="24"/>
              </w:rPr>
              <w:t xml:space="preserve"> 3 611 314 </w:t>
            </w:r>
            <w:proofErr w:type="spellStart"/>
            <w:r w:rsidRPr="005F015E">
              <w:rPr>
                <w:rFonts w:ascii="Times New Roman" w:hAnsi="Times New Roman"/>
                <w:i/>
                <w:color w:val="000000"/>
                <w:sz w:val="24"/>
                <w:szCs w:val="24"/>
              </w:rPr>
              <w:t>euro</w:t>
            </w:r>
            <w:proofErr w:type="spellEnd"/>
            <w:r w:rsidR="0022206E">
              <w:rPr>
                <w:rFonts w:ascii="Times New Roman" w:hAnsi="Times New Roman"/>
                <w:color w:val="000000"/>
                <w:sz w:val="24"/>
                <w:szCs w:val="24"/>
              </w:rPr>
              <w:t xml:space="preserve"> veselības aprūpes un pabalstu izmaksai</w:t>
            </w:r>
            <w:r w:rsidRPr="00AD79F1">
              <w:rPr>
                <w:rFonts w:ascii="Times New Roman" w:hAnsi="Times New Roman"/>
                <w:color w:val="000000"/>
                <w:sz w:val="24"/>
                <w:szCs w:val="24"/>
              </w:rPr>
              <w:t>. Saistībā ar 2013.gada 19.decembrī pieņemto likumu „Grozījumi Valsts un pašvaldību institūciju amatpersonu un darbinieku atlīdzības likumā” un tā pārejas noteikumu 26.punktā noteikto amatpersonu veselības aprūpes uzlabošanu ar 2014.gada 1.janvāri, un saistībā ar Ministru kabineta 2010.gada 21.jūnija noteikumos Nr.569 „Kārtība, kādā Iekšlietu ministrijas sistēmas iestāžu un Ieslodzījuma vietu pārvaldes amatpersona ar speciālo dienesta pakāpi saņem apmaksātus veselības aprūpes pakalpojumus” noteikto regulējumu, Iekšlietu ministrija ir arī sagatavojusi</w:t>
            </w:r>
            <w:r w:rsidR="0022206E">
              <w:rPr>
                <w:rFonts w:ascii="Times New Roman" w:hAnsi="Times New Roman"/>
                <w:color w:val="000000"/>
                <w:sz w:val="24"/>
                <w:szCs w:val="24"/>
              </w:rPr>
              <w:t xml:space="preserve">, saskaņojusi ar </w:t>
            </w:r>
            <w:r w:rsidRPr="00AD79F1">
              <w:rPr>
                <w:rFonts w:ascii="Times New Roman" w:hAnsi="Times New Roman"/>
                <w:color w:val="000000"/>
                <w:sz w:val="24"/>
                <w:szCs w:val="24"/>
              </w:rPr>
              <w:t>F</w:t>
            </w:r>
            <w:r w:rsidR="0022206E">
              <w:rPr>
                <w:rFonts w:ascii="Times New Roman" w:hAnsi="Times New Roman"/>
                <w:color w:val="000000"/>
                <w:sz w:val="24"/>
                <w:szCs w:val="24"/>
              </w:rPr>
              <w:t>inanšu ministriju un iesniegusi Valsts kancelejā rīkojuma</w:t>
            </w:r>
            <w:r w:rsidR="00794419">
              <w:rPr>
                <w:rFonts w:ascii="Times New Roman" w:hAnsi="Times New Roman"/>
                <w:color w:val="000000"/>
                <w:sz w:val="24"/>
                <w:szCs w:val="24"/>
              </w:rPr>
              <w:t>.</w:t>
            </w:r>
            <w:r w:rsidRPr="00AD79F1">
              <w:rPr>
                <w:rFonts w:ascii="Times New Roman" w:hAnsi="Times New Roman"/>
                <w:color w:val="000000"/>
                <w:sz w:val="24"/>
                <w:szCs w:val="24"/>
              </w:rPr>
              <w:t xml:space="preserve"> projektu „Par finanšu līdzekļu piešķiršanu no valsts budžeta programmas „Līdzekļi neparedzētiem gadījumiem””, kas paredz piešķirt finansējumu Iekšlietu ministrijas veselības un sporta centram 506 478 </w:t>
            </w:r>
            <w:proofErr w:type="spellStart"/>
            <w:r w:rsidRPr="005F015E">
              <w:rPr>
                <w:rFonts w:ascii="Times New Roman" w:hAnsi="Times New Roman"/>
                <w:i/>
                <w:color w:val="000000"/>
                <w:sz w:val="24"/>
                <w:szCs w:val="24"/>
              </w:rPr>
              <w:t>euro</w:t>
            </w:r>
            <w:proofErr w:type="spellEnd"/>
            <w:r w:rsidRPr="00AD79F1">
              <w:rPr>
                <w:rFonts w:ascii="Times New Roman" w:hAnsi="Times New Roman"/>
                <w:color w:val="000000"/>
                <w:sz w:val="24"/>
                <w:szCs w:val="24"/>
              </w:rPr>
              <w:t xml:space="preserve"> apmērā (projektā </w:t>
            </w:r>
            <w:r w:rsidR="00794419">
              <w:rPr>
                <w:rFonts w:ascii="Times New Roman" w:hAnsi="Times New Roman"/>
                <w:color w:val="000000"/>
                <w:sz w:val="24"/>
                <w:szCs w:val="24"/>
              </w:rPr>
              <w:t>prognozēts, ka</w:t>
            </w:r>
            <w:r w:rsidRPr="00AD79F1">
              <w:rPr>
                <w:rFonts w:ascii="Times New Roman" w:hAnsi="Times New Roman"/>
                <w:color w:val="000000"/>
                <w:sz w:val="24"/>
                <w:szCs w:val="24"/>
              </w:rPr>
              <w:t xml:space="preserve"> 2014.gadam papildu</w:t>
            </w:r>
            <w:r w:rsidR="00794419">
              <w:rPr>
                <w:rFonts w:ascii="Times New Roman" w:hAnsi="Times New Roman"/>
                <w:color w:val="000000"/>
                <w:sz w:val="24"/>
                <w:szCs w:val="24"/>
              </w:rPr>
              <w:t xml:space="preserve"> veselības aprūpei būs nepieciešams finansējums ne vairāk kā</w:t>
            </w:r>
            <w:r w:rsidRPr="00AD79F1">
              <w:rPr>
                <w:rFonts w:ascii="Times New Roman" w:hAnsi="Times New Roman"/>
                <w:color w:val="000000"/>
                <w:sz w:val="24"/>
                <w:szCs w:val="24"/>
              </w:rPr>
              <w:t xml:space="preserve"> 1 012 954 </w:t>
            </w:r>
            <w:proofErr w:type="spellStart"/>
            <w:r w:rsidRPr="005F015E">
              <w:rPr>
                <w:rFonts w:ascii="Times New Roman" w:hAnsi="Times New Roman"/>
                <w:i/>
                <w:color w:val="000000"/>
                <w:sz w:val="24"/>
                <w:szCs w:val="24"/>
              </w:rPr>
              <w:t>euro</w:t>
            </w:r>
            <w:proofErr w:type="spellEnd"/>
            <w:r w:rsidRPr="00AD79F1">
              <w:rPr>
                <w:rFonts w:ascii="Times New Roman" w:hAnsi="Times New Roman"/>
                <w:color w:val="000000"/>
                <w:sz w:val="24"/>
                <w:szCs w:val="24"/>
              </w:rPr>
              <w:t>). Pēc 2014.gada 9 mēne</w:t>
            </w:r>
            <w:r w:rsidR="00794419">
              <w:rPr>
                <w:rFonts w:ascii="Times New Roman" w:hAnsi="Times New Roman"/>
                <w:color w:val="000000"/>
                <w:sz w:val="24"/>
                <w:szCs w:val="24"/>
              </w:rPr>
              <w:t>šu budžeta izpildes rezultātiem</w:t>
            </w:r>
            <w:r w:rsidRPr="00AD79F1">
              <w:rPr>
                <w:rFonts w:ascii="Times New Roman" w:hAnsi="Times New Roman"/>
                <w:color w:val="000000"/>
                <w:sz w:val="24"/>
                <w:szCs w:val="24"/>
              </w:rPr>
              <w:t xml:space="preserve"> Iekšlietu ministrija sākotnēji prognozēto izdevumu ietvaros sagatavos rīkojuma projektu papildu finanšu līdzekļu piešķiršanai no valsts budžeta programmas „Līdzekļi neparedzētiem gadījumiem” par atlikušo papildus nepieciešam</w:t>
            </w:r>
            <w:r w:rsidR="00794419">
              <w:rPr>
                <w:rFonts w:ascii="Times New Roman" w:hAnsi="Times New Roman"/>
                <w:color w:val="000000"/>
                <w:sz w:val="24"/>
                <w:szCs w:val="24"/>
              </w:rPr>
              <w:t>o finanšu līdzekļu pieprasījumu, ja tas būs nepieciešams.</w:t>
            </w:r>
          </w:p>
          <w:p w14:paraId="51D7895B" w14:textId="77777777" w:rsidR="00EA7BD0" w:rsidRDefault="00024C31" w:rsidP="000843D2">
            <w:pPr>
              <w:spacing w:line="240" w:lineRule="auto"/>
              <w:ind w:firstLine="386"/>
              <w:contextualSpacing/>
              <w:jc w:val="both"/>
              <w:rPr>
                <w:rFonts w:ascii="Times New Roman" w:hAnsi="Times New Roman"/>
                <w:color w:val="000000"/>
                <w:sz w:val="24"/>
                <w:szCs w:val="24"/>
              </w:rPr>
            </w:pPr>
            <w:r>
              <w:rPr>
                <w:rFonts w:ascii="Times New Roman" w:hAnsi="Times New Roman"/>
                <w:color w:val="000000"/>
                <w:sz w:val="24"/>
                <w:szCs w:val="24"/>
              </w:rPr>
              <w:t xml:space="preserve">Rīkojuma projekta 2.punkts paredz, ka </w:t>
            </w:r>
            <w:r>
              <w:rPr>
                <w:rFonts w:ascii="Times New Roman" w:hAnsi="Times New Roman" w:cs="Times New Roman"/>
                <w:sz w:val="24"/>
                <w:szCs w:val="24"/>
              </w:rPr>
              <w:t>j</w:t>
            </w:r>
            <w:r w:rsidRPr="00024C31">
              <w:rPr>
                <w:rFonts w:ascii="Times New Roman" w:hAnsi="Times New Roman"/>
                <w:color w:val="000000"/>
                <w:sz w:val="24"/>
                <w:szCs w:val="24"/>
              </w:rPr>
              <w:t xml:space="preserve">autājumu </w:t>
            </w:r>
            <w:r w:rsidR="000843D2" w:rsidRPr="000843D2">
              <w:rPr>
                <w:rFonts w:ascii="Times New Roman" w:hAnsi="Times New Roman"/>
                <w:color w:val="000000"/>
                <w:sz w:val="24"/>
                <w:szCs w:val="24"/>
              </w:rPr>
              <w:t xml:space="preserve">par papildu nepieciešamā finansējuma piešķiršanu un finansējuma avotiem Iekšlietu ministrijai ilgtermiņa saistību pasākumam „Latvijas Republikas un Krievijas Federācijas valsts robežas demarkācija” </w:t>
            </w:r>
            <w:proofErr w:type="gramStart"/>
            <w:r w:rsidR="000843D2" w:rsidRPr="000843D2">
              <w:rPr>
                <w:rFonts w:ascii="Times New Roman" w:hAnsi="Times New Roman"/>
                <w:color w:val="000000"/>
                <w:sz w:val="24"/>
                <w:szCs w:val="24"/>
              </w:rPr>
              <w:t>2015.gadam</w:t>
            </w:r>
            <w:proofErr w:type="gramEnd"/>
            <w:r w:rsidR="000843D2" w:rsidRPr="000843D2">
              <w:rPr>
                <w:rFonts w:ascii="Times New Roman" w:hAnsi="Times New Roman"/>
                <w:color w:val="000000"/>
                <w:sz w:val="24"/>
                <w:szCs w:val="24"/>
              </w:rPr>
              <w:t xml:space="preserve"> 1 337 425 </w:t>
            </w:r>
            <w:proofErr w:type="spellStart"/>
            <w:r w:rsidR="000843D2" w:rsidRPr="000843D2">
              <w:rPr>
                <w:rFonts w:ascii="Times New Roman" w:hAnsi="Times New Roman"/>
                <w:i/>
                <w:color w:val="000000"/>
                <w:sz w:val="24"/>
                <w:szCs w:val="24"/>
              </w:rPr>
              <w:t>euro</w:t>
            </w:r>
            <w:proofErr w:type="spellEnd"/>
            <w:r w:rsidR="000843D2" w:rsidRPr="000843D2">
              <w:rPr>
                <w:rFonts w:ascii="Times New Roman" w:hAnsi="Times New Roman"/>
                <w:color w:val="000000"/>
                <w:sz w:val="24"/>
                <w:szCs w:val="24"/>
              </w:rPr>
              <w:t xml:space="preserve"> apmērā izskatīt Ministru kabinetā kopā ar Ārlietu ministrijas informatīvo ziņojumu „Par Latvijas un Krievijas kopīgās demarkācijas komisijas darba un tās lēmumu īstenošanas finansējumu 2014.-2015.gadam”</w:t>
            </w:r>
            <w:r w:rsidR="000843D2">
              <w:rPr>
                <w:rFonts w:ascii="Times New Roman" w:hAnsi="Times New Roman"/>
                <w:color w:val="000000"/>
                <w:sz w:val="24"/>
                <w:szCs w:val="24"/>
              </w:rPr>
              <w:t>.</w:t>
            </w:r>
          </w:p>
          <w:p w14:paraId="6FDEB84F" w14:textId="77777777" w:rsidR="00F70F7D" w:rsidRDefault="00F70F7D" w:rsidP="00F70F7D">
            <w:pPr>
              <w:spacing w:line="240" w:lineRule="auto"/>
              <w:ind w:firstLine="386"/>
              <w:contextualSpacing/>
              <w:jc w:val="both"/>
              <w:rPr>
                <w:rFonts w:ascii="Times New Roman" w:hAnsi="Times New Roman"/>
                <w:color w:val="000000"/>
                <w:sz w:val="24"/>
                <w:szCs w:val="24"/>
              </w:rPr>
            </w:pPr>
            <w:r>
              <w:rPr>
                <w:rFonts w:ascii="Times New Roman" w:hAnsi="Times New Roman"/>
                <w:color w:val="000000"/>
                <w:sz w:val="24"/>
                <w:szCs w:val="24"/>
              </w:rPr>
              <w:t xml:space="preserve">Rīkojuma projekta 3.punkts paredz, ka </w:t>
            </w:r>
            <w:r w:rsidRPr="00F70F7D">
              <w:rPr>
                <w:rFonts w:ascii="Times New Roman" w:hAnsi="Times New Roman"/>
                <w:color w:val="000000"/>
                <w:sz w:val="24"/>
                <w:szCs w:val="24"/>
              </w:rPr>
              <w:t>Iekšlietu ministrijai ja</w:t>
            </w:r>
            <w:r>
              <w:rPr>
                <w:rFonts w:ascii="Times New Roman" w:hAnsi="Times New Roman"/>
                <w:color w:val="000000"/>
                <w:sz w:val="24"/>
                <w:szCs w:val="24"/>
              </w:rPr>
              <w:t>uno transportlīdzekļu uzturēšana</w:t>
            </w:r>
            <w:r w:rsidRPr="00F70F7D">
              <w:rPr>
                <w:rFonts w:ascii="Times New Roman" w:hAnsi="Times New Roman"/>
                <w:color w:val="000000"/>
                <w:sz w:val="24"/>
                <w:szCs w:val="24"/>
              </w:rPr>
              <w:t xml:space="preserve"> </w:t>
            </w:r>
            <w:r>
              <w:rPr>
                <w:rFonts w:ascii="Times New Roman" w:hAnsi="Times New Roman"/>
                <w:color w:val="000000"/>
                <w:sz w:val="24"/>
                <w:szCs w:val="24"/>
              </w:rPr>
              <w:t>jā</w:t>
            </w:r>
            <w:r w:rsidRPr="00F70F7D">
              <w:rPr>
                <w:rFonts w:ascii="Times New Roman" w:hAnsi="Times New Roman"/>
                <w:color w:val="000000"/>
                <w:sz w:val="24"/>
                <w:szCs w:val="24"/>
              </w:rPr>
              <w:t>nodrošin</w:t>
            </w:r>
            <w:r>
              <w:rPr>
                <w:rFonts w:ascii="Times New Roman" w:hAnsi="Times New Roman"/>
                <w:color w:val="000000"/>
                <w:sz w:val="24"/>
                <w:szCs w:val="24"/>
              </w:rPr>
              <w:t>a</w:t>
            </w:r>
            <w:r w:rsidRPr="00F70F7D">
              <w:rPr>
                <w:rFonts w:ascii="Times New Roman" w:hAnsi="Times New Roman"/>
                <w:color w:val="000000"/>
                <w:sz w:val="24"/>
                <w:szCs w:val="24"/>
              </w:rPr>
              <w:t xml:space="preserve"> piešķirto budžeta līdzekļu ietvaros.</w:t>
            </w:r>
          </w:p>
          <w:p w14:paraId="3784E580" w14:textId="634EC0F1" w:rsidR="00F70F7D" w:rsidRPr="00014682" w:rsidRDefault="00F70F7D" w:rsidP="00F70F7D">
            <w:pPr>
              <w:spacing w:line="240" w:lineRule="auto"/>
              <w:ind w:firstLine="386"/>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Rīkojuma projekta 4.punkts paredz, ka </w:t>
            </w:r>
            <w:r w:rsidRPr="00F70F7D">
              <w:rPr>
                <w:rFonts w:ascii="Times New Roman" w:hAnsi="Times New Roman"/>
                <w:color w:val="000000"/>
                <w:sz w:val="24"/>
                <w:szCs w:val="24"/>
              </w:rPr>
              <w:t xml:space="preserve">Iekšlietu ministrijai </w:t>
            </w:r>
            <w:r>
              <w:rPr>
                <w:rFonts w:ascii="Times New Roman" w:hAnsi="Times New Roman"/>
                <w:color w:val="000000"/>
                <w:sz w:val="24"/>
                <w:szCs w:val="24"/>
              </w:rPr>
              <w:t>jā</w:t>
            </w:r>
            <w:r w:rsidRPr="00F70F7D">
              <w:rPr>
                <w:rFonts w:ascii="Times New Roman" w:hAnsi="Times New Roman"/>
                <w:color w:val="000000"/>
                <w:sz w:val="24"/>
                <w:szCs w:val="24"/>
              </w:rPr>
              <w:t xml:space="preserve">precizē koncepcijas projektā “Valsts policijas attīstības koncepcija” plānoto papildu nepieciešamo finansējumu transportlīdzekļu iegādei, ņemot vērā </w:t>
            </w:r>
            <w:r>
              <w:rPr>
                <w:rFonts w:ascii="Times New Roman" w:hAnsi="Times New Roman"/>
                <w:color w:val="000000"/>
                <w:sz w:val="24"/>
                <w:szCs w:val="24"/>
              </w:rPr>
              <w:t>rīkojuma</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projekta</w:t>
            </w:r>
            <w:r w:rsidRPr="00F70F7D">
              <w:rPr>
                <w:rFonts w:ascii="Times New Roman" w:hAnsi="Times New Roman"/>
                <w:color w:val="000000"/>
                <w:sz w:val="24"/>
                <w:szCs w:val="24"/>
              </w:rPr>
              <w:t xml:space="preserve"> 1.punktā atbalstīto papildu nepieciešamā finansējuma apmēru.</w:t>
            </w:r>
          </w:p>
        </w:tc>
      </w:tr>
      <w:tr w:rsidR="000F5EDB" w:rsidRPr="000F5EDB" w14:paraId="15DC4F32" w14:textId="77777777" w:rsidTr="000D2380">
        <w:trPr>
          <w:trHeight w:val="476"/>
        </w:trPr>
        <w:tc>
          <w:tcPr>
            <w:tcW w:w="227" w:type="pct"/>
          </w:tcPr>
          <w:p w14:paraId="43E8AC36" w14:textId="3167A8B2" w:rsidR="007F6B1C" w:rsidRPr="000F5EDB" w:rsidRDefault="007F6B1C" w:rsidP="000D2380">
            <w:pPr>
              <w:pStyle w:val="naiskr"/>
              <w:spacing w:before="0" w:beforeAutospacing="0" w:after="0" w:afterAutospacing="0"/>
              <w:ind w:left="57" w:right="57"/>
              <w:jc w:val="center"/>
            </w:pPr>
            <w:r w:rsidRPr="000F5EDB">
              <w:lastRenderedPageBreak/>
              <w:t>3.</w:t>
            </w:r>
          </w:p>
        </w:tc>
        <w:tc>
          <w:tcPr>
            <w:tcW w:w="1565" w:type="pct"/>
          </w:tcPr>
          <w:p w14:paraId="502374CD" w14:textId="77777777" w:rsidR="007F6B1C" w:rsidRPr="000F5EDB" w:rsidRDefault="007F6B1C" w:rsidP="000D2380">
            <w:pPr>
              <w:pStyle w:val="naiskr"/>
              <w:spacing w:before="0" w:beforeAutospacing="0" w:after="0" w:afterAutospacing="0"/>
              <w:ind w:left="57" w:right="57"/>
            </w:pPr>
            <w:r w:rsidRPr="000F5EDB">
              <w:t>Projekta izstrādē iesaistītās institūcijas</w:t>
            </w:r>
          </w:p>
        </w:tc>
        <w:tc>
          <w:tcPr>
            <w:tcW w:w="3207" w:type="pct"/>
          </w:tcPr>
          <w:p w14:paraId="7B44B4E2" w14:textId="77777777" w:rsidR="007F6B1C" w:rsidRPr="000F5EDB" w:rsidRDefault="003C2F8A" w:rsidP="005D2C25">
            <w:pPr>
              <w:spacing w:after="0" w:line="240" w:lineRule="auto"/>
              <w:ind w:left="57" w:right="57"/>
              <w:rPr>
                <w:rFonts w:ascii="Times New Roman" w:hAnsi="Times New Roman" w:cs="Times New Roman"/>
                <w:b/>
                <w:sz w:val="24"/>
                <w:szCs w:val="24"/>
              </w:rPr>
            </w:pPr>
            <w:r w:rsidRPr="000F5EDB">
              <w:rPr>
                <w:rFonts w:ascii="Times New Roman" w:hAnsi="Times New Roman" w:cs="Times New Roman"/>
                <w:sz w:val="24"/>
                <w:szCs w:val="24"/>
              </w:rPr>
              <w:t xml:space="preserve">Iekšlietu ministrija, </w:t>
            </w:r>
            <w:r w:rsidR="005D2C25">
              <w:rPr>
                <w:rFonts w:ascii="Times New Roman" w:hAnsi="Times New Roman" w:cs="Times New Roman"/>
                <w:sz w:val="24"/>
                <w:szCs w:val="24"/>
              </w:rPr>
              <w:t>Valsts policija.</w:t>
            </w:r>
          </w:p>
        </w:tc>
      </w:tr>
      <w:tr w:rsidR="000F5EDB" w:rsidRPr="000F5EDB" w14:paraId="4FF0D60C" w14:textId="77777777" w:rsidTr="000D2380">
        <w:tc>
          <w:tcPr>
            <w:tcW w:w="227" w:type="pct"/>
          </w:tcPr>
          <w:p w14:paraId="3FD6E5D7" w14:textId="77777777" w:rsidR="007F6B1C" w:rsidRPr="000F5EDB" w:rsidRDefault="007F6B1C" w:rsidP="000D2380">
            <w:pPr>
              <w:pStyle w:val="naiskr"/>
              <w:spacing w:before="0" w:beforeAutospacing="0" w:after="0" w:afterAutospacing="0"/>
              <w:ind w:left="57" w:right="57"/>
              <w:jc w:val="center"/>
            </w:pPr>
            <w:r w:rsidRPr="000F5EDB">
              <w:t>4.</w:t>
            </w:r>
          </w:p>
        </w:tc>
        <w:tc>
          <w:tcPr>
            <w:tcW w:w="1565" w:type="pct"/>
          </w:tcPr>
          <w:p w14:paraId="323C372F" w14:textId="77777777" w:rsidR="007F6B1C" w:rsidRPr="000F5EDB" w:rsidRDefault="007F6B1C" w:rsidP="000D2380">
            <w:pPr>
              <w:pStyle w:val="naiskr"/>
              <w:spacing w:before="0" w:beforeAutospacing="0" w:after="0" w:afterAutospacing="0"/>
              <w:ind w:left="57" w:right="57"/>
            </w:pPr>
            <w:r w:rsidRPr="000F5EDB">
              <w:t>Cita informācija</w:t>
            </w:r>
          </w:p>
        </w:tc>
        <w:tc>
          <w:tcPr>
            <w:tcW w:w="3207" w:type="pct"/>
          </w:tcPr>
          <w:p w14:paraId="4B1DC3E4" w14:textId="77777777" w:rsidR="007F6B1C" w:rsidRPr="000F5EDB" w:rsidRDefault="00096ACC" w:rsidP="000D2380">
            <w:pPr>
              <w:pStyle w:val="naiskr"/>
              <w:spacing w:before="0" w:beforeAutospacing="0" w:after="0" w:afterAutospacing="0"/>
              <w:ind w:left="57" w:right="57"/>
            </w:pPr>
            <w:r w:rsidRPr="000F5EDB">
              <w:t>Nav</w:t>
            </w:r>
            <w:r w:rsidR="003C2F8A" w:rsidRPr="000F5EDB">
              <w:t>.</w:t>
            </w:r>
          </w:p>
        </w:tc>
      </w:tr>
    </w:tbl>
    <w:p w14:paraId="65506A7E" w14:textId="77777777" w:rsidR="007F6B1C" w:rsidRPr="000F5EDB" w:rsidRDefault="007F6B1C" w:rsidP="007F6B1C">
      <w:pPr>
        <w:spacing w:after="0" w:line="240" w:lineRule="auto"/>
        <w:rPr>
          <w:rFonts w:ascii="Times New Roman" w:hAnsi="Times New Roman" w:cs="Times New Roman"/>
          <w:sz w:val="24"/>
          <w:szCs w:val="24"/>
        </w:rPr>
      </w:pPr>
    </w:p>
    <w:p w14:paraId="59123F56" w14:textId="77777777" w:rsidR="007F6B1C" w:rsidRPr="000F5EDB" w:rsidRDefault="007F6B1C" w:rsidP="007F6B1C">
      <w:pPr>
        <w:spacing w:after="0" w:line="240" w:lineRule="auto"/>
        <w:rPr>
          <w:rFonts w:ascii="Times New Roman" w:hAnsi="Times New Roman"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762"/>
        <w:gridCol w:w="853"/>
        <w:gridCol w:w="423"/>
        <w:gridCol w:w="1287"/>
        <w:gridCol w:w="1150"/>
        <w:gridCol w:w="1195"/>
        <w:gridCol w:w="1150"/>
        <w:gridCol w:w="39"/>
      </w:tblGrid>
      <w:tr w:rsidR="000F5EDB" w:rsidRPr="000F5EDB" w14:paraId="2E1A59A1" w14:textId="77777777" w:rsidTr="00693908">
        <w:trPr>
          <w:gridAfter w:val="1"/>
          <w:wAfter w:w="39" w:type="dxa"/>
          <w:trHeight w:val="361"/>
          <w:jc w:val="center"/>
        </w:trPr>
        <w:tc>
          <w:tcPr>
            <w:tcW w:w="9257" w:type="dxa"/>
            <w:gridSpan w:val="8"/>
            <w:vAlign w:val="center"/>
          </w:tcPr>
          <w:p w14:paraId="2C149EBC" w14:textId="77777777" w:rsidR="007F6B1C" w:rsidRPr="000F5EDB" w:rsidRDefault="007F6B1C" w:rsidP="000D2380">
            <w:pPr>
              <w:pStyle w:val="naisnod"/>
              <w:spacing w:before="0" w:beforeAutospacing="0" w:after="0" w:afterAutospacing="0"/>
              <w:jc w:val="center"/>
              <w:rPr>
                <w:b/>
                <w:i/>
              </w:rPr>
            </w:pPr>
            <w:r w:rsidRPr="000F5EDB">
              <w:br w:type="page"/>
            </w:r>
            <w:r w:rsidRPr="000F5EDB">
              <w:rPr>
                <w:b/>
              </w:rPr>
              <w:t>III. Tiesību akta projekta ietekme uz valsts budžetu un pašvaldību budžetiem</w:t>
            </w:r>
          </w:p>
        </w:tc>
      </w:tr>
      <w:tr w:rsidR="000F5EDB" w:rsidRPr="000F5EDB" w14:paraId="5E18E021" w14:textId="77777777" w:rsidTr="00693908">
        <w:trPr>
          <w:gridAfter w:val="1"/>
          <w:wAfter w:w="39" w:type="dxa"/>
          <w:jc w:val="center"/>
        </w:trPr>
        <w:tc>
          <w:tcPr>
            <w:tcW w:w="3199" w:type="dxa"/>
            <w:gridSpan w:val="2"/>
            <w:vMerge w:val="restart"/>
            <w:vAlign w:val="center"/>
          </w:tcPr>
          <w:p w14:paraId="43ED4C55" w14:textId="77777777" w:rsidR="007F6B1C" w:rsidRPr="000F5EDB" w:rsidRDefault="007F6B1C" w:rsidP="000D2380">
            <w:pPr>
              <w:pStyle w:val="naisf"/>
              <w:spacing w:before="0" w:beforeAutospacing="0" w:after="0" w:afterAutospacing="0"/>
              <w:jc w:val="center"/>
              <w:rPr>
                <w:b/>
              </w:rPr>
            </w:pPr>
            <w:r w:rsidRPr="000F5EDB">
              <w:rPr>
                <w:b/>
              </w:rPr>
              <w:t>Rādītāji</w:t>
            </w:r>
          </w:p>
        </w:tc>
        <w:tc>
          <w:tcPr>
            <w:tcW w:w="2563" w:type="dxa"/>
            <w:gridSpan w:val="3"/>
            <w:vMerge w:val="restart"/>
            <w:vAlign w:val="center"/>
          </w:tcPr>
          <w:p w14:paraId="0196205D" w14:textId="77777777" w:rsidR="007F6B1C" w:rsidRPr="000F5EDB" w:rsidRDefault="00974374" w:rsidP="000D2380">
            <w:pPr>
              <w:pStyle w:val="naisf"/>
              <w:spacing w:before="0" w:beforeAutospacing="0" w:after="0" w:afterAutospacing="0"/>
              <w:jc w:val="center"/>
              <w:rPr>
                <w:b/>
              </w:rPr>
            </w:pPr>
            <w:r w:rsidRPr="000F5EDB">
              <w:rPr>
                <w:b/>
              </w:rPr>
              <w:t>2014</w:t>
            </w:r>
          </w:p>
        </w:tc>
        <w:tc>
          <w:tcPr>
            <w:tcW w:w="3495" w:type="dxa"/>
            <w:gridSpan w:val="3"/>
            <w:vAlign w:val="center"/>
          </w:tcPr>
          <w:p w14:paraId="77644E33" w14:textId="77777777" w:rsidR="007F6B1C" w:rsidRPr="000F5EDB" w:rsidRDefault="00E7737A" w:rsidP="000D2380">
            <w:pPr>
              <w:pStyle w:val="naisf"/>
              <w:spacing w:before="0" w:beforeAutospacing="0" w:after="0" w:afterAutospacing="0"/>
              <w:jc w:val="center"/>
              <w:rPr>
                <w:b/>
                <w:i/>
              </w:rPr>
            </w:pPr>
            <w:r w:rsidRPr="000F5EDB">
              <w:t>Turpmākie trīs gadi (</w:t>
            </w:r>
            <w:proofErr w:type="spellStart"/>
            <w:r w:rsidRPr="000F5EDB">
              <w:rPr>
                <w:i/>
              </w:rPr>
              <w:t>euro</w:t>
            </w:r>
            <w:proofErr w:type="spellEnd"/>
            <w:r w:rsidR="007F6B1C" w:rsidRPr="000F5EDB">
              <w:t>)</w:t>
            </w:r>
          </w:p>
        </w:tc>
      </w:tr>
      <w:tr w:rsidR="000F5EDB" w:rsidRPr="000F5EDB" w14:paraId="3D26A728" w14:textId="77777777" w:rsidTr="00693908">
        <w:trPr>
          <w:gridAfter w:val="1"/>
          <w:wAfter w:w="39" w:type="dxa"/>
          <w:jc w:val="center"/>
        </w:trPr>
        <w:tc>
          <w:tcPr>
            <w:tcW w:w="3199" w:type="dxa"/>
            <w:gridSpan w:val="2"/>
            <w:vMerge/>
            <w:vAlign w:val="center"/>
          </w:tcPr>
          <w:p w14:paraId="7B5B430D" w14:textId="77777777" w:rsidR="007F6B1C" w:rsidRPr="000F5EDB" w:rsidRDefault="007F6B1C" w:rsidP="000D2380">
            <w:pPr>
              <w:pStyle w:val="naisf"/>
              <w:spacing w:before="0" w:beforeAutospacing="0" w:after="0" w:afterAutospacing="0"/>
              <w:jc w:val="center"/>
              <w:rPr>
                <w:b/>
                <w:i/>
              </w:rPr>
            </w:pPr>
          </w:p>
        </w:tc>
        <w:tc>
          <w:tcPr>
            <w:tcW w:w="2563" w:type="dxa"/>
            <w:gridSpan w:val="3"/>
            <w:vMerge/>
            <w:vAlign w:val="center"/>
          </w:tcPr>
          <w:p w14:paraId="77284D98" w14:textId="77777777" w:rsidR="007F6B1C" w:rsidRPr="000F5EDB" w:rsidRDefault="007F6B1C" w:rsidP="000D2380">
            <w:pPr>
              <w:pStyle w:val="naisf"/>
              <w:spacing w:before="0" w:beforeAutospacing="0" w:after="0" w:afterAutospacing="0"/>
              <w:jc w:val="center"/>
              <w:rPr>
                <w:b/>
                <w:i/>
              </w:rPr>
            </w:pPr>
          </w:p>
        </w:tc>
        <w:tc>
          <w:tcPr>
            <w:tcW w:w="1150" w:type="dxa"/>
            <w:vAlign w:val="center"/>
          </w:tcPr>
          <w:p w14:paraId="6035B46E" w14:textId="77777777" w:rsidR="007F6B1C" w:rsidRPr="000F5EDB" w:rsidRDefault="00974374" w:rsidP="000D2380">
            <w:pPr>
              <w:pStyle w:val="naisf"/>
              <w:spacing w:before="0" w:beforeAutospacing="0" w:after="0" w:afterAutospacing="0"/>
              <w:jc w:val="center"/>
              <w:rPr>
                <w:b/>
                <w:i/>
              </w:rPr>
            </w:pPr>
            <w:r w:rsidRPr="000F5EDB">
              <w:rPr>
                <w:b/>
                <w:bCs/>
              </w:rPr>
              <w:t>2015</w:t>
            </w:r>
          </w:p>
        </w:tc>
        <w:tc>
          <w:tcPr>
            <w:tcW w:w="1195" w:type="dxa"/>
            <w:vAlign w:val="center"/>
          </w:tcPr>
          <w:p w14:paraId="0757D5AD" w14:textId="77777777" w:rsidR="007F6B1C" w:rsidRPr="000F5EDB" w:rsidRDefault="00974374" w:rsidP="000D2380">
            <w:pPr>
              <w:pStyle w:val="naisf"/>
              <w:spacing w:before="0" w:beforeAutospacing="0" w:after="0" w:afterAutospacing="0"/>
              <w:jc w:val="center"/>
              <w:rPr>
                <w:b/>
                <w:i/>
              </w:rPr>
            </w:pPr>
            <w:r w:rsidRPr="000F5EDB">
              <w:rPr>
                <w:b/>
                <w:bCs/>
              </w:rPr>
              <w:t>2016</w:t>
            </w:r>
          </w:p>
        </w:tc>
        <w:tc>
          <w:tcPr>
            <w:tcW w:w="1150" w:type="dxa"/>
            <w:vAlign w:val="center"/>
          </w:tcPr>
          <w:p w14:paraId="4FAD0F09" w14:textId="77777777" w:rsidR="007F6B1C" w:rsidRPr="000F5EDB" w:rsidRDefault="00974374" w:rsidP="000D2380">
            <w:pPr>
              <w:pStyle w:val="naisf"/>
              <w:spacing w:before="0" w:beforeAutospacing="0" w:after="0" w:afterAutospacing="0"/>
              <w:jc w:val="center"/>
              <w:rPr>
                <w:b/>
                <w:i/>
              </w:rPr>
            </w:pPr>
            <w:r w:rsidRPr="000F5EDB">
              <w:rPr>
                <w:b/>
                <w:bCs/>
              </w:rPr>
              <w:t>2017</w:t>
            </w:r>
          </w:p>
        </w:tc>
      </w:tr>
      <w:tr w:rsidR="000F5EDB" w:rsidRPr="000F5EDB" w14:paraId="7039E6A0" w14:textId="77777777" w:rsidTr="00693908">
        <w:trPr>
          <w:gridAfter w:val="1"/>
          <w:wAfter w:w="39" w:type="dxa"/>
          <w:jc w:val="center"/>
        </w:trPr>
        <w:tc>
          <w:tcPr>
            <w:tcW w:w="3199" w:type="dxa"/>
            <w:gridSpan w:val="2"/>
            <w:vMerge/>
            <w:vAlign w:val="center"/>
          </w:tcPr>
          <w:p w14:paraId="0EE79009" w14:textId="77777777" w:rsidR="007F6B1C" w:rsidRPr="000F5EDB" w:rsidRDefault="007F6B1C" w:rsidP="000D2380">
            <w:pPr>
              <w:pStyle w:val="naisf"/>
              <w:spacing w:before="0" w:beforeAutospacing="0" w:after="0" w:afterAutospacing="0"/>
              <w:jc w:val="center"/>
              <w:rPr>
                <w:b/>
                <w:i/>
              </w:rPr>
            </w:pPr>
          </w:p>
        </w:tc>
        <w:tc>
          <w:tcPr>
            <w:tcW w:w="1276" w:type="dxa"/>
            <w:gridSpan w:val="2"/>
            <w:vAlign w:val="center"/>
          </w:tcPr>
          <w:p w14:paraId="648D6F53" w14:textId="77777777" w:rsidR="007F6B1C" w:rsidRPr="000F5EDB" w:rsidRDefault="007F6B1C" w:rsidP="000D2380">
            <w:pPr>
              <w:pStyle w:val="naisf"/>
              <w:spacing w:before="0" w:beforeAutospacing="0" w:after="0" w:afterAutospacing="0"/>
              <w:jc w:val="center"/>
              <w:rPr>
                <w:b/>
                <w:i/>
              </w:rPr>
            </w:pPr>
            <w:r w:rsidRPr="000F5EDB">
              <w:t>saskaņā ar valsts budžetu kārtējam gadam</w:t>
            </w:r>
          </w:p>
        </w:tc>
        <w:tc>
          <w:tcPr>
            <w:tcW w:w="1287" w:type="dxa"/>
            <w:vAlign w:val="center"/>
          </w:tcPr>
          <w:p w14:paraId="20F4BCFD" w14:textId="77777777" w:rsidR="007F6B1C" w:rsidRPr="000F5EDB" w:rsidRDefault="007F6B1C" w:rsidP="000D2380">
            <w:pPr>
              <w:pStyle w:val="naisf"/>
              <w:spacing w:before="0" w:beforeAutospacing="0" w:after="0" w:afterAutospacing="0"/>
              <w:jc w:val="center"/>
              <w:rPr>
                <w:b/>
                <w:i/>
              </w:rPr>
            </w:pPr>
            <w:r w:rsidRPr="000F5EDB">
              <w:t>izmaiņas kārtējā gadā, salīdzinot ar budžetu kārtējam gadam</w:t>
            </w:r>
          </w:p>
        </w:tc>
        <w:tc>
          <w:tcPr>
            <w:tcW w:w="1150" w:type="dxa"/>
            <w:vAlign w:val="center"/>
          </w:tcPr>
          <w:p w14:paraId="6802F6B9" w14:textId="77777777" w:rsidR="007F6B1C" w:rsidRPr="000F5EDB" w:rsidRDefault="007F6B1C" w:rsidP="000D2380">
            <w:pPr>
              <w:pStyle w:val="naisf"/>
              <w:spacing w:before="0" w:beforeAutospacing="0" w:after="0" w:afterAutospacing="0"/>
              <w:jc w:val="center"/>
              <w:rPr>
                <w:b/>
                <w:i/>
              </w:rPr>
            </w:pPr>
            <w:r w:rsidRPr="000F5EDB">
              <w:t>izmaiņas, salīdzinot ar kārtējo (n) gadu</w:t>
            </w:r>
          </w:p>
        </w:tc>
        <w:tc>
          <w:tcPr>
            <w:tcW w:w="1195" w:type="dxa"/>
            <w:vAlign w:val="center"/>
          </w:tcPr>
          <w:p w14:paraId="54BFF59E" w14:textId="77777777" w:rsidR="007F6B1C" w:rsidRPr="000F5EDB" w:rsidRDefault="007F6B1C" w:rsidP="000D2380">
            <w:pPr>
              <w:pStyle w:val="naisf"/>
              <w:spacing w:before="0" w:beforeAutospacing="0" w:after="0" w:afterAutospacing="0"/>
              <w:jc w:val="center"/>
              <w:rPr>
                <w:b/>
                <w:i/>
              </w:rPr>
            </w:pPr>
            <w:r w:rsidRPr="000F5EDB">
              <w:t>izmaiņas, salīdzinot ar kārtējo (n) gadu</w:t>
            </w:r>
          </w:p>
        </w:tc>
        <w:tc>
          <w:tcPr>
            <w:tcW w:w="1150" w:type="dxa"/>
            <w:vAlign w:val="center"/>
          </w:tcPr>
          <w:p w14:paraId="633E8324" w14:textId="77777777" w:rsidR="007F6B1C" w:rsidRPr="000F5EDB" w:rsidRDefault="007F6B1C" w:rsidP="000D2380">
            <w:pPr>
              <w:pStyle w:val="naisf"/>
              <w:spacing w:before="0" w:beforeAutospacing="0" w:after="0" w:afterAutospacing="0"/>
              <w:jc w:val="center"/>
              <w:rPr>
                <w:b/>
                <w:i/>
              </w:rPr>
            </w:pPr>
            <w:r w:rsidRPr="000F5EDB">
              <w:t>izmaiņas, salīdzinot ar kārtējo (n) gadu</w:t>
            </w:r>
          </w:p>
        </w:tc>
      </w:tr>
      <w:tr w:rsidR="000F5EDB" w:rsidRPr="000F5EDB" w14:paraId="31E3DAAF" w14:textId="77777777" w:rsidTr="00693908">
        <w:trPr>
          <w:gridAfter w:val="1"/>
          <w:wAfter w:w="39" w:type="dxa"/>
          <w:jc w:val="center"/>
        </w:trPr>
        <w:tc>
          <w:tcPr>
            <w:tcW w:w="3199" w:type="dxa"/>
            <w:gridSpan w:val="2"/>
            <w:vAlign w:val="center"/>
          </w:tcPr>
          <w:p w14:paraId="78516D33" w14:textId="77777777" w:rsidR="007F6B1C" w:rsidRPr="000F5EDB" w:rsidRDefault="007F6B1C" w:rsidP="000D2380">
            <w:pPr>
              <w:pStyle w:val="naisf"/>
              <w:spacing w:before="0" w:beforeAutospacing="0" w:after="0" w:afterAutospacing="0"/>
              <w:jc w:val="center"/>
              <w:rPr>
                <w:bCs/>
              </w:rPr>
            </w:pPr>
            <w:r w:rsidRPr="000F5EDB">
              <w:rPr>
                <w:bCs/>
              </w:rPr>
              <w:t>1</w:t>
            </w:r>
          </w:p>
        </w:tc>
        <w:tc>
          <w:tcPr>
            <w:tcW w:w="1276" w:type="dxa"/>
            <w:gridSpan w:val="2"/>
            <w:vAlign w:val="center"/>
          </w:tcPr>
          <w:p w14:paraId="66D73F14" w14:textId="77777777" w:rsidR="007F6B1C" w:rsidRPr="000F5EDB" w:rsidRDefault="007F6B1C" w:rsidP="000D2380">
            <w:pPr>
              <w:pStyle w:val="naisf"/>
              <w:spacing w:before="0" w:beforeAutospacing="0" w:after="0" w:afterAutospacing="0"/>
              <w:jc w:val="center"/>
              <w:rPr>
                <w:bCs/>
              </w:rPr>
            </w:pPr>
            <w:r w:rsidRPr="000F5EDB">
              <w:rPr>
                <w:bCs/>
              </w:rPr>
              <w:t>2</w:t>
            </w:r>
          </w:p>
        </w:tc>
        <w:tc>
          <w:tcPr>
            <w:tcW w:w="1287" w:type="dxa"/>
            <w:vAlign w:val="center"/>
          </w:tcPr>
          <w:p w14:paraId="6A9BBE5A" w14:textId="77777777" w:rsidR="007F6B1C" w:rsidRPr="000F5EDB" w:rsidRDefault="007F6B1C" w:rsidP="000D2380">
            <w:pPr>
              <w:pStyle w:val="naisf"/>
              <w:spacing w:before="0" w:beforeAutospacing="0" w:after="0" w:afterAutospacing="0"/>
              <w:jc w:val="center"/>
              <w:rPr>
                <w:bCs/>
              </w:rPr>
            </w:pPr>
            <w:r w:rsidRPr="000F5EDB">
              <w:rPr>
                <w:bCs/>
              </w:rPr>
              <w:t>3</w:t>
            </w:r>
          </w:p>
        </w:tc>
        <w:tc>
          <w:tcPr>
            <w:tcW w:w="1150" w:type="dxa"/>
            <w:vAlign w:val="center"/>
          </w:tcPr>
          <w:p w14:paraId="73E26599" w14:textId="77777777" w:rsidR="007F6B1C" w:rsidRPr="000F5EDB" w:rsidRDefault="007F6B1C" w:rsidP="000D2380">
            <w:pPr>
              <w:pStyle w:val="naisf"/>
              <w:spacing w:before="0" w:beforeAutospacing="0" w:after="0" w:afterAutospacing="0"/>
              <w:jc w:val="center"/>
              <w:rPr>
                <w:bCs/>
              </w:rPr>
            </w:pPr>
            <w:r w:rsidRPr="000F5EDB">
              <w:rPr>
                <w:bCs/>
              </w:rPr>
              <w:t>4</w:t>
            </w:r>
          </w:p>
        </w:tc>
        <w:tc>
          <w:tcPr>
            <w:tcW w:w="1195" w:type="dxa"/>
            <w:vAlign w:val="center"/>
          </w:tcPr>
          <w:p w14:paraId="4F6095CB" w14:textId="77777777" w:rsidR="007F6B1C" w:rsidRPr="000F5EDB" w:rsidRDefault="007F6B1C" w:rsidP="000D2380">
            <w:pPr>
              <w:pStyle w:val="naisf"/>
              <w:spacing w:before="0" w:beforeAutospacing="0" w:after="0" w:afterAutospacing="0"/>
              <w:jc w:val="center"/>
              <w:rPr>
                <w:bCs/>
              </w:rPr>
            </w:pPr>
            <w:r w:rsidRPr="000F5EDB">
              <w:rPr>
                <w:bCs/>
              </w:rPr>
              <w:t>5</w:t>
            </w:r>
          </w:p>
        </w:tc>
        <w:tc>
          <w:tcPr>
            <w:tcW w:w="1150" w:type="dxa"/>
            <w:vAlign w:val="center"/>
          </w:tcPr>
          <w:p w14:paraId="475F6649" w14:textId="77777777" w:rsidR="007F6B1C" w:rsidRPr="000F5EDB" w:rsidRDefault="007F6B1C" w:rsidP="000D2380">
            <w:pPr>
              <w:pStyle w:val="naisf"/>
              <w:spacing w:before="0" w:beforeAutospacing="0" w:after="0" w:afterAutospacing="0"/>
              <w:jc w:val="center"/>
              <w:rPr>
                <w:bCs/>
              </w:rPr>
            </w:pPr>
            <w:r w:rsidRPr="000F5EDB">
              <w:rPr>
                <w:bCs/>
              </w:rPr>
              <w:t>6</w:t>
            </w:r>
          </w:p>
        </w:tc>
      </w:tr>
      <w:tr w:rsidR="000F5EDB" w:rsidRPr="000F5EDB" w14:paraId="424B4192" w14:textId="77777777" w:rsidTr="00693908">
        <w:trPr>
          <w:gridAfter w:val="1"/>
          <w:wAfter w:w="39" w:type="dxa"/>
          <w:jc w:val="center"/>
        </w:trPr>
        <w:tc>
          <w:tcPr>
            <w:tcW w:w="3199" w:type="dxa"/>
            <w:gridSpan w:val="2"/>
          </w:tcPr>
          <w:p w14:paraId="0D492F17" w14:textId="77777777" w:rsidR="007F6B1C" w:rsidRPr="000F5EDB" w:rsidRDefault="007F6B1C" w:rsidP="000D2380">
            <w:pPr>
              <w:pStyle w:val="naisf"/>
              <w:spacing w:before="0" w:beforeAutospacing="0" w:after="0" w:afterAutospacing="0"/>
              <w:rPr>
                <w:i/>
              </w:rPr>
            </w:pPr>
            <w:r w:rsidRPr="000F5EDB">
              <w:t>1. Budžeta ieņēmumi:</w:t>
            </w:r>
          </w:p>
        </w:tc>
        <w:tc>
          <w:tcPr>
            <w:tcW w:w="1276" w:type="dxa"/>
            <w:gridSpan w:val="2"/>
          </w:tcPr>
          <w:p w14:paraId="4BA02BB8" w14:textId="77777777" w:rsidR="007F6B1C" w:rsidRPr="000F5EDB" w:rsidRDefault="007F6B1C" w:rsidP="00E7737A">
            <w:pPr>
              <w:pStyle w:val="naisf"/>
              <w:spacing w:before="0" w:beforeAutospacing="0" w:after="0" w:afterAutospacing="0"/>
              <w:jc w:val="center"/>
            </w:pPr>
          </w:p>
        </w:tc>
        <w:tc>
          <w:tcPr>
            <w:tcW w:w="1287" w:type="dxa"/>
          </w:tcPr>
          <w:p w14:paraId="5ABA0BAE" w14:textId="77777777" w:rsidR="007F6B1C" w:rsidRPr="000F5EDB" w:rsidRDefault="001F3CC6" w:rsidP="00E7737A">
            <w:pPr>
              <w:pStyle w:val="naisf"/>
              <w:spacing w:before="0" w:beforeAutospacing="0" w:after="0" w:afterAutospacing="0"/>
              <w:jc w:val="center"/>
            </w:pPr>
            <w:r w:rsidRPr="000F5EDB">
              <w:t>0</w:t>
            </w:r>
          </w:p>
        </w:tc>
        <w:tc>
          <w:tcPr>
            <w:tcW w:w="1150" w:type="dxa"/>
          </w:tcPr>
          <w:p w14:paraId="2E5F0A3F"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0F18EC48"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4A2D2E05"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242F90A5" w14:textId="77777777" w:rsidTr="00693908">
        <w:trPr>
          <w:gridAfter w:val="1"/>
          <w:wAfter w:w="39" w:type="dxa"/>
          <w:jc w:val="center"/>
        </w:trPr>
        <w:tc>
          <w:tcPr>
            <w:tcW w:w="3199" w:type="dxa"/>
            <w:gridSpan w:val="2"/>
          </w:tcPr>
          <w:p w14:paraId="5C1F4A04" w14:textId="77777777" w:rsidR="007F6B1C" w:rsidRPr="000F5EDB" w:rsidRDefault="007F6B1C" w:rsidP="000D2380">
            <w:pPr>
              <w:pStyle w:val="naisf"/>
              <w:spacing w:before="0" w:beforeAutospacing="0" w:after="0" w:afterAutospacing="0"/>
              <w:rPr>
                <w:i/>
              </w:rPr>
            </w:pPr>
            <w:r w:rsidRPr="000F5EDB">
              <w:t>1.1. valsts pamatbudžets, tai skaitā ieņēmumi no maksas pakalpojumiem un citi pašu ieņēmumi</w:t>
            </w:r>
          </w:p>
        </w:tc>
        <w:tc>
          <w:tcPr>
            <w:tcW w:w="1276" w:type="dxa"/>
            <w:gridSpan w:val="2"/>
          </w:tcPr>
          <w:p w14:paraId="37675C56" w14:textId="77777777" w:rsidR="007F6B1C" w:rsidRPr="000F5EDB" w:rsidRDefault="007F6B1C" w:rsidP="00E7737A">
            <w:pPr>
              <w:pStyle w:val="naisf"/>
              <w:spacing w:before="0" w:beforeAutospacing="0" w:after="0" w:afterAutospacing="0"/>
              <w:jc w:val="center"/>
            </w:pPr>
          </w:p>
        </w:tc>
        <w:tc>
          <w:tcPr>
            <w:tcW w:w="1287" w:type="dxa"/>
          </w:tcPr>
          <w:p w14:paraId="134E23C4" w14:textId="77777777" w:rsidR="007F6B1C" w:rsidRPr="000F5EDB" w:rsidRDefault="001F3CC6" w:rsidP="00E7737A">
            <w:pPr>
              <w:pStyle w:val="naisf"/>
              <w:spacing w:before="0" w:beforeAutospacing="0" w:after="0" w:afterAutospacing="0"/>
              <w:jc w:val="center"/>
            </w:pPr>
            <w:r w:rsidRPr="000F5EDB">
              <w:t>0</w:t>
            </w:r>
          </w:p>
        </w:tc>
        <w:tc>
          <w:tcPr>
            <w:tcW w:w="1150" w:type="dxa"/>
          </w:tcPr>
          <w:p w14:paraId="37BEC57C"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2CAAF120"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34F1329D"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00A1330B" w14:textId="77777777" w:rsidTr="00693908">
        <w:trPr>
          <w:gridAfter w:val="1"/>
          <w:wAfter w:w="39" w:type="dxa"/>
          <w:jc w:val="center"/>
        </w:trPr>
        <w:tc>
          <w:tcPr>
            <w:tcW w:w="3199" w:type="dxa"/>
            <w:gridSpan w:val="2"/>
          </w:tcPr>
          <w:p w14:paraId="4FCCDB17" w14:textId="77777777" w:rsidR="007F6B1C" w:rsidRPr="000F5EDB" w:rsidRDefault="007F6B1C" w:rsidP="000D2380">
            <w:pPr>
              <w:pStyle w:val="naisf"/>
              <w:spacing w:before="0" w:beforeAutospacing="0" w:after="0" w:afterAutospacing="0"/>
              <w:rPr>
                <w:i/>
              </w:rPr>
            </w:pPr>
            <w:r w:rsidRPr="000F5EDB">
              <w:t>1.2. valsts speciālais budžets</w:t>
            </w:r>
          </w:p>
        </w:tc>
        <w:tc>
          <w:tcPr>
            <w:tcW w:w="1276" w:type="dxa"/>
            <w:gridSpan w:val="2"/>
          </w:tcPr>
          <w:p w14:paraId="00FDD056" w14:textId="77777777" w:rsidR="007F6B1C" w:rsidRPr="000F5EDB" w:rsidRDefault="00E7737A" w:rsidP="00E7737A">
            <w:pPr>
              <w:pStyle w:val="naisf"/>
              <w:spacing w:before="0" w:beforeAutospacing="0" w:after="0" w:afterAutospacing="0"/>
              <w:jc w:val="center"/>
            </w:pPr>
            <w:r w:rsidRPr="000F5EDB">
              <w:t>0</w:t>
            </w:r>
          </w:p>
        </w:tc>
        <w:tc>
          <w:tcPr>
            <w:tcW w:w="1287" w:type="dxa"/>
          </w:tcPr>
          <w:p w14:paraId="242E1197"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166596FD"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525E31AD"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02A4A02B"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05F8BD40" w14:textId="77777777" w:rsidTr="00693908">
        <w:trPr>
          <w:gridAfter w:val="1"/>
          <w:wAfter w:w="39" w:type="dxa"/>
          <w:jc w:val="center"/>
        </w:trPr>
        <w:tc>
          <w:tcPr>
            <w:tcW w:w="3199" w:type="dxa"/>
            <w:gridSpan w:val="2"/>
          </w:tcPr>
          <w:p w14:paraId="432FE0ED" w14:textId="77777777" w:rsidR="007F6B1C" w:rsidRPr="000F5EDB" w:rsidRDefault="007F6B1C" w:rsidP="000D2380">
            <w:pPr>
              <w:pStyle w:val="naisf"/>
              <w:spacing w:before="0" w:beforeAutospacing="0" w:after="0" w:afterAutospacing="0"/>
              <w:rPr>
                <w:i/>
              </w:rPr>
            </w:pPr>
            <w:r w:rsidRPr="000F5EDB">
              <w:t>1.3. pašvaldību budžets</w:t>
            </w:r>
          </w:p>
        </w:tc>
        <w:tc>
          <w:tcPr>
            <w:tcW w:w="1276" w:type="dxa"/>
            <w:gridSpan w:val="2"/>
          </w:tcPr>
          <w:p w14:paraId="1ED4A9DA" w14:textId="77777777" w:rsidR="007F6B1C" w:rsidRPr="000F5EDB" w:rsidRDefault="00E7737A" w:rsidP="00E7737A">
            <w:pPr>
              <w:pStyle w:val="naisf"/>
              <w:spacing w:before="0" w:beforeAutospacing="0" w:after="0" w:afterAutospacing="0"/>
              <w:jc w:val="center"/>
            </w:pPr>
            <w:r w:rsidRPr="000F5EDB">
              <w:t>0</w:t>
            </w:r>
          </w:p>
        </w:tc>
        <w:tc>
          <w:tcPr>
            <w:tcW w:w="1287" w:type="dxa"/>
          </w:tcPr>
          <w:p w14:paraId="5F84DB0C"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06D446CF"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18AD38CF"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48692D39"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1F973A33" w14:textId="77777777" w:rsidTr="00693908">
        <w:trPr>
          <w:gridAfter w:val="1"/>
          <w:wAfter w:w="39" w:type="dxa"/>
          <w:jc w:val="center"/>
        </w:trPr>
        <w:tc>
          <w:tcPr>
            <w:tcW w:w="3199" w:type="dxa"/>
            <w:gridSpan w:val="2"/>
          </w:tcPr>
          <w:p w14:paraId="3280F60D" w14:textId="77777777"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 Budžeta izdevumi:</w:t>
            </w:r>
          </w:p>
        </w:tc>
        <w:tc>
          <w:tcPr>
            <w:tcW w:w="1276" w:type="dxa"/>
            <w:gridSpan w:val="2"/>
          </w:tcPr>
          <w:p w14:paraId="186C143C" w14:textId="77777777" w:rsidR="001F3CC6" w:rsidRPr="000F5EDB" w:rsidRDefault="001F3CC6" w:rsidP="00E7737A">
            <w:pPr>
              <w:pStyle w:val="naisf"/>
              <w:spacing w:before="0" w:beforeAutospacing="0" w:after="0" w:afterAutospacing="0"/>
              <w:jc w:val="center"/>
            </w:pPr>
          </w:p>
        </w:tc>
        <w:tc>
          <w:tcPr>
            <w:tcW w:w="1287" w:type="dxa"/>
          </w:tcPr>
          <w:p w14:paraId="05510E87" w14:textId="025FB272" w:rsidR="001F3CC6" w:rsidRPr="000F5EDB" w:rsidRDefault="00467E9D" w:rsidP="00C25C6B">
            <w:pPr>
              <w:pStyle w:val="naisf"/>
              <w:spacing w:before="0" w:beforeAutospacing="0" w:after="0" w:afterAutospacing="0"/>
              <w:jc w:val="center"/>
            </w:pPr>
            <w:r>
              <w:t>2 500 842</w:t>
            </w:r>
          </w:p>
        </w:tc>
        <w:tc>
          <w:tcPr>
            <w:tcW w:w="1150" w:type="dxa"/>
          </w:tcPr>
          <w:p w14:paraId="11A70486" w14:textId="77777777" w:rsidR="001F3CC6" w:rsidRPr="000F5EDB" w:rsidRDefault="001F3CC6" w:rsidP="00E7737A">
            <w:pPr>
              <w:pStyle w:val="naisf"/>
              <w:spacing w:before="0" w:beforeAutospacing="0" w:after="0" w:afterAutospacing="0"/>
              <w:jc w:val="center"/>
            </w:pPr>
          </w:p>
        </w:tc>
        <w:tc>
          <w:tcPr>
            <w:tcW w:w="1195" w:type="dxa"/>
          </w:tcPr>
          <w:p w14:paraId="4F6533FD" w14:textId="77777777" w:rsidR="001F3CC6" w:rsidRPr="000F5EDB" w:rsidRDefault="001F3CC6" w:rsidP="00E7737A">
            <w:pPr>
              <w:pStyle w:val="naisf"/>
              <w:spacing w:before="0" w:beforeAutospacing="0" w:after="0" w:afterAutospacing="0"/>
              <w:jc w:val="center"/>
            </w:pPr>
          </w:p>
        </w:tc>
        <w:tc>
          <w:tcPr>
            <w:tcW w:w="1150" w:type="dxa"/>
          </w:tcPr>
          <w:p w14:paraId="78884A4C" w14:textId="77777777" w:rsidR="001F3CC6" w:rsidRPr="000F5EDB" w:rsidRDefault="001F3CC6" w:rsidP="00E7737A">
            <w:pPr>
              <w:pStyle w:val="naisf"/>
              <w:spacing w:before="0" w:beforeAutospacing="0" w:after="0" w:afterAutospacing="0"/>
              <w:jc w:val="center"/>
            </w:pPr>
          </w:p>
        </w:tc>
      </w:tr>
      <w:tr w:rsidR="000F5EDB" w:rsidRPr="000F5EDB" w14:paraId="65666463" w14:textId="77777777" w:rsidTr="00693908">
        <w:trPr>
          <w:gridAfter w:val="1"/>
          <w:wAfter w:w="39" w:type="dxa"/>
          <w:jc w:val="center"/>
        </w:trPr>
        <w:tc>
          <w:tcPr>
            <w:tcW w:w="3199" w:type="dxa"/>
            <w:gridSpan w:val="2"/>
          </w:tcPr>
          <w:p w14:paraId="07A08249" w14:textId="77777777"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2.1. valsts pamatbudžets</w:t>
            </w:r>
          </w:p>
        </w:tc>
        <w:tc>
          <w:tcPr>
            <w:tcW w:w="1276" w:type="dxa"/>
            <w:gridSpan w:val="2"/>
          </w:tcPr>
          <w:p w14:paraId="33B2D022" w14:textId="77777777" w:rsidR="001F3CC6" w:rsidRPr="000F5EDB" w:rsidRDefault="001F3CC6" w:rsidP="00E7737A">
            <w:pPr>
              <w:pStyle w:val="naisf"/>
              <w:spacing w:before="0" w:beforeAutospacing="0" w:after="0" w:afterAutospacing="0"/>
              <w:jc w:val="center"/>
            </w:pPr>
          </w:p>
        </w:tc>
        <w:tc>
          <w:tcPr>
            <w:tcW w:w="1287" w:type="dxa"/>
          </w:tcPr>
          <w:p w14:paraId="6DE7893B" w14:textId="1578E1C3" w:rsidR="001F3CC6" w:rsidRPr="000F5EDB" w:rsidRDefault="00467E9D" w:rsidP="00C25C6B">
            <w:pPr>
              <w:pStyle w:val="naisf"/>
              <w:spacing w:before="0" w:beforeAutospacing="0" w:after="0" w:afterAutospacing="0"/>
              <w:jc w:val="center"/>
            </w:pPr>
            <w:r>
              <w:t>2 500 842</w:t>
            </w:r>
          </w:p>
        </w:tc>
        <w:tc>
          <w:tcPr>
            <w:tcW w:w="1150" w:type="dxa"/>
          </w:tcPr>
          <w:p w14:paraId="66889750" w14:textId="77777777" w:rsidR="001F3CC6" w:rsidRPr="000F5EDB" w:rsidRDefault="001F3CC6" w:rsidP="00E7737A">
            <w:pPr>
              <w:pStyle w:val="naisf"/>
              <w:spacing w:before="0" w:beforeAutospacing="0" w:after="0" w:afterAutospacing="0"/>
              <w:jc w:val="center"/>
            </w:pPr>
          </w:p>
        </w:tc>
        <w:tc>
          <w:tcPr>
            <w:tcW w:w="1195" w:type="dxa"/>
          </w:tcPr>
          <w:p w14:paraId="2121D412" w14:textId="77777777" w:rsidR="001F3CC6" w:rsidRPr="000F5EDB" w:rsidRDefault="001F3CC6" w:rsidP="00E7737A">
            <w:pPr>
              <w:pStyle w:val="naisf"/>
              <w:spacing w:before="0" w:beforeAutospacing="0" w:after="0" w:afterAutospacing="0"/>
              <w:jc w:val="center"/>
            </w:pPr>
          </w:p>
        </w:tc>
        <w:tc>
          <w:tcPr>
            <w:tcW w:w="1150" w:type="dxa"/>
          </w:tcPr>
          <w:p w14:paraId="29D1819E" w14:textId="77777777" w:rsidR="001F3CC6" w:rsidRPr="000F5EDB" w:rsidRDefault="001F3CC6" w:rsidP="00E7737A">
            <w:pPr>
              <w:pStyle w:val="naisf"/>
              <w:spacing w:before="0" w:beforeAutospacing="0" w:after="0" w:afterAutospacing="0"/>
              <w:jc w:val="center"/>
            </w:pPr>
          </w:p>
        </w:tc>
      </w:tr>
      <w:tr w:rsidR="000F5EDB" w:rsidRPr="000F5EDB" w14:paraId="3DE49342" w14:textId="77777777" w:rsidTr="00693908">
        <w:trPr>
          <w:gridAfter w:val="1"/>
          <w:wAfter w:w="39" w:type="dxa"/>
          <w:jc w:val="center"/>
        </w:trPr>
        <w:tc>
          <w:tcPr>
            <w:tcW w:w="3199" w:type="dxa"/>
            <w:gridSpan w:val="2"/>
          </w:tcPr>
          <w:p w14:paraId="24260993"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2.2. valsts speciālais budžets</w:t>
            </w:r>
          </w:p>
        </w:tc>
        <w:tc>
          <w:tcPr>
            <w:tcW w:w="1276" w:type="dxa"/>
            <w:gridSpan w:val="2"/>
          </w:tcPr>
          <w:p w14:paraId="624A1D8C" w14:textId="77777777" w:rsidR="007F6B1C" w:rsidRPr="000F5EDB" w:rsidRDefault="00E7737A" w:rsidP="00E7737A">
            <w:pPr>
              <w:pStyle w:val="naisf"/>
              <w:spacing w:before="0" w:beforeAutospacing="0" w:after="0" w:afterAutospacing="0"/>
              <w:jc w:val="center"/>
            </w:pPr>
            <w:r w:rsidRPr="000F5EDB">
              <w:t>0</w:t>
            </w:r>
          </w:p>
        </w:tc>
        <w:tc>
          <w:tcPr>
            <w:tcW w:w="1287" w:type="dxa"/>
          </w:tcPr>
          <w:p w14:paraId="505C7932" w14:textId="77777777" w:rsidR="007F6B1C" w:rsidRPr="000F5EDB" w:rsidRDefault="00722701" w:rsidP="00E7737A">
            <w:pPr>
              <w:pStyle w:val="naisf"/>
              <w:spacing w:before="0" w:beforeAutospacing="0" w:after="0" w:afterAutospacing="0"/>
              <w:jc w:val="center"/>
            </w:pPr>
            <w:r>
              <w:t>0</w:t>
            </w:r>
          </w:p>
        </w:tc>
        <w:tc>
          <w:tcPr>
            <w:tcW w:w="1150" w:type="dxa"/>
          </w:tcPr>
          <w:p w14:paraId="06A25E3E"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1E06134B"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6A1EE282"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4C06CAA9" w14:textId="77777777" w:rsidTr="00693908">
        <w:trPr>
          <w:gridAfter w:val="1"/>
          <w:wAfter w:w="39" w:type="dxa"/>
          <w:jc w:val="center"/>
        </w:trPr>
        <w:tc>
          <w:tcPr>
            <w:tcW w:w="3199" w:type="dxa"/>
            <w:gridSpan w:val="2"/>
          </w:tcPr>
          <w:p w14:paraId="04F21263"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2.3. pašvaldību budžets </w:t>
            </w:r>
          </w:p>
        </w:tc>
        <w:tc>
          <w:tcPr>
            <w:tcW w:w="1276" w:type="dxa"/>
            <w:gridSpan w:val="2"/>
          </w:tcPr>
          <w:p w14:paraId="55B81769" w14:textId="77777777" w:rsidR="007F6B1C" w:rsidRPr="000F5EDB" w:rsidRDefault="00E7737A" w:rsidP="00E7737A">
            <w:pPr>
              <w:pStyle w:val="naisf"/>
              <w:spacing w:before="0" w:beforeAutospacing="0" w:after="0" w:afterAutospacing="0"/>
              <w:jc w:val="center"/>
            </w:pPr>
            <w:r w:rsidRPr="000F5EDB">
              <w:t>0</w:t>
            </w:r>
          </w:p>
        </w:tc>
        <w:tc>
          <w:tcPr>
            <w:tcW w:w="1287" w:type="dxa"/>
          </w:tcPr>
          <w:p w14:paraId="126700DF" w14:textId="77777777" w:rsidR="007F6B1C" w:rsidRPr="000F5EDB" w:rsidRDefault="00722701" w:rsidP="00E7737A">
            <w:pPr>
              <w:pStyle w:val="naisf"/>
              <w:spacing w:before="0" w:beforeAutospacing="0" w:after="0" w:afterAutospacing="0"/>
              <w:jc w:val="center"/>
            </w:pPr>
            <w:r>
              <w:t>0</w:t>
            </w:r>
          </w:p>
        </w:tc>
        <w:tc>
          <w:tcPr>
            <w:tcW w:w="1150" w:type="dxa"/>
          </w:tcPr>
          <w:p w14:paraId="149929CE"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52E57F8E"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495B3B82"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3BE2F309" w14:textId="77777777" w:rsidTr="00693908">
        <w:trPr>
          <w:gridAfter w:val="1"/>
          <w:wAfter w:w="39" w:type="dxa"/>
          <w:jc w:val="center"/>
        </w:trPr>
        <w:tc>
          <w:tcPr>
            <w:tcW w:w="3199" w:type="dxa"/>
            <w:gridSpan w:val="2"/>
          </w:tcPr>
          <w:p w14:paraId="3B998678" w14:textId="77777777"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 Finansiālā ietekme:</w:t>
            </w:r>
          </w:p>
        </w:tc>
        <w:tc>
          <w:tcPr>
            <w:tcW w:w="1276" w:type="dxa"/>
            <w:gridSpan w:val="2"/>
            <w:shd w:val="clear" w:color="auto" w:fill="auto"/>
            <w:vAlign w:val="center"/>
          </w:tcPr>
          <w:p w14:paraId="0BC8719A" w14:textId="77777777" w:rsidR="001F3CC6" w:rsidRPr="000F5EDB" w:rsidRDefault="001F3CC6" w:rsidP="00E7737A">
            <w:pPr>
              <w:pStyle w:val="naisf"/>
              <w:spacing w:before="0" w:beforeAutospacing="0" w:after="0" w:afterAutospacing="0"/>
              <w:jc w:val="center"/>
            </w:pPr>
            <w:r w:rsidRPr="000F5EDB">
              <w:t>0</w:t>
            </w:r>
          </w:p>
        </w:tc>
        <w:tc>
          <w:tcPr>
            <w:tcW w:w="1287" w:type="dxa"/>
          </w:tcPr>
          <w:p w14:paraId="23BAE9C7" w14:textId="485367C9" w:rsidR="001F3CC6" w:rsidRPr="00245A2A" w:rsidRDefault="00467E9D" w:rsidP="00467E9D">
            <w:pPr>
              <w:pStyle w:val="naisf"/>
              <w:spacing w:before="0" w:beforeAutospacing="0" w:after="0" w:afterAutospacing="0"/>
              <w:jc w:val="center"/>
            </w:pPr>
            <w:r>
              <w:t>-2 500 842</w:t>
            </w:r>
          </w:p>
        </w:tc>
        <w:tc>
          <w:tcPr>
            <w:tcW w:w="1150" w:type="dxa"/>
          </w:tcPr>
          <w:p w14:paraId="54A7400C" w14:textId="77777777" w:rsidR="001F3CC6" w:rsidRPr="00245A2A" w:rsidRDefault="001F3CC6" w:rsidP="00245A2A">
            <w:pPr>
              <w:spacing w:after="0" w:line="240" w:lineRule="auto"/>
              <w:rPr>
                <w:rFonts w:ascii="Times New Roman" w:hAnsi="Times New Roman" w:cs="Times New Roman"/>
                <w:sz w:val="24"/>
                <w:szCs w:val="24"/>
              </w:rPr>
            </w:pPr>
          </w:p>
        </w:tc>
        <w:tc>
          <w:tcPr>
            <w:tcW w:w="1195" w:type="dxa"/>
          </w:tcPr>
          <w:p w14:paraId="2F50F483" w14:textId="77777777" w:rsidR="001F3CC6" w:rsidRPr="00245A2A" w:rsidRDefault="001F3CC6" w:rsidP="00245A2A">
            <w:pPr>
              <w:spacing w:after="0" w:line="240" w:lineRule="auto"/>
              <w:rPr>
                <w:rFonts w:ascii="Times New Roman" w:hAnsi="Times New Roman" w:cs="Times New Roman"/>
                <w:sz w:val="24"/>
                <w:szCs w:val="24"/>
              </w:rPr>
            </w:pPr>
          </w:p>
        </w:tc>
        <w:tc>
          <w:tcPr>
            <w:tcW w:w="1150" w:type="dxa"/>
          </w:tcPr>
          <w:p w14:paraId="4FC10B7F" w14:textId="77777777" w:rsidR="001F3CC6" w:rsidRPr="00245A2A" w:rsidRDefault="001F3CC6" w:rsidP="00245A2A">
            <w:pPr>
              <w:spacing w:after="0" w:line="240" w:lineRule="auto"/>
              <w:rPr>
                <w:rFonts w:ascii="Times New Roman" w:hAnsi="Times New Roman" w:cs="Times New Roman"/>
                <w:sz w:val="24"/>
                <w:szCs w:val="24"/>
              </w:rPr>
            </w:pPr>
          </w:p>
        </w:tc>
      </w:tr>
      <w:tr w:rsidR="000F5EDB" w:rsidRPr="000F5EDB" w14:paraId="7B2E0AC0" w14:textId="77777777" w:rsidTr="00693908">
        <w:trPr>
          <w:gridAfter w:val="1"/>
          <w:wAfter w:w="39" w:type="dxa"/>
          <w:jc w:val="center"/>
        </w:trPr>
        <w:tc>
          <w:tcPr>
            <w:tcW w:w="3199" w:type="dxa"/>
            <w:gridSpan w:val="2"/>
          </w:tcPr>
          <w:p w14:paraId="0C926954" w14:textId="77777777" w:rsidR="001F3CC6" w:rsidRPr="000F5EDB" w:rsidRDefault="001F3CC6"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3.1. valsts pamatbudžets</w:t>
            </w:r>
          </w:p>
        </w:tc>
        <w:tc>
          <w:tcPr>
            <w:tcW w:w="1276" w:type="dxa"/>
            <w:gridSpan w:val="2"/>
            <w:shd w:val="clear" w:color="auto" w:fill="auto"/>
          </w:tcPr>
          <w:p w14:paraId="67DF72D0" w14:textId="77777777" w:rsidR="001F3CC6" w:rsidRPr="000F5EDB" w:rsidRDefault="001F3CC6" w:rsidP="00E7737A">
            <w:pPr>
              <w:pStyle w:val="naisf"/>
              <w:spacing w:before="0" w:beforeAutospacing="0" w:after="0" w:afterAutospacing="0"/>
              <w:jc w:val="center"/>
            </w:pPr>
            <w:r w:rsidRPr="000F5EDB">
              <w:t>0</w:t>
            </w:r>
          </w:p>
        </w:tc>
        <w:tc>
          <w:tcPr>
            <w:tcW w:w="1287" w:type="dxa"/>
          </w:tcPr>
          <w:p w14:paraId="0244715B" w14:textId="42C15E50" w:rsidR="001F3CC6" w:rsidRPr="00245A2A" w:rsidRDefault="00467E9D" w:rsidP="00467E9D">
            <w:pPr>
              <w:pStyle w:val="naisf"/>
              <w:spacing w:before="0" w:beforeAutospacing="0" w:after="0" w:afterAutospacing="0"/>
              <w:jc w:val="center"/>
            </w:pPr>
            <w:r>
              <w:t>-2 500 842</w:t>
            </w:r>
          </w:p>
        </w:tc>
        <w:tc>
          <w:tcPr>
            <w:tcW w:w="1150" w:type="dxa"/>
          </w:tcPr>
          <w:p w14:paraId="16BD50BB" w14:textId="77777777" w:rsidR="001F3CC6" w:rsidRPr="00245A2A" w:rsidRDefault="001F3CC6" w:rsidP="00245A2A">
            <w:pPr>
              <w:spacing w:after="0" w:line="240" w:lineRule="auto"/>
              <w:rPr>
                <w:rFonts w:ascii="Times New Roman" w:hAnsi="Times New Roman" w:cs="Times New Roman"/>
                <w:sz w:val="24"/>
                <w:szCs w:val="24"/>
              </w:rPr>
            </w:pPr>
          </w:p>
        </w:tc>
        <w:tc>
          <w:tcPr>
            <w:tcW w:w="1195" w:type="dxa"/>
          </w:tcPr>
          <w:p w14:paraId="77CED0E7" w14:textId="77777777" w:rsidR="001F3CC6" w:rsidRPr="00245A2A" w:rsidRDefault="001F3CC6" w:rsidP="00245A2A">
            <w:pPr>
              <w:spacing w:after="0" w:line="240" w:lineRule="auto"/>
              <w:rPr>
                <w:rFonts w:ascii="Times New Roman" w:hAnsi="Times New Roman" w:cs="Times New Roman"/>
                <w:sz w:val="24"/>
                <w:szCs w:val="24"/>
              </w:rPr>
            </w:pPr>
          </w:p>
        </w:tc>
        <w:tc>
          <w:tcPr>
            <w:tcW w:w="1150" w:type="dxa"/>
          </w:tcPr>
          <w:p w14:paraId="54311CE3" w14:textId="77777777" w:rsidR="001F3CC6" w:rsidRPr="00245A2A" w:rsidRDefault="001F3CC6" w:rsidP="00245A2A">
            <w:pPr>
              <w:spacing w:after="0" w:line="240" w:lineRule="auto"/>
              <w:rPr>
                <w:rFonts w:ascii="Times New Roman" w:hAnsi="Times New Roman" w:cs="Times New Roman"/>
                <w:sz w:val="24"/>
                <w:szCs w:val="24"/>
              </w:rPr>
            </w:pPr>
          </w:p>
        </w:tc>
      </w:tr>
      <w:tr w:rsidR="000F5EDB" w:rsidRPr="000F5EDB" w14:paraId="7F898F3B" w14:textId="77777777" w:rsidTr="00693908">
        <w:trPr>
          <w:gridAfter w:val="1"/>
          <w:wAfter w:w="39" w:type="dxa"/>
          <w:jc w:val="center"/>
        </w:trPr>
        <w:tc>
          <w:tcPr>
            <w:tcW w:w="3199" w:type="dxa"/>
            <w:gridSpan w:val="2"/>
          </w:tcPr>
          <w:p w14:paraId="305F633C"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3.2. speciālais budžets</w:t>
            </w:r>
          </w:p>
        </w:tc>
        <w:tc>
          <w:tcPr>
            <w:tcW w:w="1276" w:type="dxa"/>
            <w:gridSpan w:val="2"/>
            <w:shd w:val="clear" w:color="auto" w:fill="auto"/>
          </w:tcPr>
          <w:p w14:paraId="566EB575" w14:textId="77777777" w:rsidR="007F6B1C" w:rsidRPr="000F5EDB" w:rsidRDefault="00E7737A" w:rsidP="00E7737A">
            <w:pPr>
              <w:pStyle w:val="naisf"/>
              <w:spacing w:before="0" w:beforeAutospacing="0" w:after="0" w:afterAutospacing="0"/>
              <w:jc w:val="center"/>
            </w:pPr>
            <w:r w:rsidRPr="000F5EDB">
              <w:t>0</w:t>
            </w:r>
          </w:p>
        </w:tc>
        <w:tc>
          <w:tcPr>
            <w:tcW w:w="1287" w:type="dxa"/>
          </w:tcPr>
          <w:p w14:paraId="70344056" w14:textId="77777777" w:rsidR="007F6B1C" w:rsidRPr="000F5EDB" w:rsidRDefault="00722701" w:rsidP="00E7737A">
            <w:pPr>
              <w:pStyle w:val="naisf"/>
              <w:spacing w:before="0" w:beforeAutospacing="0" w:after="0" w:afterAutospacing="0"/>
              <w:jc w:val="center"/>
            </w:pPr>
            <w:r>
              <w:t>0</w:t>
            </w:r>
          </w:p>
        </w:tc>
        <w:tc>
          <w:tcPr>
            <w:tcW w:w="1150" w:type="dxa"/>
          </w:tcPr>
          <w:p w14:paraId="1F952698"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37F658BB"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00B6CAAA"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0AF0B0EC" w14:textId="77777777" w:rsidTr="00693908">
        <w:trPr>
          <w:gridAfter w:val="1"/>
          <w:wAfter w:w="39" w:type="dxa"/>
          <w:jc w:val="center"/>
        </w:trPr>
        <w:tc>
          <w:tcPr>
            <w:tcW w:w="3199" w:type="dxa"/>
            <w:gridSpan w:val="2"/>
          </w:tcPr>
          <w:p w14:paraId="5B48C278"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3.3. pašvaldību budžets </w:t>
            </w:r>
          </w:p>
        </w:tc>
        <w:tc>
          <w:tcPr>
            <w:tcW w:w="1276" w:type="dxa"/>
            <w:gridSpan w:val="2"/>
            <w:shd w:val="clear" w:color="auto" w:fill="auto"/>
          </w:tcPr>
          <w:p w14:paraId="11595A86" w14:textId="77777777" w:rsidR="007F6B1C" w:rsidRPr="000F5EDB" w:rsidRDefault="00E7737A" w:rsidP="00E7737A">
            <w:pPr>
              <w:pStyle w:val="naisf"/>
              <w:spacing w:before="0" w:beforeAutospacing="0" w:after="0" w:afterAutospacing="0"/>
              <w:jc w:val="center"/>
            </w:pPr>
            <w:r w:rsidRPr="000F5EDB">
              <w:t>0</w:t>
            </w:r>
          </w:p>
        </w:tc>
        <w:tc>
          <w:tcPr>
            <w:tcW w:w="1287" w:type="dxa"/>
          </w:tcPr>
          <w:p w14:paraId="2BF293DB" w14:textId="77777777" w:rsidR="007F6B1C" w:rsidRPr="000F5EDB" w:rsidRDefault="00722701" w:rsidP="00E7737A">
            <w:pPr>
              <w:pStyle w:val="naisf"/>
              <w:spacing w:before="0" w:beforeAutospacing="0" w:after="0" w:afterAutospacing="0"/>
              <w:jc w:val="center"/>
            </w:pPr>
            <w:r>
              <w:t>0</w:t>
            </w:r>
          </w:p>
        </w:tc>
        <w:tc>
          <w:tcPr>
            <w:tcW w:w="1150" w:type="dxa"/>
          </w:tcPr>
          <w:p w14:paraId="141F15D9"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0795DEC8"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1B9053EF"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7DA2A6F4" w14:textId="77777777" w:rsidTr="00693908">
        <w:trPr>
          <w:gridAfter w:val="1"/>
          <w:wAfter w:w="39" w:type="dxa"/>
          <w:jc w:val="center"/>
        </w:trPr>
        <w:tc>
          <w:tcPr>
            <w:tcW w:w="3199" w:type="dxa"/>
            <w:gridSpan w:val="2"/>
            <w:vMerge w:val="restart"/>
          </w:tcPr>
          <w:p w14:paraId="4EC010F2"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4. Finanšu līdzekļi papildu izdevumu finansēšanai (kompensējošu izdevumu samazinājumu norāda ar "+" zīmi)</w:t>
            </w:r>
          </w:p>
        </w:tc>
        <w:tc>
          <w:tcPr>
            <w:tcW w:w="1276" w:type="dxa"/>
            <w:gridSpan w:val="2"/>
            <w:vMerge w:val="restart"/>
          </w:tcPr>
          <w:p w14:paraId="3956EB22" w14:textId="77777777" w:rsidR="007F6B1C" w:rsidRPr="000F5EDB" w:rsidRDefault="007F6B1C" w:rsidP="000D2380">
            <w:pPr>
              <w:pStyle w:val="naisf"/>
              <w:spacing w:before="0" w:beforeAutospacing="0" w:after="0" w:afterAutospacing="0"/>
              <w:jc w:val="center"/>
              <w:rPr>
                <w:i/>
              </w:rPr>
            </w:pPr>
            <w:r w:rsidRPr="000F5EDB">
              <w:t>X</w:t>
            </w:r>
          </w:p>
        </w:tc>
        <w:tc>
          <w:tcPr>
            <w:tcW w:w="1287" w:type="dxa"/>
          </w:tcPr>
          <w:p w14:paraId="56873B4F" w14:textId="77777777" w:rsidR="007F6B1C" w:rsidRPr="000F5EDB" w:rsidRDefault="007F6B1C" w:rsidP="00E7737A">
            <w:pPr>
              <w:pStyle w:val="naisf"/>
              <w:spacing w:before="0" w:beforeAutospacing="0" w:after="0" w:afterAutospacing="0"/>
              <w:jc w:val="center"/>
            </w:pPr>
          </w:p>
        </w:tc>
        <w:tc>
          <w:tcPr>
            <w:tcW w:w="1150" w:type="dxa"/>
          </w:tcPr>
          <w:p w14:paraId="1CFB3C3D"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6D42B145"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32979E5A"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3521E79B" w14:textId="77777777" w:rsidTr="00693908">
        <w:trPr>
          <w:gridAfter w:val="1"/>
          <w:wAfter w:w="39" w:type="dxa"/>
          <w:jc w:val="center"/>
        </w:trPr>
        <w:tc>
          <w:tcPr>
            <w:tcW w:w="3199" w:type="dxa"/>
            <w:gridSpan w:val="2"/>
            <w:vMerge/>
          </w:tcPr>
          <w:p w14:paraId="63EBCAAF" w14:textId="77777777" w:rsidR="007F6B1C" w:rsidRPr="000F5EDB" w:rsidRDefault="007F6B1C" w:rsidP="000D2380">
            <w:pPr>
              <w:spacing w:after="0" w:line="240" w:lineRule="auto"/>
              <w:rPr>
                <w:rFonts w:ascii="Times New Roman" w:hAnsi="Times New Roman" w:cs="Times New Roman"/>
                <w:sz w:val="24"/>
                <w:szCs w:val="24"/>
              </w:rPr>
            </w:pPr>
          </w:p>
        </w:tc>
        <w:tc>
          <w:tcPr>
            <w:tcW w:w="1276" w:type="dxa"/>
            <w:gridSpan w:val="2"/>
            <w:vMerge/>
          </w:tcPr>
          <w:p w14:paraId="67CB9914" w14:textId="77777777" w:rsidR="007F6B1C" w:rsidRPr="000F5EDB" w:rsidRDefault="007F6B1C" w:rsidP="000D2380">
            <w:pPr>
              <w:pStyle w:val="naisf"/>
              <w:spacing w:before="0" w:beforeAutospacing="0" w:after="0" w:afterAutospacing="0"/>
              <w:jc w:val="center"/>
              <w:rPr>
                <w:i/>
              </w:rPr>
            </w:pPr>
          </w:p>
        </w:tc>
        <w:tc>
          <w:tcPr>
            <w:tcW w:w="1287" w:type="dxa"/>
          </w:tcPr>
          <w:p w14:paraId="08BC77A0" w14:textId="77777777" w:rsidR="007F6B1C" w:rsidRPr="000F5EDB" w:rsidRDefault="007F6B1C" w:rsidP="00E7737A">
            <w:pPr>
              <w:pStyle w:val="naisf"/>
              <w:spacing w:before="0" w:beforeAutospacing="0" w:after="0" w:afterAutospacing="0"/>
              <w:jc w:val="center"/>
            </w:pPr>
          </w:p>
        </w:tc>
        <w:tc>
          <w:tcPr>
            <w:tcW w:w="1150" w:type="dxa"/>
          </w:tcPr>
          <w:p w14:paraId="4145E30E"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31247730"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5EFD43E1"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5AB2258B" w14:textId="77777777" w:rsidTr="00693908">
        <w:trPr>
          <w:gridAfter w:val="1"/>
          <w:wAfter w:w="39" w:type="dxa"/>
          <w:jc w:val="center"/>
        </w:trPr>
        <w:tc>
          <w:tcPr>
            <w:tcW w:w="3199" w:type="dxa"/>
            <w:gridSpan w:val="2"/>
            <w:vMerge/>
          </w:tcPr>
          <w:p w14:paraId="70BEE91E" w14:textId="77777777" w:rsidR="007F6B1C" w:rsidRPr="000F5EDB" w:rsidRDefault="007F6B1C" w:rsidP="000D2380">
            <w:pPr>
              <w:spacing w:after="0" w:line="240" w:lineRule="auto"/>
              <w:rPr>
                <w:rFonts w:ascii="Times New Roman" w:hAnsi="Times New Roman" w:cs="Times New Roman"/>
                <w:sz w:val="24"/>
                <w:szCs w:val="24"/>
              </w:rPr>
            </w:pPr>
          </w:p>
        </w:tc>
        <w:tc>
          <w:tcPr>
            <w:tcW w:w="1276" w:type="dxa"/>
            <w:gridSpan w:val="2"/>
            <w:vMerge/>
          </w:tcPr>
          <w:p w14:paraId="67020C7F" w14:textId="77777777" w:rsidR="007F6B1C" w:rsidRPr="000F5EDB" w:rsidRDefault="007F6B1C" w:rsidP="000D2380">
            <w:pPr>
              <w:pStyle w:val="naisf"/>
              <w:spacing w:before="0" w:beforeAutospacing="0" w:after="0" w:afterAutospacing="0"/>
              <w:jc w:val="center"/>
              <w:rPr>
                <w:i/>
              </w:rPr>
            </w:pPr>
          </w:p>
        </w:tc>
        <w:tc>
          <w:tcPr>
            <w:tcW w:w="1287" w:type="dxa"/>
          </w:tcPr>
          <w:p w14:paraId="54A653DB" w14:textId="0F4C0A2B" w:rsidR="007F6B1C" w:rsidRPr="000F5EDB" w:rsidRDefault="00467E9D" w:rsidP="00E7737A">
            <w:pPr>
              <w:pStyle w:val="naisf"/>
              <w:spacing w:before="0" w:beforeAutospacing="0" w:after="0" w:afterAutospacing="0"/>
              <w:jc w:val="center"/>
            </w:pPr>
            <w:r>
              <w:t>2 500 842</w:t>
            </w:r>
          </w:p>
        </w:tc>
        <w:tc>
          <w:tcPr>
            <w:tcW w:w="1150" w:type="dxa"/>
          </w:tcPr>
          <w:p w14:paraId="0BEBCBBC"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6FF3903C"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6DF13CB0"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571FE604" w14:textId="77777777" w:rsidTr="00693908">
        <w:trPr>
          <w:gridAfter w:val="1"/>
          <w:wAfter w:w="39" w:type="dxa"/>
          <w:jc w:val="center"/>
        </w:trPr>
        <w:tc>
          <w:tcPr>
            <w:tcW w:w="3199" w:type="dxa"/>
            <w:gridSpan w:val="2"/>
          </w:tcPr>
          <w:p w14:paraId="7F573E34"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 Precizēta finansiālā ietekme:</w:t>
            </w:r>
          </w:p>
        </w:tc>
        <w:tc>
          <w:tcPr>
            <w:tcW w:w="1276" w:type="dxa"/>
            <w:gridSpan w:val="2"/>
            <w:vMerge w:val="restart"/>
          </w:tcPr>
          <w:p w14:paraId="50FA42A2" w14:textId="77777777" w:rsidR="007F6B1C" w:rsidRPr="000F5EDB" w:rsidRDefault="007F6B1C" w:rsidP="000D2380">
            <w:pPr>
              <w:pStyle w:val="naisf"/>
              <w:spacing w:before="0" w:beforeAutospacing="0" w:after="0" w:afterAutospacing="0"/>
              <w:jc w:val="center"/>
              <w:rPr>
                <w:i/>
              </w:rPr>
            </w:pPr>
            <w:r w:rsidRPr="000F5EDB">
              <w:t>X</w:t>
            </w:r>
          </w:p>
        </w:tc>
        <w:tc>
          <w:tcPr>
            <w:tcW w:w="1287" w:type="dxa"/>
          </w:tcPr>
          <w:p w14:paraId="2BDB1080"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0E14DB90" w14:textId="77777777" w:rsidR="007F6B1C" w:rsidRPr="000F5EDB" w:rsidRDefault="007F6B1C" w:rsidP="00E7737A">
            <w:pPr>
              <w:pStyle w:val="naisf"/>
              <w:spacing w:before="0" w:beforeAutospacing="0" w:after="0" w:afterAutospacing="0"/>
              <w:jc w:val="center"/>
            </w:pPr>
          </w:p>
        </w:tc>
        <w:tc>
          <w:tcPr>
            <w:tcW w:w="1195" w:type="dxa"/>
          </w:tcPr>
          <w:p w14:paraId="5137EDB7" w14:textId="77777777" w:rsidR="007F6B1C" w:rsidRPr="000F5EDB" w:rsidRDefault="007F6B1C" w:rsidP="00E7737A">
            <w:pPr>
              <w:pStyle w:val="naisf"/>
              <w:spacing w:before="0" w:beforeAutospacing="0" w:after="0" w:afterAutospacing="0"/>
              <w:jc w:val="center"/>
            </w:pPr>
          </w:p>
        </w:tc>
        <w:tc>
          <w:tcPr>
            <w:tcW w:w="1150" w:type="dxa"/>
          </w:tcPr>
          <w:p w14:paraId="69A76D7B" w14:textId="77777777" w:rsidR="007F6B1C" w:rsidRPr="000F5EDB" w:rsidRDefault="007F6B1C" w:rsidP="00E7737A">
            <w:pPr>
              <w:pStyle w:val="naisf"/>
              <w:spacing w:before="0" w:beforeAutospacing="0" w:after="0" w:afterAutospacing="0"/>
              <w:jc w:val="center"/>
            </w:pPr>
          </w:p>
        </w:tc>
      </w:tr>
      <w:tr w:rsidR="000F5EDB" w:rsidRPr="000F5EDB" w14:paraId="1588AF6D" w14:textId="77777777" w:rsidTr="00693908">
        <w:trPr>
          <w:gridAfter w:val="1"/>
          <w:wAfter w:w="39" w:type="dxa"/>
          <w:jc w:val="center"/>
        </w:trPr>
        <w:tc>
          <w:tcPr>
            <w:tcW w:w="3199" w:type="dxa"/>
            <w:gridSpan w:val="2"/>
          </w:tcPr>
          <w:p w14:paraId="7DC81B97"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5.1. valsts pamatbudžets</w:t>
            </w:r>
          </w:p>
        </w:tc>
        <w:tc>
          <w:tcPr>
            <w:tcW w:w="1276" w:type="dxa"/>
            <w:gridSpan w:val="2"/>
            <w:vMerge/>
            <w:vAlign w:val="center"/>
          </w:tcPr>
          <w:p w14:paraId="00D75E87" w14:textId="77777777" w:rsidR="007F6B1C" w:rsidRPr="000F5EDB" w:rsidRDefault="007F6B1C" w:rsidP="000D2380">
            <w:pPr>
              <w:pStyle w:val="naisf"/>
              <w:spacing w:before="0" w:beforeAutospacing="0" w:after="0" w:afterAutospacing="0"/>
              <w:jc w:val="center"/>
              <w:rPr>
                <w:i/>
              </w:rPr>
            </w:pPr>
          </w:p>
        </w:tc>
        <w:tc>
          <w:tcPr>
            <w:tcW w:w="1287" w:type="dxa"/>
          </w:tcPr>
          <w:p w14:paraId="61521F75"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268DB11C"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24D049CD"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65AC1403"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2DC96EA2" w14:textId="77777777" w:rsidTr="00693908">
        <w:trPr>
          <w:gridAfter w:val="1"/>
          <w:wAfter w:w="39" w:type="dxa"/>
          <w:jc w:val="center"/>
        </w:trPr>
        <w:tc>
          <w:tcPr>
            <w:tcW w:w="3199" w:type="dxa"/>
            <w:gridSpan w:val="2"/>
          </w:tcPr>
          <w:p w14:paraId="37BEB77F"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5.2. speciālais budžets</w:t>
            </w:r>
          </w:p>
        </w:tc>
        <w:tc>
          <w:tcPr>
            <w:tcW w:w="1276" w:type="dxa"/>
            <w:gridSpan w:val="2"/>
            <w:vMerge/>
            <w:vAlign w:val="center"/>
          </w:tcPr>
          <w:p w14:paraId="2A92673E" w14:textId="77777777" w:rsidR="007F6B1C" w:rsidRPr="000F5EDB" w:rsidRDefault="007F6B1C" w:rsidP="000D2380">
            <w:pPr>
              <w:pStyle w:val="naisf"/>
              <w:spacing w:before="0" w:beforeAutospacing="0" w:after="0" w:afterAutospacing="0"/>
              <w:jc w:val="center"/>
              <w:rPr>
                <w:i/>
              </w:rPr>
            </w:pPr>
          </w:p>
        </w:tc>
        <w:tc>
          <w:tcPr>
            <w:tcW w:w="1287" w:type="dxa"/>
          </w:tcPr>
          <w:p w14:paraId="4D8F82C6"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1598CA30"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21914844"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5D8E0E5A"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2F31053C" w14:textId="77777777" w:rsidTr="00693908">
        <w:trPr>
          <w:gridAfter w:val="1"/>
          <w:wAfter w:w="39" w:type="dxa"/>
          <w:jc w:val="center"/>
        </w:trPr>
        <w:tc>
          <w:tcPr>
            <w:tcW w:w="3199" w:type="dxa"/>
            <w:gridSpan w:val="2"/>
          </w:tcPr>
          <w:p w14:paraId="23A611D3"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 xml:space="preserve">5.3. pašvaldību budžets </w:t>
            </w:r>
          </w:p>
        </w:tc>
        <w:tc>
          <w:tcPr>
            <w:tcW w:w="1276" w:type="dxa"/>
            <w:gridSpan w:val="2"/>
            <w:vMerge/>
            <w:vAlign w:val="center"/>
          </w:tcPr>
          <w:p w14:paraId="35067E61" w14:textId="77777777" w:rsidR="007F6B1C" w:rsidRPr="000F5EDB" w:rsidRDefault="007F6B1C" w:rsidP="000D2380">
            <w:pPr>
              <w:pStyle w:val="naisf"/>
              <w:spacing w:before="0" w:beforeAutospacing="0" w:after="0" w:afterAutospacing="0"/>
              <w:jc w:val="center"/>
              <w:rPr>
                <w:i/>
              </w:rPr>
            </w:pPr>
          </w:p>
        </w:tc>
        <w:tc>
          <w:tcPr>
            <w:tcW w:w="1287" w:type="dxa"/>
          </w:tcPr>
          <w:p w14:paraId="552B27F4"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73A897E0" w14:textId="77777777" w:rsidR="007F6B1C" w:rsidRPr="000F5EDB" w:rsidRDefault="00E7737A" w:rsidP="00E7737A">
            <w:pPr>
              <w:pStyle w:val="naisf"/>
              <w:spacing w:before="0" w:beforeAutospacing="0" w:after="0" w:afterAutospacing="0"/>
              <w:jc w:val="center"/>
            </w:pPr>
            <w:r w:rsidRPr="000F5EDB">
              <w:t>0</w:t>
            </w:r>
          </w:p>
        </w:tc>
        <w:tc>
          <w:tcPr>
            <w:tcW w:w="1195" w:type="dxa"/>
          </w:tcPr>
          <w:p w14:paraId="25D75D38" w14:textId="77777777" w:rsidR="007F6B1C" w:rsidRPr="000F5EDB" w:rsidRDefault="00E7737A" w:rsidP="00E7737A">
            <w:pPr>
              <w:pStyle w:val="naisf"/>
              <w:spacing w:before="0" w:beforeAutospacing="0" w:after="0" w:afterAutospacing="0"/>
              <w:jc w:val="center"/>
            </w:pPr>
            <w:r w:rsidRPr="000F5EDB">
              <w:t>0</w:t>
            </w:r>
          </w:p>
        </w:tc>
        <w:tc>
          <w:tcPr>
            <w:tcW w:w="1150" w:type="dxa"/>
          </w:tcPr>
          <w:p w14:paraId="521FF619" w14:textId="77777777" w:rsidR="007F6B1C" w:rsidRPr="000F5EDB" w:rsidRDefault="00E7737A" w:rsidP="00E7737A">
            <w:pPr>
              <w:pStyle w:val="naisf"/>
              <w:spacing w:before="0" w:beforeAutospacing="0" w:after="0" w:afterAutospacing="0"/>
              <w:jc w:val="center"/>
            </w:pPr>
            <w:r w:rsidRPr="000F5EDB">
              <w:t>0</w:t>
            </w:r>
          </w:p>
        </w:tc>
      </w:tr>
      <w:tr w:rsidR="000F5EDB" w:rsidRPr="000F5EDB" w14:paraId="24C15089" w14:textId="77777777" w:rsidTr="00693908">
        <w:trPr>
          <w:gridAfter w:val="1"/>
          <w:wAfter w:w="39" w:type="dxa"/>
          <w:trHeight w:val="1571"/>
          <w:jc w:val="center"/>
        </w:trPr>
        <w:tc>
          <w:tcPr>
            <w:tcW w:w="3199" w:type="dxa"/>
            <w:gridSpan w:val="2"/>
          </w:tcPr>
          <w:p w14:paraId="06A294B5"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lastRenderedPageBreak/>
              <w:t>6. Detalizēts ieņēmumu un izdevumu aprēķins (ja nepie</w:t>
            </w:r>
            <w:r w:rsidRPr="000F5EDB">
              <w:rPr>
                <w:rFonts w:ascii="Times New Roman" w:hAnsi="Times New Roman" w:cs="Times New Roman"/>
                <w:sz w:val="24"/>
                <w:szCs w:val="24"/>
              </w:rPr>
              <w:softHyphen/>
              <w:t>ciešams, detalizētu ieņēmumu un izdevumu aprēķinu var pie</w:t>
            </w:r>
            <w:r w:rsidRPr="000F5EDB">
              <w:rPr>
                <w:rFonts w:ascii="Times New Roman" w:hAnsi="Times New Roman" w:cs="Times New Roman"/>
                <w:sz w:val="24"/>
                <w:szCs w:val="24"/>
              </w:rPr>
              <w:softHyphen/>
              <w:t>vienot anotācijas pielikumā):</w:t>
            </w:r>
          </w:p>
        </w:tc>
        <w:tc>
          <w:tcPr>
            <w:tcW w:w="6058" w:type="dxa"/>
            <w:gridSpan w:val="6"/>
            <w:vMerge w:val="restart"/>
            <w:vAlign w:val="center"/>
          </w:tcPr>
          <w:p w14:paraId="6BAF6415" w14:textId="77777777" w:rsidR="00F23C20" w:rsidRPr="0035422A" w:rsidRDefault="00F23C20" w:rsidP="00F23C20">
            <w:pPr>
              <w:spacing w:after="0" w:line="240" w:lineRule="auto"/>
              <w:rPr>
                <w:rFonts w:ascii="Times New Roman" w:hAnsi="Times New Roman" w:cs="Times New Roman"/>
                <w:b/>
                <w:sz w:val="24"/>
                <w:szCs w:val="24"/>
              </w:rPr>
            </w:pPr>
            <w:r w:rsidRPr="0035422A">
              <w:rPr>
                <w:rFonts w:ascii="Times New Roman" w:hAnsi="Times New Roman" w:cs="Times New Roman"/>
                <w:b/>
                <w:sz w:val="24"/>
                <w:szCs w:val="24"/>
              </w:rPr>
              <w:t xml:space="preserve">Iekšlietu ministrija – kopā </w:t>
            </w:r>
          </w:p>
          <w:p w14:paraId="429F63E1" w14:textId="3E39EDCE" w:rsidR="00F23C20" w:rsidRPr="003200D4" w:rsidRDefault="00F23C20" w:rsidP="00F23C20">
            <w:pPr>
              <w:spacing w:after="0" w:line="240" w:lineRule="auto"/>
              <w:rPr>
                <w:rFonts w:ascii="Times New Roman" w:hAnsi="Times New Roman" w:cs="Times New Roman"/>
                <w:b/>
                <w:i/>
                <w:sz w:val="24"/>
                <w:szCs w:val="24"/>
              </w:rPr>
            </w:pPr>
            <w:r>
              <w:rPr>
                <w:rFonts w:ascii="Times New Roman" w:hAnsi="Times New Roman" w:cs="Times New Roman"/>
                <w:b/>
                <w:sz w:val="24"/>
                <w:szCs w:val="24"/>
              </w:rPr>
              <w:t>2014.gadā –</w:t>
            </w:r>
            <w:r w:rsidR="00301746">
              <w:rPr>
                <w:rFonts w:ascii="Times New Roman" w:hAnsi="Times New Roman" w:cs="Times New Roman"/>
                <w:b/>
                <w:sz w:val="24"/>
                <w:szCs w:val="24"/>
              </w:rPr>
              <w:t xml:space="preserve"> </w:t>
            </w:r>
            <w:r>
              <w:rPr>
                <w:rFonts w:ascii="Times New Roman" w:hAnsi="Times New Roman" w:cs="Times New Roman"/>
                <w:b/>
                <w:sz w:val="24"/>
                <w:szCs w:val="24"/>
              </w:rPr>
              <w:t xml:space="preserve">2 500 842 </w:t>
            </w:r>
            <w:proofErr w:type="spellStart"/>
            <w:r w:rsidRPr="003200D4">
              <w:rPr>
                <w:rFonts w:ascii="Times New Roman" w:hAnsi="Times New Roman" w:cs="Times New Roman"/>
                <w:b/>
                <w:i/>
                <w:sz w:val="24"/>
                <w:szCs w:val="24"/>
              </w:rPr>
              <w:t>euro</w:t>
            </w:r>
            <w:proofErr w:type="spellEnd"/>
          </w:p>
          <w:p w14:paraId="77C77817" w14:textId="77777777" w:rsidR="00F23C20" w:rsidRPr="0035422A" w:rsidRDefault="00F23C20" w:rsidP="00F23C20">
            <w:pPr>
              <w:spacing w:after="0" w:line="240" w:lineRule="auto"/>
              <w:rPr>
                <w:rFonts w:ascii="Times New Roman" w:hAnsi="Times New Roman" w:cs="Times New Roman"/>
                <w:b/>
                <w:sz w:val="24"/>
                <w:szCs w:val="24"/>
              </w:rPr>
            </w:pPr>
            <w:r w:rsidRPr="0035422A">
              <w:rPr>
                <w:rFonts w:ascii="Times New Roman" w:hAnsi="Times New Roman" w:cs="Times New Roman"/>
                <w:b/>
                <w:sz w:val="24"/>
                <w:szCs w:val="24"/>
              </w:rPr>
              <w:t>(budžeta apakšprogramma 06.01.00 „Valsts policija” (Valsts policija)</w:t>
            </w:r>
          </w:p>
          <w:p w14:paraId="3A5703E4" w14:textId="77777777" w:rsidR="00F23C20" w:rsidRDefault="00F23C20" w:rsidP="00F23C20">
            <w:pPr>
              <w:spacing w:after="0" w:line="240" w:lineRule="auto"/>
              <w:rPr>
                <w:rFonts w:ascii="Times New Roman" w:hAnsi="Times New Roman" w:cs="Times New Roman"/>
                <w:sz w:val="24"/>
                <w:szCs w:val="24"/>
              </w:rPr>
            </w:pPr>
          </w:p>
          <w:p w14:paraId="373D0D48" w14:textId="77777777" w:rsidR="00F23C20" w:rsidRDefault="00F23C20" w:rsidP="00F23C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Ilgtermiņa saistību pasākuma</w:t>
            </w:r>
            <w:r w:rsidRPr="00251F3F">
              <w:rPr>
                <w:rFonts w:ascii="Times New Roman" w:hAnsi="Times New Roman" w:cs="Times New Roman"/>
                <w:sz w:val="24"/>
                <w:szCs w:val="24"/>
              </w:rPr>
              <w:t xml:space="preserve"> „Latvijas Republikas un Krievijas Federācijas valsts robežas</w:t>
            </w:r>
            <w:r>
              <w:rPr>
                <w:rFonts w:ascii="Times New Roman" w:hAnsi="Times New Roman" w:cs="Times New Roman"/>
                <w:sz w:val="24"/>
                <w:szCs w:val="24"/>
              </w:rPr>
              <w:t xml:space="preserve"> demarkācija” 2014.gadā neapgūto</w:t>
            </w:r>
            <w:r w:rsidRPr="00251F3F">
              <w:rPr>
                <w:rFonts w:ascii="Times New Roman" w:hAnsi="Times New Roman" w:cs="Times New Roman"/>
                <w:sz w:val="24"/>
                <w:szCs w:val="24"/>
              </w:rPr>
              <w:t xml:space="preserve"> finansē</w:t>
            </w:r>
            <w:r>
              <w:rPr>
                <w:rFonts w:ascii="Times New Roman" w:hAnsi="Times New Roman" w:cs="Times New Roman"/>
                <w:sz w:val="24"/>
                <w:szCs w:val="24"/>
              </w:rPr>
              <w:t>jumu</w:t>
            </w:r>
            <w:r w:rsidRPr="00251F3F">
              <w:rPr>
                <w:rFonts w:ascii="Times New Roman" w:hAnsi="Times New Roman" w:cs="Times New Roman"/>
                <w:sz w:val="24"/>
                <w:szCs w:val="24"/>
              </w:rPr>
              <w:t xml:space="preserve"> 1 337 425 </w:t>
            </w:r>
            <w:proofErr w:type="spellStart"/>
            <w:r w:rsidRPr="00251F3F">
              <w:rPr>
                <w:rFonts w:ascii="Times New Roman" w:hAnsi="Times New Roman" w:cs="Times New Roman"/>
                <w:i/>
                <w:sz w:val="24"/>
                <w:szCs w:val="24"/>
              </w:rPr>
              <w:t>euro</w:t>
            </w:r>
            <w:proofErr w:type="spellEnd"/>
            <w:r w:rsidRPr="00251F3F">
              <w:rPr>
                <w:rFonts w:ascii="Times New Roman" w:hAnsi="Times New Roman" w:cs="Times New Roman"/>
                <w:sz w:val="24"/>
                <w:szCs w:val="24"/>
              </w:rPr>
              <w:t xml:space="preserve"> apmērā</w:t>
            </w:r>
            <w:r>
              <w:rPr>
                <w:rFonts w:ascii="Times New Roman" w:hAnsi="Times New Roman" w:cs="Times New Roman"/>
                <w:sz w:val="24"/>
                <w:szCs w:val="24"/>
              </w:rPr>
              <w:t xml:space="preserve"> (</w:t>
            </w:r>
            <w:r w:rsidRPr="00251F3F">
              <w:rPr>
                <w:rFonts w:ascii="Times New Roman" w:hAnsi="Times New Roman" w:cs="Times New Roman"/>
                <w:sz w:val="24"/>
                <w:szCs w:val="24"/>
              </w:rPr>
              <w:t>tai skaitā</w:t>
            </w:r>
            <w:r>
              <w:rPr>
                <w:rFonts w:ascii="Times New Roman" w:hAnsi="Times New Roman" w:cs="Times New Roman"/>
                <w:sz w:val="24"/>
                <w:szCs w:val="24"/>
              </w:rPr>
              <w:t xml:space="preserve">, </w:t>
            </w:r>
            <w:r w:rsidRPr="00251F3F">
              <w:rPr>
                <w:rFonts w:ascii="Times New Roman" w:hAnsi="Times New Roman" w:cs="Times New Roman"/>
                <w:sz w:val="24"/>
                <w:szCs w:val="24"/>
              </w:rPr>
              <w:t xml:space="preserve">budžeta apakšprogrammā 40.02.00 „Nekustamais īpašums un centralizētais iepirkums” </w:t>
            </w:r>
            <w:r>
              <w:rPr>
                <w:rFonts w:ascii="Times New Roman" w:hAnsi="Times New Roman" w:cs="Times New Roman"/>
                <w:sz w:val="24"/>
                <w:szCs w:val="24"/>
              </w:rPr>
              <w:t>–</w:t>
            </w:r>
            <w:r w:rsidRPr="00251F3F">
              <w:rPr>
                <w:rFonts w:ascii="Times New Roman" w:hAnsi="Times New Roman" w:cs="Times New Roman"/>
                <w:sz w:val="24"/>
                <w:szCs w:val="24"/>
              </w:rPr>
              <w:t xml:space="preserve"> 373 39</w:t>
            </w:r>
            <w:r>
              <w:rPr>
                <w:rFonts w:ascii="Times New Roman" w:hAnsi="Times New Roman" w:cs="Times New Roman"/>
                <w:sz w:val="24"/>
                <w:szCs w:val="24"/>
              </w:rPr>
              <w:t xml:space="preserve">5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un </w:t>
            </w:r>
            <w:r w:rsidRPr="00251F3F">
              <w:rPr>
                <w:rFonts w:ascii="Times New Roman" w:hAnsi="Times New Roman" w:cs="Times New Roman"/>
                <w:sz w:val="24"/>
                <w:szCs w:val="24"/>
              </w:rPr>
              <w:t xml:space="preserve">budžeta programmā 10.00.00 „Valsts robežsardzes darbība” </w:t>
            </w:r>
            <w:r>
              <w:rPr>
                <w:rFonts w:ascii="Times New Roman" w:hAnsi="Times New Roman" w:cs="Times New Roman"/>
                <w:sz w:val="24"/>
                <w:szCs w:val="24"/>
              </w:rPr>
              <w:t>–</w:t>
            </w:r>
            <w:r w:rsidRPr="00251F3F">
              <w:rPr>
                <w:rFonts w:ascii="Times New Roman" w:hAnsi="Times New Roman" w:cs="Times New Roman"/>
                <w:sz w:val="24"/>
                <w:szCs w:val="24"/>
              </w:rPr>
              <w:t xml:space="preserve"> 964</w:t>
            </w:r>
            <w:r>
              <w:rPr>
                <w:rFonts w:ascii="Times New Roman" w:hAnsi="Times New Roman" w:cs="Times New Roman"/>
                <w:sz w:val="24"/>
                <w:szCs w:val="24"/>
              </w:rPr>
              <w:t xml:space="preserve"> 030 </w:t>
            </w:r>
            <w:proofErr w:type="spellStart"/>
            <w:r w:rsidRPr="00251F3F">
              <w:rPr>
                <w:rFonts w:ascii="Times New Roman" w:hAnsi="Times New Roman" w:cs="Times New Roman"/>
                <w:i/>
                <w:sz w:val="24"/>
                <w:szCs w:val="24"/>
              </w:rPr>
              <w:t>euro</w:t>
            </w:r>
            <w:proofErr w:type="spellEnd"/>
            <w:r>
              <w:rPr>
                <w:rFonts w:ascii="Times New Roman" w:hAnsi="Times New Roman" w:cs="Times New Roman"/>
                <w:sz w:val="24"/>
                <w:szCs w:val="24"/>
              </w:rPr>
              <w:t xml:space="preserve">) paredzēts </w:t>
            </w:r>
            <w:r w:rsidRPr="00251F3F">
              <w:rPr>
                <w:rFonts w:ascii="Times New Roman" w:hAnsi="Times New Roman" w:cs="Times New Roman"/>
                <w:sz w:val="24"/>
                <w:szCs w:val="24"/>
              </w:rPr>
              <w:t>pārdal</w:t>
            </w:r>
            <w:r>
              <w:rPr>
                <w:rFonts w:ascii="Times New Roman" w:hAnsi="Times New Roman" w:cs="Times New Roman"/>
                <w:sz w:val="24"/>
                <w:szCs w:val="24"/>
              </w:rPr>
              <w:t>īt</w:t>
            </w:r>
            <w:r w:rsidRPr="00251F3F">
              <w:rPr>
                <w:rFonts w:ascii="Times New Roman" w:hAnsi="Times New Roman" w:cs="Times New Roman"/>
                <w:sz w:val="24"/>
                <w:szCs w:val="24"/>
              </w:rPr>
              <w:t xml:space="preserve"> uz Iekšlietu ministrijas budžeta apakšprogrammu 06.01.00 „Valsts policija”</w:t>
            </w:r>
            <w:r>
              <w:rPr>
                <w:rFonts w:ascii="Times New Roman" w:hAnsi="Times New Roman" w:cs="Times New Roman"/>
                <w:sz w:val="24"/>
                <w:szCs w:val="24"/>
              </w:rPr>
              <w:t>, tai skaitā:</w:t>
            </w:r>
          </w:p>
          <w:p w14:paraId="3C3359A0" w14:textId="77777777" w:rsidR="00F23C20" w:rsidRPr="006471B7" w:rsidRDefault="00F23C20" w:rsidP="00F23C20">
            <w:pPr>
              <w:pStyle w:val="ListParagraph"/>
              <w:numPr>
                <w:ilvl w:val="0"/>
                <w:numId w:val="4"/>
              </w:numPr>
              <w:spacing w:after="0" w:line="240" w:lineRule="auto"/>
              <w:jc w:val="both"/>
              <w:rPr>
                <w:rFonts w:ascii="Times New Roman" w:hAnsi="Times New Roman"/>
                <w:sz w:val="24"/>
                <w:szCs w:val="24"/>
              </w:rPr>
            </w:pPr>
            <w:r w:rsidRPr="006471B7">
              <w:rPr>
                <w:rFonts w:ascii="Times New Roman" w:hAnsi="Times New Roman"/>
                <w:sz w:val="24"/>
                <w:szCs w:val="24"/>
              </w:rPr>
              <w:t xml:space="preserve">Preces un pakalpojumi (2000 EKK) – 40 305 </w:t>
            </w:r>
            <w:proofErr w:type="spellStart"/>
            <w:r w:rsidRPr="006471B7">
              <w:rPr>
                <w:rFonts w:ascii="Times New Roman" w:hAnsi="Times New Roman"/>
                <w:i/>
                <w:sz w:val="24"/>
                <w:szCs w:val="24"/>
              </w:rPr>
              <w:t>euro</w:t>
            </w:r>
            <w:proofErr w:type="spellEnd"/>
            <w:r w:rsidRPr="006471B7">
              <w:rPr>
                <w:rFonts w:ascii="Times New Roman" w:hAnsi="Times New Roman"/>
                <w:sz w:val="24"/>
                <w:szCs w:val="24"/>
              </w:rPr>
              <w:t>;</w:t>
            </w:r>
          </w:p>
          <w:p w14:paraId="19021A22" w14:textId="77777777" w:rsidR="00F23C20" w:rsidRDefault="00F23C20" w:rsidP="00F23C20">
            <w:pPr>
              <w:spacing w:after="0" w:line="240" w:lineRule="auto"/>
              <w:ind w:left="799"/>
              <w:jc w:val="both"/>
              <w:rPr>
                <w:rFonts w:ascii="Times New Roman" w:hAnsi="Times New Roman" w:cs="Times New Roman"/>
                <w:sz w:val="24"/>
                <w:szCs w:val="24"/>
              </w:rPr>
            </w:pPr>
            <w:r>
              <w:rPr>
                <w:rFonts w:ascii="Times New Roman" w:hAnsi="Times New Roman" w:cs="Times New Roman"/>
                <w:sz w:val="24"/>
                <w:szCs w:val="24"/>
              </w:rPr>
              <w:t>I</w:t>
            </w:r>
            <w:r w:rsidRPr="006471B7">
              <w:rPr>
                <w:rFonts w:ascii="Times New Roman" w:hAnsi="Times New Roman" w:cs="Times New Roman"/>
                <w:sz w:val="24"/>
                <w:szCs w:val="24"/>
              </w:rPr>
              <w:t xml:space="preserve">zmaksas, kas saistītas ar KASKO apdrošināšanu. Noteikumu Nr.1065 4.pielikumā noteikts, ka KASKO apdrošināšana jānodrošina katram līdz 3-5 gadus vecam automobilim. KASKO apdrošināšana vienai automašīnai izmaksā vidēji 3,89% no automašīnas vērtības, neieskaitot pievienotās vērtības nodokli (0,0389 x 67 000 </w:t>
            </w:r>
            <w:proofErr w:type="spellStart"/>
            <w:r w:rsidRPr="006471B7">
              <w:rPr>
                <w:rFonts w:ascii="Times New Roman" w:hAnsi="Times New Roman" w:cs="Times New Roman"/>
                <w:i/>
                <w:sz w:val="24"/>
                <w:szCs w:val="24"/>
              </w:rPr>
              <w:t>euro</w:t>
            </w:r>
            <w:proofErr w:type="spellEnd"/>
            <w:r w:rsidRPr="006471B7">
              <w:rPr>
                <w:rFonts w:ascii="Times New Roman" w:hAnsi="Times New Roman" w:cs="Times New Roman"/>
                <w:sz w:val="24"/>
                <w:szCs w:val="24"/>
              </w:rPr>
              <w:t xml:space="preserve"> </w:t>
            </w:r>
            <w:r>
              <w:rPr>
                <w:rFonts w:ascii="Times New Roman" w:hAnsi="Times New Roman" w:cs="Times New Roman"/>
                <w:sz w:val="24"/>
                <w:szCs w:val="24"/>
              </w:rPr>
              <w:t xml:space="preserve">x 20 automašīnas) kopā – 52 126 </w:t>
            </w:r>
            <w:proofErr w:type="spellStart"/>
            <w:r w:rsidRPr="006471B7">
              <w:rPr>
                <w:rFonts w:ascii="Times New Roman" w:hAnsi="Times New Roman" w:cs="Times New Roman"/>
                <w:i/>
                <w:sz w:val="24"/>
                <w:szCs w:val="24"/>
              </w:rPr>
              <w:t>euro</w:t>
            </w:r>
            <w:proofErr w:type="spellEnd"/>
            <w:r>
              <w:rPr>
                <w:rFonts w:ascii="Times New Roman" w:hAnsi="Times New Roman" w:cs="Times New Roman"/>
                <w:sz w:val="24"/>
                <w:szCs w:val="24"/>
              </w:rPr>
              <w:t xml:space="preserve">, no tiem 16 automašīnām – 40 305 </w:t>
            </w:r>
            <w:proofErr w:type="spellStart"/>
            <w:r w:rsidRPr="00C5241E">
              <w:rPr>
                <w:rFonts w:ascii="Times New Roman" w:hAnsi="Times New Roman" w:cs="Times New Roman"/>
                <w:i/>
                <w:sz w:val="24"/>
                <w:szCs w:val="24"/>
              </w:rPr>
              <w:t>euro</w:t>
            </w:r>
            <w:proofErr w:type="spellEnd"/>
            <w:r>
              <w:rPr>
                <w:rFonts w:ascii="Times New Roman" w:hAnsi="Times New Roman" w:cs="Times New Roman"/>
                <w:sz w:val="24"/>
                <w:szCs w:val="24"/>
              </w:rPr>
              <w:t>.</w:t>
            </w:r>
          </w:p>
          <w:p w14:paraId="00B13703" w14:textId="77777777" w:rsidR="00F23C20" w:rsidRPr="006471B7" w:rsidRDefault="00F23C20" w:rsidP="00F23C20">
            <w:pPr>
              <w:pStyle w:val="ListParagraph"/>
              <w:numPr>
                <w:ilvl w:val="0"/>
                <w:numId w:val="4"/>
              </w:numPr>
              <w:spacing w:after="0" w:line="240" w:lineRule="auto"/>
              <w:jc w:val="both"/>
              <w:rPr>
                <w:rFonts w:ascii="Times New Roman" w:hAnsi="Times New Roman"/>
                <w:sz w:val="24"/>
                <w:szCs w:val="24"/>
              </w:rPr>
            </w:pPr>
            <w:r w:rsidRPr="006471B7">
              <w:rPr>
                <w:rFonts w:ascii="Times New Roman" w:hAnsi="Times New Roman"/>
                <w:sz w:val="24"/>
                <w:szCs w:val="24"/>
              </w:rPr>
              <w:t xml:space="preserve">Pamatkapitāla veidošana (5000 EKK) – 1 297 120 </w:t>
            </w:r>
            <w:proofErr w:type="spellStart"/>
            <w:r w:rsidRPr="006471B7">
              <w:rPr>
                <w:rFonts w:ascii="Times New Roman" w:hAnsi="Times New Roman"/>
                <w:i/>
                <w:sz w:val="24"/>
                <w:szCs w:val="24"/>
              </w:rPr>
              <w:t>euro</w:t>
            </w:r>
            <w:proofErr w:type="spellEnd"/>
            <w:r>
              <w:rPr>
                <w:rFonts w:ascii="Times New Roman" w:hAnsi="Times New Roman"/>
                <w:sz w:val="24"/>
                <w:szCs w:val="24"/>
              </w:rPr>
              <w:t>;</w:t>
            </w:r>
          </w:p>
          <w:p w14:paraId="29982B75" w14:textId="77777777" w:rsidR="00F23C20" w:rsidRPr="008B054B" w:rsidRDefault="00F23C20" w:rsidP="00F23C20">
            <w:pPr>
              <w:spacing w:after="0" w:line="240" w:lineRule="auto"/>
              <w:ind w:left="799"/>
              <w:jc w:val="both"/>
              <w:rPr>
                <w:rFonts w:ascii="Times New Roman" w:hAnsi="Times New Roman" w:cs="Times New Roman"/>
                <w:sz w:val="24"/>
                <w:szCs w:val="24"/>
              </w:rPr>
            </w:pPr>
            <w:r>
              <w:rPr>
                <w:rFonts w:ascii="Times New Roman" w:hAnsi="Times New Roman"/>
                <w:color w:val="000000"/>
                <w:sz w:val="24"/>
                <w:szCs w:val="24"/>
              </w:rPr>
              <w:t>16</w:t>
            </w:r>
            <w:r w:rsidRPr="00B50435">
              <w:rPr>
                <w:rFonts w:ascii="Times New Roman" w:hAnsi="Times New Roman"/>
                <w:color w:val="000000"/>
                <w:sz w:val="24"/>
                <w:szCs w:val="24"/>
              </w:rPr>
              <w:t xml:space="preserve"> vieglo automobiļu</w:t>
            </w:r>
            <w:r>
              <w:rPr>
                <w:rFonts w:ascii="Times New Roman" w:hAnsi="Times New Roman"/>
                <w:color w:val="000000"/>
                <w:sz w:val="24"/>
                <w:szCs w:val="24"/>
              </w:rPr>
              <w:t xml:space="preserve"> </w:t>
            </w:r>
            <w:r w:rsidRPr="00B50435">
              <w:rPr>
                <w:rFonts w:ascii="Times New Roman" w:hAnsi="Times New Roman"/>
                <w:color w:val="000000"/>
                <w:sz w:val="24"/>
                <w:szCs w:val="24"/>
              </w:rPr>
              <w:t>ar rūpnieciski uzstādītu atbilstošu aprīkojumu (navigācijas iekārtas, radari, video aparatūra, datori ar iespēju piekļūt</w:t>
            </w:r>
            <w:r>
              <w:rPr>
                <w:rFonts w:ascii="Times New Roman" w:hAnsi="Times New Roman"/>
                <w:color w:val="000000"/>
                <w:sz w:val="24"/>
                <w:szCs w:val="24"/>
              </w:rPr>
              <w:t xml:space="preserve"> attiecīgajām datubāzēm u.tml.)</w:t>
            </w:r>
            <w:r w:rsidRPr="00B50435">
              <w:rPr>
                <w:rFonts w:ascii="Times New Roman" w:hAnsi="Times New Roman"/>
                <w:color w:val="000000"/>
                <w:sz w:val="24"/>
                <w:szCs w:val="24"/>
              </w:rPr>
              <w:t xml:space="preserve"> </w:t>
            </w:r>
            <w:r>
              <w:rPr>
                <w:rFonts w:ascii="Times New Roman" w:hAnsi="Times New Roman"/>
                <w:color w:val="000000"/>
                <w:sz w:val="24"/>
                <w:szCs w:val="24"/>
              </w:rPr>
              <w:t xml:space="preserve">iegādei (prognozētā vienas vienības iegādes cena – </w:t>
            </w:r>
            <w:r w:rsidRPr="0055466C">
              <w:rPr>
                <w:rFonts w:ascii="Times New Roman" w:hAnsi="Times New Roman"/>
                <w:color w:val="000000"/>
                <w:sz w:val="24"/>
                <w:szCs w:val="24"/>
              </w:rPr>
              <w:t>81</w:t>
            </w:r>
            <w:r>
              <w:rPr>
                <w:rFonts w:ascii="Times New Roman" w:hAnsi="Times New Roman"/>
                <w:color w:val="000000"/>
                <w:sz w:val="24"/>
                <w:szCs w:val="24"/>
              </w:rPr>
              <w:t> </w:t>
            </w:r>
            <w:r w:rsidRPr="0055466C">
              <w:rPr>
                <w:rFonts w:ascii="Times New Roman" w:hAnsi="Times New Roman"/>
                <w:color w:val="000000"/>
                <w:sz w:val="24"/>
                <w:szCs w:val="24"/>
              </w:rPr>
              <w:t>070</w:t>
            </w:r>
            <w:r>
              <w:rPr>
                <w:rFonts w:ascii="Times New Roman" w:hAnsi="Times New Roman"/>
                <w:color w:val="000000"/>
                <w:sz w:val="24"/>
                <w:szCs w:val="24"/>
              </w:rPr>
              <w:t xml:space="preserve"> </w:t>
            </w:r>
            <w:proofErr w:type="spellStart"/>
            <w:r w:rsidRPr="0055466C">
              <w:rPr>
                <w:rFonts w:ascii="Times New Roman" w:hAnsi="Times New Roman"/>
                <w:i/>
                <w:color w:val="000000"/>
                <w:sz w:val="24"/>
                <w:szCs w:val="24"/>
              </w:rPr>
              <w:t>euro</w:t>
            </w:r>
            <w:proofErr w:type="spellEnd"/>
            <w:r w:rsidRPr="0055466C">
              <w:rPr>
                <w:rFonts w:ascii="Times New Roman" w:hAnsi="Times New Roman"/>
                <w:color w:val="000000"/>
                <w:sz w:val="24"/>
                <w:szCs w:val="24"/>
              </w:rPr>
              <w:t>)</w:t>
            </w:r>
            <w:r>
              <w:rPr>
                <w:rFonts w:ascii="Times New Roman" w:hAnsi="Times New Roman"/>
                <w:color w:val="000000"/>
                <w:sz w:val="24"/>
                <w:szCs w:val="24"/>
              </w:rPr>
              <w:t xml:space="preserve"> – 1 297 120 </w:t>
            </w:r>
            <w:proofErr w:type="spellStart"/>
            <w:r w:rsidRPr="006471B7">
              <w:rPr>
                <w:rFonts w:ascii="Times New Roman" w:hAnsi="Times New Roman"/>
                <w:i/>
                <w:color w:val="000000"/>
                <w:sz w:val="24"/>
                <w:szCs w:val="24"/>
              </w:rPr>
              <w:t>euro</w:t>
            </w:r>
            <w:proofErr w:type="spellEnd"/>
            <w:r>
              <w:rPr>
                <w:rFonts w:ascii="Times New Roman" w:hAnsi="Times New Roman"/>
                <w:color w:val="000000"/>
                <w:sz w:val="24"/>
                <w:szCs w:val="24"/>
              </w:rPr>
              <w:t>.</w:t>
            </w:r>
          </w:p>
          <w:p w14:paraId="4DC7F847" w14:textId="77777777" w:rsidR="00F23C20" w:rsidRDefault="00F23C20" w:rsidP="00F23C20">
            <w:pPr>
              <w:spacing w:after="0" w:line="240" w:lineRule="auto"/>
              <w:jc w:val="both"/>
              <w:rPr>
                <w:rFonts w:ascii="Times New Roman" w:hAnsi="Times New Roman" w:cs="Times New Roman"/>
                <w:sz w:val="24"/>
                <w:szCs w:val="24"/>
              </w:rPr>
            </w:pPr>
          </w:p>
          <w:p w14:paraId="0B8C99CB" w14:textId="77777777" w:rsidR="00F23C20" w:rsidRPr="006471B7" w:rsidRDefault="00F23C20" w:rsidP="00F23C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Pr="00C5241E">
              <w:rPr>
                <w:rFonts w:ascii="Times New Roman" w:hAnsi="Times New Roman" w:cs="Times New Roman"/>
                <w:sz w:val="24"/>
                <w:szCs w:val="24"/>
              </w:rPr>
              <w:t>o valsts budžeta programmas 02.00.00 „Līdzekļi neparedzētiem gadījumiem”</w:t>
            </w:r>
            <w:r>
              <w:rPr>
                <w:rFonts w:ascii="Times New Roman" w:hAnsi="Times New Roman" w:cs="Times New Roman"/>
                <w:sz w:val="24"/>
                <w:szCs w:val="24"/>
              </w:rPr>
              <w:t xml:space="preserve"> paredzēts piešķirt </w:t>
            </w:r>
            <w:r w:rsidRPr="00C5241E">
              <w:rPr>
                <w:rFonts w:ascii="Times New Roman" w:hAnsi="Times New Roman" w:cs="Times New Roman"/>
                <w:sz w:val="24"/>
                <w:szCs w:val="24"/>
              </w:rPr>
              <w:t xml:space="preserve">Iekšlietu ministrijai (Valsts policijai) 1 163 417 </w:t>
            </w:r>
            <w:proofErr w:type="spellStart"/>
            <w:r w:rsidRPr="00C5241E">
              <w:rPr>
                <w:rFonts w:ascii="Times New Roman" w:hAnsi="Times New Roman" w:cs="Times New Roman"/>
                <w:i/>
                <w:sz w:val="24"/>
                <w:szCs w:val="24"/>
              </w:rPr>
              <w:t>euro</w:t>
            </w:r>
            <w:proofErr w:type="spellEnd"/>
            <w:r w:rsidRPr="00C5241E">
              <w:rPr>
                <w:rFonts w:ascii="Times New Roman" w:hAnsi="Times New Roman" w:cs="Times New Roman"/>
                <w:sz w:val="24"/>
                <w:szCs w:val="24"/>
              </w:rPr>
              <w:t xml:space="preserve"> (budžeta apakšprogramma 06.01.00 „Valsts policija”)</w:t>
            </w:r>
            <w:r>
              <w:rPr>
                <w:rFonts w:ascii="Times New Roman" w:hAnsi="Times New Roman" w:cs="Times New Roman"/>
                <w:sz w:val="24"/>
                <w:szCs w:val="24"/>
              </w:rPr>
              <w:t>, tai skaitā:</w:t>
            </w:r>
          </w:p>
          <w:p w14:paraId="2BF4C263" w14:textId="77777777" w:rsidR="00F23C20" w:rsidRPr="006471B7" w:rsidRDefault="00F23C20" w:rsidP="00F23C20">
            <w:pPr>
              <w:pStyle w:val="ListParagraph"/>
              <w:numPr>
                <w:ilvl w:val="0"/>
                <w:numId w:val="4"/>
              </w:numPr>
              <w:spacing w:after="0" w:line="240" w:lineRule="auto"/>
              <w:jc w:val="both"/>
              <w:rPr>
                <w:rFonts w:ascii="Times New Roman" w:hAnsi="Times New Roman"/>
                <w:sz w:val="24"/>
                <w:szCs w:val="24"/>
              </w:rPr>
            </w:pPr>
            <w:r w:rsidRPr="006471B7">
              <w:rPr>
                <w:rFonts w:ascii="Times New Roman" w:hAnsi="Times New Roman"/>
                <w:sz w:val="24"/>
                <w:szCs w:val="24"/>
              </w:rPr>
              <w:t xml:space="preserve">Preces un pakalpojumi (2000 EKK) </w:t>
            </w:r>
            <w:r w:rsidRPr="00D74127">
              <w:rPr>
                <w:rFonts w:ascii="Times New Roman" w:hAnsi="Times New Roman"/>
                <w:sz w:val="24"/>
                <w:szCs w:val="24"/>
              </w:rPr>
              <w:t xml:space="preserve">– 299 137 </w:t>
            </w:r>
            <w:proofErr w:type="spellStart"/>
            <w:r w:rsidRPr="00D74127">
              <w:rPr>
                <w:rFonts w:ascii="Times New Roman" w:hAnsi="Times New Roman"/>
                <w:i/>
                <w:sz w:val="24"/>
                <w:szCs w:val="24"/>
              </w:rPr>
              <w:t>euro</w:t>
            </w:r>
            <w:proofErr w:type="spellEnd"/>
            <w:r w:rsidRPr="00D74127">
              <w:rPr>
                <w:rFonts w:ascii="Times New Roman" w:hAnsi="Times New Roman"/>
                <w:sz w:val="24"/>
                <w:szCs w:val="24"/>
              </w:rPr>
              <w:t>;</w:t>
            </w:r>
          </w:p>
          <w:p w14:paraId="67D207EF" w14:textId="77777777" w:rsidR="00F23C20" w:rsidRDefault="00F23C20" w:rsidP="00F23C20">
            <w:pPr>
              <w:pStyle w:val="ListParagraph"/>
              <w:numPr>
                <w:ilvl w:val="0"/>
                <w:numId w:val="5"/>
              </w:numPr>
              <w:spacing w:after="0" w:line="240" w:lineRule="auto"/>
              <w:ind w:left="1134" w:hanging="425"/>
              <w:jc w:val="both"/>
              <w:rPr>
                <w:rFonts w:ascii="Times New Roman" w:hAnsi="Times New Roman"/>
                <w:sz w:val="24"/>
                <w:szCs w:val="24"/>
              </w:rPr>
            </w:pPr>
            <w:r w:rsidRPr="00C5241E">
              <w:rPr>
                <w:rFonts w:ascii="Times New Roman" w:hAnsi="Times New Roman"/>
                <w:sz w:val="24"/>
                <w:szCs w:val="24"/>
              </w:rPr>
              <w:t xml:space="preserve">Izmaksas, kas saistītas ar KASKO apdrošināšanu. Noteikumu Nr.1065 4.pielikumā noteikts, ka KASKO apdrošināšana jānodrošina katram līdz 3-5 gadus vecam automobilim. KASKO apdrošināšana vienai automašīnai izmaksā vidēji 3,89% no automašīnas vērtības, neieskaitot pievienotās vērtības nodokli (0,0389 x 67 000 </w:t>
            </w:r>
            <w:proofErr w:type="spellStart"/>
            <w:r w:rsidRPr="00C5241E">
              <w:rPr>
                <w:rFonts w:ascii="Times New Roman" w:hAnsi="Times New Roman"/>
                <w:i/>
                <w:sz w:val="24"/>
                <w:szCs w:val="24"/>
              </w:rPr>
              <w:t>euro</w:t>
            </w:r>
            <w:proofErr w:type="spellEnd"/>
            <w:r w:rsidRPr="00C5241E">
              <w:rPr>
                <w:rFonts w:ascii="Times New Roman" w:hAnsi="Times New Roman"/>
                <w:sz w:val="24"/>
                <w:szCs w:val="24"/>
              </w:rPr>
              <w:t xml:space="preserve"> x 20 automašīnas) kopā – 52 126 </w:t>
            </w:r>
            <w:proofErr w:type="spellStart"/>
            <w:r w:rsidRPr="00C5241E">
              <w:rPr>
                <w:rFonts w:ascii="Times New Roman" w:hAnsi="Times New Roman"/>
                <w:i/>
                <w:sz w:val="24"/>
                <w:szCs w:val="24"/>
              </w:rPr>
              <w:t>euro</w:t>
            </w:r>
            <w:proofErr w:type="spellEnd"/>
            <w:r w:rsidRPr="00C5241E">
              <w:rPr>
                <w:rFonts w:ascii="Times New Roman" w:hAnsi="Times New Roman"/>
                <w:sz w:val="24"/>
                <w:szCs w:val="24"/>
              </w:rPr>
              <w:t xml:space="preserve">, no tiem 4 automašīnām – 11 821 </w:t>
            </w:r>
            <w:proofErr w:type="spellStart"/>
            <w:r w:rsidRPr="00C5241E">
              <w:rPr>
                <w:rFonts w:ascii="Times New Roman" w:hAnsi="Times New Roman"/>
                <w:i/>
                <w:sz w:val="24"/>
                <w:szCs w:val="24"/>
              </w:rPr>
              <w:t>euro</w:t>
            </w:r>
            <w:proofErr w:type="spellEnd"/>
            <w:r>
              <w:rPr>
                <w:rFonts w:ascii="Times New Roman" w:hAnsi="Times New Roman"/>
                <w:sz w:val="24"/>
                <w:szCs w:val="24"/>
              </w:rPr>
              <w:t>;</w:t>
            </w:r>
          </w:p>
          <w:p w14:paraId="7F874FF6" w14:textId="77777777" w:rsidR="00F23C20" w:rsidRPr="00C5241E" w:rsidRDefault="00F23C20" w:rsidP="00F23C20">
            <w:pPr>
              <w:pStyle w:val="ListParagraph"/>
              <w:numPr>
                <w:ilvl w:val="0"/>
                <w:numId w:val="5"/>
              </w:numPr>
              <w:spacing w:after="0" w:line="240" w:lineRule="auto"/>
              <w:ind w:left="1134" w:hanging="425"/>
              <w:jc w:val="both"/>
              <w:rPr>
                <w:rFonts w:ascii="Times New Roman" w:hAnsi="Times New Roman"/>
                <w:sz w:val="24"/>
                <w:szCs w:val="24"/>
              </w:rPr>
            </w:pPr>
            <w:r w:rsidRPr="00B50435">
              <w:rPr>
                <w:rFonts w:ascii="Times New Roman" w:hAnsi="Times New Roman"/>
                <w:color w:val="000000"/>
                <w:spacing w:val="-1"/>
                <w:sz w:val="24"/>
                <w:szCs w:val="24"/>
              </w:rPr>
              <w:t>izmaksas, kas saistītas ar KASKO</w:t>
            </w:r>
            <w:r>
              <w:rPr>
                <w:rFonts w:ascii="Times New Roman" w:hAnsi="Times New Roman"/>
                <w:color w:val="000000"/>
                <w:spacing w:val="-1"/>
                <w:sz w:val="24"/>
                <w:szCs w:val="24"/>
              </w:rPr>
              <w:t xml:space="preserve"> apdrošināšanu</w:t>
            </w:r>
            <w:r w:rsidRPr="00B50435">
              <w:rPr>
                <w:rFonts w:ascii="Times New Roman" w:hAnsi="Times New Roman"/>
                <w:color w:val="000000"/>
                <w:spacing w:val="-1"/>
                <w:sz w:val="24"/>
                <w:szCs w:val="24"/>
              </w:rPr>
              <w:t>.</w:t>
            </w:r>
            <w:r>
              <w:rPr>
                <w:rFonts w:ascii="Times New Roman" w:hAnsi="Times New Roman"/>
                <w:color w:val="000000"/>
                <w:spacing w:val="-1"/>
                <w:sz w:val="24"/>
                <w:szCs w:val="24"/>
              </w:rPr>
              <w:t xml:space="preserve"> Noteikumu Nr.1065 4.pielikumā noteikts, ka KASKO apdrošināšana jānodrošina katram līdz </w:t>
            </w:r>
            <w:r w:rsidRPr="002E59B2">
              <w:rPr>
                <w:rFonts w:ascii="Times New Roman" w:hAnsi="Times New Roman"/>
                <w:color w:val="000000"/>
                <w:spacing w:val="-1"/>
                <w:sz w:val="24"/>
                <w:szCs w:val="24"/>
              </w:rPr>
              <w:t xml:space="preserve">5 gadus vecam </w:t>
            </w:r>
            <w:r w:rsidRPr="00F46D2F">
              <w:rPr>
                <w:rFonts w:ascii="Times New Roman" w:hAnsi="Times New Roman"/>
                <w:color w:val="000000"/>
                <w:spacing w:val="-1"/>
                <w:sz w:val="24"/>
                <w:szCs w:val="24"/>
              </w:rPr>
              <w:t>motociklam</w:t>
            </w:r>
            <w:r>
              <w:rPr>
                <w:rFonts w:ascii="Times New Roman" w:hAnsi="Times New Roman"/>
                <w:color w:val="000000"/>
                <w:spacing w:val="-1"/>
                <w:sz w:val="24"/>
                <w:szCs w:val="24"/>
              </w:rPr>
              <w:t xml:space="preserve"> eskorta nodrošināšanai.</w:t>
            </w:r>
            <w:r w:rsidRPr="00B50435">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KASKO apdrošināšana vienam motociklam izmaksā vidēji </w:t>
            </w:r>
            <w:r w:rsidRPr="00FC79BE">
              <w:rPr>
                <w:rFonts w:ascii="Times New Roman" w:hAnsi="Times New Roman"/>
                <w:color w:val="000000"/>
                <w:sz w:val="24"/>
                <w:szCs w:val="24"/>
              </w:rPr>
              <w:t>7%</w:t>
            </w:r>
            <w:r>
              <w:rPr>
                <w:rFonts w:ascii="Times New Roman" w:hAnsi="Times New Roman"/>
                <w:color w:val="000000"/>
                <w:sz w:val="24"/>
                <w:szCs w:val="24"/>
              </w:rPr>
              <w:t xml:space="preserve"> no motocikla vērtības, neieskaitot pievienotās vērtības nodokli (0,07 x 22 314</w:t>
            </w:r>
            <w:r w:rsidRPr="00234590">
              <w:rPr>
                <w:rFonts w:ascii="Times New Roman" w:hAnsi="Times New Roman"/>
                <w:i/>
                <w:color w:val="000000"/>
                <w:sz w:val="24"/>
                <w:szCs w:val="24"/>
              </w:rPr>
              <w:t xml:space="preserve"> </w:t>
            </w:r>
            <w:proofErr w:type="spellStart"/>
            <w:r w:rsidRPr="001519E7">
              <w:rPr>
                <w:rFonts w:ascii="Times New Roman" w:hAnsi="Times New Roman"/>
                <w:i/>
                <w:color w:val="000000"/>
                <w:sz w:val="24"/>
                <w:szCs w:val="24"/>
              </w:rPr>
              <w:t>euro</w:t>
            </w:r>
            <w:proofErr w:type="spellEnd"/>
            <w:r>
              <w:rPr>
                <w:rFonts w:ascii="Times New Roman" w:hAnsi="Times New Roman"/>
                <w:i/>
                <w:color w:val="000000"/>
                <w:sz w:val="24"/>
                <w:szCs w:val="24"/>
              </w:rPr>
              <w:t xml:space="preserve"> x </w:t>
            </w:r>
            <w:r w:rsidRPr="00104F72">
              <w:rPr>
                <w:rFonts w:ascii="Times New Roman" w:hAnsi="Times New Roman"/>
                <w:color w:val="000000"/>
                <w:sz w:val="24"/>
                <w:szCs w:val="24"/>
              </w:rPr>
              <w:t>20</w:t>
            </w:r>
            <w:r>
              <w:rPr>
                <w:rFonts w:ascii="Times New Roman" w:hAnsi="Times New Roman"/>
                <w:color w:val="000000"/>
                <w:sz w:val="24"/>
                <w:szCs w:val="24"/>
              </w:rPr>
              <w:t xml:space="preserve"> </w:t>
            </w:r>
            <w:r w:rsidRPr="00104F72">
              <w:rPr>
                <w:rFonts w:ascii="Times New Roman" w:hAnsi="Times New Roman"/>
                <w:color w:val="000000"/>
                <w:sz w:val="24"/>
                <w:szCs w:val="24"/>
              </w:rPr>
              <w:t>motocikli</w:t>
            </w:r>
            <w:r>
              <w:rPr>
                <w:rFonts w:ascii="Times New Roman" w:hAnsi="Times New Roman"/>
                <w:color w:val="000000"/>
                <w:sz w:val="24"/>
                <w:szCs w:val="24"/>
              </w:rPr>
              <w:t xml:space="preserve">) –31 240 </w:t>
            </w:r>
            <w:proofErr w:type="spellStart"/>
            <w:r w:rsidRPr="001519E7">
              <w:rPr>
                <w:rFonts w:ascii="Times New Roman" w:hAnsi="Times New Roman"/>
                <w:i/>
                <w:color w:val="000000"/>
                <w:sz w:val="24"/>
                <w:szCs w:val="24"/>
              </w:rPr>
              <w:t>euro</w:t>
            </w:r>
            <w:proofErr w:type="spellEnd"/>
            <w:r>
              <w:rPr>
                <w:rFonts w:ascii="Times New Roman" w:hAnsi="Times New Roman"/>
                <w:color w:val="000000"/>
                <w:sz w:val="24"/>
                <w:szCs w:val="24"/>
              </w:rPr>
              <w:t>;</w:t>
            </w:r>
          </w:p>
          <w:p w14:paraId="05137F0A" w14:textId="77777777" w:rsidR="00F23C20" w:rsidRPr="00C5241E" w:rsidRDefault="00F23C20" w:rsidP="00F23C20">
            <w:pPr>
              <w:pStyle w:val="ListParagraph"/>
              <w:numPr>
                <w:ilvl w:val="0"/>
                <w:numId w:val="5"/>
              </w:numPr>
              <w:spacing w:after="0" w:line="240" w:lineRule="auto"/>
              <w:ind w:left="1134" w:hanging="425"/>
              <w:jc w:val="both"/>
              <w:rPr>
                <w:rFonts w:ascii="Times New Roman" w:hAnsi="Times New Roman"/>
                <w:sz w:val="24"/>
                <w:szCs w:val="24"/>
              </w:rPr>
            </w:pPr>
            <w:r w:rsidRPr="00104F72">
              <w:rPr>
                <w:rFonts w:ascii="Times New Roman" w:hAnsi="Times New Roman"/>
                <w:color w:val="000000"/>
                <w:sz w:val="24"/>
                <w:szCs w:val="24"/>
              </w:rPr>
              <w:t xml:space="preserve">izmaksas, kas saistītas ar sauszemes transportlīdzekļu </w:t>
            </w:r>
            <w:r>
              <w:rPr>
                <w:rFonts w:ascii="Times New Roman" w:hAnsi="Times New Roman"/>
                <w:color w:val="000000"/>
                <w:sz w:val="24"/>
                <w:szCs w:val="24"/>
              </w:rPr>
              <w:t xml:space="preserve">(automašīnu) </w:t>
            </w:r>
            <w:r w:rsidRPr="00104F72">
              <w:rPr>
                <w:rFonts w:ascii="Times New Roman" w:hAnsi="Times New Roman"/>
                <w:color w:val="000000"/>
                <w:sz w:val="24"/>
                <w:szCs w:val="24"/>
              </w:rPr>
              <w:t>īpašnieku civiltiesiskās atbildības obligāto apdrošināšanu</w:t>
            </w:r>
            <w:r>
              <w:rPr>
                <w:rFonts w:ascii="Times New Roman" w:hAnsi="Times New Roman"/>
                <w:color w:val="000000"/>
                <w:sz w:val="24"/>
                <w:szCs w:val="24"/>
              </w:rPr>
              <w:t xml:space="preserve"> (40 </w:t>
            </w:r>
            <w:proofErr w:type="spellStart"/>
            <w:r w:rsidRPr="00104F72">
              <w:rPr>
                <w:rFonts w:ascii="Times New Roman" w:hAnsi="Times New Roman"/>
                <w:i/>
                <w:color w:val="000000"/>
                <w:sz w:val="24"/>
                <w:szCs w:val="24"/>
              </w:rPr>
              <w:t>euro</w:t>
            </w:r>
            <w:proofErr w:type="spellEnd"/>
            <w:r>
              <w:rPr>
                <w:rFonts w:ascii="Times New Roman" w:hAnsi="Times New Roman"/>
                <w:i/>
                <w:color w:val="000000"/>
                <w:sz w:val="24"/>
                <w:szCs w:val="24"/>
              </w:rPr>
              <w:t xml:space="preserve"> x </w:t>
            </w:r>
            <w:r w:rsidRPr="00104F72">
              <w:rPr>
                <w:rFonts w:ascii="Times New Roman" w:hAnsi="Times New Roman"/>
                <w:color w:val="000000"/>
                <w:sz w:val="24"/>
                <w:szCs w:val="24"/>
              </w:rPr>
              <w:t>20</w:t>
            </w:r>
            <w:r>
              <w:rPr>
                <w:rFonts w:ascii="Times New Roman" w:hAnsi="Times New Roman"/>
                <w:color w:val="000000"/>
                <w:sz w:val="24"/>
                <w:szCs w:val="24"/>
              </w:rPr>
              <w:t xml:space="preserve"> </w:t>
            </w:r>
            <w:r w:rsidRPr="00104F72">
              <w:rPr>
                <w:rFonts w:ascii="Times New Roman" w:hAnsi="Times New Roman"/>
                <w:color w:val="000000"/>
                <w:sz w:val="24"/>
                <w:szCs w:val="24"/>
              </w:rPr>
              <w:t>automašīnas</w:t>
            </w:r>
            <w:r>
              <w:rPr>
                <w:rFonts w:ascii="Times New Roman" w:hAnsi="Times New Roman"/>
                <w:i/>
                <w:color w:val="000000"/>
                <w:sz w:val="24"/>
                <w:szCs w:val="24"/>
              </w:rPr>
              <w:t xml:space="preserve">) – </w:t>
            </w:r>
            <w:r w:rsidRPr="00104F72">
              <w:rPr>
                <w:rFonts w:ascii="Times New Roman" w:hAnsi="Times New Roman"/>
                <w:color w:val="000000"/>
                <w:sz w:val="24"/>
                <w:szCs w:val="24"/>
              </w:rPr>
              <w:t>800</w:t>
            </w:r>
            <w:r>
              <w:rPr>
                <w:rFonts w:ascii="Times New Roman" w:hAnsi="Times New Roman"/>
                <w:i/>
                <w:color w:val="000000"/>
                <w:sz w:val="24"/>
                <w:szCs w:val="24"/>
              </w:rPr>
              <w:t xml:space="preserve"> </w:t>
            </w:r>
            <w:proofErr w:type="spellStart"/>
            <w:r>
              <w:rPr>
                <w:rFonts w:ascii="Times New Roman" w:hAnsi="Times New Roman"/>
                <w:i/>
                <w:color w:val="000000"/>
                <w:sz w:val="24"/>
                <w:szCs w:val="24"/>
              </w:rPr>
              <w:t>euro</w:t>
            </w:r>
            <w:proofErr w:type="spellEnd"/>
            <w:r>
              <w:rPr>
                <w:rFonts w:ascii="Times New Roman" w:hAnsi="Times New Roman"/>
                <w:color w:val="000000"/>
                <w:sz w:val="24"/>
                <w:szCs w:val="24"/>
              </w:rPr>
              <w:t>;</w:t>
            </w:r>
          </w:p>
          <w:p w14:paraId="57FD610C" w14:textId="77777777" w:rsidR="00F23C20" w:rsidRPr="00C5241E" w:rsidRDefault="00F23C20" w:rsidP="00F23C20">
            <w:pPr>
              <w:pStyle w:val="ListParagraph"/>
              <w:numPr>
                <w:ilvl w:val="0"/>
                <w:numId w:val="5"/>
              </w:numPr>
              <w:spacing w:after="0" w:line="240" w:lineRule="auto"/>
              <w:ind w:left="1134" w:hanging="425"/>
              <w:jc w:val="both"/>
              <w:rPr>
                <w:rFonts w:ascii="Times New Roman" w:hAnsi="Times New Roman"/>
                <w:sz w:val="24"/>
                <w:szCs w:val="24"/>
              </w:rPr>
            </w:pPr>
            <w:r w:rsidRPr="005546ED">
              <w:rPr>
                <w:rFonts w:ascii="Times New Roman" w:hAnsi="Times New Roman"/>
                <w:color w:val="000000"/>
                <w:sz w:val="24"/>
                <w:szCs w:val="24"/>
              </w:rPr>
              <w:t xml:space="preserve">izmaksas, kas saistītas ar sauszemes transportlīdzekļu </w:t>
            </w:r>
            <w:r>
              <w:rPr>
                <w:rFonts w:ascii="Times New Roman" w:hAnsi="Times New Roman"/>
                <w:color w:val="000000"/>
                <w:sz w:val="24"/>
                <w:szCs w:val="24"/>
              </w:rPr>
              <w:t xml:space="preserve">(motociklu) </w:t>
            </w:r>
            <w:r w:rsidRPr="005546ED">
              <w:rPr>
                <w:rFonts w:ascii="Times New Roman" w:hAnsi="Times New Roman"/>
                <w:color w:val="000000"/>
                <w:sz w:val="24"/>
                <w:szCs w:val="24"/>
              </w:rPr>
              <w:t>īpašnieku civiltiesiskās atbildības obligāto apdrošināšanu</w:t>
            </w:r>
            <w:r>
              <w:rPr>
                <w:rFonts w:ascii="Times New Roman" w:hAnsi="Times New Roman"/>
                <w:color w:val="000000"/>
                <w:sz w:val="24"/>
                <w:szCs w:val="24"/>
              </w:rPr>
              <w:t xml:space="preserve"> (9</w:t>
            </w:r>
            <w:r w:rsidRPr="005546ED">
              <w:rPr>
                <w:rFonts w:ascii="Times New Roman" w:hAnsi="Times New Roman"/>
                <w:i/>
                <w:color w:val="000000"/>
                <w:sz w:val="24"/>
                <w:szCs w:val="24"/>
              </w:rPr>
              <w:t>euro</w:t>
            </w:r>
            <w:r>
              <w:rPr>
                <w:rFonts w:ascii="Times New Roman" w:hAnsi="Times New Roman"/>
                <w:i/>
                <w:color w:val="000000"/>
                <w:sz w:val="24"/>
                <w:szCs w:val="24"/>
              </w:rPr>
              <w:t xml:space="preserve"> x </w:t>
            </w:r>
            <w:r w:rsidRPr="005546ED">
              <w:rPr>
                <w:rFonts w:ascii="Times New Roman" w:hAnsi="Times New Roman"/>
                <w:color w:val="000000"/>
                <w:sz w:val="24"/>
                <w:szCs w:val="24"/>
              </w:rPr>
              <w:t>20</w:t>
            </w:r>
            <w:r>
              <w:rPr>
                <w:rFonts w:ascii="Times New Roman" w:hAnsi="Times New Roman"/>
                <w:color w:val="000000"/>
                <w:sz w:val="24"/>
                <w:szCs w:val="24"/>
              </w:rPr>
              <w:t xml:space="preserve"> motocikli</w:t>
            </w:r>
            <w:r>
              <w:rPr>
                <w:rFonts w:ascii="Times New Roman" w:hAnsi="Times New Roman"/>
                <w:i/>
                <w:color w:val="000000"/>
                <w:sz w:val="24"/>
                <w:szCs w:val="24"/>
              </w:rPr>
              <w:t xml:space="preserve">) – 180 </w:t>
            </w:r>
            <w:proofErr w:type="spellStart"/>
            <w:r>
              <w:rPr>
                <w:rFonts w:ascii="Times New Roman" w:hAnsi="Times New Roman"/>
                <w:i/>
                <w:color w:val="000000"/>
                <w:sz w:val="24"/>
                <w:szCs w:val="24"/>
              </w:rPr>
              <w:t>euro</w:t>
            </w:r>
            <w:proofErr w:type="spellEnd"/>
            <w:r>
              <w:rPr>
                <w:rFonts w:ascii="Times New Roman" w:hAnsi="Times New Roman"/>
                <w:color w:val="000000"/>
                <w:sz w:val="24"/>
                <w:szCs w:val="24"/>
              </w:rPr>
              <w:t>;</w:t>
            </w:r>
          </w:p>
          <w:p w14:paraId="2E80EEF7" w14:textId="77777777" w:rsidR="00F23C20" w:rsidRPr="00D74127" w:rsidRDefault="00F23C20" w:rsidP="00F23C20">
            <w:pPr>
              <w:pStyle w:val="ListParagraph"/>
              <w:numPr>
                <w:ilvl w:val="0"/>
                <w:numId w:val="5"/>
              </w:numPr>
              <w:spacing w:after="0" w:line="240" w:lineRule="auto"/>
              <w:ind w:left="1134" w:hanging="425"/>
              <w:jc w:val="both"/>
              <w:rPr>
                <w:rFonts w:ascii="Times New Roman" w:hAnsi="Times New Roman"/>
                <w:sz w:val="24"/>
                <w:szCs w:val="24"/>
              </w:rPr>
            </w:pPr>
            <w:r>
              <w:rPr>
                <w:rFonts w:ascii="Times New Roman" w:hAnsi="Times New Roman"/>
                <w:sz w:val="24"/>
                <w:szCs w:val="24"/>
              </w:rPr>
              <w:t>motociklista ekipējuma iegāde (108 komplekti – mo</w:t>
            </w:r>
            <w:r w:rsidRPr="00C62BD7">
              <w:rPr>
                <w:rFonts w:ascii="Times New Roman" w:hAnsi="Times New Roman"/>
                <w:sz w:val="24"/>
                <w:szCs w:val="24"/>
                <w:lang w:eastAsia="lv-LV"/>
              </w:rPr>
              <w:t>tociklista zābaki</w:t>
            </w:r>
            <w:r>
              <w:rPr>
                <w:rFonts w:ascii="Times New Roman" w:hAnsi="Times New Roman"/>
                <w:sz w:val="24"/>
                <w:szCs w:val="24"/>
                <w:lang w:eastAsia="lv-LV"/>
              </w:rPr>
              <w:t>, m</w:t>
            </w:r>
            <w:r w:rsidRPr="00C62BD7">
              <w:rPr>
                <w:rFonts w:ascii="Times New Roman" w:hAnsi="Times New Roman"/>
                <w:sz w:val="24"/>
                <w:szCs w:val="24"/>
                <w:lang w:eastAsia="lv-LV"/>
              </w:rPr>
              <w:t>otociklista cimdi</w:t>
            </w:r>
            <w:r>
              <w:rPr>
                <w:rFonts w:ascii="Times New Roman" w:hAnsi="Times New Roman"/>
                <w:sz w:val="24"/>
                <w:szCs w:val="24"/>
                <w:lang w:eastAsia="lv-LV"/>
              </w:rPr>
              <w:t>, b</w:t>
            </w:r>
            <w:r w:rsidRPr="00C62BD7">
              <w:rPr>
                <w:rFonts w:ascii="Times New Roman" w:hAnsi="Times New Roman"/>
                <w:sz w:val="24"/>
                <w:szCs w:val="24"/>
                <w:lang w:eastAsia="lv-LV"/>
              </w:rPr>
              <w:t>altā ieroču josta ar uzkabi</w:t>
            </w:r>
            <w:r>
              <w:rPr>
                <w:rFonts w:ascii="Times New Roman" w:hAnsi="Times New Roman"/>
                <w:sz w:val="24"/>
                <w:szCs w:val="24"/>
                <w:lang w:eastAsia="lv-LV"/>
              </w:rPr>
              <w:t>, p</w:t>
            </w:r>
            <w:r w:rsidRPr="00C62BD7">
              <w:rPr>
                <w:rFonts w:ascii="Times New Roman" w:hAnsi="Times New Roman"/>
                <w:sz w:val="24"/>
                <w:szCs w:val="24"/>
                <w:lang w:eastAsia="lv-LV"/>
              </w:rPr>
              <w:t xml:space="preserve">lānā </w:t>
            </w:r>
            <w:proofErr w:type="spellStart"/>
            <w:r w:rsidRPr="00C62BD7">
              <w:rPr>
                <w:rFonts w:ascii="Times New Roman" w:hAnsi="Times New Roman"/>
                <w:sz w:val="24"/>
                <w:szCs w:val="24"/>
                <w:lang w:eastAsia="lv-LV"/>
              </w:rPr>
              <w:t>termoveļa</w:t>
            </w:r>
            <w:proofErr w:type="spellEnd"/>
            <w:r>
              <w:rPr>
                <w:rFonts w:ascii="Times New Roman" w:hAnsi="Times New Roman"/>
                <w:sz w:val="24"/>
                <w:szCs w:val="24"/>
                <w:lang w:eastAsia="lv-LV"/>
              </w:rPr>
              <w:t>, b</w:t>
            </w:r>
            <w:r w:rsidRPr="00C62BD7">
              <w:rPr>
                <w:rFonts w:ascii="Times New Roman" w:hAnsi="Times New Roman"/>
                <w:sz w:val="24"/>
                <w:szCs w:val="24"/>
                <w:lang w:eastAsia="lv-LV"/>
              </w:rPr>
              <w:t xml:space="preserve">iezā </w:t>
            </w:r>
            <w:proofErr w:type="spellStart"/>
            <w:r w:rsidRPr="00C62BD7">
              <w:rPr>
                <w:rFonts w:ascii="Times New Roman" w:hAnsi="Times New Roman"/>
                <w:sz w:val="24"/>
                <w:szCs w:val="24"/>
                <w:lang w:eastAsia="lv-LV"/>
              </w:rPr>
              <w:t>termoveļa</w:t>
            </w:r>
            <w:proofErr w:type="spellEnd"/>
            <w:r>
              <w:rPr>
                <w:rFonts w:ascii="Times New Roman" w:hAnsi="Times New Roman"/>
                <w:sz w:val="24"/>
                <w:szCs w:val="24"/>
                <w:lang w:eastAsia="lv-LV"/>
              </w:rPr>
              <w:t>,</w:t>
            </w:r>
            <w:r>
              <w:rPr>
                <w:rFonts w:ascii="Times New Roman" w:hAnsi="Times New Roman"/>
                <w:sz w:val="24"/>
                <w:szCs w:val="24"/>
              </w:rPr>
              <w:t xml:space="preserve"> v</w:t>
            </w:r>
            <w:r w:rsidRPr="00C62BD7">
              <w:rPr>
                <w:rFonts w:ascii="Times New Roman" w:hAnsi="Times New Roman"/>
                <w:sz w:val="24"/>
                <w:szCs w:val="24"/>
                <w:lang w:eastAsia="lv-LV"/>
              </w:rPr>
              <w:t xml:space="preserve">irsvalks vai motociklistu virsjaka un </w:t>
            </w:r>
            <w:proofErr w:type="spellStart"/>
            <w:r w:rsidRPr="00C62BD7">
              <w:rPr>
                <w:rFonts w:ascii="Times New Roman" w:hAnsi="Times New Roman"/>
                <w:sz w:val="24"/>
                <w:szCs w:val="24"/>
                <w:lang w:eastAsia="lv-LV"/>
              </w:rPr>
              <w:t>puskombinezons</w:t>
            </w:r>
            <w:proofErr w:type="spellEnd"/>
            <w:r w:rsidRPr="00C62BD7">
              <w:rPr>
                <w:rFonts w:ascii="Times New Roman" w:hAnsi="Times New Roman"/>
                <w:sz w:val="24"/>
                <w:szCs w:val="24"/>
                <w:lang w:eastAsia="lv-LV"/>
              </w:rPr>
              <w:t xml:space="preserve"> (ar </w:t>
            </w:r>
            <w:proofErr w:type="spellStart"/>
            <w:r w:rsidRPr="00C62BD7">
              <w:rPr>
                <w:rFonts w:ascii="Times New Roman" w:hAnsi="Times New Roman"/>
                <w:sz w:val="24"/>
                <w:szCs w:val="24"/>
                <w:lang w:eastAsia="lv-LV"/>
              </w:rPr>
              <w:t>aizsargbruņām</w:t>
            </w:r>
            <w:proofErr w:type="spellEnd"/>
            <w:r w:rsidRPr="00C62BD7">
              <w:rPr>
                <w:rFonts w:ascii="Times New Roman" w:hAnsi="Times New Roman"/>
                <w:sz w:val="24"/>
                <w:szCs w:val="24"/>
                <w:lang w:eastAsia="lv-LV"/>
              </w:rPr>
              <w:t xml:space="preserve"> uz pleciem, muguras, elkoņiem un ceļiem)</w:t>
            </w:r>
            <w:r>
              <w:rPr>
                <w:rFonts w:ascii="Times New Roman" w:hAnsi="Times New Roman"/>
                <w:sz w:val="24"/>
                <w:szCs w:val="24"/>
                <w:lang w:eastAsia="lv-LV"/>
              </w:rPr>
              <w:t>, m</w:t>
            </w:r>
            <w:r w:rsidRPr="00C62BD7">
              <w:rPr>
                <w:rFonts w:ascii="Times New Roman" w:hAnsi="Times New Roman"/>
                <w:sz w:val="24"/>
                <w:szCs w:val="24"/>
                <w:lang w:eastAsia="lv-LV"/>
              </w:rPr>
              <w:t>otociklista ķivere</w:t>
            </w:r>
            <w:r w:rsidRPr="00D74127">
              <w:rPr>
                <w:rFonts w:ascii="Times New Roman" w:hAnsi="Times New Roman"/>
                <w:sz w:val="24"/>
                <w:szCs w:val="24"/>
                <w:lang w:eastAsia="lv-LV"/>
              </w:rPr>
              <w:t xml:space="preserve">) – 255 096 </w:t>
            </w:r>
            <w:proofErr w:type="spellStart"/>
            <w:r w:rsidRPr="00D74127">
              <w:rPr>
                <w:rFonts w:ascii="Times New Roman" w:hAnsi="Times New Roman"/>
                <w:i/>
                <w:sz w:val="24"/>
                <w:szCs w:val="24"/>
                <w:lang w:eastAsia="lv-LV"/>
              </w:rPr>
              <w:t>euro</w:t>
            </w:r>
            <w:proofErr w:type="spellEnd"/>
            <w:r w:rsidRPr="00D74127">
              <w:rPr>
                <w:rFonts w:ascii="Times New Roman" w:hAnsi="Times New Roman"/>
                <w:sz w:val="24"/>
                <w:szCs w:val="24"/>
                <w:lang w:eastAsia="lv-LV"/>
              </w:rPr>
              <w:t>;</w:t>
            </w:r>
          </w:p>
          <w:p w14:paraId="235C38E6" w14:textId="77777777" w:rsidR="00F23C20" w:rsidRPr="00D74127" w:rsidRDefault="00F23C20" w:rsidP="00F23C20">
            <w:pPr>
              <w:pStyle w:val="ListParagraph"/>
              <w:numPr>
                <w:ilvl w:val="0"/>
                <w:numId w:val="4"/>
              </w:numPr>
              <w:spacing w:after="0" w:line="240" w:lineRule="auto"/>
              <w:jc w:val="both"/>
              <w:rPr>
                <w:rFonts w:ascii="Times New Roman" w:hAnsi="Times New Roman"/>
                <w:sz w:val="24"/>
                <w:szCs w:val="24"/>
              </w:rPr>
            </w:pPr>
            <w:r w:rsidRPr="00D74127">
              <w:rPr>
                <w:rFonts w:ascii="Times New Roman" w:hAnsi="Times New Roman"/>
                <w:sz w:val="24"/>
                <w:szCs w:val="24"/>
              </w:rPr>
              <w:t xml:space="preserve">Pamatkapitāla veidošana (5000 EKK) – 864 280 </w:t>
            </w:r>
            <w:proofErr w:type="spellStart"/>
            <w:r w:rsidRPr="00D74127">
              <w:rPr>
                <w:rFonts w:ascii="Times New Roman" w:hAnsi="Times New Roman"/>
                <w:i/>
                <w:sz w:val="24"/>
                <w:szCs w:val="24"/>
              </w:rPr>
              <w:t>euro</w:t>
            </w:r>
            <w:proofErr w:type="spellEnd"/>
            <w:r w:rsidRPr="00D74127">
              <w:rPr>
                <w:rFonts w:ascii="Times New Roman" w:hAnsi="Times New Roman"/>
                <w:sz w:val="24"/>
                <w:szCs w:val="24"/>
              </w:rPr>
              <w:t>;</w:t>
            </w:r>
          </w:p>
          <w:p w14:paraId="23FF87C1" w14:textId="77777777" w:rsidR="00F23C20" w:rsidRDefault="00F23C20" w:rsidP="00F23C20">
            <w:pPr>
              <w:pStyle w:val="ListParagraph"/>
              <w:numPr>
                <w:ilvl w:val="0"/>
                <w:numId w:val="5"/>
              </w:numPr>
              <w:spacing w:after="0" w:line="240" w:lineRule="auto"/>
              <w:ind w:left="1134" w:hanging="425"/>
              <w:jc w:val="both"/>
              <w:rPr>
                <w:rFonts w:ascii="Times New Roman" w:hAnsi="Times New Roman"/>
                <w:color w:val="000000"/>
                <w:sz w:val="24"/>
                <w:szCs w:val="24"/>
              </w:rPr>
            </w:pPr>
            <w:r w:rsidRPr="00D74127">
              <w:rPr>
                <w:rFonts w:ascii="Times New Roman" w:hAnsi="Times New Roman"/>
                <w:color w:val="000000"/>
                <w:sz w:val="24"/>
                <w:szCs w:val="24"/>
              </w:rPr>
              <w:t xml:space="preserve">4 vieglo automobiļu ar rūpnieciski uzstādītu atbilstošu aprīkojumu (navigācijas iekārtas, radari, video aparatūra, datori ar iespēju piekļūt attiecīgajām datubāzēm u.tml.) iegādei (prognozētā vienas vienības iegādes cena – 81 070 </w:t>
            </w:r>
            <w:proofErr w:type="spellStart"/>
            <w:r w:rsidRPr="00D74127">
              <w:rPr>
                <w:rFonts w:ascii="Times New Roman" w:hAnsi="Times New Roman"/>
                <w:i/>
                <w:color w:val="000000"/>
                <w:sz w:val="24"/>
                <w:szCs w:val="24"/>
              </w:rPr>
              <w:t>euro</w:t>
            </w:r>
            <w:proofErr w:type="spellEnd"/>
            <w:r w:rsidRPr="00D74127">
              <w:rPr>
                <w:rFonts w:ascii="Times New Roman" w:hAnsi="Times New Roman"/>
                <w:color w:val="000000"/>
                <w:sz w:val="24"/>
                <w:szCs w:val="24"/>
              </w:rPr>
              <w:t xml:space="preserve">) – 324 280 </w:t>
            </w:r>
            <w:proofErr w:type="spellStart"/>
            <w:r w:rsidRPr="00D74127">
              <w:rPr>
                <w:rFonts w:ascii="Times New Roman" w:hAnsi="Times New Roman"/>
                <w:i/>
                <w:color w:val="000000"/>
                <w:sz w:val="24"/>
                <w:szCs w:val="24"/>
              </w:rPr>
              <w:t>euro</w:t>
            </w:r>
            <w:proofErr w:type="spellEnd"/>
            <w:r>
              <w:rPr>
                <w:rFonts w:ascii="Times New Roman" w:hAnsi="Times New Roman"/>
                <w:color w:val="000000"/>
                <w:sz w:val="24"/>
                <w:szCs w:val="24"/>
              </w:rPr>
              <w:t>;</w:t>
            </w:r>
          </w:p>
          <w:p w14:paraId="04C2158C" w14:textId="150D962D" w:rsidR="00BC33EB" w:rsidRPr="00BC33EB" w:rsidRDefault="00F23C20" w:rsidP="00794419">
            <w:pPr>
              <w:pStyle w:val="ListParagraph"/>
              <w:numPr>
                <w:ilvl w:val="0"/>
                <w:numId w:val="5"/>
              </w:numPr>
              <w:spacing w:after="0" w:line="240" w:lineRule="auto"/>
              <w:ind w:left="1134" w:hanging="425"/>
              <w:jc w:val="both"/>
              <w:rPr>
                <w:rFonts w:ascii="Times New Roman" w:hAnsi="Times New Roman"/>
                <w:color w:val="000000"/>
                <w:sz w:val="24"/>
                <w:szCs w:val="24"/>
              </w:rPr>
            </w:pPr>
            <w:r w:rsidRPr="0083486F">
              <w:rPr>
                <w:rFonts w:ascii="Times New Roman" w:hAnsi="Times New Roman"/>
                <w:color w:val="000000"/>
                <w:sz w:val="24"/>
                <w:szCs w:val="24"/>
              </w:rPr>
              <w:t xml:space="preserve">20 motociklu eskorta nodrošināšanai ar rūpnieciski uzstādītu atbilstošu </w:t>
            </w:r>
            <w:r w:rsidRPr="002E59B2">
              <w:rPr>
                <w:rFonts w:ascii="Times New Roman" w:hAnsi="Times New Roman"/>
                <w:color w:val="000000"/>
                <w:sz w:val="24"/>
                <w:szCs w:val="24"/>
              </w:rPr>
              <w:t>aprīkojumu</w:t>
            </w:r>
            <w:r w:rsidRPr="0083486F">
              <w:rPr>
                <w:rFonts w:ascii="Times New Roman" w:hAnsi="Times New Roman"/>
                <w:color w:val="000000"/>
                <w:sz w:val="24"/>
                <w:szCs w:val="24"/>
              </w:rPr>
              <w:t xml:space="preserve"> (pretaizdzīšanas ierīce (dzinēja </w:t>
            </w:r>
            <w:proofErr w:type="spellStart"/>
            <w:r w:rsidRPr="0083486F">
              <w:rPr>
                <w:rFonts w:ascii="Times New Roman" w:hAnsi="Times New Roman"/>
                <w:color w:val="000000"/>
                <w:sz w:val="24"/>
                <w:szCs w:val="24"/>
              </w:rPr>
              <w:t>imobilaizers</w:t>
            </w:r>
            <w:proofErr w:type="spellEnd"/>
            <w:r w:rsidRPr="0083486F">
              <w:rPr>
                <w:rFonts w:ascii="Times New Roman" w:hAnsi="Times New Roman"/>
                <w:color w:val="000000"/>
                <w:sz w:val="24"/>
                <w:szCs w:val="24"/>
              </w:rPr>
              <w:t xml:space="preserve"> un signalizācija ar pulti), </w:t>
            </w:r>
            <w:r w:rsidRPr="0083486F">
              <w:rPr>
                <w:rFonts w:ascii="Times New Roman" w:hAnsi="Times New Roman"/>
                <w:bCs/>
                <w:iCs/>
                <w:color w:val="000000"/>
                <w:sz w:val="24"/>
                <w:szCs w:val="24"/>
              </w:rPr>
              <w:t xml:space="preserve">riepu spiediena kontrole, </w:t>
            </w:r>
            <w:r w:rsidRPr="00D74127">
              <w:rPr>
                <w:rFonts w:ascii="Times New Roman" w:hAnsi="Times New Roman"/>
                <w:color w:val="000000"/>
                <w:sz w:val="24"/>
                <w:szCs w:val="24"/>
              </w:rPr>
              <w:t xml:space="preserve">elektroniska </w:t>
            </w:r>
            <w:r w:rsidRPr="00D74127">
              <w:rPr>
                <w:rStyle w:val="Emphasis"/>
                <w:rFonts w:ascii="Times New Roman" w:hAnsi="Times New Roman"/>
                <w:b w:val="0"/>
                <w:color w:val="000000"/>
                <w:sz w:val="24"/>
                <w:szCs w:val="24"/>
              </w:rPr>
              <w:t>stabilitātes</w:t>
            </w:r>
            <w:r w:rsidRPr="00D74127">
              <w:rPr>
                <w:rFonts w:ascii="Times New Roman" w:hAnsi="Times New Roman"/>
                <w:b/>
                <w:color w:val="000000"/>
                <w:sz w:val="24"/>
                <w:szCs w:val="24"/>
              </w:rPr>
              <w:t xml:space="preserve"> </w:t>
            </w:r>
            <w:r w:rsidRPr="00D74127">
              <w:rPr>
                <w:rFonts w:ascii="Times New Roman" w:hAnsi="Times New Roman"/>
                <w:color w:val="000000"/>
                <w:sz w:val="24"/>
                <w:szCs w:val="24"/>
              </w:rPr>
              <w:t>un</w:t>
            </w:r>
            <w:r w:rsidRPr="00D74127">
              <w:rPr>
                <w:rFonts w:ascii="Times New Roman" w:hAnsi="Times New Roman"/>
                <w:b/>
                <w:color w:val="000000"/>
                <w:sz w:val="24"/>
                <w:szCs w:val="24"/>
              </w:rPr>
              <w:t xml:space="preserve"> </w:t>
            </w:r>
            <w:r w:rsidRPr="00D74127">
              <w:rPr>
                <w:rStyle w:val="Emphasis"/>
                <w:rFonts w:ascii="Times New Roman" w:hAnsi="Times New Roman"/>
                <w:b w:val="0"/>
                <w:color w:val="000000"/>
                <w:sz w:val="24"/>
                <w:szCs w:val="24"/>
              </w:rPr>
              <w:t>pretslīdes kontroles</w:t>
            </w:r>
            <w:r w:rsidRPr="00D74127">
              <w:rPr>
                <w:rFonts w:ascii="Times New Roman" w:hAnsi="Times New Roman"/>
                <w:color w:val="000000"/>
                <w:sz w:val="24"/>
                <w:szCs w:val="24"/>
              </w:rPr>
              <w:t xml:space="preserve"> sistēma</w:t>
            </w:r>
            <w:r w:rsidRPr="0083486F">
              <w:rPr>
                <w:rFonts w:ascii="Times New Roman" w:hAnsi="Times New Roman"/>
                <w:color w:val="000000"/>
                <w:sz w:val="24"/>
                <w:szCs w:val="24"/>
              </w:rPr>
              <w:t xml:space="preserve">, </w:t>
            </w:r>
            <w:r w:rsidRPr="0083486F">
              <w:rPr>
                <w:rFonts w:ascii="Times New Roman" w:hAnsi="Times New Roman"/>
                <w:bCs/>
                <w:iCs/>
                <w:color w:val="000000"/>
                <w:sz w:val="24"/>
                <w:szCs w:val="24"/>
              </w:rPr>
              <w:t xml:space="preserve">radiosakaru traucējumu slāpēšanas sistēma, </w:t>
            </w:r>
            <w:r w:rsidRPr="0083486F">
              <w:rPr>
                <w:rFonts w:ascii="Times New Roman" w:hAnsi="Times New Roman"/>
                <w:sz w:val="24"/>
                <w:szCs w:val="24"/>
              </w:rPr>
              <w:t>papildus dubļu aizsargs aizmugurējam ritenim (lai saudzētu aizmugurē uzstādītās radiosakaru ierīces), aizmugurējais koferis īpaši piemērots radiostacijas uzstādīšanai, rācijas antena (darbojas 403-430</w:t>
            </w:r>
            <w:r>
              <w:rPr>
                <w:rFonts w:ascii="Times New Roman" w:hAnsi="Times New Roman"/>
                <w:sz w:val="24"/>
                <w:szCs w:val="24"/>
              </w:rPr>
              <w:t xml:space="preserve"> </w:t>
            </w:r>
            <w:proofErr w:type="spellStart"/>
            <w:r w:rsidRPr="0083486F">
              <w:rPr>
                <w:rFonts w:ascii="Times New Roman" w:hAnsi="Times New Roman"/>
                <w:sz w:val="24"/>
                <w:szCs w:val="24"/>
              </w:rPr>
              <w:t>Mhz</w:t>
            </w:r>
            <w:proofErr w:type="spellEnd"/>
            <w:r w:rsidRPr="0083486F">
              <w:rPr>
                <w:rFonts w:ascii="Times New Roman" w:hAnsi="Times New Roman"/>
                <w:sz w:val="24"/>
                <w:szCs w:val="24"/>
              </w:rPr>
              <w:t xml:space="preserve"> diapazonā), elektroniski programmējama sirēna un skaļrunis, bākuguņu, sirēnas un skaļruņa vadības pults (ierīce), uzstādīts papildus akumulators un īpaši pielāgota elektrosistēma, kas nodrošina GPS</w:t>
            </w:r>
            <w:r w:rsidRPr="0083486F">
              <w:rPr>
                <w:rFonts w:ascii="Times New Roman" w:hAnsi="Times New Roman"/>
                <w:iCs/>
                <w:color w:val="000000"/>
                <w:sz w:val="24"/>
                <w:szCs w:val="24"/>
              </w:rPr>
              <w:t xml:space="preserve"> (</w:t>
            </w:r>
            <w:proofErr w:type="spellStart"/>
            <w:r w:rsidRPr="0083486F">
              <w:rPr>
                <w:rFonts w:ascii="Times New Roman" w:hAnsi="Times New Roman"/>
                <w:iCs/>
                <w:color w:val="000000"/>
                <w:sz w:val="24"/>
                <w:szCs w:val="24"/>
              </w:rPr>
              <w:t>Global</w:t>
            </w:r>
            <w:proofErr w:type="spellEnd"/>
            <w:r w:rsidRPr="0083486F">
              <w:rPr>
                <w:rFonts w:ascii="Times New Roman" w:hAnsi="Times New Roman"/>
                <w:iCs/>
                <w:color w:val="000000"/>
                <w:sz w:val="24"/>
                <w:szCs w:val="24"/>
              </w:rPr>
              <w:t xml:space="preserve"> </w:t>
            </w:r>
            <w:proofErr w:type="spellStart"/>
            <w:r w:rsidRPr="0083486F">
              <w:rPr>
                <w:rFonts w:ascii="Times New Roman" w:hAnsi="Times New Roman"/>
                <w:iCs/>
                <w:color w:val="000000"/>
                <w:sz w:val="24"/>
                <w:szCs w:val="24"/>
              </w:rPr>
              <w:t>positioning</w:t>
            </w:r>
            <w:proofErr w:type="spellEnd"/>
            <w:r w:rsidRPr="0083486F">
              <w:rPr>
                <w:rFonts w:ascii="Times New Roman" w:hAnsi="Times New Roman"/>
                <w:iCs/>
                <w:color w:val="000000"/>
                <w:sz w:val="24"/>
                <w:szCs w:val="24"/>
              </w:rPr>
              <w:t xml:space="preserve"> </w:t>
            </w:r>
            <w:proofErr w:type="spellStart"/>
            <w:r w:rsidRPr="0083486F">
              <w:rPr>
                <w:rFonts w:ascii="Times New Roman" w:hAnsi="Times New Roman"/>
                <w:iCs/>
                <w:color w:val="000000"/>
                <w:sz w:val="24"/>
                <w:szCs w:val="24"/>
              </w:rPr>
              <w:t>system</w:t>
            </w:r>
            <w:proofErr w:type="spellEnd"/>
            <w:r w:rsidRPr="0083486F">
              <w:rPr>
                <w:rFonts w:ascii="Times New Roman" w:hAnsi="Times New Roman"/>
                <w:iCs/>
                <w:color w:val="000000"/>
                <w:sz w:val="24"/>
                <w:szCs w:val="24"/>
              </w:rPr>
              <w:t>) raidītāja</w:t>
            </w:r>
            <w:r w:rsidRPr="0083486F">
              <w:rPr>
                <w:rFonts w:ascii="Times New Roman" w:hAnsi="Times New Roman"/>
                <w:sz w:val="24"/>
                <w:szCs w:val="24"/>
              </w:rPr>
              <w:t xml:space="preserve">, bākuguņu, speciālo skaņas signālu un </w:t>
            </w:r>
            <w:r w:rsidRPr="004903A3">
              <w:rPr>
                <w:rFonts w:ascii="Times New Roman" w:hAnsi="Times New Roman"/>
                <w:sz w:val="24"/>
                <w:szCs w:val="24"/>
              </w:rPr>
              <w:t>skaļruņa netraucētu darbību) u.tml.) iegādei</w:t>
            </w:r>
            <w:r>
              <w:rPr>
                <w:rFonts w:ascii="Times New Roman" w:hAnsi="Times New Roman"/>
                <w:sz w:val="24"/>
                <w:szCs w:val="24"/>
              </w:rPr>
              <w:t xml:space="preserve"> </w:t>
            </w:r>
            <w:r>
              <w:rPr>
                <w:rFonts w:ascii="Times New Roman" w:hAnsi="Times New Roman"/>
                <w:color w:val="000000"/>
                <w:sz w:val="24"/>
                <w:szCs w:val="24"/>
              </w:rPr>
              <w:t xml:space="preserve">(prognozētā vienas vienības iegādes cena – </w:t>
            </w:r>
            <w:r w:rsidRPr="004903A3">
              <w:rPr>
                <w:rFonts w:ascii="Times New Roman" w:hAnsi="Times New Roman"/>
                <w:sz w:val="24"/>
                <w:szCs w:val="24"/>
              </w:rPr>
              <w:t>27</w:t>
            </w:r>
            <w:r>
              <w:rPr>
                <w:rFonts w:ascii="Times New Roman" w:hAnsi="Times New Roman"/>
                <w:sz w:val="24"/>
                <w:szCs w:val="24"/>
              </w:rPr>
              <w:t> </w:t>
            </w:r>
            <w:r w:rsidRPr="004903A3">
              <w:rPr>
                <w:rFonts w:ascii="Times New Roman" w:hAnsi="Times New Roman"/>
                <w:sz w:val="24"/>
                <w:szCs w:val="24"/>
              </w:rPr>
              <w:t xml:space="preserve">000 </w:t>
            </w:r>
            <w:proofErr w:type="spellStart"/>
            <w:r w:rsidRPr="001519E7">
              <w:rPr>
                <w:rFonts w:ascii="Times New Roman" w:hAnsi="Times New Roman"/>
                <w:i/>
                <w:color w:val="000000"/>
                <w:sz w:val="24"/>
                <w:szCs w:val="24"/>
              </w:rPr>
              <w:t>euro</w:t>
            </w:r>
            <w:proofErr w:type="spellEnd"/>
            <w:r>
              <w:rPr>
                <w:rFonts w:ascii="Times New Roman" w:hAnsi="Times New Roman"/>
                <w:color w:val="000000"/>
                <w:sz w:val="24"/>
                <w:szCs w:val="24"/>
              </w:rPr>
              <w:t xml:space="preserve">) – 540 000 </w:t>
            </w:r>
            <w:proofErr w:type="spellStart"/>
            <w:r w:rsidRPr="001519E7">
              <w:rPr>
                <w:rFonts w:ascii="Times New Roman" w:hAnsi="Times New Roman"/>
                <w:i/>
                <w:color w:val="000000"/>
                <w:sz w:val="24"/>
                <w:szCs w:val="24"/>
              </w:rPr>
              <w:t>euro</w:t>
            </w:r>
            <w:proofErr w:type="spellEnd"/>
            <w:r>
              <w:rPr>
                <w:rFonts w:ascii="Times New Roman" w:hAnsi="Times New Roman"/>
                <w:i/>
                <w:color w:val="000000"/>
                <w:sz w:val="24"/>
                <w:szCs w:val="24"/>
              </w:rPr>
              <w:t>.</w:t>
            </w:r>
          </w:p>
        </w:tc>
      </w:tr>
      <w:tr w:rsidR="000F5EDB" w:rsidRPr="000F5EDB" w14:paraId="3495FB86" w14:textId="77777777" w:rsidTr="00693908">
        <w:trPr>
          <w:gridAfter w:val="1"/>
          <w:wAfter w:w="39" w:type="dxa"/>
          <w:jc w:val="center"/>
        </w:trPr>
        <w:tc>
          <w:tcPr>
            <w:tcW w:w="3199" w:type="dxa"/>
            <w:gridSpan w:val="2"/>
          </w:tcPr>
          <w:p w14:paraId="273B65D9"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6.1. detalizēts ieņēmumu aprēķins</w:t>
            </w:r>
          </w:p>
        </w:tc>
        <w:tc>
          <w:tcPr>
            <w:tcW w:w="6058" w:type="dxa"/>
            <w:gridSpan w:val="6"/>
            <w:vMerge/>
          </w:tcPr>
          <w:p w14:paraId="2CBEF3A6" w14:textId="77777777" w:rsidR="007F6B1C" w:rsidRPr="000F5EDB" w:rsidRDefault="007F6B1C" w:rsidP="000D2380">
            <w:pPr>
              <w:pStyle w:val="naisf"/>
              <w:spacing w:before="0" w:beforeAutospacing="0" w:after="0" w:afterAutospacing="0"/>
              <w:rPr>
                <w:b/>
                <w:i/>
              </w:rPr>
            </w:pPr>
          </w:p>
        </w:tc>
      </w:tr>
      <w:tr w:rsidR="000F5EDB" w:rsidRPr="000F5EDB" w14:paraId="4423AA44" w14:textId="77777777" w:rsidTr="00693908">
        <w:trPr>
          <w:gridAfter w:val="1"/>
          <w:wAfter w:w="39" w:type="dxa"/>
          <w:jc w:val="center"/>
        </w:trPr>
        <w:tc>
          <w:tcPr>
            <w:tcW w:w="3199" w:type="dxa"/>
            <w:gridSpan w:val="2"/>
          </w:tcPr>
          <w:p w14:paraId="78DF23CF" w14:textId="77777777" w:rsidR="007F6B1C" w:rsidRPr="000F5EDB" w:rsidRDefault="007F6B1C" w:rsidP="000D2380">
            <w:pPr>
              <w:spacing w:after="0" w:line="240" w:lineRule="auto"/>
              <w:rPr>
                <w:rFonts w:ascii="Times New Roman" w:hAnsi="Times New Roman" w:cs="Times New Roman"/>
                <w:sz w:val="24"/>
                <w:szCs w:val="24"/>
              </w:rPr>
            </w:pPr>
            <w:r w:rsidRPr="000F5EDB">
              <w:rPr>
                <w:rFonts w:ascii="Times New Roman" w:hAnsi="Times New Roman" w:cs="Times New Roman"/>
                <w:sz w:val="24"/>
                <w:szCs w:val="24"/>
              </w:rPr>
              <w:t>6.2. detalizēts izdevumu aprēķins</w:t>
            </w:r>
          </w:p>
        </w:tc>
        <w:tc>
          <w:tcPr>
            <w:tcW w:w="6058" w:type="dxa"/>
            <w:gridSpan w:val="6"/>
            <w:vMerge/>
          </w:tcPr>
          <w:p w14:paraId="236DBE21" w14:textId="77777777" w:rsidR="007F6B1C" w:rsidRPr="000F5EDB" w:rsidRDefault="007F6B1C" w:rsidP="000D2380">
            <w:pPr>
              <w:pStyle w:val="naisf"/>
              <w:spacing w:before="0" w:beforeAutospacing="0" w:after="0" w:afterAutospacing="0"/>
              <w:rPr>
                <w:b/>
                <w:i/>
              </w:rPr>
            </w:pPr>
          </w:p>
        </w:tc>
      </w:tr>
      <w:tr w:rsidR="000F5EDB" w:rsidRPr="000F5EDB" w14:paraId="07CF6A10" w14:textId="77777777" w:rsidTr="00693908">
        <w:tblPrEx>
          <w:tblCellMar>
            <w:top w:w="28" w:type="dxa"/>
            <w:left w:w="28" w:type="dxa"/>
            <w:bottom w:w="28" w:type="dxa"/>
            <w:right w:w="28" w:type="dxa"/>
          </w:tblCellMar>
          <w:tblLook w:val="0000" w:firstRow="0" w:lastRow="0" w:firstColumn="0" w:lastColumn="0" w:noHBand="0" w:noVBand="0"/>
        </w:tblPrEx>
        <w:trPr>
          <w:trHeight w:val="381"/>
          <w:jc w:val="center"/>
        </w:trPr>
        <w:tc>
          <w:tcPr>
            <w:tcW w:w="9296" w:type="dxa"/>
            <w:gridSpan w:val="9"/>
            <w:vAlign w:val="center"/>
          </w:tcPr>
          <w:p w14:paraId="2747C7F9" w14:textId="77777777" w:rsidR="007F6B1C" w:rsidRPr="000F5EDB" w:rsidRDefault="007F6B1C" w:rsidP="000D2380">
            <w:pPr>
              <w:pStyle w:val="naisnod"/>
              <w:spacing w:before="0" w:beforeAutospacing="0" w:after="0" w:afterAutospacing="0"/>
              <w:ind w:left="57" w:right="57"/>
              <w:jc w:val="center"/>
            </w:pPr>
            <w:r w:rsidRPr="000F5EDB">
              <w:rPr>
                <w:b/>
              </w:rPr>
              <w:lastRenderedPageBreak/>
              <w:t>VII. Tiesību akta projekta izpildes nodrošināšana un tās ietekme uz institūcijām</w:t>
            </w:r>
          </w:p>
        </w:tc>
      </w:tr>
      <w:tr w:rsidR="000F5EDB" w:rsidRPr="000F5EDB" w14:paraId="06267466" w14:textId="77777777" w:rsidTr="00693908">
        <w:tblPrEx>
          <w:tblCellMar>
            <w:top w:w="28" w:type="dxa"/>
            <w:left w:w="28" w:type="dxa"/>
            <w:bottom w:w="28" w:type="dxa"/>
            <w:right w:w="28" w:type="dxa"/>
          </w:tblCellMar>
          <w:tblLook w:val="0000" w:firstRow="0" w:lastRow="0" w:firstColumn="0" w:lastColumn="0" w:noHBand="0" w:noVBand="0"/>
        </w:tblPrEx>
        <w:trPr>
          <w:trHeight w:val="427"/>
          <w:jc w:val="center"/>
        </w:trPr>
        <w:tc>
          <w:tcPr>
            <w:tcW w:w="437" w:type="dxa"/>
          </w:tcPr>
          <w:p w14:paraId="3B2489AE" w14:textId="77777777" w:rsidR="007F6B1C" w:rsidRPr="000F5EDB" w:rsidRDefault="007F6B1C" w:rsidP="000D2380">
            <w:pPr>
              <w:pStyle w:val="naisnod"/>
              <w:spacing w:before="0" w:beforeAutospacing="0" w:after="0" w:afterAutospacing="0"/>
              <w:ind w:left="57" w:right="57"/>
              <w:jc w:val="both"/>
            </w:pPr>
            <w:r w:rsidRPr="000F5EDB">
              <w:t>1.</w:t>
            </w:r>
          </w:p>
        </w:tc>
        <w:tc>
          <w:tcPr>
            <w:tcW w:w="3615" w:type="dxa"/>
            <w:gridSpan w:val="2"/>
          </w:tcPr>
          <w:p w14:paraId="03C2B5F3" w14:textId="77777777" w:rsidR="007F6B1C" w:rsidRPr="000F5EDB" w:rsidRDefault="007F6B1C" w:rsidP="000D2380">
            <w:pPr>
              <w:pStyle w:val="naisf"/>
              <w:spacing w:before="0" w:beforeAutospacing="0" w:after="0" w:afterAutospacing="0"/>
              <w:ind w:left="57" w:right="57"/>
            </w:pPr>
            <w:r w:rsidRPr="000F5EDB">
              <w:t>Projekta izpildē iesaistītās institūcijas</w:t>
            </w:r>
          </w:p>
        </w:tc>
        <w:tc>
          <w:tcPr>
            <w:tcW w:w="5244" w:type="dxa"/>
            <w:gridSpan w:val="6"/>
          </w:tcPr>
          <w:p w14:paraId="5FCAE7AB" w14:textId="68D77D78" w:rsidR="007F6B1C" w:rsidRPr="000F5EDB" w:rsidRDefault="00693908" w:rsidP="00AF6FD6">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Pr>
                <w:rFonts w:ascii="Times New Roman" w:hAnsi="Times New Roman" w:cs="Times New Roman"/>
                <w:sz w:val="24"/>
                <w:szCs w:val="24"/>
                <w:lang w:eastAsia="lv-LV"/>
              </w:rPr>
              <w:t>Valsts policija</w:t>
            </w:r>
            <w:r w:rsidR="0055466C">
              <w:rPr>
                <w:rFonts w:ascii="Times New Roman" w:hAnsi="Times New Roman" w:cs="Times New Roman"/>
                <w:sz w:val="24"/>
                <w:szCs w:val="24"/>
                <w:lang w:eastAsia="lv-LV"/>
              </w:rPr>
              <w:t>.</w:t>
            </w:r>
          </w:p>
        </w:tc>
      </w:tr>
      <w:tr w:rsidR="000F5EDB" w:rsidRPr="000F5EDB" w14:paraId="7E1B6415" w14:textId="77777777" w:rsidTr="00693908">
        <w:tblPrEx>
          <w:tblCellMar>
            <w:top w:w="28" w:type="dxa"/>
            <w:left w:w="28" w:type="dxa"/>
            <w:bottom w:w="28" w:type="dxa"/>
            <w:right w:w="28" w:type="dxa"/>
          </w:tblCellMar>
          <w:tblLook w:val="0000" w:firstRow="0" w:lastRow="0" w:firstColumn="0" w:lastColumn="0" w:noHBand="0" w:noVBand="0"/>
        </w:tblPrEx>
        <w:trPr>
          <w:trHeight w:val="463"/>
          <w:jc w:val="center"/>
        </w:trPr>
        <w:tc>
          <w:tcPr>
            <w:tcW w:w="437" w:type="dxa"/>
          </w:tcPr>
          <w:p w14:paraId="0C4C2867" w14:textId="77777777" w:rsidR="007F6B1C" w:rsidRPr="000F5EDB" w:rsidRDefault="007F6B1C" w:rsidP="000D2380">
            <w:pPr>
              <w:pStyle w:val="naisnod"/>
              <w:spacing w:before="0" w:beforeAutospacing="0" w:after="0" w:afterAutospacing="0"/>
              <w:ind w:left="57" w:right="57"/>
              <w:jc w:val="both"/>
            </w:pPr>
            <w:r w:rsidRPr="000F5EDB">
              <w:lastRenderedPageBreak/>
              <w:t>2.</w:t>
            </w:r>
          </w:p>
        </w:tc>
        <w:tc>
          <w:tcPr>
            <w:tcW w:w="3615" w:type="dxa"/>
            <w:gridSpan w:val="2"/>
          </w:tcPr>
          <w:p w14:paraId="60B6A57F" w14:textId="77777777" w:rsidR="007F6B1C" w:rsidRPr="000F5EDB" w:rsidRDefault="007F6B1C" w:rsidP="000D2380">
            <w:pPr>
              <w:pStyle w:val="naisf"/>
              <w:spacing w:before="0" w:beforeAutospacing="0" w:after="0" w:afterAutospacing="0"/>
              <w:ind w:left="57" w:right="57"/>
            </w:pPr>
            <w:r w:rsidRPr="000F5EDB">
              <w:t>Projekta izpildes ietekme uz pār</w:t>
            </w:r>
            <w:r w:rsidRPr="000F5EDB">
              <w:softHyphen/>
              <w:t>valdes funkcijām un institucionālo struktūru.</w:t>
            </w:r>
          </w:p>
          <w:p w14:paraId="59F7EE2C" w14:textId="77777777" w:rsidR="007F6B1C" w:rsidRPr="000F5EDB" w:rsidRDefault="007F6B1C" w:rsidP="000D2380">
            <w:pPr>
              <w:pStyle w:val="naisf"/>
              <w:spacing w:before="0" w:beforeAutospacing="0" w:after="0" w:afterAutospacing="0"/>
              <w:ind w:left="57" w:right="57"/>
            </w:pPr>
            <w:r w:rsidRPr="000F5EDB">
              <w:t>Jaunu institūciju izveide, esošu institūciju likvidācija vai reorga</w:t>
            </w:r>
            <w:r w:rsidRPr="000F5EDB">
              <w:softHyphen/>
              <w:t>nizācija, to ietekme uz institūcijas cilvēkresursiem.</w:t>
            </w:r>
          </w:p>
        </w:tc>
        <w:tc>
          <w:tcPr>
            <w:tcW w:w="5244" w:type="dxa"/>
            <w:gridSpan w:val="6"/>
          </w:tcPr>
          <w:p w14:paraId="1779038D" w14:textId="77777777" w:rsidR="007F6B1C" w:rsidRPr="000F5EDB" w:rsidRDefault="00E53494" w:rsidP="000D2380">
            <w:pPr>
              <w:shd w:val="clear" w:color="auto" w:fill="FFFFFF"/>
              <w:spacing w:after="0" w:line="240" w:lineRule="auto"/>
              <w:jc w:val="both"/>
              <w:rPr>
                <w:rFonts w:ascii="Times New Roman" w:hAnsi="Times New Roman" w:cs="Times New Roman"/>
                <w:sz w:val="24"/>
                <w:szCs w:val="24"/>
                <w:lang w:eastAsia="lv-LV"/>
              </w:rPr>
            </w:pPr>
            <w:r w:rsidRPr="000F5EDB">
              <w:rPr>
                <w:rFonts w:ascii="Times New Roman" w:hAnsi="Times New Roman" w:cs="Times New Roman"/>
                <w:sz w:val="24"/>
                <w:szCs w:val="24"/>
              </w:rPr>
              <w:t>Projekts šo jomu neskar.</w:t>
            </w:r>
          </w:p>
          <w:p w14:paraId="1889EB7A" w14:textId="77777777" w:rsidR="007F6B1C" w:rsidRPr="000F5EDB" w:rsidRDefault="007F6B1C" w:rsidP="000D2380">
            <w:pPr>
              <w:shd w:val="clear" w:color="auto" w:fill="FFFFFF"/>
              <w:spacing w:after="0" w:line="240" w:lineRule="auto"/>
              <w:jc w:val="both"/>
              <w:rPr>
                <w:rFonts w:ascii="Times New Roman" w:hAnsi="Times New Roman" w:cs="Times New Roman"/>
                <w:sz w:val="24"/>
                <w:szCs w:val="24"/>
                <w:lang w:eastAsia="lv-LV"/>
              </w:rPr>
            </w:pPr>
          </w:p>
        </w:tc>
      </w:tr>
      <w:tr w:rsidR="000F5EDB" w:rsidRPr="000F5EDB" w14:paraId="082988A8" w14:textId="77777777" w:rsidTr="00693908">
        <w:tblPrEx>
          <w:tblCellMar>
            <w:top w:w="28" w:type="dxa"/>
            <w:left w:w="28" w:type="dxa"/>
            <w:bottom w:w="28" w:type="dxa"/>
            <w:right w:w="28" w:type="dxa"/>
          </w:tblCellMar>
          <w:tblLook w:val="0000" w:firstRow="0" w:lastRow="0" w:firstColumn="0" w:lastColumn="0" w:noHBand="0" w:noVBand="0"/>
        </w:tblPrEx>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BDB85BE" w14:textId="77777777" w:rsidR="007F6B1C" w:rsidRPr="000F5EDB" w:rsidRDefault="007F6B1C" w:rsidP="000D2380">
            <w:pPr>
              <w:pStyle w:val="naisnod"/>
              <w:spacing w:before="0" w:beforeAutospacing="0" w:after="0" w:afterAutospacing="0"/>
              <w:ind w:left="57" w:right="57"/>
              <w:jc w:val="both"/>
            </w:pPr>
            <w:r w:rsidRPr="000F5EDB">
              <w:t>3.</w:t>
            </w:r>
          </w:p>
        </w:tc>
        <w:tc>
          <w:tcPr>
            <w:tcW w:w="3615" w:type="dxa"/>
            <w:gridSpan w:val="2"/>
            <w:tcBorders>
              <w:top w:val="single" w:sz="4" w:space="0" w:color="auto"/>
              <w:left w:val="single" w:sz="4" w:space="0" w:color="auto"/>
              <w:bottom w:val="single" w:sz="4" w:space="0" w:color="auto"/>
              <w:right w:val="single" w:sz="4" w:space="0" w:color="auto"/>
            </w:tcBorders>
          </w:tcPr>
          <w:p w14:paraId="2FA6BDA4" w14:textId="77777777" w:rsidR="007F6B1C" w:rsidRPr="000F5EDB" w:rsidRDefault="007F6B1C" w:rsidP="000D2380">
            <w:pPr>
              <w:pStyle w:val="naisf"/>
              <w:spacing w:before="0" w:beforeAutospacing="0" w:after="0" w:afterAutospacing="0"/>
              <w:ind w:left="57" w:right="57"/>
            </w:pPr>
            <w:r w:rsidRPr="000F5EDB">
              <w:t>Cita informācija</w:t>
            </w:r>
          </w:p>
        </w:tc>
        <w:tc>
          <w:tcPr>
            <w:tcW w:w="5244" w:type="dxa"/>
            <w:gridSpan w:val="6"/>
            <w:tcBorders>
              <w:top w:val="single" w:sz="4" w:space="0" w:color="auto"/>
              <w:left w:val="single" w:sz="4" w:space="0" w:color="auto"/>
              <w:bottom w:val="single" w:sz="4" w:space="0" w:color="auto"/>
              <w:right w:val="single" w:sz="4" w:space="0" w:color="auto"/>
            </w:tcBorders>
          </w:tcPr>
          <w:p w14:paraId="2AC5FA8C" w14:textId="77777777" w:rsidR="007F6B1C" w:rsidRPr="000F5EDB" w:rsidRDefault="00E53494" w:rsidP="000D2380">
            <w:pPr>
              <w:spacing w:after="0" w:line="240" w:lineRule="auto"/>
              <w:ind w:left="57" w:right="57"/>
              <w:jc w:val="both"/>
              <w:rPr>
                <w:rFonts w:ascii="Times New Roman" w:hAnsi="Times New Roman" w:cs="Times New Roman"/>
                <w:sz w:val="24"/>
                <w:szCs w:val="24"/>
                <w:lang w:eastAsia="lv-LV"/>
              </w:rPr>
            </w:pPr>
            <w:r w:rsidRPr="000F5EDB">
              <w:rPr>
                <w:rFonts w:ascii="Times New Roman" w:hAnsi="Times New Roman" w:cs="Times New Roman"/>
                <w:sz w:val="24"/>
                <w:szCs w:val="24"/>
              </w:rPr>
              <w:t>Nav.</w:t>
            </w:r>
          </w:p>
        </w:tc>
      </w:tr>
    </w:tbl>
    <w:p w14:paraId="6351446F" w14:textId="77777777" w:rsidR="00EA7BD0" w:rsidRDefault="00EA7BD0" w:rsidP="005128C9">
      <w:pPr>
        <w:pStyle w:val="naisf"/>
        <w:spacing w:before="0" w:beforeAutospacing="0" w:after="0" w:afterAutospacing="0"/>
      </w:pPr>
    </w:p>
    <w:p w14:paraId="3C6C468F" w14:textId="77777777" w:rsidR="005128C9" w:rsidRPr="000F5EDB" w:rsidRDefault="005128C9" w:rsidP="005128C9">
      <w:pPr>
        <w:pStyle w:val="naisf"/>
        <w:spacing w:before="0" w:beforeAutospacing="0" w:after="0" w:afterAutospacing="0"/>
      </w:pPr>
      <w:r w:rsidRPr="000F5EDB">
        <w:t xml:space="preserve">Anotācijas II, IV, V, </w:t>
      </w:r>
      <w:r w:rsidRPr="000F5EDB">
        <w:rPr>
          <w:bCs/>
        </w:rPr>
        <w:t xml:space="preserve">VI </w:t>
      </w:r>
      <w:r w:rsidRPr="000F5EDB">
        <w:t>sadaļa – projekts šīs jomas neskar.</w:t>
      </w:r>
    </w:p>
    <w:p w14:paraId="20DBB843" w14:textId="77777777" w:rsidR="005128C9" w:rsidRDefault="005128C9" w:rsidP="005128C9">
      <w:pPr>
        <w:spacing w:after="0" w:line="240" w:lineRule="auto"/>
        <w:ind w:left="283" w:firstLine="437"/>
        <w:rPr>
          <w:rFonts w:ascii="Times New Roman" w:hAnsi="Times New Roman" w:cs="Times New Roman"/>
          <w:sz w:val="28"/>
          <w:szCs w:val="28"/>
        </w:rPr>
      </w:pPr>
    </w:p>
    <w:p w14:paraId="3FBB49A4" w14:textId="77777777" w:rsidR="00EA7BD0" w:rsidRDefault="00EA7BD0" w:rsidP="005128C9">
      <w:pPr>
        <w:spacing w:after="0" w:line="240" w:lineRule="auto"/>
        <w:ind w:left="283" w:firstLine="437"/>
        <w:rPr>
          <w:rFonts w:ascii="Times New Roman" w:hAnsi="Times New Roman" w:cs="Times New Roman"/>
          <w:sz w:val="28"/>
          <w:szCs w:val="28"/>
        </w:rPr>
      </w:pPr>
    </w:p>
    <w:p w14:paraId="0F04E0F6" w14:textId="77777777" w:rsidR="00EA7BD0" w:rsidRPr="000F5EDB" w:rsidRDefault="00EA7BD0" w:rsidP="005128C9">
      <w:pPr>
        <w:spacing w:after="0" w:line="240" w:lineRule="auto"/>
        <w:ind w:left="283" w:firstLine="437"/>
        <w:rPr>
          <w:rFonts w:ascii="Times New Roman" w:hAnsi="Times New Roman" w:cs="Times New Roman"/>
          <w:sz w:val="28"/>
          <w:szCs w:val="28"/>
        </w:rPr>
      </w:pPr>
    </w:p>
    <w:p w14:paraId="2838B3CA" w14:textId="77777777" w:rsidR="005128C9" w:rsidRPr="008A74AC" w:rsidRDefault="00577B1B" w:rsidP="008A74AC">
      <w:pPr>
        <w:pStyle w:val="naisf"/>
        <w:spacing w:before="0" w:beforeAutospacing="0" w:after="0" w:afterAutospacing="0"/>
        <w:ind w:left="57" w:right="57"/>
      </w:pPr>
      <w:r w:rsidRPr="008A74AC">
        <w:t>Iekšlietu ministrs</w:t>
      </w:r>
      <w:r w:rsidRPr="008A74AC">
        <w:tab/>
      </w:r>
      <w:r w:rsidR="00AF709E">
        <w:t xml:space="preserve">                                                                       </w:t>
      </w:r>
      <w:r w:rsidR="005128C9" w:rsidRPr="008A74AC">
        <w:t>R.Kozlovskis</w:t>
      </w:r>
      <w:r w:rsidR="005128C9" w:rsidRPr="008A74AC">
        <w:tab/>
      </w:r>
      <w:r w:rsidR="005128C9" w:rsidRPr="008A74AC">
        <w:tab/>
      </w:r>
    </w:p>
    <w:p w14:paraId="225610DF" w14:textId="77777777" w:rsidR="00AF709E" w:rsidRDefault="00AF709E" w:rsidP="008A74AC">
      <w:pPr>
        <w:pStyle w:val="naisf"/>
        <w:spacing w:before="0" w:beforeAutospacing="0" w:after="0" w:afterAutospacing="0"/>
        <w:ind w:left="57" w:right="57"/>
      </w:pPr>
    </w:p>
    <w:p w14:paraId="2D239D15" w14:textId="77777777" w:rsidR="00EA7BD0" w:rsidRDefault="00EA7BD0" w:rsidP="008A74AC">
      <w:pPr>
        <w:pStyle w:val="naisf"/>
        <w:spacing w:before="0" w:beforeAutospacing="0" w:after="0" w:afterAutospacing="0"/>
        <w:ind w:left="57" w:right="57"/>
      </w:pPr>
    </w:p>
    <w:p w14:paraId="5AD1EF3C" w14:textId="77777777" w:rsidR="005128C9" w:rsidRDefault="005128C9" w:rsidP="008A74AC">
      <w:pPr>
        <w:pStyle w:val="naisf"/>
        <w:spacing w:before="0" w:beforeAutospacing="0" w:after="0" w:afterAutospacing="0"/>
        <w:ind w:left="57" w:right="57"/>
      </w:pPr>
      <w:r w:rsidRPr="008A74AC">
        <w:t xml:space="preserve">Vīza: valsts sekretāre </w:t>
      </w:r>
      <w:r w:rsidR="00577B1B" w:rsidRPr="008A74AC">
        <w:tab/>
      </w:r>
      <w:r w:rsidR="00AF709E">
        <w:t xml:space="preserve">                                              </w:t>
      </w:r>
      <w:r w:rsidRPr="008A74AC">
        <w:t>I.Pētersone–Godmane</w:t>
      </w:r>
    </w:p>
    <w:p w14:paraId="42D3C1CA" w14:textId="77777777" w:rsidR="00AF709E" w:rsidRDefault="00AF709E" w:rsidP="008A74AC">
      <w:pPr>
        <w:pStyle w:val="naisf"/>
        <w:spacing w:before="0" w:beforeAutospacing="0" w:after="0" w:afterAutospacing="0"/>
        <w:ind w:left="57" w:right="57"/>
      </w:pPr>
    </w:p>
    <w:p w14:paraId="493702AD" w14:textId="77777777" w:rsidR="00EA7BD0" w:rsidRDefault="00EA7BD0" w:rsidP="008A74AC">
      <w:pPr>
        <w:pStyle w:val="naisf"/>
        <w:spacing w:before="0" w:beforeAutospacing="0" w:after="0" w:afterAutospacing="0"/>
        <w:ind w:left="57" w:right="57"/>
      </w:pPr>
    </w:p>
    <w:p w14:paraId="5E6E815C" w14:textId="77777777" w:rsidR="00EA7BD0" w:rsidRDefault="00EA7BD0" w:rsidP="008A74AC">
      <w:pPr>
        <w:pStyle w:val="naisf"/>
        <w:spacing w:before="0" w:beforeAutospacing="0" w:after="0" w:afterAutospacing="0"/>
        <w:ind w:left="57" w:right="57"/>
      </w:pPr>
    </w:p>
    <w:p w14:paraId="50659072" w14:textId="77777777" w:rsidR="00EA7BD0" w:rsidRDefault="00EA7BD0" w:rsidP="008A74AC">
      <w:pPr>
        <w:pStyle w:val="naisf"/>
        <w:spacing w:before="0" w:beforeAutospacing="0" w:after="0" w:afterAutospacing="0"/>
        <w:ind w:left="57" w:right="57"/>
      </w:pPr>
    </w:p>
    <w:p w14:paraId="63634013" w14:textId="77777777" w:rsidR="00EA7BD0" w:rsidRDefault="00EA7BD0" w:rsidP="008A74AC">
      <w:pPr>
        <w:pStyle w:val="naisf"/>
        <w:spacing w:before="0" w:beforeAutospacing="0" w:after="0" w:afterAutospacing="0"/>
        <w:ind w:left="57" w:right="57"/>
      </w:pPr>
    </w:p>
    <w:p w14:paraId="719E10DC" w14:textId="77777777" w:rsidR="00EA7BD0" w:rsidRDefault="00EA7BD0" w:rsidP="008A74AC">
      <w:pPr>
        <w:pStyle w:val="naisf"/>
        <w:spacing w:before="0" w:beforeAutospacing="0" w:after="0" w:afterAutospacing="0"/>
        <w:ind w:left="57" w:right="57"/>
      </w:pPr>
    </w:p>
    <w:p w14:paraId="57F9C0B5" w14:textId="77777777" w:rsidR="00EA7BD0" w:rsidRDefault="00EA7BD0" w:rsidP="008A74AC">
      <w:pPr>
        <w:pStyle w:val="naisf"/>
        <w:spacing w:before="0" w:beforeAutospacing="0" w:after="0" w:afterAutospacing="0"/>
        <w:ind w:left="57" w:right="57"/>
      </w:pPr>
    </w:p>
    <w:p w14:paraId="2362B21A" w14:textId="77777777" w:rsidR="00EA7BD0" w:rsidRDefault="00EA7BD0" w:rsidP="008A74AC">
      <w:pPr>
        <w:pStyle w:val="naisf"/>
        <w:spacing w:before="0" w:beforeAutospacing="0" w:after="0" w:afterAutospacing="0"/>
        <w:ind w:left="57" w:right="57"/>
      </w:pPr>
    </w:p>
    <w:p w14:paraId="1C575AD3" w14:textId="77777777" w:rsidR="00EA7BD0" w:rsidRDefault="00EA7BD0" w:rsidP="008A74AC">
      <w:pPr>
        <w:pStyle w:val="naisf"/>
        <w:spacing w:before="0" w:beforeAutospacing="0" w:after="0" w:afterAutospacing="0"/>
        <w:ind w:left="57" w:right="57"/>
      </w:pPr>
    </w:p>
    <w:p w14:paraId="5E442026" w14:textId="77777777" w:rsidR="00EA7BD0" w:rsidRDefault="00EA7BD0" w:rsidP="008A74AC">
      <w:pPr>
        <w:pStyle w:val="naisf"/>
        <w:spacing w:before="0" w:beforeAutospacing="0" w:after="0" w:afterAutospacing="0"/>
        <w:ind w:left="57" w:right="57"/>
      </w:pPr>
    </w:p>
    <w:p w14:paraId="7692474A" w14:textId="77777777" w:rsidR="00EA7BD0" w:rsidRDefault="00EA7BD0" w:rsidP="008A74AC">
      <w:pPr>
        <w:pStyle w:val="naisf"/>
        <w:spacing w:before="0" w:beforeAutospacing="0" w:after="0" w:afterAutospacing="0"/>
        <w:ind w:left="57" w:right="57"/>
      </w:pPr>
    </w:p>
    <w:p w14:paraId="64C5DAE4" w14:textId="77777777" w:rsidR="00EA7BD0" w:rsidRDefault="00EA7BD0" w:rsidP="008A74AC">
      <w:pPr>
        <w:pStyle w:val="naisf"/>
        <w:spacing w:before="0" w:beforeAutospacing="0" w:after="0" w:afterAutospacing="0"/>
        <w:ind w:left="57" w:right="57"/>
      </w:pPr>
    </w:p>
    <w:p w14:paraId="156B4428" w14:textId="77777777" w:rsidR="00EA7BD0" w:rsidRDefault="00EA7BD0" w:rsidP="008A74AC">
      <w:pPr>
        <w:pStyle w:val="naisf"/>
        <w:spacing w:before="0" w:beforeAutospacing="0" w:after="0" w:afterAutospacing="0"/>
        <w:ind w:left="57" w:right="57"/>
      </w:pPr>
    </w:p>
    <w:p w14:paraId="4F227884" w14:textId="77777777" w:rsidR="00EA7BD0" w:rsidRDefault="00EA7BD0" w:rsidP="008A74AC">
      <w:pPr>
        <w:pStyle w:val="naisf"/>
        <w:spacing w:before="0" w:beforeAutospacing="0" w:after="0" w:afterAutospacing="0"/>
        <w:ind w:left="57" w:right="57"/>
      </w:pPr>
    </w:p>
    <w:p w14:paraId="78762C74" w14:textId="77777777" w:rsidR="00EA7BD0" w:rsidRDefault="00EA7BD0" w:rsidP="008A74AC">
      <w:pPr>
        <w:pStyle w:val="naisf"/>
        <w:spacing w:before="0" w:beforeAutospacing="0" w:after="0" w:afterAutospacing="0"/>
        <w:ind w:left="57" w:right="57"/>
      </w:pPr>
    </w:p>
    <w:p w14:paraId="68944970" w14:textId="77777777" w:rsidR="00EA7BD0" w:rsidRDefault="00EA7BD0" w:rsidP="008A74AC">
      <w:pPr>
        <w:pStyle w:val="naisf"/>
        <w:spacing w:before="0" w:beforeAutospacing="0" w:after="0" w:afterAutospacing="0"/>
        <w:ind w:left="57" w:right="57"/>
      </w:pPr>
    </w:p>
    <w:p w14:paraId="1BD22BBA" w14:textId="77777777" w:rsidR="00EA7BD0" w:rsidRDefault="00EA7BD0" w:rsidP="008A74AC">
      <w:pPr>
        <w:pStyle w:val="naisf"/>
        <w:spacing w:before="0" w:beforeAutospacing="0" w:after="0" w:afterAutospacing="0"/>
        <w:ind w:left="57" w:right="57"/>
      </w:pPr>
    </w:p>
    <w:p w14:paraId="68E43078" w14:textId="77777777" w:rsidR="00EA7BD0" w:rsidRDefault="00EA7BD0" w:rsidP="008A74AC">
      <w:pPr>
        <w:pStyle w:val="naisf"/>
        <w:spacing w:before="0" w:beforeAutospacing="0" w:after="0" w:afterAutospacing="0"/>
        <w:ind w:left="57" w:right="57"/>
      </w:pPr>
    </w:p>
    <w:p w14:paraId="15246AC0" w14:textId="77777777" w:rsidR="00EA7BD0" w:rsidRDefault="00EA7BD0" w:rsidP="008A74AC">
      <w:pPr>
        <w:pStyle w:val="naisf"/>
        <w:spacing w:before="0" w:beforeAutospacing="0" w:after="0" w:afterAutospacing="0"/>
        <w:ind w:left="57" w:right="57"/>
      </w:pPr>
    </w:p>
    <w:p w14:paraId="7F3642D7" w14:textId="77777777" w:rsidR="00EA7BD0" w:rsidRDefault="00EA7BD0" w:rsidP="008A74AC">
      <w:pPr>
        <w:pStyle w:val="naisf"/>
        <w:spacing w:before="0" w:beforeAutospacing="0" w:after="0" w:afterAutospacing="0"/>
        <w:ind w:left="57" w:right="57"/>
      </w:pPr>
    </w:p>
    <w:p w14:paraId="5FAF2B6A" w14:textId="77777777" w:rsidR="00EA7BD0" w:rsidRDefault="00EA7BD0" w:rsidP="008A74AC">
      <w:pPr>
        <w:pStyle w:val="naisf"/>
        <w:spacing w:before="0" w:beforeAutospacing="0" w:after="0" w:afterAutospacing="0"/>
        <w:ind w:left="57" w:right="57"/>
      </w:pPr>
    </w:p>
    <w:p w14:paraId="5E215E58" w14:textId="77777777" w:rsidR="00EA7BD0" w:rsidRDefault="00EA7BD0" w:rsidP="008A74AC">
      <w:pPr>
        <w:pStyle w:val="naisf"/>
        <w:spacing w:before="0" w:beforeAutospacing="0" w:after="0" w:afterAutospacing="0"/>
        <w:ind w:left="57" w:right="57"/>
      </w:pPr>
    </w:p>
    <w:p w14:paraId="7DDD8660" w14:textId="77777777" w:rsidR="00EA7BD0" w:rsidRPr="00DC04B7" w:rsidRDefault="00EA7BD0" w:rsidP="008A74AC">
      <w:pPr>
        <w:pStyle w:val="naisf"/>
        <w:spacing w:before="0" w:beforeAutospacing="0" w:after="0" w:afterAutospacing="0"/>
        <w:ind w:left="57" w:right="57"/>
        <w:rPr>
          <w:sz w:val="20"/>
          <w:szCs w:val="20"/>
        </w:rPr>
      </w:pPr>
    </w:p>
    <w:p w14:paraId="654AF251" w14:textId="0C626C2F" w:rsidR="005128C9" w:rsidRPr="00DC04B7" w:rsidRDefault="00EC0E20" w:rsidP="005128C9">
      <w:pPr>
        <w:pStyle w:val="naisf"/>
        <w:spacing w:before="0" w:beforeAutospacing="0" w:after="0" w:afterAutospacing="0"/>
        <w:rPr>
          <w:sz w:val="20"/>
          <w:szCs w:val="20"/>
        </w:rPr>
      </w:pPr>
      <w:r w:rsidRPr="00DC04B7">
        <w:rPr>
          <w:sz w:val="20"/>
          <w:szCs w:val="20"/>
        </w:rPr>
        <w:fldChar w:fldCharType="begin"/>
      </w:r>
      <w:r w:rsidR="005128C9" w:rsidRPr="00DC04B7">
        <w:rPr>
          <w:sz w:val="20"/>
          <w:szCs w:val="20"/>
          <w:lang w:val="ru-RU"/>
        </w:rPr>
        <w:instrText xml:space="preserve"> TIME \@ "dd.MM.yyyy H:mm" </w:instrText>
      </w:r>
      <w:r w:rsidRPr="00DC04B7">
        <w:rPr>
          <w:sz w:val="20"/>
          <w:szCs w:val="20"/>
        </w:rPr>
        <w:fldChar w:fldCharType="separate"/>
      </w:r>
      <w:r w:rsidR="00D60F1A">
        <w:rPr>
          <w:noProof/>
          <w:sz w:val="20"/>
          <w:szCs w:val="20"/>
          <w:lang w:val="ru-RU"/>
        </w:rPr>
        <w:t>27.06.2014 12:08</w:t>
      </w:r>
      <w:r w:rsidRPr="00DC04B7">
        <w:rPr>
          <w:sz w:val="20"/>
          <w:szCs w:val="20"/>
        </w:rPr>
        <w:fldChar w:fldCharType="end"/>
      </w:r>
    </w:p>
    <w:bookmarkStart w:id="5" w:name="_GoBack"/>
    <w:bookmarkEnd w:id="5"/>
    <w:p w14:paraId="073F08D6" w14:textId="77777777" w:rsidR="00F21D18" w:rsidRPr="00DC04B7" w:rsidRDefault="00D01D8D" w:rsidP="00F21D18">
      <w:pPr>
        <w:spacing w:after="0" w:line="240" w:lineRule="auto"/>
        <w:rPr>
          <w:rFonts w:ascii="Times New Roman" w:hAnsi="Times New Roman" w:cs="Times New Roman"/>
          <w:noProof/>
          <w:sz w:val="20"/>
          <w:szCs w:val="20"/>
        </w:rPr>
      </w:pPr>
      <w:r w:rsidRPr="00DC04B7">
        <w:rPr>
          <w:rFonts w:ascii="Times New Roman" w:hAnsi="Times New Roman" w:cs="Times New Roman"/>
          <w:sz w:val="20"/>
          <w:szCs w:val="20"/>
        </w:rPr>
        <w:fldChar w:fldCharType="begin"/>
      </w:r>
      <w:r w:rsidRPr="00DC04B7">
        <w:rPr>
          <w:rFonts w:ascii="Times New Roman" w:hAnsi="Times New Roman" w:cs="Times New Roman"/>
          <w:sz w:val="20"/>
          <w:szCs w:val="20"/>
        </w:rPr>
        <w:instrText xml:space="preserve"> NUMWORDS   \* MERGEFORMAT </w:instrText>
      </w:r>
      <w:r w:rsidRPr="00DC04B7">
        <w:rPr>
          <w:rFonts w:ascii="Times New Roman" w:hAnsi="Times New Roman" w:cs="Times New Roman"/>
          <w:sz w:val="20"/>
          <w:szCs w:val="20"/>
        </w:rPr>
        <w:fldChar w:fldCharType="separate"/>
      </w:r>
      <w:r w:rsidR="00D60F1A">
        <w:rPr>
          <w:rFonts w:ascii="Times New Roman" w:hAnsi="Times New Roman" w:cs="Times New Roman"/>
          <w:noProof/>
          <w:sz w:val="20"/>
          <w:szCs w:val="20"/>
        </w:rPr>
        <w:t>3550</w:t>
      </w:r>
      <w:r w:rsidRPr="00DC04B7">
        <w:rPr>
          <w:rFonts w:ascii="Times New Roman" w:hAnsi="Times New Roman" w:cs="Times New Roman"/>
          <w:noProof/>
          <w:sz w:val="20"/>
          <w:szCs w:val="20"/>
        </w:rPr>
        <w:fldChar w:fldCharType="end"/>
      </w:r>
    </w:p>
    <w:p w14:paraId="1842B371" w14:textId="77777777" w:rsidR="00F21D18" w:rsidRPr="00DC04B7" w:rsidRDefault="00F21D18" w:rsidP="00F21D18">
      <w:pPr>
        <w:spacing w:after="0" w:line="240" w:lineRule="auto"/>
        <w:rPr>
          <w:rFonts w:ascii="Times New Roman" w:hAnsi="Times New Roman" w:cs="Times New Roman"/>
          <w:sz w:val="20"/>
          <w:szCs w:val="20"/>
        </w:rPr>
      </w:pPr>
      <w:r w:rsidRPr="00DC04B7">
        <w:rPr>
          <w:rFonts w:ascii="Times New Roman" w:hAnsi="Times New Roman" w:cs="Times New Roman"/>
          <w:sz w:val="20"/>
          <w:szCs w:val="20"/>
        </w:rPr>
        <w:t>R.Nora, 67829546</w:t>
      </w:r>
    </w:p>
    <w:p w14:paraId="51EAA448" w14:textId="77777777" w:rsidR="00F21D18" w:rsidRPr="00DC04B7" w:rsidRDefault="00F674BF" w:rsidP="00F21D18">
      <w:pPr>
        <w:spacing w:after="0" w:line="240" w:lineRule="auto"/>
        <w:rPr>
          <w:rStyle w:val="Hyperlink"/>
          <w:rFonts w:ascii="Times New Roman" w:hAnsi="Times New Roman" w:cs="Times New Roman"/>
          <w:sz w:val="20"/>
          <w:szCs w:val="20"/>
        </w:rPr>
      </w:pPr>
      <w:hyperlink r:id="rId8" w:history="1">
        <w:r w:rsidR="00F21D18" w:rsidRPr="00DC04B7">
          <w:rPr>
            <w:rStyle w:val="Hyperlink"/>
            <w:rFonts w:ascii="Times New Roman" w:hAnsi="Times New Roman" w:cs="Times New Roman"/>
            <w:sz w:val="20"/>
            <w:szCs w:val="20"/>
          </w:rPr>
          <w:t>raitis.nora@vp.gov.lv</w:t>
        </w:r>
      </w:hyperlink>
    </w:p>
    <w:p w14:paraId="31AD3AC5" w14:textId="77777777" w:rsidR="00F21D18" w:rsidRPr="00DC04B7" w:rsidRDefault="00F21D18" w:rsidP="00F21D18">
      <w:pPr>
        <w:spacing w:after="0" w:line="240" w:lineRule="auto"/>
        <w:rPr>
          <w:rFonts w:ascii="Times New Roman" w:hAnsi="Times New Roman" w:cs="Times New Roman"/>
          <w:sz w:val="20"/>
          <w:szCs w:val="20"/>
        </w:rPr>
      </w:pPr>
      <w:proofErr w:type="spellStart"/>
      <w:r w:rsidRPr="00DC04B7">
        <w:rPr>
          <w:rFonts w:ascii="Times New Roman" w:hAnsi="Times New Roman" w:cs="Times New Roman"/>
          <w:sz w:val="20"/>
          <w:szCs w:val="20"/>
        </w:rPr>
        <w:t>A.Locs</w:t>
      </w:r>
      <w:proofErr w:type="spellEnd"/>
      <w:r w:rsidRPr="00DC04B7">
        <w:rPr>
          <w:rFonts w:ascii="Times New Roman" w:hAnsi="Times New Roman" w:cs="Times New Roman"/>
          <w:sz w:val="20"/>
          <w:szCs w:val="20"/>
        </w:rPr>
        <w:t>, 67208111</w:t>
      </w:r>
    </w:p>
    <w:p w14:paraId="5DB45E86" w14:textId="77777777" w:rsidR="00F21D18" w:rsidRPr="00DC04B7" w:rsidRDefault="00F674BF" w:rsidP="00F21D18">
      <w:pPr>
        <w:spacing w:after="0" w:line="240" w:lineRule="auto"/>
        <w:rPr>
          <w:rStyle w:val="Hyperlink"/>
          <w:rFonts w:ascii="Times New Roman" w:hAnsi="Times New Roman" w:cs="Times New Roman"/>
          <w:sz w:val="20"/>
          <w:szCs w:val="20"/>
        </w:rPr>
      </w:pPr>
      <w:hyperlink r:id="rId9" w:history="1">
        <w:r w:rsidR="00F21D18" w:rsidRPr="00DC04B7">
          <w:rPr>
            <w:rStyle w:val="Hyperlink"/>
            <w:rFonts w:ascii="Times New Roman" w:hAnsi="Times New Roman" w:cs="Times New Roman"/>
            <w:sz w:val="20"/>
            <w:szCs w:val="20"/>
          </w:rPr>
          <w:t>andris.locs@vp.gov.lv</w:t>
        </w:r>
      </w:hyperlink>
    </w:p>
    <w:p w14:paraId="6B9B150A" w14:textId="77777777" w:rsidR="00F21D18" w:rsidRPr="00DC04B7" w:rsidRDefault="00F21D18" w:rsidP="00F21D18">
      <w:pPr>
        <w:spacing w:after="0" w:line="240" w:lineRule="auto"/>
        <w:rPr>
          <w:rFonts w:ascii="Times New Roman" w:hAnsi="Times New Roman" w:cs="Times New Roman"/>
          <w:sz w:val="20"/>
          <w:szCs w:val="20"/>
        </w:rPr>
      </w:pPr>
      <w:proofErr w:type="spellStart"/>
      <w:r w:rsidRPr="00DC04B7">
        <w:rPr>
          <w:rFonts w:ascii="Times New Roman" w:hAnsi="Times New Roman" w:cs="Times New Roman"/>
          <w:sz w:val="20"/>
          <w:szCs w:val="20"/>
        </w:rPr>
        <w:t>N.Dorožko</w:t>
      </w:r>
      <w:proofErr w:type="spellEnd"/>
      <w:r w:rsidRPr="00DC04B7">
        <w:rPr>
          <w:rFonts w:ascii="Times New Roman" w:hAnsi="Times New Roman" w:cs="Times New Roman"/>
          <w:sz w:val="20"/>
          <w:szCs w:val="20"/>
        </w:rPr>
        <w:t>, 67075408</w:t>
      </w:r>
    </w:p>
    <w:p w14:paraId="3CE5BF9C" w14:textId="4F82C869" w:rsidR="00F21D18" w:rsidRPr="00DC04B7" w:rsidRDefault="00F674BF" w:rsidP="00EA7BD0">
      <w:pPr>
        <w:spacing w:after="0" w:line="240" w:lineRule="auto"/>
        <w:rPr>
          <w:rStyle w:val="Hyperlink"/>
          <w:rFonts w:ascii="Times New Roman" w:hAnsi="Times New Roman" w:cs="Times New Roman"/>
          <w:sz w:val="20"/>
          <w:szCs w:val="20"/>
        </w:rPr>
      </w:pPr>
      <w:hyperlink r:id="rId10" w:history="1">
        <w:r w:rsidR="00F21D18" w:rsidRPr="00DC04B7">
          <w:rPr>
            <w:rStyle w:val="Hyperlink"/>
            <w:rFonts w:ascii="Times New Roman" w:hAnsi="Times New Roman" w:cs="Times New Roman"/>
            <w:sz w:val="20"/>
            <w:szCs w:val="20"/>
          </w:rPr>
          <w:t>natalija.dorozko@vp.gov.lv</w:t>
        </w:r>
      </w:hyperlink>
    </w:p>
    <w:p w14:paraId="3A830737" w14:textId="49D68CE7" w:rsidR="00DC04B7" w:rsidRPr="00DC04B7" w:rsidRDefault="00DC04B7" w:rsidP="00DC04B7">
      <w:pPr>
        <w:spacing w:after="0" w:line="240" w:lineRule="auto"/>
        <w:rPr>
          <w:rFonts w:ascii="Times New Roman" w:hAnsi="Times New Roman" w:cs="Times New Roman"/>
          <w:sz w:val="20"/>
          <w:szCs w:val="20"/>
        </w:rPr>
      </w:pPr>
      <w:r w:rsidRPr="00DC04B7">
        <w:rPr>
          <w:rFonts w:ascii="Times New Roman" w:hAnsi="Times New Roman" w:cs="Times New Roman"/>
          <w:sz w:val="20"/>
          <w:szCs w:val="20"/>
        </w:rPr>
        <w:t>S.Frolova, 67219607</w:t>
      </w:r>
    </w:p>
    <w:p w14:paraId="3D4DBD36" w14:textId="71BC82C7" w:rsidR="00DC04B7" w:rsidRPr="00DC04B7" w:rsidRDefault="00F674BF" w:rsidP="00DC04B7">
      <w:pPr>
        <w:spacing w:after="0" w:line="240" w:lineRule="auto"/>
        <w:rPr>
          <w:rFonts w:ascii="Times New Roman" w:hAnsi="Times New Roman" w:cs="Times New Roman"/>
          <w:sz w:val="20"/>
          <w:szCs w:val="20"/>
        </w:rPr>
      </w:pPr>
      <w:hyperlink r:id="rId11" w:history="1">
        <w:r w:rsidR="00DC04B7" w:rsidRPr="00DC04B7">
          <w:rPr>
            <w:rStyle w:val="Hyperlink"/>
            <w:rFonts w:ascii="Times New Roman" w:hAnsi="Times New Roman" w:cs="Times New Roman"/>
            <w:sz w:val="20"/>
            <w:szCs w:val="20"/>
          </w:rPr>
          <w:t>santa.frolova@iem.gov.lv</w:t>
        </w:r>
      </w:hyperlink>
      <w:r w:rsidR="00DC04B7" w:rsidRPr="00DC04B7">
        <w:rPr>
          <w:rFonts w:ascii="Times New Roman" w:hAnsi="Times New Roman" w:cs="Times New Roman"/>
          <w:sz w:val="20"/>
          <w:szCs w:val="20"/>
        </w:rPr>
        <w:t xml:space="preserve"> </w:t>
      </w:r>
    </w:p>
    <w:sectPr w:rsidR="00DC04B7" w:rsidRPr="00DC04B7" w:rsidSect="00855CB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CF08" w14:textId="77777777" w:rsidR="00F674BF" w:rsidRDefault="00F674BF" w:rsidP="00A61504">
      <w:pPr>
        <w:spacing w:after="0" w:line="240" w:lineRule="auto"/>
      </w:pPr>
      <w:r>
        <w:separator/>
      </w:r>
    </w:p>
  </w:endnote>
  <w:endnote w:type="continuationSeparator" w:id="0">
    <w:p w14:paraId="1C2C425C" w14:textId="77777777" w:rsidR="00F674BF" w:rsidRDefault="00F674BF"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42B0" w14:textId="77777777" w:rsidR="00BF6FC5" w:rsidRDefault="00BF6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0214" w14:textId="5006F513" w:rsidR="00BA6CFF" w:rsidRPr="006D2A8C" w:rsidRDefault="00EC0E20" w:rsidP="00BA6CFF">
    <w:pPr>
      <w:pStyle w:val="NormalWeb"/>
      <w:spacing w:before="0" w:beforeAutospacing="0" w:after="0" w:afterAutospacing="0"/>
      <w:jc w:val="both"/>
      <w:rPr>
        <w:noProof/>
        <w:sz w:val="20"/>
        <w:szCs w:val="20"/>
      </w:rPr>
    </w:pPr>
    <w:r w:rsidRPr="006D2A8C">
      <w:rPr>
        <w:sz w:val="20"/>
        <w:szCs w:val="20"/>
      </w:rPr>
      <w:fldChar w:fldCharType="begin"/>
    </w:r>
    <w:r w:rsidR="00A61504" w:rsidRPr="006D2A8C">
      <w:rPr>
        <w:sz w:val="20"/>
        <w:szCs w:val="20"/>
      </w:rPr>
      <w:instrText xml:space="preserve"> FILENAME </w:instrText>
    </w:r>
    <w:r w:rsidRPr="006D2A8C">
      <w:rPr>
        <w:sz w:val="20"/>
        <w:szCs w:val="20"/>
      </w:rPr>
      <w:fldChar w:fldCharType="separate"/>
    </w:r>
    <w:r w:rsidR="00BF6FC5">
      <w:rPr>
        <w:noProof/>
        <w:sz w:val="20"/>
        <w:szCs w:val="20"/>
      </w:rPr>
      <w:t>IEMAnot_270614_prez</w:t>
    </w:r>
    <w:r w:rsidRPr="006D2A8C">
      <w:rPr>
        <w:sz w:val="20"/>
        <w:szCs w:val="20"/>
      </w:rPr>
      <w:fldChar w:fldCharType="end"/>
    </w:r>
    <w:r w:rsidR="00A61504" w:rsidRPr="006D2A8C">
      <w:rPr>
        <w:sz w:val="20"/>
        <w:szCs w:val="20"/>
      </w:rPr>
      <w:t xml:space="preserve">; </w:t>
    </w:r>
    <w:r w:rsidR="00BA6CFF" w:rsidRPr="006D2A8C">
      <w:rPr>
        <w:noProof/>
        <w:sz w:val="20"/>
        <w:szCs w:val="20"/>
      </w:rPr>
      <w:t>Rīkojuma projekta „</w:t>
    </w:r>
    <w:r w:rsidR="00EA7BD0" w:rsidRPr="006D2A8C">
      <w:rPr>
        <w:noProof/>
        <w:sz w:val="20"/>
        <w:szCs w:val="20"/>
      </w:rPr>
      <w:t>Par finanšu līdzekļu piešķiršanu Iekšlietu ministrijai ar transportlīdzekļu iegādi saistītu izdevumu segšanai Latvijas Republikas prezidentūras Eiropas Savienības Padomē pasākumu nodrošināšanai</w:t>
    </w:r>
    <w:r w:rsidR="00BA6CFF" w:rsidRPr="006D2A8C">
      <w:rPr>
        <w:noProof/>
        <w:sz w:val="20"/>
        <w:szCs w:val="20"/>
      </w:rPr>
      <w:t xml:space="preserve">” sākotnējās ietekmes novērtējuma </w:t>
    </w:r>
    <w:smartTag w:uri="schemas-tilde-lv/tildestengine" w:element="veidnes">
      <w:smartTagPr>
        <w:attr w:name="text" w:val="ziņojums"/>
        <w:attr w:name="baseform" w:val="ziņojums"/>
        <w:attr w:name="id" w:val="-1"/>
      </w:smartTagPr>
      <w:r w:rsidR="00BA6CFF" w:rsidRPr="006D2A8C">
        <w:rPr>
          <w:noProof/>
          <w:sz w:val="20"/>
          <w:szCs w:val="20"/>
        </w:rPr>
        <w:t>ziņojums</w:t>
      </w:r>
    </w:smartTag>
    <w:r w:rsidR="00BA6CFF" w:rsidRPr="006D2A8C">
      <w:rPr>
        <w:noProof/>
        <w:sz w:val="20"/>
        <w:szCs w:val="20"/>
      </w:rPr>
      <w:t xml:space="preserve"> (anotācija)</w:t>
    </w:r>
  </w:p>
  <w:p w14:paraId="5FBA871D" w14:textId="77777777" w:rsidR="00A61504" w:rsidRPr="00A61504" w:rsidRDefault="00A61504" w:rsidP="00A61504">
    <w:pPr>
      <w:pStyle w:val="NormalWeb"/>
      <w:spacing w:before="0" w:beforeAutospacing="0" w:after="0" w:afterAutospacing="0"/>
      <w:jc w:val="both"/>
      <w:rPr>
        <w:b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CD92" w14:textId="3BFEADBF" w:rsidR="00BA6CFF" w:rsidRPr="006D2A8C" w:rsidRDefault="00EC0E20" w:rsidP="00BA6CFF">
    <w:pPr>
      <w:pStyle w:val="NormalWeb"/>
      <w:spacing w:before="0" w:beforeAutospacing="0" w:after="0" w:afterAutospacing="0"/>
      <w:jc w:val="both"/>
      <w:rPr>
        <w:noProof/>
        <w:sz w:val="20"/>
        <w:szCs w:val="20"/>
      </w:rPr>
    </w:pPr>
    <w:r w:rsidRPr="006D2A8C">
      <w:rPr>
        <w:sz w:val="20"/>
        <w:szCs w:val="20"/>
      </w:rPr>
      <w:fldChar w:fldCharType="begin"/>
    </w:r>
    <w:r w:rsidR="003E708D" w:rsidRPr="006D2A8C">
      <w:rPr>
        <w:sz w:val="20"/>
        <w:szCs w:val="20"/>
      </w:rPr>
      <w:instrText xml:space="preserve"> FILENAME </w:instrText>
    </w:r>
    <w:r w:rsidRPr="006D2A8C">
      <w:rPr>
        <w:sz w:val="20"/>
        <w:szCs w:val="20"/>
      </w:rPr>
      <w:fldChar w:fldCharType="separate"/>
    </w:r>
    <w:r w:rsidR="00BF6FC5">
      <w:rPr>
        <w:noProof/>
        <w:sz w:val="20"/>
        <w:szCs w:val="20"/>
      </w:rPr>
      <w:t>IEMAnot_270614_prez</w:t>
    </w:r>
    <w:r w:rsidRPr="006D2A8C">
      <w:rPr>
        <w:sz w:val="20"/>
        <w:szCs w:val="20"/>
      </w:rPr>
      <w:fldChar w:fldCharType="end"/>
    </w:r>
    <w:r w:rsidR="003E708D" w:rsidRPr="006D2A8C">
      <w:rPr>
        <w:sz w:val="20"/>
        <w:szCs w:val="20"/>
      </w:rPr>
      <w:t xml:space="preserve">; </w:t>
    </w:r>
    <w:r w:rsidR="00BA6CFF" w:rsidRPr="006D2A8C">
      <w:rPr>
        <w:noProof/>
        <w:sz w:val="20"/>
        <w:szCs w:val="20"/>
      </w:rPr>
      <w:t>Rīkojuma projekta „</w:t>
    </w:r>
    <w:r w:rsidR="00EA7BD0" w:rsidRPr="006D2A8C">
      <w:rPr>
        <w:noProof/>
        <w:sz w:val="20"/>
        <w:szCs w:val="20"/>
      </w:rPr>
      <w:t>Par finanšu līdzekļu piešķiršanu Iekšlietu ministrijai ar transportlīdzekļu iegādi saistītu izdevumu segšanai Latvijas Republikas prezidentūras Eiropas Savienības Padomē pasākumu nodrošināšanai</w:t>
    </w:r>
    <w:r w:rsidR="00BA6CFF" w:rsidRPr="006D2A8C">
      <w:rPr>
        <w:noProof/>
        <w:sz w:val="20"/>
        <w:szCs w:val="20"/>
      </w:rPr>
      <w:t xml:space="preserve">” sākotnējās ietekmes novērtējuma </w:t>
    </w:r>
    <w:smartTag w:uri="schemas-tilde-lv/tildestengine" w:element="veidnes">
      <w:smartTagPr>
        <w:attr w:name="text" w:val="ziņojums"/>
        <w:attr w:name="baseform" w:val="ziņojums"/>
        <w:attr w:name="id" w:val="-1"/>
      </w:smartTagPr>
      <w:r w:rsidR="00BA6CFF" w:rsidRPr="006D2A8C">
        <w:rPr>
          <w:noProof/>
          <w:sz w:val="20"/>
          <w:szCs w:val="20"/>
        </w:rPr>
        <w:t>ziņojums</w:t>
      </w:r>
    </w:smartTag>
    <w:r w:rsidR="00BA6CFF" w:rsidRPr="006D2A8C">
      <w:rPr>
        <w:noProof/>
        <w:sz w:val="20"/>
        <w:szCs w:val="20"/>
      </w:rPr>
      <w:t xml:space="preserve"> (anotācija)</w:t>
    </w:r>
  </w:p>
  <w:p w14:paraId="6B4E12AF" w14:textId="77777777" w:rsidR="003E708D" w:rsidRDefault="003E708D" w:rsidP="00BA6CFF">
    <w:pPr>
      <w:pStyle w:val="NormalWeb"/>
      <w:spacing w:before="0" w:beforeAutospacing="0" w:after="0" w:afterAutospacing="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BB6A" w14:textId="77777777" w:rsidR="00F674BF" w:rsidRDefault="00F674BF" w:rsidP="00A61504">
      <w:pPr>
        <w:spacing w:after="0" w:line="240" w:lineRule="auto"/>
      </w:pPr>
      <w:r>
        <w:separator/>
      </w:r>
    </w:p>
  </w:footnote>
  <w:footnote w:type="continuationSeparator" w:id="0">
    <w:p w14:paraId="16B6F827" w14:textId="77777777" w:rsidR="00F674BF" w:rsidRDefault="00F674BF"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839E" w14:textId="77777777" w:rsidR="00BF6FC5" w:rsidRDefault="00BF6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14:paraId="34C1F075" w14:textId="77777777" w:rsidR="00855CB7" w:rsidRPr="00855CB7" w:rsidRDefault="00EC0E20">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00855CB7"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D60F1A">
          <w:rPr>
            <w:rFonts w:ascii="Times New Roman" w:hAnsi="Times New Roman" w:cs="Times New Roman"/>
            <w:noProof/>
            <w:sz w:val="20"/>
            <w:szCs w:val="20"/>
          </w:rPr>
          <w:t>12</w:t>
        </w:r>
        <w:r w:rsidRPr="00855CB7">
          <w:rPr>
            <w:rFonts w:ascii="Times New Roman" w:hAnsi="Times New Roman" w:cs="Times New Roman"/>
            <w:noProof/>
            <w:sz w:val="20"/>
            <w:szCs w:val="20"/>
          </w:rPr>
          <w:fldChar w:fldCharType="end"/>
        </w:r>
      </w:p>
    </w:sdtContent>
  </w:sdt>
  <w:p w14:paraId="0F329245" w14:textId="77777777" w:rsidR="00855CB7" w:rsidRDefault="00855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23EF" w14:textId="77777777" w:rsidR="00BF6FC5" w:rsidRDefault="00BF6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4B78"/>
    <w:multiLevelType w:val="hybridMultilevel"/>
    <w:tmpl w:val="45483532"/>
    <w:lvl w:ilvl="0" w:tplc="CFBE4E90">
      <w:numFmt w:val="bullet"/>
      <w:lvlText w:val="-"/>
      <w:lvlJc w:val="left"/>
      <w:pPr>
        <w:ind w:left="1256" w:hanging="360"/>
      </w:pPr>
      <w:rPr>
        <w:rFonts w:ascii="Times New Roman" w:eastAsia="Calibri" w:hAnsi="Times New Roman" w:cs="Times New Roman"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
    <w:nsid w:val="52C50A5C"/>
    <w:multiLevelType w:val="hybridMultilevel"/>
    <w:tmpl w:val="27D685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F915B1"/>
    <w:multiLevelType w:val="hybridMultilevel"/>
    <w:tmpl w:val="9AA89E58"/>
    <w:lvl w:ilvl="0" w:tplc="FDE6EF3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C773432"/>
    <w:multiLevelType w:val="hybridMultilevel"/>
    <w:tmpl w:val="CEFAF702"/>
    <w:lvl w:ilvl="0" w:tplc="84F29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14682"/>
    <w:rsid w:val="00016AB4"/>
    <w:rsid w:val="00024C31"/>
    <w:rsid w:val="00041784"/>
    <w:rsid w:val="00054FC6"/>
    <w:rsid w:val="00082DC3"/>
    <w:rsid w:val="000843D2"/>
    <w:rsid w:val="000852C4"/>
    <w:rsid w:val="000860B2"/>
    <w:rsid w:val="00096ACC"/>
    <w:rsid w:val="000A0997"/>
    <w:rsid w:val="000B03F8"/>
    <w:rsid w:val="000C74ED"/>
    <w:rsid w:val="000E63B9"/>
    <w:rsid w:val="000F5EDB"/>
    <w:rsid w:val="00104F72"/>
    <w:rsid w:val="001220EE"/>
    <w:rsid w:val="001240D5"/>
    <w:rsid w:val="0013147A"/>
    <w:rsid w:val="00156B92"/>
    <w:rsid w:val="00180D09"/>
    <w:rsid w:val="001822D6"/>
    <w:rsid w:val="001A0E71"/>
    <w:rsid w:val="001B04E2"/>
    <w:rsid w:val="001D6D73"/>
    <w:rsid w:val="001F3CC6"/>
    <w:rsid w:val="00206EB2"/>
    <w:rsid w:val="0022206E"/>
    <w:rsid w:val="00224BF5"/>
    <w:rsid w:val="00230741"/>
    <w:rsid w:val="002402A6"/>
    <w:rsid w:val="00245A2A"/>
    <w:rsid w:val="002462D0"/>
    <w:rsid w:val="00270810"/>
    <w:rsid w:val="0029083D"/>
    <w:rsid w:val="002A41AC"/>
    <w:rsid w:val="002B0525"/>
    <w:rsid w:val="002F5DBA"/>
    <w:rsid w:val="00301746"/>
    <w:rsid w:val="003200D4"/>
    <w:rsid w:val="00350BAD"/>
    <w:rsid w:val="0035422A"/>
    <w:rsid w:val="00354570"/>
    <w:rsid w:val="00373337"/>
    <w:rsid w:val="0037661D"/>
    <w:rsid w:val="0039456E"/>
    <w:rsid w:val="003B7958"/>
    <w:rsid w:val="003C197A"/>
    <w:rsid w:val="003C2F8A"/>
    <w:rsid w:val="003D06C8"/>
    <w:rsid w:val="003D511A"/>
    <w:rsid w:val="003E708D"/>
    <w:rsid w:val="003F55FE"/>
    <w:rsid w:val="004228C7"/>
    <w:rsid w:val="0043491D"/>
    <w:rsid w:val="00436B92"/>
    <w:rsid w:val="00437605"/>
    <w:rsid w:val="00443B51"/>
    <w:rsid w:val="00467E9D"/>
    <w:rsid w:val="00473220"/>
    <w:rsid w:val="004C3860"/>
    <w:rsid w:val="004D0B5B"/>
    <w:rsid w:val="0050177D"/>
    <w:rsid w:val="00503555"/>
    <w:rsid w:val="00503B6A"/>
    <w:rsid w:val="005128C9"/>
    <w:rsid w:val="00532841"/>
    <w:rsid w:val="005328A6"/>
    <w:rsid w:val="00546D87"/>
    <w:rsid w:val="0055466C"/>
    <w:rsid w:val="005665E0"/>
    <w:rsid w:val="00577823"/>
    <w:rsid w:val="00577B1B"/>
    <w:rsid w:val="00584A28"/>
    <w:rsid w:val="00585ADC"/>
    <w:rsid w:val="005A23F1"/>
    <w:rsid w:val="005C2328"/>
    <w:rsid w:val="005C463B"/>
    <w:rsid w:val="005D0571"/>
    <w:rsid w:val="005D2C25"/>
    <w:rsid w:val="005E3D85"/>
    <w:rsid w:val="005F015E"/>
    <w:rsid w:val="005F147F"/>
    <w:rsid w:val="00605782"/>
    <w:rsid w:val="0066329A"/>
    <w:rsid w:val="006661D5"/>
    <w:rsid w:val="00680012"/>
    <w:rsid w:val="00682C86"/>
    <w:rsid w:val="006879ED"/>
    <w:rsid w:val="00690AE4"/>
    <w:rsid w:val="00693908"/>
    <w:rsid w:val="006A6537"/>
    <w:rsid w:val="006B4385"/>
    <w:rsid w:val="006D2A8C"/>
    <w:rsid w:val="006D5B51"/>
    <w:rsid w:val="006F293E"/>
    <w:rsid w:val="0071721D"/>
    <w:rsid w:val="00722701"/>
    <w:rsid w:val="00731279"/>
    <w:rsid w:val="00737EE0"/>
    <w:rsid w:val="00755FBC"/>
    <w:rsid w:val="0078619B"/>
    <w:rsid w:val="00794419"/>
    <w:rsid w:val="00795463"/>
    <w:rsid w:val="007B64C4"/>
    <w:rsid w:val="007C6487"/>
    <w:rsid w:val="007D3F9D"/>
    <w:rsid w:val="007F6B1C"/>
    <w:rsid w:val="00855CB7"/>
    <w:rsid w:val="00855DBD"/>
    <w:rsid w:val="008761BB"/>
    <w:rsid w:val="00892E48"/>
    <w:rsid w:val="008A16D7"/>
    <w:rsid w:val="008A74AC"/>
    <w:rsid w:val="008B054B"/>
    <w:rsid w:val="008C285E"/>
    <w:rsid w:val="008D69F2"/>
    <w:rsid w:val="008D7590"/>
    <w:rsid w:val="008E1202"/>
    <w:rsid w:val="008E1EE8"/>
    <w:rsid w:val="008E35AE"/>
    <w:rsid w:val="0093413E"/>
    <w:rsid w:val="0095358D"/>
    <w:rsid w:val="00960AB2"/>
    <w:rsid w:val="00963272"/>
    <w:rsid w:val="00974374"/>
    <w:rsid w:val="00976707"/>
    <w:rsid w:val="009832CD"/>
    <w:rsid w:val="009A470B"/>
    <w:rsid w:val="009A7072"/>
    <w:rsid w:val="009B24CA"/>
    <w:rsid w:val="009B4769"/>
    <w:rsid w:val="009E0EA3"/>
    <w:rsid w:val="009E59C6"/>
    <w:rsid w:val="00A302FA"/>
    <w:rsid w:val="00A3364E"/>
    <w:rsid w:val="00A36A71"/>
    <w:rsid w:val="00A5227C"/>
    <w:rsid w:val="00A566F7"/>
    <w:rsid w:val="00A61504"/>
    <w:rsid w:val="00A62D4E"/>
    <w:rsid w:val="00A77665"/>
    <w:rsid w:val="00A85A6B"/>
    <w:rsid w:val="00AD1C43"/>
    <w:rsid w:val="00AD600D"/>
    <w:rsid w:val="00AD79F1"/>
    <w:rsid w:val="00AE6228"/>
    <w:rsid w:val="00AF0E63"/>
    <w:rsid w:val="00AF6FD6"/>
    <w:rsid w:val="00AF709E"/>
    <w:rsid w:val="00AF792F"/>
    <w:rsid w:val="00B07A73"/>
    <w:rsid w:val="00B26B50"/>
    <w:rsid w:val="00B3221A"/>
    <w:rsid w:val="00B4568A"/>
    <w:rsid w:val="00B50250"/>
    <w:rsid w:val="00B63B8F"/>
    <w:rsid w:val="00BA4B0E"/>
    <w:rsid w:val="00BA6CFF"/>
    <w:rsid w:val="00BC33EB"/>
    <w:rsid w:val="00BC7C8A"/>
    <w:rsid w:val="00BD7652"/>
    <w:rsid w:val="00BE1640"/>
    <w:rsid w:val="00BE3027"/>
    <w:rsid w:val="00BF6FC5"/>
    <w:rsid w:val="00C12B7A"/>
    <w:rsid w:val="00C40A99"/>
    <w:rsid w:val="00C85076"/>
    <w:rsid w:val="00CD6B8D"/>
    <w:rsid w:val="00CE6700"/>
    <w:rsid w:val="00CF707C"/>
    <w:rsid w:val="00D01D8D"/>
    <w:rsid w:val="00D27854"/>
    <w:rsid w:val="00D5794E"/>
    <w:rsid w:val="00D60F1A"/>
    <w:rsid w:val="00D62AE2"/>
    <w:rsid w:val="00DA06ED"/>
    <w:rsid w:val="00DA4A11"/>
    <w:rsid w:val="00DC04B7"/>
    <w:rsid w:val="00DE1A2B"/>
    <w:rsid w:val="00DE1E3E"/>
    <w:rsid w:val="00DF66DD"/>
    <w:rsid w:val="00E307F8"/>
    <w:rsid w:val="00E35508"/>
    <w:rsid w:val="00E53494"/>
    <w:rsid w:val="00E624B4"/>
    <w:rsid w:val="00E7737A"/>
    <w:rsid w:val="00E85E03"/>
    <w:rsid w:val="00E9092E"/>
    <w:rsid w:val="00EA7BD0"/>
    <w:rsid w:val="00EB0184"/>
    <w:rsid w:val="00EB678C"/>
    <w:rsid w:val="00EC0E20"/>
    <w:rsid w:val="00EE74BD"/>
    <w:rsid w:val="00F21D18"/>
    <w:rsid w:val="00F23C20"/>
    <w:rsid w:val="00F47DF8"/>
    <w:rsid w:val="00F569CA"/>
    <w:rsid w:val="00F62295"/>
    <w:rsid w:val="00F63D59"/>
    <w:rsid w:val="00F6405A"/>
    <w:rsid w:val="00F670AE"/>
    <w:rsid w:val="00F674BF"/>
    <w:rsid w:val="00F70F7D"/>
    <w:rsid w:val="00F775EA"/>
    <w:rsid w:val="00F841AE"/>
    <w:rsid w:val="00FA66F6"/>
    <w:rsid w:val="00FB5064"/>
    <w:rsid w:val="00FB7D9C"/>
    <w:rsid w:val="00FC5C3B"/>
    <w:rsid w:val="00FD723F"/>
    <w:rsid w:val="00FE4EF0"/>
    <w:rsid w:val="00FE5879"/>
    <w:rsid w:val="00FF1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9DE9D1"/>
  <w15:docId w15:val="{80FBBED6-A54A-49BF-A38D-F088367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ListParagraph">
    <w:name w:val="List Paragraph"/>
    <w:basedOn w:val="Normal"/>
    <w:uiPriority w:val="34"/>
    <w:qFormat/>
    <w:rsid w:val="005D2C25"/>
    <w:pPr>
      <w:ind w:left="720"/>
      <w:contextualSpacing/>
    </w:pPr>
    <w:rPr>
      <w:rFonts w:ascii="Calibri" w:eastAsia="Calibri" w:hAnsi="Calibri" w:cs="Times New Roman"/>
    </w:rPr>
  </w:style>
  <w:style w:type="character" w:styleId="Emphasis">
    <w:name w:val="Emphasis"/>
    <w:basedOn w:val="DefaultParagraphFont"/>
    <w:qFormat/>
    <w:rsid w:val="00A302FA"/>
    <w:rPr>
      <w:b/>
      <w:bCs/>
      <w:i w:val="0"/>
      <w:iCs w:val="0"/>
    </w:rPr>
  </w:style>
  <w:style w:type="paragraph" w:styleId="BalloonText">
    <w:name w:val="Balloon Text"/>
    <w:basedOn w:val="Normal"/>
    <w:link w:val="BalloonTextChar"/>
    <w:uiPriority w:val="99"/>
    <w:semiHidden/>
    <w:unhideWhenUsed/>
    <w:rsid w:val="0013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7A"/>
    <w:rPr>
      <w:rFonts w:ascii="Tahoma" w:hAnsi="Tahoma" w:cs="Tahoma"/>
      <w:sz w:val="16"/>
      <w:szCs w:val="16"/>
    </w:rPr>
  </w:style>
  <w:style w:type="character" w:styleId="CommentReference">
    <w:name w:val="annotation reference"/>
    <w:basedOn w:val="DefaultParagraphFont"/>
    <w:uiPriority w:val="99"/>
    <w:semiHidden/>
    <w:unhideWhenUsed/>
    <w:rsid w:val="0013147A"/>
    <w:rPr>
      <w:sz w:val="16"/>
      <w:szCs w:val="16"/>
    </w:rPr>
  </w:style>
  <w:style w:type="paragraph" w:styleId="CommentText">
    <w:name w:val="annotation text"/>
    <w:basedOn w:val="Normal"/>
    <w:link w:val="CommentTextChar"/>
    <w:uiPriority w:val="99"/>
    <w:unhideWhenUsed/>
    <w:rsid w:val="0013147A"/>
    <w:pPr>
      <w:spacing w:line="240" w:lineRule="auto"/>
    </w:pPr>
    <w:rPr>
      <w:sz w:val="20"/>
      <w:szCs w:val="20"/>
    </w:rPr>
  </w:style>
  <w:style w:type="character" w:customStyle="1" w:styleId="CommentTextChar">
    <w:name w:val="Comment Text Char"/>
    <w:basedOn w:val="DefaultParagraphFont"/>
    <w:link w:val="CommentText"/>
    <w:uiPriority w:val="99"/>
    <w:rsid w:val="0013147A"/>
    <w:rPr>
      <w:sz w:val="20"/>
      <w:szCs w:val="20"/>
    </w:rPr>
  </w:style>
  <w:style w:type="paragraph" w:styleId="CommentSubject">
    <w:name w:val="annotation subject"/>
    <w:basedOn w:val="CommentText"/>
    <w:next w:val="CommentText"/>
    <w:link w:val="CommentSubjectChar"/>
    <w:uiPriority w:val="99"/>
    <w:semiHidden/>
    <w:unhideWhenUsed/>
    <w:rsid w:val="0013147A"/>
    <w:rPr>
      <w:b/>
      <w:bCs/>
    </w:rPr>
  </w:style>
  <w:style w:type="character" w:customStyle="1" w:styleId="CommentSubjectChar">
    <w:name w:val="Comment Subject Char"/>
    <w:basedOn w:val="CommentTextChar"/>
    <w:link w:val="CommentSubject"/>
    <w:uiPriority w:val="99"/>
    <w:semiHidden/>
    <w:rsid w:val="0013147A"/>
    <w:rPr>
      <w:b/>
      <w:bCs/>
      <w:sz w:val="20"/>
      <w:szCs w:val="20"/>
    </w:rPr>
  </w:style>
  <w:style w:type="paragraph" w:styleId="Revision">
    <w:name w:val="Revision"/>
    <w:hidden/>
    <w:uiPriority w:val="99"/>
    <w:semiHidden/>
    <w:rsid w:val="00104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88087">
      <w:bodyDiv w:val="1"/>
      <w:marLeft w:val="0"/>
      <w:marRight w:val="0"/>
      <w:marTop w:val="0"/>
      <w:marBottom w:val="0"/>
      <w:divBdr>
        <w:top w:val="none" w:sz="0" w:space="0" w:color="auto"/>
        <w:left w:val="none" w:sz="0" w:space="0" w:color="auto"/>
        <w:bottom w:val="none" w:sz="0" w:space="0" w:color="auto"/>
        <w:right w:val="none" w:sz="0" w:space="0" w:color="auto"/>
      </w:divBdr>
    </w:div>
    <w:div w:id="1618640876">
      <w:bodyDiv w:val="1"/>
      <w:marLeft w:val="0"/>
      <w:marRight w:val="0"/>
      <w:marTop w:val="0"/>
      <w:marBottom w:val="0"/>
      <w:divBdr>
        <w:top w:val="none" w:sz="0" w:space="0" w:color="auto"/>
        <w:left w:val="none" w:sz="0" w:space="0" w:color="auto"/>
        <w:bottom w:val="none" w:sz="0" w:space="0" w:color="auto"/>
        <w:right w:val="none" w:sz="0" w:space="0" w:color="auto"/>
      </w:divBdr>
      <w:divsChild>
        <w:div w:id="106195162">
          <w:marLeft w:val="0"/>
          <w:marRight w:val="0"/>
          <w:marTop w:val="0"/>
          <w:marBottom w:val="0"/>
          <w:divBdr>
            <w:top w:val="none" w:sz="0" w:space="0" w:color="auto"/>
            <w:left w:val="none" w:sz="0" w:space="0" w:color="auto"/>
            <w:bottom w:val="none" w:sz="0" w:space="0" w:color="auto"/>
            <w:right w:val="none" w:sz="0" w:space="0" w:color="auto"/>
          </w:divBdr>
        </w:div>
        <w:div w:id="18822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is.nora@vp.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ta.frolova@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alija.dorozko@vp.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dris.locs@vp.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3FBA-D66B-4B99-81C5-CB44F320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3616</Words>
  <Characters>26036</Characters>
  <Application>Microsoft Office Word</Application>
  <DocSecurity>0</DocSecurity>
  <Lines>813</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Santa Frolova</cp:lastModifiedBy>
  <cp:revision>36</cp:revision>
  <cp:lastPrinted>2014-06-04T11:01:00Z</cp:lastPrinted>
  <dcterms:created xsi:type="dcterms:W3CDTF">2014-06-05T05:14:00Z</dcterms:created>
  <dcterms:modified xsi:type="dcterms:W3CDTF">2014-06-27T09:08:00Z</dcterms:modified>
</cp:coreProperties>
</file>