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20" w:rsidRPr="008616B4" w:rsidRDefault="008616B4" w:rsidP="008616B4">
      <w:pPr>
        <w:pStyle w:val="Heading1"/>
        <w:spacing w:before="0" w:after="0"/>
        <w:ind w:left="360"/>
        <w:jc w:val="right"/>
        <w:rPr>
          <w:rFonts w:ascii="Times New Roman" w:hAnsi="Times New Roman"/>
          <w:b w:val="0"/>
          <w:kern w:val="0"/>
          <w:sz w:val="20"/>
          <w:szCs w:val="20"/>
        </w:rPr>
      </w:pPr>
      <w:r w:rsidRPr="008616B4">
        <w:rPr>
          <w:rFonts w:ascii="Times New Roman" w:hAnsi="Times New Roman"/>
          <w:b w:val="0"/>
          <w:kern w:val="0"/>
          <w:sz w:val="20"/>
          <w:szCs w:val="20"/>
        </w:rPr>
        <w:t>1.</w:t>
      </w:r>
      <w:r w:rsidR="006A34E5" w:rsidRPr="008616B4">
        <w:rPr>
          <w:rFonts w:ascii="Times New Roman" w:hAnsi="Times New Roman"/>
          <w:b w:val="0"/>
          <w:kern w:val="0"/>
          <w:sz w:val="20"/>
          <w:szCs w:val="20"/>
        </w:rPr>
        <w:t>p</w:t>
      </w:r>
      <w:r w:rsidR="002816AE" w:rsidRPr="008616B4">
        <w:rPr>
          <w:rFonts w:ascii="Times New Roman" w:hAnsi="Times New Roman"/>
          <w:b w:val="0"/>
          <w:kern w:val="0"/>
          <w:sz w:val="20"/>
          <w:szCs w:val="20"/>
        </w:rPr>
        <w:t>ielikums</w:t>
      </w:r>
    </w:p>
    <w:p w:rsidR="009A3B20" w:rsidRPr="008616B4" w:rsidRDefault="002816AE" w:rsidP="008616B4">
      <w:pPr>
        <w:pStyle w:val="naislab"/>
        <w:spacing w:before="0" w:after="0"/>
        <w:outlineLvl w:val="0"/>
        <w:rPr>
          <w:bCs/>
          <w:sz w:val="20"/>
          <w:szCs w:val="20"/>
        </w:rPr>
      </w:pPr>
      <w:r w:rsidRPr="008616B4">
        <w:rPr>
          <w:sz w:val="20"/>
          <w:szCs w:val="20"/>
        </w:rPr>
        <w:t xml:space="preserve"> </w:t>
      </w:r>
      <w:r w:rsidR="008616B4" w:rsidRPr="008616B4">
        <w:rPr>
          <w:sz w:val="20"/>
          <w:szCs w:val="20"/>
        </w:rPr>
        <w:tab/>
      </w:r>
      <w:r w:rsidR="008616B4" w:rsidRPr="008616B4">
        <w:rPr>
          <w:sz w:val="20"/>
          <w:szCs w:val="20"/>
        </w:rPr>
        <w:tab/>
      </w:r>
      <w:r w:rsidR="008616B4" w:rsidRPr="008616B4">
        <w:rPr>
          <w:sz w:val="20"/>
          <w:szCs w:val="20"/>
        </w:rPr>
        <w:tab/>
      </w:r>
      <w:r w:rsidR="008616B4" w:rsidRPr="008616B4">
        <w:rPr>
          <w:sz w:val="20"/>
          <w:szCs w:val="20"/>
        </w:rPr>
        <w:tab/>
      </w:r>
      <w:r w:rsidR="008616B4" w:rsidRPr="008616B4">
        <w:rPr>
          <w:sz w:val="20"/>
          <w:szCs w:val="20"/>
        </w:rPr>
        <w:tab/>
        <w:t xml:space="preserve"> Ministru </w:t>
      </w:r>
      <w:r w:rsidRPr="008616B4">
        <w:rPr>
          <w:sz w:val="20"/>
          <w:szCs w:val="20"/>
        </w:rPr>
        <w:t>kabineta rīkojuma projekta „</w:t>
      </w:r>
      <w:r w:rsidR="004B19D5" w:rsidRPr="008616B4">
        <w:rPr>
          <w:bCs/>
          <w:sz w:val="20"/>
          <w:szCs w:val="20"/>
        </w:rPr>
        <w:t>Grozījums</w:t>
      </w:r>
      <w:r w:rsidR="008616B4" w:rsidRPr="008616B4">
        <w:rPr>
          <w:bCs/>
          <w:sz w:val="20"/>
          <w:szCs w:val="20"/>
        </w:rPr>
        <w:t xml:space="preserve"> </w:t>
      </w:r>
      <w:r w:rsidRPr="008616B4">
        <w:rPr>
          <w:bCs/>
          <w:sz w:val="20"/>
          <w:szCs w:val="20"/>
        </w:rPr>
        <w:t>Ministru kabineta</w:t>
      </w:r>
      <w:r w:rsidR="008616B4" w:rsidRPr="008616B4">
        <w:rPr>
          <w:bCs/>
          <w:sz w:val="20"/>
          <w:szCs w:val="20"/>
        </w:rPr>
        <w:t xml:space="preserve"> </w:t>
      </w:r>
    </w:p>
    <w:p w:rsidR="009A3B20" w:rsidRPr="008616B4" w:rsidRDefault="002816AE" w:rsidP="008616B4">
      <w:pPr>
        <w:pStyle w:val="naislab"/>
        <w:spacing w:before="0" w:after="0"/>
        <w:outlineLvl w:val="0"/>
        <w:rPr>
          <w:bCs/>
          <w:sz w:val="20"/>
          <w:szCs w:val="20"/>
        </w:rPr>
      </w:pPr>
      <w:r w:rsidRPr="008616B4">
        <w:rPr>
          <w:bCs/>
          <w:sz w:val="20"/>
          <w:szCs w:val="20"/>
        </w:rPr>
        <w:t xml:space="preserve">2011.gada 27.jūlija rīkojumā Nr.347 „Par informācijas sistēmas </w:t>
      </w:r>
    </w:p>
    <w:p w:rsidR="009A3B20" w:rsidRPr="008616B4" w:rsidRDefault="002816AE" w:rsidP="008616B4">
      <w:pPr>
        <w:pStyle w:val="naislab"/>
        <w:spacing w:before="0" w:after="0"/>
        <w:outlineLvl w:val="0"/>
        <w:rPr>
          <w:bCs/>
          <w:sz w:val="20"/>
          <w:szCs w:val="20"/>
        </w:rPr>
      </w:pPr>
      <w:r w:rsidRPr="008616B4">
        <w:rPr>
          <w:bCs/>
          <w:sz w:val="20"/>
          <w:szCs w:val="20"/>
        </w:rPr>
        <w:t>darbības koncepcijas aprakstu „Pasu sistēmas un Vienotās migrācijas</w:t>
      </w:r>
    </w:p>
    <w:p w:rsidR="009A3B20" w:rsidRPr="008616B4" w:rsidRDefault="002816AE" w:rsidP="008616B4">
      <w:pPr>
        <w:pStyle w:val="naislab"/>
        <w:spacing w:before="0" w:after="0"/>
        <w:outlineLvl w:val="0"/>
        <w:rPr>
          <w:bCs/>
          <w:sz w:val="20"/>
          <w:szCs w:val="20"/>
        </w:rPr>
      </w:pPr>
      <w:r w:rsidRPr="008616B4">
        <w:rPr>
          <w:bCs/>
          <w:sz w:val="20"/>
          <w:szCs w:val="20"/>
        </w:rPr>
        <w:t xml:space="preserve"> informācijas sistēmas attīstība elektronisko identifikācijas</w:t>
      </w:r>
    </w:p>
    <w:p w:rsidR="009A3B20" w:rsidRPr="008616B4" w:rsidRDefault="002816AE" w:rsidP="008616B4">
      <w:pPr>
        <w:pStyle w:val="naislab"/>
        <w:spacing w:before="0" w:after="0"/>
        <w:outlineLvl w:val="0"/>
        <w:rPr>
          <w:sz w:val="20"/>
          <w:szCs w:val="20"/>
        </w:rPr>
      </w:pPr>
      <w:r w:rsidRPr="008616B4">
        <w:rPr>
          <w:bCs/>
          <w:sz w:val="20"/>
          <w:szCs w:val="20"/>
        </w:rPr>
        <w:t xml:space="preserve"> karšu un elektronisko uzturēšanās atļauju (karšu) izsniegšana”</w:t>
      </w:r>
      <w:r w:rsidRPr="008616B4">
        <w:rPr>
          <w:sz w:val="20"/>
          <w:szCs w:val="20"/>
        </w:rPr>
        <w:t xml:space="preserve">” </w:t>
      </w:r>
    </w:p>
    <w:p w:rsidR="009A3B20" w:rsidRPr="008616B4" w:rsidRDefault="004B19D5" w:rsidP="008616B4">
      <w:pPr>
        <w:pStyle w:val="naislab"/>
        <w:spacing w:before="0" w:after="0"/>
        <w:outlineLvl w:val="0"/>
        <w:rPr>
          <w:sz w:val="20"/>
          <w:szCs w:val="20"/>
        </w:rPr>
      </w:pPr>
      <w:r w:rsidRPr="008616B4">
        <w:rPr>
          <w:sz w:val="20"/>
          <w:szCs w:val="20"/>
        </w:rPr>
        <w:t>ietekmes novērtējuma ziņojumam</w:t>
      </w:r>
      <w:r w:rsidR="002816AE" w:rsidRPr="008616B4">
        <w:rPr>
          <w:sz w:val="20"/>
          <w:szCs w:val="20"/>
        </w:rPr>
        <w:t xml:space="preserve"> (anotācija</w:t>
      </w:r>
      <w:r w:rsidRPr="008616B4">
        <w:rPr>
          <w:sz w:val="20"/>
          <w:szCs w:val="20"/>
        </w:rPr>
        <w:t>i</w:t>
      </w:r>
      <w:r w:rsidR="002816AE" w:rsidRPr="008616B4">
        <w:rPr>
          <w:sz w:val="20"/>
          <w:szCs w:val="20"/>
        </w:rPr>
        <w:t>)</w:t>
      </w:r>
    </w:p>
    <w:p w:rsidR="009A3B20" w:rsidRPr="004B19D5" w:rsidRDefault="009A3B20" w:rsidP="004B19D5">
      <w:pPr>
        <w:pStyle w:val="naislab"/>
        <w:spacing w:before="0" w:after="0"/>
        <w:outlineLvl w:val="0"/>
      </w:pPr>
    </w:p>
    <w:p w:rsidR="009A3B20" w:rsidRPr="00945AC7" w:rsidRDefault="004B67B7" w:rsidP="00FC22FD">
      <w:pPr>
        <w:pStyle w:val="naisf"/>
        <w:spacing w:before="0" w:after="120"/>
        <w:ind w:right="6" w:firstLine="0"/>
        <w:jc w:val="center"/>
        <w:rPr>
          <w:b/>
          <w:sz w:val="28"/>
          <w:szCs w:val="28"/>
        </w:rPr>
      </w:pPr>
      <w:r w:rsidRPr="004B67B7">
        <w:rPr>
          <w:b/>
          <w:sz w:val="28"/>
          <w:szCs w:val="28"/>
        </w:rPr>
        <w:t>Personu apliecinošo dokumentu izsniegšanas procesa nodrošināšanai nepieciešamo izdevumu aprēķins</w:t>
      </w:r>
    </w:p>
    <w:tbl>
      <w:tblPr>
        <w:tblW w:w="9258"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12"/>
        <w:gridCol w:w="766"/>
        <w:gridCol w:w="2210"/>
        <w:gridCol w:w="3261"/>
        <w:gridCol w:w="2409"/>
      </w:tblGrid>
      <w:tr w:rsidR="009A3B20" w:rsidRPr="00C263AA" w:rsidTr="00B04998">
        <w:trPr>
          <w:trHeight w:val="975"/>
        </w:trPr>
        <w:tc>
          <w:tcPr>
            <w:tcW w:w="612"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Nr.p.k.</w:t>
            </w:r>
          </w:p>
        </w:tc>
        <w:tc>
          <w:tcPr>
            <w:tcW w:w="766"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Kods</w:t>
            </w:r>
          </w:p>
        </w:tc>
        <w:tc>
          <w:tcPr>
            <w:tcW w:w="2210"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Koda nosaukums</w:t>
            </w:r>
          </w:p>
        </w:tc>
        <w:tc>
          <w:tcPr>
            <w:tcW w:w="3261"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Detalizēts izdevumu aprēķins</w:t>
            </w:r>
          </w:p>
        </w:tc>
        <w:tc>
          <w:tcPr>
            <w:tcW w:w="2409"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Plānotie izdevumi, </w:t>
            </w:r>
            <w:r w:rsidR="000532DB" w:rsidRPr="00C263AA">
              <w:rPr>
                <w:rFonts w:ascii="Times New Roman" w:eastAsia="Times New Roman" w:hAnsi="Times New Roman"/>
                <w:i/>
                <w:color w:val="000000"/>
                <w:sz w:val="24"/>
                <w:szCs w:val="24"/>
              </w:rPr>
              <w:t>euro</w:t>
            </w:r>
          </w:p>
        </w:tc>
      </w:tr>
      <w:tr w:rsidR="009A3B20" w:rsidRPr="00C263AA" w:rsidTr="00B04998">
        <w:trPr>
          <w:trHeight w:val="300"/>
        </w:trPr>
        <w:tc>
          <w:tcPr>
            <w:tcW w:w="612"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i/>
                <w:color w:val="000000"/>
                <w:sz w:val="24"/>
                <w:szCs w:val="24"/>
              </w:rPr>
            </w:pPr>
            <w:r w:rsidRPr="00C263AA">
              <w:rPr>
                <w:rFonts w:ascii="Times New Roman" w:eastAsia="Times New Roman" w:hAnsi="Times New Roman"/>
                <w:i/>
                <w:color w:val="000000"/>
                <w:sz w:val="24"/>
                <w:szCs w:val="24"/>
              </w:rPr>
              <w:t>1</w:t>
            </w:r>
          </w:p>
        </w:tc>
        <w:tc>
          <w:tcPr>
            <w:tcW w:w="766"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i/>
                <w:color w:val="000000"/>
                <w:sz w:val="24"/>
                <w:szCs w:val="24"/>
              </w:rPr>
            </w:pPr>
            <w:r w:rsidRPr="00C263AA">
              <w:rPr>
                <w:rFonts w:ascii="Times New Roman" w:eastAsia="Times New Roman" w:hAnsi="Times New Roman"/>
                <w:i/>
                <w:color w:val="000000"/>
                <w:sz w:val="24"/>
                <w:szCs w:val="24"/>
              </w:rPr>
              <w:t>2</w:t>
            </w:r>
          </w:p>
        </w:tc>
        <w:tc>
          <w:tcPr>
            <w:tcW w:w="2210"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i/>
                <w:color w:val="000000"/>
                <w:sz w:val="24"/>
                <w:szCs w:val="24"/>
              </w:rPr>
            </w:pPr>
            <w:r w:rsidRPr="00C263AA">
              <w:rPr>
                <w:rFonts w:ascii="Times New Roman" w:eastAsia="Times New Roman" w:hAnsi="Times New Roman"/>
                <w:i/>
                <w:color w:val="000000"/>
                <w:sz w:val="24"/>
                <w:szCs w:val="24"/>
              </w:rPr>
              <w:t>3</w:t>
            </w:r>
          </w:p>
        </w:tc>
        <w:tc>
          <w:tcPr>
            <w:tcW w:w="3261"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i/>
                <w:color w:val="000000"/>
                <w:sz w:val="24"/>
                <w:szCs w:val="24"/>
              </w:rPr>
            </w:pPr>
            <w:r w:rsidRPr="00C263AA">
              <w:rPr>
                <w:rFonts w:ascii="Times New Roman" w:eastAsia="Times New Roman" w:hAnsi="Times New Roman"/>
                <w:i/>
                <w:color w:val="000000"/>
                <w:sz w:val="24"/>
                <w:szCs w:val="24"/>
              </w:rPr>
              <w:t>4</w:t>
            </w:r>
          </w:p>
        </w:tc>
        <w:tc>
          <w:tcPr>
            <w:tcW w:w="2409" w:type="dxa"/>
          </w:tcPr>
          <w:p w:rsidR="009A3B20" w:rsidRPr="00C263AA" w:rsidRDefault="002816AE" w:rsidP="001E08A9">
            <w:pPr>
              <w:widowControl w:val="0"/>
              <w:autoSpaceDE w:val="0"/>
              <w:autoSpaceDN w:val="0"/>
              <w:spacing w:after="0" w:line="240" w:lineRule="auto"/>
              <w:jc w:val="center"/>
              <w:rPr>
                <w:rFonts w:ascii="Times New Roman" w:eastAsia="Times New Roman" w:hAnsi="Times New Roman"/>
                <w:i/>
                <w:color w:val="000000"/>
                <w:sz w:val="24"/>
                <w:szCs w:val="24"/>
              </w:rPr>
            </w:pPr>
            <w:r w:rsidRPr="00C263AA">
              <w:rPr>
                <w:rFonts w:ascii="Times New Roman" w:eastAsia="Times New Roman" w:hAnsi="Times New Roman"/>
                <w:i/>
                <w:color w:val="000000"/>
                <w:sz w:val="24"/>
                <w:szCs w:val="24"/>
              </w:rPr>
              <w:t>5</w:t>
            </w:r>
          </w:p>
        </w:tc>
      </w:tr>
      <w:tr w:rsidR="0073269D" w:rsidRPr="00C263AA" w:rsidTr="00E65C43">
        <w:trPr>
          <w:trHeight w:val="871"/>
        </w:trPr>
        <w:tc>
          <w:tcPr>
            <w:tcW w:w="612" w:type="dxa"/>
            <w:shd w:val="clear" w:color="auto" w:fill="FBD4B4" w:themeFill="accent6" w:themeFillTint="66"/>
          </w:tcPr>
          <w:p w:rsidR="0073269D" w:rsidRPr="00C263AA" w:rsidRDefault="0073269D"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1</w:t>
            </w:r>
          </w:p>
        </w:tc>
        <w:tc>
          <w:tcPr>
            <w:tcW w:w="8646" w:type="dxa"/>
            <w:gridSpan w:val="4"/>
            <w:shd w:val="clear" w:color="auto" w:fill="FBD4B4" w:themeFill="accent6" w:themeFillTint="66"/>
          </w:tcPr>
          <w:p w:rsidR="0073269D" w:rsidRPr="00C263AA" w:rsidRDefault="005C4AA4" w:rsidP="001E08A9">
            <w:pPr>
              <w:spacing w:after="0" w:line="240" w:lineRule="auto"/>
              <w:jc w:val="center"/>
              <w:rPr>
                <w:rFonts w:ascii="Times New Roman" w:eastAsia="Times New Roman" w:hAnsi="Times New Roman"/>
                <w:b/>
                <w:color w:val="000000"/>
                <w:sz w:val="24"/>
                <w:szCs w:val="24"/>
              </w:rPr>
            </w:pPr>
            <w:r w:rsidRPr="00FB090B">
              <w:rPr>
                <w:rFonts w:ascii="Times New Roman" w:hAnsi="Times New Roman"/>
                <w:b/>
                <w:bCs/>
                <w:sz w:val="24"/>
                <w:szCs w:val="24"/>
              </w:rPr>
              <w:t>Nepieciešamā finansējuma aprēķins</w:t>
            </w:r>
            <w:r>
              <w:rPr>
                <w:rFonts w:ascii="Times New Roman" w:hAnsi="Times New Roman"/>
                <w:b/>
                <w:bCs/>
                <w:sz w:val="24"/>
                <w:szCs w:val="24"/>
              </w:rPr>
              <w:t xml:space="preserve"> </w:t>
            </w:r>
            <w:r w:rsidR="0073269D" w:rsidRPr="00C263AA">
              <w:rPr>
                <w:rFonts w:ascii="Times New Roman" w:hAnsi="Times New Roman"/>
                <w:b/>
                <w:bCs/>
                <w:sz w:val="24"/>
                <w:szCs w:val="24"/>
              </w:rPr>
              <w:t>2014.gadam Iekšlietu ministrijas budžeta apakšprogrammai 11.01.00 „Pilsonības un migrācijas lietu pārvalde”</w:t>
            </w:r>
          </w:p>
        </w:tc>
      </w:tr>
      <w:tr w:rsidR="00C3198E" w:rsidRPr="00C263AA" w:rsidTr="00E65C43">
        <w:trPr>
          <w:trHeight w:val="335"/>
        </w:trPr>
        <w:tc>
          <w:tcPr>
            <w:tcW w:w="6849" w:type="dxa"/>
            <w:gridSpan w:val="4"/>
          </w:tcPr>
          <w:p w:rsidR="00C3198E" w:rsidRPr="00C263AA" w:rsidRDefault="00C3198E" w:rsidP="001E08A9">
            <w:pPr>
              <w:widowControl w:val="0"/>
              <w:autoSpaceDE w:val="0"/>
              <w:autoSpaceDN w:val="0"/>
              <w:spacing w:after="0" w:line="240" w:lineRule="auto"/>
              <w:jc w:val="right"/>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Izdevumi kopā</w:t>
            </w:r>
          </w:p>
        </w:tc>
        <w:tc>
          <w:tcPr>
            <w:tcW w:w="2409" w:type="dxa"/>
            <w:shd w:val="clear" w:color="auto" w:fill="FBD4B4" w:themeFill="accent6" w:themeFillTint="66"/>
          </w:tcPr>
          <w:p w:rsidR="00C3198E" w:rsidRPr="00AA33D5" w:rsidRDefault="00C3198E"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AA33D5">
              <w:rPr>
                <w:rFonts w:ascii="Times New Roman" w:eastAsia="Times New Roman" w:hAnsi="Times New Roman"/>
                <w:b/>
                <w:color w:val="000000"/>
                <w:sz w:val="24"/>
                <w:szCs w:val="24"/>
              </w:rPr>
              <w:t>7 633 156</w:t>
            </w:r>
          </w:p>
        </w:tc>
      </w:tr>
      <w:tr w:rsidR="00B26AE1" w:rsidRPr="00C263AA" w:rsidTr="00591B05">
        <w:trPr>
          <w:trHeight w:val="242"/>
        </w:trPr>
        <w:tc>
          <w:tcPr>
            <w:tcW w:w="612" w:type="dxa"/>
            <w:vMerge w:val="restart"/>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1000</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Atlīdzība</w:t>
            </w:r>
          </w:p>
        </w:tc>
        <w:tc>
          <w:tcPr>
            <w:tcW w:w="326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800 543</w:t>
            </w:r>
          </w:p>
        </w:tc>
      </w:tr>
      <w:tr w:rsidR="00B26AE1" w:rsidRPr="00C263AA" w:rsidTr="00591B05">
        <w:trPr>
          <w:trHeight w:val="373"/>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1100</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Atalgojums</w:t>
            </w:r>
          </w:p>
        </w:tc>
        <w:tc>
          <w:tcPr>
            <w:tcW w:w="326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619 080</w:t>
            </w:r>
          </w:p>
        </w:tc>
      </w:tr>
      <w:tr w:rsidR="00B26AE1" w:rsidRPr="00C263AA" w:rsidTr="00B04998">
        <w:trPr>
          <w:trHeight w:val="1289"/>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1119</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Pārējo darbinieku mēneša amatalga</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73 klientu apkalpošanas speciālisti (amatu saime un līmenis – 23 IIA 6 mēnešalgu grupa) = vidējā mēnešalga 529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12 mēneši x 73 amata vietas = 463 404</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573 222</w:t>
            </w:r>
          </w:p>
        </w:tc>
      </w:tr>
      <w:tr w:rsidR="00B26AE1" w:rsidRPr="00C263AA" w:rsidTr="00B04998">
        <w:trPr>
          <w:trHeight w:val="133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6 operatori (amatu saime un līmenis – 13 III) = vidējā mēnešalga 449.25</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12 mēneši x 6 amata vietas = 32 346</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891"/>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12 referents (amatu saime un līmenis – 23 IIA 6 mēnešalgu grupa) = vidējā mēnešalga 538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12 mēneši x 6 amata vietas = 77 472</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83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1147</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Piemaksa par papildu darbu</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Vispārējas piemaksas 3% apmērā no plānotās mēnešalgas kopsummas gadā  573 222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0.03 = 17 197</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17 197</w:t>
            </w:r>
          </w:p>
        </w:tc>
      </w:tr>
      <w:tr w:rsidR="00B26AE1" w:rsidRPr="00C263AA" w:rsidTr="00B04998">
        <w:trPr>
          <w:trHeight w:val="1208"/>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1148</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Prēmijas, naudas balvas un materiālā stimulēšana</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Naudas balvas, prēmijas 5% no plānotās mēnešalgas kopsummas gadā 573 222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0.05 = 28 661</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28 661</w:t>
            </w:r>
          </w:p>
        </w:tc>
      </w:tr>
      <w:tr w:rsidR="00B26AE1" w:rsidRPr="00C263AA" w:rsidTr="00B04998">
        <w:trPr>
          <w:trHeight w:val="2097"/>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1200</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Darba devēja valsts sociālās apdrošināšanas obligātās  iemaksas, sociālā rakstura  pabalsti un kompensācijas</w:t>
            </w:r>
          </w:p>
        </w:tc>
        <w:tc>
          <w:tcPr>
            <w:tcW w:w="3261"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181 463</w:t>
            </w:r>
          </w:p>
        </w:tc>
      </w:tr>
      <w:tr w:rsidR="00B26AE1" w:rsidRPr="00C263AA" w:rsidTr="00B04998">
        <w:trPr>
          <w:trHeight w:val="1209"/>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1210</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Darba devēja valsts sociālās apdrošināšanas obligātās iemaksas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647 741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0,2359 = 152 802</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152 802</w:t>
            </w:r>
          </w:p>
        </w:tc>
      </w:tr>
      <w:tr w:rsidR="00B26AE1" w:rsidRPr="00C263AA" w:rsidTr="00591B05">
        <w:trPr>
          <w:trHeight w:val="135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1220</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Darba devēja sociāla rakstura pabalsti, kompensācijas un citi maksājumi</w:t>
            </w:r>
          </w:p>
        </w:tc>
        <w:tc>
          <w:tcPr>
            <w:tcW w:w="3261"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28 661</w:t>
            </w:r>
          </w:p>
        </w:tc>
      </w:tr>
      <w:tr w:rsidR="00B26AE1" w:rsidRPr="00C263AA" w:rsidTr="00B04998">
        <w:trPr>
          <w:trHeight w:val="1890"/>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1221</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Darba devēja sociāla rakstura pabalsti un kompensācijas, no kuriem aprēķina ienākuma nodokli un valsts sociālās apdrošināšanas obligātās iemaksas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Sociālās garantijas 5%  apmērā no plānotas mēnešalgas kopsummas gadā 573 222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0.05 = 28 661</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28 661</w:t>
            </w:r>
          </w:p>
        </w:tc>
      </w:tr>
      <w:tr w:rsidR="00B26AE1" w:rsidRPr="00C263AA" w:rsidTr="00B04998">
        <w:trPr>
          <w:trHeight w:val="31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2000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Preces un pakalpojumi</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5 589 512</w:t>
            </w:r>
          </w:p>
        </w:tc>
      </w:tr>
      <w:tr w:rsidR="00B26AE1" w:rsidRPr="00C263AA" w:rsidTr="00B04998">
        <w:trPr>
          <w:trHeight w:val="31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2200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Pakalpojumi </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1 506 986</w:t>
            </w:r>
          </w:p>
        </w:tc>
      </w:tr>
      <w:tr w:rsidR="00B26AE1" w:rsidRPr="00C263AA" w:rsidTr="00B04998">
        <w:trPr>
          <w:trHeight w:val="316"/>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2210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Pasta, telefona un citi sakaru pakalpojumi</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713</w:t>
            </w:r>
          </w:p>
        </w:tc>
      </w:tr>
      <w:tr w:rsidR="00B26AE1" w:rsidRPr="00C263AA" w:rsidTr="00B04998">
        <w:trPr>
          <w:trHeight w:val="1664"/>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2219</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Pārējie sakaru pakalpojumi</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Sakaru pakalpojumu izmaksu pieaugums par 20% pēc pagarinātā darba laika (par 6 stundām) ieviešanas klientu apkalpošanas kapacitātes paaugstināšanai. Sakaru pakalpojumi nodaļās vidēji gadā 3 567</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0.2 = 713</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713</w:t>
            </w:r>
          </w:p>
        </w:tc>
      </w:tr>
      <w:tr w:rsidR="00B26AE1" w:rsidRPr="00C263AA" w:rsidTr="00B04998">
        <w:trPr>
          <w:trHeight w:val="378"/>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2220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Izdevumi par komunālajiem pakalpojumiem</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15 172</w:t>
            </w:r>
          </w:p>
        </w:tc>
      </w:tr>
      <w:tr w:rsidR="00B26AE1" w:rsidRPr="00C263AA" w:rsidTr="00B04998">
        <w:trPr>
          <w:trHeight w:val="1672"/>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2222</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Izdevumi par ūdeni un kanalizāciju</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Ūdens un kanalizācijas izmaksu pieaugums par 75% pēc pagarinātā darba laika (par 6 stundām) ieviešanas klientu apkalpošanas kapacitātes paaugstināšanai. Ūdens un </w:t>
            </w:r>
            <w:r w:rsidRPr="00C263AA">
              <w:rPr>
                <w:rFonts w:ascii="Times New Roman" w:eastAsia="Times New Roman" w:hAnsi="Times New Roman"/>
                <w:color w:val="000000"/>
                <w:sz w:val="24"/>
                <w:szCs w:val="24"/>
              </w:rPr>
              <w:lastRenderedPageBreak/>
              <w:t>kanalizācijas izdevumi nodaļās vidēji gadā   878</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0.75 = 659</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lastRenderedPageBreak/>
              <w:t>659</w:t>
            </w:r>
          </w:p>
        </w:tc>
      </w:tr>
      <w:tr w:rsidR="00B26AE1" w:rsidRPr="00C263AA" w:rsidTr="00B04998">
        <w:trPr>
          <w:trHeight w:val="1755"/>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2223</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Izdevumi par elektroenerģiju</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Elektrības izmaksu pieaugums par 75% pēc pagarinātā darba laika (par 6 stundām)  ieviešanas klientu apkalpošanas kapacitātes paaugstināšanai. Elektrības izdevumi nodaļās vidēji gadā 19 351</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0.75 = 14 513</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14 513</w:t>
            </w:r>
          </w:p>
        </w:tc>
      </w:tr>
      <w:tr w:rsidR="00B26AE1" w:rsidRPr="00C263AA" w:rsidTr="00591B05">
        <w:trPr>
          <w:trHeight w:val="684"/>
        </w:trPr>
        <w:tc>
          <w:tcPr>
            <w:tcW w:w="612"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Remontdarbi un iestāžu uzturēšanas pakalpojumi (izņemot ēku, būvju un ceļu kapitālo remontu)</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214 515</w:t>
            </w:r>
          </w:p>
        </w:tc>
      </w:tr>
      <w:tr w:rsidR="00B26AE1" w:rsidRPr="00C263AA" w:rsidTr="00B04998">
        <w:trPr>
          <w:trHeight w:val="137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2243</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Iekārtas, inventāra un aparatūras remonts, tehniskā apkalpošana</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Biroja tehnikas apkopes un remonta izmaksu pieaugums par 75% pēc pagarinātā darba laika (par 6 stundām) ieviešanas klientu apkalpošanas kapacitātes paaugstināšanai. Vidēji gadā  2372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0.75 = 1779</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37 315</w:t>
            </w:r>
          </w:p>
        </w:tc>
      </w:tr>
      <w:tr w:rsidR="00B26AE1" w:rsidRPr="00C263AA" w:rsidTr="00591B05">
        <w:trPr>
          <w:trHeight w:val="472"/>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Pārvaldes Personalizācijas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1 953</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12 mēn. = 23 436</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1976"/>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Pārvaldes Personalizācijas centra tehniskā aprīkojuma remonts un apkalpošana (prognoze pamatojoties uz faktiskajiem izdevumiem iepriekšējos gados, saskaņā ar pašreizējiem līgumiem) – 10 000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2 100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12 100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177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2249</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Pārējie remontdarbu un iestāžu uzturēšanas pakalpojumi</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Informatīvā tālruņa par personu apliecinošu dokumentu izsniegšanas jautājumiem uzturēšanas izmaksas (prognoze pamatojoties uz faktiskajiem izdevumiem iepriekšējos gados, saskaņā ar pašreizējiem līgumiem) – 26 446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5 554</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32 000</w:t>
            </w:r>
            <w:r w:rsidRPr="00C263AA">
              <w:rPr>
                <w:rFonts w:ascii="Times New Roman" w:eastAsia="Times New Roman" w:hAnsi="Times New Roman"/>
                <w:i/>
                <w:color w:val="000000"/>
                <w:sz w:val="24"/>
                <w:szCs w:val="24"/>
              </w:rPr>
              <w:t xml:space="preserve"> euro</w:t>
            </w:r>
            <w:r w:rsidR="00591B05">
              <w:rPr>
                <w:rFonts w:ascii="Times New Roman" w:eastAsia="Times New Roman" w:hAnsi="Times New Roman"/>
                <w:i/>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177 200</w:t>
            </w:r>
          </w:p>
        </w:tc>
      </w:tr>
      <w:tr w:rsidR="00B26AE1" w:rsidRPr="00C263AA" w:rsidTr="00B04998">
        <w:trPr>
          <w:trHeight w:val="227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Informatīvu materiālu par personu apliecinošiem dokumentiem (piemēram, jaunā parauga pasēm) sagatavošanas, ražošanas un izplatīšanas izmaksas (prognoze pamatojoties uz veikto tirgus izpēti un paredzēto informatīvo materiālu skaitu un specifikāciju) –10 000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2 100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12 100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1575"/>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Jaunā personu apliecinošu dokumentu izsniegšanas darba vietas aprīkojuma piegāde uz teritoriālajām nodaļām un pārstāvniecībām ārvalstīs (prognoze pamatojoties uz faktiskajiem izdevumiem par līdzīgām piegādēm iepriekšējos gados) – 50 000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10 500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60 500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502"/>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Personalizēto personu apliecinošu dokumentu </w:t>
            </w:r>
            <w:r w:rsidRPr="00C263AA">
              <w:rPr>
                <w:rFonts w:ascii="Times New Roman" w:eastAsia="Times New Roman" w:hAnsi="Times New Roman"/>
                <w:color w:val="000000"/>
                <w:sz w:val="24"/>
                <w:szCs w:val="24"/>
              </w:rPr>
              <w:lastRenderedPageBreak/>
              <w:t>transportēšana (ārpakalpojums) no Pārvaldes Personalizācijas centra uz Pārvaldes teritoriālajām nodaļām un Ārlietu ministriju (prognoze pamatojoties uz faktiskajiem izdevumiem iepriekšējos gados, atbilstoši spēkā esošajiem līgumiem) – 60 000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12 600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72 600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38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Informācijas tehnoloģiju pakalpojumi</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1 276 586</w:t>
            </w:r>
          </w:p>
        </w:tc>
      </w:tr>
      <w:tr w:rsidR="00B26AE1" w:rsidRPr="00C263AA" w:rsidTr="00B04998">
        <w:trPr>
          <w:trHeight w:val="1575"/>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2251</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Informācijas sistēmas uzturēšana</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informācijas sistēmas (PADIS) programmatūras un specializētās aparatūras uzturēšana (prognozētās izmaksas saskaņā ar veikto tirgus izpēti un noslēgtajiem līgumiem) = 280 000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58 800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338 800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399 300</w:t>
            </w:r>
          </w:p>
        </w:tc>
      </w:tr>
      <w:tr w:rsidR="00B26AE1" w:rsidRPr="00C263AA" w:rsidTr="00B04998">
        <w:trPr>
          <w:trHeight w:val="1843"/>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eID starpprogrammatūras un eID portāla (eid.pmlp.gov.lv) uzturēšana (saskaņā ar ekspertu novērtējumu aptuveni 10% no starpprogrammatūras un  portāla izveides izmaksām) 50 000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10 500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60 500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1801"/>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2259</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Pārējie informācijas tehnoloģiju pakalpojumi</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Personas apliecību (eID) izsniegšanai nepieciešamo sertifikācijas pakalpojumu iegāde no VAS „Latvijas Valsts radio un televīzijas centrs” (saskaņā ar noslēgto līgumu) = 700 030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147 006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847 036</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877 286</w:t>
            </w:r>
          </w:p>
        </w:tc>
      </w:tr>
      <w:tr w:rsidR="00B26AE1" w:rsidRPr="00C263AA" w:rsidTr="00B04998">
        <w:trPr>
          <w:trHeight w:val="1905"/>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informācijas sistēmas (PADIS) un eID starpprogrammatūras ikgadējais drošības audits (prognozētās izmaksas saskaņā ar veikto tirgus izpēti) = 25 000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5250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30 250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52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2300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Krājumi, materiāli, energoresursi, preces, biroja preces un inventārs, kurus neuzskaita kodā 5000</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4 082 526</w:t>
            </w:r>
          </w:p>
        </w:tc>
      </w:tr>
      <w:tr w:rsidR="00B26AE1" w:rsidRPr="00C263AA" w:rsidTr="00B04998">
        <w:trPr>
          <w:trHeight w:val="207"/>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2310</w:t>
            </w:r>
          </w:p>
        </w:tc>
        <w:tc>
          <w:tcPr>
            <w:tcW w:w="5471"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Biroja preces un inventārs </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154 984</w:t>
            </w:r>
          </w:p>
        </w:tc>
      </w:tr>
      <w:tr w:rsidR="00B26AE1" w:rsidRPr="00C263AA" w:rsidTr="00B04998">
        <w:trPr>
          <w:trHeight w:val="213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2311</w:t>
            </w:r>
          </w:p>
        </w:tc>
        <w:tc>
          <w:tcPr>
            <w:tcW w:w="2210"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Biroja preces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izsniegšanas procesa nodrošināšanai nepieciešamo materiālu iegāde, t.sk. aploksnes, papīrs un citas biroja preces (prognoze pamatojoties uz vidējo faktisko patēriņu iepriekšējos gados) – 43 500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9135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52 635</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54 977</w:t>
            </w:r>
          </w:p>
        </w:tc>
      </w:tr>
      <w:tr w:rsidR="00B26AE1" w:rsidRPr="00C263AA" w:rsidTr="00B04998">
        <w:trPr>
          <w:trHeight w:val="1509"/>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Biroja preču iegādes izmaksu pieaugums par 75% pēc pagarinātā darba laika (par 6 stundām) ieviešanas klientu apkalpošanas kapacitātes paaugstināšanai. Vidēji gadā 3123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x 0,75 = 2 342</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396"/>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2312</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Inventārs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izsniegšanas darba vietas aprīkojumā ietilpstošā inventāra, tajā skaitā printeru, skeneru, monitoru, viedkaršu lasītāju u.tml. iegāde (aptuveni 200 tehnikas komplekti, lai veiktu šobrīd izmantojamo 7 gadus veco iekārtu nomaiņu; cena atbilstoši veiktajai tirgus izpētei) –82 650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17 357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100 007 </w:t>
            </w:r>
            <w:r w:rsidRPr="00C263AA">
              <w:rPr>
                <w:rFonts w:ascii="Times New Roman" w:eastAsia="Times New Roman" w:hAnsi="Times New Roman"/>
                <w:i/>
                <w:color w:val="000000"/>
                <w:sz w:val="24"/>
                <w:szCs w:val="24"/>
              </w:rPr>
              <w:t>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100 007</w:t>
            </w:r>
          </w:p>
        </w:tc>
      </w:tr>
      <w:tr w:rsidR="00B26AE1" w:rsidRPr="00C263AA" w:rsidTr="00B04998">
        <w:trPr>
          <w:trHeight w:val="1735"/>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2390</w:t>
            </w:r>
          </w:p>
        </w:tc>
        <w:tc>
          <w:tcPr>
            <w:tcW w:w="2210"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Pārējās preces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pašreizējā parauga pasu sagatavju skaits 110 690 x vienas sagataves cena (atbilstoši spēkā esošajam līgumam par pasu sagatavju izgatavošanu un piegādi) 9,46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1 047 127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219 897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1 267 024</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3 927 542</w:t>
            </w:r>
          </w:p>
        </w:tc>
      </w:tr>
      <w:tr w:rsidR="00B26AE1" w:rsidRPr="00C263AA" w:rsidTr="00B04998">
        <w:trPr>
          <w:trHeight w:val="1597"/>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nepieciešamais jaunā parauga pasu sagatavju skaits 110 500 x vienas sagataves cena (atbilstoši spēkā esošajam līgumam par pasu sagatavju izgatavošanu un piegādi) 4,99</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551 395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115 793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667 188</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B04998">
        <w:trPr>
          <w:trHeight w:val="1792"/>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personas apliecību sagatavju skaits 287 000 x vienas sagataves cena (atbilstoši spēkā esošajam līgumam par personas apliecību sagatavju izgatavošanu un piegādi) 5,74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1 647 380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345 950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1 993 330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475316" w:rsidRPr="00C263AA" w:rsidTr="00B04998">
        <w:trPr>
          <w:trHeight w:val="232"/>
        </w:trPr>
        <w:tc>
          <w:tcPr>
            <w:tcW w:w="612" w:type="dxa"/>
          </w:tcPr>
          <w:p w:rsidR="00475316" w:rsidRPr="00C263AA" w:rsidRDefault="00475316" w:rsidP="001E08A9">
            <w:pPr>
              <w:widowControl w:val="0"/>
              <w:autoSpaceDE w:val="0"/>
              <w:autoSpaceDN w:val="0"/>
              <w:spacing w:after="0" w:line="240" w:lineRule="auto"/>
              <w:jc w:val="right"/>
              <w:rPr>
                <w:rFonts w:ascii="Times New Roman" w:eastAsia="Times New Roman" w:hAnsi="Times New Roman"/>
                <w:b/>
                <w:color w:val="000000"/>
                <w:sz w:val="24"/>
                <w:szCs w:val="24"/>
              </w:rPr>
            </w:pPr>
          </w:p>
        </w:tc>
        <w:tc>
          <w:tcPr>
            <w:tcW w:w="766" w:type="dxa"/>
          </w:tcPr>
          <w:p w:rsidR="00475316" w:rsidRPr="00C263AA" w:rsidRDefault="00475316"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5000</w:t>
            </w:r>
          </w:p>
        </w:tc>
        <w:tc>
          <w:tcPr>
            <w:tcW w:w="5471" w:type="dxa"/>
            <w:gridSpan w:val="2"/>
          </w:tcPr>
          <w:p w:rsidR="00475316" w:rsidRPr="00C263AA" w:rsidRDefault="00475316" w:rsidP="001E08A9">
            <w:pPr>
              <w:widowControl w:val="0"/>
              <w:autoSpaceDE w:val="0"/>
              <w:autoSpaceDN w:val="0"/>
              <w:spacing w:after="0" w:line="240" w:lineRule="auto"/>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Pamatkapitāla veidošana </w:t>
            </w:r>
          </w:p>
        </w:tc>
        <w:tc>
          <w:tcPr>
            <w:tcW w:w="2409" w:type="dxa"/>
          </w:tcPr>
          <w:p w:rsidR="00475316" w:rsidRPr="00C263AA" w:rsidRDefault="00475316"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1 243 101</w:t>
            </w:r>
          </w:p>
        </w:tc>
      </w:tr>
      <w:tr w:rsidR="00B26AE1" w:rsidRPr="00C263AA" w:rsidTr="00B04998">
        <w:trPr>
          <w:trHeight w:val="1545"/>
        </w:trPr>
        <w:tc>
          <w:tcPr>
            <w:tcW w:w="612" w:type="dxa"/>
            <w:vMerge w:val="restart"/>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5121</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Datorprogrammas</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Izmaksas Personu apliecinošu dokumentu informācijas sistēmas (PADIS) programmatūras papildinājumu izstrādei (cena saskaņā ar noslēgto līgumu) –161 473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33 909</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195 382</w:t>
            </w:r>
            <w:r w:rsidRPr="00C263AA">
              <w:rPr>
                <w:rFonts w:ascii="Times New Roman" w:eastAsia="Times New Roman" w:hAnsi="Times New Roman"/>
                <w:i/>
                <w:color w:val="000000"/>
                <w:sz w:val="24"/>
                <w:szCs w:val="24"/>
              </w:rPr>
              <w:t xml:space="preserve"> euro.</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195 382</w:t>
            </w:r>
          </w:p>
        </w:tc>
      </w:tr>
      <w:tr w:rsidR="00B26AE1" w:rsidRPr="00C263AA" w:rsidTr="00591B05">
        <w:trPr>
          <w:trHeight w:val="472"/>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5238</w:t>
            </w:r>
          </w:p>
        </w:tc>
        <w:tc>
          <w:tcPr>
            <w:tcW w:w="2210"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Datortehnika, sakaru un cita biroja tehnika</w:t>
            </w: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Izmaksas elektronisko mašīnlasāmo ceļošanas dokumentu lasītāju (170 gab.) iegādei (lai veiktu šobrīd izmatojamo 7 gadus veco lasītāju nomaiņu; cena atbilstoši noslēgtajam līgumam) – 170 x 396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67 320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w:t>
            </w:r>
            <w:r w:rsidRPr="00C263AA">
              <w:rPr>
                <w:rFonts w:ascii="Times New Roman" w:eastAsia="Times New Roman" w:hAnsi="Times New Roman"/>
                <w:color w:val="000000"/>
                <w:sz w:val="24"/>
                <w:szCs w:val="24"/>
              </w:rPr>
              <w:lastRenderedPageBreak/>
              <w:t xml:space="preserve">14 137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81 457</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r>
      <w:tr w:rsidR="00B26AE1" w:rsidRPr="00C263AA" w:rsidTr="00B04998">
        <w:trPr>
          <w:trHeight w:val="195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Izmaksas integrēto biometrijas datu iegūšanas risinājumu t.sk. 11 (vienpadsmit) stacionāro iekārtu, 140 (viens simts četrdesmit) darbvirsmas iekārtu un 20 (divdesmit) mobilo iekārtu iegādei (75% pēcapmaksa un 100% PVN; cena saskaņā ar noslēgto līgumu) –696 432</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1 047 719</w:t>
            </w:r>
          </w:p>
        </w:tc>
      </w:tr>
      <w:tr w:rsidR="00B26AE1" w:rsidRPr="00C263AA" w:rsidTr="001E08A9">
        <w:trPr>
          <w:trHeight w:val="897"/>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Izmaksas klientu apkalpošanas speciālistu darba vietu datortehnikas komplektu (320 komplekti ar operētājsistēmu, biroja programmatūru un 5 gadu garantiju) iegādei (lai veiktu šobrīd izmatojamās 7 gadus vecās datortehnikas un programmatūras nomaiņu; cena atbilstoši veiktajai tirgus izpētei) – 320 x 600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192 000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40 320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232 320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r>
      <w:tr w:rsidR="00B26AE1" w:rsidRPr="00C263AA" w:rsidTr="00B04998">
        <w:trPr>
          <w:trHeight w:val="195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Izmaksas pasu printeru (2 gab.) iegādei pases papīra lapu personalizācijai (lai veiktu šobrīd izmantojamo 7 gadus veco iekārtu nomaiņu; cena atbilstoši veiktajai tirgus izpētei) – 2 x 8 000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16 000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3 360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19 360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r>
      <w:tr w:rsidR="00B26AE1" w:rsidRPr="00C263AA" w:rsidTr="00B04998">
        <w:trPr>
          <w:trHeight w:val="2250"/>
        </w:trPr>
        <w:tc>
          <w:tcPr>
            <w:tcW w:w="612"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766"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2210"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261"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Izmaksas elektronisko mašīnlasāmo ceļošanas dokumentu pilnas lapas lasītāju (10 gab.) iegādei personu apliecinošu dokumentu kvalitātes kontrolei (lai veiktu šobrīd izmantojamo 7 gadus veco iekārtu nomaiņu; cena atbilstoši veiktajai tirgus izpētei) – 10 x 1 500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15 000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3 150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18 150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409"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r>
    </w:tbl>
    <w:tbl>
      <w:tblPr>
        <w:tblpPr w:leftFromText="180" w:rightFromText="180" w:vertAnchor="text" w:horzAnchor="page" w:tblpX="1529" w:tblpY="599"/>
        <w:tblOverlap w:val="never"/>
        <w:tblW w:w="93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865"/>
        <w:gridCol w:w="2304"/>
        <w:gridCol w:w="3760"/>
        <w:gridCol w:w="2450"/>
      </w:tblGrid>
      <w:tr w:rsidR="009A3B20" w:rsidTr="00696523">
        <w:trPr>
          <w:trHeight w:val="517"/>
        </w:trPr>
        <w:tc>
          <w:tcPr>
            <w:tcW w:w="865" w:type="dxa"/>
            <w:vMerge w:val="restart"/>
            <w:tcBorders>
              <w:tl2br w:val="nil"/>
              <w:tr2bl w:val="nil"/>
            </w:tcBorders>
            <w:vAlign w:val="center"/>
          </w:tcPr>
          <w:p w:rsidR="009A3B20" w:rsidRPr="002816AE" w:rsidRDefault="002816AE" w:rsidP="001E08A9">
            <w:pPr>
              <w:autoSpaceDN w:val="0"/>
              <w:spacing w:after="0" w:line="240" w:lineRule="auto"/>
              <w:jc w:val="center"/>
              <w:textAlignment w:val="center"/>
              <w:rPr>
                <w:rFonts w:ascii="Times New Roman" w:hAnsi="Times New Roman"/>
                <w:color w:val="000000"/>
                <w:sz w:val="24"/>
              </w:rPr>
            </w:pPr>
            <w:r w:rsidRPr="002816AE">
              <w:rPr>
                <w:rFonts w:ascii="Times New Roman" w:hAnsi="Times New Roman"/>
                <w:color w:val="000000"/>
                <w:sz w:val="24"/>
              </w:rPr>
              <w:lastRenderedPageBreak/>
              <w:t>Kods</w:t>
            </w:r>
          </w:p>
        </w:tc>
        <w:tc>
          <w:tcPr>
            <w:tcW w:w="2304" w:type="dxa"/>
            <w:vMerge w:val="restart"/>
            <w:tcBorders>
              <w:tl2br w:val="nil"/>
              <w:tr2bl w:val="nil"/>
            </w:tcBorders>
            <w:vAlign w:val="center"/>
          </w:tcPr>
          <w:p w:rsidR="009A3B20" w:rsidRPr="002816AE" w:rsidRDefault="002816AE" w:rsidP="001E08A9">
            <w:pPr>
              <w:autoSpaceDN w:val="0"/>
              <w:spacing w:after="0" w:line="240" w:lineRule="auto"/>
              <w:textAlignment w:val="center"/>
              <w:rPr>
                <w:rFonts w:ascii="Times New Roman" w:hAnsi="Times New Roman"/>
                <w:color w:val="000000"/>
                <w:sz w:val="24"/>
              </w:rPr>
            </w:pPr>
            <w:r w:rsidRPr="002816AE">
              <w:rPr>
                <w:rFonts w:ascii="Times New Roman" w:hAnsi="Times New Roman"/>
                <w:color w:val="000000"/>
                <w:sz w:val="24"/>
              </w:rPr>
              <w:t>Koda nosaukums</w:t>
            </w:r>
          </w:p>
        </w:tc>
        <w:tc>
          <w:tcPr>
            <w:tcW w:w="3760" w:type="dxa"/>
            <w:vMerge w:val="restart"/>
            <w:tcBorders>
              <w:tl2br w:val="nil"/>
              <w:tr2bl w:val="nil"/>
            </w:tcBorders>
            <w:vAlign w:val="center"/>
          </w:tcPr>
          <w:p w:rsidR="009A3B20" w:rsidRPr="002816AE" w:rsidRDefault="002816AE" w:rsidP="001E08A9">
            <w:pPr>
              <w:autoSpaceDN w:val="0"/>
              <w:spacing w:after="0" w:line="240" w:lineRule="auto"/>
              <w:textAlignment w:val="center"/>
              <w:rPr>
                <w:rFonts w:ascii="Times New Roman" w:hAnsi="Times New Roman"/>
                <w:color w:val="000000"/>
                <w:sz w:val="24"/>
              </w:rPr>
            </w:pPr>
            <w:r w:rsidRPr="002816AE">
              <w:rPr>
                <w:rFonts w:ascii="Times New Roman" w:hAnsi="Times New Roman"/>
                <w:color w:val="000000"/>
                <w:sz w:val="24"/>
              </w:rPr>
              <w:t>Detalizēts izdevumu aprēķins</w:t>
            </w:r>
          </w:p>
        </w:tc>
        <w:tc>
          <w:tcPr>
            <w:tcW w:w="2450" w:type="dxa"/>
            <w:vMerge w:val="restart"/>
            <w:tcBorders>
              <w:tl2br w:val="nil"/>
              <w:tr2bl w:val="nil"/>
            </w:tcBorders>
            <w:vAlign w:val="center"/>
          </w:tcPr>
          <w:p w:rsidR="009A3B20" w:rsidRPr="002816AE" w:rsidRDefault="002816AE" w:rsidP="001E08A9">
            <w:pPr>
              <w:autoSpaceDN w:val="0"/>
              <w:spacing w:after="0" w:line="240" w:lineRule="auto"/>
              <w:jc w:val="center"/>
              <w:textAlignment w:val="center"/>
              <w:rPr>
                <w:rFonts w:ascii="Times New Roman" w:hAnsi="Times New Roman"/>
                <w:color w:val="000000"/>
                <w:sz w:val="24"/>
              </w:rPr>
            </w:pPr>
            <w:r w:rsidRPr="002816AE">
              <w:rPr>
                <w:rFonts w:ascii="Times New Roman" w:hAnsi="Times New Roman"/>
                <w:color w:val="000000"/>
                <w:sz w:val="24"/>
              </w:rPr>
              <w:t>Plānotie izdevumi, EUR</w:t>
            </w:r>
          </w:p>
        </w:tc>
      </w:tr>
      <w:tr w:rsidR="009A3B20" w:rsidTr="00696523">
        <w:trPr>
          <w:trHeight w:val="682"/>
        </w:trPr>
        <w:tc>
          <w:tcPr>
            <w:tcW w:w="865" w:type="dxa"/>
            <w:vMerge/>
            <w:tcBorders>
              <w:tl2br w:val="nil"/>
              <w:tr2bl w:val="nil"/>
            </w:tcBorders>
            <w:vAlign w:val="center"/>
          </w:tcPr>
          <w:p w:rsidR="009A3B20" w:rsidRDefault="009A3B20" w:rsidP="001E08A9">
            <w:pPr>
              <w:autoSpaceDN w:val="0"/>
              <w:spacing w:after="0" w:line="240" w:lineRule="auto"/>
              <w:rPr>
                <w:rFonts w:ascii="SimSun" w:hAnsi="SimSun"/>
                <w:sz w:val="24"/>
              </w:rPr>
            </w:pPr>
          </w:p>
        </w:tc>
        <w:tc>
          <w:tcPr>
            <w:tcW w:w="2304" w:type="dxa"/>
            <w:vMerge/>
            <w:tcBorders>
              <w:tl2br w:val="nil"/>
              <w:tr2bl w:val="nil"/>
            </w:tcBorders>
            <w:vAlign w:val="center"/>
          </w:tcPr>
          <w:p w:rsidR="009A3B20" w:rsidRDefault="009A3B20" w:rsidP="001E08A9">
            <w:pPr>
              <w:spacing w:after="0" w:line="240" w:lineRule="auto"/>
              <w:rPr>
                <w:rFonts w:ascii="SimSun" w:hAnsi="SimSun"/>
                <w:sz w:val="24"/>
              </w:rPr>
            </w:pPr>
          </w:p>
        </w:tc>
        <w:tc>
          <w:tcPr>
            <w:tcW w:w="3760" w:type="dxa"/>
            <w:vMerge/>
            <w:tcBorders>
              <w:tl2br w:val="nil"/>
              <w:tr2bl w:val="nil"/>
            </w:tcBorders>
            <w:vAlign w:val="center"/>
          </w:tcPr>
          <w:p w:rsidR="009A3B20" w:rsidRDefault="009A3B20" w:rsidP="001E08A9">
            <w:pPr>
              <w:spacing w:after="0" w:line="240" w:lineRule="auto"/>
              <w:rPr>
                <w:rFonts w:ascii="SimSun" w:hAnsi="SimSun"/>
                <w:sz w:val="24"/>
              </w:rPr>
            </w:pPr>
          </w:p>
        </w:tc>
        <w:tc>
          <w:tcPr>
            <w:tcW w:w="2450" w:type="dxa"/>
            <w:vMerge/>
            <w:tcBorders>
              <w:tl2br w:val="nil"/>
              <w:tr2bl w:val="nil"/>
            </w:tcBorders>
            <w:vAlign w:val="center"/>
          </w:tcPr>
          <w:p w:rsidR="009A3B20" w:rsidRDefault="009A3B20" w:rsidP="001E08A9">
            <w:pPr>
              <w:spacing w:after="0" w:line="240" w:lineRule="auto"/>
              <w:rPr>
                <w:rFonts w:ascii="SimSun" w:hAnsi="SimSun"/>
                <w:sz w:val="24"/>
              </w:rPr>
            </w:pPr>
          </w:p>
        </w:tc>
      </w:tr>
      <w:tr w:rsidR="00DC24F4" w:rsidTr="00696523">
        <w:trPr>
          <w:trHeight w:val="314"/>
        </w:trPr>
        <w:tc>
          <w:tcPr>
            <w:tcW w:w="9379" w:type="dxa"/>
            <w:gridSpan w:val="4"/>
            <w:tcBorders>
              <w:tl2br w:val="nil"/>
              <w:tr2bl w:val="nil"/>
            </w:tcBorders>
            <w:shd w:val="clear" w:color="auto" w:fill="B6DDE8" w:themeFill="accent5" w:themeFillTint="66"/>
            <w:vAlign w:val="center"/>
          </w:tcPr>
          <w:p w:rsidR="00DC24F4" w:rsidRPr="00DC24F4" w:rsidRDefault="005C4AA4" w:rsidP="00DC24F4">
            <w:pPr>
              <w:spacing w:after="0" w:line="240" w:lineRule="auto"/>
              <w:jc w:val="center"/>
              <w:rPr>
                <w:rFonts w:ascii="Times New Roman" w:hAnsi="Times New Roman"/>
                <w:b/>
                <w:bCs/>
                <w:sz w:val="24"/>
                <w:szCs w:val="24"/>
              </w:rPr>
            </w:pPr>
            <w:r w:rsidRPr="00FB090B">
              <w:rPr>
                <w:rFonts w:ascii="Times New Roman" w:hAnsi="Times New Roman"/>
                <w:b/>
                <w:bCs/>
                <w:sz w:val="24"/>
                <w:szCs w:val="24"/>
              </w:rPr>
              <w:t>Nepieciešamā finansējuma aprēķins</w:t>
            </w:r>
            <w:r>
              <w:rPr>
                <w:rFonts w:ascii="Times New Roman" w:hAnsi="Times New Roman"/>
                <w:b/>
                <w:bCs/>
                <w:sz w:val="24"/>
                <w:szCs w:val="24"/>
              </w:rPr>
              <w:t xml:space="preserve"> </w:t>
            </w:r>
            <w:r w:rsidR="00DC24F4" w:rsidRPr="00DC24F4">
              <w:rPr>
                <w:rFonts w:ascii="Times New Roman" w:hAnsi="Times New Roman"/>
                <w:b/>
                <w:bCs/>
                <w:sz w:val="24"/>
                <w:szCs w:val="24"/>
              </w:rPr>
              <w:t>2014.gadam Iekšlietu ministrijas budžeta programmai 02.00.00 „Iekšlietu ministrijas vienotā sakaru un informācijas sistēma”</w:t>
            </w:r>
          </w:p>
          <w:p w:rsidR="00DC24F4" w:rsidRDefault="00DC24F4" w:rsidP="001E08A9">
            <w:pPr>
              <w:autoSpaceDN w:val="0"/>
              <w:spacing w:after="0" w:line="240" w:lineRule="auto"/>
              <w:jc w:val="center"/>
              <w:textAlignment w:val="center"/>
              <w:rPr>
                <w:rFonts w:ascii="Times New Roman" w:hAnsi="SimSun"/>
                <w:b/>
                <w:color w:val="000000"/>
                <w:sz w:val="24"/>
              </w:rPr>
            </w:pPr>
          </w:p>
        </w:tc>
      </w:tr>
      <w:tr w:rsidR="00DC24F4" w:rsidTr="00696523">
        <w:trPr>
          <w:trHeight w:val="314"/>
        </w:trPr>
        <w:tc>
          <w:tcPr>
            <w:tcW w:w="6929" w:type="dxa"/>
            <w:gridSpan w:val="3"/>
            <w:tcBorders>
              <w:tl2br w:val="nil"/>
              <w:tr2bl w:val="nil"/>
            </w:tcBorders>
            <w:vAlign w:val="center"/>
          </w:tcPr>
          <w:p w:rsidR="00DC24F4" w:rsidRPr="00DC24F4" w:rsidRDefault="00DC24F4" w:rsidP="00DC24F4">
            <w:pPr>
              <w:autoSpaceDN w:val="0"/>
              <w:spacing w:after="0" w:line="240" w:lineRule="auto"/>
              <w:jc w:val="right"/>
              <w:textAlignment w:val="center"/>
              <w:rPr>
                <w:rFonts w:ascii="Times New Roman" w:hAnsi="Times New Roman"/>
                <w:b/>
                <w:color w:val="000000"/>
                <w:sz w:val="24"/>
              </w:rPr>
            </w:pPr>
            <w:r w:rsidRPr="00DC24F4">
              <w:rPr>
                <w:rFonts w:ascii="Times New Roman" w:hAnsi="Times New Roman"/>
                <w:b/>
                <w:color w:val="000000"/>
                <w:sz w:val="24"/>
              </w:rPr>
              <w:t>Izdevumi kopā</w:t>
            </w:r>
          </w:p>
        </w:tc>
        <w:tc>
          <w:tcPr>
            <w:tcW w:w="2450" w:type="dxa"/>
            <w:tcBorders>
              <w:tl2br w:val="nil"/>
              <w:tr2bl w:val="nil"/>
            </w:tcBorders>
            <w:shd w:val="clear" w:color="auto" w:fill="B6DDE8" w:themeFill="accent5" w:themeFillTint="66"/>
            <w:vAlign w:val="center"/>
          </w:tcPr>
          <w:p w:rsidR="00DC24F4" w:rsidRDefault="00DC24F4" w:rsidP="001E08A9">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103 303</w:t>
            </w:r>
          </w:p>
        </w:tc>
      </w:tr>
      <w:tr w:rsidR="009A3B20" w:rsidTr="00696523">
        <w:trPr>
          <w:trHeight w:val="314"/>
        </w:trPr>
        <w:tc>
          <w:tcPr>
            <w:tcW w:w="865" w:type="dxa"/>
            <w:tcBorders>
              <w:tl2br w:val="nil"/>
              <w:tr2bl w:val="nil"/>
            </w:tcBorders>
            <w:vAlign w:val="center"/>
          </w:tcPr>
          <w:p w:rsidR="009A3B20" w:rsidRDefault="002816AE" w:rsidP="001E08A9">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2000</w:t>
            </w:r>
          </w:p>
        </w:tc>
        <w:tc>
          <w:tcPr>
            <w:tcW w:w="2304" w:type="dxa"/>
            <w:tcBorders>
              <w:tl2br w:val="nil"/>
              <w:tr2bl w:val="nil"/>
            </w:tcBorders>
            <w:vAlign w:val="center"/>
          </w:tcPr>
          <w:p w:rsidR="009A3B20" w:rsidRDefault="002816AE" w:rsidP="001E08A9">
            <w:pPr>
              <w:autoSpaceDN w:val="0"/>
              <w:spacing w:after="0" w:line="240" w:lineRule="auto"/>
              <w:textAlignment w:val="center"/>
              <w:rPr>
                <w:rFonts w:ascii="Times New Roman" w:hAnsi="SimSun"/>
                <w:b/>
                <w:color w:val="000000"/>
                <w:sz w:val="24"/>
              </w:rPr>
            </w:pPr>
            <w:r>
              <w:rPr>
                <w:rFonts w:ascii="Times New Roman" w:hAnsi="SimSun"/>
                <w:b/>
                <w:color w:val="000000"/>
                <w:sz w:val="24"/>
              </w:rPr>
              <w:t>Preces un pakalpojumi</w:t>
            </w:r>
          </w:p>
        </w:tc>
        <w:tc>
          <w:tcPr>
            <w:tcW w:w="3760" w:type="dxa"/>
            <w:tcBorders>
              <w:tl2br w:val="nil"/>
              <w:tr2bl w:val="nil"/>
            </w:tcBorders>
            <w:vAlign w:val="center"/>
          </w:tcPr>
          <w:p w:rsidR="009A3B20" w:rsidRDefault="009A3B20" w:rsidP="001E08A9">
            <w:pPr>
              <w:autoSpaceDN w:val="0"/>
              <w:spacing w:after="0" w:line="240" w:lineRule="auto"/>
              <w:textAlignment w:val="center"/>
              <w:rPr>
                <w:rFonts w:ascii="Times New Roman" w:hAnsi="SimSun"/>
                <w:b/>
                <w:color w:val="000000"/>
                <w:sz w:val="24"/>
              </w:rPr>
            </w:pPr>
          </w:p>
        </w:tc>
        <w:tc>
          <w:tcPr>
            <w:tcW w:w="2450" w:type="dxa"/>
            <w:tcBorders>
              <w:tl2br w:val="nil"/>
              <w:tr2bl w:val="nil"/>
            </w:tcBorders>
            <w:vAlign w:val="center"/>
          </w:tcPr>
          <w:p w:rsidR="009A3B20" w:rsidRDefault="00FC22FD" w:rsidP="001E08A9">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 xml:space="preserve">103 </w:t>
            </w:r>
            <w:r w:rsidR="002816AE">
              <w:rPr>
                <w:rFonts w:ascii="Times New Roman" w:hAnsi="SimSun"/>
                <w:b/>
                <w:color w:val="000000"/>
                <w:sz w:val="24"/>
              </w:rPr>
              <w:t>303</w:t>
            </w:r>
          </w:p>
        </w:tc>
      </w:tr>
      <w:tr w:rsidR="009A3B20" w:rsidTr="00696523">
        <w:trPr>
          <w:trHeight w:val="2947"/>
        </w:trPr>
        <w:tc>
          <w:tcPr>
            <w:tcW w:w="865" w:type="dxa"/>
            <w:tcBorders>
              <w:tl2br w:val="nil"/>
              <w:tr2bl w:val="nil"/>
            </w:tcBorders>
            <w:vAlign w:val="center"/>
          </w:tcPr>
          <w:p w:rsidR="009A3B20" w:rsidRDefault="002816AE"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2251</w:t>
            </w:r>
          </w:p>
        </w:tc>
        <w:tc>
          <w:tcPr>
            <w:tcW w:w="2304" w:type="dxa"/>
            <w:tcBorders>
              <w:tl2br w:val="nil"/>
              <w:tr2bl w:val="nil"/>
            </w:tcBorders>
            <w:vAlign w:val="center"/>
          </w:tcPr>
          <w:p w:rsidR="009A3B20" w:rsidRPr="002816AE" w:rsidRDefault="002816AE" w:rsidP="001E08A9">
            <w:pPr>
              <w:spacing w:after="0" w:line="240" w:lineRule="auto"/>
              <w:rPr>
                <w:rFonts w:ascii="Times New Roman" w:hAnsi="Times New Roman"/>
              </w:rPr>
            </w:pPr>
            <w:r w:rsidRPr="002816AE">
              <w:rPr>
                <w:rFonts w:ascii="Times New Roman" w:hAnsi="Times New Roman"/>
              </w:rPr>
              <w:t>Informācijas sistēmas uzturēšana</w:t>
            </w:r>
          </w:p>
        </w:tc>
        <w:tc>
          <w:tcPr>
            <w:tcW w:w="3760" w:type="dxa"/>
            <w:tcBorders>
              <w:tl2br w:val="nil"/>
              <w:tr2bl w:val="nil"/>
            </w:tcBorders>
            <w:vAlign w:val="center"/>
          </w:tcPr>
          <w:p w:rsidR="009A3B20" w:rsidRPr="002816AE" w:rsidRDefault="002816AE" w:rsidP="001E08A9">
            <w:pPr>
              <w:spacing w:after="0" w:line="240" w:lineRule="auto"/>
              <w:rPr>
                <w:rFonts w:ascii="Times New Roman" w:hAnsi="Times New Roman"/>
              </w:rPr>
            </w:pPr>
            <w:r w:rsidRPr="002816AE">
              <w:rPr>
                <w:rFonts w:ascii="Times New Roman" w:hAnsi="Times New Roman"/>
              </w:rPr>
              <w:t xml:space="preserve">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- 50 299 </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2816AE">
              <w:rPr>
                <w:rFonts w:ascii="Times New Roman" w:hAnsi="Times New Roman"/>
              </w:rPr>
              <w:t>+ PVN (21%) 10 563</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2816AE">
              <w:rPr>
                <w:rFonts w:ascii="Times New Roman" w:hAnsi="Times New Roman"/>
              </w:rPr>
              <w:t xml:space="preserve"> = 60 862</w:t>
            </w:r>
            <w:r w:rsidR="005670B1" w:rsidRPr="000532DB">
              <w:rPr>
                <w:rFonts w:ascii="Times New Roman" w:eastAsia="Times New Roman" w:hAnsi="Times New Roman"/>
                <w:i/>
                <w:color w:val="000000"/>
                <w:sz w:val="24"/>
              </w:rPr>
              <w:t xml:space="preserve"> euro</w:t>
            </w:r>
          </w:p>
        </w:tc>
        <w:tc>
          <w:tcPr>
            <w:tcW w:w="2450" w:type="dxa"/>
            <w:tcBorders>
              <w:tl2br w:val="nil"/>
              <w:tr2bl w:val="nil"/>
            </w:tcBorders>
            <w:vAlign w:val="center"/>
          </w:tcPr>
          <w:p w:rsidR="009A3B20" w:rsidRDefault="00032016"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60 </w:t>
            </w:r>
            <w:r w:rsidR="002816AE">
              <w:rPr>
                <w:rFonts w:ascii="Times New Roman" w:hAnsi="SimSun"/>
                <w:color w:val="000000"/>
                <w:sz w:val="24"/>
              </w:rPr>
              <w:t>862</w:t>
            </w:r>
          </w:p>
        </w:tc>
      </w:tr>
      <w:tr w:rsidR="009A3B20" w:rsidTr="00696523">
        <w:trPr>
          <w:trHeight w:val="1455"/>
        </w:trPr>
        <w:tc>
          <w:tcPr>
            <w:tcW w:w="865" w:type="dxa"/>
            <w:tcBorders>
              <w:tl2br w:val="nil"/>
              <w:tr2bl w:val="nil"/>
            </w:tcBorders>
            <w:vAlign w:val="center"/>
          </w:tcPr>
          <w:p w:rsidR="009A3B20" w:rsidRDefault="002816AE"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2300</w:t>
            </w:r>
          </w:p>
        </w:tc>
        <w:tc>
          <w:tcPr>
            <w:tcW w:w="2304" w:type="dxa"/>
            <w:tcBorders>
              <w:tl2br w:val="nil"/>
              <w:tr2bl w:val="nil"/>
            </w:tcBorders>
            <w:vAlign w:val="center"/>
          </w:tcPr>
          <w:p w:rsidR="009A3B20" w:rsidRPr="00032016" w:rsidRDefault="002816AE" w:rsidP="001E08A9">
            <w:pPr>
              <w:spacing w:after="0" w:line="240" w:lineRule="auto"/>
              <w:rPr>
                <w:rFonts w:ascii="Times New Roman" w:hAnsi="Times New Roman"/>
              </w:rPr>
            </w:pPr>
            <w:r w:rsidRPr="00032016">
              <w:rPr>
                <w:rFonts w:ascii="Times New Roman" w:hAnsi="Times New Roman"/>
              </w:rPr>
              <w:t>Krājumi, materiāli, energoresursi, preces, biroja preces un inventārs, kurus neuzskaita kodā 5000</w:t>
            </w:r>
          </w:p>
        </w:tc>
        <w:tc>
          <w:tcPr>
            <w:tcW w:w="3760" w:type="dxa"/>
            <w:tcBorders>
              <w:tl2br w:val="nil"/>
              <w:tr2bl w:val="nil"/>
            </w:tcBorders>
            <w:vAlign w:val="center"/>
          </w:tcPr>
          <w:p w:rsidR="009A3B20" w:rsidRPr="00032016" w:rsidRDefault="009A3B20" w:rsidP="001E08A9">
            <w:pPr>
              <w:spacing w:after="0" w:line="240" w:lineRule="auto"/>
              <w:rPr>
                <w:rFonts w:ascii="Times New Roman" w:hAnsi="Times New Roman"/>
                <w:b/>
              </w:rPr>
            </w:pPr>
          </w:p>
        </w:tc>
        <w:tc>
          <w:tcPr>
            <w:tcW w:w="2450" w:type="dxa"/>
            <w:tcBorders>
              <w:tl2br w:val="nil"/>
              <w:tr2bl w:val="nil"/>
            </w:tcBorders>
            <w:vAlign w:val="center"/>
          </w:tcPr>
          <w:p w:rsidR="009A3B20" w:rsidRDefault="00032016"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42 </w:t>
            </w:r>
            <w:r w:rsidR="002816AE">
              <w:rPr>
                <w:rFonts w:ascii="Times New Roman" w:hAnsi="SimSun"/>
                <w:color w:val="000000"/>
                <w:sz w:val="24"/>
              </w:rPr>
              <w:t>441</w:t>
            </w:r>
          </w:p>
        </w:tc>
      </w:tr>
      <w:tr w:rsidR="009A3B20" w:rsidTr="00696523">
        <w:trPr>
          <w:trHeight w:val="1574"/>
        </w:trPr>
        <w:tc>
          <w:tcPr>
            <w:tcW w:w="865" w:type="dxa"/>
            <w:tcBorders>
              <w:tl2br w:val="nil"/>
              <w:tr2bl w:val="nil"/>
            </w:tcBorders>
            <w:vAlign w:val="center"/>
          </w:tcPr>
          <w:p w:rsidR="009A3B20" w:rsidRDefault="002816AE"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2311</w:t>
            </w:r>
          </w:p>
        </w:tc>
        <w:tc>
          <w:tcPr>
            <w:tcW w:w="2304" w:type="dxa"/>
            <w:tcBorders>
              <w:tl2br w:val="nil"/>
              <w:tr2bl w:val="nil"/>
            </w:tcBorders>
            <w:vAlign w:val="center"/>
          </w:tcPr>
          <w:p w:rsidR="009A3B20" w:rsidRPr="00032016" w:rsidRDefault="002816AE" w:rsidP="001E08A9">
            <w:pPr>
              <w:spacing w:after="0" w:line="240" w:lineRule="auto"/>
              <w:rPr>
                <w:rFonts w:ascii="Times New Roman" w:hAnsi="Times New Roman"/>
              </w:rPr>
            </w:pPr>
            <w:r w:rsidRPr="00032016">
              <w:rPr>
                <w:rFonts w:ascii="Times New Roman" w:hAnsi="Times New Roman"/>
              </w:rPr>
              <w:t>Biroja preces</w:t>
            </w:r>
          </w:p>
        </w:tc>
        <w:tc>
          <w:tcPr>
            <w:tcW w:w="3760" w:type="dxa"/>
            <w:tcBorders>
              <w:tl2br w:val="nil"/>
              <w:tr2bl w:val="nil"/>
            </w:tcBorders>
            <w:vAlign w:val="center"/>
          </w:tcPr>
          <w:p w:rsidR="009A3B20" w:rsidRPr="00032016" w:rsidRDefault="002816AE" w:rsidP="001E08A9">
            <w:pPr>
              <w:spacing w:after="0" w:line="240" w:lineRule="auto"/>
              <w:rPr>
                <w:rFonts w:ascii="Times New Roman" w:hAnsi="Times New Roman"/>
              </w:rPr>
            </w:pPr>
            <w:r w:rsidRPr="00032016">
              <w:rPr>
                <w:rFonts w:ascii="Times New Roman" w:hAnsi="Times New Roman"/>
              </w:rPr>
              <w:t>Personu apliecinošu dokumentu izsniegšanas procesa nodrošināšanai nepieciešamo lāzerprintera toneru iegāde (prognoze pamatojoties uz vidējo faktisko patēriņu iepriekšējos gados) –</w:t>
            </w:r>
            <w:r w:rsidR="005670B1">
              <w:rPr>
                <w:rFonts w:ascii="Times New Roman" w:hAnsi="Times New Roman"/>
              </w:rPr>
              <w:t xml:space="preserve"> </w:t>
            </w:r>
            <w:r w:rsidRPr="00032016">
              <w:rPr>
                <w:rFonts w:ascii="Times New Roman" w:hAnsi="Times New Roman"/>
              </w:rPr>
              <w:t>25 499</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032016">
              <w:rPr>
                <w:rFonts w:ascii="Times New Roman" w:hAnsi="Times New Roman"/>
              </w:rPr>
              <w:t>+ PVN (21%) 5 355</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032016">
              <w:rPr>
                <w:rFonts w:ascii="Times New Roman" w:hAnsi="Times New Roman"/>
              </w:rPr>
              <w:t xml:space="preserve">  </w:t>
            </w:r>
            <w:r w:rsidR="005670B1">
              <w:rPr>
                <w:rFonts w:ascii="Times New Roman" w:hAnsi="Times New Roman"/>
              </w:rPr>
              <w:t xml:space="preserve">= </w:t>
            </w:r>
            <w:r w:rsidRPr="00032016">
              <w:rPr>
                <w:rFonts w:ascii="Times New Roman" w:hAnsi="Times New Roman"/>
              </w:rPr>
              <w:t>30 854</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i/>
                <w:color w:val="000000"/>
                <w:sz w:val="24"/>
              </w:rPr>
              <w:t>.</w:t>
            </w:r>
          </w:p>
        </w:tc>
        <w:tc>
          <w:tcPr>
            <w:tcW w:w="2450" w:type="dxa"/>
            <w:tcBorders>
              <w:tl2br w:val="nil"/>
              <w:tr2bl w:val="nil"/>
            </w:tcBorders>
            <w:vAlign w:val="center"/>
          </w:tcPr>
          <w:p w:rsidR="009A3B20" w:rsidRDefault="00032016"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30 </w:t>
            </w:r>
            <w:r w:rsidR="002816AE">
              <w:rPr>
                <w:rFonts w:ascii="Times New Roman" w:hAnsi="SimSun"/>
                <w:color w:val="000000"/>
                <w:sz w:val="24"/>
              </w:rPr>
              <w:t>854</w:t>
            </w:r>
          </w:p>
        </w:tc>
      </w:tr>
      <w:tr w:rsidR="009A3B20" w:rsidTr="00696523">
        <w:trPr>
          <w:trHeight w:val="1949"/>
        </w:trPr>
        <w:tc>
          <w:tcPr>
            <w:tcW w:w="865" w:type="dxa"/>
            <w:tcBorders>
              <w:tl2br w:val="nil"/>
              <w:tr2bl w:val="nil"/>
            </w:tcBorders>
            <w:vAlign w:val="center"/>
          </w:tcPr>
          <w:p w:rsidR="009A3B20" w:rsidRDefault="002816AE"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2350</w:t>
            </w:r>
          </w:p>
        </w:tc>
        <w:tc>
          <w:tcPr>
            <w:tcW w:w="2304" w:type="dxa"/>
            <w:tcBorders>
              <w:tl2br w:val="nil"/>
              <w:tr2bl w:val="nil"/>
            </w:tcBorders>
            <w:vAlign w:val="center"/>
          </w:tcPr>
          <w:p w:rsidR="009A3B20" w:rsidRPr="00032016" w:rsidRDefault="002816AE" w:rsidP="001E08A9">
            <w:pPr>
              <w:spacing w:after="0" w:line="240" w:lineRule="auto"/>
              <w:rPr>
                <w:rFonts w:ascii="Times New Roman" w:hAnsi="Times New Roman"/>
              </w:rPr>
            </w:pPr>
            <w:r w:rsidRPr="00032016">
              <w:rPr>
                <w:rFonts w:ascii="Times New Roman" w:hAnsi="Times New Roman"/>
              </w:rPr>
              <w:t>Kārtējā remonta un iestāžu uzturēšanas materiāli</w:t>
            </w:r>
          </w:p>
        </w:tc>
        <w:tc>
          <w:tcPr>
            <w:tcW w:w="3760" w:type="dxa"/>
            <w:tcBorders>
              <w:tl2br w:val="nil"/>
              <w:tr2bl w:val="nil"/>
            </w:tcBorders>
            <w:vAlign w:val="center"/>
          </w:tcPr>
          <w:p w:rsidR="009A3B20" w:rsidRPr="00032016" w:rsidRDefault="002816AE" w:rsidP="001E08A9">
            <w:pPr>
              <w:spacing w:after="0" w:line="240" w:lineRule="auto"/>
              <w:rPr>
                <w:rFonts w:ascii="Times New Roman" w:hAnsi="Times New Roman"/>
              </w:rPr>
            </w:pPr>
            <w:r w:rsidRPr="00032016">
              <w:rPr>
                <w:rFonts w:ascii="Times New Roman" w:hAnsi="Times New Roman"/>
              </w:rPr>
              <w:t>Personu apliecinošu dokumentu izsniegšanas procesam nepieciešamo gala iekārtu rezerves daļu iegāde (prognoze atbilstoši ekspertu novērtējumam un vidējam faktiskam patēriņam iepriekšējos gados) –</w:t>
            </w:r>
            <w:r w:rsidR="00B272E7">
              <w:rPr>
                <w:rFonts w:ascii="Times New Roman" w:hAnsi="Times New Roman"/>
              </w:rPr>
              <w:t>9 576</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032016">
              <w:rPr>
                <w:rFonts w:ascii="Times New Roman" w:hAnsi="Times New Roman"/>
              </w:rPr>
              <w:t>+ PVN (21%) 2 011</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color w:val="000000"/>
                <w:sz w:val="24"/>
              </w:rPr>
              <w:t xml:space="preserve"> </w:t>
            </w:r>
            <w:r w:rsidRPr="00032016">
              <w:rPr>
                <w:rFonts w:ascii="Times New Roman" w:hAnsi="Times New Roman"/>
              </w:rPr>
              <w:t xml:space="preserve"> = 11 587</w:t>
            </w:r>
            <w:r w:rsidR="005670B1" w:rsidRPr="000532DB">
              <w:rPr>
                <w:rFonts w:ascii="Times New Roman" w:eastAsia="Times New Roman" w:hAnsi="Times New Roman"/>
                <w:i/>
                <w:color w:val="000000"/>
                <w:sz w:val="24"/>
              </w:rPr>
              <w:t xml:space="preserve"> euro</w:t>
            </w:r>
            <w:r w:rsidR="005670B1">
              <w:rPr>
                <w:rFonts w:ascii="Times New Roman" w:eastAsia="Times New Roman" w:hAnsi="Times New Roman"/>
                <w:i/>
                <w:color w:val="000000"/>
                <w:sz w:val="24"/>
              </w:rPr>
              <w:t>.</w:t>
            </w:r>
          </w:p>
        </w:tc>
        <w:tc>
          <w:tcPr>
            <w:tcW w:w="2450" w:type="dxa"/>
            <w:tcBorders>
              <w:tl2br w:val="nil"/>
              <w:tr2bl w:val="nil"/>
            </w:tcBorders>
            <w:vAlign w:val="center"/>
          </w:tcPr>
          <w:p w:rsidR="009A3B20" w:rsidRDefault="00032016" w:rsidP="001E08A9">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11 </w:t>
            </w:r>
            <w:r w:rsidR="002816AE">
              <w:rPr>
                <w:rFonts w:ascii="Times New Roman" w:hAnsi="SimSun"/>
                <w:color w:val="000000"/>
                <w:sz w:val="24"/>
              </w:rPr>
              <w:t>587</w:t>
            </w:r>
          </w:p>
        </w:tc>
      </w:tr>
    </w:tbl>
    <w:tbl>
      <w:tblPr>
        <w:tblW w:w="9414"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5" w:type="dxa"/>
          <w:right w:w="15" w:type="dxa"/>
        </w:tblCellMar>
        <w:tblLook w:val="0000" w:firstRow="0" w:lastRow="0" w:firstColumn="0" w:lastColumn="0" w:noHBand="0" w:noVBand="0"/>
      </w:tblPr>
      <w:tblGrid>
        <w:gridCol w:w="585"/>
        <w:gridCol w:w="41"/>
        <w:gridCol w:w="754"/>
        <w:gridCol w:w="2040"/>
        <w:gridCol w:w="21"/>
        <w:gridCol w:w="3422"/>
        <w:gridCol w:w="2551"/>
      </w:tblGrid>
      <w:tr w:rsidR="00901C74" w:rsidRPr="00C263AA" w:rsidTr="00E65C43">
        <w:trPr>
          <w:trHeight w:val="415"/>
        </w:trPr>
        <w:tc>
          <w:tcPr>
            <w:tcW w:w="626" w:type="dxa"/>
            <w:gridSpan w:val="2"/>
            <w:shd w:val="clear" w:color="auto" w:fill="FBD4B4" w:themeFill="accent6" w:themeFillTint="66"/>
            <w:vAlign w:val="center"/>
          </w:tcPr>
          <w:p w:rsidR="00901C74" w:rsidRPr="00C263AA" w:rsidRDefault="00901C74" w:rsidP="001E08A9">
            <w:pPr>
              <w:spacing w:after="0" w:line="240" w:lineRule="auto"/>
              <w:jc w:val="center"/>
              <w:rPr>
                <w:rFonts w:ascii="Times New Roman" w:hAnsi="Times New Roman"/>
                <w:b/>
                <w:bCs/>
                <w:sz w:val="24"/>
                <w:szCs w:val="24"/>
              </w:rPr>
            </w:pPr>
            <w:r w:rsidRPr="00C263AA">
              <w:rPr>
                <w:rFonts w:ascii="Times New Roman" w:hAnsi="Times New Roman"/>
                <w:b/>
                <w:bCs/>
                <w:sz w:val="24"/>
                <w:szCs w:val="24"/>
              </w:rPr>
              <w:t>2</w:t>
            </w:r>
          </w:p>
        </w:tc>
        <w:tc>
          <w:tcPr>
            <w:tcW w:w="8788" w:type="dxa"/>
            <w:gridSpan w:val="5"/>
            <w:shd w:val="clear" w:color="auto" w:fill="FBD4B4" w:themeFill="accent6" w:themeFillTint="66"/>
            <w:vAlign w:val="center"/>
          </w:tcPr>
          <w:p w:rsidR="00901C74" w:rsidRPr="00C263AA" w:rsidRDefault="005C4AA4" w:rsidP="001E08A9">
            <w:pPr>
              <w:spacing w:after="0" w:line="240" w:lineRule="auto"/>
              <w:jc w:val="center"/>
              <w:rPr>
                <w:rFonts w:ascii="Times New Roman" w:hAnsi="Times New Roman"/>
                <w:b/>
                <w:bCs/>
                <w:sz w:val="24"/>
                <w:szCs w:val="24"/>
              </w:rPr>
            </w:pPr>
            <w:r w:rsidRPr="00FB090B">
              <w:rPr>
                <w:rFonts w:ascii="Times New Roman" w:hAnsi="Times New Roman"/>
                <w:b/>
                <w:bCs/>
                <w:sz w:val="24"/>
                <w:szCs w:val="24"/>
              </w:rPr>
              <w:t>Nepieciešamā finansējuma aprēķins</w:t>
            </w:r>
            <w:r w:rsidR="00901C74" w:rsidRPr="00C263AA">
              <w:rPr>
                <w:rFonts w:ascii="Times New Roman" w:hAnsi="Times New Roman"/>
                <w:b/>
                <w:bCs/>
                <w:sz w:val="24"/>
                <w:szCs w:val="24"/>
              </w:rPr>
              <w:t xml:space="preserve"> 2015.gadam  Iekšlietu ministrijas budžeta apakšprogrammai 11.01.00 „Pilsonības un migrācijas lietu pārvalde”</w:t>
            </w:r>
          </w:p>
        </w:tc>
      </w:tr>
      <w:tr w:rsidR="00901C74" w:rsidRPr="00C263AA" w:rsidTr="00604772">
        <w:trPr>
          <w:trHeight w:val="315"/>
        </w:trPr>
        <w:tc>
          <w:tcPr>
            <w:tcW w:w="6863" w:type="dxa"/>
            <w:gridSpan w:val="6"/>
            <w:vAlign w:val="center"/>
          </w:tcPr>
          <w:p w:rsidR="00901C74" w:rsidRPr="00C263AA" w:rsidRDefault="00901C74" w:rsidP="001E08A9">
            <w:pPr>
              <w:autoSpaceDN w:val="0"/>
              <w:spacing w:after="0" w:line="240" w:lineRule="auto"/>
              <w:jc w:val="right"/>
              <w:textAlignment w:val="center"/>
              <w:rPr>
                <w:rFonts w:ascii="Times New Roman" w:hAnsi="Times New Roman"/>
                <w:b/>
                <w:color w:val="000000"/>
                <w:sz w:val="24"/>
                <w:szCs w:val="24"/>
              </w:rPr>
            </w:pPr>
            <w:r w:rsidRPr="00C263AA">
              <w:rPr>
                <w:rFonts w:ascii="Times New Roman" w:hAnsi="Times New Roman"/>
                <w:b/>
                <w:color w:val="000000"/>
                <w:sz w:val="24"/>
                <w:szCs w:val="24"/>
              </w:rPr>
              <w:t>Izdevumi kopā</w:t>
            </w:r>
          </w:p>
        </w:tc>
        <w:tc>
          <w:tcPr>
            <w:tcW w:w="2551" w:type="dxa"/>
            <w:shd w:val="clear" w:color="auto" w:fill="FBD4B4" w:themeFill="accent6" w:themeFillTint="66"/>
            <w:vAlign w:val="center"/>
          </w:tcPr>
          <w:p w:rsidR="00901C74" w:rsidRPr="00C263AA" w:rsidRDefault="00901C74" w:rsidP="001E08A9">
            <w:pPr>
              <w:autoSpaceDN w:val="0"/>
              <w:spacing w:after="0" w:line="240" w:lineRule="auto"/>
              <w:jc w:val="center"/>
              <w:textAlignment w:val="center"/>
              <w:rPr>
                <w:rFonts w:ascii="Times New Roman" w:hAnsi="SimSun"/>
                <w:b/>
                <w:color w:val="000000"/>
                <w:sz w:val="24"/>
                <w:szCs w:val="24"/>
              </w:rPr>
            </w:pPr>
            <w:r w:rsidRPr="00C263AA">
              <w:rPr>
                <w:rFonts w:ascii="Times New Roman" w:hAnsi="Times New Roman"/>
                <w:b/>
                <w:color w:val="000000"/>
                <w:sz w:val="24"/>
                <w:szCs w:val="24"/>
              </w:rPr>
              <w:t>7 633 156</w:t>
            </w:r>
          </w:p>
        </w:tc>
      </w:tr>
      <w:tr w:rsidR="00B26AE1" w:rsidRPr="00C263AA" w:rsidTr="00FB090B">
        <w:trPr>
          <w:trHeight w:val="315"/>
        </w:trPr>
        <w:tc>
          <w:tcPr>
            <w:tcW w:w="585"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b/>
                <w:color w:val="000000"/>
                <w:sz w:val="24"/>
                <w:szCs w:val="24"/>
              </w:rPr>
            </w:pPr>
            <w:r w:rsidRPr="00C263AA">
              <w:rPr>
                <w:rFonts w:ascii="Times New Roman" w:hAnsi="Times New Roman"/>
                <w:b/>
                <w:color w:val="000000"/>
                <w:sz w:val="24"/>
                <w:szCs w:val="24"/>
              </w:rPr>
              <w:t>1000</w:t>
            </w:r>
          </w:p>
        </w:tc>
        <w:tc>
          <w:tcPr>
            <w:tcW w:w="2040" w:type="dxa"/>
            <w:vAlign w:val="center"/>
          </w:tcPr>
          <w:p w:rsidR="00B26AE1" w:rsidRPr="00C263AA" w:rsidRDefault="00B26AE1" w:rsidP="001E08A9">
            <w:pPr>
              <w:autoSpaceDN w:val="0"/>
              <w:spacing w:after="0" w:line="240" w:lineRule="auto"/>
              <w:textAlignment w:val="center"/>
              <w:rPr>
                <w:rFonts w:ascii="Times New Roman" w:hAnsi="Times New Roman"/>
                <w:b/>
                <w:color w:val="000000"/>
                <w:sz w:val="24"/>
                <w:szCs w:val="24"/>
              </w:rPr>
            </w:pPr>
            <w:r w:rsidRPr="00C263AA">
              <w:rPr>
                <w:rFonts w:ascii="Times New Roman" w:hAnsi="Times New Roman"/>
                <w:b/>
                <w:color w:val="000000"/>
                <w:sz w:val="24"/>
                <w:szCs w:val="24"/>
              </w:rPr>
              <w:t>Atlīdzība</w:t>
            </w:r>
          </w:p>
        </w:tc>
        <w:tc>
          <w:tcPr>
            <w:tcW w:w="3443"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b/>
                <w:color w:val="000000"/>
                <w:sz w:val="24"/>
                <w:szCs w:val="24"/>
              </w:rPr>
            </w:pP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b/>
                <w:color w:val="000000"/>
                <w:sz w:val="24"/>
                <w:szCs w:val="24"/>
              </w:rPr>
            </w:pPr>
            <w:r w:rsidRPr="00C263AA">
              <w:rPr>
                <w:rFonts w:ascii="Times New Roman" w:hAnsi="SimSun"/>
                <w:b/>
                <w:color w:val="000000"/>
                <w:sz w:val="24"/>
                <w:szCs w:val="24"/>
              </w:rPr>
              <w:t>800 543</w:t>
            </w:r>
          </w:p>
        </w:tc>
      </w:tr>
      <w:tr w:rsidR="00B26AE1" w:rsidRPr="00C263AA" w:rsidTr="00FB090B">
        <w:trPr>
          <w:trHeight w:val="31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1100</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Atalgojums</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619 080</w:t>
            </w:r>
          </w:p>
        </w:tc>
      </w:tr>
      <w:tr w:rsidR="00B26AE1" w:rsidRPr="00C263AA" w:rsidTr="00FB090B">
        <w:trPr>
          <w:trHeight w:val="1260"/>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1119</w:t>
            </w:r>
          </w:p>
        </w:tc>
        <w:tc>
          <w:tcPr>
            <w:tcW w:w="2040" w:type="dxa"/>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Pārējo darbinieku mēneša amatalga</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73 klientu apkalpošanas speciālisti (amatu saime un līmenis – 23 IIA 6 mēnešalgu grupa) = vidējā mēnešalga 529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12 mēneši x 73 amata vietas = 463 404</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573 222</w:t>
            </w:r>
          </w:p>
        </w:tc>
      </w:tr>
      <w:tr w:rsidR="00B26AE1" w:rsidRPr="00C263AA" w:rsidTr="00FB090B">
        <w:trPr>
          <w:trHeight w:val="945"/>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6 operatori (amatu saime un līmenis – 13 III) = vidējā mēnešalga 449.25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12 mēneši x 6 amata vietas = 32 346</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945"/>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12 referents (amatu saime un līmenis – 23 IIA 6 mēnešalgu grupa) = vidējā mēnešalga 538</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12 mēneši x 6 amata vietas = 77 472</w:t>
            </w:r>
            <w:r w:rsidRPr="00C263AA">
              <w:rPr>
                <w:rFonts w:ascii="Times New Roman" w:eastAsia="Times New Roman" w:hAnsi="Times New Roman"/>
                <w:i/>
                <w:color w:val="000000"/>
                <w:sz w:val="24"/>
                <w:szCs w:val="24"/>
              </w:rPr>
              <w:t xml:space="preserve"> euro.</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316"/>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1147</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Piemaksa par papildu darbu</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Vispārējas piemaksas 3% apmērā no plānotās mēnešalgas kopsummas gadā 573 222</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0.03 = 17 197</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17 197</w:t>
            </w:r>
          </w:p>
        </w:tc>
      </w:tr>
      <w:tr w:rsidR="00B26AE1" w:rsidRPr="00C263AA" w:rsidTr="00FB090B">
        <w:trPr>
          <w:trHeight w:val="94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1148</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Prēmijas, naudas balvas un materiālā stimulēšana</w:t>
            </w:r>
          </w:p>
        </w:tc>
        <w:tc>
          <w:tcPr>
            <w:tcW w:w="3443" w:type="dxa"/>
            <w:gridSpan w:val="2"/>
            <w:vAlign w:val="center"/>
          </w:tcPr>
          <w:p w:rsidR="00EF6EC3" w:rsidRDefault="00B26AE1" w:rsidP="00EF6EC3">
            <w:pPr>
              <w:spacing w:after="0" w:line="240" w:lineRule="auto"/>
              <w:rPr>
                <w:rFonts w:ascii="Times New Roman" w:hAnsi="Times New Roman"/>
                <w:sz w:val="24"/>
                <w:szCs w:val="24"/>
              </w:rPr>
            </w:pPr>
            <w:r w:rsidRPr="00C263AA">
              <w:rPr>
                <w:rFonts w:ascii="Times New Roman" w:hAnsi="Times New Roman"/>
                <w:sz w:val="24"/>
                <w:szCs w:val="24"/>
              </w:rPr>
              <w:t>Naudas balvas, prēmijas 5% no plānotās mēnešalgas kopsummas gadā 573 222</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0.05</w:t>
            </w:r>
          </w:p>
          <w:p w:rsidR="00B26AE1" w:rsidRPr="00C263AA" w:rsidRDefault="00B26AE1" w:rsidP="00EF6EC3">
            <w:pPr>
              <w:spacing w:after="0" w:line="240" w:lineRule="auto"/>
              <w:rPr>
                <w:rFonts w:ascii="Times New Roman" w:hAnsi="Times New Roman"/>
                <w:sz w:val="24"/>
                <w:szCs w:val="24"/>
              </w:rPr>
            </w:pPr>
            <w:r w:rsidRPr="00C263AA">
              <w:rPr>
                <w:rFonts w:ascii="Times New Roman" w:hAnsi="Times New Roman"/>
                <w:sz w:val="24"/>
                <w:szCs w:val="24"/>
              </w:rPr>
              <w:t xml:space="preserve"> =  28 661</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28 661</w:t>
            </w:r>
          </w:p>
        </w:tc>
      </w:tr>
      <w:tr w:rsidR="00B26AE1" w:rsidRPr="00C263AA" w:rsidTr="00FB090B">
        <w:trPr>
          <w:trHeight w:val="157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1200</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Darba devēja valsts sociālās apdrošināšanas obligātās  iemaksas, sociālā rakstura  pabalsti un kompensācijas</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181 463</w:t>
            </w:r>
          </w:p>
        </w:tc>
      </w:tr>
      <w:tr w:rsidR="00B26AE1" w:rsidRPr="00C263AA" w:rsidTr="00FB090B">
        <w:trPr>
          <w:trHeight w:val="94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1210</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Darba devēja valsts sociālās apdrošināšanas obligātās iemaksas</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647 741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0,2359 = 152 802</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152 802</w:t>
            </w:r>
          </w:p>
        </w:tc>
      </w:tr>
      <w:tr w:rsidR="00B26AE1" w:rsidRPr="00C263AA" w:rsidTr="00FB090B">
        <w:trPr>
          <w:trHeight w:val="1162"/>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1220</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Darba devēja sociāla rakstura pabalsti, kompensācijas un citi maksājumi</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28 661</w:t>
            </w:r>
          </w:p>
        </w:tc>
      </w:tr>
      <w:tr w:rsidR="00B26AE1" w:rsidRPr="00C263AA" w:rsidTr="00FB090B">
        <w:trPr>
          <w:trHeight w:val="112"/>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1221</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Darba devēja sociāla rakstura pabalsti un kompensācijas, no kuriem aprēķina ienākuma nodokli </w:t>
            </w:r>
            <w:r w:rsidRPr="00C263AA">
              <w:rPr>
                <w:rFonts w:ascii="Times New Roman" w:hAnsi="Times New Roman"/>
                <w:sz w:val="24"/>
                <w:szCs w:val="24"/>
              </w:rPr>
              <w:lastRenderedPageBreak/>
              <w:t>un valsts sociālās apdrošināšanas obligātās iemaksas</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lastRenderedPageBreak/>
              <w:t xml:space="preserve">Sociālās garantijas 5%  apmērā no plānotas mēnešalgas kopsummas gadā  573 222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0.05 = 28 661</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28 661</w:t>
            </w:r>
          </w:p>
        </w:tc>
      </w:tr>
      <w:tr w:rsidR="00B26AE1" w:rsidRPr="00C263AA" w:rsidTr="00FB090B">
        <w:trPr>
          <w:trHeight w:val="31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b/>
                <w:color w:val="000000"/>
                <w:sz w:val="24"/>
                <w:szCs w:val="24"/>
              </w:rPr>
            </w:pPr>
            <w:r w:rsidRPr="00C263AA">
              <w:rPr>
                <w:rFonts w:ascii="Times New Roman" w:hAnsi="Times New Roman"/>
                <w:b/>
                <w:color w:val="000000"/>
                <w:sz w:val="24"/>
                <w:szCs w:val="24"/>
              </w:rPr>
              <w:t>2000</w:t>
            </w:r>
          </w:p>
        </w:tc>
        <w:tc>
          <w:tcPr>
            <w:tcW w:w="5483" w:type="dxa"/>
            <w:gridSpan w:val="3"/>
            <w:vAlign w:val="center"/>
          </w:tcPr>
          <w:p w:rsidR="00B26AE1" w:rsidRPr="00C263AA" w:rsidRDefault="00B26AE1" w:rsidP="001E08A9">
            <w:pPr>
              <w:spacing w:after="0" w:line="240" w:lineRule="auto"/>
              <w:rPr>
                <w:rFonts w:ascii="Times New Roman" w:hAnsi="Times New Roman"/>
                <w:b/>
                <w:sz w:val="24"/>
                <w:szCs w:val="24"/>
              </w:rPr>
            </w:pPr>
            <w:r w:rsidRPr="00C263AA">
              <w:rPr>
                <w:rFonts w:ascii="Times New Roman" w:hAnsi="Times New Roman"/>
                <w:b/>
                <w:sz w:val="24"/>
                <w:szCs w:val="24"/>
              </w:rPr>
              <w:t>Preces un pakalpojumi</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b/>
                <w:color w:val="000000"/>
                <w:sz w:val="24"/>
                <w:szCs w:val="24"/>
              </w:rPr>
            </w:pPr>
            <w:r w:rsidRPr="00C263AA">
              <w:rPr>
                <w:rFonts w:ascii="Times New Roman" w:hAnsi="SimSun"/>
                <w:b/>
                <w:color w:val="000000"/>
                <w:sz w:val="24"/>
                <w:szCs w:val="24"/>
              </w:rPr>
              <w:t>5</w:t>
            </w:r>
            <w:r w:rsidRPr="00C263AA">
              <w:rPr>
                <w:rFonts w:ascii="Times New Roman" w:hAnsi="SimSun"/>
                <w:b/>
                <w:color w:val="000000"/>
                <w:sz w:val="24"/>
                <w:szCs w:val="24"/>
              </w:rPr>
              <w:t> </w:t>
            </w:r>
            <w:r w:rsidRPr="00C263AA">
              <w:rPr>
                <w:rFonts w:ascii="Times New Roman" w:hAnsi="SimSun"/>
                <w:b/>
                <w:color w:val="000000"/>
                <w:sz w:val="24"/>
                <w:szCs w:val="24"/>
              </w:rPr>
              <w:t>501 613</w:t>
            </w:r>
          </w:p>
        </w:tc>
      </w:tr>
      <w:tr w:rsidR="00B26AE1" w:rsidRPr="00C263AA" w:rsidTr="00FB090B">
        <w:trPr>
          <w:trHeight w:val="31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2200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Pakalpojumi </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w:t>
            </w:r>
            <w:r w:rsidRPr="00C263AA">
              <w:rPr>
                <w:rFonts w:ascii="Times New Roman" w:hAnsi="SimSun"/>
                <w:color w:val="000000"/>
                <w:sz w:val="24"/>
                <w:szCs w:val="24"/>
              </w:rPr>
              <w:t> </w:t>
            </w:r>
            <w:r w:rsidRPr="00C263AA">
              <w:rPr>
                <w:rFonts w:ascii="Times New Roman" w:hAnsi="SimSun"/>
                <w:color w:val="000000"/>
                <w:sz w:val="24"/>
                <w:szCs w:val="24"/>
              </w:rPr>
              <w:t>463 965</w:t>
            </w:r>
          </w:p>
        </w:tc>
      </w:tr>
      <w:tr w:rsidR="00B26AE1" w:rsidRPr="00C263AA" w:rsidTr="00FB090B">
        <w:trPr>
          <w:trHeight w:val="295"/>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2210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Pasta, telefona un citi sakaru pakalpojumi</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713</w:t>
            </w:r>
          </w:p>
        </w:tc>
      </w:tr>
      <w:tr w:rsidR="00B26AE1" w:rsidRPr="00C263AA" w:rsidTr="00FB090B">
        <w:trPr>
          <w:trHeight w:val="1592"/>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2219</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Pārējie sakaru pakalpojumi</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Sakaru pakalpojumu izmaksu pieaugums par 20% pēc pagarinātā darba laika (par 6 stundām)  ieviešanas klientu apkalpošanas kapacitātes paaugstināšanai. Sakaru pakalpojumi nodaļās vidēji gadā 3 567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0.2 = 713</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713</w:t>
            </w:r>
          </w:p>
        </w:tc>
      </w:tr>
      <w:tr w:rsidR="00B26AE1" w:rsidRPr="00C263AA" w:rsidTr="00FB090B">
        <w:trPr>
          <w:trHeight w:val="199"/>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2220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Izdevumi par komunālajiem pakalpojumiem</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15 172</w:t>
            </w:r>
          </w:p>
        </w:tc>
      </w:tr>
      <w:tr w:rsidR="00B26AE1" w:rsidRPr="00C263AA" w:rsidTr="00FB090B">
        <w:trPr>
          <w:trHeight w:val="1624"/>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2222</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Izdevumi par ūdeni un kanalizāciju</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Ūdens un kanalizācijas izmaksu pieaugums par 75% pēc pagarinātā darba laika (par 6 stundām) ieviešanas klientu apkalpošanas kapacitātes paaugstināšanai. Ūdens un kanalizācijas izdevumi nodaļās vidēji gadā 878</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0.75 = 659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659</w:t>
            </w:r>
          </w:p>
        </w:tc>
      </w:tr>
      <w:tr w:rsidR="00B26AE1" w:rsidRPr="00C263AA" w:rsidTr="00FB090B">
        <w:trPr>
          <w:trHeight w:val="1648"/>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2223</w:t>
            </w:r>
          </w:p>
        </w:tc>
        <w:tc>
          <w:tcPr>
            <w:tcW w:w="2040"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Izdevumi par elektroenerģiju</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Elektrības izmaksu pieaugums par 75% pēc pagarinātā darba laika (par 6 stundām)  ieviešanas klientu apkalpošanas kapacitātes paaugstināšanai. Elektrības izdevumi nodaļās vidēji gadā 19 351</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0.75 = 14 513</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14 513</w:t>
            </w:r>
          </w:p>
        </w:tc>
      </w:tr>
      <w:tr w:rsidR="00B26AE1" w:rsidRPr="00C263AA" w:rsidTr="00FB090B">
        <w:trPr>
          <w:trHeight w:val="538"/>
        </w:trPr>
        <w:tc>
          <w:tcPr>
            <w:tcW w:w="585" w:type="dxa"/>
            <w:vMerge/>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2240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Remontdarbi un iestāžu uzturēšanas pakalpojumi (izņemot ēku, būvju un ceļu kapitālo remontu)</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171 494</w:t>
            </w:r>
          </w:p>
        </w:tc>
      </w:tr>
      <w:tr w:rsidR="00B26AE1" w:rsidRPr="00C263AA" w:rsidTr="00FB090B">
        <w:trPr>
          <w:trHeight w:val="1543"/>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2243</w:t>
            </w:r>
          </w:p>
        </w:tc>
        <w:tc>
          <w:tcPr>
            <w:tcW w:w="2040" w:type="dxa"/>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Iekārtas, inventāra un aparatūras remonts, tehniskā apkalpošana</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Biroja tehnikas apkopes un remonta izmaksu pieaugums par 75% pēc pagarinātā darba laika (par 6 stundām) ieviešanas klientu apkalpošanas kapacitātes paaugstināšanai. Vidēji gadā  2 372</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0.75 = 1 779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37 315</w:t>
            </w:r>
          </w:p>
        </w:tc>
      </w:tr>
      <w:tr w:rsidR="00B26AE1" w:rsidRPr="00C263AA" w:rsidTr="00FB090B">
        <w:trPr>
          <w:trHeight w:val="396"/>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Pārvaldes Personalizācijas centra inženiertehnisko un drošības sistēmu uzturēšana (prognoze pamatojoties uz faktiskajiem izdevumiem iepriekšējos gados, saskaņā ar pašreizējiem līgumiem), t. sk., videonovērošanas sistēma, </w:t>
            </w:r>
            <w:r w:rsidRPr="00C263AA">
              <w:rPr>
                <w:rFonts w:ascii="Times New Roman" w:hAnsi="Times New Roman"/>
                <w:sz w:val="24"/>
                <w:szCs w:val="24"/>
              </w:rPr>
              <w:lastRenderedPageBreak/>
              <w:t xml:space="preserve">pieejas kontroles sistēma un drošības sistēma ar signalizāciju, gāzes ugunsdzēšanas sistēma serveru telpās, ventilācijas un kondicionēšanas sistēma (prognoze pamatojoties uz faktiskajiem izdevumiem iepriekšējos gados) –1 953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12 mēn. = 23 436</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1672"/>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Pārvaldes Personalizācijas centra tehniskā aprīkojuma remonts un apkalpošana (prognoze pamatojoties uz faktiskajiem izdevumiem iepriekšējos gados, saskaņā ar pašreizējiem līgumiem) – 10 000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2 100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12 100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2389"/>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2249</w:t>
            </w:r>
          </w:p>
        </w:tc>
        <w:tc>
          <w:tcPr>
            <w:tcW w:w="2040" w:type="dxa"/>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Pārējie remontdarbu un iestāžu uzturēšanas pakalpojumi</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Informatīvā tālruņa par personu apliecinošu dokumentu izsniegšanas jautājumiem uzturēšanas izmaksas (prognoze pamatojoties uz faktiskajiem izdevumiem iepriekšējos gados, nodrošinot pakalpojuma pieejamības paaugstināšanu par 50% salīdzinājumā ar 2014.gadu) –26 446</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x 1,5 = 39 669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8 330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47 999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134 179</w:t>
            </w:r>
          </w:p>
        </w:tc>
      </w:tr>
      <w:tr w:rsidR="00B26AE1" w:rsidRPr="00C263AA" w:rsidTr="00FB090B">
        <w:trPr>
          <w:trHeight w:val="1948"/>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Informatīvu materiālu par personu apliecinošiem dokumentiem sagatavošanas, ražošanas un izplatīšanas izmaksas (prognoze pamatojoties uz veikto tirgus izpēti un paredzēto informatīvo materiālu skaitu un specifikāciju) –5 000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1 050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6 050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2267"/>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w:t>
            </w:r>
            <w:r w:rsidRPr="00C263AA">
              <w:rPr>
                <w:rFonts w:ascii="Times New Roman" w:hAnsi="Times New Roman"/>
                <w:sz w:val="24"/>
                <w:szCs w:val="24"/>
              </w:rPr>
              <w:lastRenderedPageBreak/>
              <w:t xml:space="preserve">līgumiem) –66 223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13 907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80130</w:t>
            </w:r>
            <w:r w:rsidRPr="00C263AA">
              <w:rPr>
                <w:rFonts w:ascii="Times New Roman" w:eastAsia="Times New Roman" w:hAnsi="Times New Roman"/>
                <w:i/>
                <w:color w:val="000000"/>
                <w:sz w:val="24"/>
                <w:szCs w:val="24"/>
              </w:rPr>
              <w:t xml:space="preserve"> euro.</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359"/>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2250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Informācijas tehnoloģiju pakalpojumi</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w:t>
            </w:r>
            <w:r w:rsidRPr="00C263AA">
              <w:rPr>
                <w:rFonts w:ascii="Times New Roman" w:hAnsi="SimSun"/>
                <w:color w:val="000000"/>
                <w:sz w:val="24"/>
                <w:szCs w:val="24"/>
              </w:rPr>
              <w:t> </w:t>
            </w:r>
            <w:r w:rsidRPr="00C263AA">
              <w:rPr>
                <w:rFonts w:ascii="Times New Roman" w:hAnsi="SimSun"/>
                <w:color w:val="000000"/>
                <w:sz w:val="24"/>
                <w:szCs w:val="24"/>
              </w:rPr>
              <w:t>276 586</w:t>
            </w:r>
          </w:p>
        </w:tc>
      </w:tr>
      <w:tr w:rsidR="00B26AE1" w:rsidRPr="00C263AA" w:rsidTr="00FB090B">
        <w:trPr>
          <w:trHeight w:val="1928"/>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2251</w:t>
            </w:r>
          </w:p>
        </w:tc>
        <w:tc>
          <w:tcPr>
            <w:tcW w:w="2040" w:type="dxa"/>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Informācijas sistēmas uzturēšana</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Personu apliecinošu dokumentu informācijas sistēmas (PADIS) programmatūras un specializētās aparatūras uzturēšana (prognozētās izmaksas saskaņā ar veikto tirgus izpēti un noslēgtajiem līgumiem) = 280 000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58 800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338 800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399 300</w:t>
            </w:r>
          </w:p>
        </w:tc>
      </w:tr>
      <w:tr w:rsidR="00B26AE1" w:rsidRPr="00C263AA" w:rsidTr="00FB090B">
        <w:trPr>
          <w:trHeight w:val="1575"/>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eID starpprogrammatūras un eID portāla (eid.pmlp.gov.lv) uzturēšana (saskaņā ar ekspertu novērtējumu aptuveni 10% no starpprogrammatūras un  portāla izveides izmaksām) 50 000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10 500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60 500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1672"/>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2259</w:t>
            </w:r>
          </w:p>
        </w:tc>
        <w:tc>
          <w:tcPr>
            <w:tcW w:w="2040" w:type="dxa"/>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Pārējie informācijas tehnoloģiju pakalpojumi</w:t>
            </w: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Personas apliecību (eID) izsniegšanai nepieciešamo sertifikācijas pakalpojumu iegāde no VAS „Latvijas Valsts radio un televīzijas centrs” (saskaņā ar noslēgto līgumu) = 700 030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147 006</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847 036</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877 286</w:t>
            </w:r>
          </w:p>
        </w:tc>
      </w:tr>
      <w:tr w:rsidR="00B26AE1" w:rsidRPr="00C263AA" w:rsidTr="00FB090B">
        <w:trPr>
          <w:trHeight w:val="1681"/>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40" w:type="dxa"/>
            <w:vMerge/>
            <w:vAlign w:val="center"/>
          </w:tcPr>
          <w:p w:rsidR="00B26AE1" w:rsidRPr="00C263AA" w:rsidRDefault="00B26AE1" w:rsidP="001E08A9">
            <w:pPr>
              <w:spacing w:after="0" w:line="240" w:lineRule="auto"/>
              <w:rPr>
                <w:rFonts w:ascii="Times New Roman" w:hAnsi="Times New Roman"/>
                <w:sz w:val="24"/>
                <w:szCs w:val="24"/>
              </w:rPr>
            </w:pPr>
          </w:p>
        </w:tc>
        <w:tc>
          <w:tcPr>
            <w:tcW w:w="3443"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Personu apliecinošu dokumentu informācijas sistēmas (PADIS) un eID starpprogrammatūras ikgadējais drošības audits (prognozētās izmaksas saskaņā ar veikto tirgus izpēti) = 25 000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5 250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30 250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765"/>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2300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Krājumi, materiāli, energoresursi, preces, biroja preces un inventārs, kurus neuzskaita kodā 5000</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4</w:t>
            </w:r>
            <w:r w:rsidRPr="00C263AA">
              <w:rPr>
                <w:rFonts w:ascii="Times New Roman" w:hAnsi="SimSun"/>
                <w:color w:val="000000"/>
                <w:sz w:val="24"/>
                <w:szCs w:val="24"/>
              </w:rPr>
              <w:t> </w:t>
            </w:r>
            <w:r w:rsidRPr="00C263AA">
              <w:rPr>
                <w:rFonts w:ascii="Times New Roman" w:hAnsi="SimSun"/>
                <w:color w:val="000000"/>
                <w:sz w:val="24"/>
                <w:szCs w:val="24"/>
              </w:rPr>
              <w:t>037 648</w:t>
            </w:r>
          </w:p>
        </w:tc>
      </w:tr>
      <w:tr w:rsidR="00B26AE1" w:rsidRPr="00C263AA" w:rsidTr="00FB090B">
        <w:trPr>
          <w:trHeight w:val="315"/>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2310</w:t>
            </w:r>
          </w:p>
        </w:tc>
        <w:tc>
          <w:tcPr>
            <w:tcW w:w="5483" w:type="dxa"/>
            <w:gridSpan w:val="3"/>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Biroja preces un inventārs </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54 977</w:t>
            </w:r>
          </w:p>
        </w:tc>
      </w:tr>
      <w:tr w:rsidR="00B26AE1" w:rsidRPr="00C263AA" w:rsidTr="00FB090B">
        <w:trPr>
          <w:trHeight w:val="1157"/>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2311</w:t>
            </w:r>
          </w:p>
        </w:tc>
        <w:tc>
          <w:tcPr>
            <w:tcW w:w="2061" w:type="dxa"/>
            <w:gridSpan w:val="2"/>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Biroja preces  </w:t>
            </w: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nepieciešamais pasu sagatavju skaits 505 000 x vienas sagataves cena (atbilstoši līgumam par pasu sagatavju izgatavošanu un piegādi) 4,99</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2 519 950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529 190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3 049 140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54 977</w:t>
            </w:r>
          </w:p>
        </w:tc>
      </w:tr>
      <w:tr w:rsidR="00B26AE1" w:rsidRPr="00C263AA" w:rsidTr="00FB090B">
        <w:trPr>
          <w:trHeight w:val="1319"/>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61" w:type="dxa"/>
            <w:gridSpan w:val="2"/>
            <w:vMerge/>
            <w:vAlign w:val="center"/>
          </w:tcPr>
          <w:p w:rsidR="00B26AE1" w:rsidRPr="00C263AA" w:rsidRDefault="00B26AE1" w:rsidP="001E08A9">
            <w:pPr>
              <w:spacing w:after="0" w:line="240" w:lineRule="auto"/>
              <w:rPr>
                <w:rFonts w:ascii="Times New Roman" w:hAnsi="Times New Roman"/>
                <w:sz w:val="24"/>
                <w:szCs w:val="24"/>
              </w:rPr>
            </w:pP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nepieciešamais personas apliecību sagatavju skaits 134 410  x vienas sagataves cena (atbilstoši spēkā esošajam līgumam par personas apliecību sagatavju izgatavošanu un piegādi) 5,74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771 513</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162 018</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933 531</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1882"/>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61" w:type="dxa"/>
            <w:gridSpan w:val="2"/>
            <w:vMerge/>
            <w:vAlign w:val="center"/>
          </w:tcPr>
          <w:p w:rsidR="00B26AE1" w:rsidRPr="00C263AA" w:rsidRDefault="00B26AE1" w:rsidP="001E08A9">
            <w:pPr>
              <w:spacing w:after="0" w:line="240" w:lineRule="auto"/>
              <w:rPr>
                <w:rFonts w:ascii="Times New Roman" w:hAnsi="Times New Roman"/>
                <w:sz w:val="24"/>
                <w:szCs w:val="24"/>
              </w:rPr>
            </w:pP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personu apliecinošu dokumentu izsniegšanas procesa nodrošināšanai nepieciešamo materiālu iegāde, t.sk. aploksnes, papīrs un citas biroja preces (prognoze pamatojoties uz vidējo faktisko patēriņu iepriekšējos gados) –43 500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PVN (21%) 9 135</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52 635</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1329"/>
        </w:trPr>
        <w:tc>
          <w:tcPr>
            <w:tcW w:w="585" w:type="dxa"/>
            <w:vMerge/>
            <w:vAlign w:val="center"/>
          </w:tcPr>
          <w:p w:rsidR="00B26AE1" w:rsidRPr="00C263AA" w:rsidRDefault="00B26AE1" w:rsidP="001E08A9">
            <w:pPr>
              <w:spacing w:after="0" w:line="240" w:lineRule="auto"/>
              <w:rPr>
                <w:rFonts w:ascii="SimSun" w:hAnsi="SimSun"/>
                <w:sz w:val="24"/>
                <w:szCs w:val="24"/>
              </w:rPr>
            </w:pPr>
          </w:p>
        </w:tc>
        <w:tc>
          <w:tcPr>
            <w:tcW w:w="795" w:type="dxa"/>
            <w:gridSpan w:val="2"/>
            <w:vMerge/>
            <w:vAlign w:val="center"/>
          </w:tcPr>
          <w:p w:rsidR="00B26AE1" w:rsidRPr="00C263AA" w:rsidRDefault="00B26AE1" w:rsidP="001E08A9">
            <w:pPr>
              <w:autoSpaceDN w:val="0"/>
              <w:spacing w:after="0" w:line="240" w:lineRule="auto"/>
              <w:rPr>
                <w:rFonts w:ascii="Times New Roman" w:hAnsi="Times New Roman"/>
                <w:sz w:val="24"/>
                <w:szCs w:val="24"/>
              </w:rPr>
            </w:pPr>
          </w:p>
        </w:tc>
        <w:tc>
          <w:tcPr>
            <w:tcW w:w="2061" w:type="dxa"/>
            <w:gridSpan w:val="2"/>
            <w:vMerge/>
            <w:vAlign w:val="center"/>
          </w:tcPr>
          <w:p w:rsidR="00B26AE1" w:rsidRPr="00C263AA" w:rsidRDefault="00B26AE1" w:rsidP="001E08A9">
            <w:pPr>
              <w:spacing w:after="0" w:line="240" w:lineRule="auto"/>
              <w:rPr>
                <w:rFonts w:ascii="Times New Roman" w:hAnsi="Times New Roman"/>
                <w:sz w:val="24"/>
                <w:szCs w:val="24"/>
              </w:rPr>
            </w:pP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Biroja preču iegādes izmaksu pieaugums par 75% pēc pagarinātā darba laika (par 6 stundām) ieviešanas klientu apkalpošanas kapacitātes paaugstināšanai. Vidēji gadā 3 123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x 0,75 =   2 342</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1363"/>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restart"/>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2390</w:t>
            </w:r>
          </w:p>
        </w:tc>
        <w:tc>
          <w:tcPr>
            <w:tcW w:w="2061" w:type="dxa"/>
            <w:gridSpan w:val="2"/>
            <w:vMerge w:val="restart"/>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Pārējās preces</w:t>
            </w: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nepieciešamais pasu sagatavju skaits 505 000 x vienas sagataves cena (atbilstoši līgumam par pasu sagatavju izgatavošanu un piegādi)   4,99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2 519 950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529 190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3 049 140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restart"/>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3</w:t>
            </w:r>
            <w:r w:rsidRPr="00C263AA">
              <w:rPr>
                <w:rFonts w:ascii="Times New Roman" w:hAnsi="SimSun"/>
                <w:color w:val="000000"/>
                <w:sz w:val="24"/>
                <w:szCs w:val="24"/>
              </w:rPr>
              <w:t> </w:t>
            </w:r>
            <w:r w:rsidRPr="00C263AA">
              <w:rPr>
                <w:rFonts w:ascii="Times New Roman" w:hAnsi="SimSun"/>
                <w:color w:val="000000"/>
                <w:sz w:val="24"/>
                <w:szCs w:val="24"/>
              </w:rPr>
              <w:t>982 671</w:t>
            </w:r>
          </w:p>
        </w:tc>
      </w:tr>
      <w:tr w:rsidR="00B26AE1" w:rsidRPr="00C263AA" w:rsidTr="00FB090B">
        <w:trPr>
          <w:trHeight w:val="1530"/>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Merge/>
            <w:vAlign w:val="center"/>
          </w:tcPr>
          <w:p w:rsidR="00B26AE1" w:rsidRPr="00C263AA" w:rsidRDefault="00B26AE1" w:rsidP="001E08A9">
            <w:pPr>
              <w:spacing w:after="0" w:line="240" w:lineRule="auto"/>
              <w:rPr>
                <w:rFonts w:ascii="Times New Roman" w:hAnsi="Times New Roman"/>
                <w:sz w:val="24"/>
                <w:szCs w:val="24"/>
              </w:rPr>
            </w:pPr>
          </w:p>
        </w:tc>
        <w:tc>
          <w:tcPr>
            <w:tcW w:w="2061" w:type="dxa"/>
            <w:gridSpan w:val="2"/>
            <w:vMerge/>
            <w:vAlign w:val="center"/>
          </w:tcPr>
          <w:p w:rsidR="00B26AE1" w:rsidRPr="00C263AA" w:rsidRDefault="00B26AE1" w:rsidP="001E08A9">
            <w:pPr>
              <w:spacing w:after="0" w:line="240" w:lineRule="auto"/>
              <w:rPr>
                <w:rFonts w:ascii="Times New Roman" w:hAnsi="Times New Roman"/>
                <w:sz w:val="24"/>
                <w:szCs w:val="24"/>
              </w:rPr>
            </w:pP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nepieciešamais personas apliecību sagatavju skaits 134 410  x vienas sagataves cena (atbilstoši spēkā esošajam līgumam par personas apliecību sagatavju izgatavošanu un piegādi) 5,74</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771 513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162 018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933 531</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w:t>
            </w:r>
          </w:p>
        </w:tc>
        <w:tc>
          <w:tcPr>
            <w:tcW w:w="2551" w:type="dxa"/>
            <w:vMerge/>
            <w:vAlign w:val="center"/>
          </w:tcPr>
          <w:p w:rsidR="00B26AE1" w:rsidRPr="00C263AA" w:rsidRDefault="00B26AE1" w:rsidP="001E08A9">
            <w:pPr>
              <w:autoSpaceDN w:val="0"/>
              <w:spacing w:after="0" w:line="240" w:lineRule="auto"/>
              <w:jc w:val="both"/>
              <w:textAlignment w:val="center"/>
              <w:rPr>
                <w:rFonts w:ascii="SimSun" w:hAnsi="SimSun"/>
                <w:sz w:val="24"/>
                <w:szCs w:val="24"/>
              </w:rPr>
            </w:pPr>
          </w:p>
        </w:tc>
      </w:tr>
      <w:tr w:rsidR="00B26AE1" w:rsidRPr="00C263AA" w:rsidTr="00FB090B">
        <w:trPr>
          <w:trHeight w:val="251"/>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b/>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b/>
                <w:color w:val="000000"/>
                <w:sz w:val="24"/>
                <w:szCs w:val="24"/>
              </w:rPr>
            </w:pPr>
            <w:r w:rsidRPr="00C263AA">
              <w:rPr>
                <w:rFonts w:ascii="Times New Roman" w:hAnsi="Times New Roman"/>
                <w:b/>
                <w:color w:val="000000"/>
                <w:sz w:val="24"/>
                <w:szCs w:val="24"/>
              </w:rPr>
              <w:t>5000</w:t>
            </w:r>
          </w:p>
        </w:tc>
        <w:tc>
          <w:tcPr>
            <w:tcW w:w="5483" w:type="dxa"/>
            <w:gridSpan w:val="3"/>
            <w:vAlign w:val="center"/>
          </w:tcPr>
          <w:p w:rsidR="00B26AE1" w:rsidRPr="00C263AA" w:rsidRDefault="00B26AE1" w:rsidP="001E08A9">
            <w:pPr>
              <w:spacing w:after="0" w:line="240" w:lineRule="auto"/>
              <w:rPr>
                <w:rFonts w:ascii="Times New Roman" w:hAnsi="Times New Roman"/>
                <w:b/>
                <w:sz w:val="24"/>
                <w:szCs w:val="24"/>
              </w:rPr>
            </w:pPr>
            <w:r w:rsidRPr="00C263AA">
              <w:rPr>
                <w:rFonts w:ascii="Times New Roman" w:hAnsi="Times New Roman"/>
                <w:b/>
                <w:sz w:val="24"/>
                <w:szCs w:val="24"/>
              </w:rPr>
              <w:t xml:space="preserve">Pamatkapitāla veidošana </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b/>
                <w:color w:val="000000"/>
                <w:sz w:val="24"/>
                <w:szCs w:val="24"/>
              </w:rPr>
            </w:pPr>
            <w:r w:rsidRPr="00C263AA">
              <w:rPr>
                <w:rFonts w:ascii="Times New Roman" w:hAnsi="SimSun"/>
                <w:b/>
                <w:color w:val="000000"/>
                <w:sz w:val="24"/>
                <w:szCs w:val="24"/>
              </w:rPr>
              <w:t>1</w:t>
            </w:r>
            <w:r w:rsidRPr="00C263AA">
              <w:rPr>
                <w:rFonts w:ascii="Times New Roman" w:hAnsi="SimSun"/>
                <w:b/>
                <w:color w:val="000000"/>
                <w:sz w:val="24"/>
                <w:szCs w:val="24"/>
              </w:rPr>
              <w:t> </w:t>
            </w:r>
            <w:r w:rsidRPr="00C263AA">
              <w:rPr>
                <w:rFonts w:ascii="Times New Roman" w:hAnsi="SimSun"/>
                <w:b/>
                <w:color w:val="000000"/>
                <w:sz w:val="24"/>
                <w:szCs w:val="24"/>
              </w:rPr>
              <w:t>331 000</w:t>
            </w:r>
          </w:p>
        </w:tc>
      </w:tr>
      <w:tr w:rsidR="00B26AE1" w:rsidRPr="00C263AA" w:rsidTr="00FB090B">
        <w:trPr>
          <w:trHeight w:val="2101"/>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5121</w:t>
            </w:r>
          </w:p>
        </w:tc>
        <w:tc>
          <w:tcPr>
            <w:tcW w:w="2061"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Datorprogrammas</w:t>
            </w: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Izmaksas Personu apliecinošu dokumentu informācijas sistēmas (PADIS) programmatūras papildinājumu izstrādei (ekspertu novērtējums atbilstoši plānoto izmaiņu apjomam un vidējai programmatūras izstrādes cenai par vienu cilvēkdienu) –150 000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31 500</w:t>
            </w:r>
            <w:r w:rsidRPr="00C263AA">
              <w:rPr>
                <w:rFonts w:ascii="Times New Roman" w:eastAsia="Times New Roman" w:hAnsi="Times New Roman"/>
                <w:i/>
                <w:color w:val="000000"/>
                <w:sz w:val="24"/>
                <w:szCs w:val="24"/>
              </w:rPr>
              <w:t xml:space="preserve"> euro</w:t>
            </w:r>
            <w:r w:rsidRPr="00C263AA">
              <w:rPr>
                <w:rFonts w:ascii="Times New Roman" w:hAnsi="Times New Roman"/>
                <w:sz w:val="24"/>
                <w:szCs w:val="24"/>
              </w:rPr>
              <w:t xml:space="preserve"> = 181 500</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181 500</w:t>
            </w:r>
          </w:p>
        </w:tc>
      </w:tr>
      <w:tr w:rsidR="00B26AE1" w:rsidRPr="00C263AA" w:rsidTr="00FB090B">
        <w:trPr>
          <w:trHeight w:val="2529"/>
        </w:trPr>
        <w:tc>
          <w:tcPr>
            <w:tcW w:w="585" w:type="dxa"/>
            <w:vMerge/>
            <w:vAlign w:val="center"/>
          </w:tcPr>
          <w:p w:rsidR="00B26AE1" w:rsidRPr="00C263AA" w:rsidRDefault="00B26AE1" w:rsidP="001E08A9">
            <w:pPr>
              <w:autoSpaceDN w:val="0"/>
              <w:spacing w:after="0" w:line="240" w:lineRule="auto"/>
              <w:textAlignment w:val="center"/>
              <w:rPr>
                <w:rFonts w:ascii="Times New Roman" w:hAnsi="SimSun"/>
                <w:color w:val="000000"/>
                <w:sz w:val="24"/>
                <w:szCs w:val="24"/>
              </w:rPr>
            </w:pPr>
          </w:p>
        </w:tc>
        <w:tc>
          <w:tcPr>
            <w:tcW w:w="795" w:type="dxa"/>
            <w:gridSpan w:val="2"/>
            <w:vAlign w:val="center"/>
          </w:tcPr>
          <w:p w:rsidR="00B26AE1" w:rsidRPr="00C263AA" w:rsidRDefault="00B26AE1" w:rsidP="001E08A9">
            <w:pPr>
              <w:autoSpaceDN w:val="0"/>
              <w:spacing w:after="0" w:line="240" w:lineRule="auto"/>
              <w:jc w:val="center"/>
              <w:textAlignment w:val="center"/>
              <w:rPr>
                <w:rFonts w:ascii="Times New Roman" w:hAnsi="Times New Roman"/>
                <w:color w:val="000000"/>
                <w:sz w:val="24"/>
                <w:szCs w:val="24"/>
              </w:rPr>
            </w:pPr>
            <w:r w:rsidRPr="00C263AA">
              <w:rPr>
                <w:rFonts w:ascii="Times New Roman" w:hAnsi="Times New Roman"/>
                <w:color w:val="000000"/>
                <w:sz w:val="24"/>
                <w:szCs w:val="24"/>
              </w:rPr>
              <w:t>5238</w:t>
            </w:r>
          </w:p>
        </w:tc>
        <w:tc>
          <w:tcPr>
            <w:tcW w:w="2061" w:type="dxa"/>
            <w:gridSpan w:val="2"/>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Datortehnika, sakaru un cita biroja tehnika</w:t>
            </w:r>
          </w:p>
        </w:tc>
        <w:tc>
          <w:tcPr>
            <w:tcW w:w="3422" w:type="dxa"/>
            <w:vAlign w:val="center"/>
          </w:tcPr>
          <w:p w:rsidR="00B26AE1" w:rsidRPr="00C263AA" w:rsidRDefault="00B26AE1" w:rsidP="001E08A9">
            <w:pPr>
              <w:spacing w:after="0" w:line="240" w:lineRule="auto"/>
              <w:rPr>
                <w:rFonts w:ascii="Times New Roman" w:hAnsi="Times New Roman"/>
                <w:sz w:val="24"/>
                <w:szCs w:val="24"/>
              </w:rPr>
            </w:pPr>
            <w:r w:rsidRPr="00C263AA">
              <w:rPr>
                <w:rFonts w:ascii="Times New Roman" w:hAnsi="Times New Roman"/>
                <w:sz w:val="24"/>
                <w:szCs w:val="24"/>
              </w:rPr>
              <w:t xml:space="preserve">Izmaksas personu apliecinošu dokumentu optiskās (lāzergravēšanas) un elektroniskās personalizācijas iekārtu, kā arī saistītās programmatūras (licenču) iegādei (lai veiktu šobrīd izmantojamo 7 gadus veco iekārtu nomaiņu; cena atbilstoši veiktajai tirgus izpētei) – 2 iekārtas x 325 000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+ 1 iekārta x 300 000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950 000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PVN (21%) 199 500 </w:t>
            </w:r>
            <w:r w:rsidRPr="00C263AA">
              <w:rPr>
                <w:rFonts w:ascii="Times New Roman" w:eastAsia="Times New Roman" w:hAnsi="Times New Roman"/>
                <w:i/>
                <w:color w:val="000000"/>
                <w:sz w:val="24"/>
                <w:szCs w:val="24"/>
              </w:rPr>
              <w:t>euro</w:t>
            </w:r>
            <w:r w:rsidRPr="00C263AA">
              <w:rPr>
                <w:rFonts w:ascii="Times New Roman" w:hAnsi="Times New Roman"/>
                <w:sz w:val="24"/>
                <w:szCs w:val="24"/>
              </w:rPr>
              <w:t xml:space="preserve"> = 1 149 500</w:t>
            </w:r>
            <w:r w:rsidRPr="00C263AA">
              <w:rPr>
                <w:rFonts w:ascii="Times New Roman" w:eastAsia="Times New Roman" w:hAnsi="Times New Roman"/>
                <w:i/>
                <w:color w:val="000000"/>
                <w:sz w:val="24"/>
                <w:szCs w:val="24"/>
              </w:rPr>
              <w:t xml:space="preserve"> euro.</w:t>
            </w:r>
          </w:p>
        </w:tc>
        <w:tc>
          <w:tcPr>
            <w:tcW w:w="2551" w:type="dxa"/>
            <w:vAlign w:val="center"/>
          </w:tcPr>
          <w:p w:rsidR="00B26AE1" w:rsidRPr="00C263AA" w:rsidRDefault="00B26AE1" w:rsidP="001E08A9">
            <w:pPr>
              <w:autoSpaceDN w:val="0"/>
              <w:spacing w:after="0" w:line="240" w:lineRule="auto"/>
              <w:jc w:val="center"/>
              <w:textAlignment w:val="center"/>
              <w:rPr>
                <w:rFonts w:ascii="Times New Roman" w:hAnsi="SimSun"/>
                <w:color w:val="000000"/>
                <w:sz w:val="24"/>
                <w:szCs w:val="24"/>
              </w:rPr>
            </w:pPr>
            <w:r w:rsidRPr="00C263AA">
              <w:rPr>
                <w:rFonts w:ascii="Times New Roman" w:hAnsi="SimSun"/>
                <w:color w:val="000000"/>
                <w:sz w:val="24"/>
                <w:szCs w:val="24"/>
              </w:rPr>
              <w:t>1</w:t>
            </w:r>
            <w:r w:rsidRPr="00C263AA">
              <w:rPr>
                <w:rFonts w:ascii="Times New Roman" w:hAnsi="SimSun"/>
                <w:color w:val="000000"/>
                <w:sz w:val="24"/>
                <w:szCs w:val="24"/>
              </w:rPr>
              <w:t> </w:t>
            </w:r>
            <w:r w:rsidRPr="00C263AA">
              <w:rPr>
                <w:rFonts w:ascii="Times New Roman" w:hAnsi="SimSun"/>
                <w:color w:val="000000"/>
                <w:sz w:val="24"/>
                <w:szCs w:val="24"/>
              </w:rPr>
              <w:t>149 500</w:t>
            </w:r>
          </w:p>
        </w:tc>
      </w:tr>
    </w:tbl>
    <w:p w:rsidR="004B67B7" w:rsidRDefault="004B67B7" w:rsidP="004B67B7">
      <w:pPr>
        <w:spacing w:after="0" w:line="240" w:lineRule="auto"/>
        <w:rPr>
          <w:rFonts w:ascii="Times New Roman" w:hAnsi="Times New Roman"/>
          <w:sz w:val="24"/>
          <w:szCs w:val="24"/>
        </w:rPr>
      </w:pPr>
    </w:p>
    <w:tbl>
      <w:tblPr>
        <w:tblpPr w:leftFromText="180" w:rightFromText="180" w:vertAnchor="text" w:horzAnchor="page" w:tblpX="1529" w:tblpY="599"/>
        <w:tblOverlap w:val="never"/>
        <w:tblW w:w="9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851"/>
        <w:gridCol w:w="2126"/>
        <w:gridCol w:w="3842"/>
        <w:gridCol w:w="2552"/>
      </w:tblGrid>
      <w:tr w:rsidR="009A3B20" w:rsidRPr="00C263AA" w:rsidTr="00C263AA">
        <w:trPr>
          <w:trHeight w:val="517"/>
        </w:trPr>
        <w:tc>
          <w:tcPr>
            <w:tcW w:w="851" w:type="dxa"/>
            <w:vMerge w:val="restart"/>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Kods</w:t>
            </w:r>
          </w:p>
        </w:tc>
        <w:tc>
          <w:tcPr>
            <w:tcW w:w="2126" w:type="dxa"/>
            <w:vMerge w:val="restart"/>
            <w:tcBorders>
              <w:tl2br w:val="nil"/>
              <w:tr2bl w:val="nil"/>
            </w:tcBorders>
            <w:vAlign w:val="center"/>
          </w:tcPr>
          <w:p w:rsidR="009A3B20" w:rsidRPr="00C263AA" w:rsidRDefault="002816AE" w:rsidP="001E08A9">
            <w:pPr>
              <w:autoSpaceDN w:val="0"/>
              <w:spacing w:after="0" w:line="240" w:lineRule="auto"/>
              <w:textAlignment w:val="center"/>
              <w:rPr>
                <w:rFonts w:ascii="Times New Roman" w:hAnsi="SimSun"/>
                <w:color w:val="000000"/>
              </w:rPr>
            </w:pPr>
            <w:r w:rsidRPr="00C263AA">
              <w:rPr>
                <w:rFonts w:ascii="Times New Roman" w:hAnsi="SimSun"/>
                <w:color w:val="000000"/>
              </w:rPr>
              <w:t>Koda nosaukums</w:t>
            </w:r>
          </w:p>
        </w:tc>
        <w:tc>
          <w:tcPr>
            <w:tcW w:w="3842" w:type="dxa"/>
            <w:vMerge w:val="restart"/>
            <w:tcBorders>
              <w:tl2br w:val="nil"/>
              <w:tr2bl w:val="nil"/>
            </w:tcBorders>
            <w:vAlign w:val="center"/>
          </w:tcPr>
          <w:p w:rsidR="009A3B20" w:rsidRPr="00C263AA" w:rsidRDefault="002816AE" w:rsidP="001E08A9">
            <w:pPr>
              <w:autoSpaceDN w:val="0"/>
              <w:spacing w:after="0" w:line="240" w:lineRule="auto"/>
              <w:textAlignment w:val="center"/>
              <w:rPr>
                <w:rFonts w:ascii="Times New Roman" w:hAnsi="SimSun"/>
                <w:color w:val="000000"/>
              </w:rPr>
            </w:pPr>
            <w:r w:rsidRPr="00C263AA">
              <w:rPr>
                <w:rFonts w:ascii="Times New Roman" w:hAnsi="SimSun"/>
                <w:color w:val="000000"/>
              </w:rPr>
              <w:t>Detaliz</w:t>
            </w:r>
            <w:r w:rsidRPr="00C263AA">
              <w:rPr>
                <w:rFonts w:ascii="Times New Roman" w:hAnsi="SimSun"/>
                <w:color w:val="000000"/>
              </w:rPr>
              <w:t>ē</w:t>
            </w:r>
            <w:r w:rsidRPr="00C263AA">
              <w:rPr>
                <w:rFonts w:ascii="Times New Roman" w:hAnsi="SimSun"/>
                <w:color w:val="000000"/>
              </w:rPr>
              <w:t>ts izdevumu apr</w:t>
            </w:r>
            <w:r w:rsidRPr="00C263AA">
              <w:rPr>
                <w:rFonts w:ascii="Times New Roman" w:hAnsi="SimSun"/>
                <w:color w:val="000000"/>
              </w:rPr>
              <w:t>ēķ</w:t>
            </w:r>
            <w:r w:rsidRPr="00C263AA">
              <w:rPr>
                <w:rFonts w:ascii="Times New Roman" w:hAnsi="SimSun"/>
                <w:color w:val="000000"/>
              </w:rPr>
              <w:t>ins</w:t>
            </w:r>
          </w:p>
        </w:tc>
        <w:tc>
          <w:tcPr>
            <w:tcW w:w="2552" w:type="dxa"/>
            <w:vMerge w:val="restart"/>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Pl</w:t>
            </w:r>
            <w:r w:rsidRPr="00C263AA">
              <w:rPr>
                <w:rFonts w:ascii="Times New Roman" w:hAnsi="SimSun"/>
                <w:color w:val="000000"/>
              </w:rPr>
              <w:t>ā</w:t>
            </w:r>
            <w:r w:rsidRPr="00C263AA">
              <w:rPr>
                <w:rFonts w:ascii="Times New Roman" w:hAnsi="SimSun"/>
                <w:color w:val="000000"/>
              </w:rPr>
              <w:t xml:space="preserve">notie izdevumi, </w:t>
            </w:r>
            <w:r w:rsidR="00032016" w:rsidRPr="00C263AA">
              <w:rPr>
                <w:rFonts w:ascii="Times New Roman" w:hAnsi="SimSun"/>
                <w:color w:val="000000"/>
              </w:rPr>
              <w:t>EUR</w:t>
            </w:r>
          </w:p>
        </w:tc>
      </w:tr>
      <w:tr w:rsidR="009A3B20" w:rsidRPr="00C263AA" w:rsidTr="00C263AA">
        <w:trPr>
          <w:trHeight w:val="681"/>
        </w:trPr>
        <w:tc>
          <w:tcPr>
            <w:tcW w:w="851" w:type="dxa"/>
            <w:vMerge/>
            <w:tcBorders>
              <w:tl2br w:val="nil"/>
              <w:tr2bl w:val="nil"/>
            </w:tcBorders>
            <w:vAlign w:val="center"/>
          </w:tcPr>
          <w:p w:rsidR="009A3B20" w:rsidRPr="00C263AA" w:rsidRDefault="009A3B20" w:rsidP="001E08A9">
            <w:pPr>
              <w:autoSpaceDN w:val="0"/>
              <w:spacing w:after="0" w:line="240" w:lineRule="auto"/>
              <w:rPr>
                <w:rFonts w:ascii="SimSun" w:hAnsi="SimSun"/>
              </w:rPr>
            </w:pPr>
          </w:p>
        </w:tc>
        <w:tc>
          <w:tcPr>
            <w:tcW w:w="2126" w:type="dxa"/>
            <w:vMerge/>
            <w:tcBorders>
              <w:tl2br w:val="nil"/>
              <w:tr2bl w:val="nil"/>
            </w:tcBorders>
            <w:vAlign w:val="center"/>
          </w:tcPr>
          <w:p w:rsidR="009A3B20" w:rsidRPr="00C263AA" w:rsidRDefault="009A3B20" w:rsidP="001E08A9">
            <w:pPr>
              <w:spacing w:after="0" w:line="240" w:lineRule="auto"/>
              <w:rPr>
                <w:rFonts w:ascii="SimSun" w:hAnsi="SimSun"/>
              </w:rPr>
            </w:pPr>
          </w:p>
        </w:tc>
        <w:tc>
          <w:tcPr>
            <w:tcW w:w="3842" w:type="dxa"/>
            <w:vMerge/>
            <w:tcBorders>
              <w:tl2br w:val="nil"/>
              <w:tr2bl w:val="nil"/>
            </w:tcBorders>
            <w:vAlign w:val="center"/>
          </w:tcPr>
          <w:p w:rsidR="009A3B20" w:rsidRPr="00C263AA" w:rsidRDefault="009A3B20" w:rsidP="001E08A9">
            <w:pPr>
              <w:spacing w:after="0" w:line="240" w:lineRule="auto"/>
              <w:rPr>
                <w:rFonts w:ascii="SimSun" w:hAnsi="SimSun"/>
              </w:rPr>
            </w:pPr>
          </w:p>
        </w:tc>
        <w:tc>
          <w:tcPr>
            <w:tcW w:w="2552" w:type="dxa"/>
            <w:vMerge/>
            <w:tcBorders>
              <w:tl2br w:val="nil"/>
              <w:tr2bl w:val="nil"/>
            </w:tcBorders>
            <w:vAlign w:val="center"/>
          </w:tcPr>
          <w:p w:rsidR="009A3B20" w:rsidRPr="00C263AA" w:rsidRDefault="009A3B20" w:rsidP="001E08A9">
            <w:pPr>
              <w:spacing w:after="0" w:line="240" w:lineRule="auto"/>
              <w:rPr>
                <w:rFonts w:ascii="SimSun" w:hAnsi="SimSun"/>
              </w:rPr>
            </w:pPr>
          </w:p>
        </w:tc>
      </w:tr>
      <w:tr w:rsidR="00FB090B" w:rsidRPr="00C263AA" w:rsidTr="00AA33D5">
        <w:trPr>
          <w:trHeight w:val="315"/>
        </w:trPr>
        <w:tc>
          <w:tcPr>
            <w:tcW w:w="9371" w:type="dxa"/>
            <w:gridSpan w:val="4"/>
            <w:tcBorders>
              <w:tl2br w:val="nil"/>
              <w:tr2bl w:val="nil"/>
            </w:tcBorders>
            <w:shd w:val="clear" w:color="auto" w:fill="B6DDE8" w:themeFill="accent5" w:themeFillTint="66"/>
            <w:vAlign w:val="center"/>
          </w:tcPr>
          <w:p w:rsidR="00FB090B" w:rsidRPr="00FB090B" w:rsidRDefault="00FB090B" w:rsidP="00FB090B">
            <w:pPr>
              <w:spacing w:after="0" w:line="240" w:lineRule="auto"/>
              <w:jc w:val="center"/>
              <w:rPr>
                <w:rFonts w:ascii="Times New Roman" w:hAnsi="Times New Roman"/>
                <w:b/>
                <w:bCs/>
                <w:sz w:val="24"/>
                <w:szCs w:val="24"/>
              </w:rPr>
            </w:pPr>
            <w:r w:rsidRPr="00FB090B">
              <w:rPr>
                <w:rFonts w:ascii="Times New Roman" w:hAnsi="Times New Roman"/>
                <w:b/>
                <w:bCs/>
                <w:sz w:val="24"/>
                <w:szCs w:val="24"/>
              </w:rPr>
              <w:t>Nepieciešamā finansējuma aprēķins</w:t>
            </w:r>
            <w:r>
              <w:rPr>
                <w:rFonts w:ascii="Times New Roman" w:hAnsi="Times New Roman"/>
                <w:b/>
                <w:bCs/>
                <w:sz w:val="24"/>
                <w:szCs w:val="24"/>
              </w:rPr>
              <w:t xml:space="preserve"> 2015.gadam </w:t>
            </w:r>
            <w:r w:rsidRPr="00FB090B">
              <w:rPr>
                <w:rFonts w:ascii="Times New Roman" w:hAnsi="Times New Roman"/>
                <w:b/>
                <w:bCs/>
                <w:sz w:val="24"/>
                <w:szCs w:val="24"/>
              </w:rPr>
              <w:t>budžeta programmai 02.00.00 „Iekšlietu ministrijas vienotā sakaru un informācijas sistēma”</w:t>
            </w:r>
          </w:p>
          <w:p w:rsidR="00FB090B" w:rsidRPr="00C263AA" w:rsidRDefault="00FB090B" w:rsidP="001E08A9">
            <w:pPr>
              <w:autoSpaceDN w:val="0"/>
              <w:spacing w:after="0" w:line="240" w:lineRule="auto"/>
              <w:jc w:val="center"/>
              <w:textAlignment w:val="center"/>
              <w:rPr>
                <w:rFonts w:ascii="Times New Roman" w:hAnsi="SimSun"/>
                <w:b/>
                <w:color w:val="000000"/>
              </w:rPr>
            </w:pPr>
          </w:p>
        </w:tc>
      </w:tr>
      <w:tr w:rsidR="00FB090B" w:rsidRPr="00C263AA" w:rsidTr="00AA33D5">
        <w:trPr>
          <w:trHeight w:val="315"/>
        </w:trPr>
        <w:tc>
          <w:tcPr>
            <w:tcW w:w="6819" w:type="dxa"/>
            <w:gridSpan w:val="3"/>
            <w:tcBorders>
              <w:tl2br w:val="nil"/>
              <w:tr2bl w:val="nil"/>
            </w:tcBorders>
            <w:vAlign w:val="center"/>
          </w:tcPr>
          <w:p w:rsidR="00FB090B" w:rsidRPr="00FB090B" w:rsidRDefault="00FB090B" w:rsidP="00FB090B">
            <w:pPr>
              <w:autoSpaceDN w:val="0"/>
              <w:spacing w:after="0" w:line="240" w:lineRule="auto"/>
              <w:jc w:val="right"/>
              <w:textAlignment w:val="center"/>
              <w:rPr>
                <w:rFonts w:ascii="Times New Roman" w:hAnsi="Times New Roman"/>
                <w:b/>
                <w:color w:val="000000"/>
                <w:sz w:val="24"/>
                <w:szCs w:val="24"/>
              </w:rPr>
            </w:pPr>
            <w:r w:rsidRPr="00FB090B">
              <w:rPr>
                <w:rFonts w:ascii="Times New Roman" w:hAnsi="Times New Roman"/>
                <w:b/>
                <w:color w:val="000000"/>
                <w:sz w:val="24"/>
                <w:szCs w:val="24"/>
              </w:rPr>
              <w:t>Izdevumi kopā</w:t>
            </w:r>
          </w:p>
        </w:tc>
        <w:tc>
          <w:tcPr>
            <w:tcW w:w="2552" w:type="dxa"/>
            <w:tcBorders>
              <w:tl2br w:val="nil"/>
              <w:tr2bl w:val="nil"/>
            </w:tcBorders>
            <w:shd w:val="clear" w:color="auto" w:fill="B6DDE8" w:themeFill="accent5" w:themeFillTint="66"/>
            <w:vAlign w:val="center"/>
          </w:tcPr>
          <w:p w:rsidR="00FB090B" w:rsidRPr="00C263AA" w:rsidRDefault="00FB090B" w:rsidP="001E08A9">
            <w:pPr>
              <w:autoSpaceDN w:val="0"/>
              <w:spacing w:after="0" w:line="240" w:lineRule="auto"/>
              <w:jc w:val="center"/>
              <w:textAlignment w:val="center"/>
              <w:rPr>
                <w:rFonts w:ascii="Times New Roman" w:hAnsi="SimSun"/>
                <w:b/>
                <w:color w:val="000000"/>
              </w:rPr>
            </w:pPr>
            <w:r w:rsidRPr="00C263AA">
              <w:rPr>
                <w:rFonts w:ascii="Times New Roman" w:hAnsi="SimSun"/>
                <w:b/>
                <w:color w:val="000000"/>
              </w:rPr>
              <w:t>103 303</w:t>
            </w:r>
          </w:p>
        </w:tc>
      </w:tr>
      <w:tr w:rsidR="009A3B20" w:rsidRPr="00C263AA" w:rsidTr="00C263AA">
        <w:trPr>
          <w:trHeight w:val="315"/>
        </w:trPr>
        <w:tc>
          <w:tcPr>
            <w:tcW w:w="851" w:type="dxa"/>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b/>
                <w:color w:val="000000"/>
              </w:rPr>
            </w:pPr>
            <w:r w:rsidRPr="00C263AA">
              <w:rPr>
                <w:rFonts w:ascii="Times New Roman" w:hAnsi="SimSun"/>
                <w:b/>
                <w:color w:val="000000"/>
              </w:rPr>
              <w:t>2000</w:t>
            </w:r>
          </w:p>
        </w:tc>
        <w:tc>
          <w:tcPr>
            <w:tcW w:w="2126" w:type="dxa"/>
            <w:tcBorders>
              <w:tl2br w:val="nil"/>
              <w:tr2bl w:val="nil"/>
            </w:tcBorders>
            <w:vAlign w:val="center"/>
          </w:tcPr>
          <w:p w:rsidR="009A3B20" w:rsidRPr="00C263AA" w:rsidRDefault="002816AE" w:rsidP="001E08A9">
            <w:pPr>
              <w:autoSpaceDN w:val="0"/>
              <w:spacing w:after="0" w:line="240" w:lineRule="auto"/>
              <w:textAlignment w:val="center"/>
              <w:rPr>
                <w:rFonts w:ascii="Times New Roman" w:hAnsi="SimSun"/>
                <w:b/>
                <w:color w:val="000000"/>
              </w:rPr>
            </w:pPr>
            <w:r w:rsidRPr="00C263AA">
              <w:rPr>
                <w:rFonts w:ascii="Times New Roman" w:hAnsi="SimSun"/>
                <w:b/>
                <w:color w:val="000000"/>
              </w:rPr>
              <w:t>Preces un pakalpojumi</w:t>
            </w:r>
          </w:p>
        </w:tc>
        <w:tc>
          <w:tcPr>
            <w:tcW w:w="3842" w:type="dxa"/>
            <w:tcBorders>
              <w:tl2br w:val="nil"/>
              <w:tr2bl w:val="nil"/>
            </w:tcBorders>
            <w:vAlign w:val="center"/>
          </w:tcPr>
          <w:p w:rsidR="009A3B20" w:rsidRPr="00C263AA" w:rsidRDefault="009A3B20" w:rsidP="001E08A9">
            <w:pPr>
              <w:autoSpaceDN w:val="0"/>
              <w:spacing w:after="0" w:line="240" w:lineRule="auto"/>
              <w:textAlignment w:val="center"/>
              <w:rPr>
                <w:rFonts w:ascii="Times New Roman" w:hAnsi="SimSun"/>
                <w:b/>
                <w:color w:val="000000"/>
              </w:rPr>
            </w:pPr>
          </w:p>
        </w:tc>
        <w:tc>
          <w:tcPr>
            <w:tcW w:w="2552" w:type="dxa"/>
            <w:tcBorders>
              <w:tl2br w:val="nil"/>
              <w:tr2bl w:val="nil"/>
            </w:tcBorders>
            <w:vAlign w:val="center"/>
          </w:tcPr>
          <w:p w:rsidR="009A3B20" w:rsidRPr="00C263AA" w:rsidRDefault="00032016" w:rsidP="001E08A9">
            <w:pPr>
              <w:autoSpaceDN w:val="0"/>
              <w:spacing w:after="0" w:line="240" w:lineRule="auto"/>
              <w:jc w:val="center"/>
              <w:textAlignment w:val="center"/>
              <w:rPr>
                <w:rFonts w:ascii="Times New Roman" w:hAnsi="SimSun"/>
                <w:b/>
                <w:color w:val="000000"/>
              </w:rPr>
            </w:pPr>
            <w:r w:rsidRPr="00C263AA">
              <w:rPr>
                <w:rFonts w:ascii="Times New Roman" w:hAnsi="SimSun"/>
                <w:b/>
                <w:color w:val="000000"/>
              </w:rPr>
              <w:t xml:space="preserve">103 </w:t>
            </w:r>
            <w:r w:rsidR="002816AE" w:rsidRPr="00C263AA">
              <w:rPr>
                <w:rFonts w:ascii="Times New Roman" w:hAnsi="SimSun"/>
                <w:b/>
                <w:color w:val="000000"/>
              </w:rPr>
              <w:t>303</w:t>
            </w:r>
          </w:p>
        </w:tc>
      </w:tr>
      <w:tr w:rsidR="009A3B20" w:rsidRPr="00C263AA" w:rsidTr="00C263AA">
        <w:trPr>
          <w:trHeight w:val="2947"/>
        </w:trPr>
        <w:tc>
          <w:tcPr>
            <w:tcW w:w="851" w:type="dxa"/>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lastRenderedPageBreak/>
              <w:t>2251</w:t>
            </w:r>
          </w:p>
        </w:tc>
        <w:tc>
          <w:tcPr>
            <w:tcW w:w="2126"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Informācijas sistēmas uzturēšana</w:t>
            </w:r>
          </w:p>
        </w:tc>
        <w:tc>
          <w:tcPr>
            <w:tcW w:w="3842"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w:t>
            </w:r>
            <w:r w:rsidR="00EC5CEC" w:rsidRPr="00C263AA">
              <w:rPr>
                <w:rFonts w:ascii="Times New Roman" w:hAnsi="Times New Roman"/>
              </w:rPr>
              <w:t>ām iepriekšējos gados) - 50 299</w:t>
            </w:r>
            <w:r w:rsidR="0055321B" w:rsidRPr="00C263AA">
              <w:rPr>
                <w:rFonts w:ascii="Times New Roman" w:eastAsia="Times New Roman" w:hAnsi="Times New Roman"/>
                <w:i/>
                <w:color w:val="000000"/>
              </w:rPr>
              <w:t xml:space="preserve"> euro</w:t>
            </w:r>
            <w:r w:rsidR="0055321B" w:rsidRPr="00C263AA">
              <w:rPr>
                <w:rFonts w:ascii="Times New Roman" w:hAnsi="Times New Roman"/>
              </w:rPr>
              <w:t xml:space="preserve"> </w:t>
            </w:r>
            <w:r w:rsidRPr="00C263AA">
              <w:rPr>
                <w:rFonts w:ascii="Times New Roman" w:hAnsi="Times New Roman"/>
              </w:rPr>
              <w:t>+ PVN (21%) 10 563</w:t>
            </w:r>
            <w:r w:rsidR="0055321B" w:rsidRPr="00C263AA">
              <w:rPr>
                <w:rFonts w:ascii="Times New Roman" w:eastAsia="Times New Roman" w:hAnsi="Times New Roman"/>
                <w:i/>
                <w:color w:val="000000"/>
              </w:rPr>
              <w:t xml:space="preserve"> euro</w:t>
            </w:r>
            <w:r w:rsidR="0055321B" w:rsidRPr="00C263AA">
              <w:rPr>
                <w:rFonts w:ascii="Times New Roman" w:hAnsi="Times New Roman"/>
              </w:rPr>
              <w:t xml:space="preserve"> </w:t>
            </w:r>
            <w:r w:rsidRPr="00C263AA">
              <w:rPr>
                <w:rFonts w:ascii="Times New Roman" w:hAnsi="Times New Roman"/>
              </w:rPr>
              <w:t xml:space="preserve"> = 60 862</w:t>
            </w:r>
            <w:r w:rsidR="0055321B" w:rsidRPr="00C263AA">
              <w:rPr>
                <w:rFonts w:ascii="Times New Roman" w:eastAsia="Times New Roman" w:hAnsi="Times New Roman"/>
                <w:i/>
                <w:color w:val="000000"/>
              </w:rPr>
              <w:t xml:space="preserve"> euro.</w:t>
            </w:r>
          </w:p>
        </w:tc>
        <w:tc>
          <w:tcPr>
            <w:tcW w:w="2552" w:type="dxa"/>
            <w:tcBorders>
              <w:tl2br w:val="nil"/>
              <w:tr2bl w:val="nil"/>
            </w:tcBorders>
            <w:vAlign w:val="center"/>
          </w:tcPr>
          <w:p w:rsidR="009A3B20" w:rsidRPr="00C263AA" w:rsidRDefault="00032016"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 xml:space="preserve">60 </w:t>
            </w:r>
            <w:r w:rsidR="002816AE" w:rsidRPr="00C263AA">
              <w:rPr>
                <w:rFonts w:ascii="Times New Roman" w:hAnsi="SimSun"/>
                <w:color w:val="000000"/>
              </w:rPr>
              <w:t>862</w:t>
            </w:r>
          </w:p>
        </w:tc>
      </w:tr>
      <w:tr w:rsidR="009A3B20" w:rsidRPr="00C263AA" w:rsidTr="00C263AA">
        <w:trPr>
          <w:trHeight w:val="949"/>
        </w:trPr>
        <w:tc>
          <w:tcPr>
            <w:tcW w:w="851" w:type="dxa"/>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2300</w:t>
            </w:r>
          </w:p>
        </w:tc>
        <w:tc>
          <w:tcPr>
            <w:tcW w:w="2126"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Krājumi, materiāli, energoresursi, preces, biroja preces un inventārs, kurus neuzskaita kodā 5000</w:t>
            </w:r>
          </w:p>
        </w:tc>
        <w:tc>
          <w:tcPr>
            <w:tcW w:w="3842" w:type="dxa"/>
            <w:tcBorders>
              <w:tl2br w:val="nil"/>
              <w:tr2bl w:val="nil"/>
            </w:tcBorders>
            <w:vAlign w:val="center"/>
          </w:tcPr>
          <w:p w:rsidR="009A3B20" w:rsidRPr="00C263AA" w:rsidRDefault="009A3B20" w:rsidP="001E08A9">
            <w:pPr>
              <w:spacing w:after="0" w:line="240" w:lineRule="auto"/>
              <w:rPr>
                <w:rFonts w:ascii="Times New Roman" w:hAnsi="Times New Roman"/>
                <w:b/>
              </w:rPr>
            </w:pPr>
          </w:p>
        </w:tc>
        <w:tc>
          <w:tcPr>
            <w:tcW w:w="2552" w:type="dxa"/>
            <w:tcBorders>
              <w:tl2br w:val="nil"/>
              <w:tr2bl w:val="nil"/>
            </w:tcBorders>
            <w:vAlign w:val="center"/>
          </w:tcPr>
          <w:p w:rsidR="009A3B20" w:rsidRPr="00C263AA" w:rsidRDefault="00032016"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 xml:space="preserve">42 </w:t>
            </w:r>
            <w:r w:rsidR="002816AE" w:rsidRPr="00C263AA">
              <w:rPr>
                <w:rFonts w:ascii="Times New Roman" w:hAnsi="SimSun"/>
                <w:color w:val="000000"/>
              </w:rPr>
              <w:t>441</w:t>
            </w:r>
          </w:p>
        </w:tc>
      </w:tr>
      <w:tr w:rsidR="009A3B20" w:rsidRPr="00C263AA" w:rsidTr="00C263AA">
        <w:trPr>
          <w:trHeight w:val="1575"/>
        </w:trPr>
        <w:tc>
          <w:tcPr>
            <w:tcW w:w="851" w:type="dxa"/>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2311</w:t>
            </w:r>
          </w:p>
        </w:tc>
        <w:tc>
          <w:tcPr>
            <w:tcW w:w="2126"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Biroja preces</w:t>
            </w:r>
          </w:p>
        </w:tc>
        <w:tc>
          <w:tcPr>
            <w:tcW w:w="3842"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 xml:space="preserve">Personu apliecinošu dokumentu izsniegšanas procesa nodrošināšanai nepieciešamo lāzerprintera toneru iegāde (prognoze pamatojoties uz vidējo faktisko patēriņu iepriekšējos gados) –25 499 </w:t>
            </w:r>
            <w:r w:rsidR="0055321B" w:rsidRPr="00C263AA">
              <w:rPr>
                <w:rFonts w:ascii="Times New Roman" w:eastAsia="Times New Roman" w:hAnsi="Times New Roman"/>
                <w:i/>
                <w:color w:val="000000"/>
              </w:rPr>
              <w:t>euro</w:t>
            </w:r>
            <w:r w:rsidR="0055321B" w:rsidRPr="00C263AA">
              <w:rPr>
                <w:rFonts w:ascii="Times New Roman" w:hAnsi="Times New Roman"/>
              </w:rPr>
              <w:t xml:space="preserve"> </w:t>
            </w:r>
            <w:r w:rsidRPr="00C263AA">
              <w:rPr>
                <w:rFonts w:ascii="Times New Roman" w:hAnsi="Times New Roman"/>
              </w:rPr>
              <w:t xml:space="preserve">+ PVN (21%) </w:t>
            </w:r>
            <w:r w:rsidR="0055321B" w:rsidRPr="00C263AA">
              <w:rPr>
                <w:rFonts w:ascii="Times New Roman" w:hAnsi="Times New Roman"/>
              </w:rPr>
              <w:t>5 355</w:t>
            </w:r>
            <w:r w:rsidR="0055321B" w:rsidRPr="00C263AA">
              <w:rPr>
                <w:rFonts w:ascii="Times New Roman" w:eastAsia="Times New Roman" w:hAnsi="Times New Roman"/>
                <w:i/>
                <w:color w:val="000000"/>
              </w:rPr>
              <w:t xml:space="preserve"> euro</w:t>
            </w:r>
            <w:r w:rsidR="0055321B" w:rsidRPr="00C263AA">
              <w:rPr>
                <w:rFonts w:ascii="Times New Roman" w:hAnsi="Times New Roman"/>
              </w:rPr>
              <w:t xml:space="preserve"> </w:t>
            </w:r>
            <w:r w:rsidRPr="00C263AA">
              <w:rPr>
                <w:rFonts w:ascii="Times New Roman" w:hAnsi="Times New Roman"/>
              </w:rPr>
              <w:t>= 30 854</w:t>
            </w:r>
            <w:r w:rsidR="0055321B" w:rsidRPr="00C263AA">
              <w:rPr>
                <w:rFonts w:ascii="Times New Roman" w:eastAsia="Times New Roman" w:hAnsi="Times New Roman"/>
                <w:i/>
                <w:color w:val="000000"/>
              </w:rPr>
              <w:t xml:space="preserve"> euro.</w:t>
            </w:r>
          </w:p>
        </w:tc>
        <w:tc>
          <w:tcPr>
            <w:tcW w:w="2552" w:type="dxa"/>
            <w:tcBorders>
              <w:tl2br w:val="nil"/>
              <w:tr2bl w:val="nil"/>
            </w:tcBorders>
            <w:vAlign w:val="center"/>
          </w:tcPr>
          <w:p w:rsidR="009A3B20" w:rsidRPr="00C263AA" w:rsidRDefault="00032016"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 xml:space="preserve">30 </w:t>
            </w:r>
            <w:r w:rsidR="002816AE" w:rsidRPr="00C263AA">
              <w:rPr>
                <w:rFonts w:ascii="Times New Roman" w:hAnsi="SimSun"/>
                <w:color w:val="000000"/>
              </w:rPr>
              <w:t>854</w:t>
            </w:r>
          </w:p>
        </w:tc>
      </w:tr>
      <w:tr w:rsidR="009A3B20" w:rsidRPr="00C263AA" w:rsidTr="00C263AA">
        <w:trPr>
          <w:trHeight w:val="1665"/>
        </w:trPr>
        <w:tc>
          <w:tcPr>
            <w:tcW w:w="851" w:type="dxa"/>
            <w:tcBorders>
              <w:tl2br w:val="nil"/>
              <w:tr2bl w:val="nil"/>
            </w:tcBorders>
            <w:vAlign w:val="center"/>
          </w:tcPr>
          <w:p w:rsidR="009A3B20" w:rsidRPr="00C263AA" w:rsidRDefault="002816AE"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2350</w:t>
            </w:r>
          </w:p>
        </w:tc>
        <w:tc>
          <w:tcPr>
            <w:tcW w:w="2126"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Kārtējā remonta un iestāžu uzturēšanas materiāli</w:t>
            </w:r>
          </w:p>
        </w:tc>
        <w:tc>
          <w:tcPr>
            <w:tcW w:w="3842" w:type="dxa"/>
            <w:tcBorders>
              <w:tl2br w:val="nil"/>
              <w:tr2bl w:val="nil"/>
            </w:tcBorders>
            <w:vAlign w:val="center"/>
          </w:tcPr>
          <w:p w:rsidR="009A3B20" w:rsidRPr="00C263AA" w:rsidRDefault="002816AE" w:rsidP="001E08A9">
            <w:pPr>
              <w:spacing w:after="0" w:line="240" w:lineRule="auto"/>
              <w:rPr>
                <w:rFonts w:ascii="Times New Roman" w:hAnsi="Times New Roman"/>
              </w:rPr>
            </w:pPr>
            <w:r w:rsidRPr="00C263AA">
              <w:rPr>
                <w:rFonts w:ascii="Times New Roman" w:hAnsi="Times New Roman"/>
              </w:rPr>
              <w:t>Personu apliecinošu dokumentu izsniegšanas procesam nepieciešamo gala iekārtu rezerves daļu iegāde (prognoze atbilstoši ekspertu novērtējumam un vidējam faktiskam patēriņam iepriekšējos gados) –</w:t>
            </w:r>
            <w:r w:rsidR="0055321B" w:rsidRPr="00C263AA">
              <w:rPr>
                <w:rFonts w:ascii="Times New Roman" w:hAnsi="Times New Roman"/>
              </w:rPr>
              <w:t>9 576</w:t>
            </w:r>
            <w:r w:rsidR="0055321B" w:rsidRPr="00C263AA">
              <w:rPr>
                <w:rFonts w:ascii="Times New Roman" w:eastAsia="Times New Roman" w:hAnsi="Times New Roman"/>
                <w:i/>
                <w:color w:val="000000"/>
              </w:rPr>
              <w:t xml:space="preserve"> euro</w:t>
            </w:r>
            <w:r w:rsidR="0055321B" w:rsidRPr="00C263AA">
              <w:rPr>
                <w:rFonts w:ascii="Times New Roman" w:hAnsi="Times New Roman"/>
              </w:rPr>
              <w:t xml:space="preserve"> </w:t>
            </w:r>
            <w:r w:rsidRPr="00C263AA">
              <w:rPr>
                <w:rFonts w:ascii="Times New Roman" w:hAnsi="Times New Roman"/>
              </w:rPr>
              <w:t>+ PVN (21%) 2 011</w:t>
            </w:r>
            <w:r w:rsidR="0055321B" w:rsidRPr="00C263AA">
              <w:rPr>
                <w:rFonts w:ascii="Times New Roman" w:eastAsia="Times New Roman" w:hAnsi="Times New Roman"/>
                <w:i/>
                <w:color w:val="000000"/>
              </w:rPr>
              <w:t xml:space="preserve"> euro</w:t>
            </w:r>
            <w:r w:rsidRPr="00C263AA">
              <w:rPr>
                <w:rFonts w:ascii="Times New Roman" w:hAnsi="Times New Roman"/>
              </w:rPr>
              <w:t xml:space="preserve"> = 11 587</w:t>
            </w:r>
            <w:r w:rsidR="0055321B" w:rsidRPr="00C263AA">
              <w:rPr>
                <w:rFonts w:ascii="Times New Roman" w:eastAsia="Times New Roman" w:hAnsi="Times New Roman"/>
                <w:i/>
                <w:color w:val="000000"/>
              </w:rPr>
              <w:t xml:space="preserve"> euro.</w:t>
            </w:r>
          </w:p>
        </w:tc>
        <w:tc>
          <w:tcPr>
            <w:tcW w:w="2552" w:type="dxa"/>
            <w:tcBorders>
              <w:tl2br w:val="nil"/>
              <w:tr2bl w:val="nil"/>
            </w:tcBorders>
            <w:vAlign w:val="center"/>
          </w:tcPr>
          <w:p w:rsidR="009A3B20" w:rsidRPr="00C263AA" w:rsidRDefault="00032016" w:rsidP="001E08A9">
            <w:pPr>
              <w:autoSpaceDN w:val="0"/>
              <w:spacing w:after="0" w:line="240" w:lineRule="auto"/>
              <w:jc w:val="center"/>
              <w:textAlignment w:val="center"/>
              <w:rPr>
                <w:rFonts w:ascii="Times New Roman" w:hAnsi="SimSun"/>
                <w:color w:val="000000"/>
              </w:rPr>
            </w:pPr>
            <w:r w:rsidRPr="00C263AA">
              <w:rPr>
                <w:rFonts w:ascii="Times New Roman" w:hAnsi="SimSun"/>
                <w:color w:val="000000"/>
              </w:rPr>
              <w:t xml:space="preserve">11 </w:t>
            </w:r>
            <w:r w:rsidR="002816AE" w:rsidRPr="00C263AA">
              <w:rPr>
                <w:rFonts w:ascii="Times New Roman" w:hAnsi="SimSun"/>
                <w:color w:val="000000"/>
              </w:rPr>
              <w:t>587</w:t>
            </w:r>
          </w:p>
        </w:tc>
      </w:tr>
    </w:tbl>
    <w:p w:rsidR="009A3B20" w:rsidRDefault="009A3B20">
      <w:pPr>
        <w:rPr>
          <w:rFonts w:ascii="Times New Roman" w:hAnsi="Times New Roman"/>
          <w:sz w:val="24"/>
          <w:szCs w:val="24"/>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851"/>
        <w:gridCol w:w="1557"/>
        <w:gridCol w:w="3546"/>
        <w:gridCol w:w="2551"/>
      </w:tblGrid>
      <w:tr w:rsidR="00370B48" w:rsidRPr="00C263AA" w:rsidTr="00E65C43">
        <w:trPr>
          <w:trHeight w:val="435"/>
        </w:trPr>
        <w:tc>
          <w:tcPr>
            <w:tcW w:w="851" w:type="dxa"/>
            <w:shd w:val="clear" w:color="auto" w:fill="FBD4B4" w:themeFill="accent6" w:themeFillTint="66"/>
          </w:tcPr>
          <w:p w:rsidR="00370B48" w:rsidRPr="00C263AA" w:rsidRDefault="00370B48"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3</w:t>
            </w:r>
          </w:p>
        </w:tc>
        <w:tc>
          <w:tcPr>
            <w:tcW w:w="8505" w:type="dxa"/>
            <w:gridSpan w:val="4"/>
            <w:shd w:val="clear" w:color="auto" w:fill="FBD4B4" w:themeFill="accent6" w:themeFillTint="66"/>
          </w:tcPr>
          <w:p w:rsidR="00370B48" w:rsidRPr="00C263AA" w:rsidRDefault="00FB090B" w:rsidP="001E08A9">
            <w:pPr>
              <w:spacing w:after="0" w:line="240" w:lineRule="auto"/>
              <w:jc w:val="center"/>
              <w:rPr>
                <w:rFonts w:ascii="Times New Roman" w:hAnsi="Times New Roman"/>
                <w:b/>
                <w:bCs/>
                <w:sz w:val="24"/>
                <w:szCs w:val="24"/>
              </w:rPr>
            </w:pPr>
            <w:r w:rsidRPr="00FB090B">
              <w:rPr>
                <w:rFonts w:ascii="Times New Roman" w:hAnsi="Times New Roman"/>
                <w:b/>
                <w:bCs/>
                <w:sz w:val="24"/>
                <w:szCs w:val="24"/>
              </w:rPr>
              <w:t>Nepieciešamā finansējuma aprēķins</w:t>
            </w:r>
            <w:r w:rsidR="00370B48" w:rsidRPr="00C263AA">
              <w:rPr>
                <w:rFonts w:ascii="Times New Roman" w:hAnsi="Times New Roman"/>
                <w:b/>
                <w:bCs/>
                <w:sz w:val="24"/>
                <w:szCs w:val="24"/>
              </w:rPr>
              <w:t xml:space="preserve"> 2016.gadam Iekšlietu ministrijas budžeta apakšprogrammai 11.01.00 „Pilsonības un migrācijas lietu pārvalde”</w:t>
            </w:r>
          </w:p>
          <w:p w:rsidR="00370B48" w:rsidRPr="00C263AA" w:rsidRDefault="00370B48" w:rsidP="001E08A9">
            <w:pPr>
              <w:widowControl w:val="0"/>
              <w:autoSpaceDE w:val="0"/>
              <w:autoSpaceDN w:val="0"/>
              <w:spacing w:after="0" w:line="240" w:lineRule="auto"/>
              <w:jc w:val="center"/>
              <w:rPr>
                <w:rFonts w:ascii="Times New Roman" w:eastAsia="Times New Roman" w:hAnsi="Times New Roman"/>
                <w:b/>
                <w:color w:val="000000"/>
                <w:sz w:val="24"/>
                <w:szCs w:val="24"/>
              </w:rPr>
            </w:pPr>
          </w:p>
        </w:tc>
      </w:tr>
      <w:tr w:rsidR="00370B48" w:rsidRPr="00C263AA" w:rsidTr="00E65C43">
        <w:trPr>
          <w:trHeight w:val="317"/>
        </w:trPr>
        <w:tc>
          <w:tcPr>
            <w:tcW w:w="6805" w:type="dxa"/>
            <w:gridSpan w:val="4"/>
          </w:tcPr>
          <w:p w:rsidR="00370B48" w:rsidRPr="00C263AA" w:rsidRDefault="00370B48" w:rsidP="001E08A9">
            <w:pPr>
              <w:widowControl w:val="0"/>
              <w:autoSpaceDE w:val="0"/>
              <w:autoSpaceDN w:val="0"/>
              <w:spacing w:after="0" w:line="240" w:lineRule="auto"/>
              <w:jc w:val="right"/>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Izdevumi kopā</w:t>
            </w:r>
          </w:p>
        </w:tc>
        <w:tc>
          <w:tcPr>
            <w:tcW w:w="2551" w:type="dxa"/>
            <w:shd w:val="clear" w:color="auto" w:fill="FBD4B4" w:themeFill="accent6" w:themeFillTint="66"/>
          </w:tcPr>
          <w:p w:rsidR="00370B48" w:rsidRPr="00C263AA" w:rsidRDefault="00370B48"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6 812 608</w:t>
            </w:r>
          </w:p>
        </w:tc>
      </w:tr>
      <w:tr w:rsidR="00B26AE1" w:rsidRPr="00C263AA" w:rsidTr="00C263AA">
        <w:trPr>
          <w:trHeight w:val="735"/>
        </w:trPr>
        <w:tc>
          <w:tcPr>
            <w:tcW w:w="851" w:type="dxa"/>
            <w:vMerge w:val="restart"/>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2000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Preces un pakalpojumi</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6 122 908</w:t>
            </w:r>
          </w:p>
        </w:tc>
      </w:tr>
      <w:tr w:rsidR="00B26AE1" w:rsidRPr="00C263AA" w:rsidTr="00C263AA">
        <w:trPr>
          <w:trHeight w:val="450"/>
        </w:trPr>
        <w:tc>
          <w:tcPr>
            <w:tcW w:w="851"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2200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Pakalpojumi </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1 480 743</w:t>
            </w:r>
          </w:p>
        </w:tc>
      </w:tr>
      <w:tr w:rsidR="00B26AE1" w:rsidRPr="00C263AA" w:rsidTr="00C263AA">
        <w:trPr>
          <w:trHeight w:val="458"/>
        </w:trPr>
        <w:tc>
          <w:tcPr>
            <w:tcW w:w="851" w:type="dxa"/>
            <w:vMerge/>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Remontdarbi un iestāžu uzturēšanas pakalpojumi (izņemot ēku, būvju un ceļu kapitālo remontu)</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204 157</w:t>
            </w:r>
          </w:p>
        </w:tc>
      </w:tr>
      <w:tr w:rsidR="00B26AE1" w:rsidRPr="00C263AA" w:rsidTr="00C263AA">
        <w:trPr>
          <w:trHeight w:val="3372"/>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2243</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Iekārtas, inventāra un aparatūras remonts, tehniskā apkalpošana</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Pārvaldes Personalizācijas centra inženiertehnisko un drošības sistēmu uzturēšana (prognoze pamatojoties uz faktiskajiem izdevumiem iepriekšējos gados, saskaņā ar pašreizējiem līgumiem), t.sk.,videonovērošanas sistēma, pieejas kontroles sistēma un drošības sistēma ar signalizāciju, gāzes ugunsdzēšanas sistēma serveru telpās, ventilācijas un kondicionēšanas sistēma (prognoze pamatojoties uz faktiskajiem izdevumiem iepriekšējos gados) –1 953</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x 12 mēn. = 23 436</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35 536</w:t>
            </w:r>
          </w:p>
        </w:tc>
      </w:tr>
      <w:tr w:rsidR="00B26AE1" w:rsidRPr="00C263AA" w:rsidTr="00C263AA">
        <w:trPr>
          <w:trHeight w:val="1938"/>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Pārvaldes Personalizācijas centra tehniskā aprīkojuma remonts un apkalpošana (prognoze pamatojoties uz faktiskajiem izdevumiem iepriekšējos gados, saskaņā ar pašreizējiem līgumiem) – 10 000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2 100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12 100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235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2249</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Pārējie remontdarbu un iestāžu uzturēšanas pakalpojumi</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Informatīvā tālruņa par personu apliecinošu dokumentu izsniegšanas jautājumiem uzturēšanas izmaksas (prognoze pamatojoties uz faktiskajiem izdevumiem iepriekšējos gados, nodrošinot pakalpojuma pieejamības paaugstināšanu par 50% salīdzinājumā ar 2015.gadu) –54 356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11 415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65 771</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168 621</w:t>
            </w:r>
          </w:p>
        </w:tc>
      </w:tr>
      <w:tr w:rsidR="00B26AE1" w:rsidRPr="00C263AA" w:rsidTr="00C263AA">
        <w:trPr>
          <w:trHeight w:val="157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Informatīvu materiālu par personu apliecinošiem dokumentiem sagatavošanas, ražošanas un izplatīšanas izmaksas (prognoze pamatojoties uz veikto tirgus izpēti un paredzēto informatīvo materiālu skaitu un specifikāciju) –5 000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1 050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6 050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2501"/>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–80 000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16 800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96 800</w:t>
            </w:r>
            <w:r w:rsidRPr="00C263AA">
              <w:rPr>
                <w:rFonts w:ascii="Times New Roman" w:eastAsia="Times New Roman" w:hAnsi="Times New Roman"/>
                <w:i/>
                <w:color w:val="000000"/>
                <w:sz w:val="24"/>
                <w:szCs w:val="24"/>
              </w:rPr>
              <w:t xml:space="preserve"> euro.</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31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Informācijas tehnoloģiju pakalpojumi</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1 276 586</w:t>
            </w:r>
          </w:p>
        </w:tc>
      </w:tr>
      <w:tr w:rsidR="00B26AE1" w:rsidRPr="00C263AA" w:rsidTr="00C263AA">
        <w:trPr>
          <w:trHeight w:val="1950"/>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2251</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Informācijas sistēmas uzturēšana</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informācijas sistēmas (PADIS) programmatūras un specializētās aparatūras uzturēšana (prognozētās izmaksas saskaņā ar veikto tirgus izpēti un noslēgtajiem līgumiem) = 280 000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58 800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338 800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399 300</w:t>
            </w:r>
          </w:p>
        </w:tc>
      </w:tr>
      <w:tr w:rsidR="00B26AE1" w:rsidRPr="00C263AA" w:rsidTr="00C263AA">
        <w:trPr>
          <w:trHeight w:val="1844"/>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eID starpprogrammatūras un eID portāla (eid.pmlp.gov.lv) uzturēšana (saskaņā ar ekspertu novērtējumu aptuveni 10% no starpprogrammatūras un  portāla izveides izmaksām) 50 000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10 500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60 500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187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2259</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Pārējie informācijas tehnoloģiju pakalpojumi</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Personas apliecību (eID) izsniegšanai nepieciešamo sertifikācijas pakalpojumu iegāde no VAS „Latvijas Valsts radio un televīzijas centrs” (saskaņā ar noslēgto līgumu) = 700 030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147 006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847 036</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877 286</w:t>
            </w:r>
          </w:p>
        </w:tc>
      </w:tr>
      <w:tr w:rsidR="00B26AE1" w:rsidRPr="00C263AA" w:rsidTr="00C263AA">
        <w:trPr>
          <w:trHeight w:val="1647"/>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informācijas sistēmas (PADIS) un eID starpprogrammatūras ikgadējais drošības audits (prognozētās izmaksas saskaņā ar veikto tirgus izpēti) = 25 000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5 250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30 250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76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2300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Krājumi, materiāli, energoresursi, preces, biroja preces un inventārs, kurus neuzskaita kodā 5000</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4 642 165</w:t>
            </w:r>
          </w:p>
        </w:tc>
      </w:tr>
      <w:tr w:rsidR="00B26AE1" w:rsidRPr="00C263AA" w:rsidTr="00C263AA">
        <w:trPr>
          <w:trHeight w:val="510"/>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2310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Biroja preces un inventārs </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52 635</w:t>
            </w:r>
          </w:p>
        </w:tc>
      </w:tr>
      <w:tr w:rsidR="00B26AE1" w:rsidRPr="00C263AA" w:rsidTr="00C263AA">
        <w:trPr>
          <w:trHeight w:val="160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2311</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Biroja preces </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pasu sagatavju skaits 300 000 x vienas sagataves cena (atbilstoši līgumam par pasu sagatavju izgatavošanu un piegādi) 4,99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1 497 000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31 4370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1 811 370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52 635</w:t>
            </w:r>
          </w:p>
        </w:tc>
      </w:tr>
      <w:tr w:rsidR="00B26AE1" w:rsidRPr="00C263AA" w:rsidTr="00C263AA">
        <w:trPr>
          <w:trHeight w:val="2670"/>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personas apliecību sagatavju skaits 400 000  x vienas sagataves cena (atbilstoši spēkā esošajam līgumam par personas apliecību sagatavju izgatavošanu un piegādi) 5,74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2 296 000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482 160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2 778 160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(ar pieņēmumu, ka no 2017.gada 1.janvāra personas apliecība obligāti jāuzrāda, lai saņemtu veselības aprūpes pakalpojumus).</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1843"/>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personu apliecinošu dokumentu izsniegšanas procesa nodrošināšanai nepieciešamo materiālu iegāde, t.sk., aploksnes, papīrs un citas biroja preces (prognoze pamatojoties uz vidējo faktisko patēriņu iepriekšējos gados) – 43 500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9 135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52 635</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C263AA">
        <w:trPr>
          <w:trHeight w:val="1417"/>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2390</w:t>
            </w:r>
          </w:p>
        </w:tc>
        <w:tc>
          <w:tcPr>
            <w:tcW w:w="1557"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Pārējās preces</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pasu sagatavju skaits 300 000 x vienas sagataves cena (atbilstoši līgumam par pasu sagatavju izgatavošanu un piegādi) 4,99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1 497 000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314 370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1 811 370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4 589 530</w:t>
            </w:r>
          </w:p>
        </w:tc>
      </w:tr>
      <w:tr w:rsidR="00B26AE1" w:rsidRPr="00C263AA" w:rsidTr="00C263AA">
        <w:trPr>
          <w:trHeight w:val="2607"/>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1557"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 xml:space="preserve">nepieciešamais personas apliecību sagatavju skaits 400 000  x vienas sagataves cena (atbilstoši spēkā esošajam līgumam par personas apliecību sagatavju izgatavošanu un piegādi) 5,74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2 296 000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PVN (21%) 482 160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 2 778 160 </w:t>
            </w:r>
            <w:r w:rsidRPr="00C263AA">
              <w:rPr>
                <w:rFonts w:ascii="Times New Roman" w:eastAsia="Times New Roman" w:hAnsi="Times New Roman"/>
                <w:i/>
                <w:color w:val="000000"/>
                <w:sz w:val="24"/>
                <w:szCs w:val="24"/>
              </w:rPr>
              <w:t>euro</w:t>
            </w:r>
            <w:r w:rsidRPr="00C263AA">
              <w:rPr>
                <w:rFonts w:ascii="Times New Roman" w:eastAsia="Times New Roman" w:hAnsi="Times New Roman"/>
                <w:color w:val="000000"/>
                <w:sz w:val="24"/>
                <w:szCs w:val="24"/>
              </w:rPr>
              <w:t xml:space="preserve"> (ar pieņēmumu, ka no 2017.gada 1.janvāra personas apliecība obligāti jāuzrāda, lai saņemtu veselības aprūpes pakalpojumus).</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p>
        </w:tc>
      </w:tr>
      <w:tr w:rsidR="00B26AE1" w:rsidRPr="00C263AA" w:rsidTr="00591B05">
        <w:trPr>
          <w:trHeight w:val="391"/>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b/>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5000</w:t>
            </w:r>
          </w:p>
        </w:tc>
        <w:tc>
          <w:tcPr>
            <w:tcW w:w="5103" w:type="dxa"/>
            <w:gridSpan w:val="2"/>
          </w:tcPr>
          <w:p w:rsidR="00B26AE1" w:rsidRPr="00C263AA" w:rsidRDefault="00B26AE1" w:rsidP="001E08A9">
            <w:pPr>
              <w:widowControl w:val="0"/>
              <w:autoSpaceDE w:val="0"/>
              <w:autoSpaceDN w:val="0"/>
              <w:spacing w:after="0" w:line="240" w:lineRule="auto"/>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Pamatkapitāla veidošana </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b/>
                <w:color w:val="000000"/>
                <w:sz w:val="24"/>
                <w:szCs w:val="24"/>
              </w:rPr>
            </w:pPr>
            <w:r w:rsidRPr="00C263AA">
              <w:rPr>
                <w:rFonts w:ascii="Times New Roman" w:eastAsia="Times New Roman" w:hAnsi="Times New Roman"/>
                <w:b/>
                <w:color w:val="000000"/>
                <w:sz w:val="24"/>
                <w:szCs w:val="24"/>
              </w:rPr>
              <w:t>689 700</w:t>
            </w:r>
          </w:p>
        </w:tc>
      </w:tr>
      <w:tr w:rsidR="00B26AE1" w:rsidRPr="00C263AA" w:rsidTr="00C263AA">
        <w:trPr>
          <w:trHeight w:val="2445"/>
        </w:trPr>
        <w:tc>
          <w:tcPr>
            <w:tcW w:w="851" w:type="dxa"/>
            <w:vMerge/>
          </w:tcPr>
          <w:p w:rsidR="00B26AE1" w:rsidRPr="00C263AA" w:rsidRDefault="00B26AE1" w:rsidP="001E08A9">
            <w:pPr>
              <w:widowControl w:val="0"/>
              <w:autoSpaceDE w:val="0"/>
              <w:autoSpaceDN w:val="0"/>
              <w:spacing w:after="0" w:line="240" w:lineRule="auto"/>
              <w:jc w:val="right"/>
              <w:rPr>
                <w:rFonts w:ascii="Times New Roman" w:eastAsia="Times New Roman" w:hAnsi="Times New Roman"/>
                <w:color w:val="000000"/>
                <w:sz w:val="24"/>
                <w:szCs w:val="24"/>
              </w:rPr>
            </w:pPr>
          </w:p>
        </w:tc>
        <w:tc>
          <w:tcPr>
            <w:tcW w:w="8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5121</w:t>
            </w:r>
          </w:p>
        </w:tc>
        <w:tc>
          <w:tcPr>
            <w:tcW w:w="1557"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Datorprogrammas</w:t>
            </w:r>
          </w:p>
        </w:tc>
        <w:tc>
          <w:tcPr>
            <w:tcW w:w="3546" w:type="dxa"/>
          </w:tcPr>
          <w:p w:rsidR="00B26AE1" w:rsidRPr="00C263AA" w:rsidRDefault="00B26AE1" w:rsidP="001E08A9">
            <w:pPr>
              <w:widowControl w:val="0"/>
              <w:autoSpaceDE w:val="0"/>
              <w:autoSpaceDN w:val="0"/>
              <w:spacing w:after="0" w:line="240" w:lineRule="auto"/>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Izmaksas Personu apliecinošu dokumentu informācijas sistēmas (PADIS) programmatūras modernizācijas projekta realizācijai (aptuvens ekspertu novērtējums atbilstoši plānoto izmaiņu apjomam un vidējai programmatūras izstrādes cenai par vienu cilvēkdienu) – 570 000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PVN (21%) 119 700</w:t>
            </w:r>
            <w:r w:rsidRPr="00C263AA">
              <w:rPr>
                <w:rFonts w:ascii="Times New Roman" w:eastAsia="Times New Roman" w:hAnsi="Times New Roman"/>
                <w:i/>
                <w:color w:val="000000"/>
                <w:sz w:val="24"/>
                <w:szCs w:val="24"/>
              </w:rPr>
              <w:t xml:space="preserve"> euro</w:t>
            </w:r>
            <w:r w:rsidRPr="00C263AA">
              <w:rPr>
                <w:rFonts w:ascii="Times New Roman" w:eastAsia="Times New Roman" w:hAnsi="Times New Roman"/>
                <w:color w:val="000000"/>
                <w:sz w:val="24"/>
                <w:szCs w:val="24"/>
              </w:rPr>
              <w:t xml:space="preserve"> = 689 700</w:t>
            </w:r>
            <w:r w:rsidRPr="00C263AA">
              <w:rPr>
                <w:rFonts w:ascii="Times New Roman" w:eastAsia="Times New Roman" w:hAnsi="Times New Roman"/>
                <w:i/>
                <w:color w:val="000000"/>
                <w:sz w:val="24"/>
                <w:szCs w:val="24"/>
              </w:rPr>
              <w:t xml:space="preserve"> euro.</w:t>
            </w:r>
          </w:p>
        </w:tc>
        <w:tc>
          <w:tcPr>
            <w:tcW w:w="2551" w:type="dxa"/>
          </w:tcPr>
          <w:p w:rsidR="00B26AE1" w:rsidRPr="00C263AA" w:rsidRDefault="00B26AE1" w:rsidP="001E08A9">
            <w:pPr>
              <w:widowControl w:val="0"/>
              <w:autoSpaceDE w:val="0"/>
              <w:autoSpaceDN w:val="0"/>
              <w:spacing w:after="0" w:line="240" w:lineRule="auto"/>
              <w:jc w:val="center"/>
              <w:rPr>
                <w:rFonts w:ascii="Times New Roman" w:eastAsia="Times New Roman" w:hAnsi="Times New Roman"/>
                <w:color w:val="000000"/>
                <w:sz w:val="24"/>
                <w:szCs w:val="24"/>
              </w:rPr>
            </w:pPr>
            <w:r w:rsidRPr="00C263AA">
              <w:rPr>
                <w:rFonts w:ascii="Times New Roman" w:eastAsia="Times New Roman" w:hAnsi="Times New Roman"/>
                <w:color w:val="000000"/>
                <w:sz w:val="24"/>
                <w:szCs w:val="24"/>
              </w:rPr>
              <w:t>689 700</w:t>
            </w:r>
          </w:p>
        </w:tc>
      </w:tr>
    </w:tbl>
    <w:p w:rsidR="00DA01D6" w:rsidRDefault="00DA01D6" w:rsidP="00C9685D">
      <w:pPr>
        <w:spacing w:after="0" w:line="240" w:lineRule="auto"/>
        <w:rPr>
          <w:rFonts w:ascii="Times New Roman" w:hAnsi="Times New Roman"/>
          <w:sz w:val="24"/>
          <w:szCs w:val="24"/>
        </w:rPr>
      </w:pPr>
    </w:p>
    <w:tbl>
      <w:tblPr>
        <w:tblpPr w:leftFromText="180" w:rightFromText="180" w:vertAnchor="text" w:horzAnchor="page" w:tblpX="1529" w:tblpY="599"/>
        <w:tblOverlap w:val="never"/>
        <w:tblW w:w="9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567"/>
        <w:gridCol w:w="2694"/>
        <w:gridCol w:w="3543"/>
        <w:gridCol w:w="2602"/>
      </w:tblGrid>
      <w:tr w:rsidR="009A3B20" w:rsidTr="00C263AA">
        <w:trPr>
          <w:trHeight w:val="517"/>
        </w:trPr>
        <w:tc>
          <w:tcPr>
            <w:tcW w:w="567" w:type="dxa"/>
            <w:vMerge w:val="restart"/>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Kods</w:t>
            </w:r>
          </w:p>
        </w:tc>
        <w:tc>
          <w:tcPr>
            <w:tcW w:w="2694" w:type="dxa"/>
            <w:vMerge w:val="restart"/>
            <w:tcBorders>
              <w:tl2br w:val="nil"/>
              <w:tr2bl w:val="nil"/>
            </w:tcBorders>
            <w:vAlign w:val="center"/>
          </w:tcPr>
          <w:p w:rsidR="009A3B20" w:rsidRDefault="002816AE" w:rsidP="00591B05">
            <w:pPr>
              <w:autoSpaceDN w:val="0"/>
              <w:spacing w:after="0" w:line="240" w:lineRule="auto"/>
              <w:textAlignment w:val="center"/>
              <w:rPr>
                <w:rFonts w:ascii="Times New Roman" w:hAnsi="SimSun"/>
                <w:color w:val="000000"/>
                <w:sz w:val="24"/>
              </w:rPr>
            </w:pPr>
            <w:r>
              <w:rPr>
                <w:rFonts w:ascii="Times New Roman" w:hAnsi="SimSun"/>
                <w:color w:val="000000"/>
                <w:sz w:val="24"/>
              </w:rPr>
              <w:t>Koda nosaukums</w:t>
            </w:r>
          </w:p>
        </w:tc>
        <w:tc>
          <w:tcPr>
            <w:tcW w:w="3543" w:type="dxa"/>
            <w:vMerge w:val="restart"/>
            <w:tcBorders>
              <w:tl2br w:val="nil"/>
              <w:tr2bl w:val="nil"/>
            </w:tcBorders>
            <w:vAlign w:val="center"/>
          </w:tcPr>
          <w:p w:rsidR="009A3B20" w:rsidRDefault="002816AE" w:rsidP="00591B05">
            <w:pPr>
              <w:autoSpaceDN w:val="0"/>
              <w:spacing w:after="0" w:line="240" w:lineRule="auto"/>
              <w:textAlignment w:val="center"/>
              <w:rPr>
                <w:rFonts w:ascii="Times New Roman" w:hAnsi="SimSun"/>
                <w:color w:val="000000"/>
                <w:sz w:val="24"/>
              </w:rPr>
            </w:pPr>
            <w:r>
              <w:rPr>
                <w:rFonts w:ascii="Times New Roman" w:hAnsi="SimSun"/>
                <w:color w:val="000000"/>
                <w:sz w:val="24"/>
              </w:rPr>
              <w:t>Detaliz</w:t>
            </w:r>
            <w:r>
              <w:rPr>
                <w:rFonts w:ascii="Times New Roman" w:hAnsi="SimSun"/>
                <w:color w:val="000000"/>
                <w:sz w:val="24"/>
              </w:rPr>
              <w:t>ē</w:t>
            </w:r>
            <w:r>
              <w:rPr>
                <w:rFonts w:ascii="Times New Roman" w:hAnsi="SimSun"/>
                <w:color w:val="000000"/>
                <w:sz w:val="24"/>
              </w:rPr>
              <w:t>ts izdevumu apr</w:t>
            </w:r>
            <w:r>
              <w:rPr>
                <w:rFonts w:ascii="Times New Roman" w:hAnsi="SimSun"/>
                <w:color w:val="000000"/>
                <w:sz w:val="24"/>
              </w:rPr>
              <w:t>ēķ</w:t>
            </w:r>
            <w:r>
              <w:rPr>
                <w:rFonts w:ascii="Times New Roman" w:hAnsi="SimSun"/>
                <w:color w:val="000000"/>
                <w:sz w:val="24"/>
              </w:rPr>
              <w:t>ins</w:t>
            </w:r>
          </w:p>
        </w:tc>
        <w:tc>
          <w:tcPr>
            <w:tcW w:w="2602" w:type="dxa"/>
            <w:vMerge w:val="restart"/>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Pl</w:t>
            </w:r>
            <w:r>
              <w:rPr>
                <w:rFonts w:ascii="Times New Roman" w:hAnsi="SimSun"/>
                <w:color w:val="000000"/>
                <w:sz w:val="24"/>
              </w:rPr>
              <w:t>ā</w:t>
            </w:r>
            <w:r>
              <w:rPr>
                <w:rFonts w:ascii="Times New Roman" w:hAnsi="SimSun"/>
                <w:color w:val="000000"/>
                <w:sz w:val="24"/>
              </w:rPr>
              <w:t xml:space="preserve">notie izdevumi, </w:t>
            </w:r>
            <w:r w:rsidR="00B014BE">
              <w:rPr>
                <w:rFonts w:ascii="Times New Roman" w:hAnsi="SimSun"/>
                <w:color w:val="000000"/>
                <w:sz w:val="24"/>
              </w:rPr>
              <w:t>EUR</w:t>
            </w:r>
          </w:p>
        </w:tc>
      </w:tr>
      <w:tr w:rsidR="009A3B20" w:rsidTr="00C263AA">
        <w:trPr>
          <w:trHeight w:val="681"/>
        </w:trPr>
        <w:tc>
          <w:tcPr>
            <w:tcW w:w="567" w:type="dxa"/>
            <w:vMerge/>
            <w:tcBorders>
              <w:tl2br w:val="nil"/>
              <w:tr2bl w:val="nil"/>
            </w:tcBorders>
            <w:vAlign w:val="center"/>
          </w:tcPr>
          <w:p w:rsidR="009A3B20" w:rsidRDefault="009A3B20" w:rsidP="00591B05">
            <w:pPr>
              <w:autoSpaceDN w:val="0"/>
              <w:spacing w:after="0" w:line="240" w:lineRule="auto"/>
              <w:rPr>
                <w:rFonts w:ascii="SimSun" w:hAnsi="SimSun"/>
                <w:sz w:val="24"/>
              </w:rPr>
            </w:pPr>
          </w:p>
        </w:tc>
        <w:tc>
          <w:tcPr>
            <w:tcW w:w="2694" w:type="dxa"/>
            <w:vMerge/>
            <w:tcBorders>
              <w:tl2br w:val="nil"/>
              <w:tr2bl w:val="nil"/>
            </w:tcBorders>
            <w:vAlign w:val="center"/>
          </w:tcPr>
          <w:p w:rsidR="009A3B20" w:rsidRDefault="009A3B20" w:rsidP="00591B05">
            <w:pPr>
              <w:spacing w:after="0" w:line="240" w:lineRule="auto"/>
              <w:rPr>
                <w:rFonts w:ascii="SimSun" w:hAnsi="SimSun"/>
                <w:sz w:val="24"/>
              </w:rPr>
            </w:pPr>
          </w:p>
        </w:tc>
        <w:tc>
          <w:tcPr>
            <w:tcW w:w="3543" w:type="dxa"/>
            <w:vMerge/>
            <w:tcBorders>
              <w:tl2br w:val="nil"/>
              <w:tr2bl w:val="nil"/>
            </w:tcBorders>
            <w:vAlign w:val="center"/>
          </w:tcPr>
          <w:p w:rsidR="009A3B20" w:rsidRDefault="009A3B20" w:rsidP="00591B05">
            <w:pPr>
              <w:spacing w:after="0" w:line="240" w:lineRule="auto"/>
              <w:rPr>
                <w:rFonts w:ascii="SimSun" w:hAnsi="SimSun"/>
                <w:sz w:val="24"/>
              </w:rPr>
            </w:pPr>
          </w:p>
        </w:tc>
        <w:tc>
          <w:tcPr>
            <w:tcW w:w="2602" w:type="dxa"/>
            <w:vMerge/>
            <w:tcBorders>
              <w:tl2br w:val="nil"/>
              <w:tr2bl w:val="nil"/>
            </w:tcBorders>
            <w:vAlign w:val="center"/>
          </w:tcPr>
          <w:p w:rsidR="009A3B20" w:rsidRDefault="009A3B20" w:rsidP="00591B05">
            <w:pPr>
              <w:spacing w:after="0" w:line="240" w:lineRule="auto"/>
              <w:rPr>
                <w:rFonts w:ascii="SimSun" w:hAnsi="SimSun"/>
                <w:sz w:val="24"/>
              </w:rPr>
            </w:pPr>
          </w:p>
        </w:tc>
      </w:tr>
      <w:tr w:rsidR="003C1323" w:rsidTr="00AA33D5">
        <w:trPr>
          <w:trHeight w:val="559"/>
        </w:trPr>
        <w:tc>
          <w:tcPr>
            <w:tcW w:w="9406" w:type="dxa"/>
            <w:gridSpan w:val="4"/>
            <w:tcBorders>
              <w:tl2br w:val="nil"/>
              <w:tr2bl w:val="nil"/>
            </w:tcBorders>
            <w:shd w:val="clear" w:color="auto" w:fill="B6DDE8" w:themeFill="accent5" w:themeFillTint="66"/>
            <w:vAlign w:val="center"/>
          </w:tcPr>
          <w:p w:rsidR="003C1323" w:rsidRPr="003C1323" w:rsidRDefault="003C1323" w:rsidP="00AA33D5">
            <w:pPr>
              <w:shd w:val="clear" w:color="auto" w:fill="B6DDE8" w:themeFill="accent5" w:themeFillTint="66"/>
              <w:spacing w:after="0" w:line="240" w:lineRule="auto"/>
              <w:jc w:val="center"/>
              <w:rPr>
                <w:rFonts w:ascii="Times New Roman" w:hAnsi="Times New Roman"/>
                <w:b/>
                <w:bCs/>
                <w:sz w:val="24"/>
                <w:szCs w:val="24"/>
              </w:rPr>
            </w:pPr>
            <w:r w:rsidRPr="003C1323">
              <w:rPr>
                <w:rFonts w:ascii="Times New Roman" w:hAnsi="Times New Roman"/>
                <w:b/>
                <w:bCs/>
                <w:sz w:val="24"/>
                <w:szCs w:val="24"/>
              </w:rPr>
              <w:t xml:space="preserve">Nepieciešamā finansējuma aprēķins </w:t>
            </w:r>
            <w:r w:rsidR="00850F71">
              <w:rPr>
                <w:rFonts w:ascii="Times New Roman" w:hAnsi="Times New Roman"/>
                <w:b/>
                <w:bCs/>
                <w:sz w:val="24"/>
                <w:szCs w:val="24"/>
              </w:rPr>
              <w:t xml:space="preserve">2016.gadam </w:t>
            </w:r>
            <w:r w:rsidRPr="003C1323">
              <w:rPr>
                <w:rFonts w:ascii="Times New Roman" w:hAnsi="Times New Roman"/>
                <w:b/>
                <w:bCs/>
                <w:sz w:val="24"/>
                <w:szCs w:val="24"/>
              </w:rPr>
              <w:t>budžeta programmai</w:t>
            </w:r>
          </w:p>
          <w:p w:rsidR="003C1323" w:rsidRPr="003C1323" w:rsidRDefault="003C1323" w:rsidP="00AA33D5">
            <w:pPr>
              <w:shd w:val="clear" w:color="auto" w:fill="B6DDE8" w:themeFill="accent5" w:themeFillTint="66"/>
              <w:spacing w:after="0" w:line="240" w:lineRule="auto"/>
              <w:jc w:val="center"/>
              <w:rPr>
                <w:rFonts w:ascii="Times New Roman" w:hAnsi="SimSun"/>
                <w:b/>
                <w:color w:val="000000"/>
                <w:sz w:val="24"/>
                <w:szCs w:val="24"/>
              </w:rPr>
            </w:pPr>
            <w:r w:rsidRPr="003C1323">
              <w:rPr>
                <w:rFonts w:ascii="Times New Roman" w:hAnsi="Times New Roman"/>
                <w:b/>
                <w:bCs/>
                <w:sz w:val="24"/>
                <w:szCs w:val="24"/>
              </w:rPr>
              <w:t>02.00.00 „Iekšlietu ministrijas vienotā sakaru un informācijas sistēma”</w:t>
            </w:r>
          </w:p>
        </w:tc>
      </w:tr>
      <w:tr w:rsidR="003C1323" w:rsidTr="00AA33D5">
        <w:trPr>
          <w:trHeight w:val="315"/>
        </w:trPr>
        <w:tc>
          <w:tcPr>
            <w:tcW w:w="6804" w:type="dxa"/>
            <w:gridSpan w:val="3"/>
            <w:tcBorders>
              <w:tl2br w:val="nil"/>
              <w:tr2bl w:val="nil"/>
            </w:tcBorders>
            <w:vAlign w:val="center"/>
          </w:tcPr>
          <w:p w:rsidR="003C1323" w:rsidRPr="003C1323" w:rsidRDefault="003C1323" w:rsidP="003C1323">
            <w:pPr>
              <w:autoSpaceDN w:val="0"/>
              <w:spacing w:after="0" w:line="240" w:lineRule="auto"/>
              <w:jc w:val="right"/>
              <w:textAlignment w:val="center"/>
              <w:rPr>
                <w:rFonts w:ascii="Times New Roman" w:hAnsi="Times New Roman"/>
                <w:b/>
                <w:color w:val="000000"/>
                <w:sz w:val="24"/>
                <w:szCs w:val="24"/>
              </w:rPr>
            </w:pPr>
            <w:r w:rsidRPr="003C1323">
              <w:rPr>
                <w:rFonts w:ascii="Times New Roman" w:hAnsi="Times New Roman"/>
                <w:b/>
                <w:color w:val="000000"/>
                <w:sz w:val="24"/>
                <w:szCs w:val="24"/>
              </w:rPr>
              <w:t>Izdevumi kopā</w:t>
            </w:r>
          </w:p>
        </w:tc>
        <w:tc>
          <w:tcPr>
            <w:tcW w:w="2602" w:type="dxa"/>
            <w:tcBorders>
              <w:tl2br w:val="nil"/>
              <w:tr2bl w:val="nil"/>
            </w:tcBorders>
            <w:shd w:val="clear" w:color="auto" w:fill="B6DDE8" w:themeFill="accent5" w:themeFillTint="66"/>
            <w:vAlign w:val="center"/>
          </w:tcPr>
          <w:p w:rsidR="003C1323" w:rsidRDefault="003C1323" w:rsidP="00591B05">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103 303</w:t>
            </w:r>
          </w:p>
        </w:tc>
      </w:tr>
      <w:tr w:rsidR="009A3B20" w:rsidTr="00C263AA">
        <w:trPr>
          <w:trHeight w:val="315"/>
        </w:trPr>
        <w:tc>
          <w:tcPr>
            <w:tcW w:w="567" w:type="dxa"/>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2000</w:t>
            </w:r>
          </w:p>
        </w:tc>
        <w:tc>
          <w:tcPr>
            <w:tcW w:w="2694" w:type="dxa"/>
            <w:tcBorders>
              <w:tl2br w:val="nil"/>
              <w:tr2bl w:val="nil"/>
            </w:tcBorders>
            <w:vAlign w:val="center"/>
          </w:tcPr>
          <w:p w:rsidR="009A3B20" w:rsidRDefault="002816AE" w:rsidP="00591B05">
            <w:pPr>
              <w:autoSpaceDN w:val="0"/>
              <w:spacing w:after="0" w:line="240" w:lineRule="auto"/>
              <w:textAlignment w:val="center"/>
              <w:rPr>
                <w:rFonts w:ascii="Times New Roman" w:hAnsi="SimSun"/>
                <w:b/>
                <w:color w:val="000000"/>
                <w:sz w:val="24"/>
              </w:rPr>
            </w:pPr>
            <w:r>
              <w:rPr>
                <w:rFonts w:ascii="Times New Roman" w:hAnsi="SimSun"/>
                <w:b/>
                <w:color w:val="000000"/>
                <w:sz w:val="24"/>
              </w:rPr>
              <w:t>Preces un pakalpojumi</w:t>
            </w:r>
          </w:p>
        </w:tc>
        <w:tc>
          <w:tcPr>
            <w:tcW w:w="3543" w:type="dxa"/>
            <w:tcBorders>
              <w:tl2br w:val="nil"/>
              <w:tr2bl w:val="nil"/>
            </w:tcBorders>
            <w:vAlign w:val="center"/>
          </w:tcPr>
          <w:p w:rsidR="009A3B20" w:rsidRDefault="009A3B20" w:rsidP="00591B05">
            <w:pPr>
              <w:autoSpaceDN w:val="0"/>
              <w:spacing w:after="0" w:line="240" w:lineRule="auto"/>
              <w:textAlignment w:val="center"/>
              <w:rPr>
                <w:rFonts w:ascii="Times New Roman" w:hAnsi="SimSun"/>
                <w:b/>
                <w:color w:val="000000"/>
                <w:sz w:val="24"/>
              </w:rPr>
            </w:pPr>
          </w:p>
        </w:tc>
        <w:tc>
          <w:tcPr>
            <w:tcW w:w="2602" w:type="dxa"/>
            <w:tcBorders>
              <w:tl2br w:val="nil"/>
              <w:tr2bl w:val="nil"/>
            </w:tcBorders>
            <w:vAlign w:val="center"/>
          </w:tcPr>
          <w:p w:rsidR="009A3B20" w:rsidRDefault="00B014BE" w:rsidP="00591B05">
            <w:pPr>
              <w:autoSpaceDN w:val="0"/>
              <w:spacing w:after="0" w:line="240" w:lineRule="auto"/>
              <w:jc w:val="center"/>
              <w:textAlignment w:val="center"/>
              <w:rPr>
                <w:rFonts w:ascii="Times New Roman" w:hAnsi="SimSun"/>
                <w:b/>
                <w:color w:val="000000"/>
                <w:sz w:val="24"/>
              </w:rPr>
            </w:pPr>
            <w:r>
              <w:rPr>
                <w:rFonts w:ascii="Times New Roman" w:hAnsi="SimSun"/>
                <w:b/>
                <w:color w:val="000000"/>
                <w:sz w:val="24"/>
              </w:rPr>
              <w:t xml:space="preserve">103 </w:t>
            </w:r>
            <w:r w:rsidR="002816AE">
              <w:rPr>
                <w:rFonts w:ascii="Times New Roman" w:hAnsi="SimSun"/>
                <w:b/>
                <w:color w:val="000000"/>
                <w:sz w:val="24"/>
              </w:rPr>
              <w:t>303</w:t>
            </w:r>
          </w:p>
        </w:tc>
      </w:tr>
      <w:tr w:rsidR="009A3B20" w:rsidTr="00C263AA">
        <w:trPr>
          <w:trHeight w:val="3210"/>
        </w:trPr>
        <w:tc>
          <w:tcPr>
            <w:tcW w:w="567" w:type="dxa"/>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lastRenderedPageBreak/>
              <w:t>51</w:t>
            </w:r>
          </w:p>
        </w:tc>
        <w:tc>
          <w:tcPr>
            <w:tcW w:w="2694"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Informācijas sistēmas uzturēšana</w:t>
            </w:r>
          </w:p>
        </w:tc>
        <w:tc>
          <w:tcPr>
            <w:tcW w:w="3543"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- 50 299</w:t>
            </w:r>
            <w:r w:rsidR="00EC5CEC" w:rsidRPr="000532DB">
              <w:rPr>
                <w:rFonts w:ascii="Times New Roman" w:eastAsia="Times New Roman" w:hAnsi="Times New Roman"/>
                <w:i/>
                <w:color w:val="000000"/>
                <w:sz w:val="24"/>
              </w:rPr>
              <w:t xml:space="preserve"> euro</w:t>
            </w:r>
            <w:r w:rsidR="00EC5CEC" w:rsidRPr="00B014BE">
              <w:rPr>
                <w:rFonts w:ascii="Times New Roman" w:hAnsi="Times New Roman"/>
              </w:rPr>
              <w:t xml:space="preserve"> </w:t>
            </w:r>
            <w:r w:rsidRPr="00B014BE">
              <w:rPr>
                <w:rFonts w:ascii="Times New Roman" w:hAnsi="Times New Roman"/>
              </w:rPr>
              <w:t>+ PVN (21%) 10 563</w:t>
            </w:r>
            <w:r w:rsidR="00EC5CEC" w:rsidRPr="000532DB">
              <w:rPr>
                <w:rFonts w:ascii="Times New Roman" w:eastAsia="Times New Roman" w:hAnsi="Times New Roman"/>
                <w:i/>
                <w:color w:val="000000"/>
                <w:sz w:val="24"/>
              </w:rPr>
              <w:t xml:space="preserve"> euro</w:t>
            </w:r>
            <w:r w:rsidR="00EC5CEC" w:rsidRPr="00B014BE">
              <w:rPr>
                <w:rFonts w:ascii="Times New Roman" w:hAnsi="Times New Roman"/>
              </w:rPr>
              <w:t xml:space="preserve"> </w:t>
            </w:r>
            <w:r w:rsidRPr="00B014BE">
              <w:rPr>
                <w:rFonts w:ascii="Times New Roman" w:hAnsi="Times New Roman"/>
              </w:rPr>
              <w:t xml:space="preserve"> = 60 862</w:t>
            </w:r>
            <w:r w:rsidR="00EC5CEC" w:rsidRPr="000532DB">
              <w:rPr>
                <w:rFonts w:ascii="Times New Roman" w:eastAsia="Times New Roman" w:hAnsi="Times New Roman"/>
                <w:i/>
                <w:color w:val="000000"/>
                <w:sz w:val="24"/>
              </w:rPr>
              <w:t xml:space="preserve"> euro</w:t>
            </w:r>
            <w:r w:rsidR="00EC5CEC">
              <w:rPr>
                <w:rFonts w:ascii="Times New Roman" w:eastAsia="Times New Roman" w:hAnsi="Times New Roman"/>
                <w:i/>
                <w:color w:val="000000"/>
                <w:sz w:val="24"/>
              </w:rPr>
              <w:t>.</w:t>
            </w:r>
          </w:p>
        </w:tc>
        <w:tc>
          <w:tcPr>
            <w:tcW w:w="2602" w:type="dxa"/>
            <w:tcBorders>
              <w:tl2br w:val="nil"/>
              <w:tr2bl w:val="nil"/>
            </w:tcBorders>
            <w:vAlign w:val="center"/>
          </w:tcPr>
          <w:p w:rsidR="009A3B20" w:rsidRDefault="00B014B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60 </w:t>
            </w:r>
            <w:r w:rsidR="002816AE">
              <w:rPr>
                <w:rFonts w:ascii="Times New Roman" w:hAnsi="SimSun"/>
                <w:color w:val="000000"/>
                <w:sz w:val="24"/>
              </w:rPr>
              <w:t>862</w:t>
            </w:r>
          </w:p>
        </w:tc>
      </w:tr>
      <w:tr w:rsidR="009A3B20" w:rsidTr="00C263AA">
        <w:trPr>
          <w:trHeight w:val="1455"/>
        </w:trPr>
        <w:tc>
          <w:tcPr>
            <w:tcW w:w="567" w:type="dxa"/>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2300</w:t>
            </w:r>
          </w:p>
        </w:tc>
        <w:tc>
          <w:tcPr>
            <w:tcW w:w="2694"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Krājumi, materiāli, energoresursi, preces, biroja preces un inventārs, kurus neuzskaita kodā 5000</w:t>
            </w:r>
          </w:p>
        </w:tc>
        <w:tc>
          <w:tcPr>
            <w:tcW w:w="3543" w:type="dxa"/>
            <w:tcBorders>
              <w:tl2br w:val="nil"/>
              <w:tr2bl w:val="nil"/>
            </w:tcBorders>
            <w:vAlign w:val="center"/>
          </w:tcPr>
          <w:p w:rsidR="009A3B20" w:rsidRPr="00B014BE" w:rsidRDefault="009A3B20" w:rsidP="00591B05">
            <w:pPr>
              <w:spacing w:after="0" w:line="240" w:lineRule="auto"/>
              <w:rPr>
                <w:rFonts w:ascii="Times New Roman" w:hAnsi="Times New Roman"/>
                <w:b/>
              </w:rPr>
            </w:pPr>
          </w:p>
        </w:tc>
        <w:tc>
          <w:tcPr>
            <w:tcW w:w="2602" w:type="dxa"/>
            <w:tcBorders>
              <w:tl2br w:val="nil"/>
              <w:tr2bl w:val="nil"/>
            </w:tcBorders>
            <w:vAlign w:val="center"/>
          </w:tcPr>
          <w:p w:rsidR="009A3B20" w:rsidRDefault="00B014B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42 </w:t>
            </w:r>
            <w:r w:rsidR="002816AE">
              <w:rPr>
                <w:rFonts w:ascii="Times New Roman" w:hAnsi="SimSun"/>
                <w:color w:val="000000"/>
                <w:sz w:val="24"/>
              </w:rPr>
              <w:t>441</w:t>
            </w:r>
          </w:p>
        </w:tc>
      </w:tr>
      <w:tr w:rsidR="009A3B20" w:rsidTr="00C263AA">
        <w:trPr>
          <w:trHeight w:val="1575"/>
        </w:trPr>
        <w:tc>
          <w:tcPr>
            <w:tcW w:w="567" w:type="dxa"/>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2311</w:t>
            </w:r>
          </w:p>
        </w:tc>
        <w:tc>
          <w:tcPr>
            <w:tcW w:w="2694"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Biroja preces</w:t>
            </w:r>
          </w:p>
        </w:tc>
        <w:tc>
          <w:tcPr>
            <w:tcW w:w="3543"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Personu apliecinošu dokumentu izsniegšanas procesa nodrošināšanai nepieciešamo lāzerprintera toneru iegāde (prognoze pamatojoties uz vidējo faktisko patēriņu iepriekšējos gados) –</w:t>
            </w:r>
            <w:r w:rsidR="00EC5CEC">
              <w:rPr>
                <w:rFonts w:ascii="Times New Roman" w:hAnsi="Times New Roman"/>
              </w:rPr>
              <w:t xml:space="preserve"> </w:t>
            </w:r>
            <w:r w:rsidRPr="00B014BE">
              <w:rPr>
                <w:rFonts w:ascii="Times New Roman" w:hAnsi="Times New Roman"/>
              </w:rPr>
              <w:t xml:space="preserve">25 499 </w:t>
            </w:r>
            <w:r w:rsidR="00EC5CEC" w:rsidRPr="000532DB">
              <w:rPr>
                <w:rFonts w:ascii="Times New Roman" w:eastAsia="Times New Roman" w:hAnsi="Times New Roman"/>
                <w:i/>
                <w:color w:val="000000"/>
                <w:sz w:val="24"/>
              </w:rPr>
              <w:t>euro</w:t>
            </w:r>
            <w:r w:rsidR="00EC5CEC" w:rsidRPr="00B014BE">
              <w:rPr>
                <w:rFonts w:ascii="Times New Roman" w:hAnsi="Times New Roman"/>
              </w:rPr>
              <w:t xml:space="preserve"> </w:t>
            </w:r>
            <w:r w:rsidRPr="00B014BE">
              <w:rPr>
                <w:rFonts w:ascii="Times New Roman" w:hAnsi="Times New Roman"/>
              </w:rPr>
              <w:t xml:space="preserve">+ PVN (21%) 5 355 </w:t>
            </w:r>
            <w:r w:rsidR="00EC5CEC" w:rsidRPr="000532DB">
              <w:rPr>
                <w:rFonts w:ascii="Times New Roman" w:eastAsia="Times New Roman" w:hAnsi="Times New Roman"/>
                <w:i/>
                <w:color w:val="000000"/>
                <w:sz w:val="24"/>
              </w:rPr>
              <w:t>euro</w:t>
            </w:r>
            <w:r w:rsidR="00EC5CEC" w:rsidRPr="00B014BE">
              <w:rPr>
                <w:rFonts w:ascii="Times New Roman" w:hAnsi="Times New Roman"/>
              </w:rPr>
              <w:t xml:space="preserve"> </w:t>
            </w:r>
            <w:r w:rsidRPr="00B014BE">
              <w:rPr>
                <w:rFonts w:ascii="Times New Roman" w:hAnsi="Times New Roman"/>
              </w:rPr>
              <w:t>= 30 854</w:t>
            </w:r>
            <w:r w:rsidR="00EC5CEC" w:rsidRPr="000532DB">
              <w:rPr>
                <w:rFonts w:ascii="Times New Roman" w:eastAsia="Times New Roman" w:hAnsi="Times New Roman"/>
                <w:i/>
                <w:color w:val="000000"/>
                <w:sz w:val="24"/>
              </w:rPr>
              <w:t xml:space="preserve"> euro</w:t>
            </w:r>
            <w:r w:rsidR="00EC5CEC">
              <w:rPr>
                <w:rFonts w:ascii="Times New Roman" w:eastAsia="Times New Roman" w:hAnsi="Times New Roman"/>
                <w:i/>
                <w:color w:val="000000"/>
                <w:sz w:val="24"/>
              </w:rPr>
              <w:t>.</w:t>
            </w:r>
          </w:p>
        </w:tc>
        <w:tc>
          <w:tcPr>
            <w:tcW w:w="2602" w:type="dxa"/>
            <w:tcBorders>
              <w:tl2br w:val="nil"/>
              <w:tr2bl w:val="nil"/>
            </w:tcBorders>
            <w:vAlign w:val="center"/>
          </w:tcPr>
          <w:p w:rsidR="009A3B20" w:rsidRDefault="00B014B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30 </w:t>
            </w:r>
            <w:r w:rsidR="002816AE">
              <w:rPr>
                <w:rFonts w:ascii="Times New Roman" w:hAnsi="SimSun"/>
                <w:color w:val="000000"/>
                <w:sz w:val="24"/>
              </w:rPr>
              <w:t>854</w:t>
            </w:r>
          </w:p>
        </w:tc>
      </w:tr>
      <w:tr w:rsidR="009A3B20" w:rsidTr="00C263AA">
        <w:trPr>
          <w:trHeight w:val="1665"/>
        </w:trPr>
        <w:tc>
          <w:tcPr>
            <w:tcW w:w="567" w:type="dxa"/>
            <w:tcBorders>
              <w:tl2br w:val="nil"/>
              <w:tr2bl w:val="nil"/>
            </w:tcBorders>
            <w:vAlign w:val="center"/>
          </w:tcPr>
          <w:p w:rsidR="009A3B20" w:rsidRDefault="002816A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2350</w:t>
            </w:r>
          </w:p>
        </w:tc>
        <w:tc>
          <w:tcPr>
            <w:tcW w:w="2694"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Kārtējā remonta un iestāžu uzturēšanas materiāli</w:t>
            </w:r>
          </w:p>
        </w:tc>
        <w:tc>
          <w:tcPr>
            <w:tcW w:w="3543" w:type="dxa"/>
            <w:tcBorders>
              <w:tl2br w:val="nil"/>
              <w:tr2bl w:val="nil"/>
            </w:tcBorders>
            <w:vAlign w:val="center"/>
          </w:tcPr>
          <w:p w:rsidR="009A3B20" w:rsidRPr="00B014BE" w:rsidRDefault="002816AE" w:rsidP="00591B05">
            <w:pPr>
              <w:spacing w:after="0" w:line="240" w:lineRule="auto"/>
              <w:rPr>
                <w:rFonts w:ascii="Times New Roman" w:hAnsi="Times New Roman"/>
              </w:rPr>
            </w:pPr>
            <w:r w:rsidRPr="00B014BE">
              <w:rPr>
                <w:rFonts w:ascii="Times New Roman" w:hAnsi="Times New Roman"/>
              </w:rPr>
              <w:t>Personu apliecinošu dokumentu izsniegšanas procesam nepieciešamo gala iekārtu rezerves daļu iegāde (prognoze atbilstoši ekspertu novērtējumam un vidējam faktiskam patēriņam iepriekšējos gados) –</w:t>
            </w:r>
            <w:r w:rsidR="00EC5CEC">
              <w:rPr>
                <w:rFonts w:ascii="Times New Roman" w:hAnsi="Times New Roman"/>
              </w:rPr>
              <w:t xml:space="preserve"> </w:t>
            </w:r>
            <w:r w:rsidRPr="00B014BE">
              <w:rPr>
                <w:rFonts w:ascii="Times New Roman" w:hAnsi="Times New Roman"/>
              </w:rPr>
              <w:t>9 576</w:t>
            </w:r>
            <w:r w:rsidR="00EC5CEC" w:rsidRPr="000532DB">
              <w:rPr>
                <w:rFonts w:ascii="Times New Roman" w:eastAsia="Times New Roman" w:hAnsi="Times New Roman"/>
                <w:i/>
                <w:color w:val="000000"/>
                <w:sz w:val="24"/>
              </w:rPr>
              <w:t xml:space="preserve"> euro</w:t>
            </w:r>
            <w:r w:rsidR="00EC5CEC" w:rsidRPr="00B014BE">
              <w:rPr>
                <w:rFonts w:ascii="Times New Roman" w:hAnsi="Times New Roman"/>
              </w:rPr>
              <w:t xml:space="preserve"> </w:t>
            </w:r>
            <w:r w:rsidRPr="00B014BE">
              <w:rPr>
                <w:rFonts w:ascii="Times New Roman" w:hAnsi="Times New Roman"/>
              </w:rPr>
              <w:t>+ PVN (21%) 2 011</w:t>
            </w:r>
            <w:r w:rsidR="00EC5CEC" w:rsidRPr="000532DB">
              <w:rPr>
                <w:rFonts w:ascii="Times New Roman" w:eastAsia="Times New Roman" w:hAnsi="Times New Roman"/>
                <w:i/>
                <w:color w:val="000000"/>
                <w:sz w:val="24"/>
              </w:rPr>
              <w:t xml:space="preserve"> euro</w:t>
            </w:r>
            <w:r w:rsidR="00EC5CEC" w:rsidRPr="00B014BE">
              <w:rPr>
                <w:rFonts w:ascii="Times New Roman" w:hAnsi="Times New Roman"/>
              </w:rPr>
              <w:t xml:space="preserve"> </w:t>
            </w:r>
            <w:r w:rsidRPr="00B014BE">
              <w:rPr>
                <w:rFonts w:ascii="Times New Roman" w:hAnsi="Times New Roman"/>
              </w:rPr>
              <w:t>= 11 587</w:t>
            </w:r>
            <w:r w:rsidR="00EC5CEC" w:rsidRPr="000532DB">
              <w:rPr>
                <w:rFonts w:ascii="Times New Roman" w:eastAsia="Times New Roman" w:hAnsi="Times New Roman"/>
                <w:i/>
                <w:color w:val="000000"/>
                <w:sz w:val="24"/>
              </w:rPr>
              <w:t xml:space="preserve"> euro</w:t>
            </w:r>
            <w:r w:rsidR="00EC5CEC">
              <w:rPr>
                <w:rFonts w:ascii="Times New Roman" w:eastAsia="Times New Roman" w:hAnsi="Times New Roman"/>
                <w:i/>
                <w:color w:val="000000"/>
                <w:sz w:val="24"/>
              </w:rPr>
              <w:t>.</w:t>
            </w:r>
          </w:p>
        </w:tc>
        <w:tc>
          <w:tcPr>
            <w:tcW w:w="2602" w:type="dxa"/>
            <w:tcBorders>
              <w:tl2br w:val="nil"/>
              <w:tr2bl w:val="nil"/>
            </w:tcBorders>
            <w:vAlign w:val="center"/>
          </w:tcPr>
          <w:p w:rsidR="009A3B20" w:rsidRDefault="00B014BE" w:rsidP="00591B05">
            <w:pPr>
              <w:autoSpaceDN w:val="0"/>
              <w:spacing w:after="0" w:line="240" w:lineRule="auto"/>
              <w:jc w:val="center"/>
              <w:textAlignment w:val="center"/>
              <w:rPr>
                <w:rFonts w:ascii="Times New Roman" w:hAnsi="SimSun"/>
                <w:color w:val="000000"/>
                <w:sz w:val="24"/>
              </w:rPr>
            </w:pPr>
            <w:r>
              <w:rPr>
                <w:rFonts w:ascii="Times New Roman" w:hAnsi="SimSun"/>
                <w:color w:val="000000"/>
                <w:sz w:val="24"/>
              </w:rPr>
              <w:t xml:space="preserve">11 </w:t>
            </w:r>
            <w:r w:rsidR="002816AE">
              <w:rPr>
                <w:rFonts w:ascii="Times New Roman" w:hAnsi="SimSun"/>
                <w:color w:val="000000"/>
                <w:sz w:val="24"/>
              </w:rPr>
              <w:t>587</w:t>
            </w:r>
          </w:p>
        </w:tc>
      </w:tr>
    </w:tbl>
    <w:p w:rsidR="009A3B20" w:rsidRDefault="009A3B20" w:rsidP="00591B05">
      <w:pPr>
        <w:spacing w:after="0"/>
        <w:rPr>
          <w:rFonts w:ascii="Times New Roman" w:hAnsi="Times New Roman"/>
          <w:sz w:val="24"/>
          <w:szCs w:val="24"/>
        </w:rPr>
      </w:pPr>
    </w:p>
    <w:p w:rsidR="00C9685D" w:rsidRDefault="00C9685D" w:rsidP="00AF1891">
      <w:pPr>
        <w:spacing w:after="0" w:line="240" w:lineRule="auto"/>
        <w:rPr>
          <w:rFonts w:ascii="Times New Roman" w:hAnsi="Times New Roman"/>
          <w:sz w:val="24"/>
          <w:szCs w:val="24"/>
        </w:rPr>
      </w:pPr>
    </w:p>
    <w:p w:rsidR="00C9685D" w:rsidRDefault="00C9685D" w:rsidP="00AF1891">
      <w:pPr>
        <w:spacing w:after="0" w:line="240" w:lineRule="auto"/>
        <w:rPr>
          <w:rFonts w:ascii="Times New Roman" w:hAnsi="Times New Roman"/>
          <w:sz w:val="24"/>
          <w:szCs w:val="24"/>
        </w:rPr>
      </w:pPr>
    </w:p>
    <w:p w:rsidR="001105EA" w:rsidRPr="000F67DF" w:rsidRDefault="001105EA" w:rsidP="001105EA">
      <w:pPr>
        <w:tabs>
          <w:tab w:val="left" w:pos="6521"/>
        </w:tabs>
        <w:jc w:val="both"/>
        <w:rPr>
          <w:rFonts w:ascii="Times New Roman" w:eastAsia="Times New Roman" w:hAnsi="Times New Roman"/>
          <w:sz w:val="24"/>
          <w:szCs w:val="24"/>
          <w:lang w:eastAsia="lv-LV"/>
        </w:rPr>
      </w:pPr>
      <w:r w:rsidRPr="001105EA">
        <w:rPr>
          <w:rFonts w:ascii="Times New Roman" w:eastAsia="Times New Roman" w:hAnsi="Times New Roman"/>
          <w:sz w:val="24"/>
          <w:szCs w:val="24"/>
          <w:lang w:eastAsia="lv-LV"/>
        </w:rPr>
        <w:t xml:space="preserve"> </w:t>
      </w:r>
      <w:r w:rsidRPr="000F67DF">
        <w:rPr>
          <w:rFonts w:ascii="Times New Roman" w:eastAsia="Times New Roman" w:hAnsi="Times New Roman"/>
          <w:sz w:val="24"/>
          <w:szCs w:val="24"/>
          <w:lang w:eastAsia="lv-LV"/>
        </w:rPr>
        <w:t>Iekšlietu ministrs</w:t>
      </w:r>
      <w:r w:rsidRPr="000F67DF">
        <w:rPr>
          <w:rFonts w:ascii="Times New Roman" w:eastAsia="Times New Roman" w:hAnsi="Times New Roman"/>
          <w:sz w:val="24"/>
          <w:szCs w:val="24"/>
          <w:lang w:eastAsia="lv-LV"/>
        </w:rPr>
        <w:tab/>
        <w:t>R.</w:t>
      </w:r>
      <w:r w:rsidR="00DF56CD">
        <w:rPr>
          <w:rFonts w:ascii="Times New Roman" w:eastAsia="Times New Roman" w:hAnsi="Times New Roman"/>
          <w:sz w:val="24"/>
          <w:szCs w:val="24"/>
          <w:lang w:eastAsia="lv-LV"/>
        </w:rPr>
        <w:t xml:space="preserve"> </w:t>
      </w:r>
      <w:r w:rsidRPr="000F67DF">
        <w:rPr>
          <w:rFonts w:ascii="Times New Roman" w:eastAsia="Times New Roman" w:hAnsi="Times New Roman"/>
          <w:sz w:val="24"/>
          <w:szCs w:val="24"/>
          <w:lang w:eastAsia="lv-LV"/>
        </w:rPr>
        <w:t>Kozlovskis</w:t>
      </w:r>
    </w:p>
    <w:p w:rsidR="001105EA" w:rsidRPr="000F67DF" w:rsidRDefault="001105EA" w:rsidP="001105EA">
      <w:pPr>
        <w:pStyle w:val="naisf"/>
      </w:pPr>
    </w:p>
    <w:p w:rsidR="001105EA" w:rsidRPr="000F67DF" w:rsidRDefault="00DF56CD" w:rsidP="001105EA">
      <w:pPr>
        <w:pStyle w:val="naisf"/>
      </w:pPr>
      <w:r>
        <w:t>Vīza: valsts sekretāra pienākumu izpildītāja</w:t>
      </w:r>
      <w:r w:rsidR="001105EA" w:rsidRPr="000F67DF">
        <w:tab/>
      </w:r>
      <w:r w:rsidR="001105EA">
        <w:t xml:space="preserve">               </w:t>
      </w:r>
      <w:r w:rsidR="001105EA" w:rsidRPr="000F67DF">
        <w:tab/>
        <w:t xml:space="preserve">I. </w:t>
      </w:r>
      <w:r>
        <w:t>Aire</w:t>
      </w:r>
    </w:p>
    <w:p w:rsidR="001105EA" w:rsidRPr="000F67DF" w:rsidRDefault="001105EA" w:rsidP="001105EA">
      <w:pPr>
        <w:pStyle w:val="BodyText"/>
        <w:spacing w:after="0"/>
        <w:rPr>
          <w:sz w:val="20"/>
        </w:rPr>
      </w:pPr>
    </w:p>
    <w:p w:rsidR="001105EA" w:rsidRPr="000F67DF" w:rsidRDefault="001105EA" w:rsidP="001105EA">
      <w:pPr>
        <w:pStyle w:val="BodyText"/>
        <w:spacing w:after="0"/>
        <w:rPr>
          <w:sz w:val="20"/>
        </w:rPr>
      </w:pPr>
    </w:p>
    <w:p w:rsidR="001105EA" w:rsidRDefault="001105EA" w:rsidP="001105EA">
      <w:pPr>
        <w:pStyle w:val="HTMLPreformatted"/>
        <w:jc w:val="both"/>
        <w:rPr>
          <w:rFonts w:ascii="Times New Roman" w:hAnsi="Times New Roman" w:cs="Times New Roman"/>
          <w:lang w:val="de-DE" w:eastAsia="en-US"/>
        </w:rPr>
      </w:pPr>
    </w:p>
    <w:p w:rsidR="00CC72BA" w:rsidRPr="00CC72BA" w:rsidRDefault="00301F0D" w:rsidP="00CC72BA">
      <w:pPr>
        <w:spacing w:after="0"/>
        <w:rPr>
          <w:sz w:val="20"/>
          <w:szCs w:val="20"/>
          <w:lang w:val="de-DE"/>
        </w:rPr>
      </w:pPr>
      <w:r w:rsidRPr="00CC72BA">
        <w:rPr>
          <w:rFonts w:ascii="Times New Roman" w:eastAsia="Times New Roman" w:hAnsi="Times New Roman"/>
          <w:sz w:val="20"/>
          <w:szCs w:val="20"/>
          <w:lang w:val="de-DE"/>
        </w:rPr>
        <w:fldChar w:fldCharType="begin"/>
      </w:r>
      <w:r w:rsidR="00CC72BA" w:rsidRPr="00CC72BA">
        <w:rPr>
          <w:rFonts w:ascii="Times New Roman" w:eastAsia="Times New Roman" w:hAnsi="Times New Roman"/>
          <w:sz w:val="20"/>
          <w:szCs w:val="20"/>
          <w:lang w:val="de-DE"/>
        </w:rPr>
        <w:instrText xml:space="preserve"> TIME \@ "dd.MM.yyyy H:mm" </w:instrText>
      </w:r>
      <w:r w:rsidRPr="00CC72BA">
        <w:rPr>
          <w:rFonts w:ascii="Times New Roman" w:eastAsia="Times New Roman" w:hAnsi="Times New Roman"/>
          <w:sz w:val="20"/>
          <w:szCs w:val="20"/>
          <w:lang w:val="de-DE"/>
        </w:rPr>
        <w:fldChar w:fldCharType="separate"/>
      </w:r>
      <w:r w:rsidR="004F3167">
        <w:rPr>
          <w:rFonts w:ascii="Times New Roman" w:eastAsia="Times New Roman" w:hAnsi="Times New Roman"/>
          <w:noProof/>
          <w:sz w:val="20"/>
          <w:szCs w:val="20"/>
          <w:lang w:val="de-DE"/>
        </w:rPr>
        <w:t>03.10.2014 14:45</w:t>
      </w:r>
      <w:r w:rsidRPr="00CC72BA">
        <w:rPr>
          <w:rFonts w:ascii="Times New Roman" w:eastAsia="Times New Roman" w:hAnsi="Times New Roman"/>
          <w:sz w:val="20"/>
          <w:szCs w:val="20"/>
          <w:lang w:val="de-DE"/>
        </w:rPr>
        <w:fldChar w:fldCharType="end"/>
      </w:r>
    </w:p>
    <w:p w:rsidR="00CC72BA" w:rsidRDefault="004B1866" w:rsidP="00CC72BA">
      <w:pPr>
        <w:spacing w:after="0"/>
        <w:rPr>
          <w:rFonts w:ascii="Times New Roman" w:hAnsi="Times New Roman"/>
          <w:lang w:val="de-DE"/>
        </w:rPr>
      </w:pPr>
      <w:r>
        <w:fldChar w:fldCharType="begin"/>
      </w:r>
      <w:r>
        <w:instrText xml:space="preserve"> NUMWORDS   \* MERGEFORMAT </w:instrText>
      </w:r>
      <w:r>
        <w:fldChar w:fldCharType="separate"/>
      </w:r>
      <w:r w:rsidR="00523FB3">
        <w:rPr>
          <w:rFonts w:ascii="Times New Roman" w:eastAsia="Times New Roman" w:hAnsi="Times New Roman"/>
          <w:noProof/>
          <w:sz w:val="20"/>
          <w:szCs w:val="20"/>
          <w:lang w:val="de-DE"/>
        </w:rPr>
        <w:t>3932</w:t>
      </w:r>
      <w:r>
        <w:rPr>
          <w:rFonts w:ascii="Times New Roman" w:eastAsia="Times New Roman" w:hAnsi="Times New Roman"/>
          <w:noProof/>
          <w:sz w:val="20"/>
          <w:szCs w:val="20"/>
          <w:lang w:val="de-DE"/>
        </w:rPr>
        <w:fldChar w:fldCharType="end"/>
      </w:r>
      <w:r w:rsidR="00020E72">
        <w:t xml:space="preserve">   </w:t>
      </w:r>
    </w:p>
    <w:p w:rsidR="001105EA" w:rsidRPr="000F67DF" w:rsidRDefault="004F3167" w:rsidP="001105EA">
      <w:pPr>
        <w:spacing w:after="0"/>
        <w:rPr>
          <w:rFonts w:ascii="Times New Roman" w:eastAsia="Times New Roman" w:hAnsi="Times New Roman"/>
          <w:sz w:val="20"/>
          <w:szCs w:val="20"/>
          <w:lang w:val="de-DE"/>
        </w:rPr>
      </w:pPr>
      <w:r>
        <w:rPr>
          <w:rFonts w:ascii="Times New Roman" w:eastAsia="Times New Roman" w:hAnsi="Times New Roman"/>
          <w:sz w:val="20"/>
          <w:szCs w:val="20"/>
          <w:lang w:val="de-DE"/>
        </w:rPr>
        <w:t>Brīvniece,</w:t>
      </w:r>
      <w:bookmarkStart w:id="0" w:name="_GoBack"/>
      <w:bookmarkEnd w:id="0"/>
      <w:r w:rsidR="001105EA" w:rsidRPr="000F67DF">
        <w:rPr>
          <w:rFonts w:ascii="Times New Roman" w:eastAsia="Times New Roman" w:hAnsi="Times New Roman"/>
          <w:sz w:val="20"/>
          <w:szCs w:val="20"/>
          <w:lang w:val="de-DE"/>
        </w:rPr>
        <w:t>67219453</w:t>
      </w:r>
    </w:p>
    <w:p w:rsidR="001105EA" w:rsidRDefault="001105EA" w:rsidP="001105EA">
      <w:pPr>
        <w:spacing w:after="0"/>
        <w:rPr>
          <w:rFonts w:ascii="Times New Roman" w:eastAsia="Times New Roman" w:hAnsi="Times New Roman"/>
          <w:sz w:val="20"/>
          <w:szCs w:val="20"/>
          <w:lang w:val="de-DE"/>
        </w:rPr>
      </w:pPr>
      <w:r w:rsidRPr="000F67DF">
        <w:rPr>
          <w:rFonts w:ascii="Times New Roman" w:eastAsia="Times New Roman" w:hAnsi="Times New Roman"/>
          <w:sz w:val="20"/>
          <w:szCs w:val="20"/>
          <w:lang w:val="de-DE"/>
        </w:rPr>
        <w:t>ramona.brivniece@pmlp.gov.lv</w:t>
      </w:r>
    </w:p>
    <w:p w:rsidR="001105EA" w:rsidRPr="000F67DF" w:rsidRDefault="001105EA" w:rsidP="001105EA">
      <w:pPr>
        <w:spacing w:after="0"/>
        <w:rPr>
          <w:rFonts w:ascii="Times New Roman" w:eastAsia="Times New Roman" w:hAnsi="Times New Roman"/>
          <w:sz w:val="20"/>
          <w:szCs w:val="20"/>
          <w:lang w:val="de-DE"/>
        </w:rPr>
      </w:pPr>
    </w:p>
    <w:p w:rsidR="00AF1891" w:rsidRPr="001105EA" w:rsidRDefault="00AF1891" w:rsidP="00AF1891">
      <w:pPr>
        <w:spacing w:after="0" w:line="240" w:lineRule="auto"/>
        <w:rPr>
          <w:rFonts w:ascii="Times New Roman" w:hAnsi="Times New Roman"/>
          <w:sz w:val="24"/>
          <w:szCs w:val="24"/>
          <w:lang w:val="de-DE"/>
        </w:rPr>
      </w:pPr>
    </w:p>
    <w:sectPr w:rsidR="00AF1891" w:rsidRPr="001105EA" w:rsidSect="00C263AA">
      <w:headerReference w:type="default" r:id="rId9"/>
      <w:footerReference w:type="default" r:id="rId10"/>
      <w:footerReference w:type="first" r:id="rId11"/>
      <w:pgSz w:w="11907" w:h="16839"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66" w:rsidRDefault="004B1866" w:rsidP="000F3843">
      <w:pPr>
        <w:spacing w:after="0" w:line="240" w:lineRule="auto"/>
      </w:pPr>
      <w:r>
        <w:separator/>
      </w:r>
    </w:p>
  </w:endnote>
  <w:endnote w:type="continuationSeparator" w:id="0">
    <w:p w:rsidR="004B1866" w:rsidRDefault="004B1866" w:rsidP="000F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0B" w:rsidRPr="00857C0F" w:rsidRDefault="00FB090B" w:rsidP="007913D9">
    <w:pPr>
      <w:pStyle w:val="Heading1"/>
      <w:spacing w:before="0" w:after="0"/>
      <w:jc w:val="both"/>
      <w:rPr>
        <w:rFonts w:ascii="Times New Roman" w:hAnsi="Times New Roman"/>
        <w:b w:val="0"/>
        <w:kern w:val="0"/>
        <w:sz w:val="20"/>
        <w:szCs w:val="20"/>
      </w:rPr>
    </w:pPr>
    <w:r w:rsidRPr="00857C0F">
      <w:rPr>
        <w:rFonts w:ascii="Times New Roman" w:hAnsi="Times New Roman"/>
        <w:b w:val="0"/>
        <w:kern w:val="0"/>
        <w:sz w:val="20"/>
        <w:szCs w:val="20"/>
      </w:rPr>
      <w:t>IEMAnotp</w:t>
    </w:r>
    <w:r w:rsidR="00B807B9">
      <w:rPr>
        <w:rFonts w:ascii="Times New Roman" w:hAnsi="Times New Roman"/>
        <w:b w:val="0"/>
        <w:kern w:val="0"/>
        <w:sz w:val="20"/>
        <w:szCs w:val="20"/>
      </w:rPr>
      <w:t>1</w:t>
    </w:r>
    <w:r w:rsidRPr="00857C0F">
      <w:rPr>
        <w:rFonts w:ascii="Times New Roman" w:hAnsi="Times New Roman"/>
        <w:b w:val="0"/>
        <w:kern w:val="0"/>
        <w:sz w:val="20"/>
        <w:szCs w:val="20"/>
      </w:rPr>
      <w:t>_</w:t>
    </w:r>
    <w:r w:rsidR="00DF56CD">
      <w:rPr>
        <w:rFonts w:ascii="Times New Roman" w:hAnsi="Times New Roman"/>
        <w:b w:val="0"/>
        <w:kern w:val="0"/>
        <w:sz w:val="20"/>
        <w:szCs w:val="20"/>
      </w:rPr>
      <w:t>0210</w:t>
    </w:r>
    <w:r w:rsidRPr="00857C0F">
      <w:rPr>
        <w:rFonts w:ascii="Times New Roman" w:hAnsi="Times New Roman"/>
        <w:b w:val="0"/>
        <w:kern w:val="0"/>
        <w:sz w:val="20"/>
        <w:szCs w:val="20"/>
      </w:rPr>
      <w:t>14_347; pielikums Ministru kabineta rīkojuma projekta „Grozījums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 ietekmes novērtējuma ziņojumam (anotācijai)</w:t>
    </w:r>
  </w:p>
  <w:p w:rsidR="00FB090B" w:rsidRPr="00857C0F" w:rsidRDefault="00FB090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0B" w:rsidRPr="00857C0F" w:rsidRDefault="00FB090B" w:rsidP="00022FF1">
    <w:pPr>
      <w:pStyle w:val="Heading1"/>
      <w:spacing w:before="0" w:after="0"/>
      <w:jc w:val="both"/>
      <w:rPr>
        <w:rFonts w:ascii="Times New Roman" w:hAnsi="Times New Roman"/>
        <w:b w:val="0"/>
        <w:kern w:val="0"/>
        <w:sz w:val="20"/>
        <w:szCs w:val="20"/>
      </w:rPr>
    </w:pPr>
    <w:r w:rsidRPr="00857C0F">
      <w:rPr>
        <w:rFonts w:ascii="Times New Roman" w:hAnsi="Times New Roman"/>
        <w:b w:val="0"/>
        <w:kern w:val="0"/>
        <w:sz w:val="20"/>
        <w:szCs w:val="20"/>
      </w:rPr>
      <w:t>IEMAnotp</w:t>
    </w:r>
    <w:r w:rsidR="00D743B1">
      <w:rPr>
        <w:rFonts w:ascii="Times New Roman" w:hAnsi="Times New Roman"/>
        <w:b w:val="0"/>
        <w:kern w:val="0"/>
        <w:sz w:val="20"/>
        <w:szCs w:val="20"/>
      </w:rPr>
      <w:t>1</w:t>
    </w:r>
    <w:r w:rsidRPr="00857C0F">
      <w:rPr>
        <w:rFonts w:ascii="Times New Roman" w:hAnsi="Times New Roman"/>
        <w:b w:val="0"/>
        <w:kern w:val="0"/>
        <w:sz w:val="20"/>
        <w:szCs w:val="20"/>
      </w:rPr>
      <w:t>_0</w:t>
    </w:r>
    <w:r w:rsidR="00DF56CD">
      <w:rPr>
        <w:rFonts w:ascii="Times New Roman" w:hAnsi="Times New Roman"/>
        <w:b w:val="0"/>
        <w:kern w:val="0"/>
        <w:sz w:val="20"/>
        <w:szCs w:val="20"/>
      </w:rPr>
      <w:t>210</w:t>
    </w:r>
    <w:r w:rsidRPr="00857C0F">
      <w:rPr>
        <w:rFonts w:ascii="Times New Roman" w:hAnsi="Times New Roman"/>
        <w:b w:val="0"/>
        <w:kern w:val="0"/>
        <w:sz w:val="20"/>
        <w:szCs w:val="20"/>
      </w:rPr>
      <w:t>14_347; pielikums Ministru kabineta rīkojuma projekta „Grozījums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 ietekmes novērtējuma ziņojumam (anotācijai)</w:t>
    </w:r>
  </w:p>
  <w:p w:rsidR="00FB090B" w:rsidRPr="00022FF1" w:rsidRDefault="00FB090B">
    <w:pPr>
      <w:pStyle w:val="Footer"/>
      <w:rPr>
        <w:rFonts w:ascii="Times New Roman" w:eastAsia="Times New Roman" w:hAnsi="Times New Roman"/>
        <w:bCs/>
        <w:sz w:val="24"/>
        <w:szCs w:val="24"/>
      </w:rPr>
    </w:pPr>
  </w:p>
  <w:p w:rsidR="00FB090B" w:rsidRDefault="00F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66" w:rsidRDefault="004B1866" w:rsidP="000F3843">
      <w:pPr>
        <w:spacing w:after="0" w:line="240" w:lineRule="auto"/>
      </w:pPr>
      <w:r>
        <w:separator/>
      </w:r>
    </w:p>
  </w:footnote>
  <w:footnote w:type="continuationSeparator" w:id="0">
    <w:p w:rsidR="004B1866" w:rsidRDefault="004B1866" w:rsidP="000F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3157"/>
      <w:docPartObj>
        <w:docPartGallery w:val="Page Numbers (Top of Page)"/>
        <w:docPartUnique/>
      </w:docPartObj>
    </w:sdtPr>
    <w:sdtEndPr>
      <w:rPr>
        <w:rFonts w:ascii="Times New Roman" w:hAnsi="Times New Roman"/>
        <w:sz w:val="20"/>
        <w:szCs w:val="20"/>
      </w:rPr>
    </w:sdtEndPr>
    <w:sdtContent>
      <w:p w:rsidR="00FB090B" w:rsidRPr="00FF5FF0" w:rsidRDefault="00301F0D">
        <w:pPr>
          <w:pStyle w:val="Header"/>
          <w:jc w:val="center"/>
          <w:rPr>
            <w:rFonts w:ascii="Times New Roman" w:hAnsi="Times New Roman"/>
            <w:sz w:val="20"/>
            <w:szCs w:val="20"/>
          </w:rPr>
        </w:pPr>
        <w:r w:rsidRPr="00FF5FF0">
          <w:rPr>
            <w:rFonts w:ascii="Times New Roman" w:hAnsi="Times New Roman"/>
            <w:sz w:val="20"/>
            <w:szCs w:val="20"/>
          </w:rPr>
          <w:fldChar w:fldCharType="begin"/>
        </w:r>
        <w:r w:rsidR="00FB090B" w:rsidRPr="00FF5FF0">
          <w:rPr>
            <w:rFonts w:ascii="Times New Roman" w:hAnsi="Times New Roman"/>
            <w:sz w:val="20"/>
            <w:szCs w:val="20"/>
          </w:rPr>
          <w:instrText xml:space="preserve"> PAGE   \* MERGEFORMAT </w:instrText>
        </w:r>
        <w:r w:rsidRPr="00FF5FF0">
          <w:rPr>
            <w:rFonts w:ascii="Times New Roman" w:hAnsi="Times New Roman"/>
            <w:sz w:val="20"/>
            <w:szCs w:val="20"/>
          </w:rPr>
          <w:fldChar w:fldCharType="separate"/>
        </w:r>
        <w:r w:rsidR="004F3167">
          <w:rPr>
            <w:rFonts w:ascii="Times New Roman" w:hAnsi="Times New Roman"/>
            <w:noProof/>
            <w:sz w:val="20"/>
            <w:szCs w:val="20"/>
          </w:rPr>
          <w:t>21</w:t>
        </w:r>
        <w:r w:rsidRPr="00FF5FF0">
          <w:rPr>
            <w:rFonts w:ascii="Times New Roman" w:hAnsi="Times New Roman"/>
            <w:sz w:val="20"/>
            <w:szCs w:val="20"/>
          </w:rPr>
          <w:fldChar w:fldCharType="end"/>
        </w:r>
      </w:p>
    </w:sdtContent>
  </w:sdt>
  <w:p w:rsidR="00FB090B" w:rsidRDefault="00FB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99F"/>
    <w:multiLevelType w:val="hybridMultilevel"/>
    <w:tmpl w:val="2CDA0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9A3B20"/>
    <w:rsid w:val="00020E72"/>
    <w:rsid w:val="00022FF1"/>
    <w:rsid w:val="00032016"/>
    <w:rsid w:val="000532DB"/>
    <w:rsid w:val="00055E54"/>
    <w:rsid w:val="00066D06"/>
    <w:rsid w:val="000C2649"/>
    <w:rsid w:val="000C28A2"/>
    <w:rsid w:val="000C6D72"/>
    <w:rsid w:val="000F3843"/>
    <w:rsid w:val="001105EA"/>
    <w:rsid w:val="00154036"/>
    <w:rsid w:val="0017308A"/>
    <w:rsid w:val="001A5F10"/>
    <w:rsid w:val="001E08A9"/>
    <w:rsid w:val="001E0EA8"/>
    <w:rsid w:val="002612D2"/>
    <w:rsid w:val="00272FD4"/>
    <w:rsid w:val="002816AE"/>
    <w:rsid w:val="0029780F"/>
    <w:rsid w:val="002C4BAA"/>
    <w:rsid w:val="002D0E70"/>
    <w:rsid w:val="002F65B3"/>
    <w:rsid w:val="00301F0D"/>
    <w:rsid w:val="00370B48"/>
    <w:rsid w:val="003C1323"/>
    <w:rsid w:val="00407909"/>
    <w:rsid w:val="00415F9D"/>
    <w:rsid w:val="00417252"/>
    <w:rsid w:val="004316FB"/>
    <w:rsid w:val="00475316"/>
    <w:rsid w:val="004B1866"/>
    <w:rsid w:val="004B19D5"/>
    <w:rsid w:val="004B67B7"/>
    <w:rsid w:val="004E6D63"/>
    <w:rsid w:val="004F12BE"/>
    <w:rsid w:val="004F3167"/>
    <w:rsid w:val="00503161"/>
    <w:rsid w:val="00523FB3"/>
    <w:rsid w:val="00525F8C"/>
    <w:rsid w:val="00527FD9"/>
    <w:rsid w:val="0055321B"/>
    <w:rsid w:val="005629E0"/>
    <w:rsid w:val="005670B1"/>
    <w:rsid w:val="00572A1B"/>
    <w:rsid w:val="00591B05"/>
    <w:rsid w:val="005A34CB"/>
    <w:rsid w:val="005C4AA4"/>
    <w:rsid w:val="005D02C6"/>
    <w:rsid w:val="005D2C69"/>
    <w:rsid w:val="005D77E4"/>
    <w:rsid w:val="00604772"/>
    <w:rsid w:val="00604A05"/>
    <w:rsid w:val="00661C6B"/>
    <w:rsid w:val="00667579"/>
    <w:rsid w:val="006721E7"/>
    <w:rsid w:val="00696523"/>
    <w:rsid w:val="006A34E5"/>
    <w:rsid w:val="006B6E8E"/>
    <w:rsid w:val="006C05A3"/>
    <w:rsid w:val="006D3C69"/>
    <w:rsid w:val="006E7042"/>
    <w:rsid w:val="0073269D"/>
    <w:rsid w:val="00773F68"/>
    <w:rsid w:val="007913D9"/>
    <w:rsid w:val="00793557"/>
    <w:rsid w:val="007A39BE"/>
    <w:rsid w:val="007C0824"/>
    <w:rsid w:val="0080240E"/>
    <w:rsid w:val="00850F71"/>
    <w:rsid w:val="00857C0F"/>
    <w:rsid w:val="008616B4"/>
    <w:rsid w:val="008817FA"/>
    <w:rsid w:val="008A4B0E"/>
    <w:rsid w:val="008B5F0C"/>
    <w:rsid w:val="008F2D24"/>
    <w:rsid w:val="00901C74"/>
    <w:rsid w:val="00945098"/>
    <w:rsid w:val="00945AC7"/>
    <w:rsid w:val="009A0484"/>
    <w:rsid w:val="009A3B20"/>
    <w:rsid w:val="00A122AF"/>
    <w:rsid w:val="00A31777"/>
    <w:rsid w:val="00A3694C"/>
    <w:rsid w:val="00A71027"/>
    <w:rsid w:val="00A80A0C"/>
    <w:rsid w:val="00A972CD"/>
    <w:rsid w:val="00AA33D5"/>
    <w:rsid w:val="00AC742C"/>
    <w:rsid w:val="00AF1891"/>
    <w:rsid w:val="00B014BE"/>
    <w:rsid w:val="00B04998"/>
    <w:rsid w:val="00B12E65"/>
    <w:rsid w:val="00B142A5"/>
    <w:rsid w:val="00B26AE1"/>
    <w:rsid w:val="00B272E7"/>
    <w:rsid w:val="00B55711"/>
    <w:rsid w:val="00B807B9"/>
    <w:rsid w:val="00BA3717"/>
    <w:rsid w:val="00BB761A"/>
    <w:rsid w:val="00BC32C0"/>
    <w:rsid w:val="00BD18B3"/>
    <w:rsid w:val="00BD76DD"/>
    <w:rsid w:val="00C122B6"/>
    <w:rsid w:val="00C263AA"/>
    <w:rsid w:val="00C3198E"/>
    <w:rsid w:val="00C33527"/>
    <w:rsid w:val="00C80719"/>
    <w:rsid w:val="00C9685D"/>
    <w:rsid w:val="00CA75E0"/>
    <w:rsid w:val="00CC72BA"/>
    <w:rsid w:val="00D166FD"/>
    <w:rsid w:val="00D743B1"/>
    <w:rsid w:val="00DA01D6"/>
    <w:rsid w:val="00DB5ADE"/>
    <w:rsid w:val="00DC24F4"/>
    <w:rsid w:val="00DE57C4"/>
    <w:rsid w:val="00DF56CD"/>
    <w:rsid w:val="00E645EE"/>
    <w:rsid w:val="00E65C43"/>
    <w:rsid w:val="00E71797"/>
    <w:rsid w:val="00EC5CEC"/>
    <w:rsid w:val="00ED37A9"/>
    <w:rsid w:val="00EF6EC3"/>
    <w:rsid w:val="00F4302C"/>
    <w:rsid w:val="00F452EB"/>
    <w:rsid w:val="00F86AA0"/>
    <w:rsid w:val="00F90405"/>
    <w:rsid w:val="00FA3EB4"/>
    <w:rsid w:val="00FB090B"/>
    <w:rsid w:val="00FC22FD"/>
    <w:rsid w:val="00FF5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0C94471-D83D-4F52-9B4A-B907F034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D4"/>
    <w:rPr>
      <w:rFonts w:ascii="Calibri" w:eastAsia="Calibri" w:hAnsi="Calibri"/>
      <w:sz w:val="22"/>
      <w:szCs w:val="22"/>
      <w:lang w:eastAsia="en-US"/>
    </w:rPr>
  </w:style>
  <w:style w:type="paragraph" w:styleId="Heading1">
    <w:name w:val="heading 1"/>
    <w:basedOn w:val="Normal"/>
    <w:next w:val="Normal"/>
    <w:link w:val="Heading1Char"/>
    <w:qFormat/>
    <w:rsid w:val="00272FD4"/>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FD4"/>
    <w:pPr>
      <w:tabs>
        <w:tab w:val="center" w:pos="4153"/>
        <w:tab w:val="right" w:pos="8306"/>
      </w:tabs>
      <w:snapToGrid w:val="0"/>
    </w:pPr>
    <w:rPr>
      <w:sz w:val="18"/>
      <w:szCs w:val="18"/>
    </w:rPr>
  </w:style>
  <w:style w:type="paragraph" w:styleId="Header">
    <w:name w:val="header"/>
    <w:basedOn w:val="Normal"/>
    <w:link w:val="HeaderChar"/>
    <w:uiPriority w:val="99"/>
    <w:unhideWhenUsed/>
    <w:rsid w:val="00272FD4"/>
    <w:pPr>
      <w:tabs>
        <w:tab w:val="center" w:pos="4153"/>
        <w:tab w:val="right" w:pos="8306"/>
      </w:tabs>
      <w:snapToGrid w:val="0"/>
    </w:pPr>
    <w:rPr>
      <w:sz w:val="18"/>
      <w:szCs w:val="18"/>
    </w:rPr>
  </w:style>
  <w:style w:type="paragraph" w:customStyle="1" w:styleId="naislab">
    <w:name w:val="naislab"/>
    <w:basedOn w:val="Normal"/>
    <w:rsid w:val="00272FD4"/>
    <w:pPr>
      <w:spacing w:before="75" w:after="75" w:line="240" w:lineRule="auto"/>
      <w:jc w:val="right"/>
    </w:pPr>
    <w:rPr>
      <w:rFonts w:ascii="Times New Roman" w:eastAsia="Times New Roman" w:hAnsi="Times New Roman"/>
      <w:sz w:val="24"/>
      <w:szCs w:val="24"/>
    </w:rPr>
  </w:style>
  <w:style w:type="paragraph" w:customStyle="1" w:styleId="naisf">
    <w:name w:val="naisf"/>
    <w:basedOn w:val="Normal"/>
    <w:rsid w:val="00272FD4"/>
    <w:pPr>
      <w:suppressAutoHyphens/>
      <w:spacing w:before="75" w:after="75" w:line="240" w:lineRule="auto"/>
      <w:ind w:firstLine="375"/>
      <w:jc w:val="both"/>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272FD4"/>
    <w:rPr>
      <w:rFonts w:ascii="Cambria" w:eastAsia="Times New Roman" w:hAnsi="Cambria" w:cs="Times New Roman"/>
      <w:b/>
      <w:bCs/>
      <w:kern w:val="32"/>
      <w:sz w:val="32"/>
      <w:szCs w:val="32"/>
    </w:rPr>
  </w:style>
  <w:style w:type="character" w:customStyle="1" w:styleId="HeaderChar">
    <w:name w:val="Header Char"/>
    <w:basedOn w:val="DefaultParagraphFont"/>
    <w:link w:val="Header"/>
    <w:uiPriority w:val="99"/>
    <w:rsid w:val="000F3843"/>
    <w:rPr>
      <w:rFonts w:ascii="Calibri" w:eastAsia="Calibri" w:hAnsi="Calibri"/>
      <w:sz w:val="18"/>
      <w:szCs w:val="18"/>
      <w:lang w:eastAsia="en-US"/>
    </w:rPr>
  </w:style>
  <w:style w:type="character" w:customStyle="1" w:styleId="FooterChar">
    <w:name w:val="Footer Char"/>
    <w:basedOn w:val="DefaultParagraphFont"/>
    <w:link w:val="Footer"/>
    <w:uiPriority w:val="99"/>
    <w:rsid w:val="0017308A"/>
    <w:rPr>
      <w:rFonts w:ascii="Calibri" w:eastAsia="Calibri" w:hAnsi="Calibri"/>
      <w:sz w:val="18"/>
      <w:szCs w:val="18"/>
      <w:lang w:eastAsia="en-US"/>
    </w:rPr>
  </w:style>
  <w:style w:type="paragraph" w:styleId="BalloonText">
    <w:name w:val="Balloon Text"/>
    <w:basedOn w:val="Normal"/>
    <w:link w:val="BalloonTextChar"/>
    <w:semiHidden/>
    <w:unhideWhenUsed/>
    <w:rsid w:val="0017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308A"/>
    <w:rPr>
      <w:rFonts w:ascii="Tahoma" w:eastAsia="Calibri" w:hAnsi="Tahoma" w:cs="Tahoma"/>
      <w:sz w:val="16"/>
      <w:szCs w:val="16"/>
      <w:lang w:eastAsia="en-US"/>
    </w:rPr>
  </w:style>
  <w:style w:type="paragraph" w:styleId="BodyText">
    <w:name w:val="Body Text"/>
    <w:basedOn w:val="Normal"/>
    <w:link w:val="BodyTextChar"/>
    <w:rsid w:val="001105EA"/>
    <w:pPr>
      <w:spacing w:after="120" w:line="240" w:lineRule="auto"/>
    </w:pPr>
    <w:rPr>
      <w:rFonts w:ascii="Times New Roman" w:eastAsia="Times New Roman" w:hAnsi="Times New Roman"/>
      <w:sz w:val="28"/>
      <w:szCs w:val="24"/>
      <w:lang w:val="lv-LV" w:eastAsia="lv-LV"/>
    </w:rPr>
  </w:style>
  <w:style w:type="character" w:customStyle="1" w:styleId="BodyTextChar">
    <w:name w:val="Body Text Char"/>
    <w:basedOn w:val="DefaultParagraphFont"/>
    <w:link w:val="BodyText"/>
    <w:rsid w:val="001105EA"/>
    <w:rPr>
      <w:rFonts w:eastAsia="Times New Roman"/>
      <w:sz w:val="28"/>
      <w:szCs w:val="24"/>
      <w:lang w:val="lv-LV" w:eastAsia="lv-LV"/>
    </w:rPr>
  </w:style>
  <w:style w:type="paragraph" w:styleId="HTMLPreformatted">
    <w:name w:val="HTML Preformatted"/>
    <w:basedOn w:val="Normal"/>
    <w:link w:val="HTMLPreformattedChar"/>
    <w:rsid w:val="0011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rsid w:val="001105EA"/>
    <w:rPr>
      <w:rFonts w:ascii="Courier New" w:eastAsia="Times New Roman" w:hAnsi="Courier New" w:cs="Courier New"/>
      <w:lang w:val="lv-LV" w:eastAsia="lv-LV"/>
    </w:rPr>
  </w:style>
  <w:style w:type="paragraph" w:styleId="CommentText">
    <w:name w:val="annotation text"/>
    <w:basedOn w:val="Normal"/>
    <w:link w:val="CommentTextChar"/>
    <w:uiPriority w:val="99"/>
    <w:semiHidden/>
    <w:unhideWhenUsed/>
    <w:rsid w:val="00523FB3"/>
    <w:pPr>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basedOn w:val="DefaultParagraphFont"/>
    <w:link w:val="CommentText"/>
    <w:uiPriority w:val="99"/>
    <w:semiHidden/>
    <w:rsid w:val="00523FB3"/>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ED434-5FAA-4E3A-9395-8E173528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4028</Words>
  <Characters>23969</Characters>
  <Application>Microsoft Office Word</Application>
  <DocSecurity>0</DocSecurity>
  <Lines>1498</Lines>
  <Paragraphs>482</Paragraphs>
  <ScaleCrop>false</ScaleCrop>
  <HeadingPairs>
    <vt:vector size="2" baseType="variant">
      <vt:variant>
        <vt:lpstr>Title</vt:lpstr>
      </vt:variant>
      <vt:variant>
        <vt:i4>1</vt:i4>
      </vt:variant>
    </vt:vector>
  </HeadingPairs>
  <TitlesOfParts>
    <vt:vector size="1" baseType="lpstr">
      <vt:lpstr>Pielikums</vt:lpstr>
    </vt:vector>
  </TitlesOfParts>
  <Company>IREN</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Ministru kabineta rīkojuma projekts „Grozījums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dc:subject>
  <dc:creator>Ramona Brivniece</dc:creator>
  <cp:keywords/>
  <dc:description>ramona.brivniece@pmlp.gov.lv
tālrunis 67219453</dc:description>
  <cp:lastModifiedBy>Biruta Pedane</cp:lastModifiedBy>
  <cp:revision>21</cp:revision>
  <cp:lastPrinted>2014-10-02T06:13:00Z</cp:lastPrinted>
  <dcterms:created xsi:type="dcterms:W3CDTF">2014-09-04T10:31:00Z</dcterms:created>
  <dcterms:modified xsi:type="dcterms:W3CDTF">2014-10-03T11:45:00Z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