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3" w:rsidRPr="007B13DB" w:rsidRDefault="00EB703B" w:rsidP="00C23AE3">
      <w:pPr>
        <w:pStyle w:val="NoSpacing1"/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2</w:t>
      </w:r>
      <w:r w:rsidR="00194D3B" w:rsidRPr="007B13DB">
        <w:rPr>
          <w:lang w:val="lv-LV"/>
        </w:rPr>
        <w:t>.p</w:t>
      </w:r>
      <w:r w:rsidR="008A4593" w:rsidRPr="007B13DB">
        <w:rPr>
          <w:lang w:val="lv-LV"/>
        </w:rPr>
        <w:t xml:space="preserve">ielikums </w:t>
      </w:r>
      <w:r w:rsidR="00C23AE3" w:rsidRPr="007B13DB">
        <w:rPr>
          <w:lang w:val="lv-LV"/>
        </w:rPr>
        <w:t xml:space="preserve">Ministru kabineta rīkojuma projekta </w:t>
      </w:r>
    </w:p>
    <w:p w:rsidR="008A4593" w:rsidRPr="007B13DB" w:rsidRDefault="00C23AE3" w:rsidP="008A4593">
      <w:pPr>
        <w:pStyle w:val="NoSpacing1"/>
        <w:jc w:val="right"/>
        <w:rPr>
          <w:lang w:val="lv-LV"/>
        </w:rPr>
      </w:pPr>
      <w:r w:rsidRPr="007B13DB">
        <w:rPr>
          <w:lang w:val="lv-LV"/>
        </w:rPr>
        <w:t xml:space="preserve"> </w:t>
      </w:r>
      <w:r w:rsidR="008A4593" w:rsidRPr="007B13DB">
        <w:rPr>
          <w:lang w:val="lv-LV"/>
        </w:rPr>
        <w:t xml:space="preserve">„Par finanšu līdzekļu piešķiršanu no </w:t>
      </w:r>
      <w:r w:rsidRPr="007B13DB">
        <w:rPr>
          <w:lang w:val="lv-LV"/>
        </w:rPr>
        <w:t>valsts budžeta</w:t>
      </w:r>
    </w:p>
    <w:p w:rsidR="008A4593" w:rsidRPr="007B13DB" w:rsidRDefault="008A4593" w:rsidP="008A4593">
      <w:pPr>
        <w:pStyle w:val="NoSpacing1"/>
        <w:jc w:val="right"/>
        <w:rPr>
          <w:lang w:val="lv-LV"/>
        </w:rPr>
      </w:pPr>
      <w:r w:rsidRPr="007B13DB">
        <w:rPr>
          <w:lang w:val="lv-LV"/>
        </w:rPr>
        <w:t>programmas „Līdzekļi</w:t>
      </w:r>
      <w:r w:rsidR="00C23AE3" w:rsidRPr="00C23AE3">
        <w:rPr>
          <w:lang w:val="lv-LV"/>
        </w:rPr>
        <w:t xml:space="preserve"> </w:t>
      </w:r>
      <w:r w:rsidR="00C23AE3" w:rsidRPr="007B13DB">
        <w:rPr>
          <w:lang w:val="lv-LV"/>
        </w:rPr>
        <w:t xml:space="preserve">neparedzētiem gadījumiem”” </w:t>
      </w:r>
    </w:p>
    <w:p w:rsidR="008A4593" w:rsidRDefault="00C23AE3" w:rsidP="008A4593">
      <w:pPr>
        <w:pStyle w:val="NoSpacing1"/>
        <w:jc w:val="right"/>
        <w:rPr>
          <w:lang w:val="lv-LV"/>
        </w:rPr>
      </w:pPr>
      <w:r w:rsidRPr="007B13DB">
        <w:rPr>
          <w:lang w:val="lv-LV"/>
        </w:rPr>
        <w:t xml:space="preserve">sākotnējās </w:t>
      </w:r>
      <w:r w:rsidR="008A4593" w:rsidRPr="007B13DB">
        <w:rPr>
          <w:lang w:val="lv-LV"/>
        </w:rPr>
        <w:t>ietekmes novērtējuma ziņojumam (anotācijai)</w:t>
      </w:r>
    </w:p>
    <w:p w:rsidR="00C23AE3" w:rsidRPr="007B13DB" w:rsidRDefault="00C23AE3" w:rsidP="008A4593">
      <w:pPr>
        <w:pStyle w:val="NoSpacing1"/>
        <w:jc w:val="right"/>
        <w:rPr>
          <w:lang w:val="lv-LV"/>
        </w:rPr>
      </w:pPr>
    </w:p>
    <w:p w:rsidR="007B13DB" w:rsidRDefault="007B13DB" w:rsidP="00C23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Nodrošinājuma valsts aģentūrai p</w:t>
      </w:r>
      <w:r w:rsidRPr="007B13DB">
        <w:rPr>
          <w:rFonts w:ascii="Times New Roman" w:hAnsi="Times New Roman"/>
          <w:b/>
          <w:sz w:val="28"/>
          <w:szCs w:val="28"/>
        </w:rPr>
        <w:t xml:space="preserve">apildus nepieciešamie </w:t>
      </w:r>
      <w:r w:rsidR="004F696D">
        <w:rPr>
          <w:rFonts w:ascii="Times New Roman" w:hAnsi="Times New Roman"/>
          <w:b/>
          <w:sz w:val="28"/>
          <w:szCs w:val="28"/>
        </w:rPr>
        <w:t xml:space="preserve">finanšu līdzekļi </w:t>
      </w:r>
      <w:r w:rsidRPr="007B13DB">
        <w:rPr>
          <w:rFonts w:ascii="Times New Roman" w:hAnsi="Times New Roman"/>
          <w:b/>
          <w:sz w:val="28"/>
          <w:szCs w:val="28"/>
        </w:rPr>
        <w:t>būvkonstrukcijas nostiprināšanas darbos iesaistīto darbinieku atlīdzībai un videonovērošanas iekārtu uzstādīšanai</w:t>
      </w:r>
      <w:r w:rsidR="0079528E" w:rsidRPr="0079528E">
        <w:rPr>
          <w:rFonts w:ascii="Times New Roman" w:hAnsi="Times New Roman"/>
          <w:b/>
          <w:sz w:val="28"/>
          <w:szCs w:val="28"/>
        </w:rPr>
        <w:t xml:space="preserve"> </w:t>
      </w:r>
      <w:r w:rsidR="0079528E">
        <w:rPr>
          <w:rFonts w:ascii="Times New Roman" w:hAnsi="Times New Roman"/>
          <w:b/>
          <w:sz w:val="28"/>
          <w:szCs w:val="28"/>
        </w:rPr>
        <w:t>Priedaines ielā 20, Rīgā</w:t>
      </w:r>
      <w:r w:rsidR="00A437F8">
        <w:rPr>
          <w:rFonts w:ascii="Times New Roman" w:hAnsi="Times New Roman"/>
          <w:b/>
          <w:sz w:val="28"/>
          <w:szCs w:val="28"/>
        </w:rPr>
        <w:t>.</w:t>
      </w:r>
    </w:p>
    <w:p w:rsidR="00C23AE3" w:rsidRDefault="00C23AE3" w:rsidP="00C23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3DB" w:rsidRPr="007B13DB" w:rsidRDefault="007B13DB" w:rsidP="007B13DB">
      <w:pPr>
        <w:jc w:val="both"/>
        <w:rPr>
          <w:rFonts w:ascii="Times New Roman" w:hAnsi="Times New Roman"/>
          <w:sz w:val="24"/>
          <w:szCs w:val="24"/>
        </w:rPr>
      </w:pPr>
      <w:r w:rsidRPr="007B13DB">
        <w:rPr>
          <w:rFonts w:ascii="Times New Roman" w:hAnsi="Times New Roman"/>
          <w:sz w:val="24"/>
          <w:szCs w:val="24"/>
        </w:rPr>
        <w:t>Budžeta apakšprogramma</w:t>
      </w:r>
      <w:r>
        <w:rPr>
          <w:rFonts w:ascii="Times New Roman" w:hAnsi="Times New Roman"/>
          <w:sz w:val="24"/>
          <w:szCs w:val="24"/>
        </w:rPr>
        <w:t xml:space="preserve">: </w:t>
      </w:r>
      <w:r w:rsidR="00C23AE3">
        <w:rPr>
          <w:rFonts w:ascii="Times New Roman" w:hAnsi="Times New Roman"/>
          <w:sz w:val="24"/>
          <w:szCs w:val="24"/>
        </w:rPr>
        <w:t>40.02.00 „</w:t>
      </w:r>
      <w:r w:rsidRPr="007B13DB">
        <w:rPr>
          <w:rFonts w:ascii="Times New Roman" w:hAnsi="Times New Roman"/>
          <w:sz w:val="24"/>
          <w:szCs w:val="24"/>
        </w:rPr>
        <w:t>Nekustamais īpašums un centralizētais iepir</w:t>
      </w:r>
      <w:r w:rsidR="00C23AE3">
        <w:rPr>
          <w:rFonts w:ascii="Times New Roman" w:hAnsi="Times New Roman"/>
          <w:sz w:val="24"/>
          <w:szCs w:val="24"/>
        </w:rPr>
        <w:t>kums”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09"/>
        <w:gridCol w:w="4483"/>
        <w:gridCol w:w="1470"/>
      </w:tblGrid>
      <w:tr w:rsidR="007B13DB" w:rsidRPr="007B13DB" w:rsidTr="008E765E">
        <w:trPr>
          <w:trHeight w:val="255"/>
        </w:trPr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7B13DB" w:rsidRPr="008E765E" w:rsidRDefault="007B13DB" w:rsidP="007B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Klasifikācijas </w:t>
            </w:r>
            <w:r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kods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7B13DB" w:rsidRPr="008E765E" w:rsidRDefault="007B13DB" w:rsidP="007B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Klasifikācijas koda </w:t>
            </w:r>
            <w:r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nosaukums</w:t>
            </w:r>
          </w:p>
        </w:tc>
        <w:tc>
          <w:tcPr>
            <w:tcW w:w="4483" w:type="dxa"/>
            <w:vMerge w:val="restart"/>
            <w:shd w:val="clear" w:color="auto" w:fill="auto"/>
            <w:vAlign w:val="center"/>
            <w:hideMark/>
          </w:tcPr>
          <w:p w:rsidR="007B13DB" w:rsidRPr="008E765E" w:rsidRDefault="007B13DB" w:rsidP="007B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Izmaksu aprēķins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80477" w:rsidRPr="008E765E" w:rsidRDefault="007B13DB" w:rsidP="00C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Papildus nepieciešamie līdzekļi </w:t>
            </w:r>
            <w:r w:rsidR="00480477"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(</w:t>
            </w:r>
            <w:proofErr w:type="spellStart"/>
            <w:r w:rsidR="00480477" w:rsidRPr="008E765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="00480477" w:rsidRPr="008E765E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)</w:t>
            </w:r>
          </w:p>
        </w:tc>
      </w:tr>
      <w:tr w:rsidR="007B13DB" w:rsidRPr="007B13DB" w:rsidTr="00C23AE3">
        <w:trPr>
          <w:trHeight w:val="519"/>
        </w:trPr>
        <w:tc>
          <w:tcPr>
            <w:tcW w:w="1267" w:type="dxa"/>
            <w:vMerge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B13DB" w:rsidRPr="007B13DB" w:rsidTr="008E765E">
        <w:trPr>
          <w:trHeight w:val="240"/>
        </w:trPr>
        <w:tc>
          <w:tcPr>
            <w:tcW w:w="1267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1000-5000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Izdevumi - kopā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7A5773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11 737</w:t>
            </w:r>
          </w:p>
        </w:tc>
      </w:tr>
      <w:tr w:rsidR="007B13DB" w:rsidRPr="007B13DB" w:rsidTr="008E765E">
        <w:trPr>
          <w:trHeight w:val="25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1000–2000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Kārtējie izdevumi 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8E765E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8 545</w:t>
            </w:r>
          </w:p>
        </w:tc>
      </w:tr>
      <w:tr w:rsidR="007B13DB" w:rsidRPr="007B13DB" w:rsidTr="008E765E">
        <w:trPr>
          <w:trHeight w:val="25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1000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8E765E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8 545</w:t>
            </w:r>
          </w:p>
        </w:tc>
      </w:tr>
      <w:tr w:rsidR="007B13DB" w:rsidRPr="007B13DB" w:rsidTr="008E765E">
        <w:trPr>
          <w:trHeight w:val="25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1100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8E765E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8E765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8E765E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6 914</w:t>
            </w:r>
          </w:p>
        </w:tc>
      </w:tr>
      <w:tr w:rsidR="007B13DB" w:rsidRPr="007B13DB" w:rsidTr="008E765E">
        <w:trPr>
          <w:trHeight w:val="385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7B13DB" w:rsidP="00A50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  <w:r w:rsidR="00A500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8E765E" w:rsidRDefault="00B93AC6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E76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633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Lai nodrošinātu Valsts policijā uzsāktā kriminālprocesa Nr.11511002713 ietvaros pagaidu būvkonstrukcijas izbūvi un projektēšanu Priedai</w:t>
            </w:r>
            <w:r w:rsidR="00C23AE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nes ielā 20, Rīgā, saskaņā ar Ministru kabineta</w:t>
            </w: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2013.gada 18.decembra rīkojumu Nr.648 „Par publisko iepirkumu attiecībā uz būvkonstrukciju nostiprināšanu, būvgružu pārvietošanu un apsardzes nodrošināšanu Priedaines ielā 20, Rīgā”</w:t>
            </w:r>
            <w:r w:rsidR="00C23AE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Nodrošinājuma valsts aģentūras</w:t>
            </w: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darbinieki tiek iesaistīti minētā objekta darbu organizēšanas un uzraudzības procesā, pildot pasūtītāju pārstāvju pienākumus. </w:t>
            </w:r>
            <w:r w:rsidR="005A34D9" w:rsidRPr="00355B47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lv-LV"/>
              </w:rPr>
              <w:t xml:space="preserve">Lai Aģentūra varētu nodrošināt darbiniekiem piemaksas par paveikto darbu </w:t>
            </w:r>
            <w:r w:rsidR="00925E97" w:rsidRPr="00355B47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lv-LV"/>
              </w:rPr>
              <w:t xml:space="preserve">ir nepieciešami papildus līdzekļi </w:t>
            </w:r>
            <w:r w:rsidR="00C23AE3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lv-LV"/>
              </w:rPr>
              <w:t>piemaksām četriem darbiniekiem.</w:t>
            </w:r>
            <w:r w:rsidR="005A34D9" w:rsidRPr="00355B47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lv-LV"/>
              </w:rPr>
              <w:t xml:space="preserve"> </w:t>
            </w:r>
            <w:r w:rsidR="00A437F8" w:rsidRPr="00355B47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lv-LV"/>
              </w:rPr>
              <w:t>(</w:t>
            </w:r>
            <w:r w:rsidR="006339CA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 w:themeFill="background1"/>
                <w:lang w:eastAsia="lv-LV"/>
              </w:rPr>
              <w:t>Aprēķins</w:t>
            </w:r>
            <w:r w:rsidR="002A79E5" w:rsidRPr="00355B47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 w:themeFill="background1"/>
                <w:lang w:eastAsia="lv-LV"/>
              </w:rPr>
              <w:t xml:space="preserve"> </w:t>
            </w:r>
            <w:r w:rsidR="006339CA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 w:themeFill="background1"/>
                <w:lang w:eastAsia="lv-LV"/>
              </w:rPr>
              <w:t>1.</w:t>
            </w:r>
            <w:r w:rsidR="002A79E5" w:rsidRPr="00355B47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 w:themeFill="background1"/>
                <w:lang w:eastAsia="lv-LV"/>
              </w:rPr>
              <w:t>tabul</w:t>
            </w:r>
            <w:r w:rsidR="00A437F8" w:rsidRPr="00355B47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 w:themeFill="background1"/>
                <w:lang w:eastAsia="lv-LV"/>
              </w:rPr>
              <w:t>ā).</w:t>
            </w:r>
            <w:r w:rsidR="00A04EDA" w:rsidRPr="00355B47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lv-LV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8E765E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6 914</w:t>
            </w:r>
          </w:p>
        </w:tc>
      </w:tr>
      <w:tr w:rsidR="007B13DB" w:rsidRPr="007B13DB" w:rsidTr="00C23AE3">
        <w:trPr>
          <w:trHeight w:val="586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Darba devēja valsts sociālās </w:t>
            </w: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br/>
              <w:t xml:space="preserve">iemaksas, sociāla rakstura </w:t>
            </w: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br/>
              <w:t>pabalsti un kompensācijas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8E765E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1 631</w:t>
            </w:r>
          </w:p>
        </w:tc>
      </w:tr>
      <w:tr w:rsidR="007B13DB" w:rsidRPr="007B13DB" w:rsidTr="008E765E">
        <w:trPr>
          <w:trHeight w:val="118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49043A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Nodokļa likme - 23,59 %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8E765E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1 631</w:t>
            </w:r>
          </w:p>
        </w:tc>
      </w:tr>
      <w:tr w:rsidR="007B13DB" w:rsidRPr="007B13DB" w:rsidTr="008E765E">
        <w:trPr>
          <w:trHeight w:val="25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EE7205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EE7205" w:rsidP="007B1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7B13DB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3 192</w:t>
            </w:r>
          </w:p>
        </w:tc>
      </w:tr>
      <w:tr w:rsidR="007B13DB" w:rsidRPr="007B13DB" w:rsidTr="008E765E">
        <w:trPr>
          <w:trHeight w:val="765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B13DB" w:rsidRPr="007B13DB" w:rsidRDefault="00EE7205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5240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B13DB" w:rsidRPr="007B13DB" w:rsidRDefault="00EE7205" w:rsidP="00E27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Pamatlīdzekļu izveidošana un nepabeigtā būvniecība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7B13DB" w:rsidRPr="007B13DB" w:rsidRDefault="007B13DB" w:rsidP="007B1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Pakalpojumi par videonovērošanas iekārtu uzstādīšanu Rīgā, Priedaines ielā 20, saskaņā ar 2014.gada 5.februāra  līgumu Nr. IeMNVA2014/1-Būv.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B13DB" w:rsidRPr="007B13DB" w:rsidRDefault="007B13DB" w:rsidP="00E7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B13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3192</w:t>
            </w:r>
          </w:p>
        </w:tc>
      </w:tr>
    </w:tbl>
    <w:p w:rsidR="00A437F8" w:rsidRDefault="00A437F8" w:rsidP="00C23AE3">
      <w:pPr>
        <w:spacing w:after="0" w:line="240" w:lineRule="auto"/>
        <w:jc w:val="right"/>
        <w:rPr>
          <w:rFonts w:ascii="Times New Roman" w:hAnsi="Times New Roman"/>
        </w:rPr>
      </w:pPr>
    </w:p>
    <w:p w:rsidR="00262F3D" w:rsidRDefault="00262F3D" w:rsidP="00C23AE3">
      <w:pPr>
        <w:spacing w:after="0" w:line="240" w:lineRule="auto"/>
        <w:jc w:val="right"/>
        <w:rPr>
          <w:rFonts w:ascii="Times New Roman" w:hAnsi="Times New Roman"/>
        </w:rPr>
      </w:pPr>
    </w:p>
    <w:p w:rsidR="00262F3D" w:rsidRDefault="00262F3D" w:rsidP="00C23AE3">
      <w:pPr>
        <w:spacing w:after="0" w:line="240" w:lineRule="auto"/>
        <w:jc w:val="right"/>
        <w:rPr>
          <w:rFonts w:ascii="Times New Roman" w:hAnsi="Times New Roman"/>
        </w:rPr>
      </w:pPr>
    </w:p>
    <w:p w:rsidR="006A470A" w:rsidRDefault="00C23AE3" w:rsidP="00C23A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1.t</w:t>
      </w:r>
      <w:r w:rsidR="006A470A">
        <w:rPr>
          <w:rFonts w:ascii="Times New Roman" w:hAnsi="Times New Roman"/>
        </w:rPr>
        <w:t>abula</w:t>
      </w:r>
    </w:p>
    <w:p w:rsidR="007C7400" w:rsidRPr="003D5AF2" w:rsidRDefault="00F02E0D" w:rsidP="00C23AE3">
      <w:pPr>
        <w:spacing w:after="0" w:line="240" w:lineRule="auto"/>
        <w:jc w:val="center"/>
        <w:rPr>
          <w:rFonts w:ascii="Times New Roman" w:hAnsi="Times New Roman"/>
        </w:rPr>
      </w:pPr>
      <w:r w:rsidRPr="003D5AF2">
        <w:rPr>
          <w:rFonts w:ascii="Times New Roman" w:hAnsi="Times New Roman"/>
        </w:rPr>
        <w:t>Piemaksas darbiniekiem</w:t>
      </w:r>
      <w:r w:rsidR="007C7400" w:rsidRPr="003D5AF2">
        <w:rPr>
          <w:rFonts w:ascii="Times New Roman" w:hAnsi="Times New Roman"/>
        </w:rPr>
        <w:t>, kas iesaistīt</w:t>
      </w:r>
      <w:r w:rsidRPr="003D5AF2">
        <w:rPr>
          <w:rFonts w:ascii="Times New Roman" w:hAnsi="Times New Roman"/>
        </w:rPr>
        <w:t>i</w:t>
      </w:r>
      <w:r w:rsidR="007C7400" w:rsidRPr="003D5AF2">
        <w:rPr>
          <w:rFonts w:ascii="Times New Roman" w:hAnsi="Times New Roman"/>
        </w:rPr>
        <w:t xml:space="preserve"> darbu organizēšanas un uzraudzības procesā, saskaņā ar Ministru kabineta 2013.gada 18.decembra rīkojumu Nr.648 „Par publisko iepirkumu attiecībā uz būvkonstrukciju</w:t>
      </w:r>
      <w:r w:rsidR="00624794" w:rsidRPr="003D5AF2">
        <w:rPr>
          <w:rFonts w:ascii="Times New Roman" w:hAnsi="Times New Roman"/>
        </w:rPr>
        <w:t xml:space="preserve"> nostiprināšanu, būvgružu pārvietošanu un apsardzes nodrošināšanu Priedaines ielā 20, Rīgā” </w:t>
      </w:r>
      <w:r w:rsidRPr="003D5AF2">
        <w:rPr>
          <w:rFonts w:ascii="Times New Roman" w:hAnsi="Times New Roman"/>
        </w:rPr>
        <w:t xml:space="preserve"> un aizvietošanā </w:t>
      </w:r>
      <w:r w:rsidR="00624794" w:rsidRPr="003D5AF2">
        <w:rPr>
          <w:rFonts w:ascii="Times New Roman" w:hAnsi="Times New Roman"/>
        </w:rPr>
        <w:t xml:space="preserve">laika periodā no </w:t>
      </w:r>
      <w:r w:rsidRPr="003D5AF2">
        <w:rPr>
          <w:rFonts w:ascii="Times New Roman" w:hAnsi="Times New Roman"/>
        </w:rPr>
        <w:t>01.02.2014.-</w:t>
      </w:r>
      <w:r w:rsidR="003D5AF2" w:rsidRPr="003D5AF2">
        <w:rPr>
          <w:rFonts w:ascii="Times New Roman" w:hAnsi="Times New Roman"/>
        </w:rPr>
        <w:t>3</w:t>
      </w:r>
      <w:r w:rsidRPr="003D5AF2">
        <w:rPr>
          <w:rFonts w:ascii="Times New Roman" w:hAnsi="Times New Roman"/>
        </w:rPr>
        <w:t>1.05.2014</w:t>
      </w:r>
      <w:r w:rsidR="006A470A" w:rsidRPr="003D5AF2">
        <w:rPr>
          <w:rFonts w:ascii="Times New Roman" w:hAnsi="Times New Roman"/>
        </w:rPr>
        <w:t>.</w:t>
      </w:r>
    </w:p>
    <w:p w:rsidR="003D5AF2" w:rsidRPr="003D5AF2" w:rsidRDefault="003D5AF2" w:rsidP="00C23AE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D5AF2">
        <w:rPr>
          <w:rFonts w:ascii="Times New Roman" w:hAnsi="Times New Roman"/>
          <w:i/>
          <w:sz w:val="18"/>
          <w:szCs w:val="18"/>
        </w:rPr>
        <w:t>euro</w:t>
      </w:r>
      <w:proofErr w:type="spellEnd"/>
    </w:p>
    <w:tbl>
      <w:tblPr>
        <w:tblStyle w:val="TableGrid"/>
        <w:tblW w:w="9161" w:type="dxa"/>
        <w:tblLayout w:type="fixed"/>
        <w:tblLook w:val="04A0" w:firstRow="1" w:lastRow="0" w:firstColumn="1" w:lastColumn="0" w:noHBand="0" w:noVBand="1"/>
      </w:tblPr>
      <w:tblGrid>
        <w:gridCol w:w="1115"/>
        <w:gridCol w:w="550"/>
        <w:gridCol w:w="455"/>
        <w:gridCol w:w="574"/>
        <w:gridCol w:w="861"/>
        <w:gridCol w:w="1148"/>
        <w:gridCol w:w="1075"/>
        <w:gridCol w:w="1134"/>
        <w:gridCol w:w="1276"/>
        <w:gridCol w:w="973"/>
      </w:tblGrid>
      <w:tr w:rsidR="003D5AF2" w:rsidRPr="00B536F3" w:rsidTr="00C23AE3">
        <w:trPr>
          <w:cantSplit/>
          <w:trHeight w:val="1146"/>
        </w:trPr>
        <w:tc>
          <w:tcPr>
            <w:tcW w:w="1115" w:type="dxa"/>
          </w:tcPr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Amata nosaukums</w:t>
            </w:r>
          </w:p>
        </w:tc>
        <w:tc>
          <w:tcPr>
            <w:tcW w:w="550" w:type="dxa"/>
            <w:textDirection w:val="tbRl"/>
            <w:vAlign w:val="center"/>
          </w:tcPr>
          <w:p w:rsidR="003D5AF2" w:rsidRPr="003D5AF2" w:rsidRDefault="003D5AF2" w:rsidP="007E097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Amatu saime*</w:t>
            </w:r>
          </w:p>
        </w:tc>
        <w:tc>
          <w:tcPr>
            <w:tcW w:w="455" w:type="dxa"/>
            <w:textDirection w:val="tbRl"/>
            <w:vAlign w:val="center"/>
          </w:tcPr>
          <w:p w:rsidR="003D5AF2" w:rsidRPr="003D5AF2" w:rsidRDefault="003D5AF2" w:rsidP="007E097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7E097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Līmenis*</w:t>
            </w:r>
          </w:p>
        </w:tc>
        <w:tc>
          <w:tcPr>
            <w:tcW w:w="574" w:type="dxa"/>
            <w:textDirection w:val="tbRl"/>
            <w:vAlign w:val="center"/>
          </w:tcPr>
          <w:p w:rsidR="003D5AF2" w:rsidRPr="003D5AF2" w:rsidRDefault="003D5AF2" w:rsidP="007E097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7E097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Kategorija*</w:t>
            </w:r>
          </w:p>
        </w:tc>
        <w:tc>
          <w:tcPr>
            <w:tcW w:w="861" w:type="dxa"/>
            <w:vAlign w:val="center"/>
          </w:tcPr>
          <w:p w:rsidR="003D5AF2" w:rsidRPr="003D5AF2" w:rsidRDefault="003D5AF2" w:rsidP="00931A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931A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3D5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5AF2">
              <w:rPr>
                <w:rFonts w:ascii="Times New Roman" w:hAnsi="Times New Roman"/>
                <w:sz w:val="18"/>
                <w:szCs w:val="18"/>
              </w:rPr>
              <w:t>Mēneš-alga¹</w:t>
            </w:r>
            <w:proofErr w:type="spellEnd"/>
          </w:p>
        </w:tc>
        <w:tc>
          <w:tcPr>
            <w:tcW w:w="1148" w:type="dxa"/>
            <w:vAlign w:val="center"/>
          </w:tcPr>
          <w:p w:rsidR="003D5AF2" w:rsidRDefault="003D5AF2" w:rsidP="00931A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Piemaksas²</w:t>
            </w:r>
          </w:p>
          <w:p w:rsidR="008E765E" w:rsidRPr="003D5AF2" w:rsidRDefault="008E765E" w:rsidP="00931A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1140.IKK</w:t>
            </w:r>
          </w:p>
        </w:tc>
        <w:tc>
          <w:tcPr>
            <w:tcW w:w="1075" w:type="dxa"/>
            <w:vAlign w:val="center"/>
          </w:tcPr>
          <w:p w:rsidR="003D5AF2" w:rsidRPr="003D5AF2" w:rsidRDefault="003D5AF2" w:rsidP="00931A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Periods</w:t>
            </w:r>
          </w:p>
          <w:p w:rsidR="003D5AF2" w:rsidRPr="003D5AF2" w:rsidRDefault="003D5AF2" w:rsidP="003D5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no 01.02.2014.-31.05.2014.</w:t>
            </w:r>
          </w:p>
        </w:tc>
        <w:tc>
          <w:tcPr>
            <w:tcW w:w="1134" w:type="dxa"/>
            <w:vAlign w:val="center"/>
          </w:tcPr>
          <w:p w:rsidR="003D5AF2" w:rsidRPr="003D5AF2" w:rsidRDefault="003D5AF2" w:rsidP="0067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Kopā piemaks</w:t>
            </w:r>
            <w:r w:rsidR="00603110">
              <w:rPr>
                <w:rFonts w:ascii="Times New Roman" w:hAnsi="Times New Roman"/>
                <w:sz w:val="18"/>
                <w:szCs w:val="18"/>
              </w:rPr>
              <w:t>as par periodu no 01.02.2014.-31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.05.2014.</w:t>
            </w:r>
          </w:p>
        </w:tc>
        <w:tc>
          <w:tcPr>
            <w:tcW w:w="1276" w:type="dxa"/>
          </w:tcPr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1210</w:t>
            </w:r>
            <w:r w:rsidR="008E765E">
              <w:rPr>
                <w:rFonts w:ascii="Times New Roman" w:hAnsi="Times New Roman"/>
                <w:sz w:val="18"/>
                <w:szCs w:val="18"/>
              </w:rPr>
              <w:t>.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 xml:space="preserve">IKK Darba devēja valsts sociālās apdrošināšanas obligātās iemaksas </w:t>
            </w:r>
          </w:p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</w:tcPr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Default="008E765E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1000.IKK</w:t>
            </w:r>
          </w:p>
          <w:p w:rsidR="008E765E" w:rsidRDefault="008E765E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65E" w:rsidRDefault="008E765E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Atlīdzība-</w:t>
            </w:r>
          </w:p>
          <w:p w:rsidR="008E765E" w:rsidRDefault="008E765E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AF2" w:rsidRPr="003D5AF2" w:rsidRDefault="003D5AF2" w:rsidP="00323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3D5AF2" w:rsidRPr="003D5AF2" w:rsidTr="006339CA">
        <w:trPr>
          <w:trHeight w:val="404"/>
        </w:trPr>
        <w:tc>
          <w:tcPr>
            <w:tcW w:w="111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Projekta vadītājs</w:t>
            </w:r>
          </w:p>
        </w:tc>
        <w:tc>
          <w:tcPr>
            <w:tcW w:w="550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57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1 281.00</w:t>
            </w:r>
          </w:p>
        </w:tc>
        <w:tc>
          <w:tcPr>
            <w:tcW w:w="1148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640.50</w:t>
            </w:r>
          </w:p>
        </w:tc>
        <w:tc>
          <w:tcPr>
            <w:tcW w:w="107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2 562.00</w:t>
            </w:r>
          </w:p>
        </w:tc>
        <w:tc>
          <w:tcPr>
            <w:tcW w:w="1276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604,38</w:t>
            </w:r>
          </w:p>
        </w:tc>
        <w:tc>
          <w:tcPr>
            <w:tcW w:w="973" w:type="dxa"/>
            <w:vAlign w:val="center"/>
          </w:tcPr>
          <w:p w:rsidR="003D5AF2" w:rsidRPr="003D5AF2" w:rsidRDefault="0049043A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3166,38</w:t>
            </w:r>
          </w:p>
        </w:tc>
      </w:tr>
      <w:tr w:rsidR="003D5AF2" w:rsidRPr="003D5AF2" w:rsidTr="006339CA">
        <w:trPr>
          <w:trHeight w:val="444"/>
        </w:trPr>
        <w:tc>
          <w:tcPr>
            <w:tcW w:w="111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Projekta vadītājs</w:t>
            </w:r>
          </w:p>
        </w:tc>
        <w:tc>
          <w:tcPr>
            <w:tcW w:w="550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57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830.00</w:t>
            </w:r>
          </w:p>
        </w:tc>
        <w:tc>
          <w:tcPr>
            <w:tcW w:w="1148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415.00</w:t>
            </w:r>
          </w:p>
        </w:tc>
        <w:tc>
          <w:tcPr>
            <w:tcW w:w="107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1 660.00</w:t>
            </w:r>
          </w:p>
        </w:tc>
        <w:tc>
          <w:tcPr>
            <w:tcW w:w="1276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391</w:t>
            </w:r>
            <w:r w:rsidR="0049043A">
              <w:rPr>
                <w:rFonts w:ascii="Times New Roman" w:hAnsi="Times New Roman"/>
                <w:sz w:val="18"/>
                <w:szCs w:val="18"/>
              </w:rPr>
              <w:t>,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73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2</w:t>
            </w:r>
            <w:r w:rsidR="004904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051</w:t>
            </w:r>
            <w:r w:rsidR="0049043A">
              <w:rPr>
                <w:rFonts w:ascii="Times New Roman" w:hAnsi="Times New Roman"/>
                <w:sz w:val="18"/>
                <w:szCs w:val="18"/>
              </w:rPr>
              <w:t>,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3D5AF2" w:rsidRPr="003D5AF2" w:rsidTr="006339CA">
        <w:trPr>
          <w:trHeight w:val="195"/>
        </w:trPr>
        <w:tc>
          <w:tcPr>
            <w:tcW w:w="111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Projekta vadītāja asistents</w:t>
            </w:r>
          </w:p>
        </w:tc>
        <w:tc>
          <w:tcPr>
            <w:tcW w:w="550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:rsidR="003D5AF2" w:rsidRPr="003D5AF2" w:rsidRDefault="0049043A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IIB</w:t>
            </w:r>
          </w:p>
        </w:tc>
        <w:tc>
          <w:tcPr>
            <w:tcW w:w="57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634.00</w:t>
            </w:r>
          </w:p>
        </w:tc>
        <w:tc>
          <w:tcPr>
            <w:tcW w:w="1148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317.00</w:t>
            </w:r>
          </w:p>
        </w:tc>
        <w:tc>
          <w:tcPr>
            <w:tcW w:w="107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1 268.00</w:t>
            </w:r>
          </w:p>
        </w:tc>
        <w:tc>
          <w:tcPr>
            <w:tcW w:w="1276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299,12</w:t>
            </w:r>
          </w:p>
        </w:tc>
        <w:tc>
          <w:tcPr>
            <w:tcW w:w="973" w:type="dxa"/>
            <w:vAlign w:val="center"/>
          </w:tcPr>
          <w:p w:rsidR="003D5AF2" w:rsidRPr="003D5AF2" w:rsidRDefault="0049043A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1567,12</w:t>
            </w:r>
          </w:p>
        </w:tc>
      </w:tr>
      <w:tr w:rsidR="003D5AF2" w:rsidRPr="003D5AF2" w:rsidTr="006339CA">
        <w:trPr>
          <w:trHeight w:val="216"/>
        </w:trPr>
        <w:tc>
          <w:tcPr>
            <w:tcW w:w="111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Enerģētiķis</w:t>
            </w:r>
          </w:p>
        </w:tc>
        <w:tc>
          <w:tcPr>
            <w:tcW w:w="550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7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712.00</w:t>
            </w:r>
          </w:p>
        </w:tc>
        <w:tc>
          <w:tcPr>
            <w:tcW w:w="1148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356.00</w:t>
            </w:r>
          </w:p>
        </w:tc>
        <w:tc>
          <w:tcPr>
            <w:tcW w:w="107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1 424.00</w:t>
            </w:r>
          </w:p>
        </w:tc>
        <w:tc>
          <w:tcPr>
            <w:tcW w:w="1276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335</w:t>
            </w:r>
            <w:r w:rsidR="0049043A">
              <w:rPr>
                <w:rFonts w:ascii="Times New Roman" w:hAnsi="Times New Roman"/>
                <w:sz w:val="18"/>
                <w:szCs w:val="18"/>
              </w:rPr>
              <w:t>,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73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AF2">
              <w:rPr>
                <w:rFonts w:ascii="Times New Roman" w:hAnsi="Times New Roman"/>
                <w:sz w:val="18"/>
                <w:szCs w:val="18"/>
              </w:rPr>
              <w:t>1</w:t>
            </w:r>
            <w:r w:rsidR="004904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759</w:t>
            </w:r>
            <w:r w:rsidR="0049043A">
              <w:rPr>
                <w:rFonts w:ascii="Times New Roman" w:hAnsi="Times New Roman"/>
                <w:sz w:val="18"/>
                <w:szCs w:val="18"/>
              </w:rPr>
              <w:t>,</w:t>
            </w:r>
            <w:r w:rsidRPr="003D5AF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3D5AF2" w:rsidRPr="003D5AF2" w:rsidTr="006339CA">
        <w:trPr>
          <w:trHeight w:val="379"/>
        </w:trPr>
        <w:tc>
          <w:tcPr>
            <w:tcW w:w="111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5AF2">
              <w:rPr>
                <w:rFonts w:ascii="Times New Roman" w:hAnsi="Times New Roman"/>
                <w:b/>
                <w:sz w:val="18"/>
                <w:szCs w:val="18"/>
              </w:rPr>
              <w:t>KOPĀ</w:t>
            </w:r>
          </w:p>
        </w:tc>
        <w:tc>
          <w:tcPr>
            <w:tcW w:w="550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5A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E765E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D5AF2">
              <w:rPr>
                <w:rFonts w:ascii="Times New Roman" w:hAnsi="Times New Roman"/>
                <w:b/>
                <w:sz w:val="18"/>
                <w:szCs w:val="18"/>
              </w:rPr>
              <w:t>728</w:t>
            </w:r>
            <w:r w:rsidR="008E765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D5A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5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5AF2">
              <w:rPr>
                <w:rFonts w:ascii="Times New Roman" w:hAnsi="Times New Roman"/>
                <w:b/>
                <w:sz w:val="18"/>
                <w:szCs w:val="18"/>
              </w:rPr>
              <w:t>6 914.00</w:t>
            </w:r>
          </w:p>
        </w:tc>
        <w:tc>
          <w:tcPr>
            <w:tcW w:w="1276" w:type="dxa"/>
            <w:vAlign w:val="center"/>
          </w:tcPr>
          <w:p w:rsidR="003D5AF2" w:rsidRPr="003D5AF2" w:rsidRDefault="003D5AF2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1631,0</w:t>
            </w:r>
          </w:p>
        </w:tc>
        <w:tc>
          <w:tcPr>
            <w:tcW w:w="973" w:type="dxa"/>
            <w:vAlign w:val="center"/>
          </w:tcPr>
          <w:p w:rsidR="003D5AF2" w:rsidRPr="003D5AF2" w:rsidRDefault="0049043A" w:rsidP="00633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8545,0</w:t>
            </w:r>
          </w:p>
        </w:tc>
      </w:tr>
    </w:tbl>
    <w:p w:rsidR="003239D5" w:rsidRPr="003D5AF2" w:rsidRDefault="006317CD" w:rsidP="00C23A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5AF2">
        <w:rPr>
          <w:rFonts w:ascii="Times New Roman" w:hAnsi="Times New Roman"/>
          <w:sz w:val="18"/>
          <w:szCs w:val="18"/>
        </w:rPr>
        <w:t>¹</w:t>
      </w:r>
      <w:r w:rsidR="00A74C36" w:rsidRPr="003D5AF2">
        <w:rPr>
          <w:rFonts w:ascii="Times New Roman" w:hAnsi="Times New Roman"/>
          <w:sz w:val="18"/>
          <w:szCs w:val="18"/>
        </w:rPr>
        <w:t>Faktiskais darbinieku a</w:t>
      </w:r>
      <w:r w:rsidR="00691948" w:rsidRPr="003D5AF2">
        <w:rPr>
          <w:rFonts w:ascii="Times New Roman" w:hAnsi="Times New Roman"/>
          <w:sz w:val="18"/>
          <w:szCs w:val="18"/>
        </w:rPr>
        <w:t>talgojuma apmērs</w:t>
      </w:r>
      <w:r w:rsidR="00A74C36" w:rsidRPr="003D5AF2">
        <w:rPr>
          <w:rFonts w:ascii="Times New Roman" w:hAnsi="Times New Roman"/>
          <w:sz w:val="18"/>
          <w:szCs w:val="18"/>
        </w:rPr>
        <w:t xml:space="preserve">, kas </w:t>
      </w:r>
      <w:r w:rsidR="00691948" w:rsidRPr="003D5AF2">
        <w:rPr>
          <w:rFonts w:ascii="Times New Roman" w:hAnsi="Times New Roman"/>
          <w:sz w:val="18"/>
          <w:szCs w:val="18"/>
        </w:rPr>
        <w:t xml:space="preserve"> noteikts </w:t>
      </w:r>
      <w:r w:rsidR="006528DE" w:rsidRPr="003D5AF2">
        <w:rPr>
          <w:rFonts w:ascii="Times New Roman" w:hAnsi="Times New Roman"/>
          <w:sz w:val="18"/>
          <w:szCs w:val="18"/>
        </w:rPr>
        <w:t>saskaņā</w:t>
      </w:r>
      <w:r w:rsidR="00691948" w:rsidRPr="003D5AF2">
        <w:rPr>
          <w:rFonts w:ascii="Times New Roman" w:hAnsi="Times New Roman"/>
          <w:sz w:val="18"/>
          <w:szCs w:val="18"/>
        </w:rPr>
        <w:t xml:space="preserve"> </w:t>
      </w:r>
      <w:r w:rsidR="006528DE" w:rsidRPr="003D5AF2">
        <w:rPr>
          <w:rFonts w:ascii="Times New Roman" w:hAnsi="Times New Roman"/>
          <w:sz w:val="18"/>
          <w:szCs w:val="18"/>
        </w:rPr>
        <w:t xml:space="preserve">ar </w:t>
      </w:r>
      <w:r w:rsidR="00691948" w:rsidRPr="003D5AF2">
        <w:rPr>
          <w:rFonts w:ascii="Times New Roman" w:hAnsi="Times New Roman"/>
          <w:sz w:val="18"/>
          <w:szCs w:val="18"/>
        </w:rPr>
        <w:t>2013.gada 29.janv</w:t>
      </w:r>
      <w:r w:rsidR="006528DE" w:rsidRPr="003D5AF2">
        <w:rPr>
          <w:rFonts w:ascii="Times New Roman" w:hAnsi="Times New Roman"/>
          <w:sz w:val="18"/>
          <w:szCs w:val="18"/>
        </w:rPr>
        <w:t>āra Ministru kabineta noteikum</w:t>
      </w:r>
      <w:r w:rsidR="005D76E3" w:rsidRPr="003D5AF2">
        <w:rPr>
          <w:rFonts w:ascii="Times New Roman" w:hAnsi="Times New Roman"/>
          <w:sz w:val="18"/>
          <w:szCs w:val="18"/>
        </w:rPr>
        <w:t>u</w:t>
      </w:r>
      <w:r w:rsidR="006528DE" w:rsidRPr="003D5AF2">
        <w:rPr>
          <w:rFonts w:ascii="Times New Roman" w:hAnsi="Times New Roman"/>
          <w:sz w:val="18"/>
          <w:szCs w:val="18"/>
        </w:rPr>
        <w:t xml:space="preserve"> Nr.66 „Noteikumi par valsts un pašvaldību institūciju amatpersonu un darbinieku darba samaksu un tās noteikšanas kārtību</w:t>
      </w:r>
      <w:r w:rsidR="005D76E3" w:rsidRPr="003D5AF2">
        <w:rPr>
          <w:rFonts w:ascii="Times New Roman" w:hAnsi="Times New Roman"/>
          <w:sz w:val="18"/>
          <w:szCs w:val="18"/>
        </w:rPr>
        <w:t>” prasībām, atbilstoši darbinieka kvalifikācijai</w:t>
      </w:r>
      <w:r w:rsidR="008929A2" w:rsidRPr="003D5AF2">
        <w:rPr>
          <w:rFonts w:ascii="Times New Roman" w:hAnsi="Times New Roman"/>
          <w:sz w:val="18"/>
          <w:szCs w:val="18"/>
        </w:rPr>
        <w:t>, izglītībai un darba pieredzei;</w:t>
      </w:r>
    </w:p>
    <w:p w:rsidR="006317CD" w:rsidRPr="003D5AF2" w:rsidRDefault="006317CD" w:rsidP="00C23A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5AF2">
        <w:rPr>
          <w:rFonts w:ascii="Times New Roman" w:hAnsi="Times New Roman"/>
          <w:sz w:val="18"/>
          <w:szCs w:val="18"/>
        </w:rPr>
        <w:t>²</w:t>
      </w:r>
      <w:r w:rsidR="00E50DCE" w:rsidRPr="003D5AF2">
        <w:rPr>
          <w:rFonts w:ascii="Times New Roman" w:hAnsi="Times New Roman"/>
          <w:sz w:val="18"/>
          <w:szCs w:val="18"/>
        </w:rPr>
        <w:t xml:space="preserve">Aprēķins ir veikts pamatojoties uz </w:t>
      </w:r>
      <w:r w:rsidRPr="003D5AF2">
        <w:rPr>
          <w:rFonts w:ascii="Times New Roman" w:hAnsi="Times New Roman"/>
          <w:sz w:val="18"/>
          <w:szCs w:val="18"/>
        </w:rPr>
        <w:t xml:space="preserve"> Valsts un pašvaldību institūciju </w:t>
      </w:r>
      <w:r w:rsidR="007A62FB" w:rsidRPr="003D5AF2">
        <w:rPr>
          <w:rFonts w:ascii="Times New Roman" w:hAnsi="Times New Roman"/>
          <w:sz w:val="18"/>
          <w:szCs w:val="18"/>
        </w:rPr>
        <w:t xml:space="preserve">amatpersonu un darbinieku </w:t>
      </w:r>
      <w:r w:rsidR="00A500B2" w:rsidRPr="003D5AF2">
        <w:rPr>
          <w:rFonts w:ascii="Times New Roman" w:hAnsi="Times New Roman"/>
          <w:sz w:val="18"/>
          <w:szCs w:val="18"/>
        </w:rPr>
        <w:t>atlīdzības likuma 14.panta 1.</w:t>
      </w:r>
      <w:r w:rsidR="00C23AE3">
        <w:rPr>
          <w:rFonts w:ascii="Times New Roman" w:hAnsi="Times New Roman"/>
          <w:sz w:val="18"/>
          <w:szCs w:val="18"/>
        </w:rPr>
        <w:t>daļā</w:t>
      </w:r>
      <w:r w:rsidR="00FB6DFB" w:rsidRPr="003D5AF2">
        <w:rPr>
          <w:rFonts w:ascii="Times New Roman" w:hAnsi="Times New Roman"/>
          <w:sz w:val="18"/>
          <w:szCs w:val="18"/>
        </w:rPr>
        <w:t xml:space="preserve"> noteikto piemaksu par papildus darbu amata aprakstā noteiktajiem pienākumiem 30% apmērā no darbiniekam noteiktās mēnešalgas un </w:t>
      </w:r>
      <w:r w:rsidR="00C23AE3">
        <w:rPr>
          <w:rFonts w:ascii="Times New Roman" w:hAnsi="Times New Roman"/>
          <w:sz w:val="18"/>
          <w:szCs w:val="18"/>
        </w:rPr>
        <w:t>12.daļā</w:t>
      </w:r>
      <w:r w:rsidR="00A500B2" w:rsidRPr="003D5AF2">
        <w:rPr>
          <w:rFonts w:ascii="Times New Roman" w:hAnsi="Times New Roman"/>
          <w:sz w:val="18"/>
          <w:szCs w:val="18"/>
        </w:rPr>
        <w:t xml:space="preserve"> </w:t>
      </w:r>
      <w:r w:rsidR="00FB6DFB" w:rsidRPr="003D5AF2">
        <w:rPr>
          <w:rFonts w:ascii="Times New Roman" w:hAnsi="Times New Roman"/>
          <w:sz w:val="18"/>
          <w:szCs w:val="18"/>
        </w:rPr>
        <w:t xml:space="preserve">noteikto piemaksu </w:t>
      </w:r>
      <w:r w:rsidR="009B5090" w:rsidRPr="003D5AF2">
        <w:rPr>
          <w:rFonts w:ascii="Times New Roman" w:hAnsi="Times New Roman"/>
          <w:sz w:val="18"/>
          <w:szCs w:val="18"/>
        </w:rPr>
        <w:t xml:space="preserve">par personīgā darba ieguldījumu 20% </w:t>
      </w:r>
      <w:r w:rsidR="001453DF" w:rsidRPr="003D5AF2">
        <w:rPr>
          <w:rFonts w:ascii="Times New Roman" w:hAnsi="Times New Roman"/>
          <w:sz w:val="18"/>
          <w:szCs w:val="18"/>
        </w:rPr>
        <w:t xml:space="preserve">apmērā </w:t>
      </w:r>
      <w:r w:rsidR="009B5090" w:rsidRPr="003D5AF2">
        <w:rPr>
          <w:rFonts w:ascii="Times New Roman" w:hAnsi="Times New Roman"/>
          <w:sz w:val="18"/>
          <w:szCs w:val="18"/>
        </w:rPr>
        <w:t>no darbiniekam noteiktās mēnešalgas, līdz ar to kopējais p</w:t>
      </w:r>
      <w:r w:rsidR="00C23AE3">
        <w:rPr>
          <w:rFonts w:ascii="Times New Roman" w:hAnsi="Times New Roman"/>
          <w:sz w:val="18"/>
          <w:szCs w:val="18"/>
        </w:rPr>
        <w:t>iemaksu apmērs atbilst 13.daļā</w:t>
      </w:r>
      <w:r w:rsidR="009B5090" w:rsidRPr="003D5AF2">
        <w:rPr>
          <w:rFonts w:ascii="Times New Roman" w:hAnsi="Times New Roman"/>
          <w:sz w:val="18"/>
          <w:szCs w:val="18"/>
        </w:rPr>
        <w:t xml:space="preserve"> noteiktajam un sastāda 50% apmērā no </w:t>
      </w:r>
      <w:r w:rsidR="00523E46" w:rsidRPr="003D5AF2">
        <w:rPr>
          <w:rFonts w:ascii="Times New Roman" w:hAnsi="Times New Roman"/>
          <w:sz w:val="18"/>
          <w:szCs w:val="18"/>
        </w:rPr>
        <w:t>darbiniek</w:t>
      </w:r>
      <w:r w:rsidR="009B5090" w:rsidRPr="003D5AF2">
        <w:rPr>
          <w:rFonts w:ascii="Times New Roman" w:hAnsi="Times New Roman"/>
          <w:sz w:val="18"/>
          <w:szCs w:val="18"/>
        </w:rPr>
        <w:t xml:space="preserve">am </w:t>
      </w:r>
      <w:r w:rsidR="00523E46" w:rsidRPr="003D5AF2">
        <w:rPr>
          <w:rFonts w:ascii="Times New Roman" w:hAnsi="Times New Roman"/>
          <w:sz w:val="18"/>
          <w:szCs w:val="18"/>
        </w:rPr>
        <w:t xml:space="preserve"> noteiktās mēnešalgas</w:t>
      </w:r>
      <w:r w:rsidR="009B5090" w:rsidRPr="003D5AF2">
        <w:rPr>
          <w:rFonts w:ascii="Times New Roman" w:hAnsi="Times New Roman"/>
          <w:sz w:val="18"/>
          <w:szCs w:val="18"/>
        </w:rPr>
        <w:t>.</w:t>
      </w:r>
      <w:r w:rsidR="00523E46" w:rsidRPr="003D5AF2">
        <w:rPr>
          <w:rFonts w:ascii="Times New Roman" w:hAnsi="Times New Roman"/>
          <w:sz w:val="18"/>
          <w:szCs w:val="18"/>
        </w:rPr>
        <w:t xml:space="preserve"> </w:t>
      </w:r>
      <w:r w:rsidR="00523E46" w:rsidRPr="003D5AF2">
        <w:rPr>
          <w:rFonts w:ascii="Times New Roman" w:hAnsi="Times New Roman"/>
          <w:i/>
          <w:sz w:val="18"/>
          <w:szCs w:val="18"/>
        </w:rPr>
        <w:t xml:space="preserve">(Piemaksa = </w:t>
      </w:r>
      <w:r w:rsidR="009B5090" w:rsidRPr="003D5AF2">
        <w:rPr>
          <w:rFonts w:ascii="Times New Roman" w:hAnsi="Times New Roman"/>
          <w:i/>
          <w:sz w:val="18"/>
          <w:szCs w:val="18"/>
        </w:rPr>
        <w:t>attiecīgā</w:t>
      </w:r>
      <w:r w:rsidR="003A4F15" w:rsidRPr="003D5AF2">
        <w:rPr>
          <w:rFonts w:ascii="Times New Roman" w:hAnsi="Times New Roman"/>
          <w:i/>
          <w:sz w:val="18"/>
          <w:szCs w:val="18"/>
        </w:rPr>
        <w:t xml:space="preserve"> darbinieka </w:t>
      </w:r>
      <w:r w:rsidR="009B5090" w:rsidRPr="003D5AF2">
        <w:rPr>
          <w:rFonts w:ascii="Times New Roman" w:hAnsi="Times New Roman"/>
          <w:i/>
          <w:sz w:val="18"/>
          <w:szCs w:val="18"/>
        </w:rPr>
        <w:t xml:space="preserve"> </w:t>
      </w:r>
      <w:r w:rsidR="00523E46" w:rsidRPr="003D5AF2">
        <w:rPr>
          <w:rFonts w:ascii="Times New Roman" w:hAnsi="Times New Roman"/>
          <w:i/>
          <w:sz w:val="18"/>
          <w:szCs w:val="18"/>
        </w:rPr>
        <w:t xml:space="preserve">amatalga </w:t>
      </w:r>
      <w:r w:rsidR="001453DF" w:rsidRPr="003D5AF2">
        <w:rPr>
          <w:rFonts w:ascii="Times New Roman" w:hAnsi="Times New Roman"/>
          <w:i/>
          <w:sz w:val="18"/>
          <w:szCs w:val="18"/>
        </w:rPr>
        <w:t xml:space="preserve"> </w:t>
      </w:r>
      <w:r w:rsidR="00523E46" w:rsidRPr="003D5AF2">
        <w:rPr>
          <w:rFonts w:ascii="Times New Roman" w:hAnsi="Times New Roman"/>
          <w:i/>
          <w:sz w:val="18"/>
          <w:szCs w:val="18"/>
        </w:rPr>
        <w:t xml:space="preserve">x </w:t>
      </w:r>
      <w:r w:rsidR="003A4F15" w:rsidRPr="003D5AF2">
        <w:rPr>
          <w:rFonts w:ascii="Times New Roman" w:hAnsi="Times New Roman"/>
          <w:i/>
          <w:sz w:val="18"/>
          <w:szCs w:val="18"/>
        </w:rPr>
        <w:t>(</w:t>
      </w:r>
      <w:r w:rsidR="009B5090" w:rsidRPr="003D5AF2">
        <w:rPr>
          <w:rFonts w:ascii="Times New Roman" w:hAnsi="Times New Roman"/>
          <w:i/>
          <w:sz w:val="18"/>
          <w:szCs w:val="18"/>
        </w:rPr>
        <w:t>30</w:t>
      </w:r>
      <w:r w:rsidR="00FB6DFB" w:rsidRPr="003D5AF2">
        <w:rPr>
          <w:rFonts w:ascii="Times New Roman" w:hAnsi="Times New Roman"/>
          <w:i/>
          <w:sz w:val="18"/>
          <w:szCs w:val="18"/>
        </w:rPr>
        <w:t>% (</w:t>
      </w:r>
      <w:r w:rsidR="003A4F15" w:rsidRPr="003D5AF2">
        <w:rPr>
          <w:rFonts w:ascii="Times New Roman" w:hAnsi="Times New Roman"/>
          <w:i/>
          <w:sz w:val="18"/>
          <w:szCs w:val="18"/>
        </w:rPr>
        <w:t>1147</w:t>
      </w:r>
      <w:r w:rsidR="00E72344">
        <w:rPr>
          <w:rFonts w:ascii="Times New Roman" w:hAnsi="Times New Roman"/>
          <w:i/>
          <w:sz w:val="18"/>
          <w:szCs w:val="18"/>
        </w:rPr>
        <w:t>.</w:t>
      </w:r>
      <w:r w:rsidR="00E72344" w:rsidRPr="00E72344">
        <w:rPr>
          <w:rFonts w:ascii="Times New Roman" w:hAnsi="Times New Roman"/>
          <w:i/>
          <w:sz w:val="18"/>
          <w:szCs w:val="18"/>
        </w:rPr>
        <w:t xml:space="preserve"> </w:t>
      </w:r>
      <w:r w:rsidR="00E72344" w:rsidRPr="003D5AF2">
        <w:rPr>
          <w:rFonts w:ascii="Times New Roman" w:hAnsi="Times New Roman"/>
          <w:i/>
          <w:sz w:val="18"/>
          <w:szCs w:val="18"/>
        </w:rPr>
        <w:t>IKK</w:t>
      </w:r>
      <w:r w:rsidR="00FB6DFB" w:rsidRPr="003D5AF2">
        <w:rPr>
          <w:rFonts w:ascii="Times New Roman" w:hAnsi="Times New Roman"/>
          <w:i/>
          <w:sz w:val="18"/>
          <w:szCs w:val="18"/>
        </w:rPr>
        <w:t xml:space="preserve">) </w:t>
      </w:r>
      <w:r w:rsidR="00E72344">
        <w:rPr>
          <w:rFonts w:ascii="Times New Roman" w:hAnsi="Times New Roman"/>
          <w:i/>
          <w:sz w:val="18"/>
          <w:szCs w:val="18"/>
        </w:rPr>
        <w:t xml:space="preserve"> + 20% (</w:t>
      </w:r>
      <w:r w:rsidR="003A4F15" w:rsidRPr="003D5AF2">
        <w:rPr>
          <w:rFonts w:ascii="Times New Roman" w:hAnsi="Times New Roman"/>
          <w:i/>
          <w:sz w:val="18"/>
          <w:szCs w:val="18"/>
        </w:rPr>
        <w:t>1146</w:t>
      </w:r>
      <w:r w:rsidR="00E72344">
        <w:rPr>
          <w:rFonts w:ascii="Times New Roman" w:hAnsi="Times New Roman"/>
          <w:i/>
          <w:sz w:val="18"/>
          <w:szCs w:val="18"/>
        </w:rPr>
        <w:t>.</w:t>
      </w:r>
      <w:r w:rsidR="00E72344" w:rsidRPr="00E72344">
        <w:rPr>
          <w:rFonts w:ascii="Times New Roman" w:hAnsi="Times New Roman"/>
          <w:i/>
          <w:sz w:val="18"/>
          <w:szCs w:val="18"/>
        </w:rPr>
        <w:t xml:space="preserve"> </w:t>
      </w:r>
      <w:r w:rsidR="00E72344" w:rsidRPr="003D5AF2">
        <w:rPr>
          <w:rFonts w:ascii="Times New Roman" w:hAnsi="Times New Roman"/>
          <w:i/>
          <w:sz w:val="18"/>
          <w:szCs w:val="18"/>
        </w:rPr>
        <w:t>IKK</w:t>
      </w:r>
      <w:r w:rsidR="003A4F15" w:rsidRPr="003D5AF2">
        <w:rPr>
          <w:rFonts w:ascii="Times New Roman" w:hAnsi="Times New Roman"/>
          <w:i/>
          <w:sz w:val="18"/>
          <w:szCs w:val="18"/>
        </w:rPr>
        <w:t>))</w:t>
      </w:r>
      <w:r w:rsidR="00FB6DFB" w:rsidRPr="003D5AF2">
        <w:rPr>
          <w:rFonts w:ascii="Times New Roman" w:hAnsi="Times New Roman"/>
          <w:i/>
          <w:sz w:val="18"/>
          <w:szCs w:val="18"/>
        </w:rPr>
        <w:t xml:space="preserve"> x </w:t>
      </w:r>
      <w:r w:rsidR="003A4F15" w:rsidRPr="003D5AF2">
        <w:rPr>
          <w:rFonts w:ascii="Times New Roman" w:hAnsi="Times New Roman"/>
          <w:i/>
          <w:sz w:val="18"/>
          <w:szCs w:val="18"/>
        </w:rPr>
        <w:t>4mēneši)</w:t>
      </w:r>
      <w:r w:rsidR="008929A2" w:rsidRPr="003D5AF2">
        <w:rPr>
          <w:rFonts w:ascii="Times New Roman" w:hAnsi="Times New Roman"/>
          <w:sz w:val="18"/>
          <w:szCs w:val="18"/>
        </w:rPr>
        <w:t>;</w:t>
      </w:r>
    </w:p>
    <w:p w:rsidR="006339CA" w:rsidRDefault="006339CA" w:rsidP="000F05CA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6339CA" w:rsidRDefault="006339CA" w:rsidP="000F05CA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2A5B12" w:rsidRPr="002A5B12" w:rsidRDefault="002A5B12" w:rsidP="002A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12">
        <w:rPr>
          <w:rFonts w:ascii="Times New Roman" w:hAnsi="Times New Roman"/>
          <w:sz w:val="28"/>
          <w:szCs w:val="28"/>
        </w:rPr>
        <w:t>Iekšlietu ministra pienākumu izpildītājs,</w:t>
      </w:r>
    </w:p>
    <w:p w:rsidR="002A5B12" w:rsidRPr="002A5B12" w:rsidRDefault="002A5B12" w:rsidP="002A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12">
        <w:rPr>
          <w:rFonts w:ascii="Times New Roman" w:hAnsi="Times New Roman"/>
          <w:sz w:val="28"/>
          <w:szCs w:val="28"/>
        </w:rPr>
        <w:t>ekonomikas ministrs</w:t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proofErr w:type="spellStart"/>
      <w:r w:rsidRPr="002A5B12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79375B" w:rsidRDefault="0079375B" w:rsidP="000F05CA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2A5B12" w:rsidRPr="007B13DB" w:rsidRDefault="002A5B12" w:rsidP="000F05CA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8A4593" w:rsidRPr="007B13DB" w:rsidRDefault="008A4593" w:rsidP="000F05CA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13DB">
        <w:rPr>
          <w:rFonts w:ascii="Times New Roman" w:hAnsi="Times New Roman"/>
          <w:sz w:val="28"/>
          <w:szCs w:val="28"/>
        </w:rPr>
        <w:t>Vīza:</w:t>
      </w:r>
    </w:p>
    <w:p w:rsidR="008A4593" w:rsidRPr="007B13DB" w:rsidRDefault="007F351F" w:rsidP="000F05CA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8A4593" w:rsidRPr="007B13DB">
        <w:rPr>
          <w:rFonts w:ascii="Times New Roman" w:hAnsi="Times New Roman"/>
          <w:sz w:val="28"/>
          <w:szCs w:val="28"/>
        </w:rPr>
        <w:t xml:space="preserve">alsts </w:t>
      </w:r>
      <w:r w:rsidR="000F05CA" w:rsidRPr="007B13DB">
        <w:rPr>
          <w:rFonts w:ascii="Times New Roman" w:hAnsi="Times New Roman"/>
          <w:sz w:val="28"/>
          <w:szCs w:val="28"/>
        </w:rPr>
        <w:t>sekretāre</w:t>
      </w:r>
      <w:r w:rsidR="000F05CA" w:rsidRPr="007B13DB">
        <w:rPr>
          <w:rFonts w:ascii="Times New Roman" w:hAnsi="Times New Roman"/>
          <w:sz w:val="28"/>
          <w:szCs w:val="28"/>
        </w:rPr>
        <w:tab/>
      </w:r>
      <w:r w:rsidR="008A4593" w:rsidRPr="007B13DB">
        <w:rPr>
          <w:rFonts w:ascii="Times New Roman" w:hAnsi="Times New Roman"/>
          <w:sz w:val="28"/>
          <w:szCs w:val="28"/>
        </w:rPr>
        <w:t>I.Pētersone</w:t>
      </w:r>
      <w:r w:rsidR="000F05CA" w:rsidRPr="007B13DB">
        <w:rPr>
          <w:rFonts w:ascii="Times New Roman" w:hAnsi="Times New Roman"/>
          <w:sz w:val="28"/>
          <w:szCs w:val="28"/>
        </w:rPr>
        <w:t>–</w:t>
      </w:r>
      <w:r w:rsidR="008A4593" w:rsidRPr="007B13DB">
        <w:rPr>
          <w:rFonts w:ascii="Times New Roman" w:hAnsi="Times New Roman"/>
          <w:sz w:val="28"/>
          <w:szCs w:val="28"/>
        </w:rPr>
        <w:t>Godmane</w:t>
      </w:r>
    </w:p>
    <w:p w:rsidR="008A4593" w:rsidRPr="007B13DB" w:rsidRDefault="008A4593" w:rsidP="008A459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185B" w:rsidRDefault="005918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75B" w:rsidRPr="007B13DB" w:rsidRDefault="0079375B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05CA" w:rsidRPr="007B13DB" w:rsidRDefault="000F05CA" w:rsidP="000F0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05CA" w:rsidRPr="00465CD1" w:rsidRDefault="000F05CA" w:rsidP="00465CD1">
      <w:pPr>
        <w:pStyle w:val="naisf"/>
        <w:spacing w:before="0" w:beforeAutospacing="0" w:after="0" w:afterAutospacing="0"/>
        <w:rPr>
          <w:sz w:val="20"/>
          <w:szCs w:val="20"/>
        </w:rPr>
      </w:pPr>
      <w:r w:rsidRPr="00465CD1">
        <w:rPr>
          <w:sz w:val="20"/>
          <w:szCs w:val="20"/>
          <w:lang w:val="ru-RU"/>
        </w:rPr>
        <w:fldChar w:fldCharType="begin"/>
      </w:r>
      <w:r w:rsidRPr="00465CD1">
        <w:rPr>
          <w:sz w:val="20"/>
          <w:szCs w:val="20"/>
          <w:lang w:val="ru-RU"/>
        </w:rPr>
        <w:instrText xml:space="preserve"> TIME \@ "dd.MM.yyyy H:mm" </w:instrText>
      </w:r>
      <w:r w:rsidRPr="00465CD1">
        <w:rPr>
          <w:sz w:val="20"/>
          <w:szCs w:val="20"/>
          <w:lang w:val="ru-RU"/>
        </w:rPr>
        <w:fldChar w:fldCharType="separate"/>
      </w:r>
      <w:r w:rsidR="004C6183">
        <w:rPr>
          <w:noProof/>
          <w:sz w:val="20"/>
          <w:szCs w:val="20"/>
          <w:lang w:val="ru-RU"/>
        </w:rPr>
        <w:t>06.03.2014 9:26</w:t>
      </w:r>
      <w:r w:rsidRPr="00465CD1">
        <w:rPr>
          <w:sz w:val="20"/>
          <w:szCs w:val="20"/>
          <w:lang w:val="ru-RU"/>
        </w:rPr>
        <w:fldChar w:fldCharType="end"/>
      </w:r>
    </w:p>
    <w:p w:rsidR="00465CD1" w:rsidRPr="00465CD1" w:rsidRDefault="00465CD1" w:rsidP="00465C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CD1">
        <w:rPr>
          <w:rFonts w:ascii="Times New Roman" w:hAnsi="Times New Roman"/>
          <w:sz w:val="20"/>
          <w:szCs w:val="20"/>
        </w:rPr>
        <w:fldChar w:fldCharType="begin"/>
      </w:r>
      <w:r w:rsidRPr="00465CD1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465CD1">
        <w:rPr>
          <w:rFonts w:ascii="Times New Roman" w:hAnsi="Times New Roman"/>
          <w:sz w:val="20"/>
          <w:szCs w:val="20"/>
        </w:rPr>
        <w:fldChar w:fldCharType="separate"/>
      </w:r>
      <w:r w:rsidR="002A5B12">
        <w:rPr>
          <w:rFonts w:ascii="Times New Roman" w:hAnsi="Times New Roman"/>
          <w:noProof/>
          <w:sz w:val="20"/>
          <w:szCs w:val="20"/>
        </w:rPr>
        <w:t>483</w:t>
      </w:r>
      <w:r w:rsidRPr="00465CD1">
        <w:rPr>
          <w:rFonts w:ascii="Times New Roman" w:hAnsi="Times New Roman"/>
          <w:sz w:val="20"/>
          <w:szCs w:val="20"/>
        </w:rPr>
        <w:fldChar w:fldCharType="end"/>
      </w:r>
    </w:p>
    <w:p w:rsidR="008A4593" w:rsidRPr="00465CD1" w:rsidRDefault="007B13DB" w:rsidP="00465CD1">
      <w:pPr>
        <w:pStyle w:val="naisf"/>
        <w:spacing w:before="0" w:beforeAutospacing="0" w:after="0" w:afterAutospacing="0"/>
        <w:rPr>
          <w:sz w:val="20"/>
          <w:szCs w:val="20"/>
        </w:rPr>
      </w:pPr>
      <w:r w:rsidRPr="00465CD1">
        <w:rPr>
          <w:sz w:val="20"/>
          <w:szCs w:val="20"/>
        </w:rPr>
        <w:t>I</w:t>
      </w:r>
      <w:r w:rsidR="008A4593" w:rsidRPr="00465CD1">
        <w:rPr>
          <w:sz w:val="20"/>
          <w:szCs w:val="20"/>
        </w:rPr>
        <w:t>.</w:t>
      </w:r>
      <w:r w:rsidRPr="00465CD1">
        <w:rPr>
          <w:sz w:val="20"/>
          <w:szCs w:val="20"/>
        </w:rPr>
        <w:t>Jegorova</w:t>
      </w:r>
      <w:r w:rsidR="008A4593" w:rsidRPr="00465CD1">
        <w:rPr>
          <w:sz w:val="20"/>
          <w:szCs w:val="20"/>
        </w:rPr>
        <w:t xml:space="preserve"> 67075050 </w:t>
      </w:r>
    </w:p>
    <w:p w:rsidR="008A4593" w:rsidRPr="007B13DB" w:rsidRDefault="00F34F6B" w:rsidP="00465CD1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8" w:history="1">
        <w:r w:rsidR="0059185B" w:rsidRPr="00D85C3A">
          <w:rPr>
            <w:rStyle w:val="Hyperlink"/>
            <w:sz w:val="20"/>
            <w:szCs w:val="20"/>
          </w:rPr>
          <w:t>inga.jegorova@agentura.iem.gov.lv</w:t>
        </w:r>
      </w:hyperlink>
      <w:r w:rsidR="0059185B">
        <w:rPr>
          <w:sz w:val="20"/>
          <w:szCs w:val="20"/>
        </w:rPr>
        <w:t xml:space="preserve"> </w:t>
      </w:r>
    </w:p>
    <w:sectPr w:rsidR="008A4593" w:rsidRPr="007B13DB" w:rsidSect="000F05CA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6B" w:rsidRDefault="00F34F6B" w:rsidP="008A4593">
      <w:pPr>
        <w:spacing w:after="0" w:line="240" w:lineRule="auto"/>
      </w:pPr>
      <w:r>
        <w:separator/>
      </w:r>
    </w:p>
  </w:endnote>
  <w:endnote w:type="continuationSeparator" w:id="0">
    <w:p w:rsidR="00F34F6B" w:rsidRDefault="00F34F6B" w:rsidP="008A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F9" w:rsidRPr="008A4593" w:rsidRDefault="004C35F9" w:rsidP="008A4593">
    <w:pPr>
      <w:pStyle w:val="Footer"/>
      <w:jc w:val="both"/>
      <w:rPr>
        <w:rFonts w:ascii="Times New Roman" w:hAnsi="Times New Roman"/>
        <w:sz w:val="20"/>
      </w:rPr>
    </w:pPr>
    <w:r w:rsidRPr="008A4593">
      <w:rPr>
        <w:rFonts w:ascii="Times New Roman" w:hAnsi="Times New Roman"/>
        <w:sz w:val="20"/>
        <w:szCs w:val="20"/>
      </w:rPr>
      <w:fldChar w:fldCharType="begin"/>
    </w:r>
    <w:r w:rsidRPr="008A4593">
      <w:rPr>
        <w:rFonts w:ascii="Times New Roman" w:hAnsi="Times New Roman"/>
        <w:sz w:val="20"/>
        <w:szCs w:val="20"/>
      </w:rPr>
      <w:instrText xml:space="preserve"> FILENAME </w:instrText>
    </w:r>
    <w:r w:rsidRPr="008A4593">
      <w:rPr>
        <w:rFonts w:ascii="Times New Roman" w:hAnsi="Times New Roman"/>
        <w:sz w:val="20"/>
        <w:szCs w:val="20"/>
      </w:rPr>
      <w:fldChar w:fldCharType="separate"/>
    </w:r>
    <w:r w:rsidR="004C6183">
      <w:rPr>
        <w:rFonts w:ascii="Times New Roman" w:hAnsi="Times New Roman"/>
        <w:noProof/>
        <w:sz w:val="20"/>
        <w:szCs w:val="20"/>
      </w:rPr>
      <w:t>IEMAnotp2_060314_PriedLNG</w:t>
    </w:r>
    <w:r w:rsidRPr="008A4593">
      <w:rPr>
        <w:rFonts w:ascii="Times New Roman" w:hAnsi="Times New Roman"/>
        <w:sz w:val="20"/>
        <w:szCs w:val="20"/>
      </w:rPr>
      <w:fldChar w:fldCharType="end"/>
    </w:r>
    <w:r w:rsidRPr="008A4593">
      <w:rPr>
        <w:rFonts w:ascii="Times New Roman" w:hAnsi="Times New Roman"/>
        <w:sz w:val="20"/>
      </w:rPr>
      <w:t xml:space="preserve">; </w:t>
    </w:r>
    <w:r w:rsidR="00EB703B">
      <w:rPr>
        <w:rFonts w:ascii="Times New Roman" w:hAnsi="Times New Roman"/>
        <w:sz w:val="20"/>
      </w:rPr>
      <w:t>2.p</w:t>
    </w:r>
    <w:r>
      <w:rPr>
        <w:rFonts w:ascii="Times New Roman" w:hAnsi="Times New Roman"/>
        <w:sz w:val="20"/>
      </w:rPr>
      <w:t xml:space="preserve">ielikums </w:t>
    </w:r>
    <w:r w:rsidRPr="008A4593">
      <w:rPr>
        <w:rFonts w:ascii="Times New Roman" w:hAnsi="Times New Roman"/>
        <w:sz w:val="20"/>
      </w:rPr>
      <w:t>Ministru kabineta rīkojuma projekta „Par finanšu līdzekļu piešķiršanu no valsts budžeta programmas „Līdzekļi neparedzētiem</w:t>
    </w:r>
    <w:r w:rsidRPr="00732E9F">
      <w:rPr>
        <w:rFonts w:ascii="Times New Roman" w:hAnsi="Times New Roman"/>
        <w:sz w:val="20"/>
      </w:rPr>
      <w:t xml:space="preserve"> gadījumiem” </w:t>
    </w:r>
    <w:r>
      <w:rPr>
        <w:rFonts w:ascii="Times New Roman" w:hAnsi="Times New Roman"/>
        <w:sz w:val="20"/>
      </w:rPr>
      <w:t>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F9" w:rsidRPr="000F05CA" w:rsidRDefault="004C35F9" w:rsidP="000F05CA">
    <w:pPr>
      <w:pStyle w:val="Footer"/>
      <w:jc w:val="both"/>
      <w:rPr>
        <w:rFonts w:ascii="Times New Roman" w:hAnsi="Times New Roman"/>
        <w:sz w:val="20"/>
      </w:rPr>
    </w:pPr>
    <w:r w:rsidRPr="008A4593">
      <w:rPr>
        <w:rFonts w:ascii="Times New Roman" w:hAnsi="Times New Roman"/>
        <w:sz w:val="20"/>
        <w:szCs w:val="20"/>
      </w:rPr>
      <w:fldChar w:fldCharType="begin"/>
    </w:r>
    <w:r w:rsidRPr="008A4593">
      <w:rPr>
        <w:rFonts w:ascii="Times New Roman" w:hAnsi="Times New Roman"/>
        <w:sz w:val="20"/>
        <w:szCs w:val="20"/>
      </w:rPr>
      <w:instrText xml:space="preserve"> FILENAME </w:instrText>
    </w:r>
    <w:r w:rsidRPr="008A4593">
      <w:rPr>
        <w:rFonts w:ascii="Times New Roman" w:hAnsi="Times New Roman"/>
        <w:sz w:val="20"/>
        <w:szCs w:val="20"/>
      </w:rPr>
      <w:fldChar w:fldCharType="separate"/>
    </w:r>
    <w:r w:rsidR="004C6183">
      <w:rPr>
        <w:rFonts w:ascii="Times New Roman" w:hAnsi="Times New Roman"/>
        <w:noProof/>
        <w:sz w:val="20"/>
        <w:szCs w:val="20"/>
      </w:rPr>
      <w:t>IEMAnotp2_060314_PriedLNG</w:t>
    </w:r>
    <w:r w:rsidRPr="008A4593">
      <w:rPr>
        <w:rFonts w:ascii="Times New Roman" w:hAnsi="Times New Roman"/>
        <w:sz w:val="20"/>
        <w:szCs w:val="20"/>
      </w:rPr>
      <w:fldChar w:fldCharType="end"/>
    </w:r>
    <w:r w:rsidRPr="008A4593">
      <w:rPr>
        <w:rFonts w:ascii="Times New Roman" w:hAnsi="Times New Roman"/>
        <w:sz w:val="20"/>
      </w:rPr>
      <w:t xml:space="preserve">; </w:t>
    </w:r>
    <w:r w:rsidR="00EB703B">
      <w:rPr>
        <w:rFonts w:ascii="Times New Roman" w:hAnsi="Times New Roman"/>
        <w:sz w:val="20"/>
      </w:rPr>
      <w:t>2.p</w:t>
    </w:r>
    <w:r>
      <w:rPr>
        <w:rFonts w:ascii="Times New Roman" w:hAnsi="Times New Roman"/>
        <w:sz w:val="20"/>
      </w:rPr>
      <w:t xml:space="preserve">ielikums </w:t>
    </w:r>
    <w:r w:rsidRPr="008A4593">
      <w:rPr>
        <w:rFonts w:ascii="Times New Roman" w:hAnsi="Times New Roman"/>
        <w:sz w:val="20"/>
      </w:rPr>
      <w:t>Ministru kabineta rīkojuma projekta „Par finanšu līdzekļu piešķiršanu no valsts budžeta programmas „Līdzekļi neparedzētiem</w:t>
    </w:r>
    <w:r w:rsidRPr="00732E9F">
      <w:rPr>
        <w:rFonts w:ascii="Times New Roman" w:hAnsi="Times New Roman"/>
        <w:sz w:val="20"/>
      </w:rPr>
      <w:t xml:space="preserve"> gadījumiem” </w:t>
    </w:r>
    <w:r>
      <w:rPr>
        <w:rFonts w:ascii="Times New Roman" w:hAnsi="Times New Roman"/>
        <w:sz w:val="20"/>
      </w:rPr>
      <w:t>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6B" w:rsidRDefault="00F34F6B" w:rsidP="008A4593">
      <w:pPr>
        <w:spacing w:after="0" w:line="240" w:lineRule="auto"/>
      </w:pPr>
      <w:r>
        <w:separator/>
      </w:r>
    </w:p>
  </w:footnote>
  <w:footnote w:type="continuationSeparator" w:id="0">
    <w:p w:rsidR="00F34F6B" w:rsidRDefault="00F34F6B" w:rsidP="008A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430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C35F9" w:rsidRPr="008A4593" w:rsidRDefault="004C35F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A4593">
          <w:rPr>
            <w:rFonts w:ascii="Times New Roman" w:hAnsi="Times New Roman"/>
            <w:sz w:val="24"/>
            <w:szCs w:val="24"/>
          </w:rPr>
          <w:fldChar w:fldCharType="begin"/>
        </w:r>
        <w:r w:rsidRPr="008A45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4593">
          <w:rPr>
            <w:rFonts w:ascii="Times New Roman" w:hAnsi="Times New Roman"/>
            <w:sz w:val="24"/>
            <w:szCs w:val="24"/>
          </w:rPr>
          <w:fldChar w:fldCharType="separate"/>
        </w:r>
        <w:r w:rsidR="004C6183">
          <w:rPr>
            <w:rFonts w:ascii="Times New Roman" w:hAnsi="Times New Roman"/>
            <w:noProof/>
            <w:sz w:val="24"/>
            <w:szCs w:val="24"/>
          </w:rPr>
          <w:t>2</w:t>
        </w:r>
        <w:r w:rsidRPr="008A459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C35F9" w:rsidRDefault="004C3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3"/>
    <w:rsid w:val="00021FA7"/>
    <w:rsid w:val="00024658"/>
    <w:rsid w:val="000248E0"/>
    <w:rsid w:val="00061BFB"/>
    <w:rsid w:val="00063583"/>
    <w:rsid w:val="000B67E7"/>
    <w:rsid w:val="000F05CA"/>
    <w:rsid w:val="000F47C1"/>
    <w:rsid w:val="00126B62"/>
    <w:rsid w:val="001453DF"/>
    <w:rsid w:val="00194D3B"/>
    <w:rsid w:val="001C681A"/>
    <w:rsid w:val="001D7376"/>
    <w:rsid w:val="001E0C86"/>
    <w:rsid w:val="00212D92"/>
    <w:rsid w:val="00224BD8"/>
    <w:rsid w:val="00262F3D"/>
    <w:rsid w:val="00285003"/>
    <w:rsid w:val="002860CA"/>
    <w:rsid w:val="002921DB"/>
    <w:rsid w:val="0029601C"/>
    <w:rsid w:val="002973F8"/>
    <w:rsid w:val="002A5B12"/>
    <w:rsid w:val="002A79E5"/>
    <w:rsid w:val="002C637B"/>
    <w:rsid w:val="003054E1"/>
    <w:rsid w:val="003239D5"/>
    <w:rsid w:val="00326CEA"/>
    <w:rsid w:val="00346723"/>
    <w:rsid w:val="00355B47"/>
    <w:rsid w:val="003758D3"/>
    <w:rsid w:val="00385521"/>
    <w:rsid w:val="003A4F15"/>
    <w:rsid w:val="003B464E"/>
    <w:rsid w:val="003D25D3"/>
    <w:rsid w:val="003D5AF2"/>
    <w:rsid w:val="004117A2"/>
    <w:rsid w:val="00417622"/>
    <w:rsid w:val="004315EC"/>
    <w:rsid w:val="004543B7"/>
    <w:rsid w:val="00465CD1"/>
    <w:rsid w:val="004714B2"/>
    <w:rsid w:val="00472458"/>
    <w:rsid w:val="00472996"/>
    <w:rsid w:val="00480477"/>
    <w:rsid w:val="0049043A"/>
    <w:rsid w:val="004C35F9"/>
    <w:rsid w:val="004C3E04"/>
    <w:rsid w:val="004C6183"/>
    <w:rsid w:val="004C6737"/>
    <w:rsid w:val="004F2B07"/>
    <w:rsid w:val="004F696D"/>
    <w:rsid w:val="00512D7D"/>
    <w:rsid w:val="00523D2E"/>
    <w:rsid w:val="00523E46"/>
    <w:rsid w:val="0053415A"/>
    <w:rsid w:val="005437B4"/>
    <w:rsid w:val="0059185B"/>
    <w:rsid w:val="005A2D26"/>
    <w:rsid w:val="005A34D9"/>
    <w:rsid w:val="005D76E3"/>
    <w:rsid w:val="005F71BE"/>
    <w:rsid w:val="00603110"/>
    <w:rsid w:val="00624794"/>
    <w:rsid w:val="0062783B"/>
    <w:rsid w:val="00630E91"/>
    <w:rsid w:val="006317CD"/>
    <w:rsid w:val="006339CA"/>
    <w:rsid w:val="00650B64"/>
    <w:rsid w:val="006528DE"/>
    <w:rsid w:val="00671681"/>
    <w:rsid w:val="00691948"/>
    <w:rsid w:val="006A470A"/>
    <w:rsid w:val="006B4CC2"/>
    <w:rsid w:val="006B5A1B"/>
    <w:rsid w:val="007113FE"/>
    <w:rsid w:val="0071527B"/>
    <w:rsid w:val="0073228D"/>
    <w:rsid w:val="00755A6E"/>
    <w:rsid w:val="0076785E"/>
    <w:rsid w:val="00774869"/>
    <w:rsid w:val="0079375B"/>
    <w:rsid w:val="0079528E"/>
    <w:rsid w:val="007A0B7C"/>
    <w:rsid w:val="007A5773"/>
    <w:rsid w:val="007A62FB"/>
    <w:rsid w:val="007B13DB"/>
    <w:rsid w:val="007C7400"/>
    <w:rsid w:val="007D180D"/>
    <w:rsid w:val="007D30DE"/>
    <w:rsid w:val="007D3841"/>
    <w:rsid w:val="007E0978"/>
    <w:rsid w:val="007F351F"/>
    <w:rsid w:val="008079BE"/>
    <w:rsid w:val="00831932"/>
    <w:rsid w:val="00833585"/>
    <w:rsid w:val="00837CF4"/>
    <w:rsid w:val="00854261"/>
    <w:rsid w:val="008545BA"/>
    <w:rsid w:val="008571B6"/>
    <w:rsid w:val="0086143B"/>
    <w:rsid w:val="00877D9D"/>
    <w:rsid w:val="008870FF"/>
    <w:rsid w:val="008929A2"/>
    <w:rsid w:val="008A1033"/>
    <w:rsid w:val="008A4593"/>
    <w:rsid w:val="008A6AC9"/>
    <w:rsid w:val="008C0B83"/>
    <w:rsid w:val="008D0D4E"/>
    <w:rsid w:val="008D4062"/>
    <w:rsid w:val="008D5859"/>
    <w:rsid w:val="008E765E"/>
    <w:rsid w:val="008F527B"/>
    <w:rsid w:val="00904027"/>
    <w:rsid w:val="009217CD"/>
    <w:rsid w:val="00925E97"/>
    <w:rsid w:val="00931ABD"/>
    <w:rsid w:val="009907FD"/>
    <w:rsid w:val="00993D87"/>
    <w:rsid w:val="009A4758"/>
    <w:rsid w:val="009B5090"/>
    <w:rsid w:val="009B64D7"/>
    <w:rsid w:val="009C06A1"/>
    <w:rsid w:val="009C11F3"/>
    <w:rsid w:val="009D211B"/>
    <w:rsid w:val="009D67EB"/>
    <w:rsid w:val="009E42D0"/>
    <w:rsid w:val="00A03F0C"/>
    <w:rsid w:val="00A04EDA"/>
    <w:rsid w:val="00A211E9"/>
    <w:rsid w:val="00A368F9"/>
    <w:rsid w:val="00A42D25"/>
    <w:rsid w:val="00A437F8"/>
    <w:rsid w:val="00A43EE2"/>
    <w:rsid w:val="00A500B2"/>
    <w:rsid w:val="00A661AA"/>
    <w:rsid w:val="00A74C36"/>
    <w:rsid w:val="00A779B2"/>
    <w:rsid w:val="00A80C10"/>
    <w:rsid w:val="00A84B9D"/>
    <w:rsid w:val="00A85B7F"/>
    <w:rsid w:val="00A93674"/>
    <w:rsid w:val="00AB683D"/>
    <w:rsid w:val="00AF2AF5"/>
    <w:rsid w:val="00B274CC"/>
    <w:rsid w:val="00B32AC7"/>
    <w:rsid w:val="00B536F3"/>
    <w:rsid w:val="00B93AC6"/>
    <w:rsid w:val="00B97BF0"/>
    <w:rsid w:val="00BA0EBE"/>
    <w:rsid w:val="00BF29BE"/>
    <w:rsid w:val="00BF4FF5"/>
    <w:rsid w:val="00C23AE3"/>
    <w:rsid w:val="00C31BB1"/>
    <w:rsid w:val="00C40A0A"/>
    <w:rsid w:val="00C62730"/>
    <w:rsid w:val="00CA5981"/>
    <w:rsid w:val="00CA63FB"/>
    <w:rsid w:val="00CC5407"/>
    <w:rsid w:val="00CF1E5D"/>
    <w:rsid w:val="00CF54B3"/>
    <w:rsid w:val="00CF62B7"/>
    <w:rsid w:val="00D02366"/>
    <w:rsid w:val="00D730E4"/>
    <w:rsid w:val="00D91893"/>
    <w:rsid w:val="00DD6B69"/>
    <w:rsid w:val="00DE0A68"/>
    <w:rsid w:val="00DE18FD"/>
    <w:rsid w:val="00DF09D4"/>
    <w:rsid w:val="00E27699"/>
    <w:rsid w:val="00E509E1"/>
    <w:rsid w:val="00E50DCE"/>
    <w:rsid w:val="00E51EE1"/>
    <w:rsid w:val="00E57118"/>
    <w:rsid w:val="00E72344"/>
    <w:rsid w:val="00EB5DDA"/>
    <w:rsid w:val="00EB703B"/>
    <w:rsid w:val="00EE1DF4"/>
    <w:rsid w:val="00EE7205"/>
    <w:rsid w:val="00F02E0D"/>
    <w:rsid w:val="00F34F6B"/>
    <w:rsid w:val="00F53DE3"/>
    <w:rsid w:val="00F555A2"/>
    <w:rsid w:val="00F62CC3"/>
    <w:rsid w:val="00F65470"/>
    <w:rsid w:val="00F96AC6"/>
    <w:rsid w:val="00FB6CBA"/>
    <w:rsid w:val="00FB6DFB"/>
    <w:rsid w:val="00FE069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A4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8A459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45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A459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A4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8A459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45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A459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jegorova@agentura.i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5A2D-8A5C-4594-BF38-CAEA7317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Frolova</dc:creator>
  <cp:lastModifiedBy>Ieva Potjomkina</cp:lastModifiedBy>
  <cp:revision>4</cp:revision>
  <cp:lastPrinted>2014-02-27T14:45:00Z</cp:lastPrinted>
  <dcterms:created xsi:type="dcterms:W3CDTF">2014-03-06T07:21:00Z</dcterms:created>
  <dcterms:modified xsi:type="dcterms:W3CDTF">2014-03-06T07:26:00Z</dcterms:modified>
</cp:coreProperties>
</file>