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2.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theme/themeOverride3.xml" ContentType="application/vnd.openxmlformats-officedocument.themeOverride+xml"/>
  <Override PartName="/word/charts/chart22.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0A4" w:rsidRPr="00E77253" w:rsidRDefault="009B10A4" w:rsidP="00F443DB">
      <w:pPr>
        <w:spacing w:after="120" w:line="240" w:lineRule="auto"/>
        <w:ind w:firstLine="567"/>
        <w:jc w:val="right"/>
        <w:rPr>
          <w:rFonts w:ascii="Times New Roman" w:hAnsi="Times New Roman"/>
          <w:sz w:val="24"/>
          <w:szCs w:val="32"/>
        </w:rPr>
      </w:pPr>
    </w:p>
    <w:p w:rsidR="009B10A4" w:rsidRPr="00E77253" w:rsidRDefault="009B10A4" w:rsidP="00F443DB">
      <w:pPr>
        <w:spacing w:after="120" w:line="240" w:lineRule="auto"/>
        <w:ind w:firstLine="567"/>
        <w:jc w:val="center"/>
        <w:rPr>
          <w:rFonts w:ascii="Times New Roman" w:hAnsi="Times New Roman"/>
          <w:b/>
          <w:sz w:val="12"/>
          <w:szCs w:val="12"/>
        </w:rPr>
      </w:pPr>
    </w:p>
    <w:p w:rsidR="009B10A4" w:rsidRPr="00E77253" w:rsidRDefault="009B10A4" w:rsidP="00F443DB">
      <w:pPr>
        <w:spacing w:after="120" w:line="240" w:lineRule="auto"/>
        <w:ind w:firstLine="567"/>
        <w:jc w:val="center"/>
        <w:rPr>
          <w:rFonts w:ascii="Times New Roman" w:hAnsi="Times New Roman"/>
          <w:b/>
          <w:sz w:val="12"/>
          <w:szCs w:val="12"/>
        </w:rPr>
      </w:pPr>
    </w:p>
    <w:p w:rsidR="009B10A4" w:rsidRPr="00152AC4" w:rsidRDefault="00111B8B" w:rsidP="00111B8B">
      <w:pPr>
        <w:spacing w:after="0" w:line="240" w:lineRule="auto"/>
        <w:jc w:val="center"/>
        <w:rPr>
          <w:rFonts w:ascii="Times New Roman" w:hAnsi="Times New Roman"/>
          <w:b/>
          <w:sz w:val="28"/>
          <w:szCs w:val="28"/>
        </w:rPr>
      </w:pPr>
      <w:r w:rsidRPr="00152AC4">
        <w:rPr>
          <w:rFonts w:ascii="Times New Roman" w:hAnsi="Times New Roman"/>
          <w:b/>
          <w:sz w:val="28"/>
          <w:szCs w:val="28"/>
        </w:rPr>
        <w:t>Informatīvais z</w:t>
      </w:r>
      <w:r w:rsidR="009B10A4" w:rsidRPr="00152AC4">
        <w:rPr>
          <w:rFonts w:ascii="Times New Roman" w:hAnsi="Times New Roman"/>
          <w:b/>
          <w:sz w:val="28"/>
          <w:szCs w:val="28"/>
        </w:rPr>
        <w:t>iņojums</w:t>
      </w:r>
    </w:p>
    <w:p w:rsidR="009B10A4" w:rsidRPr="00152AC4" w:rsidRDefault="009B10A4" w:rsidP="00111B8B">
      <w:pPr>
        <w:spacing w:after="0" w:line="240" w:lineRule="auto"/>
        <w:jc w:val="center"/>
        <w:rPr>
          <w:rFonts w:ascii="Times New Roman" w:hAnsi="Times New Roman"/>
          <w:b/>
          <w:sz w:val="28"/>
          <w:szCs w:val="28"/>
        </w:rPr>
      </w:pPr>
      <w:r w:rsidRPr="00152AC4">
        <w:rPr>
          <w:rFonts w:ascii="Times New Roman" w:hAnsi="Times New Roman"/>
          <w:b/>
          <w:sz w:val="28"/>
          <w:szCs w:val="28"/>
        </w:rPr>
        <w:t xml:space="preserve">par Imigrācijas likuma 23.panta pirmās daļas 3., 28., 29. un 30.punktā </w:t>
      </w:r>
    </w:p>
    <w:p w:rsidR="009B10A4" w:rsidRPr="00152AC4" w:rsidRDefault="009B10A4" w:rsidP="00111B8B">
      <w:pPr>
        <w:spacing w:after="0" w:line="240" w:lineRule="auto"/>
        <w:jc w:val="center"/>
        <w:rPr>
          <w:rFonts w:ascii="Times New Roman" w:hAnsi="Times New Roman"/>
          <w:b/>
          <w:sz w:val="28"/>
          <w:szCs w:val="28"/>
        </w:rPr>
      </w:pPr>
      <w:r w:rsidRPr="00152AC4">
        <w:rPr>
          <w:rFonts w:ascii="Times New Roman" w:hAnsi="Times New Roman"/>
          <w:b/>
          <w:sz w:val="28"/>
          <w:szCs w:val="28"/>
        </w:rPr>
        <w:t>paredzēto noteikumu īstenošanas gaitu un rezultātiem</w:t>
      </w:r>
    </w:p>
    <w:p w:rsidR="009B10A4" w:rsidRPr="00111B8B" w:rsidRDefault="009B10A4" w:rsidP="00F443DB">
      <w:pPr>
        <w:spacing w:after="120" w:line="240" w:lineRule="auto"/>
        <w:ind w:firstLine="567"/>
        <w:jc w:val="both"/>
        <w:rPr>
          <w:rFonts w:ascii="Times New Roman" w:hAnsi="Times New Roman"/>
          <w:b/>
          <w:sz w:val="32"/>
          <w:szCs w:val="32"/>
          <w:highlight w:val="yellow"/>
        </w:rPr>
      </w:pPr>
    </w:p>
    <w:p w:rsidR="009B10A4" w:rsidRPr="00966703" w:rsidRDefault="009B10A4" w:rsidP="00F443DB">
      <w:pPr>
        <w:spacing w:after="120" w:line="240" w:lineRule="auto"/>
        <w:rPr>
          <w:rFonts w:ascii="Times New Roman" w:hAnsi="Times New Roman"/>
          <w:b/>
          <w:sz w:val="26"/>
          <w:szCs w:val="26"/>
          <w:highlight w:val="yellow"/>
        </w:rPr>
      </w:pPr>
    </w:p>
    <w:p w:rsidR="009B10A4" w:rsidRDefault="009B10A4" w:rsidP="00F443DB">
      <w:pPr>
        <w:spacing w:after="120" w:line="240" w:lineRule="auto"/>
        <w:rPr>
          <w:rFonts w:ascii="Times New Roman" w:hAnsi="Times New Roman"/>
          <w:b/>
          <w:sz w:val="28"/>
          <w:szCs w:val="26"/>
        </w:rPr>
      </w:pPr>
      <w:r w:rsidRPr="00D80BB6">
        <w:rPr>
          <w:rFonts w:ascii="Times New Roman" w:hAnsi="Times New Roman"/>
          <w:b/>
          <w:sz w:val="28"/>
          <w:szCs w:val="26"/>
        </w:rPr>
        <w:t>Ievads</w:t>
      </w:r>
    </w:p>
    <w:p w:rsidR="00F443DB" w:rsidRPr="00D80BB6" w:rsidRDefault="00F443DB" w:rsidP="00F443DB">
      <w:pPr>
        <w:spacing w:after="120" w:line="240" w:lineRule="auto"/>
        <w:rPr>
          <w:rFonts w:ascii="Times New Roman" w:hAnsi="Times New Roman"/>
          <w:b/>
          <w:sz w:val="28"/>
          <w:szCs w:val="26"/>
        </w:rPr>
      </w:pPr>
    </w:p>
    <w:p w:rsidR="009B10A4" w:rsidRPr="00D80BB6" w:rsidRDefault="009B10A4" w:rsidP="00F443DB">
      <w:pPr>
        <w:spacing w:after="120" w:line="240" w:lineRule="auto"/>
        <w:ind w:firstLine="567"/>
        <w:jc w:val="both"/>
        <w:rPr>
          <w:rFonts w:ascii="Times New Roman" w:hAnsi="Times New Roman"/>
          <w:sz w:val="26"/>
          <w:szCs w:val="26"/>
        </w:rPr>
      </w:pPr>
      <w:smartTag w:uri="schemas-tilde-lv/tildestengine" w:element="veidnes">
        <w:smartTagPr>
          <w:attr w:name="id" w:val="-1"/>
          <w:attr w:name="baseform" w:val="Ziņojums"/>
          <w:attr w:name="text" w:val="Ziņojums"/>
        </w:smartTagPr>
        <w:r w:rsidRPr="00D80BB6">
          <w:rPr>
            <w:rFonts w:ascii="Times New Roman" w:hAnsi="Times New Roman"/>
            <w:sz w:val="26"/>
            <w:szCs w:val="26"/>
          </w:rPr>
          <w:t>Ziņojums</w:t>
        </w:r>
      </w:smartTag>
      <w:r w:rsidR="00E71E8C">
        <w:rPr>
          <w:rFonts w:ascii="Times New Roman" w:hAnsi="Times New Roman"/>
          <w:sz w:val="26"/>
          <w:szCs w:val="26"/>
        </w:rPr>
        <w:t xml:space="preserve"> ietver </w:t>
      </w:r>
      <w:r w:rsidR="002B224D">
        <w:rPr>
          <w:rFonts w:ascii="Times New Roman" w:hAnsi="Times New Roman"/>
          <w:sz w:val="26"/>
          <w:szCs w:val="26"/>
        </w:rPr>
        <w:t>10</w:t>
      </w:r>
      <w:r w:rsidRPr="00D80BB6">
        <w:rPr>
          <w:rFonts w:ascii="Times New Roman" w:hAnsi="Times New Roman"/>
          <w:sz w:val="26"/>
          <w:szCs w:val="26"/>
        </w:rPr>
        <w:t xml:space="preserve"> nodaļas, kā arī secinājumus. Ziņojumā aplūkota termiņuzturēšanās atļauju (turpmāk – TUA) piešķiršanas dinamika, ar termiņuzturēšanās atļaujām saistīto ārvalstu investīciju loma kopējā ārvalstu investīciju ieplūdē, kā arī ārvalstu investoru sadalījums pēc valstiskās piederības. Detalizēti analizēts katrs no TUA saņemšanas veidiem – investīcijas nekustamajos īpašumos, finanšu investīcijas kredītiestādē un ieguldījumi kapitālsabiedrību pamatkapitālā. Ziņojumā sniegts attiecīgo Imigrācijas likuma normu ietekmes izvērtējums uz tautsaimniecības reālo sektoru, finanšu sektoru, valsts budžetu un sabiedrības attīstību.</w:t>
      </w:r>
    </w:p>
    <w:p w:rsidR="009B10A4" w:rsidRPr="00D80BB6" w:rsidRDefault="009B10A4" w:rsidP="00F443DB">
      <w:pPr>
        <w:spacing w:after="120" w:line="240" w:lineRule="auto"/>
        <w:ind w:firstLine="567"/>
        <w:jc w:val="both"/>
        <w:rPr>
          <w:rFonts w:ascii="Times New Roman" w:hAnsi="Times New Roman"/>
          <w:sz w:val="26"/>
          <w:szCs w:val="26"/>
        </w:rPr>
      </w:pPr>
      <w:r w:rsidRPr="00D80BB6">
        <w:rPr>
          <w:rFonts w:ascii="Times New Roman" w:hAnsi="Times New Roman"/>
          <w:sz w:val="26"/>
          <w:szCs w:val="26"/>
        </w:rPr>
        <w:t>Ziņojuma sagatavošanā izmantoti Latvijas Republikas Centrālās statistikas pārvaldes, Latvijas Bankas maksājumu bilances, Finanšu un kapitāla tirgus komisijas, Pilsonības un migrācijas lietu pārvaldes, Valsts ieņēmumu dienesta, Valsts zemes dienesta un LURSOFT datu bāzes dati, kā arī pašvaldību</w:t>
      </w:r>
      <w:r w:rsidR="00D80BB6" w:rsidRPr="00D80BB6">
        <w:rPr>
          <w:rFonts w:ascii="Times New Roman" w:hAnsi="Times New Roman"/>
          <w:sz w:val="26"/>
          <w:szCs w:val="26"/>
        </w:rPr>
        <w:t>,</w:t>
      </w:r>
      <w:r w:rsidRPr="00D80BB6">
        <w:rPr>
          <w:rFonts w:ascii="Times New Roman" w:hAnsi="Times New Roman"/>
          <w:sz w:val="26"/>
          <w:szCs w:val="26"/>
        </w:rPr>
        <w:t xml:space="preserve"> Latvijas nekustamo īpašumu darījumu asociācijas un SIA „Latio” sniegtā informācija.</w:t>
      </w:r>
    </w:p>
    <w:p w:rsidR="00327CF1" w:rsidRPr="0015127C" w:rsidRDefault="009B10A4" w:rsidP="00F443DB">
      <w:pPr>
        <w:tabs>
          <w:tab w:val="left" w:pos="6804"/>
        </w:tabs>
        <w:spacing w:after="120" w:line="240" w:lineRule="auto"/>
        <w:ind w:firstLine="567"/>
        <w:jc w:val="both"/>
        <w:rPr>
          <w:rFonts w:ascii="Times New Roman" w:hAnsi="Times New Roman"/>
          <w:sz w:val="26"/>
          <w:szCs w:val="26"/>
        </w:rPr>
      </w:pPr>
      <w:r w:rsidRPr="00F443DB">
        <w:rPr>
          <w:rFonts w:ascii="Times New Roman" w:hAnsi="Times New Roman"/>
          <w:sz w:val="26"/>
          <w:szCs w:val="26"/>
        </w:rPr>
        <w:t xml:space="preserve">Ziņojumam ir </w:t>
      </w:r>
      <w:r w:rsidR="00327CF1" w:rsidRPr="00F443DB">
        <w:rPr>
          <w:rFonts w:ascii="Times New Roman" w:hAnsi="Times New Roman"/>
          <w:sz w:val="26"/>
          <w:szCs w:val="26"/>
        </w:rPr>
        <w:t>s</w:t>
      </w:r>
      <w:r w:rsidR="002B224D">
        <w:rPr>
          <w:rFonts w:ascii="Times New Roman" w:hAnsi="Times New Roman"/>
          <w:sz w:val="26"/>
          <w:szCs w:val="26"/>
        </w:rPr>
        <w:t>eš</w:t>
      </w:r>
      <w:r w:rsidR="00383758" w:rsidRPr="00F443DB">
        <w:rPr>
          <w:rFonts w:ascii="Times New Roman" w:hAnsi="Times New Roman"/>
          <w:sz w:val="26"/>
          <w:szCs w:val="26"/>
        </w:rPr>
        <w:t>i</w:t>
      </w:r>
      <w:r w:rsidRPr="00F443DB">
        <w:rPr>
          <w:rFonts w:ascii="Times New Roman" w:hAnsi="Times New Roman"/>
          <w:sz w:val="26"/>
          <w:szCs w:val="26"/>
        </w:rPr>
        <w:t xml:space="preserve"> pielikumi </w:t>
      </w:r>
      <w:r w:rsidRPr="00F443DB">
        <w:rPr>
          <w:rFonts w:ascii="Times New Roman" w:hAnsi="Times New Roman"/>
          <w:color w:val="000000"/>
          <w:sz w:val="26"/>
          <w:szCs w:val="26"/>
        </w:rPr>
        <w:t xml:space="preserve">– </w:t>
      </w:r>
      <w:r w:rsidRPr="00F443DB">
        <w:rPr>
          <w:rFonts w:ascii="Times New Roman" w:hAnsi="Times New Roman"/>
          <w:sz w:val="26"/>
          <w:szCs w:val="26"/>
        </w:rPr>
        <w:t>1) Kopsavilkums</w:t>
      </w:r>
      <w:r w:rsidRPr="0015127C">
        <w:rPr>
          <w:rFonts w:ascii="Times New Roman" w:hAnsi="Times New Roman"/>
          <w:sz w:val="26"/>
          <w:szCs w:val="26"/>
        </w:rPr>
        <w:t xml:space="preserve"> par investor</w:t>
      </w:r>
      <w:r w:rsidR="0006339E" w:rsidRPr="0015127C">
        <w:rPr>
          <w:rFonts w:ascii="Times New Roman" w:hAnsi="Times New Roman"/>
          <w:sz w:val="26"/>
          <w:szCs w:val="26"/>
        </w:rPr>
        <w:t xml:space="preserve">u </w:t>
      </w:r>
      <w:r w:rsidRPr="0015127C">
        <w:rPr>
          <w:rFonts w:ascii="Times New Roman" w:hAnsi="Times New Roman"/>
          <w:sz w:val="26"/>
          <w:szCs w:val="26"/>
        </w:rPr>
        <w:t>un viņu ģimenes loce</w:t>
      </w:r>
      <w:r w:rsidR="0006339E" w:rsidRPr="0015127C">
        <w:rPr>
          <w:rFonts w:ascii="Times New Roman" w:hAnsi="Times New Roman"/>
          <w:sz w:val="26"/>
          <w:szCs w:val="26"/>
        </w:rPr>
        <w:t>kļu</w:t>
      </w:r>
      <w:r w:rsidRPr="0015127C">
        <w:rPr>
          <w:rFonts w:ascii="Times New Roman" w:hAnsi="Times New Roman"/>
          <w:sz w:val="26"/>
          <w:szCs w:val="26"/>
        </w:rPr>
        <w:t xml:space="preserve"> TUA un veiktajām investīcijām; </w:t>
      </w:r>
      <w:r w:rsidR="0006339E" w:rsidRPr="0015127C">
        <w:rPr>
          <w:rFonts w:ascii="Times New Roman" w:hAnsi="Times New Roman"/>
          <w:sz w:val="26"/>
          <w:szCs w:val="26"/>
        </w:rPr>
        <w:t>2</w:t>
      </w:r>
      <w:r w:rsidRPr="0015127C">
        <w:rPr>
          <w:rFonts w:ascii="Times New Roman" w:hAnsi="Times New Roman"/>
          <w:sz w:val="26"/>
          <w:szCs w:val="26"/>
        </w:rPr>
        <w:t xml:space="preserve">) Informācija par investoru un viņu ģimenes locekļu pilsonības valstīm; </w:t>
      </w:r>
      <w:r w:rsidR="0015127C">
        <w:rPr>
          <w:rFonts w:ascii="Times New Roman" w:hAnsi="Times New Roman"/>
          <w:sz w:val="26"/>
          <w:szCs w:val="26"/>
        </w:rPr>
        <w:t>3</w:t>
      </w:r>
      <w:r w:rsidRPr="0015127C">
        <w:rPr>
          <w:rFonts w:ascii="Times New Roman" w:hAnsi="Times New Roman"/>
          <w:sz w:val="26"/>
          <w:szCs w:val="26"/>
        </w:rPr>
        <w:t>) Pilsonības un migrācijas</w:t>
      </w:r>
      <w:r w:rsidRPr="0015127C">
        <w:rPr>
          <w:rFonts w:ascii="Times New Roman" w:hAnsi="Times New Roman"/>
          <w:color w:val="000000"/>
          <w:sz w:val="26"/>
          <w:szCs w:val="26"/>
        </w:rPr>
        <w:t xml:space="preserve"> lietu pārvaldē saņemtais investoru un viņu ģimenes locekļu pieteikumu skaits pa mēnešiem; </w:t>
      </w:r>
      <w:r w:rsidR="00F443DB">
        <w:rPr>
          <w:rFonts w:ascii="Times New Roman" w:hAnsi="Times New Roman"/>
          <w:color w:val="000000"/>
          <w:sz w:val="26"/>
          <w:szCs w:val="26"/>
        </w:rPr>
        <w:t xml:space="preserve">4) </w:t>
      </w:r>
      <w:r w:rsidR="00F443DB" w:rsidRPr="00F443DB">
        <w:rPr>
          <w:rFonts w:ascii="Times New Roman" w:hAnsi="Times New Roman"/>
          <w:sz w:val="26"/>
          <w:szCs w:val="26"/>
        </w:rPr>
        <w:t>TUA pieteicēju iegādāto nekustamo īpašumu atrašanās vieta un vērtība</w:t>
      </w:r>
      <w:r w:rsidR="00F443DB">
        <w:rPr>
          <w:rFonts w:ascii="Times New Roman" w:hAnsi="Times New Roman"/>
          <w:sz w:val="26"/>
          <w:szCs w:val="26"/>
        </w:rPr>
        <w:t>; 5</w:t>
      </w:r>
      <w:r w:rsidRPr="0015127C">
        <w:rPr>
          <w:rFonts w:ascii="Times New Roman" w:hAnsi="Times New Roman"/>
          <w:color w:val="000000"/>
          <w:sz w:val="26"/>
          <w:szCs w:val="26"/>
        </w:rPr>
        <w:t>) Valsts zemes dienesta informācija „</w:t>
      </w:r>
      <w:r w:rsidRPr="0015127C">
        <w:rPr>
          <w:rFonts w:ascii="Times New Roman" w:hAnsi="Times New Roman"/>
          <w:i/>
          <w:color w:val="000000"/>
          <w:sz w:val="26"/>
          <w:szCs w:val="26"/>
        </w:rPr>
        <w:t xml:space="preserve">Valsts zemes dienesta viedoklis par Imigrācijas likuma 23.panta pirmās daļas 29.punktā noteiktās iespējas </w:t>
      </w:r>
      <w:r w:rsidR="0015127C" w:rsidRPr="0015127C">
        <w:rPr>
          <w:rFonts w:ascii="Times New Roman" w:hAnsi="Times New Roman"/>
          <w:i/>
          <w:color w:val="000000"/>
          <w:sz w:val="26"/>
          <w:szCs w:val="26"/>
        </w:rPr>
        <w:t>saņemt termiņuzturēšanās atļauju</w:t>
      </w:r>
      <w:r w:rsidRPr="0015127C">
        <w:rPr>
          <w:rFonts w:ascii="Times New Roman" w:hAnsi="Times New Roman"/>
          <w:i/>
          <w:color w:val="000000"/>
          <w:sz w:val="26"/>
          <w:szCs w:val="26"/>
        </w:rPr>
        <w:t xml:space="preserve"> ietekmi uz kopējo valsts un attiecīgo pašvaldību nekustamā īpašuma tirgu”</w:t>
      </w:r>
      <w:r w:rsidRPr="0015127C">
        <w:rPr>
          <w:rFonts w:ascii="Times New Roman" w:hAnsi="Times New Roman"/>
          <w:color w:val="000000"/>
          <w:sz w:val="26"/>
          <w:szCs w:val="26"/>
        </w:rPr>
        <w:t>;</w:t>
      </w:r>
      <w:r w:rsidRPr="0006339E">
        <w:rPr>
          <w:rFonts w:ascii="Times New Roman" w:hAnsi="Times New Roman"/>
          <w:color w:val="000000"/>
          <w:sz w:val="26"/>
          <w:szCs w:val="26"/>
        </w:rPr>
        <w:t xml:space="preserve"> </w:t>
      </w:r>
      <w:r w:rsidR="00F443DB">
        <w:rPr>
          <w:rFonts w:ascii="Times New Roman" w:hAnsi="Times New Roman"/>
          <w:color w:val="000000"/>
          <w:sz w:val="26"/>
          <w:szCs w:val="26"/>
        </w:rPr>
        <w:t>6</w:t>
      </w:r>
      <w:r w:rsidRPr="0006339E">
        <w:rPr>
          <w:rFonts w:ascii="Times New Roman" w:hAnsi="Times New Roman"/>
          <w:color w:val="000000"/>
          <w:sz w:val="26"/>
          <w:szCs w:val="26"/>
        </w:rPr>
        <w:t>) Pašvaldību vērtējums par TUA pieteicēju ietekmi uz pašvaldību saistībā ar nekustamā īpašumu darījumiem</w:t>
      </w:r>
      <w:r w:rsidR="00327CF1" w:rsidRPr="0015127C">
        <w:rPr>
          <w:rFonts w:ascii="Times New Roman" w:hAnsi="Times New Roman"/>
          <w:sz w:val="26"/>
          <w:szCs w:val="26"/>
        </w:rPr>
        <w:t>.</w:t>
      </w:r>
    </w:p>
    <w:p w:rsidR="009B10A4" w:rsidRPr="00966703" w:rsidRDefault="009B10A4" w:rsidP="00F443DB">
      <w:pPr>
        <w:spacing w:after="120" w:line="240" w:lineRule="auto"/>
        <w:ind w:firstLine="567"/>
        <w:jc w:val="both"/>
        <w:rPr>
          <w:rFonts w:ascii="Times New Roman" w:hAnsi="Times New Roman"/>
          <w:color w:val="000000"/>
          <w:sz w:val="28"/>
          <w:szCs w:val="28"/>
          <w:highlight w:val="yellow"/>
        </w:rPr>
      </w:pPr>
    </w:p>
    <w:p w:rsidR="009B10A4" w:rsidRPr="0086329B" w:rsidRDefault="009B10A4" w:rsidP="002B224D">
      <w:pPr>
        <w:spacing w:after="120" w:line="240" w:lineRule="auto"/>
        <w:rPr>
          <w:rFonts w:ascii="Times New Roman" w:hAnsi="Times New Roman"/>
          <w:b/>
          <w:bCs/>
          <w:sz w:val="28"/>
          <w:szCs w:val="28"/>
        </w:rPr>
      </w:pPr>
      <w:r w:rsidRPr="00966703">
        <w:rPr>
          <w:rFonts w:ascii="Times New Roman" w:hAnsi="Times New Roman"/>
          <w:sz w:val="26"/>
          <w:szCs w:val="26"/>
          <w:highlight w:val="yellow"/>
        </w:rPr>
        <w:br w:type="page"/>
      </w:r>
      <w:r w:rsidRPr="0086329B">
        <w:rPr>
          <w:rFonts w:ascii="Times New Roman" w:hAnsi="Times New Roman"/>
          <w:b/>
          <w:bCs/>
          <w:sz w:val="28"/>
          <w:szCs w:val="28"/>
        </w:rPr>
        <w:lastRenderedPageBreak/>
        <w:t>Saturs</w:t>
      </w:r>
    </w:p>
    <w:p w:rsidR="009B10A4" w:rsidRPr="0086329B" w:rsidRDefault="009B10A4" w:rsidP="00F443DB">
      <w:pPr>
        <w:spacing w:after="120" w:line="240" w:lineRule="auto"/>
        <w:jc w:val="center"/>
        <w:rPr>
          <w:rFonts w:ascii="Times New Roman" w:hAnsi="Times New Roman"/>
          <w:sz w:val="26"/>
          <w:szCs w:val="26"/>
        </w:rPr>
      </w:pPr>
    </w:p>
    <w:p w:rsidR="002B224D" w:rsidRDefault="001279BF">
      <w:pPr>
        <w:pStyle w:val="TOC1"/>
        <w:rPr>
          <w:rFonts w:asciiTheme="minorHAnsi" w:eastAsiaTheme="minorEastAsia" w:hAnsiTheme="minorHAnsi" w:cstheme="minorBidi"/>
          <w:b w:val="0"/>
          <w:szCs w:val="22"/>
          <w:lang w:eastAsia="lv-LV"/>
        </w:rPr>
      </w:pPr>
      <w:r w:rsidRPr="0086329B">
        <w:rPr>
          <w:rFonts w:eastAsia="SimSun"/>
          <w:b w:val="0"/>
          <w:noProof w:val="0"/>
          <w:sz w:val="26"/>
          <w:szCs w:val="26"/>
        </w:rPr>
        <w:fldChar w:fldCharType="begin"/>
      </w:r>
      <w:r w:rsidR="009B10A4" w:rsidRPr="0086329B">
        <w:rPr>
          <w:rFonts w:eastAsia="SimSun"/>
          <w:b w:val="0"/>
          <w:noProof w:val="0"/>
          <w:sz w:val="26"/>
          <w:szCs w:val="26"/>
        </w:rPr>
        <w:instrText xml:space="preserve"> TOC \o "1-1" \h \z \u </w:instrText>
      </w:r>
      <w:r w:rsidRPr="0086329B">
        <w:rPr>
          <w:rFonts w:eastAsia="SimSun"/>
          <w:b w:val="0"/>
          <w:noProof w:val="0"/>
          <w:sz w:val="26"/>
          <w:szCs w:val="26"/>
        </w:rPr>
        <w:fldChar w:fldCharType="separate"/>
      </w:r>
      <w:hyperlink w:anchor="_Toc398179979" w:history="1">
        <w:r w:rsidR="002B224D" w:rsidRPr="00A16FB1">
          <w:rPr>
            <w:rStyle w:val="Hyperlink"/>
          </w:rPr>
          <w:t>Saīsinājumi</w:t>
        </w:r>
        <w:r w:rsidR="002B224D">
          <w:rPr>
            <w:webHidden/>
          </w:rPr>
          <w:tab/>
        </w:r>
        <w:r>
          <w:rPr>
            <w:webHidden/>
          </w:rPr>
          <w:fldChar w:fldCharType="begin"/>
        </w:r>
        <w:r w:rsidR="002B224D">
          <w:rPr>
            <w:webHidden/>
          </w:rPr>
          <w:instrText xml:space="preserve"> PAGEREF _Toc398179979 \h </w:instrText>
        </w:r>
        <w:r>
          <w:rPr>
            <w:webHidden/>
          </w:rPr>
        </w:r>
        <w:r>
          <w:rPr>
            <w:webHidden/>
          </w:rPr>
          <w:fldChar w:fldCharType="separate"/>
        </w:r>
        <w:r w:rsidR="00A14738">
          <w:rPr>
            <w:webHidden/>
          </w:rPr>
          <w:t>2</w:t>
        </w:r>
        <w:r>
          <w:rPr>
            <w:webHidden/>
          </w:rPr>
          <w:fldChar w:fldCharType="end"/>
        </w:r>
      </w:hyperlink>
    </w:p>
    <w:p w:rsidR="002B224D" w:rsidRDefault="00A624BB">
      <w:pPr>
        <w:pStyle w:val="TOC1"/>
        <w:rPr>
          <w:rFonts w:asciiTheme="minorHAnsi" w:eastAsiaTheme="minorEastAsia" w:hAnsiTheme="minorHAnsi" w:cstheme="minorBidi"/>
          <w:b w:val="0"/>
          <w:szCs w:val="22"/>
          <w:lang w:eastAsia="lv-LV"/>
        </w:rPr>
      </w:pPr>
      <w:hyperlink w:anchor="_Toc398179980" w:history="1">
        <w:r w:rsidR="002B224D" w:rsidRPr="00A16FB1">
          <w:rPr>
            <w:rStyle w:val="Hyperlink"/>
          </w:rPr>
          <w:t>1. Termiņuzturēšanās atļauju piešķiršanas dinamika 2004.-2013.gadā</w:t>
        </w:r>
        <w:r w:rsidR="002B224D">
          <w:rPr>
            <w:webHidden/>
          </w:rPr>
          <w:tab/>
        </w:r>
        <w:r w:rsidR="001279BF">
          <w:rPr>
            <w:webHidden/>
          </w:rPr>
          <w:fldChar w:fldCharType="begin"/>
        </w:r>
        <w:r w:rsidR="002B224D">
          <w:rPr>
            <w:webHidden/>
          </w:rPr>
          <w:instrText xml:space="preserve"> PAGEREF _Toc398179980 \h </w:instrText>
        </w:r>
        <w:r w:rsidR="001279BF">
          <w:rPr>
            <w:webHidden/>
          </w:rPr>
        </w:r>
        <w:r w:rsidR="001279BF">
          <w:rPr>
            <w:webHidden/>
          </w:rPr>
          <w:fldChar w:fldCharType="separate"/>
        </w:r>
        <w:r w:rsidR="00A14738">
          <w:rPr>
            <w:webHidden/>
          </w:rPr>
          <w:t>3</w:t>
        </w:r>
        <w:r w:rsidR="001279BF">
          <w:rPr>
            <w:webHidden/>
          </w:rPr>
          <w:fldChar w:fldCharType="end"/>
        </w:r>
      </w:hyperlink>
    </w:p>
    <w:p w:rsidR="002B224D" w:rsidRDefault="00A624BB">
      <w:pPr>
        <w:pStyle w:val="TOC1"/>
        <w:rPr>
          <w:rFonts w:asciiTheme="minorHAnsi" w:eastAsiaTheme="minorEastAsia" w:hAnsiTheme="minorHAnsi" w:cstheme="minorBidi"/>
          <w:b w:val="0"/>
          <w:szCs w:val="22"/>
          <w:lang w:eastAsia="lv-LV"/>
        </w:rPr>
      </w:pPr>
      <w:hyperlink w:anchor="_Toc398179981" w:history="1">
        <w:r w:rsidR="002B224D" w:rsidRPr="00A16FB1">
          <w:rPr>
            <w:rStyle w:val="Hyperlink"/>
          </w:rPr>
          <w:t>2. Ārvalstu investīcijas saistībā ar termiņuzturēšanās atļaujām</w:t>
        </w:r>
        <w:r w:rsidR="002B224D">
          <w:rPr>
            <w:webHidden/>
          </w:rPr>
          <w:tab/>
        </w:r>
        <w:r w:rsidR="001279BF">
          <w:rPr>
            <w:webHidden/>
          </w:rPr>
          <w:fldChar w:fldCharType="begin"/>
        </w:r>
        <w:r w:rsidR="002B224D">
          <w:rPr>
            <w:webHidden/>
          </w:rPr>
          <w:instrText xml:space="preserve"> PAGEREF _Toc398179981 \h </w:instrText>
        </w:r>
        <w:r w:rsidR="001279BF">
          <w:rPr>
            <w:webHidden/>
          </w:rPr>
        </w:r>
        <w:r w:rsidR="001279BF">
          <w:rPr>
            <w:webHidden/>
          </w:rPr>
          <w:fldChar w:fldCharType="separate"/>
        </w:r>
        <w:r w:rsidR="00A14738">
          <w:rPr>
            <w:webHidden/>
          </w:rPr>
          <w:t>4</w:t>
        </w:r>
        <w:r w:rsidR="001279BF">
          <w:rPr>
            <w:webHidden/>
          </w:rPr>
          <w:fldChar w:fldCharType="end"/>
        </w:r>
      </w:hyperlink>
    </w:p>
    <w:p w:rsidR="002B224D" w:rsidRDefault="00A624BB">
      <w:pPr>
        <w:pStyle w:val="TOC1"/>
        <w:rPr>
          <w:rFonts w:asciiTheme="minorHAnsi" w:eastAsiaTheme="minorEastAsia" w:hAnsiTheme="minorHAnsi" w:cstheme="minorBidi"/>
          <w:b w:val="0"/>
          <w:szCs w:val="22"/>
          <w:lang w:eastAsia="lv-LV"/>
        </w:rPr>
      </w:pPr>
      <w:hyperlink w:anchor="_Toc398179982" w:history="1">
        <w:r w:rsidR="002B224D" w:rsidRPr="00A16FB1">
          <w:rPr>
            <w:rStyle w:val="Hyperlink"/>
          </w:rPr>
          <w:t>3. Ārvalstu investoru valstiskā piederība</w:t>
        </w:r>
        <w:r w:rsidR="002B224D">
          <w:rPr>
            <w:webHidden/>
          </w:rPr>
          <w:tab/>
        </w:r>
        <w:r w:rsidR="001279BF">
          <w:rPr>
            <w:webHidden/>
          </w:rPr>
          <w:fldChar w:fldCharType="begin"/>
        </w:r>
        <w:r w:rsidR="002B224D">
          <w:rPr>
            <w:webHidden/>
          </w:rPr>
          <w:instrText xml:space="preserve"> PAGEREF _Toc398179982 \h </w:instrText>
        </w:r>
        <w:r w:rsidR="001279BF">
          <w:rPr>
            <w:webHidden/>
          </w:rPr>
        </w:r>
        <w:r w:rsidR="001279BF">
          <w:rPr>
            <w:webHidden/>
          </w:rPr>
          <w:fldChar w:fldCharType="separate"/>
        </w:r>
        <w:r w:rsidR="00A14738">
          <w:rPr>
            <w:webHidden/>
          </w:rPr>
          <w:t>7</w:t>
        </w:r>
        <w:r w:rsidR="001279BF">
          <w:rPr>
            <w:webHidden/>
          </w:rPr>
          <w:fldChar w:fldCharType="end"/>
        </w:r>
      </w:hyperlink>
    </w:p>
    <w:p w:rsidR="002B224D" w:rsidRDefault="00A624BB">
      <w:pPr>
        <w:pStyle w:val="TOC1"/>
        <w:rPr>
          <w:rFonts w:asciiTheme="minorHAnsi" w:eastAsiaTheme="minorEastAsia" w:hAnsiTheme="minorHAnsi" w:cstheme="minorBidi"/>
          <w:b w:val="0"/>
          <w:szCs w:val="22"/>
          <w:lang w:eastAsia="lv-LV"/>
        </w:rPr>
      </w:pPr>
      <w:hyperlink w:anchor="_Toc398179983" w:history="1">
        <w:r w:rsidR="002B224D" w:rsidRPr="00A16FB1">
          <w:rPr>
            <w:rStyle w:val="Hyperlink"/>
          </w:rPr>
          <w:t>4. Investīcijas nekustamajos īpašumos</w:t>
        </w:r>
        <w:r w:rsidR="002B224D">
          <w:rPr>
            <w:webHidden/>
          </w:rPr>
          <w:tab/>
        </w:r>
        <w:r w:rsidR="001279BF">
          <w:rPr>
            <w:webHidden/>
          </w:rPr>
          <w:fldChar w:fldCharType="begin"/>
        </w:r>
        <w:r w:rsidR="002B224D">
          <w:rPr>
            <w:webHidden/>
          </w:rPr>
          <w:instrText xml:space="preserve"> PAGEREF _Toc398179983 \h </w:instrText>
        </w:r>
        <w:r w:rsidR="001279BF">
          <w:rPr>
            <w:webHidden/>
          </w:rPr>
        </w:r>
        <w:r w:rsidR="001279BF">
          <w:rPr>
            <w:webHidden/>
          </w:rPr>
          <w:fldChar w:fldCharType="separate"/>
        </w:r>
        <w:r w:rsidR="00A14738">
          <w:rPr>
            <w:webHidden/>
          </w:rPr>
          <w:t>7</w:t>
        </w:r>
        <w:r w:rsidR="001279BF">
          <w:rPr>
            <w:webHidden/>
          </w:rPr>
          <w:fldChar w:fldCharType="end"/>
        </w:r>
      </w:hyperlink>
    </w:p>
    <w:p w:rsidR="002B224D" w:rsidRDefault="00A624BB">
      <w:pPr>
        <w:pStyle w:val="TOC1"/>
        <w:rPr>
          <w:rFonts w:asciiTheme="minorHAnsi" w:eastAsiaTheme="minorEastAsia" w:hAnsiTheme="minorHAnsi" w:cstheme="minorBidi"/>
          <w:b w:val="0"/>
          <w:szCs w:val="22"/>
          <w:lang w:eastAsia="lv-LV"/>
        </w:rPr>
      </w:pPr>
      <w:hyperlink w:anchor="_Toc398179984" w:history="1">
        <w:r w:rsidR="002B224D" w:rsidRPr="00A16FB1">
          <w:rPr>
            <w:rStyle w:val="Hyperlink"/>
          </w:rPr>
          <w:t>5. Finanšu investīcijas kredītiestādē</w:t>
        </w:r>
        <w:r w:rsidR="002B224D">
          <w:rPr>
            <w:webHidden/>
          </w:rPr>
          <w:tab/>
        </w:r>
        <w:r w:rsidR="001279BF">
          <w:rPr>
            <w:webHidden/>
          </w:rPr>
          <w:fldChar w:fldCharType="begin"/>
        </w:r>
        <w:r w:rsidR="002B224D">
          <w:rPr>
            <w:webHidden/>
          </w:rPr>
          <w:instrText xml:space="preserve"> PAGEREF _Toc398179984 \h </w:instrText>
        </w:r>
        <w:r w:rsidR="001279BF">
          <w:rPr>
            <w:webHidden/>
          </w:rPr>
        </w:r>
        <w:r w:rsidR="001279BF">
          <w:rPr>
            <w:webHidden/>
          </w:rPr>
          <w:fldChar w:fldCharType="separate"/>
        </w:r>
        <w:r w:rsidR="00A14738">
          <w:rPr>
            <w:webHidden/>
          </w:rPr>
          <w:t>13</w:t>
        </w:r>
        <w:r w:rsidR="001279BF">
          <w:rPr>
            <w:webHidden/>
          </w:rPr>
          <w:fldChar w:fldCharType="end"/>
        </w:r>
      </w:hyperlink>
    </w:p>
    <w:p w:rsidR="002B224D" w:rsidRDefault="00A624BB">
      <w:pPr>
        <w:pStyle w:val="TOC1"/>
        <w:rPr>
          <w:rFonts w:asciiTheme="minorHAnsi" w:eastAsiaTheme="minorEastAsia" w:hAnsiTheme="minorHAnsi" w:cstheme="minorBidi"/>
          <w:b w:val="0"/>
          <w:szCs w:val="22"/>
          <w:lang w:eastAsia="lv-LV"/>
        </w:rPr>
      </w:pPr>
      <w:hyperlink w:anchor="_Toc398179985" w:history="1">
        <w:r w:rsidR="002B224D" w:rsidRPr="00A16FB1">
          <w:rPr>
            <w:rStyle w:val="Hyperlink"/>
          </w:rPr>
          <w:t>6. Ieguldījumi kapitālsabiedrību pamatkapitālā un valdes locekļi</w:t>
        </w:r>
        <w:r w:rsidR="002B224D">
          <w:rPr>
            <w:webHidden/>
          </w:rPr>
          <w:tab/>
        </w:r>
        <w:r w:rsidR="001279BF">
          <w:rPr>
            <w:webHidden/>
          </w:rPr>
          <w:fldChar w:fldCharType="begin"/>
        </w:r>
        <w:r w:rsidR="002B224D">
          <w:rPr>
            <w:webHidden/>
          </w:rPr>
          <w:instrText xml:space="preserve"> PAGEREF _Toc398179985 \h </w:instrText>
        </w:r>
        <w:r w:rsidR="001279BF">
          <w:rPr>
            <w:webHidden/>
          </w:rPr>
        </w:r>
        <w:r w:rsidR="001279BF">
          <w:rPr>
            <w:webHidden/>
          </w:rPr>
          <w:fldChar w:fldCharType="separate"/>
        </w:r>
        <w:r w:rsidR="00A14738">
          <w:rPr>
            <w:webHidden/>
          </w:rPr>
          <w:t>14</w:t>
        </w:r>
        <w:r w:rsidR="001279BF">
          <w:rPr>
            <w:webHidden/>
          </w:rPr>
          <w:fldChar w:fldCharType="end"/>
        </w:r>
      </w:hyperlink>
    </w:p>
    <w:p w:rsidR="002B224D" w:rsidRDefault="00A624BB">
      <w:pPr>
        <w:pStyle w:val="TOC1"/>
        <w:rPr>
          <w:rFonts w:asciiTheme="minorHAnsi" w:eastAsiaTheme="minorEastAsia" w:hAnsiTheme="minorHAnsi" w:cstheme="minorBidi"/>
          <w:b w:val="0"/>
          <w:szCs w:val="22"/>
          <w:lang w:eastAsia="lv-LV"/>
        </w:rPr>
      </w:pPr>
      <w:hyperlink w:anchor="_Toc398179986" w:history="1">
        <w:r w:rsidR="002B224D" w:rsidRPr="00A16FB1">
          <w:rPr>
            <w:rStyle w:val="Hyperlink"/>
          </w:rPr>
          <w:t>7. Ietekme uz tautsaimniecības reālo sektoru</w:t>
        </w:r>
        <w:r w:rsidR="002B224D">
          <w:rPr>
            <w:webHidden/>
          </w:rPr>
          <w:tab/>
        </w:r>
        <w:r w:rsidR="001279BF">
          <w:rPr>
            <w:webHidden/>
          </w:rPr>
          <w:fldChar w:fldCharType="begin"/>
        </w:r>
        <w:r w:rsidR="002B224D">
          <w:rPr>
            <w:webHidden/>
          </w:rPr>
          <w:instrText xml:space="preserve"> PAGEREF _Toc398179986 \h </w:instrText>
        </w:r>
        <w:r w:rsidR="001279BF">
          <w:rPr>
            <w:webHidden/>
          </w:rPr>
        </w:r>
        <w:r w:rsidR="001279BF">
          <w:rPr>
            <w:webHidden/>
          </w:rPr>
          <w:fldChar w:fldCharType="separate"/>
        </w:r>
        <w:r w:rsidR="00A14738">
          <w:rPr>
            <w:webHidden/>
          </w:rPr>
          <w:t>18</w:t>
        </w:r>
        <w:r w:rsidR="001279BF">
          <w:rPr>
            <w:webHidden/>
          </w:rPr>
          <w:fldChar w:fldCharType="end"/>
        </w:r>
      </w:hyperlink>
    </w:p>
    <w:p w:rsidR="002B224D" w:rsidRDefault="00A624BB">
      <w:pPr>
        <w:pStyle w:val="TOC1"/>
        <w:rPr>
          <w:rFonts w:asciiTheme="minorHAnsi" w:eastAsiaTheme="minorEastAsia" w:hAnsiTheme="minorHAnsi" w:cstheme="minorBidi"/>
          <w:b w:val="0"/>
          <w:szCs w:val="22"/>
          <w:lang w:eastAsia="lv-LV"/>
        </w:rPr>
      </w:pPr>
      <w:hyperlink w:anchor="_Toc398179987" w:history="1">
        <w:r w:rsidR="002B224D" w:rsidRPr="00A16FB1">
          <w:rPr>
            <w:rStyle w:val="Hyperlink"/>
          </w:rPr>
          <w:t>8. Ietekme uz finanšu sektoru</w:t>
        </w:r>
        <w:r w:rsidR="002B224D">
          <w:rPr>
            <w:webHidden/>
          </w:rPr>
          <w:tab/>
        </w:r>
        <w:r w:rsidR="001279BF">
          <w:rPr>
            <w:webHidden/>
          </w:rPr>
          <w:fldChar w:fldCharType="begin"/>
        </w:r>
        <w:r w:rsidR="002B224D">
          <w:rPr>
            <w:webHidden/>
          </w:rPr>
          <w:instrText xml:space="preserve"> PAGEREF _Toc398179987 \h </w:instrText>
        </w:r>
        <w:r w:rsidR="001279BF">
          <w:rPr>
            <w:webHidden/>
          </w:rPr>
        </w:r>
        <w:r w:rsidR="001279BF">
          <w:rPr>
            <w:webHidden/>
          </w:rPr>
          <w:fldChar w:fldCharType="separate"/>
        </w:r>
        <w:r w:rsidR="00A14738">
          <w:rPr>
            <w:webHidden/>
          </w:rPr>
          <w:t>19</w:t>
        </w:r>
        <w:r w:rsidR="001279BF">
          <w:rPr>
            <w:webHidden/>
          </w:rPr>
          <w:fldChar w:fldCharType="end"/>
        </w:r>
      </w:hyperlink>
    </w:p>
    <w:p w:rsidR="002B224D" w:rsidRDefault="00A624BB">
      <w:pPr>
        <w:pStyle w:val="TOC1"/>
        <w:rPr>
          <w:rFonts w:asciiTheme="minorHAnsi" w:eastAsiaTheme="minorEastAsia" w:hAnsiTheme="minorHAnsi" w:cstheme="minorBidi"/>
          <w:b w:val="0"/>
          <w:szCs w:val="22"/>
          <w:lang w:eastAsia="lv-LV"/>
        </w:rPr>
      </w:pPr>
      <w:hyperlink w:anchor="_Toc398179988" w:history="1">
        <w:r w:rsidR="002B224D" w:rsidRPr="00A16FB1">
          <w:rPr>
            <w:rStyle w:val="Hyperlink"/>
          </w:rPr>
          <w:t>9. Ietekme uz valsts un pašvaldību budžetiem</w:t>
        </w:r>
        <w:r w:rsidR="002B224D">
          <w:rPr>
            <w:webHidden/>
          </w:rPr>
          <w:tab/>
        </w:r>
        <w:r w:rsidR="001279BF">
          <w:rPr>
            <w:webHidden/>
          </w:rPr>
          <w:fldChar w:fldCharType="begin"/>
        </w:r>
        <w:r w:rsidR="002B224D">
          <w:rPr>
            <w:webHidden/>
          </w:rPr>
          <w:instrText xml:space="preserve"> PAGEREF _Toc398179988 \h </w:instrText>
        </w:r>
        <w:r w:rsidR="001279BF">
          <w:rPr>
            <w:webHidden/>
          </w:rPr>
        </w:r>
        <w:r w:rsidR="001279BF">
          <w:rPr>
            <w:webHidden/>
          </w:rPr>
          <w:fldChar w:fldCharType="separate"/>
        </w:r>
        <w:r w:rsidR="00A14738">
          <w:rPr>
            <w:webHidden/>
          </w:rPr>
          <w:t>21</w:t>
        </w:r>
        <w:r w:rsidR="001279BF">
          <w:rPr>
            <w:webHidden/>
          </w:rPr>
          <w:fldChar w:fldCharType="end"/>
        </w:r>
      </w:hyperlink>
    </w:p>
    <w:p w:rsidR="002B224D" w:rsidRDefault="00A624BB">
      <w:pPr>
        <w:pStyle w:val="TOC1"/>
        <w:rPr>
          <w:rFonts w:asciiTheme="minorHAnsi" w:eastAsiaTheme="minorEastAsia" w:hAnsiTheme="minorHAnsi" w:cstheme="minorBidi"/>
          <w:b w:val="0"/>
          <w:szCs w:val="22"/>
          <w:lang w:eastAsia="lv-LV"/>
        </w:rPr>
      </w:pPr>
      <w:hyperlink w:anchor="_Toc398179989" w:history="1">
        <w:r w:rsidR="002B224D" w:rsidRPr="00A16FB1">
          <w:rPr>
            <w:rStyle w:val="Hyperlink"/>
          </w:rPr>
          <w:t>10. Ietekme uz sabiedrību</w:t>
        </w:r>
        <w:r w:rsidR="002B224D">
          <w:rPr>
            <w:webHidden/>
          </w:rPr>
          <w:tab/>
        </w:r>
        <w:r w:rsidR="001279BF">
          <w:rPr>
            <w:webHidden/>
          </w:rPr>
          <w:fldChar w:fldCharType="begin"/>
        </w:r>
        <w:r w:rsidR="002B224D">
          <w:rPr>
            <w:webHidden/>
          </w:rPr>
          <w:instrText xml:space="preserve"> PAGEREF _Toc398179989 \h </w:instrText>
        </w:r>
        <w:r w:rsidR="001279BF">
          <w:rPr>
            <w:webHidden/>
          </w:rPr>
        </w:r>
        <w:r w:rsidR="001279BF">
          <w:rPr>
            <w:webHidden/>
          </w:rPr>
          <w:fldChar w:fldCharType="separate"/>
        </w:r>
        <w:r w:rsidR="00A14738">
          <w:rPr>
            <w:webHidden/>
          </w:rPr>
          <w:t>22</w:t>
        </w:r>
        <w:r w:rsidR="001279BF">
          <w:rPr>
            <w:webHidden/>
          </w:rPr>
          <w:fldChar w:fldCharType="end"/>
        </w:r>
      </w:hyperlink>
    </w:p>
    <w:p w:rsidR="002B224D" w:rsidRDefault="00A624BB">
      <w:pPr>
        <w:pStyle w:val="TOC1"/>
        <w:rPr>
          <w:rFonts w:asciiTheme="minorHAnsi" w:eastAsiaTheme="minorEastAsia" w:hAnsiTheme="minorHAnsi" w:cstheme="minorBidi"/>
          <w:b w:val="0"/>
          <w:szCs w:val="22"/>
          <w:lang w:eastAsia="lv-LV"/>
        </w:rPr>
      </w:pPr>
      <w:hyperlink w:anchor="_Toc398179990" w:history="1">
        <w:r w:rsidR="002B224D" w:rsidRPr="00A16FB1">
          <w:rPr>
            <w:rStyle w:val="Hyperlink"/>
          </w:rPr>
          <w:t>Secinājumi</w:t>
        </w:r>
        <w:r w:rsidR="002B224D">
          <w:rPr>
            <w:webHidden/>
          </w:rPr>
          <w:tab/>
        </w:r>
        <w:r w:rsidR="001279BF">
          <w:rPr>
            <w:webHidden/>
          </w:rPr>
          <w:fldChar w:fldCharType="begin"/>
        </w:r>
        <w:r w:rsidR="002B224D">
          <w:rPr>
            <w:webHidden/>
          </w:rPr>
          <w:instrText xml:space="preserve"> PAGEREF _Toc398179990 \h </w:instrText>
        </w:r>
        <w:r w:rsidR="001279BF">
          <w:rPr>
            <w:webHidden/>
          </w:rPr>
        </w:r>
        <w:r w:rsidR="001279BF">
          <w:rPr>
            <w:webHidden/>
          </w:rPr>
          <w:fldChar w:fldCharType="separate"/>
        </w:r>
        <w:r w:rsidR="00A14738">
          <w:rPr>
            <w:webHidden/>
          </w:rPr>
          <w:t>23</w:t>
        </w:r>
        <w:r w:rsidR="001279BF">
          <w:rPr>
            <w:webHidden/>
          </w:rPr>
          <w:fldChar w:fldCharType="end"/>
        </w:r>
      </w:hyperlink>
    </w:p>
    <w:p w:rsidR="009B10A4" w:rsidRPr="0086329B" w:rsidRDefault="001279BF" w:rsidP="00F443DB">
      <w:pPr>
        <w:pStyle w:val="Heading1"/>
        <w:tabs>
          <w:tab w:val="right" w:leader="dot" w:pos="8789"/>
          <w:tab w:val="right" w:leader="dot" w:pos="8931"/>
          <w:tab w:val="right" w:leader="dot" w:pos="9072"/>
          <w:tab w:val="right" w:leader="dot" w:pos="9356"/>
        </w:tabs>
        <w:spacing w:before="0" w:after="120" w:line="240" w:lineRule="auto"/>
        <w:ind w:left="1134"/>
        <w:rPr>
          <w:rFonts w:ascii="Times New Roman" w:hAnsi="Times New Roman"/>
          <w:b w:val="0"/>
          <w:color w:val="auto"/>
          <w:sz w:val="26"/>
          <w:szCs w:val="26"/>
        </w:rPr>
      </w:pPr>
      <w:r w:rsidRPr="0086329B">
        <w:rPr>
          <w:b w:val="0"/>
          <w:sz w:val="26"/>
          <w:szCs w:val="26"/>
        </w:rPr>
        <w:fldChar w:fldCharType="end"/>
      </w:r>
    </w:p>
    <w:p w:rsidR="009B10A4" w:rsidRPr="0086329B" w:rsidRDefault="009B10A4" w:rsidP="00F443DB">
      <w:pPr>
        <w:spacing w:after="120" w:line="240" w:lineRule="auto"/>
      </w:pPr>
    </w:p>
    <w:p w:rsidR="009B10A4" w:rsidRPr="0086329B" w:rsidRDefault="009B10A4" w:rsidP="00F443DB">
      <w:pPr>
        <w:spacing w:after="120" w:line="240" w:lineRule="auto"/>
      </w:pPr>
      <w:bookmarkStart w:id="0" w:name="_Toc216077028"/>
      <w:bookmarkStart w:id="1" w:name="_Toc216077732"/>
      <w:bookmarkStart w:id="2" w:name="_Toc216077836"/>
      <w:bookmarkStart w:id="3" w:name="_Toc216077916"/>
      <w:bookmarkStart w:id="4" w:name="_Toc216078658"/>
      <w:bookmarkStart w:id="5" w:name="_Toc216079262"/>
      <w:bookmarkStart w:id="6" w:name="_Toc216079505"/>
      <w:bookmarkStart w:id="7" w:name="_Toc216079573"/>
      <w:bookmarkStart w:id="8" w:name="_Toc216079635"/>
      <w:bookmarkStart w:id="9" w:name="_Toc216079691"/>
      <w:bookmarkStart w:id="10" w:name="_Toc216079747"/>
      <w:bookmarkStart w:id="11" w:name="_Toc216079803"/>
      <w:bookmarkStart w:id="12" w:name="_Toc216080160"/>
      <w:bookmarkStart w:id="13" w:name="_Toc216083814"/>
    </w:p>
    <w:p w:rsidR="009B10A4" w:rsidRPr="0086329B" w:rsidRDefault="009B10A4" w:rsidP="00F443DB">
      <w:pPr>
        <w:pStyle w:val="Heading1"/>
        <w:spacing w:before="0" w:after="120" w:line="240" w:lineRule="auto"/>
        <w:jc w:val="center"/>
        <w:rPr>
          <w:rFonts w:ascii="Times New Roman" w:hAnsi="Times New Roman"/>
          <w:color w:val="auto"/>
        </w:rPr>
      </w:pPr>
      <w:bookmarkStart w:id="14" w:name="_Toc398179979"/>
      <w:r w:rsidRPr="0086329B">
        <w:rPr>
          <w:rFonts w:ascii="Times New Roman" w:hAnsi="Times New Roman"/>
          <w:color w:val="auto"/>
        </w:rPr>
        <w:t>Saīsinājumi</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9B10A4" w:rsidRPr="00966703" w:rsidRDefault="009B10A4" w:rsidP="00F443DB">
      <w:pPr>
        <w:spacing w:after="120" w:line="240" w:lineRule="auto"/>
        <w:jc w:val="center"/>
        <w:rPr>
          <w:rFonts w:ascii="Times New Roman" w:hAnsi="Times New Roman"/>
          <w:sz w:val="26"/>
          <w:szCs w:val="26"/>
          <w:highlight w:val="yellow"/>
        </w:rPr>
      </w:pPr>
    </w:p>
    <w:tbl>
      <w:tblPr>
        <w:tblW w:w="0" w:type="auto"/>
        <w:tblLayout w:type="fixed"/>
        <w:tblCellMar>
          <w:left w:w="107" w:type="dxa"/>
          <w:right w:w="107" w:type="dxa"/>
        </w:tblCellMar>
        <w:tblLook w:val="0000" w:firstRow="0" w:lastRow="0" w:firstColumn="0" w:lastColumn="0" w:noHBand="0" w:noVBand="0"/>
      </w:tblPr>
      <w:tblGrid>
        <w:gridCol w:w="1468"/>
        <w:gridCol w:w="7599"/>
      </w:tblGrid>
      <w:tr w:rsidR="009B10A4" w:rsidRPr="002B224D" w:rsidTr="0069064B">
        <w:tc>
          <w:tcPr>
            <w:tcW w:w="1468" w:type="dxa"/>
          </w:tcPr>
          <w:p w:rsidR="009B10A4" w:rsidRPr="0086329B" w:rsidRDefault="009B10A4" w:rsidP="00F443DB">
            <w:pPr>
              <w:spacing w:after="120" w:line="240" w:lineRule="auto"/>
              <w:rPr>
                <w:rFonts w:ascii="Times New Roman" w:hAnsi="Times New Roman"/>
                <w:sz w:val="24"/>
                <w:szCs w:val="24"/>
              </w:rPr>
            </w:pPr>
            <w:r w:rsidRPr="0086329B">
              <w:rPr>
                <w:rFonts w:ascii="Times New Roman" w:hAnsi="Times New Roman"/>
                <w:sz w:val="24"/>
                <w:szCs w:val="24"/>
              </w:rPr>
              <w:t>ĀTI</w:t>
            </w:r>
          </w:p>
        </w:tc>
        <w:tc>
          <w:tcPr>
            <w:tcW w:w="7599" w:type="dxa"/>
          </w:tcPr>
          <w:p w:rsidR="009B10A4" w:rsidRPr="0086329B" w:rsidRDefault="009B10A4" w:rsidP="00F443DB">
            <w:pPr>
              <w:spacing w:after="120" w:line="240" w:lineRule="auto"/>
              <w:rPr>
                <w:rFonts w:ascii="Times New Roman" w:hAnsi="Times New Roman"/>
                <w:sz w:val="24"/>
                <w:szCs w:val="24"/>
              </w:rPr>
            </w:pPr>
            <w:r w:rsidRPr="0086329B">
              <w:rPr>
                <w:rFonts w:ascii="Times New Roman" w:hAnsi="Times New Roman"/>
                <w:sz w:val="24"/>
                <w:szCs w:val="24"/>
              </w:rPr>
              <w:t>Ārvalstu tiešās investīcijas</w:t>
            </w:r>
          </w:p>
        </w:tc>
      </w:tr>
      <w:tr w:rsidR="009B10A4" w:rsidRPr="002B224D" w:rsidTr="0069064B">
        <w:tc>
          <w:tcPr>
            <w:tcW w:w="1468" w:type="dxa"/>
          </w:tcPr>
          <w:p w:rsidR="009B10A4" w:rsidRPr="0086329B" w:rsidRDefault="009B10A4" w:rsidP="00F443DB">
            <w:pPr>
              <w:spacing w:after="120" w:line="240" w:lineRule="auto"/>
              <w:rPr>
                <w:rFonts w:ascii="Times New Roman" w:hAnsi="Times New Roman"/>
                <w:sz w:val="24"/>
                <w:szCs w:val="24"/>
              </w:rPr>
            </w:pPr>
            <w:r w:rsidRPr="0086329B">
              <w:rPr>
                <w:rFonts w:ascii="Times New Roman" w:hAnsi="Times New Roman"/>
                <w:sz w:val="24"/>
                <w:szCs w:val="24"/>
              </w:rPr>
              <w:t>FKTK</w:t>
            </w:r>
          </w:p>
        </w:tc>
        <w:tc>
          <w:tcPr>
            <w:tcW w:w="7599" w:type="dxa"/>
          </w:tcPr>
          <w:p w:rsidR="009B10A4" w:rsidRPr="0086329B" w:rsidRDefault="009B10A4" w:rsidP="00F443DB">
            <w:pPr>
              <w:spacing w:after="120" w:line="240" w:lineRule="auto"/>
              <w:rPr>
                <w:rFonts w:ascii="Times New Roman" w:hAnsi="Times New Roman"/>
                <w:sz w:val="24"/>
                <w:szCs w:val="24"/>
              </w:rPr>
            </w:pPr>
            <w:r w:rsidRPr="0086329B">
              <w:rPr>
                <w:rFonts w:ascii="Times New Roman" w:hAnsi="Times New Roman"/>
                <w:sz w:val="24"/>
                <w:szCs w:val="24"/>
              </w:rPr>
              <w:t>Finanšu un kapitāla tirgus komisija</w:t>
            </w:r>
          </w:p>
        </w:tc>
      </w:tr>
      <w:tr w:rsidR="009B10A4" w:rsidRPr="002B224D" w:rsidTr="0069064B">
        <w:tc>
          <w:tcPr>
            <w:tcW w:w="1468" w:type="dxa"/>
          </w:tcPr>
          <w:p w:rsidR="009B10A4" w:rsidRPr="0086329B" w:rsidRDefault="009B10A4" w:rsidP="00F443DB">
            <w:pPr>
              <w:spacing w:after="120" w:line="240" w:lineRule="auto"/>
              <w:rPr>
                <w:rFonts w:ascii="Times New Roman" w:hAnsi="Times New Roman"/>
                <w:sz w:val="24"/>
                <w:szCs w:val="24"/>
              </w:rPr>
            </w:pPr>
            <w:r w:rsidRPr="0086329B">
              <w:rPr>
                <w:rFonts w:ascii="Times New Roman" w:hAnsi="Times New Roman"/>
                <w:sz w:val="24"/>
                <w:szCs w:val="24"/>
              </w:rPr>
              <w:t>IKP</w:t>
            </w:r>
          </w:p>
        </w:tc>
        <w:tc>
          <w:tcPr>
            <w:tcW w:w="7599" w:type="dxa"/>
          </w:tcPr>
          <w:p w:rsidR="009B10A4" w:rsidRPr="0086329B" w:rsidRDefault="009B10A4" w:rsidP="00F443DB">
            <w:pPr>
              <w:spacing w:after="120" w:line="240" w:lineRule="auto"/>
              <w:rPr>
                <w:rFonts w:ascii="Times New Roman" w:hAnsi="Times New Roman"/>
                <w:sz w:val="24"/>
                <w:szCs w:val="24"/>
              </w:rPr>
            </w:pPr>
            <w:r w:rsidRPr="0086329B">
              <w:rPr>
                <w:rFonts w:ascii="Times New Roman" w:hAnsi="Times New Roman"/>
                <w:sz w:val="24"/>
                <w:szCs w:val="24"/>
              </w:rPr>
              <w:t>Iekšzemes kopprodukts</w:t>
            </w:r>
          </w:p>
        </w:tc>
      </w:tr>
      <w:tr w:rsidR="009B10A4" w:rsidRPr="002B224D" w:rsidTr="0069064B">
        <w:tc>
          <w:tcPr>
            <w:tcW w:w="1468" w:type="dxa"/>
          </w:tcPr>
          <w:p w:rsidR="009B10A4" w:rsidRPr="0086329B" w:rsidRDefault="009B10A4" w:rsidP="00F65283">
            <w:pPr>
              <w:spacing w:after="120" w:line="240" w:lineRule="auto"/>
              <w:rPr>
                <w:rFonts w:ascii="Times New Roman" w:hAnsi="Times New Roman"/>
                <w:sz w:val="24"/>
                <w:szCs w:val="24"/>
              </w:rPr>
            </w:pPr>
            <w:r w:rsidRPr="002B224D">
              <w:rPr>
                <w:rFonts w:ascii="Times New Roman" w:hAnsi="Times New Roman"/>
                <w:sz w:val="24"/>
                <w:szCs w:val="24"/>
              </w:rPr>
              <w:t>LANĪDA</w:t>
            </w:r>
            <w:r w:rsidR="00F44A2C" w:rsidRPr="002B224D">
              <w:rPr>
                <w:rFonts w:ascii="Times New Roman" w:hAnsi="Times New Roman"/>
                <w:sz w:val="24"/>
                <w:szCs w:val="24"/>
              </w:rPr>
              <w:t xml:space="preserve"> </w:t>
            </w:r>
          </w:p>
        </w:tc>
        <w:tc>
          <w:tcPr>
            <w:tcW w:w="7599" w:type="dxa"/>
          </w:tcPr>
          <w:p w:rsidR="00F44A2C" w:rsidRPr="0086329B" w:rsidRDefault="009B10A4" w:rsidP="00F65283">
            <w:pPr>
              <w:spacing w:after="120" w:line="240" w:lineRule="auto"/>
              <w:rPr>
                <w:rFonts w:ascii="Times New Roman" w:hAnsi="Times New Roman"/>
                <w:sz w:val="24"/>
                <w:szCs w:val="24"/>
              </w:rPr>
            </w:pPr>
            <w:r w:rsidRPr="002B224D">
              <w:rPr>
                <w:rFonts w:ascii="Times New Roman" w:hAnsi="Times New Roman"/>
                <w:sz w:val="24"/>
                <w:szCs w:val="24"/>
              </w:rPr>
              <w:t xml:space="preserve">Latvijas nekustamo īpašumu darījumu asociācija </w:t>
            </w:r>
          </w:p>
        </w:tc>
      </w:tr>
      <w:tr w:rsidR="009B10A4" w:rsidRPr="002B224D" w:rsidTr="0069064B">
        <w:tc>
          <w:tcPr>
            <w:tcW w:w="1468" w:type="dxa"/>
          </w:tcPr>
          <w:p w:rsidR="009B10A4" w:rsidRPr="0086329B" w:rsidRDefault="009B10A4" w:rsidP="00F443DB">
            <w:pPr>
              <w:spacing w:after="120" w:line="240" w:lineRule="auto"/>
              <w:rPr>
                <w:rFonts w:ascii="Times New Roman" w:hAnsi="Times New Roman"/>
                <w:sz w:val="24"/>
                <w:szCs w:val="24"/>
              </w:rPr>
            </w:pPr>
            <w:r w:rsidRPr="0086329B">
              <w:rPr>
                <w:rFonts w:ascii="Times New Roman" w:hAnsi="Times New Roman"/>
                <w:sz w:val="24"/>
                <w:szCs w:val="24"/>
              </w:rPr>
              <w:t>PMLP</w:t>
            </w:r>
          </w:p>
        </w:tc>
        <w:tc>
          <w:tcPr>
            <w:tcW w:w="7599" w:type="dxa"/>
          </w:tcPr>
          <w:p w:rsidR="009B10A4" w:rsidRPr="0086329B" w:rsidRDefault="009B10A4" w:rsidP="00F443DB">
            <w:pPr>
              <w:spacing w:after="120" w:line="240" w:lineRule="auto"/>
              <w:rPr>
                <w:rFonts w:ascii="Times New Roman" w:hAnsi="Times New Roman"/>
                <w:sz w:val="24"/>
                <w:szCs w:val="24"/>
              </w:rPr>
            </w:pPr>
            <w:r w:rsidRPr="0086329B">
              <w:rPr>
                <w:rFonts w:ascii="Times New Roman" w:hAnsi="Times New Roman"/>
                <w:sz w:val="24"/>
                <w:szCs w:val="24"/>
              </w:rPr>
              <w:t>Pilsonības</w:t>
            </w:r>
            <w:r w:rsidR="00874066" w:rsidRPr="0086329B">
              <w:rPr>
                <w:rFonts w:ascii="Times New Roman" w:hAnsi="Times New Roman"/>
                <w:sz w:val="24"/>
                <w:szCs w:val="24"/>
              </w:rPr>
              <w:t xml:space="preserve"> un</w:t>
            </w:r>
            <w:r w:rsidRPr="0086329B">
              <w:rPr>
                <w:rFonts w:ascii="Times New Roman" w:hAnsi="Times New Roman"/>
                <w:sz w:val="24"/>
                <w:szCs w:val="24"/>
              </w:rPr>
              <w:t xml:space="preserve"> migrācijas lietu pārvalde</w:t>
            </w:r>
          </w:p>
        </w:tc>
      </w:tr>
      <w:tr w:rsidR="009B10A4" w:rsidRPr="002B224D" w:rsidTr="0069064B">
        <w:tc>
          <w:tcPr>
            <w:tcW w:w="1468" w:type="dxa"/>
          </w:tcPr>
          <w:p w:rsidR="009B10A4" w:rsidRPr="0086329B" w:rsidRDefault="009B10A4" w:rsidP="00F443DB">
            <w:pPr>
              <w:spacing w:after="120" w:line="240" w:lineRule="auto"/>
              <w:rPr>
                <w:rFonts w:ascii="Times New Roman" w:hAnsi="Times New Roman"/>
                <w:sz w:val="24"/>
                <w:szCs w:val="24"/>
              </w:rPr>
            </w:pPr>
            <w:r w:rsidRPr="0086329B">
              <w:rPr>
                <w:rFonts w:ascii="Times New Roman" w:hAnsi="Times New Roman"/>
                <w:sz w:val="24"/>
                <w:szCs w:val="24"/>
              </w:rPr>
              <w:t>TUA</w:t>
            </w:r>
          </w:p>
        </w:tc>
        <w:tc>
          <w:tcPr>
            <w:tcW w:w="7599" w:type="dxa"/>
          </w:tcPr>
          <w:p w:rsidR="009B10A4" w:rsidRPr="0086329B" w:rsidRDefault="009B10A4" w:rsidP="00F443DB">
            <w:pPr>
              <w:spacing w:after="120" w:line="240" w:lineRule="auto"/>
              <w:rPr>
                <w:rFonts w:ascii="Times New Roman" w:hAnsi="Times New Roman"/>
                <w:sz w:val="24"/>
                <w:szCs w:val="24"/>
              </w:rPr>
            </w:pPr>
            <w:r w:rsidRPr="0086329B">
              <w:rPr>
                <w:rFonts w:ascii="Times New Roman" w:hAnsi="Times New Roman"/>
                <w:sz w:val="24"/>
                <w:szCs w:val="24"/>
              </w:rPr>
              <w:t>Termiņuzturēšanās atļauja</w:t>
            </w:r>
          </w:p>
        </w:tc>
      </w:tr>
      <w:tr w:rsidR="009B10A4" w:rsidRPr="002B224D" w:rsidTr="0069064B">
        <w:tc>
          <w:tcPr>
            <w:tcW w:w="1468" w:type="dxa"/>
          </w:tcPr>
          <w:p w:rsidR="009B10A4" w:rsidRPr="0086329B" w:rsidRDefault="009B10A4" w:rsidP="00F443DB">
            <w:pPr>
              <w:spacing w:after="120" w:line="240" w:lineRule="auto"/>
              <w:rPr>
                <w:rFonts w:ascii="Times New Roman" w:hAnsi="Times New Roman"/>
                <w:sz w:val="24"/>
                <w:szCs w:val="24"/>
              </w:rPr>
            </w:pPr>
            <w:smartTag w:uri="schemas-tilde-lv/tildestengine" w:element="currency2">
              <w:smartTagPr>
                <w:attr w:name="currency_text" w:val="USD"/>
                <w:attr w:name="currency_value" w:val="1"/>
                <w:attr w:name="currency_key" w:val="USD"/>
                <w:attr w:name="currency_id" w:val="45"/>
              </w:smartTagPr>
              <w:r w:rsidRPr="0086329B">
                <w:rPr>
                  <w:rFonts w:ascii="Times New Roman" w:hAnsi="Times New Roman"/>
                  <w:sz w:val="24"/>
                  <w:szCs w:val="24"/>
                </w:rPr>
                <w:t>USD</w:t>
              </w:r>
            </w:smartTag>
          </w:p>
        </w:tc>
        <w:tc>
          <w:tcPr>
            <w:tcW w:w="7599" w:type="dxa"/>
          </w:tcPr>
          <w:p w:rsidR="009B10A4" w:rsidRPr="0086329B" w:rsidRDefault="009B10A4" w:rsidP="00F443DB">
            <w:pPr>
              <w:spacing w:after="120" w:line="240" w:lineRule="auto"/>
              <w:rPr>
                <w:rFonts w:ascii="Times New Roman" w:hAnsi="Times New Roman"/>
                <w:sz w:val="24"/>
                <w:szCs w:val="24"/>
              </w:rPr>
            </w:pPr>
            <w:r w:rsidRPr="0086329B">
              <w:rPr>
                <w:rFonts w:ascii="Times New Roman" w:hAnsi="Times New Roman"/>
                <w:sz w:val="24"/>
                <w:szCs w:val="24"/>
              </w:rPr>
              <w:t>ASV dolārs</w:t>
            </w:r>
          </w:p>
        </w:tc>
      </w:tr>
      <w:tr w:rsidR="009B10A4" w:rsidRPr="002B224D" w:rsidTr="0069064B">
        <w:tc>
          <w:tcPr>
            <w:tcW w:w="1468" w:type="dxa"/>
          </w:tcPr>
          <w:p w:rsidR="009B10A4" w:rsidRPr="0086329B" w:rsidRDefault="009B10A4" w:rsidP="00F443DB">
            <w:pPr>
              <w:spacing w:after="120" w:line="240" w:lineRule="auto"/>
              <w:rPr>
                <w:rFonts w:ascii="Times New Roman" w:hAnsi="Times New Roman"/>
                <w:sz w:val="24"/>
                <w:szCs w:val="24"/>
              </w:rPr>
            </w:pPr>
            <w:r w:rsidRPr="0086329B">
              <w:rPr>
                <w:rFonts w:ascii="Times New Roman" w:hAnsi="Times New Roman"/>
                <w:sz w:val="24"/>
                <w:szCs w:val="24"/>
              </w:rPr>
              <w:t>VID</w:t>
            </w:r>
          </w:p>
        </w:tc>
        <w:tc>
          <w:tcPr>
            <w:tcW w:w="7599" w:type="dxa"/>
          </w:tcPr>
          <w:p w:rsidR="009B10A4" w:rsidRPr="0086329B" w:rsidRDefault="009B10A4" w:rsidP="00F443DB">
            <w:pPr>
              <w:spacing w:after="120" w:line="240" w:lineRule="auto"/>
              <w:rPr>
                <w:rFonts w:ascii="Times New Roman" w:hAnsi="Times New Roman"/>
                <w:sz w:val="24"/>
                <w:szCs w:val="24"/>
              </w:rPr>
            </w:pPr>
            <w:r w:rsidRPr="0086329B">
              <w:rPr>
                <w:rFonts w:ascii="Times New Roman" w:hAnsi="Times New Roman"/>
                <w:sz w:val="24"/>
                <w:szCs w:val="24"/>
              </w:rPr>
              <w:t>Valsts ieņēmumu dienests</w:t>
            </w:r>
          </w:p>
        </w:tc>
      </w:tr>
      <w:tr w:rsidR="009B10A4" w:rsidRPr="002B224D" w:rsidTr="0069064B">
        <w:tc>
          <w:tcPr>
            <w:tcW w:w="1468" w:type="dxa"/>
          </w:tcPr>
          <w:p w:rsidR="009B10A4" w:rsidRPr="002B224D" w:rsidRDefault="009B10A4" w:rsidP="00F443DB">
            <w:pPr>
              <w:spacing w:after="120" w:line="240" w:lineRule="auto"/>
              <w:rPr>
                <w:rFonts w:ascii="Times New Roman" w:hAnsi="Times New Roman"/>
                <w:sz w:val="24"/>
                <w:szCs w:val="24"/>
              </w:rPr>
            </w:pPr>
          </w:p>
        </w:tc>
        <w:tc>
          <w:tcPr>
            <w:tcW w:w="7599" w:type="dxa"/>
          </w:tcPr>
          <w:p w:rsidR="009B10A4" w:rsidRPr="002B224D" w:rsidRDefault="009B10A4" w:rsidP="00F443DB">
            <w:pPr>
              <w:spacing w:after="120" w:line="240" w:lineRule="auto"/>
              <w:rPr>
                <w:rFonts w:ascii="Times New Roman" w:hAnsi="Times New Roman"/>
                <w:sz w:val="24"/>
                <w:szCs w:val="24"/>
              </w:rPr>
            </w:pPr>
          </w:p>
        </w:tc>
      </w:tr>
    </w:tbl>
    <w:p w:rsidR="009B10A4" w:rsidRPr="002B224D" w:rsidRDefault="009B10A4" w:rsidP="00F443DB">
      <w:pPr>
        <w:spacing w:after="120" w:line="240" w:lineRule="auto"/>
        <w:rPr>
          <w:rFonts w:ascii="Times New Roman" w:hAnsi="Times New Roman"/>
          <w:sz w:val="24"/>
          <w:szCs w:val="24"/>
        </w:rPr>
      </w:pPr>
    </w:p>
    <w:p w:rsidR="009B10A4" w:rsidRPr="00966703" w:rsidRDefault="009B10A4" w:rsidP="00F443DB">
      <w:pPr>
        <w:spacing w:after="120" w:line="240" w:lineRule="auto"/>
        <w:rPr>
          <w:rFonts w:ascii="Times New Roman" w:eastAsia="SimSun" w:hAnsi="Times New Roman"/>
          <w:b/>
          <w:bCs/>
          <w:sz w:val="28"/>
          <w:szCs w:val="28"/>
          <w:highlight w:val="yellow"/>
        </w:rPr>
      </w:pPr>
      <w:bookmarkStart w:id="15" w:name="_Toc340050952"/>
      <w:r w:rsidRPr="00966703">
        <w:rPr>
          <w:rFonts w:ascii="Times New Roman" w:hAnsi="Times New Roman"/>
          <w:highlight w:val="yellow"/>
        </w:rPr>
        <w:br w:type="page"/>
      </w:r>
    </w:p>
    <w:p w:rsidR="009B10A4" w:rsidRPr="00504FD7" w:rsidRDefault="009B10A4" w:rsidP="00F443DB">
      <w:pPr>
        <w:pStyle w:val="Heading1"/>
        <w:spacing w:before="0" w:after="120" w:line="240" w:lineRule="auto"/>
        <w:rPr>
          <w:rFonts w:ascii="Times New Roman" w:hAnsi="Times New Roman"/>
          <w:color w:val="auto"/>
        </w:rPr>
      </w:pPr>
      <w:bookmarkStart w:id="16" w:name="_Toc398179980"/>
      <w:r w:rsidRPr="00504FD7">
        <w:rPr>
          <w:rFonts w:ascii="Times New Roman" w:hAnsi="Times New Roman"/>
          <w:color w:val="auto"/>
        </w:rPr>
        <w:lastRenderedPageBreak/>
        <w:t>1. Termiņuzturēšanās atļauju piešķiršanas dinamika 2004.-201</w:t>
      </w:r>
      <w:r w:rsidR="00594BAA" w:rsidRPr="00504FD7">
        <w:rPr>
          <w:rFonts w:ascii="Times New Roman" w:hAnsi="Times New Roman"/>
          <w:color w:val="auto"/>
        </w:rPr>
        <w:t>3</w:t>
      </w:r>
      <w:r w:rsidRPr="00504FD7">
        <w:rPr>
          <w:rFonts w:ascii="Times New Roman" w:hAnsi="Times New Roman"/>
          <w:color w:val="auto"/>
        </w:rPr>
        <w:t>.gad</w:t>
      </w:r>
      <w:bookmarkEnd w:id="15"/>
      <w:r w:rsidRPr="00504FD7">
        <w:rPr>
          <w:rFonts w:ascii="Times New Roman" w:hAnsi="Times New Roman"/>
          <w:color w:val="auto"/>
        </w:rPr>
        <w:t>ā</w:t>
      </w:r>
      <w:bookmarkEnd w:id="16"/>
    </w:p>
    <w:p w:rsidR="009B10A4" w:rsidRPr="00504FD7" w:rsidRDefault="009B10A4" w:rsidP="00F443DB">
      <w:pPr>
        <w:spacing w:after="120" w:line="240" w:lineRule="auto"/>
        <w:ind w:firstLine="426"/>
        <w:jc w:val="both"/>
        <w:rPr>
          <w:rFonts w:ascii="Times New Roman" w:hAnsi="Times New Roman"/>
          <w:sz w:val="26"/>
          <w:szCs w:val="26"/>
        </w:rPr>
      </w:pPr>
      <w:r w:rsidRPr="00504FD7">
        <w:rPr>
          <w:rFonts w:ascii="Times New Roman" w:hAnsi="Times New Roman"/>
          <w:sz w:val="26"/>
          <w:szCs w:val="26"/>
        </w:rPr>
        <w:t>No 2004.gada līdz 2007.gadam pirmreizēji ieceļojušo ārzemnieku skaits Latvijā ir pakāpeniski palielinājies, augstāko līmeni sasniedzot 2007.gadā (4</w:t>
      </w:r>
      <w:r w:rsidR="0047401D">
        <w:rPr>
          <w:rFonts w:ascii="Times New Roman" w:hAnsi="Times New Roman"/>
          <w:sz w:val="26"/>
          <w:szCs w:val="26"/>
        </w:rPr>
        <w:t> </w:t>
      </w:r>
      <w:r w:rsidRPr="00504FD7">
        <w:rPr>
          <w:rFonts w:ascii="Times New Roman" w:hAnsi="Times New Roman"/>
          <w:sz w:val="26"/>
          <w:szCs w:val="26"/>
        </w:rPr>
        <w:t xml:space="preserve">831 ārzemnieks). Ieceļotāju skaita pieaugumu šajos gados lielā mērā ietekmēja strauji augošais pieprasījums pēc darbaspēka un viesstrādnieku uzaicināšana no ārvalstīm. </w:t>
      </w:r>
    </w:p>
    <w:p w:rsidR="009B10A4" w:rsidRPr="00966703" w:rsidRDefault="009B10A4" w:rsidP="00F443DB">
      <w:pPr>
        <w:spacing w:after="120" w:line="240" w:lineRule="auto"/>
        <w:jc w:val="right"/>
        <w:rPr>
          <w:rFonts w:ascii="Times New Roman" w:hAnsi="Times New Roman"/>
          <w:sz w:val="26"/>
          <w:szCs w:val="26"/>
          <w:highlight w:val="yellow"/>
        </w:rPr>
      </w:pPr>
    </w:p>
    <w:p w:rsidR="009B10A4" w:rsidRPr="00924AA5" w:rsidRDefault="009B10A4" w:rsidP="00F443DB">
      <w:pPr>
        <w:spacing w:after="120" w:line="240" w:lineRule="auto"/>
        <w:jc w:val="right"/>
        <w:rPr>
          <w:rFonts w:ascii="Times New Roman" w:hAnsi="Times New Roman"/>
          <w:sz w:val="26"/>
          <w:szCs w:val="26"/>
        </w:rPr>
      </w:pPr>
      <w:r w:rsidRPr="00924AA5">
        <w:rPr>
          <w:rFonts w:ascii="Times New Roman" w:hAnsi="Times New Roman"/>
          <w:sz w:val="26"/>
          <w:szCs w:val="26"/>
        </w:rPr>
        <w:t>1.attēls</w:t>
      </w:r>
    </w:p>
    <w:p w:rsidR="00924AA5" w:rsidRPr="00B96874" w:rsidRDefault="00924AA5" w:rsidP="00F443DB">
      <w:pPr>
        <w:spacing w:after="120" w:line="240" w:lineRule="auto"/>
        <w:jc w:val="center"/>
        <w:rPr>
          <w:rFonts w:ascii="Times New Roman" w:hAnsi="Times New Roman"/>
          <w:sz w:val="24"/>
          <w:szCs w:val="24"/>
        </w:rPr>
      </w:pPr>
      <w:r w:rsidRPr="00B96874">
        <w:rPr>
          <w:rFonts w:ascii="Times New Roman" w:hAnsi="Times New Roman"/>
          <w:b/>
          <w:sz w:val="24"/>
          <w:szCs w:val="24"/>
        </w:rPr>
        <w:t>Pirmreizēji izsniegto TUA skaits 2004.-2013.gadā</w:t>
      </w:r>
    </w:p>
    <w:p w:rsidR="00924AA5" w:rsidRDefault="00924AA5" w:rsidP="00F443DB">
      <w:pPr>
        <w:spacing w:after="120" w:line="240" w:lineRule="auto"/>
        <w:jc w:val="center"/>
        <w:rPr>
          <w:rFonts w:ascii="Times New Roman" w:hAnsi="Times New Roman"/>
          <w:sz w:val="26"/>
          <w:szCs w:val="26"/>
          <w:highlight w:val="yellow"/>
        </w:rPr>
      </w:pPr>
      <w:r>
        <w:rPr>
          <w:noProof/>
          <w:lang w:eastAsia="lv-LV"/>
        </w:rPr>
        <w:drawing>
          <wp:inline distT="0" distB="0" distL="0" distR="0">
            <wp:extent cx="4162425" cy="2447925"/>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W w:w="5322" w:type="pct"/>
        <w:tblLayout w:type="fixed"/>
        <w:tblLook w:val="00A0" w:firstRow="1" w:lastRow="0" w:firstColumn="1" w:lastColumn="0" w:noHBand="0" w:noVBand="0"/>
      </w:tblPr>
      <w:tblGrid>
        <w:gridCol w:w="5052"/>
        <w:gridCol w:w="5031"/>
      </w:tblGrid>
      <w:tr w:rsidR="009B10A4" w:rsidRPr="00966703" w:rsidTr="000322BB">
        <w:tc>
          <w:tcPr>
            <w:tcW w:w="2505" w:type="pct"/>
          </w:tcPr>
          <w:p w:rsidR="009B10A4" w:rsidRPr="00966703" w:rsidRDefault="009B10A4" w:rsidP="00F443DB">
            <w:pPr>
              <w:spacing w:after="120" w:line="240" w:lineRule="auto"/>
              <w:ind w:left="142" w:right="202"/>
              <w:rPr>
                <w:rFonts w:ascii="Times New Roman" w:hAnsi="Times New Roman"/>
                <w:i/>
                <w:szCs w:val="26"/>
                <w:highlight w:val="yellow"/>
              </w:rPr>
            </w:pPr>
            <w:r w:rsidRPr="00924AA5">
              <w:rPr>
                <w:rFonts w:ascii="Times New Roman" w:hAnsi="Times New Roman"/>
                <w:i/>
                <w:szCs w:val="26"/>
              </w:rPr>
              <w:t xml:space="preserve">Avots: PMLP </w:t>
            </w:r>
          </w:p>
        </w:tc>
        <w:tc>
          <w:tcPr>
            <w:tcW w:w="2495" w:type="pct"/>
          </w:tcPr>
          <w:p w:rsidR="009B10A4" w:rsidRPr="00966703" w:rsidRDefault="009B10A4" w:rsidP="00F443DB">
            <w:pPr>
              <w:spacing w:after="120" w:line="240" w:lineRule="auto"/>
              <w:ind w:left="142" w:right="202"/>
              <w:rPr>
                <w:rFonts w:ascii="Times New Roman" w:hAnsi="Times New Roman"/>
                <w:i/>
                <w:szCs w:val="26"/>
                <w:highlight w:val="yellow"/>
              </w:rPr>
            </w:pPr>
          </w:p>
        </w:tc>
      </w:tr>
    </w:tbl>
    <w:p w:rsidR="00F443DB" w:rsidRDefault="00F443DB" w:rsidP="00A835C0">
      <w:pPr>
        <w:spacing w:after="120" w:line="240" w:lineRule="auto"/>
        <w:jc w:val="both"/>
        <w:rPr>
          <w:rFonts w:ascii="Times New Roman" w:hAnsi="Times New Roman"/>
          <w:szCs w:val="26"/>
          <w:highlight w:val="yellow"/>
        </w:rPr>
      </w:pPr>
    </w:p>
    <w:p w:rsidR="00506C49" w:rsidRPr="00506C49" w:rsidRDefault="00506C49" w:rsidP="00F443DB">
      <w:pPr>
        <w:spacing w:after="120" w:line="240" w:lineRule="auto"/>
        <w:ind w:firstLine="426"/>
        <w:jc w:val="right"/>
        <w:rPr>
          <w:rFonts w:ascii="Times New Roman" w:hAnsi="Times New Roman"/>
          <w:sz w:val="26"/>
          <w:szCs w:val="26"/>
        </w:rPr>
      </w:pPr>
      <w:r w:rsidRPr="00506C49">
        <w:rPr>
          <w:rFonts w:ascii="Times New Roman" w:hAnsi="Times New Roman"/>
          <w:sz w:val="26"/>
          <w:szCs w:val="26"/>
        </w:rPr>
        <w:t>2.attēls</w:t>
      </w:r>
    </w:p>
    <w:p w:rsidR="00924AA5" w:rsidRPr="00B96874" w:rsidRDefault="00924AA5" w:rsidP="00F443DB">
      <w:pPr>
        <w:spacing w:after="120" w:line="240" w:lineRule="auto"/>
        <w:ind w:firstLine="425"/>
        <w:jc w:val="center"/>
        <w:rPr>
          <w:rFonts w:ascii="Times New Roman" w:hAnsi="Times New Roman"/>
          <w:sz w:val="24"/>
          <w:szCs w:val="24"/>
        </w:rPr>
      </w:pPr>
      <w:r w:rsidRPr="00B96874">
        <w:rPr>
          <w:rFonts w:ascii="Times New Roman" w:hAnsi="Times New Roman"/>
          <w:b/>
          <w:sz w:val="24"/>
          <w:szCs w:val="24"/>
        </w:rPr>
        <w:t>Pirmreizēji izsniegto TUA sadalījums pa atļauju pieprasīšanas iemesliem</w:t>
      </w:r>
    </w:p>
    <w:p w:rsidR="00924AA5" w:rsidRPr="00924AA5" w:rsidRDefault="00924AA5" w:rsidP="00F443DB">
      <w:pPr>
        <w:spacing w:after="120" w:line="240" w:lineRule="auto"/>
        <w:ind w:firstLine="567"/>
        <w:jc w:val="center"/>
        <w:rPr>
          <w:rFonts w:ascii="Times New Roman" w:hAnsi="Times New Roman"/>
          <w:sz w:val="26"/>
          <w:szCs w:val="26"/>
        </w:rPr>
      </w:pPr>
      <w:r w:rsidRPr="00924AA5">
        <w:rPr>
          <w:noProof/>
          <w:lang w:eastAsia="lv-LV"/>
        </w:rPr>
        <w:drawing>
          <wp:inline distT="0" distB="0" distL="0" distR="0">
            <wp:extent cx="4572000" cy="27432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24AA5" w:rsidRDefault="00924AA5" w:rsidP="00F443DB">
      <w:pPr>
        <w:spacing w:after="120" w:line="240" w:lineRule="auto"/>
        <w:rPr>
          <w:rFonts w:ascii="Times New Roman" w:hAnsi="Times New Roman"/>
          <w:i/>
          <w:szCs w:val="26"/>
        </w:rPr>
      </w:pPr>
      <w:r w:rsidRPr="00924AA5">
        <w:rPr>
          <w:rFonts w:ascii="Times New Roman" w:hAnsi="Times New Roman"/>
          <w:i/>
          <w:szCs w:val="26"/>
        </w:rPr>
        <w:t>Avots: PMLP</w:t>
      </w:r>
    </w:p>
    <w:p w:rsidR="00924AA5" w:rsidRDefault="00924AA5" w:rsidP="00F443DB">
      <w:pPr>
        <w:spacing w:after="120" w:line="240" w:lineRule="auto"/>
        <w:ind w:firstLine="426"/>
        <w:rPr>
          <w:rFonts w:ascii="Times New Roman" w:hAnsi="Times New Roman"/>
          <w:sz w:val="26"/>
          <w:szCs w:val="26"/>
        </w:rPr>
      </w:pPr>
    </w:p>
    <w:p w:rsidR="00A835C0" w:rsidRDefault="00A835C0" w:rsidP="00A835C0">
      <w:pPr>
        <w:spacing w:after="120" w:line="240" w:lineRule="auto"/>
        <w:ind w:firstLine="426"/>
        <w:jc w:val="both"/>
        <w:rPr>
          <w:rFonts w:ascii="Times New Roman" w:hAnsi="Times New Roman"/>
          <w:sz w:val="26"/>
          <w:szCs w:val="26"/>
        </w:rPr>
      </w:pPr>
      <w:r w:rsidRPr="00CB27B4">
        <w:rPr>
          <w:rFonts w:ascii="Times New Roman" w:hAnsi="Times New Roman"/>
          <w:sz w:val="26"/>
          <w:szCs w:val="26"/>
        </w:rPr>
        <w:lastRenderedPageBreak/>
        <w:t>Ekonomiskās krīzes laikā pirmreizēji izsniegto termiņuzturēšanās atļauju (</w:t>
      </w:r>
      <w:r>
        <w:rPr>
          <w:rFonts w:ascii="Times New Roman" w:hAnsi="Times New Roman"/>
          <w:sz w:val="26"/>
          <w:szCs w:val="26"/>
        </w:rPr>
        <w:t xml:space="preserve">turpmāk – </w:t>
      </w:r>
      <w:r w:rsidRPr="00CB27B4">
        <w:rPr>
          <w:rFonts w:ascii="Times New Roman" w:hAnsi="Times New Roman"/>
          <w:sz w:val="26"/>
          <w:szCs w:val="26"/>
        </w:rPr>
        <w:t>TUA) skaits strauji samazinājās. 2009.gadā un 2010.gadā izsniegto TUA skaits bija uz pusi mazāks nekā 2007.gadā.</w:t>
      </w:r>
    </w:p>
    <w:p w:rsidR="009B10A4" w:rsidRPr="002A0B6B" w:rsidRDefault="009B10A4" w:rsidP="00F443DB">
      <w:pPr>
        <w:spacing w:after="120" w:line="240" w:lineRule="auto"/>
        <w:ind w:firstLine="426"/>
        <w:jc w:val="both"/>
        <w:rPr>
          <w:rFonts w:ascii="Times New Roman" w:hAnsi="Times New Roman"/>
          <w:sz w:val="26"/>
          <w:szCs w:val="26"/>
          <w:highlight w:val="yellow"/>
        </w:rPr>
      </w:pPr>
      <w:r w:rsidRPr="00CB27B4">
        <w:rPr>
          <w:rFonts w:ascii="Times New Roman" w:hAnsi="Times New Roman"/>
          <w:sz w:val="26"/>
          <w:szCs w:val="26"/>
        </w:rPr>
        <w:t>2011.gadā pirmreizēji izsniegto TUA skaits palielinā</w:t>
      </w:r>
      <w:r w:rsidR="00504FD7">
        <w:rPr>
          <w:rFonts w:ascii="Times New Roman" w:hAnsi="Times New Roman"/>
          <w:sz w:val="26"/>
          <w:szCs w:val="26"/>
        </w:rPr>
        <w:t>jās, sasniedzot 4 824 atļaujas, šī tendence turpinās arī turpmākajos gados, 2012.gadā pirmreizējo atļauju skaitam sasniedzot 6</w:t>
      </w:r>
      <w:r w:rsidR="0047401D">
        <w:rPr>
          <w:rFonts w:ascii="Times New Roman" w:hAnsi="Times New Roman"/>
          <w:sz w:val="26"/>
          <w:szCs w:val="26"/>
        </w:rPr>
        <w:t> </w:t>
      </w:r>
      <w:r w:rsidR="00504FD7">
        <w:rPr>
          <w:rFonts w:ascii="Times New Roman" w:hAnsi="Times New Roman"/>
          <w:sz w:val="26"/>
          <w:szCs w:val="26"/>
        </w:rPr>
        <w:t>365, bet 2013.gadā – 7</w:t>
      </w:r>
      <w:r w:rsidR="0047401D">
        <w:rPr>
          <w:rFonts w:ascii="Times New Roman" w:hAnsi="Times New Roman"/>
          <w:sz w:val="26"/>
          <w:szCs w:val="26"/>
        </w:rPr>
        <w:t> </w:t>
      </w:r>
      <w:r w:rsidR="00504FD7">
        <w:rPr>
          <w:rFonts w:ascii="Times New Roman" w:hAnsi="Times New Roman"/>
          <w:sz w:val="26"/>
          <w:szCs w:val="26"/>
        </w:rPr>
        <w:t xml:space="preserve">353 TUA. </w:t>
      </w:r>
      <w:r w:rsidRPr="00CB27B4">
        <w:rPr>
          <w:rFonts w:ascii="Times New Roman" w:hAnsi="Times New Roman"/>
          <w:sz w:val="26"/>
          <w:szCs w:val="26"/>
        </w:rPr>
        <w:t>Pirmreizēji izsniegto TUA palielinājums lielā mērā saistīts ar 2010.gada 1.jūlijā Imigrācijas likumā ieviestajiem grozījumiem</w:t>
      </w:r>
      <w:r w:rsidR="00633178">
        <w:rPr>
          <w:rFonts w:ascii="Times New Roman" w:hAnsi="Times New Roman"/>
          <w:sz w:val="26"/>
          <w:szCs w:val="26"/>
        </w:rPr>
        <w:t xml:space="preserve"> – Imigrācijas likuma 23.panta pirmās daļas 28., 29. un 30.punk</w:t>
      </w:r>
      <w:r w:rsidR="00F66A3F">
        <w:rPr>
          <w:rFonts w:ascii="Times New Roman" w:hAnsi="Times New Roman"/>
          <w:sz w:val="26"/>
          <w:szCs w:val="26"/>
        </w:rPr>
        <w:t>ts</w:t>
      </w:r>
      <w:r w:rsidRPr="00CB27B4">
        <w:rPr>
          <w:rFonts w:ascii="Times New Roman" w:hAnsi="Times New Roman"/>
          <w:sz w:val="26"/>
          <w:szCs w:val="26"/>
        </w:rPr>
        <w:t xml:space="preserve">, kas paredzēja TUA </w:t>
      </w:r>
      <w:r w:rsidRPr="002A0B6B">
        <w:rPr>
          <w:rFonts w:ascii="Times New Roman" w:hAnsi="Times New Roman"/>
          <w:sz w:val="26"/>
          <w:szCs w:val="26"/>
        </w:rPr>
        <w:t>izsniegšanu gadījumos, kad ārzemnieks veic investīcijas Latvijas tautsaimniecībā</w:t>
      </w:r>
      <w:r w:rsidR="00F66A3F" w:rsidRPr="002A0B6B">
        <w:rPr>
          <w:rFonts w:ascii="Times New Roman" w:hAnsi="Times New Roman"/>
          <w:sz w:val="26"/>
          <w:szCs w:val="26"/>
        </w:rPr>
        <w:t xml:space="preserve"> (turpmāk – investīciju programma)</w:t>
      </w:r>
      <w:r w:rsidRPr="002A0B6B">
        <w:rPr>
          <w:rFonts w:ascii="Times New Roman" w:hAnsi="Times New Roman"/>
          <w:sz w:val="26"/>
          <w:szCs w:val="26"/>
        </w:rPr>
        <w:t>.</w:t>
      </w:r>
      <w:bookmarkStart w:id="17" w:name="_Toc340050953"/>
      <w:r w:rsidRPr="002A0B6B">
        <w:rPr>
          <w:rFonts w:ascii="Times New Roman" w:hAnsi="Times New Roman"/>
          <w:sz w:val="26"/>
          <w:szCs w:val="26"/>
        </w:rPr>
        <w:t xml:space="preserve"> No 2011.gadā izsniegtajām 4 824 TUA vairāk nekā 30% bija saistītas ar minētajiem Imigrācijas likumā ieviestajiem grozījumiem. 201</w:t>
      </w:r>
      <w:r w:rsidR="00ED5400" w:rsidRPr="002A0B6B">
        <w:rPr>
          <w:rFonts w:ascii="Times New Roman" w:hAnsi="Times New Roman"/>
          <w:sz w:val="26"/>
          <w:szCs w:val="26"/>
        </w:rPr>
        <w:t>3</w:t>
      </w:r>
      <w:r w:rsidRPr="002A0B6B">
        <w:rPr>
          <w:rFonts w:ascii="Times New Roman" w:hAnsi="Times New Roman"/>
          <w:sz w:val="26"/>
          <w:szCs w:val="26"/>
        </w:rPr>
        <w:t>.gadā šī tendence turpinājās, ārvalstu investoriem un viņu ģimenes locekļiem izsniegto pirmreizējo uzturēšanās atļauju skaitam sasniedzot 40% no visa kopējā t</w:t>
      </w:r>
      <w:r w:rsidR="00CB27B4" w:rsidRPr="002A0B6B">
        <w:rPr>
          <w:rFonts w:ascii="Times New Roman" w:hAnsi="Times New Roman"/>
          <w:sz w:val="26"/>
          <w:szCs w:val="26"/>
        </w:rPr>
        <w:t>ermiņuzturēšanās atļauju skaita, savukārt 2014.gada pirmajā pusgadā attiecīgajai personu kategorijai izsniegto pirmreizējo termiņuzturēšanās atļauju skaits sasniedza jau 55% no kopējā pirmreizēji izsniegto termiņuzturēšanās atļauju skaita.</w:t>
      </w:r>
    </w:p>
    <w:p w:rsidR="009B10A4" w:rsidRPr="00F66A3F" w:rsidRDefault="009B10A4" w:rsidP="00F443DB">
      <w:pPr>
        <w:pStyle w:val="ListParagraph"/>
        <w:spacing w:after="120" w:line="240" w:lineRule="auto"/>
        <w:ind w:left="0" w:firstLine="426"/>
        <w:jc w:val="both"/>
        <w:rPr>
          <w:rFonts w:ascii="Times New Roman" w:hAnsi="Times New Roman"/>
          <w:sz w:val="26"/>
          <w:szCs w:val="26"/>
        </w:rPr>
      </w:pPr>
      <w:r w:rsidRPr="002A0B6B">
        <w:rPr>
          <w:rFonts w:ascii="Times New Roman" w:hAnsi="Times New Roman"/>
          <w:sz w:val="26"/>
          <w:szCs w:val="26"/>
        </w:rPr>
        <w:t>No 2010.gada 1.jūlija līdz 201</w:t>
      </w:r>
      <w:r w:rsidR="00CB27B4" w:rsidRPr="002A0B6B">
        <w:rPr>
          <w:rFonts w:ascii="Times New Roman" w:hAnsi="Times New Roman"/>
          <w:sz w:val="26"/>
          <w:szCs w:val="26"/>
        </w:rPr>
        <w:t>4</w:t>
      </w:r>
      <w:r w:rsidRPr="002A0B6B">
        <w:rPr>
          <w:rFonts w:ascii="Times New Roman" w:hAnsi="Times New Roman"/>
          <w:sz w:val="26"/>
          <w:szCs w:val="26"/>
        </w:rPr>
        <w:t xml:space="preserve">.gada 30.jūnijam </w:t>
      </w:r>
      <w:r w:rsidR="00CB27B4" w:rsidRPr="002A0B6B">
        <w:rPr>
          <w:rFonts w:ascii="Times New Roman" w:hAnsi="Times New Roman"/>
          <w:sz w:val="26"/>
          <w:szCs w:val="26"/>
        </w:rPr>
        <w:t xml:space="preserve">investīciju programmas ietvaros </w:t>
      </w:r>
      <w:r w:rsidRPr="00CB27B4">
        <w:rPr>
          <w:rFonts w:ascii="Times New Roman" w:hAnsi="Times New Roman"/>
          <w:sz w:val="26"/>
          <w:szCs w:val="26"/>
        </w:rPr>
        <w:t xml:space="preserve">PMLP ir saņēmusi </w:t>
      </w:r>
      <w:r w:rsidR="00CB27B4" w:rsidRPr="00CB27B4">
        <w:rPr>
          <w:rFonts w:ascii="Times New Roman" w:hAnsi="Times New Roman"/>
          <w:sz w:val="26"/>
          <w:szCs w:val="26"/>
        </w:rPr>
        <w:t>12 427</w:t>
      </w:r>
      <w:r w:rsidR="00AD3D9A">
        <w:rPr>
          <w:rFonts w:ascii="Times New Roman" w:hAnsi="Times New Roman"/>
          <w:sz w:val="26"/>
          <w:szCs w:val="26"/>
        </w:rPr>
        <w:t xml:space="preserve"> personu, tajā skaitā </w:t>
      </w:r>
      <w:r w:rsidR="00CB27B4" w:rsidRPr="00CB27B4">
        <w:rPr>
          <w:rFonts w:ascii="Times New Roman" w:hAnsi="Times New Roman"/>
          <w:sz w:val="26"/>
          <w:szCs w:val="26"/>
        </w:rPr>
        <w:t xml:space="preserve">5 267 </w:t>
      </w:r>
      <w:r w:rsidRPr="00CB27B4">
        <w:rPr>
          <w:rFonts w:ascii="Times New Roman" w:hAnsi="Times New Roman"/>
          <w:sz w:val="26"/>
          <w:szCs w:val="26"/>
        </w:rPr>
        <w:t xml:space="preserve">investoru un </w:t>
      </w:r>
      <w:r w:rsidR="00CB27B4" w:rsidRPr="00CB27B4">
        <w:rPr>
          <w:rFonts w:ascii="Times New Roman" w:hAnsi="Times New Roman"/>
          <w:sz w:val="26"/>
          <w:szCs w:val="26"/>
        </w:rPr>
        <w:t>7 160</w:t>
      </w:r>
      <w:r w:rsidRPr="00CB27B4">
        <w:rPr>
          <w:rFonts w:ascii="Times New Roman" w:hAnsi="Times New Roman"/>
          <w:sz w:val="26"/>
          <w:szCs w:val="26"/>
        </w:rPr>
        <w:t xml:space="preserve"> viņu ģimenes locekļu</w:t>
      </w:r>
      <w:r w:rsidR="00AD3D9A">
        <w:rPr>
          <w:rFonts w:ascii="Times New Roman" w:hAnsi="Times New Roman"/>
          <w:sz w:val="26"/>
          <w:szCs w:val="26"/>
        </w:rPr>
        <w:t>,</w:t>
      </w:r>
      <w:r w:rsidRPr="00CB27B4">
        <w:rPr>
          <w:rFonts w:ascii="Times New Roman" w:hAnsi="Times New Roman"/>
          <w:sz w:val="26"/>
          <w:szCs w:val="26"/>
        </w:rPr>
        <w:t xml:space="preserve"> </w:t>
      </w:r>
      <w:r w:rsidR="00CB27B4" w:rsidRPr="00CB27B4">
        <w:rPr>
          <w:rFonts w:ascii="Times New Roman" w:hAnsi="Times New Roman"/>
          <w:sz w:val="26"/>
          <w:szCs w:val="26"/>
        </w:rPr>
        <w:t>iesniegumus</w:t>
      </w:r>
      <w:r w:rsidRPr="00CB27B4">
        <w:rPr>
          <w:rFonts w:ascii="Times New Roman" w:hAnsi="Times New Roman"/>
          <w:sz w:val="26"/>
          <w:szCs w:val="26"/>
        </w:rPr>
        <w:t xml:space="preserve"> TUA </w:t>
      </w:r>
      <w:r w:rsidR="00CB27B4" w:rsidRPr="00CB27B4">
        <w:rPr>
          <w:rFonts w:ascii="Times New Roman" w:hAnsi="Times New Roman"/>
          <w:sz w:val="26"/>
          <w:szCs w:val="26"/>
        </w:rPr>
        <w:t>pieprasīša</w:t>
      </w:r>
      <w:r w:rsidRPr="00CB27B4">
        <w:rPr>
          <w:rFonts w:ascii="Times New Roman" w:hAnsi="Times New Roman"/>
          <w:sz w:val="26"/>
          <w:szCs w:val="26"/>
        </w:rPr>
        <w:t xml:space="preserve">nai. Šajā laika posmā izsniegtas </w:t>
      </w:r>
      <w:r w:rsidR="00CB27B4" w:rsidRPr="00CB27B4">
        <w:rPr>
          <w:rFonts w:ascii="Times New Roman" w:hAnsi="Times New Roman"/>
          <w:sz w:val="26"/>
          <w:szCs w:val="26"/>
        </w:rPr>
        <w:t>11 754</w:t>
      </w:r>
      <w:r w:rsidRPr="00CB27B4">
        <w:rPr>
          <w:rFonts w:ascii="Times New Roman" w:hAnsi="Times New Roman"/>
          <w:sz w:val="26"/>
          <w:szCs w:val="26"/>
        </w:rPr>
        <w:t xml:space="preserve"> </w:t>
      </w:r>
      <w:r w:rsidR="006A3802">
        <w:rPr>
          <w:rFonts w:ascii="Times New Roman" w:hAnsi="Times New Roman"/>
          <w:sz w:val="26"/>
          <w:szCs w:val="26"/>
        </w:rPr>
        <w:t>TUA</w:t>
      </w:r>
      <w:r w:rsidRPr="00CB27B4">
        <w:rPr>
          <w:rFonts w:ascii="Times New Roman" w:hAnsi="Times New Roman"/>
          <w:sz w:val="26"/>
          <w:szCs w:val="26"/>
        </w:rPr>
        <w:t>. No visiem pieņemtajiem lēmumiem 9</w:t>
      </w:r>
      <w:r w:rsidR="00CB27B4" w:rsidRPr="00CB27B4">
        <w:rPr>
          <w:rFonts w:ascii="Times New Roman" w:hAnsi="Times New Roman"/>
          <w:sz w:val="26"/>
          <w:szCs w:val="26"/>
        </w:rPr>
        <w:t>4,</w:t>
      </w:r>
      <w:r w:rsidR="002B224D">
        <w:rPr>
          <w:rFonts w:ascii="Times New Roman" w:hAnsi="Times New Roman"/>
          <w:sz w:val="26"/>
          <w:szCs w:val="26"/>
        </w:rPr>
        <w:t>7% ir bijuši pozitīvi lēmumi, negatīva lēmuma (TUA atteikuma) galvenie iemesli ir personas iegādātā nekustamā īpašuma neatbilstība Imigrācijas likumā noteiktajām prasībām, kā arī, mainoties uzturēšanās atļ</w:t>
      </w:r>
      <w:r w:rsidR="00A52ABB">
        <w:rPr>
          <w:rFonts w:ascii="Times New Roman" w:hAnsi="Times New Roman"/>
          <w:sz w:val="26"/>
          <w:szCs w:val="26"/>
        </w:rPr>
        <w:t xml:space="preserve">aujas izsniegšanas iemeslam, piemēram, personai, kas ieguldījusi līdzekļus komercsabiedrības pamatkapitālā, vēloties turpmāk uzturēties Latvijā saistībā ar nekustamā īpašuma iegādi – </w:t>
      </w:r>
      <w:r w:rsidR="00F90BBB">
        <w:rPr>
          <w:rFonts w:ascii="Times New Roman" w:hAnsi="Times New Roman"/>
          <w:sz w:val="26"/>
          <w:szCs w:val="26"/>
        </w:rPr>
        <w:t>fakts, ka veicot komercdarbību, nav veikta nodokļu samaksa Imigrācijas likumā noteiktajā apjomā.</w:t>
      </w:r>
      <w:r w:rsidRPr="00CB27B4">
        <w:rPr>
          <w:rFonts w:ascii="Times New Roman" w:hAnsi="Times New Roman"/>
          <w:sz w:val="26"/>
          <w:szCs w:val="26"/>
        </w:rPr>
        <w:t xml:space="preserve"> No 2010.gada 1.jūlija anulēta </w:t>
      </w:r>
      <w:r w:rsidR="00CB27B4" w:rsidRPr="00CB27B4">
        <w:rPr>
          <w:rFonts w:ascii="Times New Roman" w:hAnsi="Times New Roman"/>
          <w:sz w:val="26"/>
          <w:szCs w:val="26"/>
        </w:rPr>
        <w:t>551</w:t>
      </w:r>
      <w:r w:rsidRPr="00CB27B4">
        <w:rPr>
          <w:rFonts w:ascii="Times New Roman" w:hAnsi="Times New Roman"/>
          <w:sz w:val="26"/>
          <w:szCs w:val="26"/>
        </w:rPr>
        <w:t xml:space="preserve"> TUA. </w:t>
      </w:r>
      <w:r w:rsidRPr="00F66A3F">
        <w:rPr>
          <w:rFonts w:ascii="Times New Roman" w:hAnsi="Times New Roman"/>
          <w:sz w:val="26"/>
          <w:szCs w:val="26"/>
        </w:rPr>
        <w:t>Galvenie anulēšanas iemesli – nekustamā īpašuma pārdošana, iepriekšējās atļaujas anulēšana sakarā ar investīciju veida maiņu (piemēram, ieguldītājs kapitālsabiedrības pamatkapitālā iegādājas nekustamo īpašumu), nepietiekama kapitālsa</w:t>
      </w:r>
      <w:r w:rsidR="00F66A3F" w:rsidRPr="00F66A3F">
        <w:rPr>
          <w:rFonts w:ascii="Times New Roman" w:hAnsi="Times New Roman"/>
          <w:sz w:val="26"/>
          <w:szCs w:val="26"/>
        </w:rPr>
        <w:t>biedrības saimnieciskā darbība vai arī TUA nereģistrēšana Imigrācijas likumā noteiktajā kārtībā.</w:t>
      </w:r>
    </w:p>
    <w:p w:rsidR="009B10A4" w:rsidRPr="00F66A3F" w:rsidRDefault="009B10A4" w:rsidP="00F443DB">
      <w:pPr>
        <w:spacing w:after="120" w:line="240" w:lineRule="auto"/>
        <w:ind w:firstLine="426"/>
        <w:jc w:val="both"/>
        <w:rPr>
          <w:rFonts w:ascii="Times New Roman" w:hAnsi="Times New Roman"/>
          <w:sz w:val="26"/>
          <w:szCs w:val="26"/>
        </w:rPr>
      </w:pPr>
    </w:p>
    <w:p w:rsidR="009B10A4" w:rsidRPr="00966703" w:rsidRDefault="009B10A4" w:rsidP="00F443DB">
      <w:pPr>
        <w:spacing w:after="120" w:line="240" w:lineRule="auto"/>
        <w:ind w:firstLine="426"/>
        <w:jc w:val="both"/>
        <w:rPr>
          <w:rFonts w:ascii="Times New Roman" w:hAnsi="Times New Roman"/>
          <w:sz w:val="26"/>
          <w:szCs w:val="26"/>
          <w:highlight w:val="yellow"/>
        </w:rPr>
      </w:pPr>
    </w:p>
    <w:p w:rsidR="009B10A4" w:rsidRPr="0054015A" w:rsidRDefault="009B10A4" w:rsidP="00F443DB">
      <w:pPr>
        <w:pStyle w:val="Heading1"/>
        <w:spacing w:before="0" w:after="120" w:line="240" w:lineRule="auto"/>
        <w:rPr>
          <w:rFonts w:ascii="Times New Roman" w:hAnsi="Times New Roman"/>
          <w:color w:val="auto"/>
        </w:rPr>
      </w:pPr>
      <w:bookmarkStart w:id="18" w:name="_Toc398179981"/>
      <w:r w:rsidRPr="0054015A">
        <w:rPr>
          <w:rFonts w:ascii="Times New Roman" w:hAnsi="Times New Roman"/>
          <w:color w:val="auto"/>
        </w:rPr>
        <w:t>2. Ārvalstu investīcijas saistībā ar termiņuzturēšanās atļaujām</w:t>
      </w:r>
      <w:bookmarkEnd w:id="18"/>
    </w:p>
    <w:p w:rsidR="009B10A4" w:rsidRPr="008F1B1E" w:rsidRDefault="009B10A4" w:rsidP="00F443DB">
      <w:pPr>
        <w:spacing w:after="120" w:line="240" w:lineRule="auto"/>
        <w:ind w:firstLine="426"/>
        <w:jc w:val="both"/>
        <w:rPr>
          <w:rFonts w:ascii="Times New Roman" w:hAnsi="Times New Roman"/>
          <w:sz w:val="26"/>
          <w:szCs w:val="26"/>
        </w:rPr>
      </w:pPr>
      <w:r w:rsidRPr="008F1B1E">
        <w:rPr>
          <w:rFonts w:ascii="Times New Roman" w:hAnsi="Times New Roman"/>
          <w:sz w:val="26"/>
          <w:szCs w:val="26"/>
        </w:rPr>
        <w:t>Imigrācijas likuma normas ļauj ārvalstniekiem iegūt TUA Latvijā pret noteiktiem ieguldījumiem Latvijas tautsaimniecībā – investīcijām nekustamajā īpašumā, uzņēmējdarbībā (kapitālsabiedrības pamatkapitālā) vai arī Latvijā reģistrētas kredītiestādes</w:t>
      </w:r>
      <w:r w:rsidRPr="008F1B1E">
        <w:rPr>
          <w:rFonts w:ascii="Times New Roman" w:hAnsi="Times New Roman"/>
        </w:rPr>
        <w:t xml:space="preserve"> </w:t>
      </w:r>
      <w:r w:rsidR="00F90BBB">
        <w:rPr>
          <w:rFonts w:ascii="Times New Roman" w:hAnsi="Times New Roman"/>
          <w:sz w:val="26"/>
          <w:szCs w:val="26"/>
        </w:rPr>
        <w:t>pakārtotajās saistībās</w:t>
      </w:r>
      <w:r w:rsidRPr="008F1B1E">
        <w:rPr>
          <w:rFonts w:ascii="Times New Roman" w:hAnsi="Times New Roman"/>
          <w:sz w:val="26"/>
          <w:szCs w:val="26"/>
        </w:rPr>
        <w:t>.</w:t>
      </w:r>
    </w:p>
    <w:p w:rsidR="009B10A4" w:rsidRPr="00B13F53" w:rsidRDefault="009B10A4" w:rsidP="00F443DB">
      <w:pPr>
        <w:spacing w:after="120" w:line="240" w:lineRule="auto"/>
        <w:ind w:firstLine="426"/>
        <w:jc w:val="both"/>
        <w:rPr>
          <w:rFonts w:ascii="Times New Roman" w:hAnsi="Times New Roman"/>
          <w:color w:val="000000"/>
          <w:sz w:val="26"/>
          <w:szCs w:val="26"/>
        </w:rPr>
      </w:pPr>
      <w:r w:rsidRPr="00B13F53">
        <w:rPr>
          <w:rFonts w:ascii="Times New Roman" w:hAnsi="Times New Roman"/>
          <w:sz w:val="26"/>
          <w:szCs w:val="26"/>
        </w:rPr>
        <w:t xml:space="preserve">Attiecīgās Imigrācijas likuma normas ir aktivizējušas ārvalstu investīciju plūsmas uz Latviju. No kopumā </w:t>
      </w:r>
      <w:r w:rsidR="00F66A3F">
        <w:rPr>
          <w:rFonts w:ascii="Times New Roman" w:hAnsi="Times New Roman"/>
          <w:sz w:val="26"/>
          <w:szCs w:val="26"/>
        </w:rPr>
        <w:t>investīciju programmas</w:t>
      </w:r>
      <w:r w:rsidRPr="00B13F53">
        <w:rPr>
          <w:rFonts w:ascii="Times New Roman" w:hAnsi="Times New Roman"/>
          <w:sz w:val="26"/>
          <w:szCs w:val="26"/>
        </w:rPr>
        <w:t xml:space="preserve"> ietvaros ieguldītajiem līdzekļiem </w:t>
      </w:r>
      <w:r w:rsidR="008E6545" w:rsidRPr="00B13F53">
        <w:rPr>
          <w:rFonts w:ascii="Times New Roman" w:hAnsi="Times New Roman"/>
          <w:sz w:val="26"/>
          <w:szCs w:val="26"/>
        </w:rPr>
        <w:t xml:space="preserve">no 2010.gada 1.jūlija līdz 2014.gada 30.jūnijam </w:t>
      </w:r>
      <w:r w:rsidRPr="00B13F53">
        <w:rPr>
          <w:rFonts w:ascii="Times New Roman" w:hAnsi="Times New Roman"/>
          <w:sz w:val="26"/>
          <w:szCs w:val="26"/>
        </w:rPr>
        <w:t>8</w:t>
      </w:r>
      <w:r w:rsidR="00B13F53" w:rsidRPr="00B13F53">
        <w:rPr>
          <w:rFonts w:ascii="Times New Roman" w:hAnsi="Times New Roman"/>
          <w:sz w:val="26"/>
          <w:szCs w:val="26"/>
        </w:rPr>
        <w:t>2,4</w:t>
      </w:r>
      <w:r w:rsidRPr="00B13F53">
        <w:rPr>
          <w:rFonts w:ascii="Times New Roman" w:hAnsi="Times New Roman"/>
          <w:sz w:val="26"/>
          <w:szCs w:val="26"/>
        </w:rPr>
        <w:t xml:space="preserve">% jeb </w:t>
      </w:r>
      <w:r w:rsidR="00B13F53" w:rsidRPr="00B13F53">
        <w:rPr>
          <w:rFonts w:ascii="Times New Roman" w:hAnsi="Times New Roman"/>
          <w:sz w:val="26"/>
          <w:szCs w:val="26"/>
        </w:rPr>
        <w:t>837,5</w:t>
      </w:r>
      <w:r w:rsidRPr="00B13F53">
        <w:rPr>
          <w:rFonts w:ascii="Times New Roman" w:hAnsi="Times New Roman"/>
          <w:sz w:val="26"/>
          <w:szCs w:val="26"/>
        </w:rPr>
        <w:t xml:space="preserve"> milj. </w:t>
      </w:r>
      <w:r w:rsidR="00F66A3F" w:rsidRPr="00F66A3F">
        <w:rPr>
          <w:rFonts w:ascii="Times New Roman" w:hAnsi="Times New Roman"/>
          <w:i/>
          <w:sz w:val="26"/>
          <w:szCs w:val="26"/>
        </w:rPr>
        <w:t>eu</w:t>
      </w:r>
      <w:r w:rsidR="00B13F53" w:rsidRPr="00F66A3F">
        <w:rPr>
          <w:rFonts w:ascii="Times New Roman" w:hAnsi="Times New Roman"/>
          <w:i/>
          <w:sz w:val="26"/>
          <w:szCs w:val="26"/>
        </w:rPr>
        <w:t>ro</w:t>
      </w:r>
      <w:r w:rsidRPr="00B13F53">
        <w:rPr>
          <w:rFonts w:ascii="Times New Roman" w:hAnsi="Times New Roman"/>
          <w:sz w:val="26"/>
          <w:szCs w:val="26"/>
        </w:rPr>
        <w:t xml:space="preserve"> ir saistīti ar darījumiem Latvijas nekustamā īpašuma tirgū. Pēc kopējā apjoma otrie lielākie ieguldījumi, kas uzrādīti TUA saņemšanai, ir ieguldījumi kredītiestāžu </w:t>
      </w:r>
      <w:r w:rsidR="00F90BBB">
        <w:rPr>
          <w:rFonts w:ascii="Times New Roman" w:hAnsi="Times New Roman"/>
          <w:sz w:val="26"/>
          <w:szCs w:val="26"/>
        </w:rPr>
        <w:t xml:space="preserve">pakārtotajās saistībās </w:t>
      </w:r>
      <w:r w:rsidRPr="00B13F53">
        <w:rPr>
          <w:rFonts w:ascii="Times New Roman" w:hAnsi="Times New Roman"/>
          <w:sz w:val="26"/>
          <w:szCs w:val="26"/>
        </w:rPr>
        <w:t>(1</w:t>
      </w:r>
      <w:r w:rsidR="00B13F53" w:rsidRPr="00B13F53">
        <w:rPr>
          <w:rFonts w:ascii="Times New Roman" w:hAnsi="Times New Roman"/>
          <w:sz w:val="26"/>
          <w:szCs w:val="26"/>
        </w:rPr>
        <w:t>2,4</w:t>
      </w:r>
      <w:r w:rsidRPr="00B13F53">
        <w:rPr>
          <w:rFonts w:ascii="Times New Roman" w:hAnsi="Times New Roman"/>
          <w:sz w:val="26"/>
          <w:szCs w:val="26"/>
        </w:rPr>
        <w:t xml:space="preserve">% jeb </w:t>
      </w:r>
      <w:r w:rsidR="00B13F53" w:rsidRPr="00B13F53">
        <w:rPr>
          <w:rFonts w:ascii="Times New Roman" w:hAnsi="Times New Roman"/>
          <w:sz w:val="26"/>
          <w:szCs w:val="26"/>
        </w:rPr>
        <w:t>126,6</w:t>
      </w:r>
      <w:r w:rsidRPr="00B13F53">
        <w:rPr>
          <w:rFonts w:ascii="Times New Roman" w:hAnsi="Times New Roman"/>
          <w:sz w:val="26"/>
          <w:szCs w:val="26"/>
        </w:rPr>
        <w:t xml:space="preserve"> milj. </w:t>
      </w:r>
      <w:r w:rsidR="00F66A3F">
        <w:rPr>
          <w:rFonts w:ascii="Times New Roman" w:hAnsi="Times New Roman"/>
          <w:i/>
          <w:sz w:val="26"/>
          <w:szCs w:val="26"/>
        </w:rPr>
        <w:t>eu</w:t>
      </w:r>
      <w:r w:rsidR="00B13F53" w:rsidRPr="00F66A3F">
        <w:rPr>
          <w:rFonts w:ascii="Times New Roman" w:hAnsi="Times New Roman"/>
          <w:i/>
          <w:sz w:val="26"/>
          <w:szCs w:val="26"/>
        </w:rPr>
        <w:t>ro</w:t>
      </w:r>
      <w:r w:rsidRPr="00B13F53">
        <w:rPr>
          <w:rFonts w:ascii="Times New Roman" w:hAnsi="Times New Roman"/>
          <w:sz w:val="26"/>
          <w:szCs w:val="26"/>
        </w:rPr>
        <w:t xml:space="preserve"> no visiem ieguldījumiem). Savukārt attiecinātie </w:t>
      </w:r>
      <w:r w:rsidRPr="00B13F53">
        <w:rPr>
          <w:rFonts w:ascii="Times New Roman" w:hAnsi="Times New Roman"/>
          <w:color w:val="000000"/>
          <w:sz w:val="26"/>
          <w:szCs w:val="26"/>
        </w:rPr>
        <w:lastRenderedPageBreak/>
        <w:t xml:space="preserve">ieguldījumi kapitālsabiedrību pamatkapitālā veido </w:t>
      </w:r>
      <w:r w:rsidR="004A523D">
        <w:rPr>
          <w:rFonts w:ascii="Times New Roman" w:hAnsi="Times New Roman"/>
          <w:color w:val="000000"/>
          <w:sz w:val="26"/>
          <w:szCs w:val="26"/>
        </w:rPr>
        <w:t xml:space="preserve">tikai </w:t>
      </w:r>
      <w:r w:rsidRPr="00B13F53">
        <w:rPr>
          <w:rFonts w:ascii="Times New Roman" w:hAnsi="Times New Roman"/>
          <w:color w:val="000000"/>
          <w:sz w:val="26"/>
          <w:szCs w:val="26"/>
        </w:rPr>
        <w:t>5</w:t>
      </w:r>
      <w:r w:rsidR="00B13F53" w:rsidRPr="00B13F53">
        <w:rPr>
          <w:rFonts w:ascii="Times New Roman" w:hAnsi="Times New Roman"/>
          <w:color w:val="000000"/>
          <w:sz w:val="26"/>
          <w:szCs w:val="26"/>
        </w:rPr>
        <w:t>,2</w:t>
      </w:r>
      <w:r w:rsidRPr="00B13F53">
        <w:rPr>
          <w:rFonts w:ascii="Times New Roman" w:hAnsi="Times New Roman"/>
          <w:color w:val="000000"/>
          <w:sz w:val="26"/>
          <w:szCs w:val="26"/>
        </w:rPr>
        <w:t xml:space="preserve">% (jeb </w:t>
      </w:r>
      <w:r w:rsidR="00B13F53" w:rsidRPr="00B13F53">
        <w:rPr>
          <w:rFonts w:ascii="Times New Roman" w:hAnsi="Times New Roman"/>
          <w:color w:val="000000"/>
          <w:sz w:val="26"/>
          <w:szCs w:val="26"/>
        </w:rPr>
        <w:t>52,9</w:t>
      </w:r>
      <w:r w:rsidRPr="00B13F53">
        <w:rPr>
          <w:rFonts w:ascii="Times New Roman" w:hAnsi="Times New Roman"/>
          <w:color w:val="000000"/>
          <w:sz w:val="26"/>
          <w:szCs w:val="26"/>
        </w:rPr>
        <w:t xml:space="preserve"> milj. </w:t>
      </w:r>
      <w:r w:rsidR="00F66A3F">
        <w:rPr>
          <w:rFonts w:ascii="Times New Roman" w:hAnsi="Times New Roman"/>
          <w:i/>
          <w:sz w:val="26"/>
          <w:szCs w:val="26"/>
        </w:rPr>
        <w:t>eu</w:t>
      </w:r>
      <w:r w:rsidR="00B13F53" w:rsidRPr="00F66A3F">
        <w:rPr>
          <w:rFonts w:ascii="Times New Roman" w:hAnsi="Times New Roman"/>
          <w:i/>
          <w:sz w:val="26"/>
          <w:szCs w:val="26"/>
        </w:rPr>
        <w:t>ro</w:t>
      </w:r>
      <w:r w:rsidRPr="00B13F53">
        <w:rPr>
          <w:rFonts w:ascii="Times New Roman" w:hAnsi="Times New Roman"/>
          <w:color w:val="000000"/>
          <w:sz w:val="26"/>
          <w:szCs w:val="26"/>
        </w:rPr>
        <w:t>) no kopējām veiktajām investīcijām attiecīgajā periodā</w:t>
      </w:r>
      <w:r w:rsidR="00B13F53" w:rsidRPr="00B13F53">
        <w:rPr>
          <w:rFonts w:ascii="Times New Roman" w:hAnsi="Times New Roman"/>
          <w:color w:val="000000"/>
          <w:sz w:val="26"/>
          <w:szCs w:val="26"/>
        </w:rPr>
        <w:t>.</w:t>
      </w:r>
    </w:p>
    <w:p w:rsidR="009B10A4" w:rsidRPr="00966703" w:rsidRDefault="009B10A4" w:rsidP="00F443DB">
      <w:pPr>
        <w:spacing w:after="120" w:line="240" w:lineRule="auto"/>
        <w:ind w:firstLine="567"/>
        <w:jc w:val="right"/>
        <w:rPr>
          <w:rFonts w:ascii="Times New Roman" w:hAnsi="Times New Roman"/>
          <w:sz w:val="26"/>
          <w:szCs w:val="26"/>
          <w:highlight w:val="yellow"/>
        </w:rPr>
      </w:pPr>
    </w:p>
    <w:p w:rsidR="009B10A4" w:rsidRPr="00B676EF" w:rsidRDefault="009B10A4" w:rsidP="00F443DB">
      <w:pPr>
        <w:spacing w:after="120" w:line="240" w:lineRule="auto"/>
        <w:ind w:firstLine="567"/>
        <w:jc w:val="right"/>
        <w:rPr>
          <w:rFonts w:ascii="Times New Roman" w:hAnsi="Times New Roman"/>
          <w:sz w:val="26"/>
          <w:szCs w:val="26"/>
        </w:rPr>
      </w:pPr>
      <w:r w:rsidRPr="00B676EF">
        <w:rPr>
          <w:rFonts w:ascii="Times New Roman" w:hAnsi="Times New Roman"/>
          <w:sz w:val="26"/>
          <w:szCs w:val="26"/>
        </w:rPr>
        <w:t>1.tabula</w:t>
      </w:r>
    </w:p>
    <w:p w:rsidR="009B10A4" w:rsidRPr="00B676EF" w:rsidRDefault="009B10A4" w:rsidP="00F443DB">
      <w:pPr>
        <w:spacing w:after="120" w:line="240" w:lineRule="auto"/>
        <w:jc w:val="center"/>
        <w:rPr>
          <w:rFonts w:ascii="Times New Roman" w:hAnsi="Times New Roman"/>
          <w:b/>
          <w:sz w:val="24"/>
          <w:szCs w:val="24"/>
        </w:rPr>
      </w:pPr>
      <w:r w:rsidRPr="00B676EF">
        <w:rPr>
          <w:rFonts w:ascii="Times New Roman" w:hAnsi="Times New Roman"/>
          <w:b/>
          <w:sz w:val="24"/>
          <w:szCs w:val="24"/>
        </w:rPr>
        <w:t xml:space="preserve">Kopējais investīciju apjoms Imigrācijas likuma </w:t>
      </w:r>
      <w:r w:rsidR="0077232F" w:rsidRPr="00B676EF">
        <w:rPr>
          <w:rFonts w:ascii="Times New Roman" w:hAnsi="Times New Roman"/>
          <w:b/>
          <w:sz w:val="24"/>
          <w:szCs w:val="24"/>
        </w:rPr>
        <w:t>normu izmaiņu rezultātā (</w:t>
      </w:r>
      <w:r w:rsidR="0077232F" w:rsidRPr="00B676EF">
        <w:rPr>
          <w:rFonts w:ascii="Times New Roman" w:hAnsi="Times New Roman"/>
          <w:b/>
          <w:i/>
          <w:sz w:val="24"/>
          <w:szCs w:val="24"/>
        </w:rPr>
        <w:t>euro</w:t>
      </w:r>
      <w:r w:rsidRPr="00B676EF">
        <w:rPr>
          <w:rFonts w:ascii="Times New Roman" w:hAnsi="Times New Roman"/>
          <w:b/>
          <w:sz w:val="24"/>
          <w:szCs w:val="24"/>
        </w:rPr>
        <w:t>)</w:t>
      </w:r>
    </w:p>
    <w:tbl>
      <w:tblPr>
        <w:tblStyle w:val="LightShading"/>
        <w:tblW w:w="0" w:type="auto"/>
        <w:tblLook w:val="04A0" w:firstRow="1" w:lastRow="0" w:firstColumn="1" w:lastColumn="0" w:noHBand="0" w:noVBand="1"/>
      </w:tblPr>
      <w:tblGrid>
        <w:gridCol w:w="1777"/>
        <w:gridCol w:w="1859"/>
        <w:gridCol w:w="1696"/>
        <w:gridCol w:w="2357"/>
        <w:gridCol w:w="1784"/>
      </w:tblGrid>
      <w:tr w:rsidR="0077232F" w:rsidRPr="00B676EF" w:rsidTr="009E1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dxa"/>
            <w:vAlign w:val="center"/>
          </w:tcPr>
          <w:p w:rsidR="0077232F" w:rsidRPr="00212C08" w:rsidRDefault="0077232F" w:rsidP="00F443DB">
            <w:pPr>
              <w:spacing w:after="120" w:line="240" w:lineRule="auto"/>
              <w:jc w:val="center"/>
              <w:rPr>
                <w:rFonts w:ascii="Times New Roman" w:hAnsi="Times New Roman"/>
                <w:sz w:val="24"/>
                <w:szCs w:val="24"/>
              </w:rPr>
            </w:pPr>
          </w:p>
        </w:tc>
        <w:tc>
          <w:tcPr>
            <w:tcW w:w="1880" w:type="dxa"/>
            <w:vAlign w:val="center"/>
          </w:tcPr>
          <w:p w:rsidR="0077232F" w:rsidRPr="00212C08" w:rsidRDefault="0077232F" w:rsidP="00F443DB">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212C08">
              <w:rPr>
                <w:rFonts w:ascii="Times New Roman" w:hAnsi="Times New Roman"/>
                <w:sz w:val="24"/>
                <w:szCs w:val="24"/>
              </w:rPr>
              <w:t>Nekustamie īpašumi</w:t>
            </w:r>
          </w:p>
        </w:tc>
        <w:tc>
          <w:tcPr>
            <w:tcW w:w="1696" w:type="dxa"/>
            <w:vAlign w:val="center"/>
          </w:tcPr>
          <w:p w:rsidR="0077232F" w:rsidRPr="00212C08" w:rsidRDefault="0077232F" w:rsidP="00F443DB">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212C08">
              <w:rPr>
                <w:rFonts w:ascii="Times New Roman" w:hAnsi="Times New Roman"/>
                <w:sz w:val="24"/>
                <w:szCs w:val="24"/>
              </w:rPr>
              <w:t>Kredītiestādes</w:t>
            </w:r>
          </w:p>
        </w:tc>
        <w:tc>
          <w:tcPr>
            <w:tcW w:w="2367" w:type="dxa"/>
            <w:vAlign w:val="center"/>
          </w:tcPr>
          <w:p w:rsidR="0077232F" w:rsidRPr="00212C08" w:rsidRDefault="0077232F" w:rsidP="00F443DB">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212C08">
              <w:rPr>
                <w:rFonts w:ascii="Times New Roman" w:hAnsi="Times New Roman"/>
                <w:sz w:val="24"/>
                <w:szCs w:val="24"/>
              </w:rPr>
              <w:t>Kapitālsabiedrības</w:t>
            </w:r>
          </w:p>
        </w:tc>
        <w:tc>
          <w:tcPr>
            <w:tcW w:w="1834" w:type="dxa"/>
            <w:vAlign w:val="center"/>
          </w:tcPr>
          <w:p w:rsidR="0077232F" w:rsidRPr="00212C08" w:rsidRDefault="0077232F" w:rsidP="00F443DB">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212C08">
              <w:rPr>
                <w:rFonts w:ascii="Times New Roman" w:hAnsi="Times New Roman"/>
                <w:sz w:val="24"/>
                <w:szCs w:val="24"/>
              </w:rPr>
              <w:t>Kopā</w:t>
            </w:r>
          </w:p>
        </w:tc>
      </w:tr>
      <w:tr w:rsidR="0077232F" w:rsidRPr="00B676EF" w:rsidTr="009E106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794" w:type="dxa"/>
          </w:tcPr>
          <w:p w:rsidR="0077232F" w:rsidRPr="00B676EF" w:rsidRDefault="0077232F" w:rsidP="00F443DB">
            <w:pPr>
              <w:spacing w:after="120" w:line="240" w:lineRule="auto"/>
              <w:jc w:val="center"/>
              <w:rPr>
                <w:rFonts w:ascii="Times New Roman" w:hAnsi="Times New Roman"/>
                <w:b w:val="0"/>
                <w:sz w:val="20"/>
              </w:rPr>
            </w:pPr>
            <w:r w:rsidRPr="00B676EF">
              <w:rPr>
                <w:rFonts w:ascii="Times New Roman" w:hAnsi="Times New Roman"/>
                <w:b w:val="0"/>
                <w:sz w:val="24"/>
                <w:szCs w:val="24"/>
              </w:rPr>
              <w:t>01.07.2010.-31.12.2010.</w:t>
            </w:r>
          </w:p>
        </w:tc>
        <w:tc>
          <w:tcPr>
            <w:tcW w:w="1880" w:type="dxa"/>
          </w:tcPr>
          <w:p w:rsidR="0077232F" w:rsidRPr="00BE23D1" w:rsidRDefault="0077232F" w:rsidP="00F443DB">
            <w:pPr>
              <w:spacing w:after="96"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BE23D1">
              <w:rPr>
                <w:rFonts w:ascii="Times New Roman" w:hAnsi="Times New Roman"/>
                <w:sz w:val="24"/>
                <w:szCs w:val="24"/>
              </w:rPr>
              <w:t>15 843 266</w:t>
            </w:r>
          </w:p>
        </w:tc>
        <w:tc>
          <w:tcPr>
            <w:tcW w:w="1696" w:type="dxa"/>
          </w:tcPr>
          <w:p w:rsidR="0077232F" w:rsidRPr="00BE23D1" w:rsidRDefault="0077232F" w:rsidP="00F443DB">
            <w:pPr>
              <w:spacing w:after="96"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BE23D1">
              <w:rPr>
                <w:rFonts w:ascii="Times New Roman" w:hAnsi="Times New Roman"/>
                <w:sz w:val="24"/>
                <w:szCs w:val="24"/>
              </w:rPr>
              <w:t>12 283 072</w:t>
            </w:r>
          </w:p>
        </w:tc>
        <w:tc>
          <w:tcPr>
            <w:tcW w:w="2367" w:type="dxa"/>
          </w:tcPr>
          <w:p w:rsidR="0077232F" w:rsidRPr="00BE23D1" w:rsidRDefault="0077232F" w:rsidP="00F443DB">
            <w:pPr>
              <w:spacing w:after="96"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BE23D1">
              <w:rPr>
                <w:rFonts w:ascii="Times New Roman" w:hAnsi="Times New Roman"/>
                <w:sz w:val="24"/>
                <w:szCs w:val="24"/>
              </w:rPr>
              <w:t>304 708</w:t>
            </w:r>
          </w:p>
        </w:tc>
        <w:tc>
          <w:tcPr>
            <w:tcW w:w="1834" w:type="dxa"/>
          </w:tcPr>
          <w:p w:rsidR="0077232F" w:rsidRPr="00BE23D1" w:rsidRDefault="0077232F" w:rsidP="00F443DB">
            <w:pPr>
              <w:spacing w:after="96"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BE23D1">
              <w:rPr>
                <w:rFonts w:ascii="Times New Roman" w:hAnsi="Times New Roman"/>
                <w:b/>
                <w:bCs/>
                <w:sz w:val="24"/>
                <w:szCs w:val="24"/>
              </w:rPr>
              <w:t>28 431 046</w:t>
            </w:r>
          </w:p>
        </w:tc>
      </w:tr>
      <w:tr w:rsidR="0077232F" w:rsidRPr="00B676EF" w:rsidTr="009E1064">
        <w:tc>
          <w:tcPr>
            <w:cnfStyle w:val="001000000000" w:firstRow="0" w:lastRow="0" w:firstColumn="1" w:lastColumn="0" w:oddVBand="0" w:evenVBand="0" w:oddHBand="0" w:evenHBand="0" w:firstRowFirstColumn="0" w:firstRowLastColumn="0" w:lastRowFirstColumn="0" w:lastRowLastColumn="0"/>
            <w:tcW w:w="1794" w:type="dxa"/>
          </w:tcPr>
          <w:p w:rsidR="0077232F" w:rsidRPr="00B676EF" w:rsidRDefault="0077232F" w:rsidP="00F443DB">
            <w:pPr>
              <w:spacing w:after="120" w:line="240" w:lineRule="auto"/>
              <w:jc w:val="center"/>
              <w:rPr>
                <w:rFonts w:ascii="Times New Roman" w:hAnsi="Times New Roman"/>
                <w:b w:val="0"/>
                <w:sz w:val="24"/>
                <w:szCs w:val="24"/>
              </w:rPr>
            </w:pPr>
            <w:r w:rsidRPr="00B676EF">
              <w:rPr>
                <w:rFonts w:ascii="Times New Roman" w:hAnsi="Times New Roman"/>
                <w:b w:val="0"/>
                <w:sz w:val="24"/>
                <w:szCs w:val="24"/>
              </w:rPr>
              <w:t>2011.</w:t>
            </w:r>
          </w:p>
        </w:tc>
        <w:tc>
          <w:tcPr>
            <w:tcW w:w="1880" w:type="dxa"/>
          </w:tcPr>
          <w:p w:rsidR="0077232F" w:rsidRPr="00BE23D1" w:rsidRDefault="00B676EF" w:rsidP="00F443DB">
            <w:pPr>
              <w:spacing w:after="96"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BE23D1">
              <w:rPr>
                <w:rFonts w:ascii="Times New Roman" w:hAnsi="Times New Roman"/>
                <w:sz w:val="24"/>
                <w:szCs w:val="24"/>
              </w:rPr>
              <w:t>138 601 531</w:t>
            </w:r>
          </w:p>
        </w:tc>
        <w:tc>
          <w:tcPr>
            <w:tcW w:w="1696" w:type="dxa"/>
          </w:tcPr>
          <w:p w:rsidR="0077232F" w:rsidRPr="00BE23D1" w:rsidRDefault="00B676EF" w:rsidP="00F443DB">
            <w:pPr>
              <w:spacing w:after="96"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BE23D1">
              <w:rPr>
                <w:rFonts w:ascii="Times New Roman" w:hAnsi="Times New Roman"/>
                <w:sz w:val="24"/>
                <w:szCs w:val="24"/>
              </w:rPr>
              <w:t>35 063 985</w:t>
            </w:r>
          </w:p>
        </w:tc>
        <w:tc>
          <w:tcPr>
            <w:tcW w:w="2367" w:type="dxa"/>
          </w:tcPr>
          <w:p w:rsidR="0077232F" w:rsidRPr="00BE23D1" w:rsidRDefault="00B676EF" w:rsidP="00F443DB">
            <w:pPr>
              <w:spacing w:after="96"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BE23D1">
              <w:rPr>
                <w:rFonts w:ascii="Times New Roman" w:hAnsi="Times New Roman"/>
                <w:sz w:val="24"/>
                <w:szCs w:val="24"/>
              </w:rPr>
              <w:t>3 641 314</w:t>
            </w:r>
          </w:p>
        </w:tc>
        <w:tc>
          <w:tcPr>
            <w:tcW w:w="1834" w:type="dxa"/>
          </w:tcPr>
          <w:p w:rsidR="0077232F" w:rsidRPr="00BE23D1" w:rsidRDefault="00B676EF" w:rsidP="00F443DB">
            <w:pPr>
              <w:spacing w:after="96"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BE23D1">
              <w:rPr>
                <w:rFonts w:ascii="Times New Roman" w:hAnsi="Times New Roman"/>
                <w:b/>
                <w:bCs/>
                <w:sz w:val="24"/>
                <w:szCs w:val="24"/>
              </w:rPr>
              <w:t>177 306 830</w:t>
            </w:r>
          </w:p>
        </w:tc>
      </w:tr>
      <w:tr w:rsidR="0077232F" w:rsidRPr="00B676EF" w:rsidTr="009E1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dxa"/>
          </w:tcPr>
          <w:p w:rsidR="0077232F" w:rsidRPr="00B676EF" w:rsidRDefault="0077232F" w:rsidP="00F443DB">
            <w:pPr>
              <w:spacing w:after="120" w:line="240" w:lineRule="auto"/>
              <w:jc w:val="center"/>
              <w:rPr>
                <w:rFonts w:ascii="Times New Roman" w:hAnsi="Times New Roman"/>
                <w:b w:val="0"/>
                <w:sz w:val="24"/>
                <w:szCs w:val="24"/>
              </w:rPr>
            </w:pPr>
            <w:r w:rsidRPr="00B676EF">
              <w:rPr>
                <w:rFonts w:ascii="Times New Roman" w:hAnsi="Times New Roman"/>
                <w:b w:val="0"/>
                <w:sz w:val="24"/>
                <w:szCs w:val="24"/>
              </w:rPr>
              <w:t>2012.</w:t>
            </w:r>
          </w:p>
        </w:tc>
        <w:tc>
          <w:tcPr>
            <w:tcW w:w="1880" w:type="dxa"/>
          </w:tcPr>
          <w:p w:rsidR="0077232F" w:rsidRPr="00BE23D1" w:rsidRDefault="00B676EF" w:rsidP="00F443DB">
            <w:pPr>
              <w:spacing w:after="96"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BE23D1">
              <w:rPr>
                <w:rFonts w:ascii="Times New Roman" w:hAnsi="Times New Roman"/>
                <w:sz w:val="24"/>
                <w:szCs w:val="24"/>
              </w:rPr>
              <w:t>208 041 186</w:t>
            </w:r>
          </w:p>
        </w:tc>
        <w:tc>
          <w:tcPr>
            <w:tcW w:w="1696" w:type="dxa"/>
          </w:tcPr>
          <w:p w:rsidR="0077232F" w:rsidRPr="00BE23D1" w:rsidRDefault="00B676EF" w:rsidP="00F443DB">
            <w:pPr>
              <w:spacing w:after="96"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BE23D1">
              <w:rPr>
                <w:rFonts w:ascii="Times New Roman" w:hAnsi="Times New Roman"/>
                <w:sz w:val="24"/>
                <w:szCs w:val="24"/>
              </w:rPr>
              <w:t>28 474 027</w:t>
            </w:r>
          </w:p>
        </w:tc>
        <w:tc>
          <w:tcPr>
            <w:tcW w:w="2367" w:type="dxa"/>
          </w:tcPr>
          <w:p w:rsidR="0077232F" w:rsidRPr="00BE23D1" w:rsidRDefault="00B676EF" w:rsidP="00F443DB">
            <w:pPr>
              <w:spacing w:after="96"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BE23D1">
              <w:rPr>
                <w:rFonts w:ascii="Times New Roman" w:hAnsi="Times New Roman"/>
                <w:sz w:val="24"/>
                <w:szCs w:val="24"/>
              </w:rPr>
              <w:t>13 335 101</w:t>
            </w:r>
          </w:p>
        </w:tc>
        <w:tc>
          <w:tcPr>
            <w:tcW w:w="1834" w:type="dxa"/>
          </w:tcPr>
          <w:p w:rsidR="0077232F" w:rsidRPr="00BE23D1" w:rsidRDefault="00B676EF" w:rsidP="00F443DB">
            <w:pPr>
              <w:spacing w:after="96"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BE23D1">
              <w:rPr>
                <w:rFonts w:ascii="Times New Roman" w:hAnsi="Times New Roman"/>
                <w:b/>
                <w:bCs/>
                <w:sz w:val="24"/>
                <w:szCs w:val="24"/>
              </w:rPr>
              <w:t>249 850 314</w:t>
            </w:r>
          </w:p>
        </w:tc>
      </w:tr>
      <w:tr w:rsidR="0077232F" w:rsidRPr="00B676EF" w:rsidTr="009E1064">
        <w:tc>
          <w:tcPr>
            <w:cnfStyle w:val="001000000000" w:firstRow="0" w:lastRow="0" w:firstColumn="1" w:lastColumn="0" w:oddVBand="0" w:evenVBand="0" w:oddHBand="0" w:evenHBand="0" w:firstRowFirstColumn="0" w:firstRowLastColumn="0" w:lastRowFirstColumn="0" w:lastRowLastColumn="0"/>
            <w:tcW w:w="1794" w:type="dxa"/>
          </w:tcPr>
          <w:p w:rsidR="0077232F" w:rsidRPr="00B676EF" w:rsidRDefault="0077232F" w:rsidP="00F443DB">
            <w:pPr>
              <w:spacing w:after="120" w:line="240" w:lineRule="auto"/>
              <w:jc w:val="center"/>
              <w:rPr>
                <w:rFonts w:ascii="Times New Roman" w:hAnsi="Times New Roman"/>
                <w:b w:val="0"/>
                <w:sz w:val="24"/>
                <w:szCs w:val="24"/>
              </w:rPr>
            </w:pPr>
            <w:r w:rsidRPr="00B676EF">
              <w:rPr>
                <w:rFonts w:ascii="Times New Roman" w:hAnsi="Times New Roman"/>
                <w:b w:val="0"/>
                <w:sz w:val="24"/>
                <w:szCs w:val="24"/>
              </w:rPr>
              <w:t>2013.</w:t>
            </w:r>
          </w:p>
        </w:tc>
        <w:tc>
          <w:tcPr>
            <w:tcW w:w="1880" w:type="dxa"/>
          </w:tcPr>
          <w:p w:rsidR="0077232F" w:rsidRPr="00BE23D1" w:rsidRDefault="00B676EF" w:rsidP="00F443DB">
            <w:pPr>
              <w:spacing w:after="96"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E23D1">
              <w:rPr>
                <w:rFonts w:ascii="Times New Roman" w:hAnsi="Times New Roman"/>
                <w:sz w:val="24"/>
                <w:szCs w:val="24"/>
              </w:rPr>
              <w:t>296 966 113</w:t>
            </w:r>
          </w:p>
        </w:tc>
        <w:tc>
          <w:tcPr>
            <w:tcW w:w="1696" w:type="dxa"/>
          </w:tcPr>
          <w:p w:rsidR="0077232F" w:rsidRPr="00BE23D1" w:rsidRDefault="00B676EF" w:rsidP="00F443DB">
            <w:pPr>
              <w:spacing w:after="96"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BE23D1">
              <w:rPr>
                <w:rFonts w:ascii="Times New Roman" w:hAnsi="Times New Roman"/>
                <w:sz w:val="24"/>
                <w:szCs w:val="24"/>
              </w:rPr>
              <w:t>34 105 828</w:t>
            </w:r>
          </w:p>
        </w:tc>
        <w:tc>
          <w:tcPr>
            <w:tcW w:w="2367" w:type="dxa"/>
          </w:tcPr>
          <w:p w:rsidR="0077232F" w:rsidRPr="00BE23D1" w:rsidRDefault="00B676EF" w:rsidP="00F443DB">
            <w:pPr>
              <w:spacing w:after="96"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BE23D1">
              <w:rPr>
                <w:rFonts w:ascii="Times New Roman" w:hAnsi="Times New Roman"/>
                <w:sz w:val="24"/>
                <w:szCs w:val="24"/>
              </w:rPr>
              <w:t>29 300 291</w:t>
            </w:r>
          </w:p>
        </w:tc>
        <w:tc>
          <w:tcPr>
            <w:tcW w:w="1834" w:type="dxa"/>
          </w:tcPr>
          <w:p w:rsidR="0077232F" w:rsidRPr="00BE23D1" w:rsidRDefault="00B676EF" w:rsidP="00F443DB">
            <w:pPr>
              <w:spacing w:after="96"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BE23D1">
              <w:rPr>
                <w:rFonts w:ascii="Times New Roman" w:hAnsi="Times New Roman"/>
                <w:b/>
                <w:bCs/>
                <w:sz w:val="24"/>
                <w:szCs w:val="24"/>
              </w:rPr>
              <w:t>360 372 233</w:t>
            </w:r>
          </w:p>
        </w:tc>
      </w:tr>
      <w:tr w:rsidR="0077232F" w:rsidRPr="00B676EF" w:rsidTr="009E1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dxa"/>
          </w:tcPr>
          <w:p w:rsidR="0077232F" w:rsidRPr="00B676EF" w:rsidRDefault="0077232F" w:rsidP="00F443DB">
            <w:pPr>
              <w:spacing w:after="120" w:line="240" w:lineRule="auto"/>
              <w:jc w:val="center"/>
              <w:rPr>
                <w:rFonts w:ascii="Times New Roman" w:hAnsi="Times New Roman"/>
                <w:b w:val="0"/>
                <w:sz w:val="24"/>
                <w:szCs w:val="24"/>
              </w:rPr>
            </w:pPr>
            <w:r w:rsidRPr="00B676EF">
              <w:rPr>
                <w:rFonts w:ascii="Times New Roman" w:hAnsi="Times New Roman"/>
                <w:b w:val="0"/>
                <w:sz w:val="24"/>
                <w:szCs w:val="24"/>
              </w:rPr>
              <w:t>01.01.2014.-30.06.2014.</w:t>
            </w:r>
          </w:p>
        </w:tc>
        <w:tc>
          <w:tcPr>
            <w:tcW w:w="1880" w:type="dxa"/>
          </w:tcPr>
          <w:p w:rsidR="0077232F" w:rsidRPr="00212C08" w:rsidRDefault="00212C08" w:rsidP="00F443DB">
            <w:pPr>
              <w:spacing w:after="96"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178 085 983</w:t>
            </w:r>
          </w:p>
        </w:tc>
        <w:tc>
          <w:tcPr>
            <w:tcW w:w="1696" w:type="dxa"/>
          </w:tcPr>
          <w:p w:rsidR="0077232F" w:rsidRPr="00BE23D1" w:rsidRDefault="00B676EF" w:rsidP="00F443DB">
            <w:pPr>
              <w:spacing w:after="96"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BE23D1">
              <w:rPr>
                <w:rFonts w:ascii="Times New Roman" w:hAnsi="Times New Roman"/>
                <w:sz w:val="24"/>
                <w:szCs w:val="24"/>
              </w:rPr>
              <w:t>16 694 915</w:t>
            </w:r>
          </w:p>
        </w:tc>
        <w:tc>
          <w:tcPr>
            <w:tcW w:w="2367" w:type="dxa"/>
          </w:tcPr>
          <w:p w:rsidR="0077232F" w:rsidRPr="00BE23D1" w:rsidRDefault="00B676EF" w:rsidP="00F443DB">
            <w:pPr>
              <w:spacing w:after="96"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BE23D1">
              <w:rPr>
                <w:rFonts w:ascii="Times New Roman" w:hAnsi="Times New Roman"/>
                <w:sz w:val="24"/>
                <w:szCs w:val="24"/>
              </w:rPr>
              <w:t>6 350 157</w:t>
            </w:r>
          </w:p>
        </w:tc>
        <w:tc>
          <w:tcPr>
            <w:tcW w:w="1834" w:type="dxa"/>
          </w:tcPr>
          <w:p w:rsidR="0077232F" w:rsidRPr="00BE23D1" w:rsidRDefault="00B676EF" w:rsidP="00F443DB">
            <w:pPr>
              <w:spacing w:after="96"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BE23D1">
              <w:rPr>
                <w:rFonts w:ascii="Times New Roman" w:hAnsi="Times New Roman"/>
                <w:b/>
                <w:bCs/>
                <w:sz w:val="24"/>
                <w:szCs w:val="24"/>
              </w:rPr>
              <w:t>201 131 055</w:t>
            </w:r>
          </w:p>
        </w:tc>
      </w:tr>
      <w:tr w:rsidR="0077232F" w:rsidRPr="00B676EF" w:rsidTr="009E1064">
        <w:trPr>
          <w:trHeight w:val="453"/>
        </w:trPr>
        <w:tc>
          <w:tcPr>
            <w:cnfStyle w:val="001000000000" w:firstRow="0" w:lastRow="0" w:firstColumn="1" w:lastColumn="0" w:oddVBand="0" w:evenVBand="0" w:oddHBand="0" w:evenHBand="0" w:firstRowFirstColumn="0" w:firstRowLastColumn="0" w:lastRowFirstColumn="0" w:lastRowLastColumn="0"/>
            <w:tcW w:w="1794" w:type="dxa"/>
          </w:tcPr>
          <w:p w:rsidR="0077232F" w:rsidRPr="0047401D" w:rsidRDefault="0077232F" w:rsidP="00F443DB">
            <w:pPr>
              <w:spacing w:after="120" w:line="240" w:lineRule="auto"/>
              <w:jc w:val="center"/>
              <w:rPr>
                <w:rFonts w:ascii="Times New Roman" w:hAnsi="Times New Roman"/>
                <w:sz w:val="24"/>
                <w:szCs w:val="24"/>
              </w:rPr>
            </w:pPr>
            <w:r w:rsidRPr="0047401D">
              <w:rPr>
                <w:rFonts w:ascii="Times New Roman" w:hAnsi="Times New Roman"/>
                <w:sz w:val="24"/>
                <w:szCs w:val="24"/>
              </w:rPr>
              <w:t>Kopā</w:t>
            </w:r>
          </w:p>
        </w:tc>
        <w:tc>
          <w:tcPr>
            <w:tcW w:w="1880" w:type="dxa"/>
          </w:tcPr>
          <w:p w:rsidR="0077232F" w:rsidRPr="009E16EB" w:rsidRDefault="00B676EF" w:rsidP="00F443DB">
            <w:pPr>
              <w:spacing w:after="96"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BE23D1">
              <w:rPr>
                <w:rFonts w:ascii="Times New Roman" w:hAnsi="Times New Roman"/>
                <w:b/>
                <w:bCs/>
                <w:sz w:val="24"/>
                <w:szCs w:val="24"/>
              </w:rPr>
              <w:t>837 538 080</w:t>
            </w:r>
          </w:p>
        </w:tc>
        <w:tc>
          <w:tcPr>
            <w:tcW w:w="1696" w:type="dxa"/>
          </w:tcPr>
          <w:p w:rsidR="0077232F" w:rsidRPr="009E16EB" w:rsidRDefault="00B676EF" w:rsidP="00F443DB">
            <w:pPr>
              <w:spacing w:after="96"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BE23D1">
              <w:rPr>
                <w:rFonts w:ascii="Times New Roman" w:hAnsi="Times New Roman"/>
                <w:b/>
                <w:bCs/>
                <w:sz w:val="24"/>
                <w:szCs w:val="24"/>
              </w:rPr>
              <w:t>126 621 828</w:t>
            </w:r>
          </w:p>
        </w:tc>
        <w:tc>
          <w:tcPr>
            <w:tcW w:w="2367" w:type="dxa"/>
          </w:tcPr>
          <w:p w:rsidR="0077232F" w:rsidRPr="009E16EB" w:rsidRDefault="00B676EF" w:rsidP="00F443DB">
            <w:pPr>
              <w:spacing w:after="96"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BE23D1">
              <w:rPr>
                <w:rFonts w:ascii="Times New Roman" w:hAnsi="Times New Roman"/>
                <w:b/>
                <w:bCs/>
                <w:sz w:val="24"/>
                <w:szCs w:val="24"/>
              </w:rPr>
              <w:t>52 931 571</w:t>
            </w:r>
          </w:p>
        </w:tc>
        <w:tc>
          <w:tcPr>
            <w:tcW w:w="1834" w:type="dxa"/>
          </w:tcPr>
          <w:p w:rsidR="0077232F" w:rsidRPr="00BE23D1" w:rsidRDefault="00B676EF" w:rsidP="00F443DB">
            <w:pPr>
              <w:spacing w:after="96"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BE23D1">
              <w:rPr>
                <w:rFonts w:ascii="Times New Roman" w:hAnsi="Times New Roman"/>
                <w:b/>
                <w:bCs/>
                <w:sz w:val="24"/>
                <w:szCs w:val="24"/>
              </w:rPr>
              <w:t>1 017 091 478</w:t>
            </w:r>
          </w:p>
        </w:tc>
      </w:tr>
    </w:tbl>
    <w:p w:rsidR="009B10A4" w:rsidRPr="00966703" w:rsidRDefault="009B10A4" w:rsidP="00F443DB">
      <w:pPr>
        <w:spacing w:after="120" w:line="240" w:lineRule="auto"/>
        <w:ind w:firstLine="567"/>
        <w:jc w:val="both"/>
        <w:rPr>
          <w:rFonts w:ascii="Times New Roman" w:hAnsi="Times New Roman"/>
          <w:sz w:val="8"/>
          <w:szCs w:val="8"/>
          <w:highlight w:val="yellow"/>
        </w:rPr>
      </w:pPr>
    </w:p>
    <w:p w:rsidR="009B10A4" w:rsidRPr="00B676EF" w:rsidRDefault="009B10A4" w:rsidP="00F443DB">
      <w:pPr>
        <w:spacing w:after="120" w:line="240" w:lineRule="auto"/>
        <w:jc w:val="both"/>
        <w:rPr>
          <w:rFonts w:ascii="Times New Roman" w:hAnsi="Times New Roman"/>
          <w:i/>
        </w:rPr>
      </w:pPr>
      <w:r w:rsidRPr="00B676EF">
        <w:rPr>
          <w:rFonts w:ascii="Times New Roman" w:hAnsi="Times New Roman"/>
          <w:i/>
        </w:rPr>
        <w:t>Avots: PMLP</w:t>
      </w:r>
    </w:p>
    <w:p w:rsidR="009B10A4" w:rsidRPr="00966703" w:rsidRDefault="00E32651" w:rsidP="00E32651">
      <w:pPr>
        <w:spacing w:after="120" w:line="240" w:lineRule="auto"/>
        <w:ind w:firstLine="567"/>
        <w:jc w:val="both"/>
        <w:rPr>
          <w:rFonts w:ascii="Times New Roman" w:hAnsi="Times New Roman"/>
          <w:sz w:val="24"/>
          <w:highlight w:val="yellow"/>
        </w:rPr>
      </w:pPr>
      <w:r>
        <w:rPr>
          <w:rFonts w:ascii="Times New Roman" w:hAnsi="Times New Roman"/>
          <w:sz w:val="26"/>
          <w:szCs w:val="26"/>
        </w:rPr>
        <w:t xml:space="preserve">No 2010.gada 1.jūlija līdz 2013.gadam visās pozīcijās katru gadu ir novērojams palielinājums, tai skaitā 2013.gadā </w:t>
      </w:r>
      <w:r w:rsidR="00E70F36">
        <w:rPr>
          <w:rFonts w:ascii="Times New Roman" w:hAnsi="Times New Roman"/>
          <w:sz w:val="26"/>
          <w:szCs w:val="26"/>
        </w:rPr>
        <w:t>ievērojami</w:t>
      </w:r>
      <w:r>
        <w:rPr>
          <w:rFonts w:ascii="Times New Roman" w:hAnsi="Times New Roman"/>
          <w:sz w:val="26"/>
          <w:szCs w:val="26"/>
        </w:rPr>
        <w:t xml:space="preserve"> pieauga kopējie ieguldījumi kapitālsabiedrību pamatkapitālā.</w:t>
      </w:r>
    </w:p>
    <w:p w:rsidR="009B10A4" w:rsidRPr="00B676EF" w:rsidRDefault="009B10A4" w:rsidP="00F443DB">
      <w:pPr>
        <w:spacing w:after="120" w:line="240" w:lineRule="auto"/>
        <w:ind w:firstLine="567"/>
        <w:jc w:val="right"/>
        <w:rPr>
          <w:rFonts w:ascii="Times New Roman" w:hAnsi="Times New Roman"/>
          <w:sz w:val="26"/>
          <w:szCs w:val="26"/>
        </w:rPr>
      </w:pPr>
      <w:r w:rsidRPr="00B676EF">
        <w:rPr>
          <w:rFonts w:ascii="Times New Roman" w:hAnsi="Times New Roman"/>
          <w:sz w:val="26"/>
          <w:szCs w:val="26"/>
        </w:rPr>
        <w:t>2.tabula</w:t>
      </w:r>
    </w:p>
    <w:p w:rsidR="009B10A4" w:rsidRDefault="009B10A4" w:rsidP="00F443DB">
      <w:pPr>
        <w:spacing w:after="120" w:line="240" w:lineRule="auto"/>
        <w:jc w:val="center"/>
        <w:rPr>
          <w:rFonts w:ascii="Times New Roman" w:hAnsi="Times New Roman"/>
          <w:b/>
          <w:sz w:val="24"/>
          <w:szCs w:val="24"/>
        </w:rPr>
      </w:pPr>
      <w:r w:rsidRPr="00B676EF">
        <w:rPr>
          <w:rFonts w:ascii="Times New Roman" w:hAnsi="Times New Roman"/>
          <w:b/>
          <w:sz w:val="24"/>
          <w:szCs w:val="24"/>
        </w:rPr>
        <w:t>Imigrācijas likuma normu izmaiņu rezultātā pieteikt</w:t>
      </w:r>
      <w:r w:rsidR="00D80BB6">
        <w:rPr>
          <w:rFonts w:ascii="Times New Roman" w:hAnsi="Times New Roman"/>
          <w:b/>
          <w:sz w:val="24"/>
          <w:szCs w:val="24"/>
        </w:rPr>
        <w:t>o TUA skaits investoriem un viņu</w:t>
      </w:r>
      <w:r w:rsidRPr="00B676EF">
        <w:rPr>
          <w:rFonts w:ascii="Times New Roman" w:hAnsi="Times New Roman"/>
          <w:b/>
          <w:sz w:val="24"/>
          <w:szCs w:val="24"/>
        </w:rPr>
        <w:t xml:space="preserve"> ģimenes locekļiem</w:t>
      </w:r>
    </w:p>
    <w:tbl>
      <w:tblPr>
        <w:tblStyle w:val="LightShading"/>
        <w:tblW w:w="0" w:type="auto"/>
        <w:tblLook w:val="04A0" w:firstRow="1" w:lastRow="0" w:firstColumn="1" w:lastColumn="0" w:noHBand="0" w:noVBand="1"/>
      </w:tblPr>
      <w:tblGrid>
        <w:gridCol w:w="1777"/>
        <w:gridCol w:w="1859"/>
        <w:gridCol w:w="1696"/>
        <w:gridCol w:w="2357"/>
        <w:gridCol w:w="1784"/>
      </w:tblGrid>
      <w:tr w:rsidR="00431B7C" w:rsidRPr="00B676EF" w:rsidTr="009E1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dxa"/>
          </w:tcPr>
          <w:p w:rsidR="00431B7C" w:rsidRPr="00B676EF" w:rsidRDefault="00431B7C" w:rsidP="00F443DB">
            <w:pPr>
              <w:spacing w:after="120" w:line="240" w:lineRule="auto"/>
              <w:jc w:val="center"/>
              <w:rPr>
                <w:rFonts w:ascii="Times New Roman" w:hAnsi="Times New Roman"/>
                <w:b w:val="0"/>
                <w:sz w:val="24"/>
                <w:szCs w:val="24"/>
              </w:rPr>
            </w:pPr>
          </w:p>
        </w:tc>
        <w:tc>
          <w:tcPr>
            <w:tcW w:w="1880" w:type="dxa"/>
            <w:vAlign w:val="center"/>
          </w:tcPr>
          <w:p w:rsidR="00431B7C" w:rsidRPr="00BE23D1" w:rsidRDefault="00431B7C" w:rsidP="00F443DB">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BE23D1">
              <w:rPr>
                <w:rFonts w:ascii="Times New Roman" w:hAnsi="Times New Roman"/>
                <w:sz w:val="24"/>
                <w:szCs w:val="24"/>
              </w:rPr>
              <w:t>Nekustamie īpašumi</w:t>
            </w:r>
          </w:p>
        </w:tc>
        <w:tc>
          <w:tcPr>
            <w:tcW w:w="1696" w:type="dxa"/>
            <w:vAlign w:val="center"/>
          </w:tcPr>
          <w:p w:rsidR="00431B7C" w:rsidRPr="00BE23D1" w:rsidRDefault="00431B7C" w:rsidP="00F443DB">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BE23D1">
              <w:rPr>
                <w:rFonts w:ascii="Times New Roman" w:hAnsi="Times New Roman"/>
                <w:sz w:val="24"/>
                <w:szCs w:val="24"/>
              </w:rPr>
              <w:t>Kredītiestādes</w:t>
            </w:r>
          </w:p>
        </w:tc>
        <w:tc>
          <w:tcPr>
            <w:tcW w:w="2367" w:type="dxa"/>
            <w:vAlign w:val="center"/>
          </w:tcPr>
          <w:p w:rsidR="00431B7C" w:rsidRPr="00BE23D1" w:rsidRDefault="00431B7C" w:rsidP="00F443DB">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BE23D1">
              <w:rPr>
                <w:rFonts w:ascii="Times New Roman" w:hAnsi="Times New Roman"/>
                <w:sz w:val="24"/>
                <w:szCs w:val="24"/>
              </w:rPr>
              <w:t>Kapitālsabiedrības</w:t>
            </w:r>
          </w:p>
        </w:tc>
        <w:tc>
          <w:tcPr>
            <w:tcW w:w="1834" w:type="dxa"/>
            <w:vAlign w:val="center"/>
          </w:tcPr>
          <w:p w:rsidR="00431B7C" w:rsidRPr="00BE23D1" w:rsidRDefault="00431B7C" w:rsidP="00F443DB">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BE23D1">
              <w:rPr>
                <w:rFonts w:ascii="Times New Roman" w:hAnsi="Times New Roman"/>
                <w:sz w:val="24"/>
                <w:szCs w:val="24"/>
              </w:rPr>
              <w:t>Kopā</w:t>
            </w:r>
          </w:p>
        </w:tc>
      </w:tr>
      <w:tr w:rsidR="00431B7C" w:rsidRPr="00B676EF" w:rsidTr="00431B7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794" w:type="dxa"/>
          </w:tcPr>
          <w:p w:rsidR="00431B7C" w:rsidRPr="00B676EF" w:rsidRDefault="00431B7C" w:rsidP="00F443DB">
            <w:pPr>
              <w:spacing w:after="120" w:line="240" w:lineRule="auto"/>
              <w:jc w:val="center"/>
              <w:rPr>
                <w:rFonts w:ascii="Times New Roman" w:hAnsi="Times New Roman"/>
                <w:b w:val="0"/>
                <w:sz w:val="20"/>
              </w:rPr>
            </w:pPr>
            <w:r w:rsidRPr="00B676EF">
              <w:rPr>
                <w:rFonts w:ascii="Times New Roman" w:hAnsi="Times New Roman"/>
                <w:b w:val="0"/>
                <w:sz w:val="24"/>
                <w:szCs w:val="24"/>
              </w:rPr>
              <w:t>01.07.2010.-31.12.2010.</w:t>
            </w:r>
          </w:p>
        </w:tc>
        <w:tc>
          <w:tcPr>
            <w:tcW w:w="1880" w:type="dxa"/>
          </w:tcPr>
          <w:p w:rsidR="00431B7C" w:rsidRPr="00431B7C" w:rsidRDefault="00431B7C" w:rsidP="00F443DB">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31B7C">
              <w:rPr>
                <w:rFonts w:ascii="Times New Roman" w:hAnsi="Times New Roman"/>
                <w:sz w:val="24"/>
                <w:szCs w:val="24"/>
              </w:rPr>
              <w:t>172</w:t>
            </w:r>
          </w:p>
        </w:tc>
        <w:tc>
          <w:tcPr>
            <w:tcW w:w="1696" w:type="dxa"/>
          </w:tcPr>
          <w:p w:rsidR="00431B7C" w:rsidRPr="00431B7C" w:rsidRDefault="00431B7C" w:rsidP="00F443DB">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31B7C">
              <w:rPr>
                <w:rFonts w:ascii="Times New Roman" w:hAnsi="Times New Roman"/>
                <w:sz w:val="24"/>
                <w:szCs w:val="24"/>
              </w:rPr>
              <w:t>103</w:t>
            </w:r>
          </w:p>
        </w:tc>
        <w:tc>
          <w:tcPr>
            <w:tcW w:w="2367" w:type="dxa"/>
          </w:tcPr>
          <w:p w:rsidR="00431B7C" w:rsidRPr="00431B7C" w:rsidRDefault="00431B7C" w:rsidP="00F443DB">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31B7C">
              <w:rPr>
                <w:rFonts w:ascii="Times New Roman" w:hAnsi="Times New Roman"/>
                <w:sz w:val="24"/>
                <w:szCs w:val="24"/>
              </w:rPr>
              <w:t>14</w:t>
            </w:r>
          </w:p>
        </w:tc>
        <w:tc>
          <w:tcPr>
            <w:tcW w:w="1834" w:type="dxa"/>
          </w:tcPr>
          <w:p w:rsidR="00431B7C" w:rsidRPr="00B676EF" w:rsidRDefault="00431B7C" w:rsidP="00F443DB">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289</w:t>
            </w:r>
          </w:p>
        </w:tc>
      </w:tr>
      <w:tr w:rsidR="00431B7C" w:rsidRPr="00B676EF" w:rsidTr="00431B7C">
        <w:tc>
          <w:tcPr>
            <w:cnfStyle w:val="001000000000" w:firstRow="0" w:lastRow="0" w:firstColumn="1" w:lastColumn="0" w:oddVBand="0" w:evenVBand="0" w:oddHBand="0" w:evenHBand="0" w:firstRowFirstColumn="0" w:firstRowLastColumn="0" w:lastRowFirstColumn="0" w:lastRowLastColumn="0"/>
            <w:tcW w:w="1794" w:type="dxa"/>
          </w:tcPr>
          <w:p w:rsidR="00431B7C" w:rsidRPr="00B676EF" w:rsidRDefault="00431B7C" w:rsidP="00F443DB">
            <w:pPr>
              <w:spacing w:after="120" w:line="240" w:lineRule="auto"/>
              <w:jc w:val="center"/>
              <w:rPr>
                <w:rFonts w:ascii="Times New Roman" w:hAnsi="Times New Roman"/>
                <w:b w:val="0"/>
                <w:sz w:val="24"/>
                <w:szCs w:val="24"/>
              </w:rPr>
            </w:pPr>
            <w:r w:rsidRPr="00B676EF">
              <w:rPr>
                <w:rFonts w:ascii="Times New Roman" w:hAnsi="Times New Roman"/>
                <w:b w:val="0"/>
                <w:sz w:val="24"/>
                <w:szCs w:val="24"/>
              </w:rPr>
              <w:t>2011.</w:t>
            </w:r>
          </w:p>
        </w:tc>
        <w:tc>
          <w:tcPr>
            <w:tcW w:w="1880" w:type="dxa"/>
          </w:tcPr>
          <w:p w:rsidR="00431B7C" w:rsidRPr="00431B7C" w:rsidRDefault="00431B7C" w:rsidP="00F443DB">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1 560</w:t>
            </w:r>
          </w:p>
        </w:tc>
        <w:tc>
          <w:tcPr>
            <w:tcW w:w="1696" w:type="dxa"/>
          </w:tcPr>
          <w:p w:rsidR="00431B7C" w:rsidRPr="00431B7C" w:rsidRDefault="00836F59" w:rsidP="00F443DB">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298</w:t>
            </w:r>
          </w:p>
        </w:tc>
        <w:tc>
          <w:tcPr>
            <w:tcW w:w="2367" w:type="dxa"/>
          </w:tcPr>
          <w:p w:rsidR="00431B7C" w:rsidRPr="00431B7C" w:rsidRDefault="00836F59" w:rsidP="00F443DB">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119</w:t>
            </w:r>
          </w:p>
        </w:tc>
        <w:tc>
          <w:tcPr>
            <w:tcW w:w="1834" w:type="dxa"/>
          </w:tcPr>
          <w:p w:rsidR="00431B7C" w:rsidRPr="00B676EF" w:rsidRDefault="00431B7C" w:rsidP="00F443DB">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 xml:space="preserve">1 </w:t>
            </w:r>
            <w:r w:rsidR="00836F59">
              <w:rPr>
                <w:rFonts w:ascii="Times New Roman" w:hAnsi="Times New Roman"/>
                <w:b/>
                <w:sz w:val="24"/>
                <w:szCs w:val="24"/>
              </w:rPr>
              <w:t>977</w:t>
            </w:r>
          </w:p>
        </w:tc>
      </w:tr>
      <w:tr w:rsidR="00431B7C" w:rsidRPr="00B676EF" w:rsidTr="00431B7C">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1794" w:type="dxa"/>
          </w:tcPr>
          <w:p w:rsidR="00431B7C" w:rsidRPr="00B676EF" w:rsidRDefault="00431B7C" w:rsidP="00F443DB">
            <w:pPr>
              <w:spacing w:after="120" w:line="240" w:lineRule="auto"/>
              <w:jc w:val="center"/>
              <w:rPr>
                <w:rFonts w:ascii="Times New Roman" w:hAnsi="Times New Roman"/>
                <w:b w:val="0"/>
                <w:sz w:val="24"/>
                <w:szCs w:val="24"/>
              </w:rPr>
            </w:pPr>
            <w:r w:rsidRPr="00B676EF">
              <w:rPr>
                <w:rFonts w:ascii="Times New Roman" w:hAnsi="Times New Roman"/>
                <w:b w:val="0"/>
                <w:sz w:val="24"/>
                <w:szCs w:val="24"/>
              </w:rPr>
              <w:t>2012.</w:t>
            </w:r>
          </w:p>
        </w:tc>
        <w:tc>
          <w:tcPr>
            <w:tcW w:w="1880" w:type="dxa"/>
          </w:tcPr>
          <w:p w:rsidR="00431B7C" w:rsidRPr="00431B7C" w:rsidRDefault="00431B7C" w:rsidP="00F443DB">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2 442</w:t>
            </w:r>
          </w:p>
        </w:tc>
        <w:tc>
          <w:tcPr>
            <w:tcW w:w="1696" w:type="dxa"/>
          </w:tcPr>
          <w:p w:rsidR="00431B7C" w:rsidRPr="00431B7C" w:rsidRDefault="00431B7C" w:rsidP="00F443DB">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210</w:t>
            </w:r>
          </w:p>
        </w:tc>
        <w:tc>
          <w:tcPr>
            <w:tcW w:w="2367" w:type="dxa"/>
          </w:tcPr>
          <w:p w:rsidR="00431B7C" w:rsidRPr="00431B7C" w:rsidRDefault="00431B7C" w:rsidP="00F443DB">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31B7C">
              <w:rPr>
                <w:rFonts w:ascii="Times New Roman" w:hAnsi="Times New Roman"/>
                <w:sz w:val="24"/>
                <w:szCs w:val="24"/>
              </w:rPr>
              <w:t>269</w:t>
            </w:r>
          </w:p>
        </w:tc>
        <w:tc>
          <w:tcPr>
            <w:tcW w:w="1834" w:type="dxa"/>
          </w:tcPr>
          <w:p w:rsidR="00431B7C" w:rsidRPr="00B676EF" w:rsidRDefault="00431B7C" w:rsidP="00F443DB">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2 921</w:t>
            </w:r>
          </w:p>
        </w:tc>
      </w:tr>
      <w:tr w:rsidR="00431B7C" w:rsidRPr="00B676EF" w:rsidTr="00431B7C">
        <w:trPr>
          <w:trHeight w:val="276"/>
        </w:trPr>
        <w:tc>
          <w:tcPr>
            <w:cnfStyle w:val="001000000000" w:firstRow="0" w:lastRow="0" w:firstColumn="1" w:lastColumn="0" w:oddVBand="0" w:evenVBand="0" w:oddHBand="0" w:evenHBand="0" w:firstRowFirstColumn="0" w:firstRowLastColumn="0" w:lastRowFirstColumn="0" w:lastRowLastColumn="0"/>
            <w:tcW w:w="1794" w:type="dxa"/>
          </w:tcPr>
          <w:p w:rsidR="00431B7C" w:rsidRPr="00B676EF" w:rsidRDefault="00431B7C" w:rsidP="00F443DB">
            <w:pPr>
              <w:spacing w:after="120" w:line="240" w:lineRule="auto"/>
              <w:jc w:val="center"/>
              <w:rPr>
                <w:rFonts w:ascii="Times New Roman" w:hAnsi="Times New Roman"/>
                <w:b w:val="0"/>
                <w:sz w:val="24"/>
                <w:szCs w:val="24"/>
              </w:rPr>
            </w:pPr>
            <w:r w:rsidRPr="00B676EF">
              <w:rPr>
                <w:rFonts w:ascii="Times New Roman" w:hAnsi="Times New Roman"/>
                <w:b w:val="0"/>
                <w:sz w:val="24"/>
                <w:szCs w:val="24"/>
              </w:rPr>
              <w:t>2013.</w:t>
            </w:r>
          </w:p>
        </w:tc>
        <w:tc>
          <w:tcPr>
            <w:tcW w:w="1880" w:type="dxa"/>
          </w:tcPr>
          <w:p w:rsidR="00431B7C" w:rsidRPr="00B676EF" w:rsidRDefault="00431B7C" w:rsidP="00F443DB">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31B7C">
              <w:rPr>
                <w:rFonts w:ascii="Times New Roman" w:hAnsi="Times New Roman"/>
                <w:sz w:val="24"/>
                <w:szCs w:val="24"/>
              </w:rPr>
              <w:t>3</w:t>
            </w:r>
            <w:r>
              <w:rPr>
                <w:rFonts w:ascii="Times New Roman" w:hAnsi="Times New Roman"/>
                <w:sz w:val="24"/>
                <w:szCs w:val="24"/>
              </w:rPr>
              <w:t xml:space="preserve"> </w:t>
            </w:r>
            <w:r w:rsidRPr="00431B7C">
              <w:rPr>
                <w:rFonts w:ascii="Times New Roman" w:hAnsi="Times New Roman"/>
                <w:sz w:val="24"/>
                <w:szCs w:val="24"/>
              </w:rPr>
              <w:t>683</w:t>
            </w:r>
          </w:p>
        </w:tc>
        <w:tc>
          <w:tcPr>
            <w:tcW w:w="1696" w:type="dxa"/>
          </w:tcPr>
          <w:p w:rsidR="00431B7C" w:rsidRPr="00431B7C" w:rsidRDefault="00431B7C" w:rsidP="00F443DB">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31B7C">
              <w:rPr>
                <w:rFonts w:ascii="Times New Roman" w:hAnsi="Times New Roman"/>
                <w:sz w:val="24"/>
                <w:szCs w:val="24"/>
              </w:rPr>
              <w:t>256</w:t>
            </w:r>
          </w:p>
        </w:tc>
        <w:tc>
          <w:tcPr>
            <w:tcW w:w="2367" w:type="dxa"/>
          </w:tcPr>
          <w:p w:rsidR="00431B7C" w:rsidRPr="00431B7C" w:rsidRDefault="00431B7C" w:rsidP="00F443DB">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31B7C">
              <w:rPr>
                <w:rFonts w:ascii="Times New Roman" w:hAnsi="Times New Roman"/>
                <w:sz w:val="24"/>
                <w:szCs w:val="24"/>
              </w:rPr>
              <w:t>569</w:t>
            </w:r>
          </w:p>
        </w:tc>
        <w:tc>
          <w:tcPr>
            <w:tcW w:w="1834" w:type="dxa"/>
          </w:tcPr>
          <w:p w:rsidR="00431B7C" w:rsidRPr="00B676EF" w:rsidRDefault="00431B7C" w:rsidP="00F443DB">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4 508</w:t>
            </w:r>
          </w:p>
        </w:tc>
      </w:tr>
      <w:tr w:rsidR="00431B7C" w:rsidRPr="00B676EF" w:rsidTr="00431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dxa"/>
          </w:tcPr>
          <w:p w:rsidR="00431B7C" w:rsidRPr="00B676EF" w:rsidRDefault="00431B7C" w:rsidP="00F443DB">
            <w:pPr>
              <w:spacing w:after="120" w:line="240" w:lineRule="auto"/>
              <w:jc w:val="center"/>
              <w:rPr>
                <w:rFonts w:ascii="Times New Roman" w:hAnsi="Times New Roman"/>
                <w:b w:val="0"/>
                <w:sz w:val="24"/>
                <w:szCs w:val="24"/>
              </w:rPr>
            </w:pPr>
            <w:r w:rsidRPr="00B676EF">
              <w:rPr>
                <w:rFonts w:ascii="Times New Roman" w:hAnsi="Times New Roman"/>
                <w:b w:val="0"/>
                <w:sz w:val="24"/>
                <w:szCs w:val="24"/>
              </w:rPr>
              <w:t>01.01.2014.-30.06.2014.</w:t>
            </w:r>
          </w:p>
        </w:tc>
        <w:tc>
          <w:tcPr>
            <w:tcW w:w="1880" w:type="dxa"/>
          </w:tcPr>
          <w:p w:rsidR="00431B7C" w:rsidRPr="00431B7C" w:rsidRDefault="00431B7C" w:rsidP="00F443DB">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31B7C">
              <w:rPr>
                <w:rFonts w:ascii="Times New Roman" w:hAnsi="Times New Roman"/>
                <w:sz w:val="24"/>
                <w:szCs w:val="24"/>
              </w:rPr>
              <w:t>2 393</w:t>
            </w:r>
          </w:p>
        </w:tc>
        <w:tc>
          <w:tcPr>
            <w:tcW w:w="1696" w:type="dxa"/>
          </w:tcPr>
          <w:p w:rsidR="00431B7C" w:rsidRPr="00431B7C" w:rsidRDefault="00431B7C" w:rsidP="00F443DB">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31B7C">
              <w:rPr>
                <w:rFonts w:ascii="Times New Roman" w:hAnsi="Times New Roman"/>
                <w:sz w:val="24"/>
                <w:szCs w:val="24"/>
              </w:rPr>
              <w:t>130</w:t>
            </w:r>
          </w:p>
        </w:tc>
        <w:tc>
          <w:tcPr>
            <w:tcW w:w="2367" w:type="dxa"/>
          </w:tcPr>
          <w:p w:rsidR="00431B7C" w:rsidRPr="00431B7C" w:rsidRDefault="00431B7C" w:rsidP="00F443DB">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31B7C">
              <w:rPr>
                <w:rFonts w:ascii="Times New Roman" w:hAnsi="Times New Roman"/>
                <w:sz w:val="24"/>
                <w:szCs w:val="24"/>
              </w:rPr>
              <w:t>209</w:t>
            </w:r>
          </w:p>
        </w:tc>
        <w:tc>
          <w:tcPr>
            <w:tcW w:w="1834" w:type="dxa"/>
          </w:tcPr>
          <w:p w:rsidR="00431B7C" w:rsidRPr="00B676EF" w:rsidRDefault="00431B7C" w:rsidP="00F443DB">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2 732</w:t>
            </w:r>
          </w:p>
        </w:tc>
      </w:tr>
      <w:tr w:rsidR="00431B7C" w:rsidRPr="00B676EF" w:rsidTr="00431B7C">
        <w:tc>
          <w:tcPr>
            <w:cnfStyle w:val="001000000000" w:firstRow="0" w:lastRow="0" w:firstColumn="1" w:lastColumn="0" w:oddVBand="0" w:evenVBand="0" w:oddHBand="0" w:evenHBand="0" w:firstRowFirstColumn="0" w:firstRowLastColumn="0" w:lastRowFirstColumn="0" w:lastRowLastColumn="0"/>
            <w:tcW w:w="1794" w:type="dxa"/>
          </w:tcPr>
          <w:p w:rsidR="00431B7C" w:rsidRPr="0047401D" w:rsidRDefault="00431B7C" w:rsidP="00F443DB">
            <w:pPr>
              <w:spacing w:after="120" w:line="240" w:lineRule="auto"/>
              <w:jc w:val="center"/>
              <w:rPr>
                <w:rFonts w:ascii="Times New Roman" w:hAnsi="Times New Roman"/>
                <w:sz w:val="24"/>
                <w:szCs w:val="24"/>
              </w:rPr>
            </w:pPr>
            <w:r w:rsidRPr="0047401D">
              <w:rPr>
                <w:rFonts w:ascii="Times New Roman" w:hAnsi="Times New Roman"/>
                <w:sz w:val="24"/>
                <w:szCs w:val="24"/>
              </w:rPr>
              <w:t>Kopā</w:t>
            </w:r>
          </w:p>
        </w:tc>
        <w:tc>
          <w:tcPr>
            <w:tcW w:w="1880" w:type="dxa"/>
          </w:tcPr>
          <w:p w:rsidR="00431B7C" w:rsidRPr="00B676EF" w:rsidRDefault="00431B7C" w:rsidP="00F443DB">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10 250</w:t>
            </w:r>
          </w:p>
        </w:tc>
        <w:tc>
          <w:tcPr>
            <w:tcW w:w="1696" w:type="dxa"/>
          </w:tcPr>
          <w:p w:rsidR="00431B7C" w:rsidRPr="00B676EF" w:rsidRDefault="00431B7C" w:rsidP="00F443DB">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997</w:t>
            </w:r>
          </w:p>
        </w:tc>
        <w:tc>
          <w:tcPr>
            <w:tcW w:w="2367" w:type="dxa"/>
          </w:tcPr>
          <w:p w:rsidR="00431B7C" w:rsidRPr="00B676EF" w:rsidRDefault="00431B7C" w:rsidP="00F443DB">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1 180</w:t>
            </w:r>
          </w:p>
        </w:tc>
        <w:tc>
          <w:tcPr>
            <w:tcW w:w="1834" w:type="dxa"/>
          </w:tcPr>
          <w:p w:rsidR="00431B7C" w:rsidRPr="00B676EF" w:rsidRDefault="00431B7C" w:rsidP="00F443DB">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12 427</w:t>
            </w:r>
          </w:p>
        </w:tc>
      </w:tr>
    </w:tbl>
    <w:p w:rsidR="00431B7C" w:rsidRPr="00B676EF" w:rsidRDefault="00431B7C" w:rsidP="00F443DB">
      <w:pPr>
        <w:spacing w:after="120" w:line="240" w:lineRule="auto"/>
        <w:jc w:val="center"/>
        <w:rPr>
          <w:rFonts w:ascii="Times New Roman" w:hAnsi="Times New Roman"/>
          <w:sz w:val="8"/>
          <w:szCs w:val="8"/>
        </w:rPr>
      </w:pPr>
    </w:p>
    <w:p w:rsidR="009B10A4" w:rsidRPr="00836F59" w:rsidRDefault="009B10A4" w:rsidP="00F443DB">
      <w:pPr>
        <w:spacing w:after="120" w:line="240" w:lineRule="auto"/>
        <w:jc w:val="both"/>
        <w:rPr>
          <w:rFonts w:ascii="Times New Roman" w:hAnsi="Times New Roman"/>
          <w:i/>
        </w:rPr>
      </w:pPr>
      <w:r w:rsidRPr="00836F59">
        <w:rPr>
          <w:rFonts w:ascii="Times New Roman" w:hAnsi="Times New Roman"/>
          <w:i/>
        </w:rPr>
        <w:t>Avots: PMLP</w:t>
      </w:r>
    </w:p>
    <w:p w:rsidR="003073CA" w:rsidRDefault="003073CA" w:rsidP="00F443DB">
      <w:pPr>
        <w:spacing w:after="120" w:line="240" w:lineRule="auto"/>
        <w:ind w:firstLine="426"/>
        <w:jc w:val="both"/>
        <w:rPr>
          <w:rFonts w:ascii="Times New Roman" w:hAnsi="Times New Roman"/>
          <w:sz w:val="26"/>
          <w:szCs w:val="26"/>
        </w:rPr>
      </w:pPr>
    </w:p>
    <w:p w:rsidR="004C1FF1" w:rsidRPr="0052100E" w:rsidRDefault="00066EE5" w:rsidP="00F443DB">
      <w:pPr>
        <w:spacing w:after="120" w:line="240" w:lineRule="auto"/>
        <w:ind w:firstLine="426"/>
        <w:jc w:val="both"/>
        <w:rPr>
          <w:rFonts w:ascii="Times New Roman" w:hAnsi="Times New Roman"/>
          <w:sz w:val="26"/>
          <w:szCs w:val="26"/>
        </w:rPr>
      </w:pPr>
      <w:r>
        <w:rPr>
          <w:rFonts w:ascii="Times New Roman" w:hAnsi="Times New Roman"/>
          <w:sz w:val="26"/>
          <w:szCs w:val="26"/>
        </w:rPr>
        <w:lastRenderedPageBreak/>
        <w:t>S</w:t>
      </w:r>
      <w:r w:rsidR="004C1FF1" w:rsidRPr="0052100E">
        <w:rPr>
          <w:rFonts w:ascii="Times New Roman" w:hAnsi="Times New Roman"/>
          <w:sz w:val="26"/>
          <w:szCs w:val="26"/>
        </w:rPr>
        <w:t>tabilizējoties ekonomikai un palielinoties ekonomiskām aktivitātēm, ĀTI plūsmas strauji pie</w:t>
      </w:r>
      <w:r w:rsidR="0052100E">
        <w:rPr>
          <w:rFonts w:ascii="Times New Roman" w:hAnsi="Times New Roman"/>
          <w:sz w:val="26"/>
          <w:szCs w:val="26"/>
        </w:rPr>
        <w:t>auga</w:t>
      </w:r>
      <w:r>
        <w:rPr>
          <w:rStyle w:val="FootnoteReference"/>
          <w:rFonts w:ascii="Times New Roman" w:hAnsi="Times New Roman"/>
          <w:sz w:val="26"/>
          <w:szCs w:val="26"/>
        </w:rPr>
        <w:footnoteReference w:id="1"/>
      </w:r>
      <w:r w:rsidR="0052100E">
        <w:rPr>
          <w:rFonts w:ascii="Times New Roman" w:hAnsi="Times New Roman"/>
          <w:sz w:val="26"/>
          <w:szCs w:val="26"/>
        </w:rPr>
        <w:t>. Ienākošo ĀTI apjoms 2010.</w:t>
      </w:r>
      <w:r w:rsidR="004C1FF1" w:rsidRPr="0052100E">
        <w:rPr>
          <w:rFonts w:ascii="Times New Roman" w:hAnsi="Times New Roman"/>
          <w:sz w:val="26"/>
          <w:szCs w:val="26"/>
        </w:rPr>
        <w:t>gadā bija četras reizes lielāks nekā 2009.gadā, savukārt 2011.gadā ĀTI plūsmas gandrīz četras reizes pārsniedza iepriekšējā gada rādītāju un sasniedza 5,2% no IKP. 2012.gadā un 2013.gadā piesaistīto ĀTI apjoms bija nedaudz mērenāks nekā iepriekšējos gados un sasniedza attie</w:t>
      </w:r>
      <w:r w:rsidR="0052100E">
        <w:rPr>
          <w:rFonts w:ascii="Times New Roman" w:hAnsi="Times New Roman"/>
          <w:sz w:val="26"/>
          <w:szCs w:val="26"/>
        </w:rPr>
        <w:t>cīgi 3,9% un 2,6% no IKP. 2014.gada 1.</w:t>
      </w:r>
      <w:r w:rsidR="004C1FF1" w:rsidRPr="0052100E">
        <w:rPr>
          <w:rFonts w:ascii="Times New Roman" w:hAnsi="Times New Roman"/>
          <w:sz w:val="26"/>
          <w:szCs w:val="26"/>
        </w:rPr>
        <w:t>ceturksnī piesaistīto ĀTI apjoms bija gandrīz piecas reizes mazāks nekā pirms gada, galvenokārt sakarā ar ieguldījumu samazināšanos uzņēmumu pašu kapitālā, ko daļēji kompensēja reinvestētās peļņas pieaugums. Saskaņā ar Latvijas starptautisko investīciju bilanci 2014.gada marta beigās uzkrātās ĀTI Latvijas ekonomikā sasniedza 11</w:t>
      </w:r>
      <w:r w:rsidR="0052100E">
        <w:rPr>
          <w:rFonts w:ascii="Times New Roman" w:hAnsi="Times New Roman"/>
          <w:sz w:val="26"/>
          <w:szCs w:val="26"/>
        </w:rPr>
        <w:t> </w:t>
      </w:r>
      <w:r w:rsidR="004C1FF1" w:rsidRPr="0052100E">
        <w:rPr>
          <w:rFonts w:ascii="Times New Roman" w:hAnsi="Times New Roman"/>
          <w:sz w:val="26"/>
          <w:szCs w:val="26"/>
        </w:rPr>
        <w:t xml:space="preserve">425,2 milj. </w:t>
      </w:r>
      <w:r w:rsidR="0052100E" w:rsidRPr="0052100E">
        <w:rPr>
          <w:rFonts w:ascii="Times New Roman" w:hAnsi="Times New Roman"/>
          <w:i/>
          <w:sz w:val="26"/>
          <w:szCs w:val="26"/>
        </w:rPr>
        <w:t>euro</w:t>
      </w:r>
      <w:r w:rsidR="004C1FF1" w:rsidRPr="0052100E">
        <w:rPr>
          <w:rFonts w:ascii="Times New Roman" w:hAnsi="Times New Roman"/>
          <w:sz w:val="26"/>
          <w:szCs w:val="26"/>
        </w:rPr>
        <w:t>, kas bija par 3% vairāk nekā pirms gada.</w:t>
      </w:r>
    </w:p>
    <w:p w:rsidR="004C1FF1" w:rsidRDefault="004C1FF1" w:rsidP="00F443DB">
      <w:pPr>
        <w:spacing w:after="120" w:line="240" w:lineRule="auto"/>
        <w:ind w:firstLine="426"/>
        <w:jc w:val="both"/>
        <w:rPr>
          <w:rFonts w:ascii="Times New Roman" w:hAnsi="Times New Roman"/>
          <w:sz w:val="26"/>
          <w:szCs w:val="26"/>
          <w:highlight w:val="yellow"/>
        </w:rPr>
      </w:pPr>
    </w:p>
    <w:p w:rsidR="00FF6039" w:rsidRPr="0010742B" w:rsidRDefault="00BD42CB" w:rsidP="00F443DB">
      <w:pPr>
        <w:keepNext/>
        <w:spacing w:after="120" w:line="240" w:lineRule="auto"/>
        <w:jc w:val="right"/>
        <w:rPr>
          <w:rFonts w:ascii="Times New Roman" w:hAnsi="Times New Roman"/>
          <w:sz w:val="26"/>
          <w:szCs w:val="26"/>
        </w:rPr>
      </w:pPr>
      <w:r>
        <w:rPr>
          <w:rFonts w:ascii="Times New Roman" w:hAnsi="Times New Roman"/>
          <w:sz w:val="26"/>
          <w:szCs w:val="26"/>
        </w:rPr>
        <w:t>3</w:t>
      </w:r>
      <w:r w:rsidR="00FF6039" w:rsidRPr="0010742B">
        <w:rPr>
          <w:rFonts w:ascii="Times New Roman" w:hAnsi="Times New Roman"/>
          <w:sz w:val="26"/>
          <w:szCs w:val="26"/>
        </w:rPr>
        <w:t>.attēls</w:t>
      </w:r>
    </w:p>
    <w:p w:rsidR="002B5630" w:rsidRPr="00E5150C" w:rsidRDefault="009A1A6F" w:rsidP="00F443DB">
      <w:pPr>
        <w:keepNext/>
        <w:spacing w:after="120" w:line="240" w:lineRule="auto"/>
        <w:ind w:firstLine="426"/>
        <w:jc w:val="center"/>
        <w:rPr>
          <w:rFonts w:ascii="Times New Roman" w:hAnsi="Times New Roman"/>
          <w:b/>
          <w:color w:val="4F81BD" w:themeColor="accent1"/>
          <w:sz w:val="24"/>
          <w:szCs w:val="24"/>
        </w:rPr>
      </w:pPr>
      <w:r>
        <w:rPr>
          <w:rFonts w:ascii="Times New Roman" w:hAnsi="Times New Roman"/>
          <w:b/>
          <w:sz w:val="24"/>
          <w:szCs w:val="24"/>
        </w:rPr>
        <w:t>N</w:t>
      </w:r>
      <w:r w:rsidR="002B5630" w:rsidRPr="00E5150C">
        <w:rPr>
          <w:rFonts w:ascii="Times New Roman" w:hAnsi="Times New Roman"/>
          <w:b/>
          <w:sz w:val="24"/>
          <w:szCs w:val="24"/>
        </w:rPr>
        <w:t xml:space="preserve">eto </w:t>
      </w:r>
      <w:r w:rsidRPr="00E5150C">
        <w:rPr>
          <w:rFonts w:ascii="Times New Roman" w:hAnsi="Times New Roman"/>
          <w:b/>
          <w:sz w:val="24"/>
          <w:szCs w:val="24"/>
        </w:rPr>
        <w:t xml:space="preserve">ĀTI </w:t>
      </w:r>
      <w:r w:rsidR="002B5630" w:rsidRPr="00E5150C">
        <w:rPr>
          <w:rFonts w:ascii="Times New Roman" w:hAnsi="Times New Roman"/>
          <w:b/>
          <w:sz w:val="24"/>
          <w:szCs w:val="24"/>
        </w:rPr>
        <w:t>plūsmas Latvijā</w:t>
      </w:r>
      <w:r>
        <w:rPr>
          <w:rFonts w:ascii="Times New Roman" w:hAnsi="Times New Roman"/>
          <w:b/>
          <w:sz w:val="24"/>
          <w:szCs w:val="24"/>
        </w:rPr>
        <w:t xml:space="preserve"> un uz TUA attiecināmie ieguldījumi</w:t>
      </w:r>
      <w:r w:rsidR="002B5630" w:rsidRPr="00E5150C">
        <w:rPr>
          <w:rFonts w:ascii="Times New Roman" w:hAnsi="Times New Roman"/>
          <w:b/>
          <w:sz w:val="24"/>
          <w:szCs w:val="24"/>
        </w:rPr>
        <w:t xml:space="preserve">, milj. </w:t>
      </w:r>
      <w:r w:rsidRPr="00D80BB6">
        <w:rPr>
          <w:rFonts w:ascii="Times New Roman" w:hAnsi="Times New Roman"/>
          <w:b/>
          <w:i/>
          <w:sz w:val="24"/>
          <w:szCs w:val="24"/>
        </w:rPr>
        <w:t>euro</w:t>
      </w:r>
    </w:p>
    <w:p w:rsidR="0052100E" w:rsidRDefault="0052100E" w:rsidP="00F443DB">
      <w:pPr>
        <w:keepNext/>
        <w:spacing w:after="120" w:line="240" w:lineRule="auto"/>
        <w:ind w:firstLine="426"/>
        <w:jc w:val="both"/>
        <w:rPr>
          <w:rFonts w:ascii="Times New Roman" w:hAnsi="Times New Roman"/>
          <w:sz w:val="26"/>
          <w:szCs w:val="26"/>
        </w:rPr>
      </w:pPr>
      <w:r>
        <w:rPr>
          <w:rFonts w:ascii="Times New Roman" w:hAnsi="Times New Roman"/>
          <w:noProof/>
          <w:sz w:val="26"/>
          <w:szCs w:val="26"/>
          <w:lang w:eastAsia="lv-LV"/>
        </w:rPr>
        <w:drawing>
          <wp:inline distT="0" distB="0" distL="0" distR="0">
            <wp:extent cx="5314950" cy="3038475"/>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2100E" w:rsidRDefault="0052100E" w:rsidP="00F443DB">
      <w:pPr>
        <w:keepNext/>
        <w:spacing w:after="120" w:line="240" w:lineRule="auto"/>
        <w:ind w:firstLine="426"/>
        <w:rPr>
          <w:rFonts w:ascii="Times New Roman" w:hAnsi="Times New Roman"/>
          <w:i/>
        </w:rPr>
      </w:pPr>
      <w:r w:rsidRPr="00E5150C">
        <w:rPr>
          <w:rFonts w:ascii="Times New Roman" w:hAnsi="Times New Roman"/>
          <w:i/>
        </w:rPr>
        <w:t>Avots: Latvijas Banka</w:t>
      </w:r>
      <w:r>
        <w:rPr>
          <w:rFonts w:ascii="Times New Roman" w:hAnsi="Times New Roman"/>
          <w:i/>
        </w:rPr>
        <w:t>, PMLP</w:t>
      </w:r>
    </w:p>
    <w:p w:rsidR="00DD658B" w:rsidRPr="00E5150C" w:rsidRDefault="00DD658B" w:rsidP="00F443DB">
      <w:pPr>
        <w:spacing w:after="120" w:line="240" w:lineRule="auto"/>
        <w:ind w:firstLine="426"/>
        <w:rPr>
          <w:rFonts w:ascii="Times New Roman" w:hAnsi="Times New Roman"/>
          <w:i/>
        </w:rPr>
      </w:pPr>
    </w:p>
    <w:p w:rsidR="009B10A4" w:rsidRPr="00F4138E" w:rsidRDefault="009B10A4" w:rsidP="00F443DB">
      <w:pPr>
        <w:spacing w:after="120" w:line="240" w:lineRule="auto"/>
        <w:ind w:firstLine="426"/>
        <w:jc w:val="both"/>
        <w:rPr>
          <w:rFonts w:ascii="Times New Roman" w:hAnsi="Times New Roman"/>
          <w:sz w:val="26"/>
          <w:szCs w:val="26"/>
        </w:rPr>
      </w:pPr>
      <w:r w:rsidRPr="00F4138E">
        <w:rPr>
          <w:rFonts w:ascii="Times New Roman" w:hAnsi="Times New Roman"/>
          <w:sz w:val="26"/>
          <w:szCs w:val="26"/>
        </w:rPr>
        <w:t>Nerezidentu ieguldījumi, kas saistīti ar TUA saņemšanu, no 2010.gada 1.jūlija līdz 201</w:t>
      </w:r>
      <w:r w:rsidR="00EB5F85">
        <w:rPr>
          <w:rFonts w:ascii="Times New Roman" w:hAnsi="Times New Roman"/>
          <w:sz w:val="26"/>
          <w:szCs w:val="26"/>
        </w:rPr>
        <w:t>4</w:t>
      </w:r>
      <w:r w:rsidRPr="00F4138E">
        <w:rPr>
          <w:rFonts w:ascii="Times New Roman" w:hAnsi="Times New Roman"/>
          <w:sz w:val="26"/>
          <w:szCs w:val="26"/>
        </w:rPr>
        <w:t xml:space="preserve">.gada </w:t>
      </w:r>
      <w:r w:rsidR="00EB5F85">
        <w:rPr>
          <w:rFonts w:ascii="Times New Roman" w:hAnsi="Times New Roman"/>
          <w:sz w:val="26"/>
          <w:szCs w:val="26"/>
        </w:rPr>
        <w:t>30.jūnijam</w:t>
      </w:r>
      <w:r w:rsidRPr="00F4138E">
        <w:rPr>
          <w:rFonts w:ascii="Times New Roman" w:hAnsi="Times New Roman"/>
          <w:sz w:val="26"/>
          <w:szCs w:val="26"/>
        </w:rPr>
        <w:t xml:space="preserve"> bija </w:t>
      </w:r>
      <w:r w:rsidR="007C6446" w:rsidRPr="007C6446">
        <w:rPr>
          <w:rFonts w:ascii="Times New Roman" w:hAnsi="Times New Roman"/>
          <w:bCs/>
          <w:sz w:val="24"/>
          <w:szCs w:val="24"/>
        </w:rPr>
        <w:t>1</w:t>
      </w:r>
      <w:r w:rsidR="007C6446">
        <w:rPr>
          <w:rFonts w:ascii="Times New Roman" w:hAnsi="Times New Roman"/>
          <w:bCs/>
          <w:sz w:val="24"/>
          <w:szCs w:val="24"/>
        </w:rPr>
        <w:t> </w:t>
      </w:r>
      <w:r w:rsidR="007C6446" w:rsidRPr="007C6446">
        <w:rPr>
          <w:rFonts w:ascii="Times New Roman" w:hAnsi="Times New Roman"/>
          <w:bCs/>
          <w:sz w:val="24"/>
          <w:szCs w:val="24"/>
        </w:rPr>
        <w:t>017</w:t>
      </w:r>
      <w:r w:rsidR="007C6446">
        <w:rPr>
          <w:rFonts w:ascii="Times New Roman" w:hAnsi="Times New Roman"/>
          <w:bCs/>
          <w:sz w:val="24"/>
          <w:szCs w:val="24"/>
        </w:rPr>
        <w:t>,1</w:t>
      </w:r>
      <w:r w:rsidRPr="00F4138E">
        <w:rPr>
          <w:rFonts w:ascii="Times New Roman" w:hAnsi="Times New Roman"/>
          <w:sz w:val="26"/>
          <w:szCs w:val="26"/>
        </w:rPr>
        <w:t> milj. </w:t>
      </w:r>
      <w:r w:rsidR="007C6446" w:rsidRPr="00F66A3F">
        <w:rPr>
          <w:rFonts w:ascii="Times New Roman" w:hAnsi="Times New Roman"/>
          <w:i/>
          <w:sz w:val="26"/>
          <w:szCs w:val="26"/>
        </w:rPr>
        <w:t>e</w:t>
      </w:r>
      <w:r w:rsidR="00F66A3F" w:rsidRPr="00F66A3F">
        <w:rPr>
          <w:rFonts w:ascii="Times New Roman" w:hAnsi="Times New Roman"/>
          <w:i/>
          <w:sz w:val="26"/>
          <w:szCs w:val="26"/>
        </w:rPr>
        <w:t>u</w:t>
      </w:r>
      <w:r w:rsidR="007C6446" w:rsidRPr="00F66A3F">
        <w:rPr>
          <w:rFonts w:ascii="Times New Roman" w:hAnsi="Times New Roman"/>
          <w:i/>
          <w:sz w:val="26"/>
          <w:szCs w:val="26"/>
        </w:rPr>
        <w:t>ro</w:t>
      </w:r>
      <w:r w:rsidRPr="00F66A3F">
        <w:rPr>
          <w:rFonts w:ascii="Times New Roman" w:hAnsi="Times New Roman"/>
          <w:i/>
          <w:sz w:val="26"/>
          <w:szCs w:val="26"/>
        </w:rPr>
        <w:t>.</w:t>
      </w:r>
      <w:r w:rsidRPr="00F4138E">
        <w:rPr>
          <w:rFonts w:ascii="Times New Roman" w:hAnsi="Times New Roman"/>
          <w:sz w:val="26"/>
          <w:szCs w:val="26"/>
        </w:rPr>
        <w:t xml:space="preserve"> Nozaru griezumā jūtama ietekme uz kopējām ĀTI plūsmām saistībā ar TUA saņemšanu ir novērojama tikai nekustamo īpašumu darījumu nozarē, bet pārējās nozarēs šī ietekme ir nenozīmīga. </w:t>
      </w:r>
    </w:p>
    <w:p w:rsidR="00EC4C1D" w:rsidRPr="00D91D1B" w:rsidRDefault="004D499B" w:rsidP="00EC4C1D">
      <w:pPr>
        <w:spacing w:after="120" w:line="240" w:lineRule="auto"/>
        <w:ind w:firstLine="426"/>
        <w:jc w:val="both"/>
        <w:rPr>
          <w:rFonts w:ascii="Times New Roman" w:hAnsi="Times New Roman"/>
          <w:sz w:val="26"/>
          <w:szCs w:val="26"/>
        </w:rPr>
      </w:pPr>
      <w:r w:rsidRPr="004D499B">
        <w:rPr>
          <w:rFonts w:ascii="Times New Roman" w:hAnsi="Times New Roman"/>
          <w:sz w:val="26"/>
          <w:szCs w:val="26"/>
        </w:rPr>
        <w:t>Jāatzīmē, ka par šīm investīcijām Latvija konkurē ar citām ES valstīm (piemēram, Ungāriju, Čehiju, Bulgāriju) un it īpaši sava reģiona valstīm</w:t>
      </w:r>
      <w:r w:rsidRPr="004D499B">
        <w:rPr>
          <w:rStyle w:val="FootnoteReference"/>
          <w:rFonts w:ascii="Times New Roman" w:hAnsi="Times New Roman"/>
          <w:sz w:val="26"/>
          <w:szCs w:val="26"/>
        </w:rPr>
        <w:footnoteReference w:id="2"/>
      </w:r>
      <w:r w:rsidRPr="004D499B">
        <w:rPr>
          <w:rFonts w:ascii="Times New Roman" w:hAnsi="Times New Roman"/>
          <w:sz w:val="26"/>
          <w:szCs w:val="26"/>
        </w:rPr>
        <w:t xml:space="preserve">. </w:t>
      </w:r>
      <w:r w:rsidR="00EC4C1D" w:rsidRPr="004D499B">
        <w:rPr>
          <w:rFonts w:ascii="Times New Roman" w:hAnsi="Times New Roman"/>
          <w:sz w:val="26"/>
          <w:szCs w:val="26"/>
        </w:rPr>
        <w:t xml:space="preserve">Vienlaikus jāņem vērā, ka vairākās Eiropas Savienības valstīs darbojas līdzīgas biznesa investoru imigrācijas programmas, kas ir vērā ņemams finanšu piesaistes instruments. </w:t>
      </w:r>
      <w:r w:rsidR="00E70F36">
        <w:rPr>
          <w:rFonts w:ascii="Times New Roman" w:hAnsi="Times New Roman"/>
          <w:sz w:val="26"/>
          <w:szCs w:val="26"/>
        </w:rPr>
        <w:t>Līdzšinējais i</w:t>
      </w:r>
      <w:r w:rsidR="00EC4C1D">
        <w:rPr>
          <w:rFonts w:ascii="Times New Roman" w:hAnsi="Times New Roman"/>
          <w:sz w:val="26"/>
          <w:szCs w:val="26"/>
        </w:rPr>
        <w:t xml:space="preserve">nvestīciju programmas </w:t>
      </w:r>
      <w:r w:rsidR="00E70F36">
        <w:rPr>
          <w:rFonts w:ascii="Times New Roman" w:hAnsi="Times New Roman"/>
          <w:sz w:val="26"/>
          <w:szCs w:val="26"/>
        </w:rPr>
        <w:t>regulējums</w:t>
      </w:r>
      <w:r w:rsidR="00EC4C1D" w:rsidRPr="00BB3302">
        <w:rPr>
          <w:rFonts w:ascii="Times New Roman" w:hAnsi="Times New Roman"/>
          <w:sz w:val="26"/>
          <w:szCs w:val="26"/>
        </w:rPr>
        <w:t xml:space="preserve"> ir pozitīvi ietekmēj</w:t>
      </w:r>
      <w:r w:rsidR="00E70F36">
        <w:rPr>
          <w:rFonts w:ascii="Times New Roman" w:hAnsi="Times New Roman"/>
          <w:sz w:val="26"/>
          <w:szCs w:val="26"/>
        </w:rPr>
        <w:t>is</w:t>
      </w:r>
      <w:r w:rsidR="00EC4C1D" w:rsidRPr="00BB3302">
        <w:rPr>
          <w:rFonts w:ascii="Times New Roman" w:hAnsi="Times New Roman"/>
          <w:sz w:val="26"/>
          <w:szCs w:val="26"/>
        </w:rPr>
        <w:t xml:space="preserve"> investīciju pieplūdi Latvijā</w:t>
      </w:r>
      <w:r w:rsidR="00EC4C1D">
        <w:rPr>
          <w:rFonts w:ascii="Times New Roman" w:hAnsi="Times New Roman"/>
          <w:sz w:val="26"/>
          <w:szCs w:val="26"/>
        </w:rPr>
        <w:t>.</w:t>
      </w:r>
    </w:p>
    <w:p w:rsidR="009B10A4" w:rsidRPr="00966703" w:rsidRDefault="009B10A4" w:rsidP="00F443DB">
      <w:pPr>
        <w:pStyle w:val="Heading1"/>
        <w:spacing w:before="0" w:after="120" w:line="240" w:lineRule="auto"/>
        <w:rPr>
          <w:rFonts w:ascii="Times New Roman" w:hAnsi="Times New Roman"/>
          <w:color w:val="auto"/>
          <w:highlight w:val="yellow"/>
        </w:rPr>
      </w:pPr>
    </w:p>
    <w:p w:rsidR="009B10A4" w:rsidRPr="00966703" w:rsidRDefault="009B10A4" w:rsidP="00F443DB">
      <w:pPr>
        <w:pStyle w:val="Heading1"/>
        <w:spacing w:before="0" w:after="120" w:line="240" w:lineRule="auto"/>
        <w:rPr>
          <w:rFonts w:ascii="Times New Roman" w:hAnsi="Times New Roman"/>
          <w:color w:val="auto"/>
          <w:highlight w:val="yellow"/>
        </w:rPr>
      </w:pPr>
      <w:bookmarkStart w:id="19" w:name="_Toc398179982"/>
      <w:r w:rsidRPr="00836F59">
        <w:rPr>
          <w:rFonts w:ascii="Times New Roman" w:hAnsi="Times New Roman"/>
          <w:color w:val="auto"/>
        </w:rPr>
        <w:t>3. Ārvalstu investoru valstiskā piederība</w:t>
      </w:r>
      <w:bookmarkEnd w:id="19"/>
    </w:p>
    <w:p w:rsidR="009B10A4" w:rsidRPr="00590DB8" w:rsidRDefault="009B10A4" w:rsidP="00F443DB">
      <w:pPr>
        <w:pStyle w:val="NormalWeb"/>
        <w:spacing w:before="0" w:beforeAutospacing="0" w:after="120" w:afterAutospacing="0"/>
        <w:ind w:firstLine="540"/>
        <w:jc w:val="both"/>
        <w:rPr>
          <w:sz w:val="26"/>
          <w:szCs w:val="26"/>
        </w:rPr>
      </w:pPr>
      <w:r w:rsidRPr="00590DB8">
        <w:rPr>
          <w:sz w:val="26"/>
          <w:szCs w:val="26"/>
        </w:rPr>
        <w:t>Kopumā TUA</w:t>
      </w:r>
      <w:r w:rsidR="00836F59" w:rsidRPr="00590DB8">
        <w:rPr>
          <w:sz w:val="26"/>
          <w:szCs w:val="26"/>
        </w:rPr>
        <w:t xml:space="preserve"> ir pieprasījuši 41 valsts pilsoņi</w:t>
      </w:r>
      <w:r w:rsidRPr="00590DB8">
        <w:rPr>
          <w:sz w:val="26"/>
          <w:szCs w:val="26"/>
        </w:rPr>
        <w:t>. Ņemot vērā Latvijas ģeogrāfisko izvietojumu, vēsturi un ar daudzām trešajām valstīm salīdzinoši augsto dzīves līmeni, attie</w:t>
      </w:r>
      <w:r w:rsidR="00037B97" w:rsidRPr="00590DB8">
        <w:rPr>
          <w:sz w:val="26"/>
          <w:szCs w:val="26"/>
        </w:rPr>
        <w:t>cīgās Imigrācijas likuma normas galvenokārt</w:t>
      </w:r>
      <w:r w:rsidRPr="00590DB8">
        <w:rPr>
          <w:sz w:val="26"/>
          <w:szCs w:val="26"/>
        </w:rPr>
        <w:t xml:space="preserve"> ir piesaistījušas investorus no bijušajām Padomju Savienības republikām. </w:t>
      </w:r>
      <w:r w:rsidR="00836F59" w:rsidRPr="00590DB8">
        <w:rPr>
          <w:sz w:val="26"/>
          <w:szCs w:val="26"/>
        </w:rPr>
        <w:t>90</w:t>
      </w:r>
      <w:r w:rsidRPr="00590DB8">
        <w:rPr>
          <w:sz w:val="26"/>
          <w:szCs w:val="26"/>
        </w:rPr>
        <w:t>% no visām TUA ir pieprasījuši šo valstu investori. Ārpus bijušās Padomju Savienības teritorijas lielākā investoru interese ir no Ķīnas (</w:t>
      </w:r>
      <w:r w:rsidR="00836F59" w:rsidRPr="00590DB8">
        <w:rPr>
          <w:sz w:val="26"/>
          <w:szCs w:val="26"/>
        </w:rPr>
        <w:t>925</w:t>
      </w:r>
      <w:r w:rsidRPr="00590DB8">
        <w:rPr>
          <w:sz w:val="26"/>
          <w:szCs w:val="26"/>
        </w:rPr>
        <w:t xml:space="preserve"> TUA pieprasījumu), Izraēlas (</w:t>
      </w:r>
      <w:r w:rsidR="00590DB8" w:rsidRPr="00590DB8">
        <w:rPr>
          <w:sz w:val="26"/>
          <w:szCs w:val="26"/>
        </w:rPr>
        <w:t xml:space="preserve">50 </w:t>
      </w:r>
      <w:r w:rsidRPr="00590DB8">
        <w:rPr>
          <w:sz w:val="26"/>
          <w:szCs w:val="26"/>
        </w:rPr>
        <w:t>TUA pieprasījumu) un ASV (</w:t>
      </w:r>
      <w:r w:rsidR="00590DB8" w:rsidRPr="00590DB8">
        <w:rPr>
          <w:sz w:val="26"/>
          <w:szCs w:val="26"/>
        </w:rPr>
        <w:t>44</w:t>
      </w:r>
      <w:r w:rsidRPr="00590DB8">
        <w:rPr>
          <w:sz w:val="26"/>
          <w:szCs w:val="26"/>
        </w:rPr>
        <w:t xml:space="preserve"> TUA pieprasījumu). </w:t>
      </w:r>
      <w:r w:rsidR="00590DB8" w:rsidRPr="00590DB8">
        <w:rPr>
          <w:sz w:val="26"/>
          <w:szCs w:val="26"/>
        </w:rPr>
        <w:t xml:space="preserve">Sākot no 2013.gada, straujš TUA pieprasījumu pieaugums vērojams no </w:t>
      </w:r>
      <w:r w:rsidRPr="00590DB8">
        <w:rPr>
          <w:sz w:val="26"/>
          <w:szCs w:val="26"/>
        </w:rPr>
        <w:t>Ķīnas valsts piederīgo puses</w:t>
      </w:r>
      <w:r w:rsidR="00590DB8" w:rsidRPr="00590DB8">
        <w:rPr>
          <w:sz w:val="26"/>
          <w:szCs w:val="26"/>
        </w:rPr>
        <w:t xml:space="preserve">. Ja 2010.-2012.gadā kopā tika saņemti 136 TUA pieteikumi, tad 2013.gadā un 2014.gada pirmajā pusgadā kopā – 789 pieteikumi, tādējādi Ķīnai kļūstot par otro nozīmīgāko investoru izcelsmes valsti pēc Krievijas. </w:t>
      </w:r>
      <w:r w:rsidRPr="00590DB8">
        <w:rPr>
          <w:sz w:val="26"/>
          <w:szCs w:val="26"/>
        </w:rPr>
        <w:t xml:space="preserve"> </w:t>
      </w:r>
    </w:p>
    <w:p w:rsidR="009B10A4" w:rsidRPr="00571E96" w:rsidRDefault="009B10A4" w:rsidP="00F443DB">
      <w:pPr>
        <w:pStyle w:val="NormalWeb"/>
        <w:spacing w:before="0" w:beforeAutospacing="0" w:after="120" w:afterAutospacing="0"/>
        <w:ind w:firstLine="540"/>
        <w:jc w:val="both"/>
        <w:rPr>
          <w:sz w:val="26"/>
          <w:szCs w:val="26"/>
        </w:rPr>
      </w:pPr>
      <w:r w:rsidRPr="00571E96">
        <w:rPr>
          <w:sz w:val="26"/>
          <w:szCs w:val="26"/>
        </w:rPr>
        <w:t>No paaugstināta terorisma riska valstu</w:t>
      </w:r>
      <w:r w:rsidRPr="00571E96">
        <w:rPr>
          <w:rStyle w:val="FootnoteReference"/>
          <w:sz w:val="26"/>
          <w:szCs w:val="26"/>
        </w:rPr>
        <w:footnoteReference w:id="3"/>
      </w:r>
      <w:r w:rsidRPr="00571E96">
        <w:rPr>
          <w:sz w:val="26"/>
          <w:szCs w:val="26"/>
        </w:rPr>
        <w:t xml:space="preserve"> pilsoņiem saņemtais pieteikumu skaits (kopā </w:t>
      </w:r>
      <w:r w:rsidR="00571E96" w:rsidRPr="00571E96">
        <w:rPr>
          <w:sz w:val="26"/>
          <w:szCs w:val="26"/>
        </w:rPr>
        <w:t xml:space="preserve">146 </w:t>
      </w:r>
      <w:r w:rsidRPr="00571E96">
        <w:rPr>
          <w:sz w:val="26"/>
          <w:szCs w:val="26"/>
        </w:rPr>
        <w:t>investoru un</w:t>
      </w:r>
      <w:r w:rsidR="00571E96" w:rsidRPr="00571E96">
        <w:rPr>
          <w:sz w:val="26"/>
          <w:szCs w:val="26"/>
        </w:rPr>
        <w:t xml:space="preserve"> viņu ģimenes locekļu pieteikumi</w:t>
      </w:r>
      <w:r w:rsidRPr="00571E96">
        <w:rPr>
          <w:sz w:val="26"/>
          <w:szCs w:val="26"/>
        </w:rPr>
        <w:t xml:space="preserve">) </w:t>
      </w:r>
      <w:r w:rsidR="00571E96" w:rsidRPr="00571E96">
        <w:rPr>
          <w:sz w:val="26"/>
          <w:szCs w:val="26"/>
        </w:rPr>
        <w:t>veido 1</w:t>
      </w:r>
      <w:r w:rsidR="00981AA8">
        <w:rPr>
          <w:sz w:val="26"/>
          <w:szCs w:val="26"/>
        </w:rPr>
        <w:t>,</w:t>
      </w:r>
      <w:r w:rsidR="00571E96" w:rsidRPr="00571E96">
        <w:rPr>
          <w:sz w:val="26"/>
          <w:szCs w:val="26"/>
        </w:rPr>
        <w:t>17% no kopējā saņemto pieteikumu skaita</w:t>
      </w:r>
      <w:r w:rsidRPr="00571E96">
        <w:rPr>
          <w:sz w:val="26"/>
          <w:szCs w:val="26"/>
        </w:rPr>
        <w:t xml:space="preserve">. </w:t>
      </w:r>
    </w:p>
    <w:p w:rsidR="009B10A4" w:rsidRDefault="00923D72" w:rsidP="00F443DB">
      <w:pPr>
        <w:spacing w:after="120" w:line="240" w:lineRule="auto"/>
        <w:ind w:firstLine="426"/>
        <w:jc w:val="both"/>
        <w:rPr>
          <w:rFonts w:ascii="Times New Roman" w:hAnsi="Times New Roman"/>
          <w:sz w:val="26"/>
          <w:szCs w:val="26"/>
        </w:rPr>
      </w:pPr>
      <w:r w:rsidRPr="00571E96">
        <w:rPr>
          <w:rFonts w:ascii="Times New Roman" w:hAnsi="Times New Roman"/>
          <w:sz w:val="26"/>
          <w:szCs w:val="26"/>
        </w:rPr>
        <w:t xml:space="preserve">Ziņojuma </w:t>
      </w:r>
      <w:r w:rsidR="009B10A4" w:rsidRPr="00571E96">
        <w:rPr>
          <w:rFonts w:ascii="Times New Roman" w:hAnsi="Times New Roman"/>
          <w:sz w:val="26"/>
          <w:szCs w:val="26"/>
        </w:rPr>
        <w:t>1., 2.</w:t>
      </w:r>
      <w:r w:rsidR="00F443DB">
        <w:rPr>
          <w:rFonts w:ascii="Times New Roman" w:hAnsi="Times New Roman"/>
          <w:sz w:val="26"/>
          <w:szCs w:val="26"/>
        </w:rPr>
        <w:t xml:space="preserve"> un </w:t>
      </w:r>
      <w:r w:rsidR="009B10A4" w:rsidRPr="00571E96">
        <w:rPr>
          <w:rFonts w:ascii="Times New Roman" w:hAnsi="Times New Roman"/>
          <w:sz w:val="26"/>
          <w:szCs w:val="26"/>
        </w:rPr>
        <w:t>3.</w:t>
      </w:r>
      <w:r w:rsidR="00571E96" w:rsidRPr="00571E96">
        <w:rPr>
          <w:rFonts w:ascii="Times New Roman" w:hAnsi="Times New Roman"/>
          <w:sz w:val="26"/>
          <w:szCs w:val="26"/>
        </w:rPr>
        <w:t xml:space="preserve"> </w:t>
      </w:r>
      <w:r w:rsidR="009B10A4" w:rsidRPr="00571E96">
        <w:rPr>
          <w:rFonts w:ascii="Times New Roman" w:hAnsi="Times New Roman"/>
          <w:sz w:val="26"/>
          <w:szCs w:val="26"/>
        </w:rPr>
        <w:t>pielikumā ir sniegta detalizētāka informācija par investoru un viņu ģimenes locekļu iesniegto pieteikumu skaitu, izsniegtajām un anulētajām termiņuzturēšanās atļaujām un personu pilsonības valstīm.</w:t>
      </w:r>
    </w:p>
    <w:p w:rsidR="00C27A34" w:rsidRDefault="00C27A34" w:rsidP="00F443DB">
      <w:pPr>
        <w:spacing w:after="120" w:line="240" w:lineRule="auto"/>
        <w:ind w:firstLine="426"/>
        <w:jc w:val="both"/>
        <w:rPr>
          <w:rFonts w:ascii="Times New Roman" w:hAnsi="Times New Roman"/>
          <w:sz w:val="26"/>
          <w:szCs w:val="26"/>
        </w:rPr>
      </w:pPr>
    </w:p>
    <w:p w:rsidR="00571E96" w:rsidRDefault="00660830" w:rsidP="00F443DB">
      <w:pPr>
        <w:spacing w:after="120" w:line="240" w:lineRule="auto"/>
        <w:ind w:firstLine="425"/>
        <w:jc w:val="right"/>
        <w:rPr>
          <w:rFonts w:ascii="Times New Roman" w:hAnsi="Times New Roman"/>
          <w:sz w:val="26"/>
          <w:szCs w:val="26"/>
        </w:rPr>
      </w:pPr>
      <w:r>
        <w:rPr>
          <w:rFonts w:ascii="Times New Roman" w:hAnsi="Times New Roman"/>
          <w:sz w:val="26"/>
          <w:szCs w:val="26"/>
        </w:rPr>
        <w:t>4</w:t>
      </w:r>
      <w:r w:rsidR="00571E96">
        <w:rPr>
          <w:rFonts w:ascii="Times New Roman" w:hAnsi="Times New Roman"/>
          <w:sz w:val="26"/>
          <w:szCs w:val="26"/>
        </w:rPr>
        <w:t>. attēls</w:t>
      </w:r>
    </w:p>
    <w:p w:rsidR="00D768F0" w:rsidRDefault="009751A7" w:rsidP="00D768F0">
      <w:pPr>
        <w:spacing w:after="0" w:line="240" w:lineRule="auto"/>
        <w:ind w:firstLine="425"/>
        <w:jc w:val="center"/>
        <w:rPr>
          <w:rFonts w:ascii="Times New Roman" w:hAnsi="Times New Roman"/>
          <w:b/>
          <w:sz w:val="24"/>
          <w:szCs w:val="24"/>
        </w:rPr>
      </w:pPr>
      <w:r w:rsidRPr="00B96874">
        <w:rPr>
          <w:rFonts w:ascii="Times New Roman" w:hAnsi="Times New Roman"/>
          <w:b/>
          <w:sz w:val="24"/>
          <w:szCs w:val="24"/>
        </w:rPr>
        <w:t>Ārvalstu investoru (TUA pieteicēju) sadalījums pēc valstiskās piederības</w:t>
      </w:r>
    </w:p>
    <w:p w:rsidR="009751A7" w:rsidRPr="00B96874" w:rsidRDefault="009751A7" w:rsidP="009751A7">
      <w:pPr>
        <w:spacing w:after="120" w:line="240" w:lineRule="auto"/>
        <w:ind w:firstLine="426"/>
        <w:jc w:val="center"/>
        <w:rPr>
          <w:rFonts w:ascii="Times New Roman" w:hAnsi="Times New Roman"/>
          <w:b/>
          <w:sz w:val="24"/>
          <w:szCs w:val="24"/>
        </w:rPr>
      </w:pPr>
      <w:r w:rsidRPr="00B96874">
        <w:rPr>
          <w:rFonts w:ascii="Times New Roman" w:hAnsi="Times New Roman"/>
          <w:b/>
          <w:sz w:val="24"/>
          <w:szCs w:val="24"/>
        </w:rPr>
        <w:t>(07.2010.-06.2014.)</w:t>
      </w:r>
    </w:p>
    <w:p w:rsidR="009751A7" w:rsidRDefault="009751A7" w:rsidP="009751A7">
      <w:pPr>
        <w:spacing w:after="120" w:line="240" w:lineRule="auto"/>
        <w:jc w:val="center"/>
        <w:rPr>
          <w:rFonts w:ascii="Times New Roman" w:hAnsi="Times New Roman"/>
          <w:sz w:val="26"/>
          <w:szCs w:val="26"/>
        </w:rPr>
      </w:pPr>
      <w:r>
        <w:rPr>
          <w:noProof/>
          <w:lang w:eastAsia="lv-LV"/>
        </w:rPr>
        <w:drawing>
          <wp:inline distT="0" distB="0" distL="0" distR="0">
            <wp:extent cx="4467225" cy="2247900"/>
            <wp:effectExtent l="0" t="0" r="0" b="0"/>
            <wp:docPr id="113" name="Chart 1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51A7" w:rsidRPr="00687EBD" w:rsidRDefault="009751A7" w:rsidP="005467DF">
      <w:pPr>
        <w:spacing w:after="120" w:line="240" w:lineRule="auto"/>
        <w:ind w:firstLine="993"/>
        <w:rPr>
          <w:rFonts w:ascii="Times New Roman" w:hAnsi="Times New Roman"/>
        </w:rPr>
      </w:pPr>
      <w:r w:rsidRPr="00687EBD">
        <w:rPr>
          <w:rFonts w:ascii="Times New Roman" w:hAnsi="Times New Roman"/>
          <w:i/>
          <w:noProof/>
          <w:lang w:eastAsia="zh-CN"/>
        </w:rPr>
        <w:t>Avots: PMLP</w:t>
      </w:r>
    </w:p>
    <w:p w:rsidR="00342EAA" w:rsidRPr="00966703" w:rsidRDefault="00342EAA" w:rsidP="00F443DB">
      <w:pPr>
        <w:autoSpaceDE w:val="0"/>
        <w:autoSpaceDN w:val="0"/>
        <w:adjustRightInd w:val="0"/>
        <w:spacing w:after="120" w:line="240" w:lineRule="auto"/>
        <w:rPr>
          <w:rFonts w:ascii="Times New Roman" w:hAnsi="Times New Roman"/>
          <w:sz w:val="26"/>
          <w:szCs w:val="26"/>
          <w:highlight w:val="yellow"/>
        </w:rPr>
      </w:pPr>
    </w:p>
    <w:p w:rsidR="009B10A4" w:rsidRPr="008F1B1E" w:rsidRDefault="009B10A4" w:rsidP="00F443DB">
      <w:pPr>
        <w:pStyle w:val="Heading1"/>
        <w:spacing w:before="0" w:after="120" w:line="240" w:lineRule="auto"/>
        <w:rPr>
          <w:rFonts w:ascii="Times New Roman" w:hAnsi="Times New Roman"/>
          <w:color w:val="auto"/>
        </w:rPr>
      </w:pPr>
      <w:bookmarkStart w:id="20" w:name="_Toc398179983"/>
      <w:bookmarkEnd w:id="17"/>
      <w:r w:rsidRPr="008F1B1E">
        <w:rPr>
          <w:rFonts w:ascii="Times New Roman" w:hAnsi="Times New Roman"/>
          <w:color w:val="auto"/>
        </w:rPr>
        <w:t>4. Investīcijas nekustamajos īpašumos</w:t>
      </w:r>
      <w:bookmarkEnd w:id="20"/>
    </w:p>
    <w:p w:rsidR="009B10A4" w:rsidRPr="008F1B1E" w:rsidRDefault="009B10A4" w:rsidP="00F443DB">
      <w:pPr>
        <w:spacing w:after="120" w:line="240" w:lineRule="auto"/>
        <w:ind w:firstLine="426"/>
        <w:jc w:val="both"/>
        <w:rPr>
          <w:rFonts w:ascii="Times New Roman" w:hAnsi="Times New Roman"/>
          <w:sz w:val="26"/>
          <w:szCs w:val="26"/>
        </w:rPr>
      </w:pPr>
      <w:r w:rsidRPr="008F1B1E">
        <w:rPr>
          <w:rFonts w:ascii="Times New Roman" w:hAnsi="Times New Roman"/>
          <w:sz w:val="26"/>
          <w:szCs w:val="26"/>
        </w:rPr>
        <w:t>Latvijā TUA var iegūt trešo valstu pilsoņi, kuri Rīgā, Rīgas plānošanas reģionā vai republikas pilsētās iegādājušies vienu vai vairākus nekustamos īpašumus vismaz 1</w:t>
      </w:r>
      <w:r w:rsidR="008F1B1E" w:rsidRPr="008F1B1E">
        <w:rPr>
          <w:rFonts w:ascii="Times New Roman" w:hAnsi="Times New Roman"/>
          <w:sz w:val="26"/>
          <w:szCs w:val="26"/>
        </w:rPr>
        <w:t xml:space="preserve">42 </w:t>
      </w:r>
      <w:r w:rsidR="008F1B1E" w:rsidRPr="008F1B1E">
        <w:rPr>
          <w:rFonts w:ascii="Times New Roman" w:hAnsi="Times New Roman"/>
          <w:sz w:val="26"/>
          <w:szCs w:val="26"/>
        </w:rPr>
        <w:lastRenderedPageBreak/>
        <w:t>3</w:t>
      </w:r>
      <w:r w:rsidRPr="008F1B1E">
        <w:rPr>
          <w:rFonts w:ascii="Times New Roman" w:hAnsi="Times New Roman"/>
          <w:sz w:val="26"/>
          <w:szCs w:val="26"/>
        </w:rPr>
        <w:t xml:space="preserve">00 </w:t>
      </w:r>
      <w:r w:rsidR="008F1B1E" w:rsidRPr="008F1B1E">
        <w:rPr>
          <w:rFonts w:ascii="Times New Roman" w:hAnsi="Times New Roman"/>
          <w:i/>
          <w:sz w:val="26"/>
          <w:szCs w:val="26"/>
        </w:rPr>
        <w:t>euro</w:t>
      </w:r>
      <w:r w:rsidRPr="008F1B1E">
        <w:rPr>
          <w:rFonts w:ascii="Times New Roman" w:hAnsi="Times New Roman"/>
          <w:sz w:val="26"/>
          <w:szCs w:val="26"/>
        </w:rPr>
        <w:t xml:space="preserve"> vai citur Latvijā – </w:t>
      </w:r>
      <w:r w:rsidR="008F1B1E" w:rsidRPr="008F1B1E">
        <w:rPr>
          <w:rFonts w:ascii="Times New Roman" w:hAnsi="Times New Roman"/>
          <w:sz w:val="26"/>
          <w:szCs w:val="26"/>
        </w:rPr>
        <w:t xml:space="preserve">71 150 </w:t>
      </w:r>
      <w:r w:rsidR="008F1B1E" w:rsidRPr="008F1B1E">
        <w:rPr>
          <w:rFonts w:ascii="Times New Roman" w:hAnsi="Times New Roman"/>
          <w:i/>
          <w:sz w:val="26"/>
          <w:szCs w:val="26"/>
        </w:rPr>
        <w:t>euro</w:t>
      </w:r>
      <w:r w:rsidRPr="008F1B1E">
        <w:rPr>
          <w:rFonts w:ascii="Times New Roman" w:hAnsi="Times New Roman"/>
          <w:sz w:val="26"/>
          <w:szCs w:val="26"/>
        </w:rPr>
        <w:t xml:space="preserve"> vērtībā.</w:t>
      </w:r>
      <w:r w:rsidR="008F1B1E" w:rsidRPr="008F1B1E">
        <w:rPr>
          <w:rFonts w:ascii="Times New Roman" w:hAnsi="Times New Roman"/>
          <w:sz w:val="26"/>
          <w:szCs w:val="26"/>
        </w:rPr>
        <w:t xml:space="preserve"> Šādi nosacījumi </w:t>
      </w:r>
      <w:r w:rsidR="00951721">
        <w:rPr>
          <w:rFonts w:ascii="Times New Roman" w:hAnsi="Times New Roman"/>
          <w:sz w:val="26"/>
          <w:szCs w:val="26"/>
        </w:rPr>
        <w:t>bija</w:t>
      </w:r>
      <w:r w:rsidR="00951721" w:rsidRPr="008F1B1E">
        <w:rPr>
          <w:rFonts w:ascii="Times New Roman" w:hAnsi="Times New Roman"/>
          <w:sz w:val="26"/>
          <w:szCs w:val="26"/>
        </w:rPr>
        <w:t xml:space="preserve"> </w:t>
      </w:r>
      <w:r w:rsidR="008F1B1E" w:rsidRPr="008F1B1E">
        <w:rPr>
          <w:rFonts w:ascii="Times New Roman" w:hAnsi="Times New Roman"/>
          <w:sz w:val="26"/>
          <w:szCs w:val="26"/>
        </w:rPr>
        <w:t xml:space="preserve">spēkā līdz 2014.gada 1.septembrim, kad spēkā </w:t>
      </w:r>
      <w:r w:rsidR="00951721">
        <w:rPr>
          <w:rFonts w:ascii="Times New Roman" w:hAnsi="Times New Roman"/>
          <w:sz w:val="26"/>
          <w:szCs w:val="26"/>
        </w:rPr>
        <w:t>stājās</w:t>
      </w:r>
      <w:r w:rsidR="00951721" w:rsidRPr="008F1B1E">
        <w:rPr>
          <w:rFonts w:ascii="Times New Roman" w:hAnsi="Times New Roman"/>
          <w:sz w:val="26"/>
          <w:szCs w:val="26"/>
        </w:rPr>
        <w:t xml:space="preserve"> </w:t>
      </w:r>
      <w:r w:rsidR="008F1B1E" w:rsidRPr="008F1B1E">
        <w:rPr>
          <w:rFonts w:ascii="Times New Roman" w:hAnsi="Times New Roman"/>
          <w:sz w:val="26"/>
          <w:szCs w:val="26"/>
        </w:rPr>
        <w:t>2014.gada 8.maija grozījumi Imigrācijas likumā, būtiski mainot uzturēšanās atļauju pieprasīšanas kārtību.</w:t>
      </w:r>
    </w:p>
    <w:p w:rsidR="009B10A4" w:rsidRPr="00833283" w:rsidRDefault="00A60168" w:rsidP="00F443DB">
      <w:pPr>
        <w:spacing w:after="120" w:line="240" w:lineRule="auto"/>
        <w:ind w:firstLine="426"/>
        <w:jc w:val="both"/>
        <w:rPr>
          <w:rFonts w:ascii="Times New Roman" w:hAnsi="Times New Roman"/>
          <w:sz w:val="26"/>
          <w:szCs w:val="26"/>
        </w:rPr>
      </w:pPr>
      <w:r>
        <w:rPr>
          <w:rFonts w:ascii="Times New Roman" w:hAnsi="Times New Roman"/>
          <w:sz w:val="26"/>
          <w:szCs w:val="26"/>
        </w:rPr>
        <w:t xml:space="preserve">Iepriekšējās </w:t>
      </w:r>
      <w:r w:rsidR="009B10A4" w:rsidRPr="00833283">
        <w:rPr>
          <w:rFonts w:ascii="Times New Roman" w:hAnsi="Times New Roman"/>
          <w:sz w:val="26"/>
          <w:szCs w:val="26"/>
        </w:rPr>
        <w:t xml:space="preserve">Imigrācijas likuma normas ietvaros, </w:t>
      </w:r>
      <w:r w:rsidR="00833283">
        <w:rPr>
          <w:rFonts w:ascii="Times New Roman" w:hAnsi="Times New Roman"/>
          <w:sz w:val="26"/>
          <w:szCs w:val="26"/>
        </w:rPr>
        <w:t>no</w:t>
      </w:r>
      <w:r w:rsidR="00833283" w:rsidRPr="00833283">
        <w:rPr>
          <w:rFonts w:ascii="Times New Roman" w:hAnsi="Times New Roman"/>
          <w:sz w:val="26"/>
          <w:szCs w:val="26"/>
        </w:rPr>
        <w:t xml:space="preserve"> </w:t>
      </w:r>
      <w:r w:rsidR="009B10A4" w:rsidRPr="00833283">
        <w:rPr>
          <w:rFonts w:ascii="Times New Roman" w:hAnsi="Times New Roman"/>
          <w:sz w:val="26"/>
          <w:szCs w:val="26"/>
        </w:rPr>
        <w:t xml:space="preserve">2010.gada 1.jūlija </w:t>
      </w:r>
      <w:r w:rsidR="00833283">
        <w:rPr>
          <w:rFonts w:ascii="Times New Roman" w:hAnsi="Times New Roman"/>
          <w:sz w:val="26"/>
          <w:szCs w:val="26"/>
        </w:rPr>
        <w:t xml:space="preserve">līdz 2014.gada 30.jūnijam </w:t>
      </w:r>
      <w:r w:rsidR="009B10A4" w:rsidRPr="00833283">
        <w:rPr>
          <w:rFonts w:ascii="Times New Roman" w:hAnsi="Times New Roman"/>
          <w:sz w:val="26"/>
          <w:szCs w:val="26"/>
        </w:rPr>
        <w:t xml:space="preserve">TUA pieteikumos ir attiecināti darījumi Latvijas nekustamā īpašuma tirgū </w:t>
      </w:r>
      <w:r w:rsidR="00F66A3F">
        <w:rPr>
          <w:rFonts w:ascii="Times New Roman" w:hAnsi="Times New Roman"/>
          <w:sz w:val="26"/>
          <w:szCs w:val="26"/>
        </w:rPr>
        <w:t xml:space="preserve">837,5 milj. </w:t>
      </w:r>
      <w:r w:rsidR="00F66A3F" w:rsidRPr="00F66A3F">
        <w:rPr>
          <w:rFonts w:ascii="Times New Roman" w:hAnsi="Times New Roman"/>
          <w:i/>
          <w:sz w:val="26"/>
          <w:szCs w:val="26"/>
        </w:rPr>
        <w:t>eur</w:t>
      </w:r>
      <w:r w:rsidR="00833283" w:rsidRPr="00F66A3F">
        <w:rPr>
          <w:rFonts w:ascii="Times New Roman" w:hAnsi="Times New Roman"/>
          <w:i/>
          <w:sz w:val="26"/>
          <w:szCs w:val="26"/>
        </w:rPr>
        <w:t>o</w:t>
      </w:r>
      <w:r w:rsidR="00833283" w:rsidRPr="00833283">
        <w:rPr>
          <w:rFonts w:ascii="Times New Roman" w:hAnsi="Times New Roman"/>
          <w:sz w:val="26"/>
          <w:szCs w:val="26"/>
        </w:rPr>
        <w:t xml:space="preserve"> </w:t>
      </w:r>
      <w:r w:rsidR="009B10A4" w:rsidRPr="00833283">
        <w:rPr>
          <w:rFonts w:ascii="Times New Roman" w:hAnsi="Times New Roman"/>
          <w:sz w:val="26"/>
          <w:szCs w:val="26"/>
        </w:rPr>
        <w:t xml:space="preserve">apmērā. </w:t>
      </w:r>
    </w:p>
    <w:p w:rsidR="009B10A4" w:rsidRPr="00966703" w:rsidRDefault="009B10A4" w:rsidP="00F443DB">
      <w:pPr>
        <w:spacing w:after="120" w:line="240" w:lineRule="auto"/>
        <w:ind w:firstLine="426"/>
        <w:jc w:val="both"/>
        <w:rPr>
          <w:rFonts w:ascii="Times New Roman" w:hAnsi="Times New Roman"/>
          <w:sz w:val="26"/>
          <w:szCs w:val="26"/>
          <w:highlight w:val="yellow"/>
        </w:rPr>
      </w:pPr>
    </w:p>
    <w:p w:rsidR="00164DB5" w:rsidRDefault="00660830" w:rsidP="00F443DB">
      <w:pPr>
        <w:spacing w:after="120" w:line="240" w:lineRule="auto"/>
        <w:jc w:val="right"/>
        <w:rPr>
          <w:rFonts w:ascii="Times New Roman" w:hAnsi="Times New Roman"/>
          <w:sz w:val="26"/>
          <w:szCs w:val="26"/>
        </w:rPr>
      </w:pPr>
      <w:r>
        <w:rPr>
          <w:rFonts w:ascii="Times New Roman" w:hAnsi="Times New Roman"/>
          <w:sz w:val="26"/>
          <w:szCs w:val="26"/>
        </w:rPr>
        <w:t>5</w:t>
      </w:r>
      <w:r w:rsidR="00164DB5" w:rsidRPr="002F4452">
        <w:rPr>
          <w:rFonts w:ascii="Times New Roman" w:hAnsi="Times New Roman"/>
          <w:sz w:val="26"/>
          <w:szCs w:val="26"/>
        </w:rPr>
        <w:t>.attēls</w:t>
      </w:r>
    </w:p>
    <w:p w:rsidR="009F4C01" w:rsidRPr="002F4452" w:rsidRDefault="009F4C01" w:rsidP="00F443DB">
      <w:pPr>
        <w:spacing w:after="120" w:line="240" w:lineRule="auto"/>
        <w:jc w:val="center"/>
        <w:rPr>
          <w:rFonts w:ascii="Times New Roman" w:hAnsi="Times New Roman"/>
          <w:sz w:val="26"/>
          <w:szCs w:val="26"/>
        </w:rPr>
      </w:pPr>
      <w:r>
        <w:rPr>
          <w:rFonts w:ascii="Times New Roman" w:hAnsi="Times New Roman"/>
          <w:b/>
          <w:sz w:val="24"/>
          <w:szCs w:val="24"/>
        </w:rPr>
        <w:t>TUA iesniedzēju – nekustamā īpašuma pircēju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4"/>
        <w:gridCol w:w="4639"/>
      </w:tblGrid>
      <w:tr w:rsidR="00C83CA2" w:rsidRPr="00166E78" w:rsidTr="00922843">
        <w:tc>
          <w:tcPr>
            <w:tcW w:w="4427" w:type="dxa"/>
          </w:tcPr>
          <w:p w:rsidR="00C83CA2" w:rsidRPr="00874066" w:rsidRDefault="00C83CA2" w:rsidP="00F443DB">
            <w:pPr>
              <w:spacing w:after="120" w:line="240" w:lineRule="auto"/>
              <w:jc w:val="center"/>
              <w:rPr>
                <w:rFonts w:ascii="Times New Roman" w:hAnsi="Times New Roman"/>
                <w:b/>
                <w:sz w:val="24"/>
                <w:szCs w:val="24"/>
              </w:rPr>
            </w:pPr>
          </w:p>
        </w:tc>
        <w:tc>
          <w:tcPr>
            <w:tcW w:w="5144" w:type="dxa"/>
          </w:tcPr>
          <w:p w:rsidR="00C83CA2" w:rsidRPr="00874066" w:rsidRDefault="00C83CA2" w:rsidP="00F443DB">
            <w:pPr>
              <w:spacing w:after="120" w:line="240" w:lineRule="auto"/>
              <w:jc w:val="center"/>
              <w:rPr>
                <w:rFonts w:ascii="Times New Roman" w:hAnsi="Times New Roman"/>
                <w:b/>
                <w:sz w:val="24"/>
                <w:szCs w:val="24"/>
              </w:rPr>
            </w:pPr>
          </w:p>
        </w:tc>
      </w:tr>
      <w:tr w:rsidR="00874066" w:rsidRPr="00166E78" w:rsidTr="00922843">
        <w:tc>
          <w:tcPr>
            <w:tcW w:w="4427" w:type="dxa"/>
          </w:tcPr>
          <w:p w:rsidR="00874066" w:rsidRDefault="009F4C01" w:rsidP="00F443DB">
            <w:pPr>
              <w:spacing w:after="120" w:line="240" w:lineRule="auto"/>
              <w:jc w:val="center"/>
              <w:rPr>
                <w:rFonts w:ascii="Times New Roman" w:hAnsi="Times New Roman"/>
                <w:b/>
                <w:sz w:val="24"/>
                <w:szCs w:val="24"/>
              </w:rPr>
            </w:pPr>
            <w:r>
              <w:rPr>
                <w:rFonts w:ascii="Times New Roman" w:hAnsi="Times New Roman"/>
                <w:b/>
                <w:sz w:val="24"/>
                <w:szCs w:val="24"/>
              </w:rPr>
              <w:t>a</w:t>
            </w:r>
            <w:r w:rsidR="00874066" w:rsidRPr="00874066">
              <w:rPr>
                <w:rFonts w:ascii="Times New Roman" w:hAnsi="Times New Roman"/>
                <w:b/>
                <w:sz w:val="24"/>
                <w:szCs w:val="24"/>
              </w:rPr>
              <w:t>r TUA saistīto nekustamā īpašuma iegādes darījumu skaits sadalījumā pēc tā vērtības</w:t>
            </w:r>
            <w:r w:rsidR="00334A0A">
              <w:rPr>
                <w:rFonts w:ascii="Times New Roman" w:hAnsi="Times New Roman"/>
                <w:b/>
                <w:sz w:val="24"/>
                <w:szCs w:val="24"/>
              </w:rPr>
              <w:t>, euro</w:t>
            </w:r>
            <w:r w:rsidR="00874066" w:rsidRPr="00874066">
              <w:rPr>
                <w:rFonts w:ascii="Times New Roman" w:hAnsi="Times New Roman"/>
                <w:b/>
                <w:sz w:val="24"/>
                <w:szCs w:val="24"/>
              </w:rPr>
              <w:t xml:space="preserve"> (07.2010.-06.2014.)</w:t>
            </w:r>
          </w:p>
          <w:p w:rsidR="0079664F" w:rsidRDefault="00892FC2" w:rsidP="00F443DB">
            <w:pPr>
              <w:spacing w:after="120" w:line="240" w:lineRule="auto"/>
              <w:jc w:val="center"/>
              <w:rPr>
                <w:rFonts w:ascii="Times New Roman" w:hAnsi="Times New Roman"/>
                <w:b/>
                <w:sz w:val="24"/>
                <w:szCs w:val="24"/>
              </w:rPr>
            </w:pPr>
            <w:r w:rsidRPr="00892FC2">
              <w:rPr>
                <w:rFonts w:ascii="Times New Roman" w:hAnsi="Times New Roman"/>
                <w:b/>
                <w:noProof/>
                <w:sz w:val="24"/>
                <w:szCs w:val="24"/>
                <w:lang w:eastAsia="lv-LV"/>
              </w:rPr>
              <w:drawing>
                <wp:inline distT="0" distB="0" distL="0" distR="0">
                  <wp:extent cx="314325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9664F" w:rsidRPr="0079664F" w:rsidRDefault="0079664F" w:rsidP="00F443DB">
            <w:pPr>
              <w:spacing w:after="120" w:line="240" w:lineRule="auto"/>
              <w:rPr>
                <w:rFonts w:ascii="Times New Roman" w:hAnsi="Times New Roman"/>
                <w:b/>
                <w:sz w:val="22"/>
                <w:szCs w:val="22"/>
              </w:rPr>
            </w:pPr>
            <w:r w:rsidRPr="0079664F">
              <w:rPr>
                <w:rFonts w:ascii="Times New Roman" w:hAnsi="Times New Roman"/>
                <w:i/>
                <w:sz w:val="22"/>
                <w:szCs w:val="22"/>
              </w:rPr>
              <w:t>Avots: PMLP</w:t>
            </w:r>
          </w:p>
        </w:tc>
        <w:tc>
          <w:tcPr>
            <w:tcW w:w="5144" w:type="dxa"/>
          </w:tcPr>
          <w:p w:rsidR="00874066" w:rsidRDefault="00874066" w:rsidP="00F443DB">
            <w:pPr>
              <w:spacing w:after="120" w:line="240" w:lineRule="auto"/>
              <w:jc w:val="center"/>
              <w:rPr>
                <w:rFonts w:ascii="Times New Roman" w:hAnsi="Times New Roman"/>
                <w:b/>
                <w:sz w:val="24"/>
                <w:szCs w:val="24"/>
              </w:rPr>
            </w:pPr>
            <w:r w:rsidRPr="00874066">
              <w:rPr>
                <w:rFonts w:ascii="Times New Roman" w:hAnsi="Times New Roman"/>
                <w:b/>
                <w:sz w:val="24"/>
                <w:szCs w:val="24"/>
              </w:rPr>
              <w:t xml:space="preserve">sadalījums pēc valstiskās piederības </w:t>
            </w:r>
          </w:p>
          <w:p w:rsidR="00874066" w:rsidRDefault="00874066" w:rsidP="00F443DB">
            <w:pPr>
              <w:spacing w:after="120" w:line="240" w:lineRule="auto"/>
              <w:jc w:val="center"/>
              <w:rPr>
                <w:rFonts w:ascii="Times New Roman" w:hAnsi="Times New Roman"/>
                <w:b/>
                <w:sz w:val="24"/>
                <w:szCs w:val="24"/>
              </w:rPr>
            </w:pPr>
            <w:r w:rsidRPr="00874066">
              <w:rPr>
                <w:rFonts w:ascii="Times New Roman" w:hAnsi="Times New Roman"/>
                <w:b/>
                <w:sz w:val="24"/>
                <w:szCs w:val="24"/>
              </w:rPr>
              <w:t>(07.2010.-06.2014.)</w:t>
            </w:r>
          </w:p>
          <w:p w:rsidR="00156BC2" w:rsidRDefault="00156BC2" w:rsidP="00F443DB">
            <w:pPr>
              <w:spacing w:after="120" w:line="240" w:lineRule="auto"/>
              <w:jc w:val="center"/>
              <w:rPr>
                <w:rFonts w:ascii="Times New Roman" w:hAnsi="Times New Roman"/>
                <w:b/>
                <w:sz w:val="24"/>
                <w:szCs w:val="24"/>
              </w:rPr>
            </w:pPr>
            <w:r>
              <w:rPr>
                <w:noProof/>
                <w:lang w:eastAsia="lv-LV"/>
              </w:rPr>
              <w:drawing>
                <wp:inline distT="0" distB="0" distL="0" distR="0">
                  <wp:extent cx="3028950" cy="2847975"/>
                  <wp:effectExtent l="0" t="0" r="0" b="0"/>
                  <wp:docPr id="116" name="Chart 1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9664F" w:rsidRPr="00874066" w:rsidRDefault="00156BC2" w:rsidP="00F443DB">
            <w:pPr>
              <w:spacing w:after="120" w:line="240" w:lineRule="auto"/>
              <w:rPr>
                <w:rFonts w:ascii="Times New Roman" w:hAnsi="Times New Roman"/>
                <w:b/>
                <w:sz w:val="24"/>
                <w:szCs w:val="24"/>
              </w:rPr>
            </w:pPr>
            <w:r w:rsidRPr="0079664F">
              <w:rPr>
                <w:rFonts w:ascii="Times New Roman" w:hAnsi="Times New Roman"/>
                <w:i/>
                <w:sz w:val="22"/>
                <w:szCs w:val="22"/>
              </w:rPr>
              <w:t>Avots: PMLP</w:t>
            </w:r>
          </w:p>
        </w:tc>
      </w:tr>
    </w:tbl>
    <w:p w:rsidR="002F4452" w:rsidRDefault="002F4452" w:rsidP="00F443DB">
      <w:pPr>
        <w:spacing w:after="120" w:line="240" w:lineRule="auto"/>
        <w:rPr>
          <w:rFonts w:ascii="Times New Roman" w:hAnsi="Times New Roman"/>
          <w:sz w:val="26"/>
          <w:szCs w:val="26"/>
          <w:highlight w:val="yellow"/>
        </w:rPr>
      </w:pPr>
    </w:p>
    <w:p w:rsidR="009B10A4" w:rsidRPr="00B55013" w:rsidRDefault="009B10A4" w:rsidP="00F443DB">
      <w:pPr>
        <w:spacing w:after="120" w:line="240" w:lineRule="auto"/>
        <w:ind w:firstLine="426"/>
        <w:jc w:val="both"/>
        <w:rPr>
          <w:rFonts w:ascii="Times New Roman" w:hAnsi="Times New Roman"/>
          <w:sz w:val="26"/>
          <w:szCs w:val="26"/>
        </w:rPr>
      </w:pPr>
      <w:r w:rsidRPr="00B55013">
        <w:rPr>
          <w:rFonts w:ascii="Times New Roman" w:hAnsi="Times New Roman"/>
          <w:sz w:val="26"/>
          <w:szCs w:val="26"/>
        </w:rPr>
        <w:t>Ārvalstnieki dod priekšroku investīcijām nekustamajā īpašumā vairāku iemeslu dēļ:</w:t>
      </w:r>
    </w:p>
    <w:p w:rsidR="009B10A4" w:rsidRPr="00B55013" w:rsidRDefault="009B10A4" w:rsidP="00F443DB">
      <w:pPr>
        <w:pStyle w:val="ListParagraph"/>
        <w:numPr>
          <w:ilvl w:val="0"/>
          <w:numId w:val="35"/>
        </w:numPr>
        <w:spacing w:after="120" w:line="240" w:lineRule="auto"/>
        <w:jc w:val="both"/>
        <w:rPr>
          <w:rFonts w:ascii="Times New Roman" w:hAnsi="Times New Roman"/>
          <w:sz w:val="26"/>
          <w:szCs w:val="26"/>
        </w:rPr>
      </w:pPr>
      <w:r w:rsidRPr="00B55013">
        <w:rPr>
          <w:rFonts w:ascii="Times New Roman" w:hAnsi="Times New Roman"/>
          <w:sz w:val="26"/>
          <w:szCs w:val="26"/>
        </w:rPr>
        <w:t>investīcijas nekustamajā īpašumā tiek uzskatītas par vienu no drošākajiem investīciju veidiem;</w:t>
      </w:r>
    </w:p>
    <w:p w:rsidR="009B10A4" w:rsidRPr="00B55013" w:rsidRDefault="009B10A4" w:rsidP="00F443DB">
      <w:pPr>
        <w:pStyle w:val="ListParagraph"/>
        <w:numPr>
          <w:ilvl w:val="0"/>
          <w:numId w:val="35"/>
        </w:numPr>
        <w:spacing w:after="120" w:line="240" w:lineRule="auto"/>
        <w:jc w:val="both"/>
        <w:rPr>
          <w:rFonts w:ascii="Times New Roman" w:hAnsi="Times New Roman"/>
          <w:sz w:val="26"/>
          <w:szCs w:val="26"/>
        </w:rPr>
      </w:pPr>
      <w:r w:rsidRPr="00B55013">
        <w:rPr>
          <w:rFonts w:ascii="Times New Roman" w:hAnsi="Times New Roman"/>
          <w:sz w:val="26"/>
          <w:szCs w:val="26"/>
        </w:rPr>
        <w:t xml:space="preserve">iespēja diferencēt savu aktīvu saglabāšanu; </w:t>
      </w:r>
    </w:p>
    <w:p w:rsidR="009B10A4" w:rsidRPr="00B55013" w:rsidRDefault="009B10A4" w:rsidP="00F443DB">
      <w:pPr>
        <w:pStyle w:val="ListParagraph"/>
        <w:numPr>
          <w:ilvl w:val="0"/>
          <w:numId w:val="35"/>
        </w:numPr>
        <w:spacing w:after="120" w:line="240" w:lineRule="auto"/>
        <w:jc w:val="both"/>
        <w:rPr>
          <w:rFonts w:ascii="Times New Roman" w:hAnsi="Times New Roman"/>
          <w:sz w:val="26"/>
          <w:szCs w:val="26"/>
        </w:rPr>
      </w:pPr>
      <w:r w:rsidRPr="00B55013">
        <w:rPr>
          <w:rFonts w:ascii="Times New Roman" w:hAnsi="Times New Roman"/>
          <w:sz w:val="26"/>
          <w:szCs w:val="26"/>
        </w:rPr>
        <w:t xml:space="preserve">ir nepieciešams mazāks investīciju apjoms un lielāka likviditāte salīdzinājumā ar investīcijām banku </w:t>
      </w:r>
      <w:r w:rsidR="00F90BBB">
        <w:rPr>
          <w:rFonts w:ascii="Times New Roman" w:hAnsi="Times New Roman"/>
          <w:sz w:val="26"/>
          <w:szCs w:val="26"/>
        </w:rPr>
        <w:t>pakārtotajās saistībās</w:t>
      </w:r>
      <w:r w:rsidRPr="00B55013">
        <w:rPr>
          <w:rFonts w:ascii="Times New Roman" w:hAnsi="Times New Roman"/>
          <w:sz w:val="26"/>
          <w:szCs w:val="26"/>
        </w:rPr>
        <w:t>;</w:t>
      </w:r>
    </w:p>
    <w:p w:rsidR="009B10A4" w:rsidRPr="00B55013" w:rsidRDefault="009B10A4" w:rsidP="00F443DB">
      <w:pPr>
        <w:pStyle w:val="ListParagraph"/>
        <w:numPr>
          <w:ilvl w:val="0"/>
          <w:numId w:val="35"/>
        </w:numPr>
        <w:spacing w:after="120" w:line="240" w:lineRule="auto"/>
        <w:jc w:val="both"/>
        <w:rPr>
          <w:rFonts w:ascii="Times New Roman" w:hAnsi="Times New Roman"/>
          <w:sz w:val="26"/>
          <w:szCs w:val="26"/>
        </w:rPr>
      </w:pPr>
      <w:r w:rsidRPr="00B55013">
        <w:rPr>
          <w:rFonts w:ascii="Times New Roman" w:hAnsi="Times New Roman"/>
          <w:sz w:val="26"/>
          <w:szCs w:val="26"/>
        </w:rPr>
        <w:t>TUA saņemšanas un reģistrācijas process ir vienkāršāks nekā, piemēram, veicot investīcijas kapitālsabiedrības pamatkapitālā, jo nav nepieciešams nodrošināt uzņēmuma sekmīgu darbību; vienīgais priekšnosacījums TUA saglabāšanai ir savlaicīga nekustamā īpašuma nodokļa samaksa.</w:t>
      </w:r>
    </w:p>
    <w:p w:rsidR="009B10A4" w:rsidRDefault="009B10A4" w:rsidP="00F443DB">
      <w:pPr>
        <w:pStyle w:val="ListParagraph"/>
        <w:spacing w:after="120" w:line="240" w:lineRule="auto"/>
        <w:ind w:left="360"/>
        <w:jc w:val="both"/>
        <w:rPr>
          <w:rFonts w:ascii="Times New Roman" w:hAnsi="Times New Roman"/>
          <w:sz w:val="26"/>
          <w:szCs w:val="26"/>
          <w:highlight w:val="yellow"/>
        </w:rPr>
      </w:pPr>
    </w:p>
    <w:p w:rsidR="009B10A4" w:rsidRPr="00966703" w:rsidRDefault="009B10A4" w:rsidP="00F443DB">
      <w:pPr>
        <w:spacing w:after="120" w:line="240" w:lineRule="auto"/>
        <w:ind w:firstLine="425"/>
        <w:jc w:val="both"/>
        <w:rPr>
          <w:rFonts w:ascii="Times New Roman" w:hAnsi="Times New Roman"/>
          <w:sz w:val="26"/>
          <w:szCs w:val="26"/>
          <w:highlight w:val="yellow"/>
        </w:rPr>
      </w:pPr>
      <w:r w:rsidRPr="00505830">
        <w:rPr>
          <w:rFonts w:ascii="Times New Roman" w:hAnsi="Times New Roman"/>
          <w:sz w:val="26"/>
          <w:szCs w:val="26"/>
        </w:rPr>
        <w:lastRenderedPageBreak/>
        <w:t xml:space="preserve">Jāatzīmē, ka aizvien vairāk valstu piedāvā iespēju piešķirt TUA trešo valstu pilsoņiem, kas iegādājas nekustamo īpašumu. </w:t>
      </w:r>
      <w:r w:rsidRPr="004322BE">
        <w:rPr>
          <w:rFonts w:ascii="Times New Roman" w:hAnsi="Times New Roman"/>
          <w:sz w:val="26"/>
          <w:szCs w:val="26"/>
        </w:rPr>
        <w:t>Galvenokārt šis jautājums ir aktuāls valstīs, kurās straujās izaugsmes gadu laikā izveidojās nekustamā īpašuma burbulis (piemēram, Bulgārija</w:t>
      </w:r>
      <w:r w:rsidR="003871A9">
        <w:rPr>
          <w:rStyle w:val="FootnoteReference"/>
          <w:rFonts w:ascii="Times New Roman" w:hAnsi="Times New Roman"/>
          <w:sz w:val="26"/>
          <w:szCs w:val="26"/>
        </w:rPr>
        <w:footnoteReference w:id="4"/>
      </w:r>
      <w:r w:rsidRPr="004322BE">
        <w:rPr>
          <w:rFonts w:ascii="Times New Roman" w:hAnsi="Times New Roman"/>
          <w:sz w:val="26"/>
          <w:szCs w:val="26"/>
        </w:rPr>
        <w:t>, Spānija</w:t>
      </w:r>
      <w:r w:rsidRPr="004322BE">
        <w:rPr>
          <w:rStyle w:val="FootnoteReference"/>
          <w:rFonts w:ascii="Times New Roman" w:hAnsi="Times New Roman"/>
          <w:sz w:val="26"/>
          <w:szCs w:val="26"/>
        </w:rPr>
        <w:footnoteReference w:id="5"/>
      </w:r>
      <w:r w:rsidRPr="004322BE">
        <w:rPr>
          <w:rFonts w:ascii="Times New Roman" w:hAnsi="Times New Roman"/>
          <w:sz w:val="26"/>
          <w:szCs w:val="26"/>
        </w:rPr>
        <w:t xml:space="preserve">). </w:t>
      </w:r>
      <w:r w:rsidRPr="00505830">
        <w:rPr>
          <w:rFonts w:ascii="Times New Roman" w:hAnsi="Times New Roman"/>
          <w:sz w:val="26"/>
          <w:szCs w:val="26"/>
        </w:rPr>
        <w:t>Tādējādi šīs valstis cenšas mazināt ekonomikas krīzes izraisīto sastingumu nekustamo īpašumu tirgū.</w:t>
      </w:r>
    </w:p>
    <w:p w:rsidR="001C3956" w:rsidRDefault="009B10A4" w:rsidP="004D499B">
      <w:pPr>
        <w:spacing w:after="120" w:line="240" w:lineRule="auto"/>
        <w:ind w:firstLine="425"/>
        <w:jc w:val="both"/>
        <w:rPr>
          <w:rFonts w:ascii="Times New Roman" w:hAnsi="Times New Roman"/>
          <w:sz w:val="26"/>
          <w:szCs w:val="26"/>
        </w:rPr>
      </w:pPr>
      <w:r w:rsidRPr="000C6DF8">
        <w:rPr>
          <w:rFonts w:ascii="Times New Roman" w:hAnsi="Times New Roman"/>
          <w:sz w:val="26"/>
          <w:szCs w:val="26"/>
        </w:rPr>
        <w:t>Kā liecina nekustamā īpašuma tirgus dati</w:t>
      </w:r>
      <w:r w:rsidR="000C6DF8">
        <w:rPr>
          <w:rStyle w:val="FootnoteReference"/>
          <w:rFonts w:ascii="Times New Roman" w:hAnsi="Times New Roman"/>
          <w:sz w:val="26"/>
          <w:szCs w:val="26"/>
        </w:rPr>
        <w:footnoteReference w:id="6"/>
      </w:r>
      <w:r w:rsidRPr="000C6DF8">
        <w:rPr>
          <w:rFonts w:ascii="Times New Roman" w:hAnsi="Times New Roman"/>
          <w:sz w:val="26"/>
          <w:szCs w:val="26"/>
        </w:rPr>
        <w:t>, tad attiecīgās Imigrācijas likuma normas daļēji ir aktivizējušas tirgu. Kopš 2011.gada ir pieaudzis gan ārvalstnieku veikto darījumu skaits, gan v</w:t>
      </w:r>
      <w:r w:rsidR="004D499B">
        <w:rPr>
          <w:rFonts w:ascii="Times New Roman" w:hAnsi="Times New Roman"/>
          <w:sz w:val="26"/>
          <w:szCs w:val="26"/>
        </w:rPr>
        <w:t xml:space="preserve">eikto darījumu kopējā vērtība. </w:t>
      </w:r>
    </w:p>
    <w:p w:rsidR="00CD7040" w:rsidRDefault="00660830" w:rsidP="00F443DB">
      <w:pPr>
        <w:keepNext/>
        <w:spacing w:after="120" w:line="240" w:lineRule="auto"/>
        <w:jc w:val="right"/>
        <w:rPr>
          <w:rFonts w:ascii="Times New Roman" w:hAnsi="Times New Roman"/>
          <w:sz w:val="26"/>
          <w:szCs w:val="26"/>
        </w:rPr>
      </w:pPr>
      <w:r>
        <w:rPr>
          <w:rFonts w:ascii="Times New Roman" w:hAnsi="Times New Roman"/>
          <w:sz w:val="26"/>
          <w:szCs w:val="26"/>
        </w:rPr>
        <w:t>6</w:t>
      </w:r>
      <w:r w:rsidR="006D57C1" w:rsidRPr="001C3956">
        <w:rPr>
          <w:rFonts w:ascii="Times New Roman" w:hAnsi="Times New Roman"/>
          <w:sz w:val="26"/>
          <w:szCs w:val="26"/>
        </w:rPr>
        <w:t>.attēls</w:t>
      </w:r>
    </w:p>
    <w:p w:rsidR="002C617B" w:rsidRDefault="002C617B" w:rsidP="00F443DB">
      <w:pPr>
        <w:keepNext/>
        <w:spacing w:after="120" w:line="240" w:lineRule="auto"/>
        <w:rPr>
          <w:rFonts w:ascii="Times New Roman" w:hAnsi="Times New Roman"/>
          <w:b/>
          <w:bCs/>
          <w:sz w:val="24"/>
          <w:szCs w:val="24"/>
        </w:rPr>
      </w:pPr>
    </w:p>
    <w:p w:rsidR="002C617B" w:rsidRDefault="002C617B" w:rsidP="00F443DB">
      <w:pPr>
        <w:keepNext/>
        <w:spacing w:after="120" w:line="240" w:lineRule="auto"/>
        <w:ind w:left="142" w:right="202"/>
        <w:jc w:val="center"/>
        <w:rPr>
          <w:rFonts w:ascii="Times New Roman" w:hAnsi="Times New Roman"/>
          <w:b/>
          <w:bCs/>
          <w:sz w:val="24"/>
          <w:szCs w:val="24"/>
        </w:rPr>
      </w:pPr>
      <w:r w:rsidRPr="00637BA8">
        <w:rPr>
          <w:rFonts w:ascii="Times New Roman" w:hAnsi="Times New Roman"/>
          <w:b/>
          <w:bCs/>
          <w:sz w:val="24"/>
          <w:szCs w:val="24"/>
        </w:rPr>
        <w:t>TUA saņēmušo ārvalstnieku darījumi pret visiem zemesgrāmatā reģistrētajiem darījumiem</w:t>
      </w:r>
      <w:r>
        <w:rPr>
          <w:rFonts w:ascii="Times New Roman" w:hAnsi="Times New Roman"/>
          <w:b/>
          <w:bCs/>
          <w:sz w:val="24"/>
          <w:szCs w:val="24"/>
        </w:rPr>
        <w:br/>
      </w:r>
      <w:r w:rsidRPr="00673B5B">
        <w:rPr>
          <w:rFonts w:ascii="Times New Roman" w:hAnsi="Times New Roman"/>
          <w:bCs/>
          <w:sz w:val="24"/>
          <w:szCs w:val="24"/>
        </w:rPr>
        <w:t>(</w:t>
      </w:r>
      <w:r>
        <w:rPr>
          <w:rFonts w:ascii="Times New Roman" w:hAnsi="Times New Roman"/>
          <w:bCs/>
          <w:sz w:val="24"/>
          <w:szCs w:val="24"/>
        </w:rPr>
        <w:t>kreisā ass – darījumu skaits tūkstošos; labā ass – darījumu summa milj. eiro)</w:t>
      </w:r>
    </w:p>
    <w:p w:rsidR="002C617B" w:rsidRPr="00637BA8" w:rsidRDefault="002C617B" w:rsidP="00F443DB">
      <w:pPr>
        <w:keepNext/>
        <w:spacing w:after="120" w:line="240" w:lineRule="auto"/>
        <w:ind w:left="142" w:right="202"/>
        <w:jc w:val="center"/>
        <w:rPr>
          <w:rFonts w:ascii="Times New Roman" w:hAnsi="Times New Roman"/>
          <w:b/>
          <w:sz w:val="24"/>
          <w:szCs w:val="24"/>
        </w:rPr>
      </w:pPr>
      <w:r w:rsidRPr="009A23DF">
        <w:rPr>
          <w:rFonts w:ascii="Garamond" w:hAnsi="Garamond"/>
          <w:noProof/>
          <w:color w:val="000000"/>
          <w:sz w:val="21"/>
          <w:szCs w:val="21"/>
          <w:lang w:eastAsia="lv-LV"/>
        </w:rPr>
        <w:drawing>
          <wp:inline distT="0" distB="0" distL="0" distR="0">
            <wp:extent cx="4320000" cy="2880000"/>
            <wp:effectExtent l="0" t="0" r="4445" b="0"/>
            <wp:docPr id="32" name="Chart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C617B" w:rsidRDefault="002C617B" w:rsidP="00F443DB">
      <w:pPr>
        <w:keepNext/>
        <w:spacing w:after="120" w:line="240" w:lineRule="auto"/>
        <w:ind w:firstLine="425"/>
        <w:rPr>
          <w:rFonts w:ascii="Times New Roman" w:hAnsi="Times New Roman"/>
          <w:b/>
        </w:rPr>
      </w:pPr>
      <w:r w:rsidRPr="00D04183">
        <w:rPr>
          <w:rFonts w:ascii="Times New Roman" w:hAnsi="Times New Roman"/>
          <w:i/>
        </w:rPr>
        <w:t>Avots: Latio, PMLP</w:t>
      </w:r>
    </w:p>
    <w:p w:rsidR="002C617B" w:rsidRDefault="002C617B" w:rsidP="00F443DB">
      <w:pPr>
        <w:spacing w:after="120" w:line="240" w:lineRule="auto"/>
        <w:jc w:val="right"/>
        <w:rPr>
          <w:rFonts w:ascii="Times New Roman" w:hAnsi="Times New Roman"/>
          <w:sz w:val="26"/>
          <w:szCs w:val="26"/>
        </w:rPr>
      </w:pPr>
    </w:p>
    <w:p w:rsidR="001C3956" w:rsidRPr="000C6DF8" w:rsidRDefault="00CA6460" w:rsidP="005F0433">
      <w:pPr>
        <w:spacing w:after="120" w:line="240" w:lineRule="auto"/>
        <w:ind w:firstLine="426"/>
        <w:contextualSpacing/>
        <w:jc w:val="both"/>
        <w:rPr>
          <w:rFonts w:ascii="Times New Roman" w:hAnsi="Times New Roman"/>
          <w:sz w:val="26"/>
          <w:szCs w:val="26"/>
        </w:rPr>
      </w:pPr>
      <w:r w:rsidRPr="00CA6460">
        <w:rPr>
          <w:rFonts w:ascii="Times New Roman" w:hAnsi="Times New Roman"/>
          <w:sz w:val="26"/>
          <w:szCs w:val="26"/>
        </w:rPr>
        <w:t>„Latio” apkopoto Zemesgrāmatas datu analīze rāda, ka 2014.gada septiņos mēnešos kopējais visu veidu nekustamā īpašuma pirkuma darījumu skaits Latvijā salīdzinājumā ar iepriekšējā gada atbilstošo laika posmu palielinājies par 1,3%. Darījumu skaits ar mājokļiem audzis par 3,7%, tai skaitā ar dzīvokļiem – par 2%, bet savrupmājām – par 11,5%.</w:t>
      </w:r>
      <w:r w:rsidR="005F0433">
        <w:rPr>
          <w:rFonts w:ascii="Times New Roman" w:hAnsi="Times New Roman"/>
          <w:sz w:val="26"/>
          <w:szCs w:val="26"/>
        </w:rPr>
        <w:t xml:space="preserve"> </w:t>
      </w:r>
      <w:r w:rsidR="001C3956" w:rsidRPr="00CA6460">
        <w:rPr>
          <w:rFonts w:ascii="Times New Roman" w:hAnsi="Times New Roman"/>
          <w:sz w:val="26"/>
          <w:szCs w:val="26"/>
        </w:rPr>
        <w:t>Kopējais mājokļu darījumu skaits nekustamā īpašuma tirgū turpina palielināties, lai gan 2014.gadā salīdzinājumā</w:t>
      </w:r>
      <w:r w:rsidR="001C3956" w:rsidRPr="000C6DF8">
        <w:rPr>
          <w:rFonts w:ascii="Times New Roman" w:hAnsi="Times New Roman"/>
          <w:sz w:val="26"/>
          <w:szCs w:val="26"/>
        </w:rPr>
        <w:t xml:space="preserve"> ar vairākiem iepriekšējiem pēckrīzes gadiem darījumu skaita pieauguma temps kļuvis lēnāks gandrīz visos nekustamā īpašuma tirgus segmentos</w:t>
      </w:r>
      <w:r w:rsidR="001C3956">
        <w:rPr>
          <w:rStyle w:val="FootnoteReference"/>
          <w:rFonts w:ascii="Times New Roman" w:hAnsi="Times New Roman"/>
          <w:sz w:val="26"/>
          <w:szCs w:val="26"/>
        </w:rPr>
        <w:footnoteReference w:id="7"/>
      </w:r>
      <w:r w:rsidR="001C3956" w:rsidRPr="000C6DF8">
        <w:rPr>
          <w:rFonts w:ascii="Times New Roman" w:hAnsi="Times New Roman"/>
          <w:sz w:val="26"/>
          <w:szCs w:val="26"/>
        </w:rPr>
        <w:t xml:space="preserve">. Darījumi ar dzīvokļiem sastāda gandrīz 50% no visa naudas apjoma </w:t>
      </w:r>
      <w:r w:rsidR="001C3956" w:rsidRPr="000C6DF8">
        <w:rPr>
          <w:rFonts w:ascii="Times New Roman" w:hAnsi="Times New Roman"/>
          <w:sz w:val="26"/>
          <w:szCs w:val="26"/>
        </w:rPr>
        <w:lastRenderedPageBreak/>
        <w:t>nekustamā īpašuma tirgū. Vienlaikus, raugoties uz cenu dinamiku nekustamā īpašuma tirgu Rīgā un Jūrmalā, vērojams cenu pieaugums jaunos projektos. 2014.gadā jauno dzīvokļu cenu kāpums Vecrīgā un Rīgas mikrorajonos gan kļuvis mērenāks, straujākam tempam saglabājoties vien Rīgas centrā, kur darījumos lielāks īpatsvars ārzemju pircējiem</w:t>
      </w:r>
      <w:r w:rsidR="001C3956">
        <w:rPr>
          <w:rStyle w:val="FootnoteReference"/>
          <w:rFonts w:ascii="Times New Roman" w:hAnsi="Times New Roman"/>
          <w:sz w:val="26"/>
          <w:szCs w:val="26"/>
        </w:rPr>
        <w:footnoteReference w:id="8"/>
      </w:r>
      <w:r w:rsidR="001C3956" w:rsidRPr="000C6DF8">
        <w:rPr>
          <w:rFonts w:ascii="Times New Roman" w:hAnsi="Times New Roman"/>
          <w:sz w:val="26"/>
          <w:szCs w:val="26"/>
        </w:rPr>
        <w:t>. Pārējās Latvijas pilsētās, kā arī Rīgas mikrorajonu sērijveida dzīvokļu tirgū cenas kopš ekonomikas krīzes dziļākās bedres līdz šim augušas mēreni, taču darījumu skaits pieaug visās pilsētās. Pirkuma darījumi ar jaunajiem dzīvokļiem Rīgā ik mēnesi veido aptuveni 10% no visiem dzīvokļu darījumiem</w:t>
      </w:r>
      <w:r w:rsidR="001B2188">
        <w:rPr>
          <w:rStyle w:val="FootnoteReference"/>
          <w:rFonts w:ascii="Times New Roman" w:hAnsi="Times New Roman"/>
          <w:sz w:val="26"/>
          <w:szCs w:val="26"/>
        </w:rPr>
        <w:footnoteReference w:id="9"/>
      </w:r>
      <w:r w:rsidR="001C3956" w:rsidRPr="000C6DF8">
        <w:rPr>
          <w:rFonts w:ascii="Times New Roman" w:hAnsi="Times New Roman"/>
          <w:sz w:val="26"/>
          <w:szCs w:val="26"/>
        </w:rPr>
        <w:t>.</w:t>
      </w:r>
    </w:p>
    <w:p w:rsidR="001C3956" w:rsidRDefault="001C3956" w:rsidP="00F443DB">
      <w:pPr>
        <w:spacing w:after="120" w:line="240" w:lineRule="auto"/>
        <w:ind w:firstLine="425"/>
        <w:jc w:val="both"/>
        <w:rPr>
          <w:rFonts w:ascii="Times New Roman" w:hAnsi="Times New Roman"/>
          <w:sz w:val="26"/>
          <w:szCs w:val="26"/>
          <w:highlight w:val="yellow"/>
        </w:rPr>
      </w:pPr>
    </w:p>
    <w:p w:rsidR="001C3956" w:rsidRPr="001C3956" w:rsidRDefault="00660830" w:rsidP="00F443DB">
      <w:pPr>
        <w:keepNext/>
        <w:spacing w:after="120" w:line="240" w:lineRule="auto"/>
        <w:jc w:val="right"/>
        <w:rPr>
          <w:rFonts w:ascii="Times New Roman" w:hAnsi="Times New Roman"/>
          <w:sz w:val="26"/>
          <w:szCs w:val="26"/>
        </w:rPr>
      </w:pPr>
      <w:r>
        <w:rPr>
          <w:rFonts w:ascii="Times New Roman" w:hAnsi="Times New Roman"/>
          <w:sz w:val="26"/>
          <w:szCs w:val="26"/>
        </w:rPr>
        <w:t>7</w:t>
      </w:r>
      <w:r w:rsidR="001C3956" w:rsidRPr="001C3956">
        <w:rPr>
          <w:rFonts w:ascii="Times New Roman" w:hAnsi="Times New Roman"/>
          <w:sz w:val="26"/>
          <w:szCs w:val="26"/>
        </w:rPr>
        <w:t>.attēls</w:t>
      </w:r>
    </w:p>
    <w:p w:rsidR="001C3956" w:rsidRDefault="001C3956" w:rsidP="00F443DB">
      <w:pPr>
        <w:keepNext/>
        <w:spacing w:after="120" w:line="240" w:lineRule="auto"/>
        <w:ind w:firstLine="425"/>
        <w:jc w:val="center"/>
        <w:rPr>
          <w:rFonts w:ascii="Times New Roman" w:hAnsi="Times New Roman"/>
          <w:b/>
          <w:sz w:val="24"/>
          <w:szCs w:val="24"/>
        </w:rPr>
      </w:pPr>
    </w:p>
    <w:p w:rsidR="00125522" w:rsidRDefault="00E27329" w:rsidP="00F443DB">
      <w:pPr>
        <w:keepNext/>
        <w:spacing w:after="120" w:line="240" w:lineRule="auto"/>
        <w:jc w:val="center"/>
        <w:rPr>
          <w:rFonts w:ascii="Times New Roman" w:hAnsi="Times New Roman"/>
          <w:sz w:val="26"/>
          <w:szCs w:val="26"/>
        </w:rPr>
      </w:pPr>
      <w:r w:rsidRPr="001C3956">
        <w:rPr>
          <w:rFonts w:ascii="Times New Roman" w:hAnsi="Times New Roman"/>
          <w:b/>
          <w:sz w:val="24"/>
          <w:szCs w:val="24"/>
        </w:rPr>
        <w:t xml:space="preserve">Cenu dinamika dzīvokļiem Rīgā (t.sk. jaunajos projektos), </w:t>
      </w:r>
      <w:r w:rsidRPr="004A4EFD">
        <w:rPr>
          <w:rFonts w:ascii="Times New Roman" w:hAnsi="Times New Roman"/>
          <w:b/>
          <w:i/>
          <w:sz w:val="24"/>
          <w:szCs w:val="24"/>
        </w:rPr>
        <w:t>euro</w:t>
      </w:r>
      <w:r w:rsidRPr="001C3956">
        <w:rPr>
          <w:rFonts w:ascii="Times New Roman" w:hAnsi="Times New Roman"/>
          <w:b/>
          <w:sz w:val="24"/>
          <w:szCs w:val="24"/>
        </w:rPr>
        <w:t>/m</w:t>
      </w:r>
      <w:r w:rsidRPr="001C3956">
        <w:rPr>
          <w:rFonts w:ascii="Times New Roman" w:hAnsi="Times New Roman"/>
          <w:b/>
          <w:sz w:val="24"/>
          <w:szCs w:val="24"/>
          <w:vertAlign w:val="superscript"/>
        </w:rPr>
        <w:t>2</w:t>
      </w:r>
      <w:r w:rsidR="00125522" w:rsidRPr="00125522">
        <w:rPr>
          <w:noProof/>
          <w:color w:val="76923C" w:themeColor="accent3" w:themeShade="BF"/>
          <w:lang w:eastAsia="lv-LV"/>
        </w:rPr>
        <w:drawing>
          <wp:inline distT="0" distB="0" distL="0" distR="0">
            <wp:extent cx="5486400" cy="3345815"/>
            <wp:effectExtent l="0" t="0" r="0" b="698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25522" w:rsidRPr="001C3956" w:rsidRDefault="001C3956" w:rsidP="00F443DB">
      <w:pPr>
        <w:keepNext/>
        <w:spacing w:after="120" w:line="240" w:lineRule="auto"/>
        <w:ind w:firstLine="425"/>
        <w:jc w:val="both"/>
        <w:rPr>
          <w:rFonts w:ascii="Times New Roman" w:hAnsi="Times New Roman"/>
          <w:i/>
        </w:rPr>
      </w:pPr>
      <w:r w:rsidRPr="001C3956">
        <w:rPr>
          <w:rFonts w:ascii="Times New Roman" w:hAnsi="Times New Roman"/>
          <w:i/>
        </w:rPr>
        <w:t>Avots: Latio</w:t>
      </w:r>
    </w:p>
    <w:p w:rsidR="001C3956" w:rsidRDefault="001C3956" w:rsidP="00F443DB">
      <w:pPr>
        <w:spacing w:after="120" w:line="240" w:lineRule="auto"/>
        <w:ind w:firstLine="425"/>
        <w:jc w:val="both"/>
        <w:rPr>
          <w:rFonts w:ascii="Times New Roman" w:hAnsi="Times New Roman"/>
          <w:sz w:val="26"/>
          <w:szCs w:val="26"/>
        </w:rPr>
      </w:pPr>
    </w:p>
    <w:p w:rsidR="00873031" w:rsidRPr="00873031" w:rsidRDefault="00873031" w:rsidP="00F443DB">
      <w:pPr>
        <w:spacing w:after="120" w:line="240" w:lineRule="auto"/>
        <w:ind w:firstLine="425"/>
        <w:jc w:val="both"/>
        <w:rPr>
          <w:rFonts w:ascii="Times New Roman" w:hAnsi="Times New Roman"/>
          <w:sz w:val="26"/>
          <w:szCs w:val="26"/>
        </w:rPr>
      </w:pPr>
      <w:r w:rsidRPr="00873031">
        <w:rPr>
          <w:rFonts w:ascii="Times New Roman" w:hAnsi="Times New Roman"/>
          <w:sz w:val="26"/>
          <w:szCs w:val="26"/>
        </w:rPr>
        <w:t xml:space="preserve">Jūrmalas centrā galvenie dzīvokļu pircēji ir ārvalstnieki, kas pērk dzīvokļus, galvenokārt, jaunajos dzīvokļu </w:t>
      </w:r>
      <w:r w:rsidRPr="00AF2C2F">
        <w:rPr>
          <w:rFonts w:ascii="Times New Roman" w:hAnsi="Times New Roman"/>
          <w:sz w:val="26"/>
          <w:szCs w:val="26"/>
        </w:rPr>
        <w:t>projektos.</w:t>
      </w:r>
    </w:p>
    <w:p w:rsidR="009B10A4" w:rsidRPr="00966703" w:rsidRDefault="00873031" w:rsidP="00F443DB">
      <w:pPr>
        <w:spacing w:after="120" w:line="240" w:lineRule="auto"/>
        <w:ind w:firstLine="425"/>
        <w:jc w:val="both"/>
        <w:rPr>
          <w:rFonts w:ascii="Times New Roman" w:hAnsi="Times New Roman"/>
          <w:color w:val="C00000"/>
          <w:sz w:val="26"/>
          <w:szCs w:val="26"/>
          <w:highlight w:val="yellow"/>
        </w:rPr>
      </w:pPr>
      <w:r w:rsidRPr="00873031">
        <w:rPr>
          <w:rFonts w:ascii="Times New Roman" w:hAnsi="Times New Roman"/>
          <w:sz w:val="26"/>
          <w:szCs w:val="26"/>
        </w:rPr>
        <w:t xml:space="preserve">Jauno projektu attīstītāji pēc Imigrācijas likuma normu stāšanās spēkā 2010.gadā ir rēķinājušies ar ārvalstnieku interesi par nekustamo īpašumu iegādi un līdz ar to tirgū ticis veidots atbilstošs </w:t>
      </w:r>
      <w:r w:rsidRPr="00125522">
        <w:rPr>
          <w:rFonts w:ascii="Times New Roman" w:hAnsi="Times New Roman"/>
          <w:sz w:val="26"/>
          <w:szCs w:val="26"/>
        </w:rPr>
        <w:t>piedāvājums</w:t>
      </w:r>
      <w:r w:rsidR="009B10A4" w:rsidRPr="00125522">
        <w:rPr>
          <w:rStyle w:val="FootnoteReference"/>
          <w:rFonts w:ascii="Times New Roman" w:hAnsi="Times New Roman"/>
          <w:color w:val="000000"/>
          <w:sz w:val="26"/>
          <w:szCs w:val="26"/>
        </w:rPr>
        <w:footnoteReference w:id="10"/>
      </w:r>
      <w:r w:rsidR="009B10A4" w:rsidRPr="00125522">
        <w:rPr>
          <w:rFonts w:ascii="Times New Roman" w:hAnsi="Times New Roman"/>
          <w:color w:val="000000"/>
          <w:sz w:val="26"/>
          <w:szCs w:val="26"/>
        </w:rPr>
        <w:t>.</w:t>
      </w:r>
    </w:p>
    <w:p w:rsidR="009B10A4" w:rsidRPr="00125522" w:rsidRDefault="009B10A4" w:rsidP="00F443DB">
      <w:pPr>
        <w:spacing w:after="120" w:line="240" w:lineRule="auto"/>
        <w:ind w:firstLine="426"/>
        <w:jc w:val="both"/>
        <w:rPr>
          <w:rFonts w:ascii="Times New Roman" w:hAnsi="Times New Roman"/>
          <w:sz w:val="26"/>
          <w:szCs w:val="26"/>
        </w:rPr>
      </w:pPr>
      <w:r w:rsidRPr="00125522">
        <w:rPr>
          <w:rFonts w:ascii="Times New Roman" w:hAnsi="Times New Roman"/>
          <w:sz w:val="26"/>
          <w:szCs w:val="26"/>
        </w:rPr>
        <w:t xml:space="preserve">Analizējot ārzemnieku iegādāto nekustamo īpašumu atrašanās vietu, jāsecina, ka saglabājas arī iepriekšējos gados novērotā tendence, ka galvenokārt īpašums atrodas Rīgā, Jūrmalā un tajā Rīgas plānošanas reģiona teritorijā, kas izvietota tuvāk Rīgai un </w:t>
      </w:r>
      <w:r w:rsidRPr="00125522">
        <w:rPr>
          <w:rFonts w:ascii="Times New Roman" w:hAnsi="Times New Roman"/>
          <w:sz w:val="26"/>
          <w:szCs w:val="26"/>
        </w:rPr>
        <w:lastRenderedPageBreak/>
        <w:t xml:space="preserve">Jūrmalai, kamēr pārējos plānošanas reģionos un attālākajā Rīgas plānošanas reģiona teritorijā nekustamo īpašumu iegāde nav bijusi tik intensīva. Vismazāk īpašumu iegādāts Latgales un Kurzemes plānošanas reģionos. Viena nekustamā īpašuma iegādes darījuma vidējā vērtība Rīgā, Jūrmalā un atsevišķos Rīgas plānošanas reģiona novados pārsniedz Imigrācijas likumā noteikto minimālo darījuma vērtību, kamēr pārējās administratīvajās teritorijās ir tuvāka minimālajai darījuma vērtībai (izņemot atsevišķus gadījumus). </w:t>
      </w:r>
    </w:p>
    <w:p w:rsidR="00CA6460" w:rsidRDefault="00CA6460" w:rsidP="00CA6460">
      <w:pPr>
        <w:spacing w:after="120" w:line="240" w:lineRule="auto"/>
        <w:ind w:firstLine="425"/>
        <w:jc w:val="both"/>
        <w:rPr>
          <w:rFonts w:ascii="Times New Roman" w:hAnsi="Times New Roman"/>
          <w:sz w:val="26"/>
          <w:szCs w:val="26"/>
        </w:rPr>
      </w:pPr>
      <w:r w:rsidRPr="004D499B">
        <w:rPr>
          <w:rFonts w:ascii="Times New Roman" w:hAnsi="Times New Roman"/>
          <w:sz w:val="26"/>
          <w:szCs w:val="26"/>
        </w:rPr>
        <w:t>Attiecībā par ietekmi uz kadastrālo vērtību – pašreiz veiktie darījumi kadastrā</w:t>
      </w:r>
      <w:r>
        <w:rPr>
          <w:rFonts w:ascii="Times New Roman" w:hAnsi="Times New Roman"/>
          <w:sz w:val="26"/>
          <w:szCs w:val="26"/>
        </w:rPr>
        <w:t xml:space="preserve">lo vērtību neietekmē, </w:t>
      </w:r>
      <w:r w:rsidRPr="004D499B">
        <w:rPr>
          <w:rFonts w:ascii="Times New Roman" w:hAnsi="Times New Roman"/>
          <w:sz w:val="26"/>
          <w:szCs w:val="26"/>
        </w:rPr>
        <w:t>jo ārvalstnieku darījumu ietekme ir tikai uz ekskluzīvo un jauno īpašumu segmentu Rīgā un Jūrmalā. Minētie darījumi netiek izmantoti sērijveida dzīvokļu un neekskluzīvo mājokļu kadastrālo vērtību bāzes izstrādē. Citos segmentos ārvalstnieku ietekme uz tirgu ir nebūtiska, līdz ar to nav ietekme šobrīd uz kadastrālām vērtībām.</w:t>
      </w:r>
    </w:p>
    <w:p w:rsidR="009B10A4" w:rsidRPr="00AB1658" w:rsidRDefault="009B10A4" w:rsidP="00F443DB">
      <w:pPr>
        <w:spacing w:after="120" w:line="240" w:lineRule="auto"/>
        <w:ind w:firstLine="426"/>
        <w:jc w:val="both"/>
        <w:rPr>
          <w:rFonts w:ascii="Times New Roman" w:hAnsi="Times New Roman"/>
          <w:color w:val="000000"/>
          <w:sz w:val="26"/>
          <w:szCs w:val="26"/>
        </w:rPr>
      </w:pPr>
      <w:r w:rsidRPr="00AB1658">
        <w:rPr>
          <w:rFonts w:ascii="Times New Roman" w:hAnsi="Times New Roman"/>
          <w:color w:val="000000"/>
          <w:sz w:val="26"/>
          <w:szCs w:val="26"/>
        </w:rPr>
        <w:t>Ņemot vērā datus par ārvalstnieku veikto darījumu skaitu</w:t>
      </w:r>
      <w:r w:rsidR="00A4072D">
        <w:rPr>
          <w:rStyle w:val="FootnoteReference"/>
          <w:rFonts w:ascii="Times New Roman" w:hAnsi="Times New Roman"/>
          <w:color w:val="000000"/>
          <w:sz w:val="26"/>
          <w:szCs w:val="26"/>
        </w:rPr>
        <w:footnoteReference w:id="11"/>
      </w:r>
      <w:r w:rsidRPr="00AB1658">
        <w:rPr>
          <w:rFonts w:ascii="Times New Roman" w:hAnsi="Times New Roman"/>
          <w:color w:val="000000"/>
          <w:sz w:val="26"/>
          <w:szCs w:val="26"/>
        </w:rPr>
        <w:t xml:space="preserve"> un šo darījumu kopējo vērtību, var secināt, ka ne visos gadījumos ārvalstnieki, kas iegādājušies nekustamo īpašumu Latvijā</w:t>
      </w:r>
      <w:r w:rsidR="005F177C" w:rsidRPr="00AB1658">
        <w:rPr>
          <w:rFonts w:ascii="Times New Roman" w:hAnsi="Times New Roman"/>
          <w:color w:val="000000"/>
          <w:sz w:val="26"/>
          <w:szCs w:val="26"/>
        </w:rPr>
        <w:t>,</w:t>
      </w:r>
      <w:r w:rsidRPr="00AB1658">
        <w:rPr>
          <w:rFonts w:ascii="Times New Roman" w:hAnsi="Times New Roman"/>
          <w:color w:val="000000"/>
          <w:sz w:val="26"/>
          <w:szCs w:val="26"/>
        </w:rPr>
        <w:t xml:space="preserve"> ir vērsušies ar lūgumu piešķirt TUA. </w:t>
      </w:r>
    </w:p>
    <w:p w:rsidR="007168AA" w:rsidRDefault="004E559B" w:rsidP="00F443DB">
      <w:pPr>
        <w:spacing w:after="120" w:line="240" w:lineRule="auto"/>
        <w:ind w:firstLine="426"/>
        <w:jc w:val="both"/>
        <w:rPr>
          <w:rFonts w:ascii="Times New Roman" w:hAnsi="Times New Roman"/>
          <w:sz w:val="26"/>
          <w:szCs w:val="26"/>
        </w:rPr>
      </w:pPr>
      <w:r w:rsidRPr="00380F71">
        <w:rPr>
          <w:rFonts w:ascii="Times New Roman" w:hAnsi="Times New Roman"/>
          <w:color w:val="000000"/>
          <w:sz w:val="26"/>
          <w:szCs w:val="26"/>
        </w:rPr>
        <w:t>Vienlaikus jāatzīmē, ka ir novērojama arī netieša TUA saņēmēju ietekme uz tautsaimniecību viņiem un viņu ģimenes locekļiem iesaistoties uzņēmējdarbībā Latvijā.</w:t>
      </w:r>
      <w:r w:rsidR="00327CF1" w:rsidRPr="00380F71">
        <w:rPr>
          <w:rFonts w:ascii="Times New Roman" w:hAnsi="Times New Roman"/>
          <w:color w:val="000000"/>
          <w:sz w:val="26"/>
          <w:szCs w:val="26"/>
        </w:rPr>
        <w:t xml:space="preserve"> </w:t>
      </w:r>
      <w:r w:rsidR="009B10A4" w:rsidRPr="00380F71">
        <w:rPr>
          <w:rFonts w:ascii="Times New Roman" w:hAnsi="Times New Roman"/>
          <w:sz w:val="26"/>
          <w:szCs w:val="26"/>
        </w:rPr>
        <w:t>Daļa no nerezidentiem (vai to ģimenes locekļi), kas saņēmuši TUA iegādājoties nekustamo īpašumu Latvijā</w:t>
      </w:r>
      <w:r w:rsidR="004B414D" w:rsidRPr="00380F71">
        <w:rPr>
          <w:rFonts w:ascii="Times New Roman" w:hAnsi="Times New Roman"/>
          <w:sz w:val="26"/>
          <w:szCs w:val="26"/>
        </w:rPr>
        <w:t>,</w:t>
      </w:r>
      <w:r w:rsidR="009B10A4" w:rsidRPr="00380F71">
        <w:rPr>
          <w:rFonts w:ascii="Times New Roman" w:hAnsi="Times New Roman"/>
          <w:sz w:val="26"/>
          <w:szCs w:val="26"/>
        </w:rPr>
        <w:t xml:space="preserve"> </w:t>
      </w:r>
      <w:r w:rsidR="00CE4BF1">
        <w:rPr>
          <w:rFonts w:ascii="Times New Roman" w:hAnsi="Times New Roman"/>
          <w:sz w:val="26"/>
          <w:szCs w:val="26"/>
        </w:rPr>
        <w:t>veic</w:t>
      </w:r>
      <w:r w:rsidR="009B10A4" w:rsidRPr="00380F71">
        <w:rPr>
          <w:rFonts w:ascii="Times New Roman" w:hAnsi="Times New Roman"/>
          <w:sz w:val="26"/>
          <w:szCs w:val="26"/>
        </w:rPr>
        <w:t xml:space="preserve"> saimniecisko darbību. Šādi nerezidenti ieņem kādu amatu </w:t>
      </w:r>
      <w:r w:rsidR="007C7278">
        <w:rPr>
          <w:rFonts w:ascii="Times New Roman" w:hAnsi="Times New Roman"/>
          <w:sz w:val="26"/>
          <w:szCs w:val="26"/>
        </w:rPr>
        <w:t xml:space="preserve">531 </w:t>
      </w:r>
      <w:r w:rsidR="007C7278" w:rsidRPr="00380F71">
        <w:rPr>
          <w:rFonts w:ascii="Times New Roman" w:hAnsi="Times New Roman"/>
          <w:sz w:val="26"/>
          <w:szCs w:val="26"/>
        </w:rPr>
        <w:t>Latvijā reģistrētā kapitālsabiedrībā</w:t>
      </w:r>
      <w:r w:rsidR="00E42542">
        <w:rPr>
          <w:rFonts w:ascii="Times New Roman" w:hAnsi="Times New Roman"/>
          <w:sz w:val="26"/>
          <w:szCs w:val="26"/>
        </w:rPr>
        <w:t>, tai skaitā – 15 ak</w:t>
      </w:r>
      <w:r w:rsidR="007168AA">
        <w:rPr>
          <w:rFonts w:ascii="Times New Roman" w:hAnsi="Times New Roman"/>
          <w:sz w:val="26"/>
          <w:szCs w:val="26"/>
        </w:rPr>
        <w:t>ciju sabiedrībā un 19 biedrībās.</w:t>
      </w:r>
    </w:p>
    <w:p w:rsidR="009B10A4" w:rsidRPr="00380F71" w:rsidRDefault="007168AA" w:rsidP="00F443DB">
      <w:pPr>
        <w:spacing w:after="120" w:line="240" w:lineRule="auto"/>
        <w:ind w:firstLine="426"/>
        <w:jc w:val="both"/>
        <w:rPr>
          <w:rFonts w:ascii="Times New Roman" w:hAnsi="Times New Roman"/>
          <w:sz w:val="26"/>
          <w:szCs w:val="26"/>
        </w:rPr>
      </w:pPr>
      <w:r>
        <w:rPr>
          <w:rFonts w:ascii="Times New Roman" w:hAnsi="Times New Roman"/>
          <w:color w:val="000000"/>
          <w:sz w:val="26"/>
          <w:szCs w:val="26"/>
        </w:rPr>
        <w:t>TUA saņēmējiem</w:t>
      </w:r>
      <w:r w:rsidR="00297CC0">
        <w:rPr>
          <w:rFonts w:ascii="Times New Roman" w:hAnsi="Times New Roman"/>
          <w:color w:val="000000"/>
          <w:sz w:val="26"/>
          <w:szCs w:val="26"/>
        </w:rPr>
        <w:t xml:space="preserve"> un viņu ģimenes locekļiem </w:t>
      </w:r>
      <w:r w:rsidR="009B10A4" w:rsidRPr="00ED4AD9">
        <w:rPr>
          <w:rFonts w:ascii="Times New Roman" w:hAnsi="Times New Roman"/>
          <w:sz w:val="26"/>
          <w:szCs w:val="26"/>
        </w:rPr>
        <w:t>pi</w:t>
      </w:r>
      <w:r w:rsidR="001E091D" w:rsidRPr="00ED4AD9">
        <w:rPr>
          <w:rFonts w:ascii="Times New Roman" w:hAnsi="Times New Roman"/>
          <w:sz w:val="26"/>
          <w:szCs w:val="26"/>
        </w:rPr>
        <w:t>eder kapitāla daļas 578</w:t>
      </w:r>
      <w:r w:rsidR="009B10A4" w:rsidRPr="00ED4AD9">
        <w:rPr>
          <w:rFonts w:ascii="Times New Roman" w:hAnsi="Times New Roman"/>
          <w:sz w:val="26"/>
          <w:szCs w:val="26"/>
        </w:rPr>
        <w:t xml:space="preserve"> Latvijā reģistrētā</w:t>
      </w:r>
      <w:r w:rsidR="00CE4BF1">
        <w:rPr>
          <w:rFonts w:ascii="Times New Roman" w:hAnsi="Times New Roman"/>
          <w:sz w:val="26"/>
          <w:szCs w:val="26"/>
        </w:rPr>
        <w:t>s</w:t>
      </w:r>
      <w:r w:rsidR="009B10A4" w:rsidRPr="00ED4AD9">
        <w:rPr>
          <w:rFonts w:ascii="Times New Roman" w:hAnsi="Times New Roman"/>
          <w:sz w:val="26"/>
          <w:szCs w:val="26"/>
        </w:rPr>
        <w:t xml:space="preserve"> kapitālsabiedrībā</w:t>
      </w:r>
      <w:r w:rsidR="00CE4BF1">
        <w:rPr>
          <w:rFonts w:ascii="Times New Roman" w:hAnsi="Times New Roman"/>
          <w:sz w:val="26"/>
          <w:szCs w:val="26"/>
        </w:rPr>
        <w:t>s</w:t>
      </w:r>
      <w:r w:rsidR="009B10A4" w:rsidRPr="00ED4AD9">
        <w:rPr>
          <w:rFonts w:ascii="Times New Roman" w:hAnsi="Times New Roman"/>
          <w:sz w:val="26"/>
          <w:szCs w:val="26"/>
        </w:rPr>
        <w:t>. Saskaņā ar LURSOFT datiem kopu</w:t>
      </w:r>
      <w:r w:rsidR="001E091D" w:rsidRPr="00ED4AD9">
        <w:rPr>
          <w:rFonts w:ascii="Times New Roman" w:hAnsi="Times New Roman"/>
          <w:sz w:val="26"/>
          <w:szCs w:val="26"/>
        </w:rPr>
        <w:t>mā šajās kapitālsabiedrībās 2013</w:t>
      </w:r>
      <w:r w:rsidR="009B10A4" w:rsidRPr="00ED4AD9">
        <w:rPr>
          <w:rFonts w:ascii="Times New Roman" w:hAnsi="Times New Roman"/>
          <w:sz w:val="26"/>
          <w:szCs w:val="26"/>
        </w:rPr>
        <w:t>.gadā tika nodarbināti 1</w:t>
      </w:r>
      <w:r w:rsidR="001E091D" w:rsidRPr="00ED4AD9">
        <w:rPr>
          <w:rFonts w:ascii="Times New Roman" w:hAnsi="Times New Roman"/>
          <w:sz w:val="26"/>
          <w:szCs w:val="26"/>
        </w:rPr>
        <w:t> 320</w:t>
      </w:r>
      <w:r w:rsidR="009B10A4" w:rsidRPr="00ED4AD9">
        <w:rPr>
          <w:rFonts w:ascii="Times New Roman" w:hAnsi="Times New Roman"/>
          <w:sz w:val="26"/>
          <w:szCs w:val="26"/>
        </w:rPr>
        <w:t xml:space="preserve"> darbinieku</w:t>
      </w:r>
      <w:r w:rsidR="001E091D" w:rsidRPr="00ED4AD9">
        <w:rPr>
          <w:rFonts w:ascii="Times New Roman" w:hAnsi="Times New Roman"/>
          <w:sz w:val="26"/>
          <w:szCs w:val="26"/>
        </w:rPr>
        <w:t xml:space="preserve"> </w:t>
      </w:r>
      <w:r w:rsidR="009B10A4" w:rsidRPr="00ED4AD9">
        <w:rPr>
          <w:rFonts w:ascii="Times New Roman" w:hAnsi="Times New Roman"/>
          <w:sz w:val="26"/>
          <w:szCs w:val="26"/>
        </w:rPr>
        <w:t>un kopējais kapitālsabiedrību a</w:t>
      </w:r>
      <w:r w:rsidR="001E091D" w:rsidRPr="00ED4AD9">
        <w:rPr>
          <w:rFonts w:ascii="Times New Roman" w:hAnsi="Times New Roman"/>
          <w:sz w:val="26"/>
          <w:szCs w:val="26"/>
        </w:rPr>
        <w:t>pgrozījums sasniedza aptuveni 105,4</w:t>
      </w:r>
      <w:r w:rsidR="009B10A4" w:rsidRPr="00ED4AD9">
        <w:rPr>
          <w:rFonts w:ascii="Times New Roman" w:hAnsi="Times New Roman"/>
          <w:sz w:val="26"/>
          <w:szCs w:val="26"/>
        </w:rPr>
        <w:t xml:space="preserve"> milj. </w:t>
      </w:r>
      <w:r w:rsidR="001E091D" w:rsidRPr="00ED4AD9">
        <w:rPr>
          <w:rFonts w:ascii="Times New Roman" w:hAnsi="Times New Roman"/>
          <w:i/>
          <w:sz w:val="26"/>
          <w:szCs w:val="26"/>
        </w:rPr>
        <w:t>euro</w:t>
      </w:r>
      <w:r w:rsidR="001E091D" w:rsidRPr="00ED4AD9">
        <w:rPr>
          <w:rFonts w:ascii="Times New Roman" w:hAnsi="Times New Roman"/>
          <w:sz w:val="26"/>
          <w:szCs w:val="26"/>
        </w:rPr>
        <w:t xml:space="preserve"> </w:t>
      </w:r>
      <w:r w:rsidR="00297CC0">
        <w:rPr>
          <w:rFonts w:ascii="Times New Roman" w:hAnsi="Times New Roman"/>
          <w:sz w:val="26"/>
          <w:szCs w:val="26"/>
        </w:rPr>
        <w:t>, ar peļņ</w:t>
      </w:r>
      <w:r w:rsidR="00ED4AD9">
        <w:rPr>
          <w:rFonts w:ascii="Times New Roman" w:hAnsi="Times New Roman"/>
          <w:sz w:val="26"/>
          <w:szCs w:val="26"/>
        </w:rPr>
        <w:t>u strādāja 80</w:t>
      </w:r>
      <w:r w:rsidR="00ED4AD9" w:rsidRPr="00ED4AD9">
        <w:rPr>
          <w:rFonts w:ascii="Times New Roman" w:hAnsi="Times New Roman"/>
          <w:sz w:val="26"/>
          <w:szCs w:val="26"/>
        </w:rPr>
        <w:t xml:space="preserve"> </w:t>
      </w:r>
      <w:r w:rsidR="00ED4AD9">
        <w:rPr>
          <w:rFonts w:ascii="Times New Roman" w:hAnsi="Times New Roman"/>
          <w:sz w:val="26"/>
          <w:szCs w:val="26"/>
        </w:rPr>
        <w:t xml:space="preserve">kapitālsabiedrības, bet ar </w:t>
      </w:r>
      <w:r w:rsidR="00ED4AD9" w:rsidRPr="004A523D">
        <w:rPr>
          <w:rFonts w:ascii="Times New Roman" w:hAnsi="Times New Roman"/>
          <w:sz w:val="26"/>
          <w:szCs w:val="26"/>
        </w:rPr>
        <w:t>zaudējumiem – 250.</w:t>
      </w:r>
    </w:p>
    <w:p w:rsidR="00B6641A" w:rsidRDefault="00B6641A" w:rsidP="00F443DB">
      <w:pPr>
        <w:spacing w:after="120" w:line="240" w:lineRule="auto"/>
        <w:jc w:val="right"/>
        <w:rPr>
          <w:rFonts w:ascii="Times New Roman" w:hAnsi="Times New Roman"/>
          <w:sz w:val="26"/>
          <w:szCs w:val="26"/>
        </w:rPr>
      </w:pPr>
    </w:p>
    <w:p w:rsidR="00380F71" w:rsidRDefault="00660830" w:rsidP="00F443DB">
      <w:pPr>
        <w:keepNext/>
        <w:spacing w:after="120" w:line="240" w:lineRule="auto"/>
        <w:jc w:val="right"/>
        <w:rPr>
          <w:rFonts w:ascii="Times New Roman" w:hAnsi="Times New Roman"/>
          <w:sz w:val="26"/>
          <w:szCs w:val="26"/>
        </w:rPr>
      </w:pPr>
      <w:r>
        <w:rPr>
          <w:rFonts w:ascii="Times New Roman" w:hAnsi="Times New Roman"/>
          <w:sz w:val="26"/>
          <w:szCs w:val="26"/>
        </w:rPr>
        <w:lastRenderedPageBreak/>
        <w:t>8</w:t>
      </w:r>
      <w:r w:rsidR="00380F71" w:rsidRPr="00C0414F">
        <w:rPr>
          <w:rFonts w:ascii="Times New Roman" w:hAnsi="Times New Roman"/>
          <w:sz w:val="26"/>
          <w:szCs w:val="26"/>
        </w:rPr>
        <w:t>.attēls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7"/>
        <w:gridCol w:w="4866"/>
      </w:tblGrid>
      <w:tr w:rsidR="00380F71" w:rsidTr="00873031">
        <w:tc>
          <w:tcPr>
            <w:tcW w:w="9571" w:type="dxa"/>
            <w:gridSpan w:val="2"/>
          </w:tcPr>
          <w:p w:rsidR="00380F71" w:rsidRDefault="00380F71" w:rsidP="00957399">
            <w:pPr>
              <w:keepNext/>
              <w:spacing w:after="0" w:line="240" w:lineRule="auto"/>
              <w:jc w:val="center"/>
              <w:rPr>
                <w:rFonts w:ascii="Times New Roman" w:hAnsi="Times New Roman"/>
                <w:b/>
                <w:sz w:val="24"/>
                <w:szCs w:val="24"/>
              </w:rPr>
            </w:pPr>
            <w:r>
              <w:rPr>
                <w:rFonts w:ascii="Times New Roman" w:hAnsi="Times New Roman"/>
                <w:b/>
                <w:sz w:val="24"/>
                <w:szCs w:val="24"/>
              </w:rPr>
              <w:t>Uz TUA iesniedzējiem – ieguldītājiem nekust</w:t>
            </w:r>
            <w:r w:rsidR="00544584">
              <w:rPr>
                <w:rFonts w:ascii="Times New Roman" w:hAnsi="Times New Roman"/>
                <w:b/>
                <w:sz w:val="24"/>
                <w:szCs w:val="24"/>
              </w:rPr>
              <w:t>a</w:t>
            </w:r>
            <w:r>
              <w:rPr>
                <w:rFonts w:ascii="Times New Roman" w:hAnsi="Times New Roman"/>
                <w:b/>
                <w:sz w:val="24"/>
                <w:szCs w:val="24"/>
              </w:rPr>
              <w:t xml:space="preserve">majā īpašumā attiecināmo </w:t>
            </w:r>
          </w:p>
          <w:p w:rsidR="00380F71" w:rsidRDefault="00380F71" w:rsidP="00F443DB">
            <w:pPr>
              <w:keepNext/>
              <w:spacing w:after="120" w:line="240" w:lineRule="auto"/>
              <w:jc w:val="center"/>
              <w:rPr>
                <w:rFonts w:ascii="Times New Roman" w:hAnsi="Times New Roman"/>
                <w:b/>
                <w:sz w:val="24"/>
                <w:szCs w:val="24"/>
              </w:rPr>
            </w:pPr>
            <w:r>
              <w:rPr>
                <w:rFonts w:ascii="Times New Roman" w:hAnsi="Times New Roman"/>
                <w:b/>
                <w:sz w:val="24"/>
                <w:szCs w:val="24"/>
              </w:rPr>
              <w:t>(pieder daļas)</w:t>
            </w:r>
          </w:p>
        </w:tc>
      </w:tr>
      <w:tr w:rsidR="00380F71" w:rsidTr="00873031">
        <w:tc>
          <w:tcPr>
            <w:tcW w:w="4785" w:type="dxa"/>
          </w:tcPr>
          <w:p w:rsidR="00380F71" w:rsidRDefault="00380F71" w:rsidP="00F443DB">
            <w:pPr>
              <w:keepNext/>
              <w:spacing w:after="120" w:line="240" w:lineRule="auto"/>
              <w:jc w:val="center"/>
              <w:rPr>
                <w:rFonts w:ascii="Times New Roman" w:hAnsi="Times New Roman"/>
                <w:b/>
                <w:sz w:val="24"/>
                <w:szCs w:val="24"/>
              </w:rPr>
            </w:pPr>
            <w:r>
              <w:rPr>
                <w:rFonts w:ascii="Times New Roman" w:hAnsi="Times New Roman"/>
                <w:b/>
                <w:sz w:val="24"/>
                <w:szCs w:val="24"/>
              </w:rPr>
              <w:t>kapitālsabiedrību sadalījums pēc to dibināšanas gada</w:t>
            </w:r>
          </w:p>
          <w:p w:rsidR="00380F71" w:rsidRDefault="00380F71" w:rsidP="00F443DB">
            <w:pPr>
              <w:keepNext/>
              <w:spacing w:after="120" w:line="240" w:lineRule="auto"/>
              <w:jc w:val="right"/>
              <w:rPr>
                <w:rFonts w:ascii="Times New Roman" w:hAnsi="Times New Roman"/>
                <w:sz w:val="26"/>
                <w:szCs w:val="26"/>
              </w:rPr>
            </w:pPr>
            <w:r>
              <w:rPr>
                <w:rFonts w:ascii="Times New Roman" w:hAnsi="Times New Roman"/>
                <w:noProof/>
                <w:sz w:val="26"/>
                <w:szCs w:val="26"/>
                <w:lang w:eastAsia="lv-LV"/>
              </w:rPr>
              <w:drawing>
                <wp:inline distT="0" distB="0" distL="0" distR="0">
                  <wp:extent cx="2619375" cy="2495550"/>
                  <wp:effectExtent l="0" t="0" r="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80F71" w:rsidRDefault="00380F71" w:rsidP="00F443DB">
            <w:pPr>
              <w:keepNext/>
              <w:spacing w:after="120" w:line="240" w:lineRule="auto"/>
              <w:rPr>
                <w:rFonts w:ascii="Times New Roman" w:hAnsi="Times New Roman"/>
                <w:i/>
                <w:sz w:val="26"/>
                <w:szCs w:val="26"/>
              </w:rPr>
            </w:pPr>
          </w:p>
          <w:p w:rsidR="00380F71" w:rsidRPr="00CC533C" w:rsidRDefault="00380F71" w:rsidP="00F443DB">
            <w:pPr>
              <w:keepNext/>
              <w:spacing w:after="120" w:line="240" w:lineRule="auto"/>
              <w:rPr>
                <w:rFonts w:ascii="Times New Roman" w:hAnsi="Times New Roman"/>
                <w:sz w:val="22"/>
                <w:szCs w:val="22"/>
              </w:rPr>
            </w:pPr>
            <w:r w:rsidRPr="00CC533C">
              <w:rPr>
                <w:rFonts w:ascii="Times New Roman" w:hAnsi="Times New Roman"/>
                <w:i/>
                <w:sz w:val="22"/>
                <w:szCs w:val="22"/>
              </w:rPr>
              <w:t>Avots: Lursoft</w:t>
            </w:r>
          </w:p>
        </w:tc>
        <w:tc>
          <w:tcPr>
            <w:tcW w:w="4786" w:type="dxa"/>
          </w:tcPr>
          <w:p w:rsidR="00380F71" w:rsidRDefault="00380F71" w:rsidP="00F443DB">
            <w:pPr>
              <w:keepNext/>
              <w:spacing w:after="120" w:line="240" w:lineRule="auto"/>
              <w:jc w:val="center"/>
              <w:rPr>
                <w:rFonts w:ascii="Times New Roman" w:hAnsi="Times New Roman"/>
                <w:b/>
                <w:sz w:val="24"/>
                <w:szCs w:val="24"/>
              </w:rPr>
            </w:pPr>
            <w:r>
              <w:rPr>
                <w:rFonts w:ascii="Times New Roman" w:hAnsi="Times New Roman"/>
                <w:b/>
                <w:sz w:val="24"/>
                <w:szCs w:val="24"/>
              </w:rPr>
              <w:t>kapitālsabiedrību sadalījums</w:t>
            </w:r>
            <w:r w:rsidRPr="00874066">
              <w:rPr>
                <w:rFonts w:ascii="Times New Roman" w:hAnsi="Times New Roman"/>
                <w:b/>
                <w:sz w:val="24"/>
                <w:szCs w:val="24"/>
              </w:rPr>
              <w:t xml:space="preserve"> pēc </w:t>
            </w:r>
            <w:r>
              <w:rPr>
                <w:rFonts w:ascii="Times New Roman" w:hAnsi="Times New Roman"/>
                <w:b/>
                <w:sz w:val="24"/>
                <w:szCs w:val="24"/>
              </w:rPr>
              <w:t>darbības jomas</w:t>
            </w:r>
            <w:r w:rsidRPr="00874066">
              <w:rPr>
                <w:rFonts w:ascii="Times New Roman" w:hAnsi="Times New Roman"/>
                <w:b/>
                <w:sz w:val="24"/>
                <w:szCs w:val="24"/>
              </w:rPr>
              <w:t xml:space="preserve"> </w:t>
            </w:r>
            <w:r>
              <w:rPr>
                <w:rFonts w:ascii="Times New Roman" w:hAnsi="Times New Roman"/>
                <w:noProof/>
                <w:sz w:val="26"/>
                <w:szCs w:val="26"/>
                <w:lang w:eastAsia="lv-LV"/>
              </w:rPr>
              <w:drawing>
                <wp:inline distT="0" distB="0" distL="0" distR="0">
                  <wp:extent cx="2952750" cy="2590800"/>
                  <wp:effectExtent l="0" t="0" r="0"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80F71" w:rsidRDefault="00380F71" w:rsidP="00F443DB">
            <w:pPr>
              <w:keepNext/>
              <w:spacing w:after="120" w:line="240" w:lineRule="auto"/>
              <w:rPr>
                <w:rFonts w:ascii="Times New Roman" w:hAnsi="Times New Roman"/>
                <w:i/>
                <w:sz w:val="26"/>
                <w:szCs w:val="26"/>
              </w:rPr>
            </w:pPr>
          </w:p>
          <w:p w:rsidR="00380F71" w:rsidRDefault="00380F71" w:rsidP="00F443DB">
            <w:pPr>
              <w:keepNext/>
              <w:spacing w:after="120" w:line="240" w:lineRule="auto"/>
              <w:rPr>
                <w:rFonts w:ascii="Times New Roman" w:hAnsi="Times New Roman"/>
                <w:sz w:val="26"/>
                <w:szCs w:val="26"/>
              </w:rPr>
            </w:pPr>
            <w:r w:rsidRPr="00CC533C">
              <w:rPr>
                <w:rFonts w:ascii="Times New Roman" w:hAnsi="Times New Roman"/>
                <w:i/>
                <w:sz w:val="22"/>
                <w:szCs w:val="22"/>
              </w:rPr>
              <w:t>Avots: Lursoft</w:t>
            </w:r>
            <w:r>
              <w:rPr>
                <w:rFonts w:ascii="Times New Roman" w:hAnsi="Times New Roman"/>
                <w:sz w:val="26"/>
                <w:szCs w:val="26"/>
              </w:rPr>
              <w:t xml:space="preserve"> </w:t>
            </w:r>
          </w:p>
        </w:tc>
      </w:tr>
    </w:tbl>
    <w:p w:rsidR="00380F71" w:rsidRPr="00C31D1C" w:rsidRDefault="00380F71" w:rsidP="00F443DB">
      <w:pPr>
        <w:spacing w:after="120" w:line="240" w:lineRule="auto"/>
        <w:jc w:val="right"/>
        <w:rPr>
          <w:rFonts w:ascii="Times New Roman" w:hAnsi="Times New Roman"/>
          <w:sz w:val="26"/>
          <w:szCs w:val="26"/>
        </w:rPr>
      </w:pPr>
    </w:p>
    <w:p w:rsidR="009B10A4" w:rsidRPr="00C31D1C" w:rsidRDefault="00C9363E" w:rsidP="00C9363E">
      <w:pPr>
        <w:keepNext/>
        <w:spacing w:after="0" w:line="240" w:lineRule="auto"/>
        <w:ind w:firstLine="567"/>
        <w:jc w:val="both"/>
        <w:rPr>
          <w:rFonts w:ascii="Times New Roman" w:hAnsi="Times New Roman"/>
          <w:sz w:val="26"/>
          <w:szCs w:val="26"/>
        </w:rPr>
      </w:pPr>
      <w:r>
        <w:rPr>
          <w:rFonts w:ascii="Times New Roman" w:hAnsi="Times New Roman"/>
          <w:sz w:val="26"/>
          <w:szCs w:val="26"/>
        </w:rPr>
        <w:t>Par kapitālsabiedrībām</w:t>
      </w:r>
      <w:r w:rsidRPr="00C9363E">
        <w:rPr>
          <w:rFonts w:ascii="Times New Roman" w:hAnsi="Times New Roman"/>
          <w:sz w:val="26"/>
          <w:szCs w:val="26"/>
        </w:rPr>
        <w:t xml:space="preserve"> </w:t>
      </w:r>
      <w:r>
        <w:rPr>
          <w:rFonts w:ascii="Times New Roman" w:hAnsi="Times New Roman"/>
          <w:sz w:val="26"/>
          <w:szCs w:val="26"/>
        </w:rPr>
        <w:t xml:space="preserve">kurās </w:t>
      </w:r>
      <w:r w:rsidRPr="00C9363E">
        <w:rPr>
          <w:rFonts w:ascii="Times New Roman" w:hAnsi="Times New Roman"/>
          <w:sz w:val="26"/>
          <w:szCs w:val="26"/>
        </w:rPr>
        <w:t xml:space="preserve">TUA iesniedzējiem </w:t>
      </w:r>
      <w:r>
        <w:rPr>
          <w:rFonts w:ascii="Times New Roman" w:hAnsi="Times New Roman"/>
          <w:sz w:val="26"/>
          <w:szCs w:val="26"/>
        </w:rPr>
        <w:t>(ieguldītāji</w:t>
      </w:r>
      <w:r w:rsidRPr="00C9363E">
        <w:rPr>
          <w:rFonts w:ascii="Times New Roman" w:hAnsi="Times New Roman"/>
          <w:sz w:val="26"/>
          <w:szCs w:val="26"/>
        </w:rPr>
        <w:t xml:space="preserve"> nekustamajā īpašumā</w:t>
      </w:r>
      <w:r>
        <w:rPr>
          <w:rFonts w:ascii="Times New Roman" w:hAnsi="Times New Roman"/>
          <w:sz w:val="26"/>
          <w:szCs w:val="26"/>
        </w:rPr>
        <w:t>)</w:t>
      </w:r>
      <w:r w:rsidRPr="00C9363E">
        <w:rPr>
          <w:rFonts w:ascii="Times New Roman" w:hAnsi="Times New Roman"/>
          <w:sz w:val="26"/>
          <w:szCs w:val="26"/>
        </w:rPr>
        <w:t xml:space="preserve"> </w:t>
      </w:r>
      <w:r>
        <w:rPr>
          <w:rFonts w:ascii="Times New Roman" w:hAnsi="Times New Roman"/>
          <w:sz w:val="26"/>
          <w:szCs w:val="26"/>
        </w:rPr>
        <w:t>vai viņu ģimenes locekļiem</w:t>
      </w:r>
      <w:r w:rsidRPr="00C9363E">
        <w:rPr>
          <w:rFonts w:ascii="Times New Roman" w:hAnsi="Times New Roman"/>
          <w:sz w:val="26"/>
          <w:szCs w:val="26"/>
        </w:rPr>
        <w:t xml:space="preserve"> </w:t>
      </w:r>
      <w:r>
        <w:rPr>
          <w:rFonts w:ascii="Times New Roman" w:hAnsi="Times New Roman"/>
          <w:sz w:val="26"/>
          <w:szCs w:val="26"/>
        </w:rPr>
        <w:t xml:space="preserve">pieder </w:t>
      </w:r>
      <w:r w:rsidR="000A2105">
        <w:rPr>
          <w:rFonts w:ascii="Times New Roman" w:hAnsi="Times New Roman"/>
          <w:sz w:val="26"/>
          <w:szCs w:val="26"/>
        </w:rPr>
        <w:t>daļas – vairāk kā</w:t>
      </w:r>
      <w:r w:rsidRPr="00C31D1C">
        <w:rPr>
          <w:rFonts w:ascii="Times New Roman" w:hAnsi="Times New Roman"/>
          <w:sz w:val="26"/>
          <w:szCs w:val="26"/>
        </w:rPr>
        <w:t xml:space="preserve"> puse</w:t>
      </w:r>
      <w:r>
        <w:rPr>
          <w:rFonts w:ascii="Times New Roman" w:hAnsi="Times New Roman"/>
          <w:sz w:val="26"/>
          <w:szCs w:val="26"/>
        </w:rPr>
        <w:t xml:space="preserve">, kurām  </w:t>
      </w:r>
      <w:r w:rsidR="00FE1CB5" w:rsidRPr="00C31D1C">
        <w:rPr>
          <w:rFonts w:ascii="Times New Roman" w:hAnsi="Times New Roman"/>
          <w:sz w:val="26"/>
          <w:szCs w:val="26"/>
        </w:rPr>
        <w:t>ir norādīts darbības veids (59</w:t>
      </w:r>
      <w:r w:rsidR="009B10A4" w:rsidRPr="00C31D1C">
        <w:rPr>
          <w:rFonts w:ascii="Times New Roman" w:hAnsi="Times New Roman"/>
          <w:sz w:val="26"/>
          <w:szCs w:val="26"/>
        </w:rPr>
        <w:t>% no visām kapitālsabiedrībām) snie</w:t>
      </w:r>
      <w:r w:rsidR="00FE1CB5" w:rsidRPr="00C31D1C">
        <w:rPr>
          <w:rFonts w:ascii="Times New Roman" w:hAnsi="Times New Roman"/>
          <w:sz w:val="26"/>
          <w:szCs w:val="26"/>
        </w:rPr>
        <w:t>dz komercpakalpojumus (no tiem 4</w:t>
      </w:r>
      <w:r w:rsidR="009B10A4" w:rsidRPr="00C31D1C">
        <w:rPr>
          <w:rFonts w:ascii="Times New Roman" w:hAnsi="Times New Roman"/>
          <w:sz w:val="26"/>
          <w:szCs w:val="26"/>
        </w:rPr>
        <w:t>3% ir saistīti ar darījumiem ar neku</w:t>
      </w:r>
      <w:r w:rsidR="00FE1CB5" w:rsidRPr="00C31D1C">
        <w:rPr>
          <w:rFonts w:ascii="Times New Roman" w:hAnsi="Times New Roman"/>
          <w:sz w:val="26"/>
          <w:szCs w:val="26"/>
        </w:rPr>
        <w:t>stamajiem īpašumiem). Savukārt 8</w:t>
      </w:r>
      <w:r w:rsidR="009B10A4" w:rsidRPr="00C31D1C">
        <w:rPr>
          <w:rFonts w:ascii="Times New Roman" w:hAnsi="Times New Roman"/>
          <w:sz w:val="26"/>
          <w:szCs w:val="26"/>
        </w:rPr>
        <w:t xml:space="preserve">% kapitālsabiedrībām pamatdarbības veids ir apstrādes rūpniecība. Lielākās no tām darbojās tādās apakšnozarēs kā </w:t>
      </w:r>
      <w:r w:rsidR="00C31D1C" w:rsidRPr="00C31D1C">
        <w:rPr>
          <w:rFonts w:ascii="Times New Roman" w:hAnsi="Times New Roman"/>
          <w:sz w:val="26"/>
          <w:szCs w:val="26"/>
        </w:rPr>
        <w:t xml:space="preserve">apavu, sporta preču un virtuves mēbeļu </w:t>
      </w:r>
      <w:r w:rsidR="009B10A4" w:rsidRPr="00C31D1C">
        <w:rPr>
          <w:rFonts w:ascii="Times New Roman" w:hAnsi="Times New Roman"/>
          <w:sz w:val="26"/>
          <w:szCs w:val="26"/>
        </w:rPr>
        <w:t xml:space="preserve">ražošana, </w:t>
      </w:r>
      <w:r w:rsidR="00C31D1C" w:rsidRPr="00C31D1C">
        <w:rPr>
          <w:rFonts w:ascii="Times New Roman" w:hAnsi="Times New Roman"/>
          <w:sz w:val="26"/>
          <w:szCs w:val="26"/>
        </w:rPr>
        <w:t xml:space="preserve">zivju </w:t>
      </w:r>
      <w:r w:rsidR="009B10A4" w:rsidRPr="00C31D1C">
        <w:rPr>
          <w:rFonts w:ascii="Times New Roman" w:hAnsi="Times New Roman"/>
          <w:sz w:val="26"/>
          <w:szCs w:val="26"/>
        </w:rPr>
        <w:t xml:space="preserve">produktu ražošana, koksnes un tās izstrādājumu ražošana, papīra un papīra izstrādājumu ražošana, kā arī citās apakšnozarēs. </w:t>
      </w:r>
    </w:p>
    <w:p w:rsidR="005F177C" w:rsidRDefault="005F177C" w:rsidP="00F443DB">
      <w:pPr>
        <w:spacing w:after="120" w:line="240" w:lineRule="auto"/>
        <w:ind w:firstLine="426"/>
        <w:jc w:val="both"/>
        <w:rPr>
          <w:rFonts w:ascii="Times New Roman" w:hAnsi="Times New Roman"/>
          <w:sz w:val="26"/>
          <w:szCs w:val="26"/>
        </w:rPr>
      </w:pPr>
      <w:r w:rsidRPr="00C31D1C">
        <w:rPr>
          <w:rFonts w:ascii="Times New Roman" w:hAnsi="Times New Roman"/>
          <w:sz w:val="26"/>
          <w:szCs w:val="26"/>
        </w:rPr>
        <w:t>Pārskata periodā</w:t>
      </w:r>
      <w:r w:rsidRPr="005F177C">
        <w:rPr>
          <w:rFonts w:ascii="Times New Roman" w:hAnsi="Times New Roman"/>
          <w:sz w:val="26"/>
          <w:szCs w:val="26"/>
        </w:rPr>
        <w:t xml:space="preserve"> Imigrācijas likumā ir veikti būtiski grozījumi, kas ietekmēs TUA pieprasīšanu turpmākajā pārskata periodā, proti, </w:t>
      </w:r>
      <w:r>
        <w:rPr>
          <w:rFonts w:ascii="Times New Roman" w:hAnsi="Times New Roman"/>
          <w:sz w:val="26"/>
          <w:szCs w:val="26"/>
        </w:rPr>
        <w:t xml:space="preserve">2014.gada 8.maija likums „Grozījumi Imigrācijas likumā” paredz no 2014.gada 1.septembra līdz 250 000 </w:t>
      </w:r>
      <w:r w:rsidRPr="00ED4AD9">
        <w:rPr>
          <w:rFonts w:ascii="Times New Roman" w:hAnsi="Times New Roman"/>
          <w:i/>
          <w:sz w:val="26"/>
          <w:szCs w:val="26"/>
        </w:rPr>
        <w:t>euro</w:t>
      </w:r>
      <w:r>
        <w:rPr>
          <w:rFonts w:ascii="Times New Roman" w:hAnsi="Times New Roman"/>
          <w:i/>
          <w:sz w:val="26"/>
          <w:szCs w:val="26"/>
        </w:rPr>
        <w:t xml:space="preserve"> </w:t>
      </w:r>
      <w:r>
        <w:rPr>
          <w:rFonts w:ascii="Times New Roman" w:hAnsi="Times New Roman"/>
          <w:sz w:val="26"/>
          <w:szCs w:val="26"/>
        </w:rPr>
        <w:t>palielināt minimālo darījuma summu, par kādu iegādātais nekustamais īpašums ļaus ārzemniekam kvalificēties TUA saņemšanai. Minētā summa turpmāk attieksies uz visiem darījumiem, neatkarīgi no administratīvās teritorijas, kurā atrodas nekustamais īpašums. Papildu nosacījumi, kas iekļauti Imigrācijas likumā, ietver prasību ārzemniekam iegādāties vienu</w:t>
      </w:r>
      <w:r w:rsidR="00A27F81">
        <w:rPr>
          <w:rFonts w:ascii="Times New Roman" w:hAnsi="Times New Roman"/>
          <w:sz w:val="26"/>
          <w:szCs w:val="26"/>
        </w:rPr>
        <w:t xml:space="preserve"> (nevis vairākus, kā pieļāva iepriekšējā likuma redakcija)</w:t>
      </w:r>
      <w:r>
        <w:rPr>
          <w:rFonts w:ascii="Times New Roman" w:hAnsi="Times New Roman"/>
          <w:sz w:val="26"/>
          <w:szCs w:val="26"/>
        </w:rPr>
        <w:t xml:space="preserve"> funkcionāli saistītu apbūvētu nekustamo īpašumu, kura sastāvā neietilpst ne lauksaimniecības, ne meža zeme. Papildus jau šobrīd noteiktajām valsts nodevām, kādas ārzemnieks maksā par īpašuma ierakstīšanu zemesgrāmatā un TUA pieprasīšanu, būs jāveic vienreizēja neatmaksājama iemaksa valsts budžetā 5% vērtībā no darījuma summas. Šie nosacījumi neattieksies uz </w:t>
      </w:r>
      <w:r w:rsidR="00A27F81">
        <w:rPr>
          <w:rFonts w:ascii="Times New Roman" w:hAnsi="Times New Roman"/>
          <w:sz w:val="26"/>
          <w:szCs w:val="26"/>
        </w:rPr>
        <w:t>ārzemnieki</w:t>
      </w:r>
      <w:r>
        <w:rPr>
          <w:rFonts w:ascii="Times New Roman" w:hAnsi="Times New Roman"/>
          <w:sz w:val="26"/>
          <w:szCs w:val="26"/>
        </w:rPr>
        <w:t>em, kuriem īpašuma tiesības zemesgrāmatā reģistrētas līdz 2014.gada 31.augustam.</w:t>
      </w:r>
      <w:r w:rsidR="00A27F81">
        <w:rPr>
          <w:rFonts w:ascii="Times New Roman" w:hAnsi="Times New Roman"/>
          <w:sz w:val="26"/>
          <w:szCs w:val="26"/>
        </w:rPr>
        <w:t xml:space="preserve"> </w:t>
      </w:r>
    </w:p>
    <w:p w:rsidR="00BC6E31" w:rsidRDefault="00A27F81" w:rsidP="00F443DB">
      <w:pPr>
        <w:spacing w:after="120" w:line="240" w:lineRule="auto"/>
        <w:ind w:firstLine="426"/>
        <w:jc w:val="both"/>
        <w:rPr>
          <w:rFonts w:ascii="Times New Roman" w:hAnsi="Times New Roman"/>
          <w:sz w:val="26"/>
          <w:szCs w:val="26"/>
        </w:rPr>
      </w:pPr>
      <w:r>
        <w:rPr>
          <w:rFonts w:ascii="Times New Roman" w:hAnsi="Times New Roman"/>
          <w:sz w:val="26"/>
          <w:szCs w:val="26"/>
        </w:rPr>
        <w:lastRenderedPageBreak/>
        <w:t xml:space="preserve">Paredzams, ka jaunais regulējums </w:t>
      </w:r>
      <w:r w:rsidR="00BC6E31">
        <w:rPr>
          <w:rFonts w:ascii="Times New Roman" w:hAnsi="Times New Roman"/>
          <w:sz w:val="26"/>
          <w:szCs w:val="26"/>
        </w:rPr>
        <w:t>samazinās</w:t>
      </w:r>
      <w:r>
        <w:rPr>
          <w:rFonts w:ascii="Times New Roman" w:hAnsi="Times New Roman"/>
          <w:sz w:val="26"/>
          <w:szCs w:val="26"/>
        </w:rPr>
        <w:t xml:space="preserve"> turpmāko TUA pieprasīju</w:t>
      </w:r>
      <w:r w:rsidR="00BC6E31">
        <w:rPr>
          <w:rFonts w:ascii="Times New Roman" w:hAnsi="Times New Roman"/>
          <w:sz w:val="26"/>
          <w:szCs w:val="26"/>
        </w:rPr>
        <w:t>mu skaitu.</w:t>
      </w:r>
    </w:p>
    <w:p w:rsidR="00A27F81" w:rsidRPr="005F177C" w:rsidRDefault="00A27F81" w:rsidP="00F443DB">
      <w:pPr>
        <w:spacing w:after="120" w:line="240" w:lineRule="auto"/>
        <w:ind w:firstLine="426"/>
        <w:jc w:val="both"/>
        <w:rPr>
          <w:rFonts w:ascii="Times New Roman" w:hAnsi="Times New Roman"/>
          <w:sz w:val="26"/>
          <w:szCs w:val="26"/>
        </w:rPr>
      </w:pPr>
    </w:p>
    <w:p w:rsidR="009B10A4" w:rsidRPr="000C2A4F" w:rsidRDefault="009B10A4" w:rsidP="00F443DB">
      <w:pPr>
        <w:pStyle w:val="Heading1"/>
        <w:spacing w:before="0" w:after="120" w:line="240" w:lineRule="auto"/>
        <w:rPr>
          <w:rFonts w:ascii="Times New Roman" w:hAnsi="Times New Roman"/>
          <w:color w:val="auto"/>
        </w:rPr>
      </w:pPr>
      <w:bookmarkStart w:id="21" w:name="_Toc398179984"/>
      <w:r w:rsidRPr="000C2A4F">
        <w:rPr>
          <w:rFonts w:ascii="Times New Roman" w:hAnsi="Times New Roman"/>
          <w:color w:val="auto"/>
        </w:rPr>
        <w:t>5. Finanšu investīcijas kredītiestādē</w:t>
      </w:r>
      <w:bookmarkEnd w:id="21"/>
    </w:p>
    <w:p w:rsidR="009B10A4" w:rsidRPr="000C2A4F" w:rsidRDefault="009B10A4" w:rsidP="00F443DB">
      <w:pPr>
        <w:spacing w:after="120" w:line="240" w:lineRule="auto"/>
        <w:ind w:firstLine="426"/>
        <w:jc w:val="both"/>
        <w:rPr>
          <w:rFonts w:ascii="Times New Roman" w:hAnsi="Times New Roman"/>
          <w:sz w:val="26"/>
          <w:szCs w:val="26"/>
        </w:rPr>
      </w:pPr>
      <w:r w:rsidRPr="000C2A4F">
        <w:rPr>
          <w:rFonts w:ascii="Times New Roman" w:hAnsi="Times New Roman"/>
          <w:sz w:val="26"/>
          <w:szCs w:val="26"/>
        </w:rPr>
        <w:t>Imigrācijas likuma 23.panta pirmās daļas 30.punkts paredz piešķirt TUA trešo valstu pilsoņiem, kuri ieguldījuši vismaz 2</w:t>
      </w:r>
      <w:r w:rsidR="000C2A4F">
        <w:rPr>
          <w:rFonts w:ascii="Times New Roman" w:hAnsi="Times New Roman"/>
          <w:sz w:val="26"/>
          <w:szCs w:val="26"/>
        </w:rPr>
        <w:t>80</w:t>
      </w:r>
      <w:r w:rsidRPr="000C2A4F">
        <w:rPr>
          <w:rFonts w:ascii="Times New Roman" w:hAnsi="Times New Roman"/>
          <w:sz w:val="26"/>
          <w:szCs w:val="26"/>
        </w:rPr>
        <w:t xml:space="preserve"> tūkstošus </w:t>
      </w:r>
      <w:r w:rsidR="000C2A4F">
        <w:rPr>
          <w:rFonts w:ascii="Times New Roman" w:hAnsi="Times New Roman"/>
          <w:i/>
          <w:sz w:val="26"/>
          <w:szCs w:val="26"/>
        </w:rPr>
        <w:t>euro</w:t>
      </w:r>
      <w:r w:rsidRPr="000C2A4F">
        <w:rPr>
          <w:rFonts w:ascii="Times New Roman" w:hAnsi="Times New Roman"/>
          <w:sz w:val="26"/>
          <w:szCs w:val="26"/>
        </w:rPr>
        <w:t xml:space="preserve"> Latvijas kredītiestādes </w:t>
      </w:r>
      <w:r w:rsidR="00544584">
        <w:rPr>
          <w:rFonts w:ascii="Times New Roman" w:hAnsi="Times New Roman"/>
          <w:sz w:val="26"/>
          <w:szCs w:val="26"/>
        </w:rPr>
        <w:t>pakārtotajās saistībās</w:t>
      </w:r>
      <w:r w:rsidRPr="000C2A4F">
        <w:rPr>
          <w:rFonts w:ascii="Times New Roman" w:hAnsi="Times New Roman"/>
          <w:sz w:val="26"/>
          <w:szCs w:val="26"/>
        </w:rPr>
        <w:t xml:space="preserve">. </w:t>
      </w:r>
    </w:p>
    <w:p w:rsidR="009B10A4" w:rsidRPr="00E40B1C" w:rsidRDefault="009B10A4" w:rsidP="00F443DB">
      <w:pPr>
        <w:spacing w:after="120" w:line="240" w:lineRule="auto"/>
        <w:ind w:firstLine="426"/>
        <w:jc w:val="both"/>
        <w:rPr>
          <w:rFonts w:ascii="Times New Roman" w:hAnsi="Times New Roman"/>
          <w:sz w:val="26"/>
          <w:szCs w:val="26"/>
        </w:rPr>
      </w:pPr>
      <w:r w:rsidRPr="00E40B1C">
        <w:rPr>
          <w:rFonts w:ascii="Times New Roman" w:hAnsi="Times New Roman"/>
          <w:sz w:val="26"/>
          <w:szCs w:val="26"/>
        </w:rPr>
        <w:t xml:space="preserve">Attiecīgās Imigrācijas likuma normas ietvaros kopš 2010.gada 1.jūlija Latvijas kredītiestāžu </w:t>
      </w:r>
      <w:r w:rsidR="00544584">
        <w:rPr>
          <w:rFonts w:ascii="Times New Roman" w:hAnsi="Times New Roman"/>
          <w:sz w:val="26"/>
          <w:szCs w:val="26"/>
        </w:rPr>
        <w:t>pakārtotajās saistībās</w:t>
      </w:r>
      <w:r w:rsidRPr="00E40B1C">
        <w:rPr>
          <w:rFonts w:ascii="Times New Roman" w:hAnsi="Times New Roman"/>
          <w:sz w:val="26"/>
          <w:szCs w:val="26"/>
        </w:rPr>
        <w:t xml:space="preserve"> veikti </w:t>
      </w:r>
      <w:r w:rsidR="00E40B1C" w:rsidRPr="00E40B1C">
        <w:rPr>
          <w:rFonts w:ascii="Times New Roman" w:hAnsi="Times New Roman"/>
          <w:sz w:val="26"/>
          <w:szCs w:val="26"/>
        </w:rPr>
        <w:t>388 ieguldījumi 126,6</w:t>
      </w:r>
      <w:r w:rsidRPr="00E40B1C">
        <w:rPr>
          <w:rFonts w:ascii="Times New Roman" w:hAnsi="Times New Roman"/>
          <w:sz w:val="26"/>
          <w:szCs w:val="26"/>
        </w:rPr>
        <w:t xml:space="preserve"> milj. </w:t>
      </w:r>
      <w:r w:rsidR="00E40B1C" w:rsidRPr="00E40B1C">
        <w:rPr>
          <w:rFonts w:ascii="Times New Roman" w:hAnsi="Times New Roman"/>
          <w:i/>
          <w:sz w:val="26"/>
          <w:szCs w:val="26"/>
        </w:rPr>
        <w:t>euro</w:t>
      </w:r>
      <w:r w:rsidR="00AB15B2">
        <w:rPr>
          <w:rFonts w:ascii="Times New Roman" w:hAnsi="Times New Roman"/>
          <w:sz w:val="26"/>
          <w:szCs w:val="26"/>
        </w:rPr>
        <w:t xml:space="preserve"> apmērā, kur 98% darījumi ir intervālā no 250 līdz 500 tūkst.</w:t>
      </w:r>
      <w:r w:rsidR="00AB15B2" w:rsidRPr="00AB15B2">
        <w:rPr>
          <w:rFonts w:ascii="Times New Roman" w:hAnsi="Times New Roman"/>
          <w:i/>
          <w:sz w:val="26"/>
          <w:szCs w:val="26"/>
        </w:rPr>
        <w:t>euro</w:t>
      </w:r>
      <w:r w:rsidR="001B0886">
        <w:rPr>
          <w:rStyle w:val="FootnoteReference"/>
          <w:rFonts w:ascii="Times New Roman" w:hAnsi="Times New Roman"/>
          <w:i/>
          <w:sz w:val="26"/>
          <w:szCs w:val="26"/>
        </w:rPr>
        <w:footnoteReference w:id="12"/>
      </w:r>
      <w:r w:rsidR="00AB15B2">
        <w:rPr>
          <w:rFonts w:ascii="Times New Roman" w:hAnsi="Times New Roman"/>
          <w:sz w:val="26"/>
          <w:szCs w:val="26"/>
        </w:rPr>
        <w:t>.</w:t>
      </w:r>
    </w:p>
    <w:p w:rsidR="009B10A4" w:rsidRPr="00E40B1C" w:rsidRDefault="009B10A4" w:rsidP="00F443DB">
      <w:pPr>
        <w:spacing w:after="120" w:line="240" w:lineRule="auto"/>
        <w:ind w:firstLine="426"/>
        <w:jc w:val="both"/>
        <w:rPr>
          <w:rFonts w:ascii="Times New Roman" w:hAnsi="Times New Roman"/>
          <w:sz w:val="26"/>
          <w:szCs w:val="26"/>
        </w:rPr>
      </w:pPr>
      <w:r w:rsidRPr="00E40B1C">
        <w:rPr>
          <w:rFonts w:ascii="Times New Roman" w:hAnsi="Times New Roman"/>
          <w:sz w:val="26"/>
          <w:szCs w:val="26"/>
        </w:rPr>
        <w:t xml:space="preserve">Investīcijām kredītiestādes </w:t>
      </w:r>
      <w:r w:rsidR="00544584">
        <w:rPr>
          <w:rFonts w:ascii="Times New Roman" w:hAnsi="Times New Roman"/>
          <w:sz w:val="26"/>
          <w:szCs w:val="26"/>
        </w:rPr>
        <w:t xml:space="preserve">pakārtotajās saistībās </w:t>
      </w:r>
      <w:r w:rsidRPr="00E40B1C">
        <w:rPr>
          <w:rFonts w:ascii="Times New Roman" w:hAnsi="Times New Roman"/>
          <w:sz w:val="26"/>
          <w:szCs w:val="26"/>
        </w:rPr>
        <w:t>ir divas svarīgas priekšrocības:</w:t>
      </w:r>
    </w:p>
    <w:p w:rsidR="009B10A4" w:rsidRPr="00E40B1C" w:rsidRDefault="009B10A4" w:rsidP="00F443DB">
      <w:pPr>
        <w:pStyle w:val="ListParagraph"/>
        <w:numPr>
          <w:ilvl w:val="0"/>
          <w:numId w:val="37"/>
        </w:numPr>
        <w:spacing w:after="120" w:line="240" w:lineRule="auto"/>
        <w:ind w:left="993" w:hanging="284"/>
        <w:jc w:val="both"/>
        <w:rPr>
          <w:rFonts w:ascii="Times New Roman" w:hAnsi="Times New Roman"/>
          <w:sz w:val="26"/>
          <w:szCs w:val="26"/>
        </w:rPr>
      </w:pPr>
      <w:r w:rsidRPr="00E40B1C">
        <w:rPr>
          <w:rFonts w:ascii="Times New Roman" w:hAnsi="Times New Roman"/>
          <w:sz w:val="26"/>
          <w:szCs w:val="26"/>
        </w:rPr>
        <w:t>ļoti ātrs un salīdzinoši vienkāršs variants TUA saņemšanai;</w:t>
      </w:r>
    </w:p>
    <w:p w:rsidR="009B10A4" w:rsidRPr="00E40B1C" w:rsidRDefault="009B10A4" w:rsidP="00F443DB">
      <w:pPr>
        <w:pStyle w:val="ListParagraph"/>
        <w:numPr>
          <w:ilvl w:val="0"/>
          <w:numId w:val="37"/>
        </w:numPr>
        <w:spacing w:after="120" w:line="240" w:lineRule="auto"/>
        <w:ind w:left="993" w:hanging="284"/>
        <w:jc w:val="both"/>
        <w:rPr>
          <w:rFonts w:ascii="Times New Roman" w:hAnsi="Times New Roman"/>
          <w:sz w:val="26"/>
          <w:szCs w:val="26"/>
        </w:rPr>
      </w:pPr>
      <w:r w:rsidRPr="00E40B1C">
        <w:rPr>
          <w:rFonts w:ascii="Times New Roman" w:hAnsi="Times New Roman"/>
          <w:sz w:val="26"/>
          <w:szCs w:val="26"/>
        </w:rPr>
        <w:t>augstas procentu likmes – tas nozīmē, ka investors saņem regulāru un stabilu atdevi no saviem ieguldījumiem.</w:t>
      </w:r>
    </w:p>
    <w:p w:rsidR="009B10A4" w:rsidRPr="00966703" w:rsidRDefault="009B10A4" w:rsidP="00F443DB">
      <w:pPr>
        <w:spacing w:after="120" w:line="240" w:lineRule="auto"/>
        <w:jc w:val="both"/>
        <w:rPr>
          <w:rFonts w:ascii="Times New Roman" w:hAnsi="Times New Roman"/>
          <w:sz w:val="26"/>
          <w:szCs w:val="26"/>
          <w:highlight w:val="yellow"/>
        </w:rPr>
      </w:pPr>
    </w:p>
    <w:p w:rsidR="00F6498D" w:rsidRPr="002F4452" w:rsidRDefault="00660830" w:rsidP="00F443DB">
      <w:pPr>
        <w:spacing w:after="120" w:line="240" w:lineRule="auto"/>
        <w:jc w:val="right"/>
        <w:rPr>
          <w:rFonts w:ascii="Times New Roman" w:hAnsi="Times New Roman"/>
          <w:sz w:val="26"/>
          <w:szCs w:val="26"/>
        </w:rPr>
      </w:pPr>
      <w:r>
        <w:rPr>
          <w:rFonts w:ascii="Times New Roman" w:hAnsi="Times New Roman"/>
          <w:sz w:val="26"/>
          <w:szCs w:val="26"/>
        </w:rPr>
        <w:t>9</w:t>
      </w:r>
      <w:r w:rsidR="00F6498D" w:rsidRPr="002F4452">
        <w:rPr>
          <w:rFonts w:ascii="Times New Roman" w:hAnsi="Times New Roman"/>
          <w:sz w:val="26"/>
          <w:szCs w:val="26"/>
        </w:rPr>
        <w:t>.attēls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gridCol w:w="5082"/>
      </w:tblGrid>
      <w:tr w:rsidR="00C83CA2" w:rsidRPr="00166E78" w:rsidTr="00BD42CB">
        <w:tc>
          <w:tcPr>
            <w:tcW w:w="9571" w:type="dxa"/>
            <w:gridSpan w:val="2"/>
          </w:tcPr>
          <w:p w:rsidR="00C83CA2" w:rsidRPr="006B6A8E" w:rsidRDefault="009F4C01" w:rsidP="00F443DB">
            <w:pPr>
              <w:keepNext/>
              <w:spacing w:after="120" w:line="240" w:lineRule="auto"/>
              <w:jc w:val="center"/>
              <w:rPr>
                <w:rFonts w:ascii="Times New Roman" w:hAnsi="Times New Roman"/>
                <w:b/>
                <w:sz w:val="24"/>
                <w:szCs w:val="24"/>
              </w:rPr>
            </w:pPr>
            <w:r>
              <w:rPr>
                <w:rFonts w:ascii="Times New Roman" w:hAnsi="Times New Roman"/>
                <w:b/>
                <w:sz w:val="24"/>
                <w:szCs w:val="24"/>
              </w:rPr>
              <w:t>TUA iesniedzēju – ieguldītāju</w:t>
            </w:r>
            <w:r w:rsidR="00C83CA2">
              <w:rPr>
                <w:rFonts w:ascii="Times New Roman" w:hAnsi="Times New Roman"/>
                <w:b/>
                <w:sz w:val="24"/>
                <w:szCs w:val="24"/>
              </w:rPr>
              <w:t xml:space="preserve"> </w:t>
            </w:r>
            <w:r w:rsidR="00C83CA2" w:rsidRPr="00C83CA2">
              <w:rPr>
                <w:rFonts w:ascii="Times New Roman" w:hAnsi="Times New Roman"/>
                <w:b/>
                <w:sz w:val="24"/>
                <w:szCs w:val="24"/>
              </w:rPr>
              <w:t xml:space="preserve">kredītiestādes </w:t>
            </w:r>
            <w:r>
              <w:rPr>
                <w:rFonts w:ascii="Times New Roman" w:hAnsi="Times New Roman"/>
                <w:b/>
                <w:sz w:val="24"/>
                <w:szCs w:val="24"/>
              </w:rPr>
              <w:t xml:space="preserve">pakārtotajās saistībās </w:t>
            </w:r>
          </w:p>
        </w:tc>
      </w:tr>
      <w:tr w:rsidR="00F6498D" w:rsidRPr="00166E78" w:rsidTr="00873031">
        <w:tc>
          <w:tcPr>
            <w:tcW w:w="4427" w:type="dxa"/>
          </w:tcPr>
          <w:p w:rsidR="00F6498D" w:rsidRDefault="00F6498D" w:rsidP="00F443DB">
            <w:pPr>
              <w:spacing w:after="120" w:line="240" w:lineRule="auto"/>
              <w:jc w:val="center"/>
              <w:rPr>
                <w:rFonts w:ascii="Times New Roman" w:hAnsi="Times New Roman"/>
                <w:b/>
                <w:sz w:val="24"/>
                <w:szCs w:val="24"/>
              </w:rPr>
            </w:pPr>
            <w:r w:rsidRPr="00874066">
              <w:rPr>
                <w:rFonts w:ascii="Times New Roman" w:hAnsi="Times New Roman"/>
                <w:b/>
                <w:sz w:val="24"/>
                <w:szCs w:val="24"/>
              </w:rPr>
              <w:t xml:space="preserve">sadalījums pēc valstiskās piederības </w:t>
            </w:r>
          </w:p>
          <w:p w:rsidR="00F6498D" w:rsidRDefault="00F6498D" w:rsidP="00F443DB">
            <w:pPr>
              <w:spacing w:after="120" w:line="240" w:lineRule="auto"/>
              <w:jc w:val="center"/>
              <w:rPr>
                <w:rFonts w:ascii="Times New Roman" w:hAnsi="Times New Roman"/>
                <w:sz w:val="26"/>
                <w:szCs w:val="26"/>
              </w:rPr>
            </w:pPr>
            <w:r w:rsidRPr="00874066">
              <w:rPr>
                <w:rFonts w:ascii="Times New Roman" w:hAnsi="Times New Roman"/>
                <w:b/>
                <w:sz w:val="24"/>
                <w:szCs w:val="24"/>
              </w:rPr>
              <w:t>(07.2010.-06.2014.)</w:t>
            </w:r>
          </w:p>
          <w:p w:rsidR="00F6498D" w:rsidRPr="00F6498D" w:rsidRDefault="00F6498D" w:rsidP="00F443DB">
            <w:pPr>
              <w:spacing w:after="120" w:line="240" w:lineRule="auto"/>
              <w:jc w:val="center"/>
              <w:rPr>
                <w:rFonts w:ascii="Times New Roman" w:hAnsi="Times New Roman"/>
                <w:b/>
                <w:sz w:val="24"/>
                <w:szCs w:val="24"/>
              </w:rPr>
            </w:pPr>
            <w:r w:rsidRPr="00F6498D">
              <w:rPr>
                <w:rFonts w:ascii="Times New Roman" w:hAnsi="Times New Roman"/>
                <w:noProof/>
                <w:lang w:eastAsia="lv-LV"/>
              </w:rPr>
              <w:drawing>
                <wp:inline distT="0" distB="0" distL="0" distR="0">
                  <wp:extent cx="2486025" cy="22098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6498D" w:rsidRPr="0079664F" w:rsidRDefault="00F6498D" w:rsidP="00F443DB">
            <w:pPr>
              <w:spacing w:after="120" w:line="240" w:lineRule="auto"/>
              <w:rPr>
                <w:rFonts w:ascii="Times New Roman" w:hAnsi="Times New Roman"/>
                <w:b/>
                <w:sz w:val="22"/>
                <w:szCs w:val="22"/>
              </w:rPr>
            </w:pPr>
            <w:r w:rsidRPr="0079664F">
              <w:rPr>
                <w:rFonts w:ascii="Times New Roman" w:hAnsi="Times New Roman"/>
                <w:i/>
                <w:sz w:val="22"/>
                <w:szCs w:val="22"/>
              </w:rPr>
              <w:t>Avots: PMLP</w:t>
            </w:r>
          </w:p>
        </w:tc>
        <w:tc>
          <w:tcPr>
            <w:tcW w:w="5144" w:type="dxa"/>
          </w:tcPr>
          <w:p w:rsidR="005D7B39" w:rsidRDefault="005D7B39" w:rsidP="00F443DB">
            <w:pPr>
              <w:spacing w:after="120" w:line="240" w:lineRule="auto"/>
              <w:jc w:val="center"/>
              <w:rPr>
                <w:rFonts w:ascii="Times New Roman" w:hAnsi="Times New Roman"/>
                <w:b/>
                <w:sz w:val="24"/>
                <w:szCs w:val="24"/>
              </w:rPr>
            </w:pPr>
            <w:r w:rsidRPr="006B6A8E">
              <w:rPr>
                <w:rFonts w:ascii="Times New Roman" w:hAnsi="Times New Roman"/>
                <w:b/>
                <w:sz w:val="24"/>
                <w:szCs w:val="24"/>
              </w:rPr>
              <w:t xml:space="preserve">veikto ieguldījumu apjoms </w:t>
            </w:r>
          </w:p>
          <w:p w:rsidR="005D7B39" w:rsidRDefault="005D7B39" w:rsidP="00F443DB">
            <w:pPr>
              <w:spacing w:after="120" w:line="240" w:lineRule="auto"/>
              <w:jc w:val="center"/>
              <w:rPr>
                <w:rFonts w:ascii="Times New Roman" w:hAnsi="Times New Roman"/>
                <w:b/>
                <w:sz w:val="24"/>
                <w:szCs w:val="24"/>
              </w:rPr>
            </w:pPr>
            <w:r w:rsidRPr="006B6A8E">
              <w:rPr>
                <w:rFonts w:ascii="Times New Roman" w:hAnsi="Times New Roman"/>
                <w:b/>
                <w:sz w:val="24"/>
                <w:szCs w:val="24"/>
              </w:rPr>
              <w:t>sadalījumā pa kredītiestādēm (07.2010.-06.2014.)</w:t>
            </w:r>
          </w:p>
          <w:p w:rsidR="00F6498D" w:rsidRDefault="005D7B39" w:rsidP="00F443DB">
            <w:pPr>
              <w:spacing w:after="120" w:line="240" w:lineRule="auto"/>
              <w:jc w:val="center"/>
              <w:rPr>
                <w:rFonts w:ascii="Times New Roman" w:hAnsi="Times New Roman"/>
                <w:b/>
                <w:sz w:val="24"/>
                <w:szCs w:val="24"/>
              </w:rPr>
            </w:pPr>
            <w:r>
              <w:rPr>
                <w:noProof/>
                <w:lang w:eastAsia="lv-LV"/>
              </w:rPr>
              <w:drawing>
                <wp:inline distT="0" distB="0" distL="0" distR="0">
                  <wp:extent cx="2800350" cy="22098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498D" w:rsidRPr="00874066" w:rsidRDefault="00F6498D" w:rsidP="00F443DB">
            <w:pPr>
              <w:spacing w:after="120" w:line="240" w:lineRule="auto"/>
              <w:rPr>
                <w:rFonts w:ascii="Times New Roman" w:hAnsi="Times New Roman"/>
                <w:b/>
                <w:sz w:val="24"/>
                <w:szCs w:val="24"/>
              </w:rPr>
            </w:pPr>
            <w:r w:rsidRPr="0079664F">
              <w:rPr>
                <w:rFonts w:ascii="Times New Roman" w:hAnsi="Times New Roman"/>
                <w:i/>
                <w:sz w:val="22"/>
                <w:szCs w:val="22"/>
              </w:rPr>
              <w:t>Avots: PMLP</w:t>
            </w:r>
          </w:p>
        </w:tc>
      </w:tr>
    </w:tbl>
    <w:p w:rsidR="009B10A4" w:rsidRPr="00966703" w:rsidRDefault="009B10A4" w:rsidP="00F443DB">
      <w:pPr>
        <w:spacing w:after="120" w:line="240" w:lineRule="auto"/>
        <w:jc w:val="both"/>
        <w:rPr>
          <w:rFonts w:ascii="Times New Roman" w:hAnsi="Times New Roman"/>
          <w:sz w:val="26"/>
          <w:szCs w:val="26"/>
          <w:highlight w:val="yellow"/>
        </w:rPr>
      </w:pPr>
    </w:p>
    <w:p w:rsidR="00E40B1C" w:rsidRDefault="00E40B1C" w:rsidP="00F443DB">
      <w:pPr>
        <w:spacing w:after="120" w:line="240" w:lineRule="auto"/>
        <w:jc w:val="center"/>
        <w:rPr>
          <w:rFonts w:ascii="Times New Roman" w:hAnsi="Times New Roman"/>
          <w:sz w:val="26"/>
          <w:szCs w:val="26"/>
        </w:rPr>
      </w:pPr>
    </w:p>
    <w:p w:rsidR="009B10A4" w:rsidRPr="00547B7A" w:rsidRDefault="009B10A4" w:rsidP="00F443DB">
      <w:pPr>
        <w:spacing w:after="120" w:line="240" w:lineRule="auto"/>
        <w:ind w:firstLine="426"/>
        <w:jc w:val="both"/>
        <w:rPr>
          <w:rFonts w:ascii="Times New Roman" w:hAnsi="Times New Roman"/>
          <w:sz w:val="26"/>
          <w:szCs w:val="26"/>
        </w:rPr>
      </w:pPr>
      <w:r w:rsidRPr="00547B7A">
        <w:rPr>
          <w:rFonts w:ascii="Times New Roman" w:hAnsi="Times New Roman"/>
          <w:sz w:val="26"/>
          <w:szCs w:val="26"/>
        </w:rPr>
        <w:t xml:space="preserve">Bez ieguldījumiem kredītiestāžu </w:t>
      </w:r>
      <w:r w:rsidR="00544584">
        <w:rPr>
          <w:rFonts w:ascii="Times New Roman" w:hAnsi="Times New Roman"/>
          <w:sz w:val="26"/>
          <w:szCs w:val="26"/>
        </w:rPr>
        <w:t>pakārtotajās saistībās</w:t>
      </w:r>
      <w:r w:rsidRPr="00547B7A">
        <w:rPr>
          <w:rFonts w:ascii="Times New Roman" w:hAnsi="Times New Roman"/>
          <w:sz w:val="26"/>
          <w:szCs w:val="26"/>
        </w:rPr>
        <w:t>, arī daļa no šiem nerezidentiem</w:t>
      </w:r>
      <w:r w:rsidR="004309B1" w:rsidRPr="00547B7A">
        <w:rPr>
          <w:rFonts w:ascii="Times New Roman" w:hAnsi="Times New Roman"/>
          <w:sz w:val="26"/>
          <w:szCs w:val="26"/>
        </w:rPr>
        <w:t xml:space="preserve"> vai viņu ģimenes locekļiem</w:t>
      </w:r>
      <w:r w:rsidRPr="00547B7A">
        <w:rPr>
          <w:rFonts w:ascii="Times New Roman" w:hAnsi="Times New Roman"/>
          <w:sz w:val="26"/>
          <w:szCs w:val="26"/>
        </w:rPr>
        <w:t xml:space="preserve">, kas saņēmuši TUA Latvijā, ir iesaistījušies saimnieciskajā </w:t>
      </w:r>
      <w:r w:rsidRPr="00A201BB">
        <w:rPr>
          <w:rFonts w:ascii="Times New Roman" w:hAnsi="Times New Roman"/>
          <w:sz w:val="26"/>
          <w:szCs w:val="26"/>
        </w:rPr>
        <w:t xml:space="preserve">darbībā – tie ieņem kādu amatu </w:t>
      </w:r>
      <w:r w:rsidR="004309B1" w:rsidRPr="00A201BB">
        <w:rPr>
          <w:rFonts w:ascii="Times New Roman" w:hAnsi="Times New Roman"/>
          <w:sz w:val="26"/>
          <w:szCs w:val="26"/>
        </w:rPr>
        <w:t>24</w:t>
      </w:r>
      <w:r w:rsidR="00547B7A" w:rsidRPr="00A201BB">
        <w:rPr>
          <w:rFonts w:ascii="Times New Roman" w:hAnsi="Times New Roman"/>
          <w:sz w:val="26"/>
          <w:szCs w:val="26"/>
        </w:rPr>
        <w:t xml:space="preserve"> Latvijā reģistrētās kapitālsabiedrībās</w:t>
      </w:r>
      <w:r w:rsidR="004309B1" w:rsidRPr="00A201BB">
        <w:rPr>
          <w:rFonts w:ascii="Times New Roman" w:hAnsi="Times New Roman"/>
          <w:sz w:val="26"/>
          <w:szCs w:val="26"/>
        </w:rPr>
        <w:br/>
        <w:t>un tiem pieder kapitāla daļas 32</w:t>
      </w:r>
      <w:r w:rsidRPr="00A201BB">
        <w:rPr>
          <w:rFonts w:ascii="Times New Roman" w:hAnsi="Times New Roman"/>
          <w:sz w:val="26"/>
          <w:szCs w:val="26"/>
        </w:rPr>
        <w:t xml:space="preserve"> Latvijā reģistrētās kapitālsabiedrībās</w:t>
      </w:r>
      <w:r w:rsidRPr="00547B7A">
        <w:rPr>
          <w:rFonts w:ascii="Times New Roman" w:hAnsi="Times New Roman"/>
          <w:sz w:val="26"/>
          <w:szCs w:val="26"/>
        </w:rPr>
        <w:t>.</w:t>
      </w:r>
    </w:p>
    <w:p w:rsidR="009B10A4" w:rsidRPr="008D0A06" w:rsidRDefault="009B10A4" w:rsidP="00F443DB">
      <w:pPr>
        <w:spacing w:after="120" w:line="240" w:lineRule="auto"/>
        <w:ind w:firstLine="426"/>
        <w:jc w:val="both"/>
        <w:rPr>
          <w:rFonts w:ascii="Times New Roman" w:hAnsi="Times New Roman"/>
          <w:color w:val="C00000"/>
          <w:sz w:val="26"/>
          <w:szCs w:val="26"/>
          <w:highlight w:val="yellow"/>
        </w:rPr>
      </w:pPr>
    </w:p>
    <w:p w:rsidR="00D64C3A" w:rsidRDefault="00D64C3A" w:rsidP="00F443DB">
      <w:pPr>
        <w:keepNext/>
        <w:spacing w:after="120" w:line="240" w:lineRule="auto"/>
        <w:jc w:val="right"/>
        <w:rPr>
          <w:rFonts w:ascii="Times New Roman" w:hAnsi="Times New Roman"/>
          <w:color w:val="C00000"/>
          <w:sz w:val="26"/>
          <w:szCs w:val="26"/>
          <w:highlight w:val="yellow"/>
        </w:rPr>
      </w:pPr>
    </w:p>
    <w:p w:rsidR="00D64C3A" w:rsidRDefault="00660830" w:rsidP="00F443DB">
      <w:pPr>
        <w:keepNext/>
        <w:spacing w:after="120" w:line="240" w:lineRule="auto"/>
        <w:jc w:val="right"/>
        <w:rPr>
          <w:rFonts w:ascii="Times New Roman" w:hAnsi="Times New Roman"/>
          <w:sz w:val="26"/>
          <w:szCs w:val="26"/>
        </w:rPr>
      </w:pPr>
      <w:r>
        <w:rPr>
          <w:rFonts w:ascii="Times New Roman" w:hAnsi="Times New Roman"/>
          <w:sz w:val="26"/>
          <w:szCs w:val="26"/>
        </w:rPr>
        <w:t>10</w:t>
      </w:r>
      <w:r w:rsidR="00D64C3A" w:rsidRPr="00C0414F">
        <w:rPr>
          <w:rFonts w:ascii="Times New Roman" w:hAnsi="Times New Roman"/>
          <w:sz w:val="26"/>
          <w:szCs w:val="26"/>
        </w:rPr>
        <w:t>.attēls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4748"/>
      </w:tblGrid>
      <w:tr w:rsidR="00D64C3A" w:rsidTr="00873031">
        <w:tc>
          <w:tcPr>
            <w:tcW w:w="9571" w:type="dxa"/>
            <w:gridSpan w:val="2"/>
          </w:tcPr>
          <w:p w:rsidR="00D64C3A" w:rsidRDefault="00D64C3A" w:rsidP="00F443DB">
            <w:pPr>
              <w:keepNext/>
              <w:spacing w:after="120" w:line="240" w:lineRule="auto"/>
              <w:jc w:val="center"/>
              <w:rPr>
                <w:rFonts w:ascii="Times New Roman" w:hAnsi="Times New Roman"/>
                <w:b/>
                <w:sz w:val="24"/>
                <w:szCs w:val="24"/>
              </w:rPr>
            </w:pPr>
            <w:r>
              <w:rPr>
                <w:rFonts w:ascii="Times New Roman" w:hAnsi="Times New Roman"/>
                <w:b/>
                <w:sz w:val="24"/>
                <w:szCs w:val="24"/>
              </w:rPr>
              <w:t>Uz TUA iesniedzējiem – ieguldītājiem k</w:t>
            </w:r>
            <w:r w:rsidRPr="00D64C3A">
              <w:rPr>
                <w:rFonts w:ascii="Times New Roman" w:hAnsi="Times New Roman"/>
                <w:b/>
                <w:sz w:val="24"/>
                <w:szCs w:val="24"/>
              </w:rPr>
              <w:t xml:space="preserve">redītiestāžu </w:t>
            </w:r>
            <w:r w:rsidR="00544584">
              <w:rPr>
                <w:rFonts w:ascii="Times New Roman" w:hAnsi="Times New Roman"/>
                <w:b/>
                <w:sz w:val="24"/>
                <w:szCs w:val="24"/>
              </w:rPr>
              <w:t>pakārtotajās saistībās</w:t>
            </w:r>
            <w:r>
              <w:rPr>
                <w:rFonts w:ascii="Times New Roman" w:hAnsi="Times New Roman"/>
                <w:b/>
                <w:sz w:val="24"/>
                <w:szCs w:val="24"/>
              </w:rPr>
              <w:t xml:space="preserve"> attiecināmo (pieder daļas)</w:t>
            </w:r>
          </w:p>
        </w:tc>
      </w:tr>
      <w:tr w:rsidR="00D64C3A" w:rsidTr="00873031">
        <w:tc>
          <w:tcPr>
            <w:tcW w:w="4785" w:type="dxa"/>
          </w:tcPr>
          <w:p w:rsidR="00D64C3A" w:rsidRDefault="00D64C3A" w:rsidP="00F443DB">
            <w:pPr>
              <w:keepNext/>
              <w:spacing w:after="120" w:line="240" w:lineRule="auto"/>
              <w:jc w:val="center"/>
              <w:rPr>
                <w:rFonts w:ascii="Times New Roman" w:hAnsi="Times New Roman"/>
                <w:b/>
                <w:sz w:val="24"/>
                <w:szCs w:val="24"/>
              </w:rPr>
            </w:pPr>
            <w:r>
              <w:rPr>
                <w:rFonts w:ascii="Times New Roman" w:hAnsi="Times New Roman"/>
                <w:b/>
                <w:sz w:val="24"/>
                <w:szCs w:val="24"/>
              </w:rPr>
              <w:t>kapitālsabiedrību sadalījums pēc to dibināšanas gada</w:t>
            </w:r>
          </w:p>
          <w:p w:rsidR="00D64C3A" w:rsidRDefault="00D64C3A" w:rsidP="00F443DB">
            <w:pPr>
              <w:keepNext/>
              <w:spacing w:after="120" w:line="240" w:lineRule="auto"/>
              <w:jc w:val="right"/>
              <w:rPr>
                <w:rFonts w:ascii="Times New Roman" w:hAnsi="Times New Roman"/>
                <w:sz w:val="26"/>
                <w:szCs w:val="26"/>
              </w:rPr>
            </w:pPr>
            <w:r>
              <w:rPr>
                <w:rFonts w:ascii="Times New Roman" w:hAnsi="Times New Roman"/>
                <w:noProof/>
                <w:sz w:val="26"/>
                <w:szCs w:val="26"/>
                <w:lang w:eastAsia="lv-LV"/>
              </w:rPr>
              <w:drawing>
                <wp:inline distT="0" distB="0" distL="0" distR="0">
                  <wp:extent cx="2619375" cy="2152650"/>
                  <wp:effectExtent l="0" t="0" r="0"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64C3A" w:rsidRDefault="00D64C3A" w:rsidP="00F443DB">
            <w:pPr>
              <w:keepNext/>
              <w:spacing w:after="120" w:line="240" w:lineRule="auto"/>
              <w:rPr>
                <w:rFonts w:ascii="Times New Roman" w:hAnsi="Times New Roman"/>
                <w:i/>
                <w:sz w:val="26"/>
                <w:szCs w:val="26"/>
              </w:rPr>
            </w:pPr>
          </w:p>
          <w:p w:rsidR="00D64C3A" w:rsidRPr="00CC533C" w:rsidRDefault="00D64C3A" w:rsidP="00F443DB">
            <w:pPr>
              <w:keepNext/>
              <w:spacing w:after="120" w:line="240" w:lineRule="auto"/>
              <w:rPr>
                <w:rFonts w:ascii="Times New Roman" w:hAnsi="Times New Roman"/>
                <w:sz w:val="22"/>
                <w:szCs w:val="22"/>
              </w:rPr>
            </w:pPr>
            <w:r w:rsidRPr="00CC533C">
              <w:rPr>
                <w:rFonts w:ascii="Times New Roman" w:hAnsi="Times New Roman"/>
                <w:i/>
                <w:sz w:val="22"/>
                <w:szCs w:val="22"/>
              </w:rPr>
              <w:t>Avots: Lursoft</w:t>
            </w:r>
          </w:p>
        </w:tc>
        <w:tc>
          <w:tcPr>
            <w:tcW w:w="4786" w:type="dxa"/>
          </w:tcPr>
          <w:p w:rsidR="00D64C3A" w:rsidRDefault="00D64C3A" w:rsidP="00F443DB">
            <w:pPr>
              <w:keepNext/>
              <w:spacing w:after="120" w:line="240" w:lineRule="auto"/>
              <w:jc w:val="center"/>
              <w:rPr>
                <w:rFonts w:ascii="Times New Roman" w:hAnsi="Times New Roman"/>
                <w:b/>
                <w:sz w:val="24"/>
                <w:szCs w:val="24"/>
              </w:rPr>
            </w:pPr>
            <w:r>
              <w:rPr>
                <w:rFonts w:ascii="Times New Roman" w:hAnsi="Times New Roman"/>
                <w:b/>
                <w:sz w:val="24"/>
                <w:szCs w:val="24"/>
              </w:rPr>
              <w:t>kapitālsabiedrību sadalījums</w:t>
            </w:r>
            <w:r w:rsidRPr="00874066">
              <w:rPr>
                <w:rFonts w:ascii="Times New Roman" w:hAnsi="Times New Roman"/>
                <w:b/>
                <w:sz w:val="24"/>
                <w:szCs w:val="24"/>
              </w:rPr>
              <w:t xml:space="preserve"> pēc </w:t>
            </w:r>
            <w:r>
              <w:rPr>
                <w:rFonts w:ascii="Times New Roman" w:hAnsi="Times New Roman"/>
                <w:b/>
                <w:sz w:val="24"/>
                <w:szCs w:val="24"/>
              </w:rPr>
              <w:t>darbības jomas</w:t>
            </w:r>
            <w:r w:rsidRPr="00874066">
              <w:rPr>
                <w:rFonts w:ascii="Times New Roman" w:hAnsi="Times New Roman"/>
                <w:b/>
                <w:sz w:val="24"/>
                <w:szCs w:val="24"/>
              </w:rPr>
              <w:t xml:space="preserve"> </w:t>
            </w:r>
          </w:p>
          <w:p w:rsidR="00D64C3A" w:rsidRDefault="00D64C3A" w:rsidP="00F443DB">
            <w:pPr>
              <w:keepNext/>
              <w:spacing w:after="120" w:line="240" w:lineRule="auto"/>
              <w:jc w:val="center"/>
              <w:rPr>
                <w:rFonts w:ascii="Times New Roman" w:hAnsi="Times New Roman"/>
                <w:b/>
                <w:sz w:val="24"/>
                <w:szCs w:val="24"/>
              </w:rPr>
            </w:pPr>
            <w:r>
              <w:rPr>
                <w:rFonts w:ascii="Times New Roman" w:hAnsi="Times New Roman"/>
                <w:noProof/>
                <w:sz w:val="26"/>
                <w:szCs w:val="26"/>
                <w:lang w:eastAsia="lv-LV"/>
              </w:rPr>
              <w:drawing>
                <wp:inline distT="0" distB="0" distL="0" distR="0">
                  <wp:extent cx="2724150" cy="2152650"/>
                  <wp:effectExtent l="0" t="0" r="0"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64C3A" w:rsidRDefault="00D64C3A" w:rsidP="00F443DB">
            <w:pPr>
              <w:keepNext/>
              <w:spacing w:after="120" w:line="240" w:lineRule="auto"/>
              <w:rPr>
                <w:rFonts w:ascii="Times New Roman" w:hAnsi="Times New Roman"/>
                <w:i/>
                <w:sz w:val="26"/>
                <w:szCs w:val="26"/>
              </w:rPr>
            </w:pPr>
          </w:p>
          <w:p w:rsidR="00D64C3A" w:rsidRDefault="00D64C3A" w:rsidP="00F443DB">
            <w:pPr>
              <w:keepNext/>
              <w:spacing w:after="120" w:line="240" w:lineRule="auto"/>
              <w:rPr>
                <w:rFonts w:ascii="Times New Roman" w:hAnsi="Times New Roman"/>
                <w:sz w:val="26"/>
                <w:szCs w:val="26"/>
              </w:rPr>
            </w:pPr>
            <w:r w:rsidRPr="00CC533C">
              <w:rPr>
                <w:rFonts w:ascii="Times New Roman" w:hAnsi="Times New Roman"/>
                <w:i/>
                <w:sz w:val="22"/>
                <w:szCs w:val="22"/>
              </w:rPr>
              <w:t>Avots: Lursoft</w:t>
            </w:r>
            <w:r>
              <w:rPr>
                <w:rFonts w:ascii="Times New Roman" w:hAnsi="Times New Roman"/>
                <w:sz w:val="26"/>
                <w:szCs w:val="26"/>
              </w:rPr>
              <w:t xml:space="preserve"> </w:t>
            </w:r>
          </w:p>
        </w:tc>
      </w:tr>
    </w:tbl>
    <w:p w:rsidR="00D64C3A" w:rsidRDefault="00D64C3A" w:rsidP="00F443DB">
      <w:pPr>
        <w:spacing w:after="120" w:line="240" w:lineRule="auto"/>
        <w:ind w:firstLine="426"/>
        <w:jc w:val="both"/>
        <w:rPr>
          <w:rFonts w:ascii="Times New Roman" w:hAnsi="Times New Roman"/>
          <w:sz w:val="26"/>
          <w:szCs w:val="26"/>
        </w:rPr>
      </w:pPr>
    </w:p>
    <w:p w:rsidR="009B10A4" w:rsidRPr="00547B7A" w:rsidRDefault="00380F71" w:rsidP="00F443DB">
      <w:pPr>
        <w:spacing w:after="120" w:line="240" w:lineRule="auto"/>
        <w:ind w:firstLine="426"/>
        <w:jc w:val="both"/>
        <w:rPr>
          <w:rFonts w:ascii="Times New Roman" w:hAnsi="Times New Roman"/>
          <w:sz w:val="26"/>
          <w:szCs w:val="26"/>
        </w:rPr>
      </w:pPr>
      <w:r>
        <w:rPr>
          <w:rFonts w:ascii="Times New Roman" w:hAnsi="Times New Roman"/>
          <w:sz w:val="26"/>
          <w:szCs w:val="26"/>
        </w:rPr>
        <w:t xml:space="preserve">Šo </w:t>
      </w:r>
      <w:r w:rsidR="009B10A4" w:rsidRPr="00547B7A">
        <w:rPr>
          <w:rFonts w:ascii="Times New Roman" w:hAnsi="Times New Roman"/>
          <w:sz w:val="26"/>
          <w:szCs w:val="26"/>
        </w:rPr>
        <w:t>ka</w:t>
      </w:r>
      <w:r w:rsidR="00547B7A" w:rsidRPr="00547B7A">
        <w:rPr>
          <w:rFonts w:ascii="Times New Roman" w:hAnsi="Times New Roman"/>
          <w:sz w:val="26"/>
          <w:szCs w:val="26"/>
        </w:rPr>
        <w:t>pitālsabiedrību</w:t>
      </w:r>
      <w:r w:rsidR="001B0886">
        <w:rPr>
          <w:rFonts w:ascii="Times New Roman" w:hAnsi="Times New Roman"/>
          <w:sz w:val="26"/>
          <w:szCs w:val="26"/>
        </w:rPr>
        <w:t xml:space="preserve">, kurās </w:t>
      </w:r>
      <w:r w:rsidR="001B0886" w:rsidRPr="00C9363E">
        <w:rPr>
          <w:rFonts w:ascii="Times New Roman" w:hAnsi="Times New Roman"/>
          <w:sz w:val="26"/>
          <w:szCs w:val="26"/>
        </w:rPr>
        <w:t xml:space="preserve">TUA iesniedzējiem </w:t>
      </w:r>
      <w:r w:rsidR="001B0886">
        <w:rPr>
          <w:rFonts w:ascii="Times New Roman" w:hAnsi="Times New Roman"/>
          <w:sz w:val="26"/>
          <w:szCs w:val="26"/>
        </w:rPr>
        <w:t>vai viņu ģimenes locekļiem</w:t>
      </w:r>
      <w:r w:rsidR="001B0886" w:rsidRPr="00C9363E">
        <w:rPr>
          <w:rFonts w:ascii="Times New Roman" w:hAnsi="Times New Roman"/>
          <w:sz w:val="26"/>
          <w:szCs w:val="26"/>
        </w:rPr>
        <w:t xml:space="preserve"> </w:t>
      </w:r>
      <w:r w:rsidR="001B0886">
        <w:rPr>
          <w:rFonts w:ascii="Times New Roman" w:hAnsi="Times New Roman"/>
          <w:sz w:val="26"/>
          <w:szCs w:val="26"/>
        </w:rPr>
        <w:t>pieder daļas,</w:t>
      </w:r>
      <w:r w:rsidR="00547B7A" w:rsidRPr="00547B7A">
        <w:rPr>
          <w:rFonts w:ascii="Times New Roman" w:hAnsi="Times New Roman"/>
          <w:sz w:val="26"/>
          <w:szCs w:val="26"/>
        </w:rPr>
        <w:t xml:space="preserve"> apgrozījums 2013</w:t>
      </w:r>
      <w:r w:rsidR="009B10A4" w:rsidRPr="00547B7A">
        <w:rPr>
          <w:rFonts w:ascii="Times New Roman" w:hAnsi="Times New Roman"/>
          <w:sz w:val="26"/>
          <w:szCs w:val="26"/>
        </w:rPr>
        <w:t xml:space="preserve">.gadā </w:t>
      </w:r>
      <w:r w:rsidR="00547B7A" w:rsidRPr="00547B7A">
        <w:rPr>
          <w:rFonts w:ascii="Times New Roman" w:hAnsi="Times New Roman"/>
          <w:sz w:val="26"/>
          <w:szCs w:val="26"/>
        </w:rPr>
        <w:t xml:space="preserve">sasniedza 3 milj. </w:t>
      </w:r>
      <w:r w:rsidR="00547B7A" w:rsidRPr="00544584">
        <w:rPr>
          <w:rFonts w:ascii="Times New Roman" w:hAnsi="Times New Roman"/>
          <w:i/>
          <w:sz w:val="26"/>
          <w:szCs w:val="26"/>
        </w:rPr>
        <w:t>euro</w:t>
      </w:r>
      <w:r w:rsidR="00547B7A" w:rsidRPr="00547B7A">
        <w:rPr>
          <w:rFonts w:ascii="Times New Roman" w:hAnsi="Times New Roman"/>
          <w:sz w:val="26"/>
          <w:szCs w:val="26"/>
        </w:rPr>
        <w:t xml:space="preserve"> un tajās tika nodarbināti 65</w:t>
      </w:r>
      <w:r w:rsidR="009B10A4" w:rsidRPr="00547B7A">
        <w:rPr>
          <w:rFonts w:ascii="Times New Roman" w:hAnsi="Times New Roman"/>
          <w:sz w:val="26"/>
          <w:szCs w:val="26"/>
        </w:rPr>
        <w:t xml:space="preserve"> darbinieki</w:t>
      </w:r>
      <w:r w:rsidR="00FB052F">
        <w:rPr>
          <w:rStyle w:val="FootnoteReference"/>
          <w:rFonts w:ascii="Times New Roman" w:hAnsi="Times New Roman"/>
          <w:sz w:val="26"/>
          <w:szCs w:val="26"/>
        </w:rPr>
        <w:footnoteReference w:id="13"/>
      </w:r>
      <w:r w:rsidR="00FB052F" w:rsidRPr="00547B7A">
        <w:rPr>
          <w:rFonts w:ascii="Times New Roman" w:hAnsi="Times New Roman"/>
          <w:sz w:val="26"/>
          <w:szCs w:val="26"/>
        </w:rPr>
        <w:t>.</w:t>
      </w:r>
      <w:r w:rsidR="009B10A4" w:rsidRPr="00547B7A">
        <w:rPr>
          <w:rFonts w:ascii="Times New Roman" w:hAnsi="Times New Roman"/>
          <w:sz w:val="26"/>
          <w:szCs w:val="26"/>
        </w:rPr>
        <w:t xml:space="preserve"> </w:t>
      </w:r>
      <w:r w:rsidR="00336B6D">
        <w:rPr>
          <w:rFonts w:ascii="Times New Roman" w:hAnsi="Times New Roman"/>
          <w:sz w:val="26"/>
          <w:szCs w:val="26"/>
        </w:rPr>
        <w:t>Saskaņā ar LU</w:t>
      </w:r>
      <w:r w:rsidR="000A2105">
        <w:rPr>
          <w:rFonts w:ascii="Times New Roman" w:hAnsi="Times New Roman"/>
          <w:sz w:val="26"/>
          <w:szCs w:val="26"/>
        </w:rPr>
        <w:t>R</w:t>
      </w:r>
      <w:r w:rsidR="00336B6D">
        <w:rPr>
          <w:rFonts w:ascii="Times New Roman" w:hAnsi="Times New Roman"/>
          <w:sz w:val="26"/>
          <w:szCs w:val="26"/>
        </w:rPr>
        <w:t xml:space="preserve">SOFT </w:t>
      </w:r>
      <w:r w:rsidR="00FB052F">
        <w:rPr>
          <w:rFonts w:ascii="Times New Roman" w:hAnsi="Times New Roman"/>
          <w:sz w:val="26"/>
          <w:szCs w:val="26"/>
        </w:rPr>
        <w:t>datiem, n</w:t>
      </w:r>
      <w:r w:rsidR="008B5698">
        <w:rPr>
          <w:rFonts w:ascii="Times New Roman" w:hAnsi="Times New Roman"/>
          <w:sz w:val="26"/>
          <w:szCs w:val="26"/>
        </w:rPr>
        <w:t>o tām ar pelņu</w:t>
      </w:r>
      <w:r w:rsidR="008B5698" w:rsidRPr="008B5698">
        <w:rPr>
          <w:rFonts w:ascii="Times New Roman" w:hAnsi="Times New Roman"/>
          <w:sz w:val="26"/>
          <w:szCs w:val="26"/>
        </w:rPr>
        <w:t xml:space="preserve"> </w:t>
      </w:r>
      <w:r w:rsidR="008B5698">
        <w:rPr>
          <w:rFonts w:ascii="Times New Roman" w:hAnsi="Times New Roman"/>
          <w:sz w:val="26"/>
          <w:szCs w:val="26"/>
        </w:rPr>
        <w:t xml:space="preserve">2013.gadu noslēgušas 5 </w:t>
      </w:r>
      <w:r w:rsidR="008B5698" w:rsidRPr="00547B7A">
        <w:rPr>
          <w:rFonts w:ascii="Times New Roman" w:hAnsi="Times New Roman"/>
          <w:sz w:val="26"/>
          <w:szCs w:val="26"/>
        </w:rPr>
        <w:t>kapitālsabiedrībās</w:t>
      </w:r>
      <w:r w:rsidR="008B5698">
        <w:rPr>
          <w:rFonts w:ascii="Times New Roman" w:hAnsi="Times New Roman"/>
          <w:sz w:val="26"/>
          <w:szCs w:val="26"/>
        </w:rPr>
        <w:t xml:space="preserve">, bet ar zaudējumiem – 18. </w:t>
      </w:r>
      <w:r w:rsidR="009B10A4" w:rsidRPr="00547B7A">
        <w:rPr>
          <w:rFonts w:ascii="Times New Roman" w:hAnsi="Times New Roman"/>
          <w:sz w:val="26"/>
          <w:szCs w:val="26"/>
        </w:rPr>
        <w:t xml:space="preserve">Lielāko daļu no visa apgrozījuma un darba vietām veidoja </w:t>
      </w:r>
      <w:r w:rsidR="00547B7A" w:rsidRPr="00547B7A">
        <w:rPr>
          <w:rFonts w:ascii="Times New Roman" w:hAnsi="Times New Roman"/>
          <w:sz w:val="26"/>
          <w:szCs w:val="26"/>
        </w:rPr>
        <w:t>komercpakalpojumu,</w:t>
      </w:r>
      <w:r w:rsidR="009B10A4" w:rsidRPr="00547B7A">
        <w:rPr>
          <w:rFonts w:ascii="Times New Roman" w:hAnsi="Times New Roman"/>
          <w:sz w:val="26"/>
          <w:szCs w:val="26"/>
        </w:rPr>
        <w:t xml:space="preserve"> kā arī operācijas ar nekustamo īpašumu nozares kapitālsabiedrības</w:t>
      </w:r>
      <w:r w:rsidR="00FB052F">
        <w:rPr>
          <w:rFonts w:ascii="Times New Roman" w:hAnsi="Times New Roman"/>
          <w:sz w:val="26"/>
          <w:szCs w:val="26"/>
        </w:rPr>
        <w:t>.</w:t>
      </w:r>
      <w:r w:rsidR="008B5698" w:rsidRPr="008B5698">
        <w:rPr>
          <w:rFonts w:ascii="Times New Roman" w:hAnsi="Times New Roman"/>
          <w:sz w:val="26"/>
          <w:szCs w:val="26"/>
        </w:rPr>
        <w:t xml:space="preserve"> </w:t>
      </w:r>
    </w:p>
    <w:p w:rsidR="00A27F81" w:rsidRPr="00A27F81" w:rsidRDefault="00A27F81" w:rsidP="00F443DB">
      <w:pPr>
        <w:spacing w:after="120" w:line="240" w:lineRule="auto"/>
        <w:ind w:firstLine="426"/>
        <w:jc w:val="both"/>
        <w:rPr>
          <w:rFonts w:ascii="Times New Roman" w:hAnsi="Times New Roman"/>
          <w:sz w:val="26"/>
          <w:szCs w:val="26"/>
        </w:rPr>
      </w:pPr>
      <w:r w:rsidRPr="00A27F81">
        <w:rPr>
          <w:rFonts w:ascii="Times New Roman" w:hAnsi="Times New Roman"/>
          <w:sz w:val="26"/>
          <w:szCs w:val="26"/>
        </w:rPr>
        <w:t xml:space="preserve">Pārskata periodā izmaiņas veiktas arī tajā Imigrācijas likuma pantā, kas regulē TUA izsniegšanu ieguldītājiem kredītiestādēs, nosakot, ka papildus valsts nodevām, kādas persona maksā par TUA pieprasīšanu, tai jāveic vienreizēja un neatmaksājama iemaksa valsts budžetā 25 000 </w:t>
      </w:r>
      <w:r w:rsidRPr="00A27F81">
        <w:rPr>
          <w:rFonts w:ascii="Times New Roman" w:hAnsi="Times New Roman"/>
          <w:i/>
          <w:sz w:val="26"/>
          <w:szCs w:val="26"/>
        </w:rPr>
        <w:t>euro</w:t>
      </w:r>
      <w:r w:rsidRPr="00A27F81">
        <w:rPr>
          <w:rFonts w:ascii="Times New Roman" w:hAnsi="Times New Roman"/>
          <w:sz w:val="26"/>
          <w:szCs w:val="26"/>
        </w:rPr>
        <w:t xml:space="preserve"> apmērā. </w:t>
      </w:r>
      <w:r w:rsidR="00BC6E31">
        <w:rPr>
          <w:rFonts w:ascii="Times New Roman" w:hAnsi="Times New Roman"/>
          <w:sz w:val="26"/>
          <w:szCs w:val="26"/>
        </w:rPr>
        <w:t>J</w:t>
      </w:r>
      <w:r w:rsidRPr="00A27F81">
        <w:rPr>
          <w:rFonts w:ascii="Times New Roman" w:hAnsi="Times New Roman"/>
          <w:sz w:val="26"/>
          <w:szCs w:val="26"/>
        </w:rPr>
        <w:t xml:space="preserve">aunā regulējuma ietekmē TUA pieprasītāju skaits saskaņā ar šo Imigrācijas likuma normu </w:t>
      </w:r>
      <w:r w:rsidR="00BC6E31">
        <w:rPr>
          <w:rFonts w:ascii="Times New Roman" w:hAnsi="Times New Roman"/>
          <w:sz w:val="26"/>
          <w:szCs w:val="26"/>
        </w:rPr>
        <w:t xml:space="preserve">nākotnē </w:t>
      </w:r>
      <w:r w:rsidRPr="00A27F81">
        <w:rPr>
          <w:rFonts w:ascii="Times New Roman" w:hAnsi="Times New Roman"/>
          <w:sz w:val="26"/>
          <w:szCs w:val="26"/>
        </w:rPr>
        <w:t xml:space="preserve">varētu samazināties. </w:t>
      </w:r>
    </w:p>
    <w:p w:rsidR="009B10A4" w:rsidRPr="00A27F81" w:rsidRDefault="009B10A4" w:rsidP="00F443DB">
      <w:pPr>
        <w:spacing w:after="120" w:line="240" w:lineRule="auto"/>
      </w:pPr>
    </w:p>
    <w:p w:rsidR="009B10A4" w:rsidRPr="0093149F" w:rsidRDefault="009B10A4" w:rsidP="00F443DB">
      <w:pPr>
        <w:pStyle w:val="Heading1"/>
        <w:spacing w:before="0" w:after="120" w:line="240" w:lineRule="auto"/>
        <w:rPr>
          <w:rFonts w:ascii="Times New Roman" w:hAnsi="Times New Roman"/>
          <w:color w:val="auto"/>
        </w:rPr>
      </w:pPr>
      <w:bookmarkStart w:id="22" w:name="_Toc398179985"/>
      <w:r w:rsidRPr="0093149F">
        <w:rPr>
          <w:rFonts w:ascii="Times New Roman" w:hAnsi="Times New Roman"/>
          <w:color w:val="auto"/>
        </w:rPr>
        <w:t>6. Ieguldījumi kapitālsabiedrību pamatkapitālā un valdes locekļi</w:t>
      </w:r>
      <w:bookmarkEnd w:id="22"/>
    </w:p>
    <w:p w:rsidR="009B10A4" w:rsidRPr="00612092" w:rsidRDefault="009B10A4" w:rsidP="00F443DB">
      <w:pPr>
        <w:spacing w:after="120" w:line="240" w:lineRule="auto"/>
        <w:ind w:firstLine="426"/>
        <w:jc w:val="both"/>
        <w:rPr>
          <w:rFonts w:ascii="Times New Roman" w:hAnsi="Times New Roman"/>
          <w:sz w:val="26"/>
          <w:szCs w:val="26"/>
        </w:rPr>
      </w:pPr>
      <w:r w:rsidRPr="0093149F">
        <w:rPr>
          <w:rFonts w:ascii="Times New Roman" w:hAnsi="Times New Roman"/>
          <w:sz w:val="26"/>
          <w:szCs w:val="26"/>
        </w:rPr>
        <w:t xml:space="preserve">Pretēji Imigrācijas likuma normām par nekustamā īpašuma iegādi un ieguldījumiem kredītiestāžu </w:t>
      </w:r>
      <w:r w:rsidR="00544584">
        <w:rPr>
          <w:rFonts w:ascii="Times New Roman" w:hAnsi="Times New Roman"/>
          <w:sz w:val="26"/>
          <w:szCs w:val="26"/>
        </w:rPr>
        <w:t>pakārtotajās saistībās</w:t>
      </w:r>
      <w:r w:rsidRPr="0093149F">
        <w:rPr>
          <w:rFonts w:ascii="Times New Roman" w:hAnsi="Times New Roman"/>
          <w:sz w:val="26"/>
          <w:szCs w:val="26"/>
        </w:rPr>
        <w:t xml:space="preserve">, ieguldījumi kapitālsabiedrību pamatkapitālā vai amatu ieņemšana tajās TUA saņemšanai tiek izmantoti retāk. Attiecīgās Imigrācijas likuma normas ietvaros kopš 2010.gada 1.jūlija kapitālsabiedrību pamatkapitālā veikti ieguldījumi </w:t>
      </w:r>
      <w:r w:rsidR="0093149F" w:rsidRPr="0093149F">
        <w:rPr>
          <w:rFonts w:ascii="Times New Roman" w:hAnsi="Times New Roman"/>
          <w:sz w:val="26"/>
          <w:szCs w:val="26"/>
        </w:rPr>
        <w:t xml:space="preserve">52,9 milj. </w:t>
      </w:r>
      <w:r w:rsidR="0093149F" w:rsidRPr="0093149F">
        <w:rPr>
          <w:rFonts w:ascii="Times New Roman" w:hAnsi="Times New Roman"/>
          <w:i/>
          <w:sz w:val="26"/>
          <w:szCs w:val="26"/>
        </w:rPr>
        <w:t>euro</w:t>
      </w:r>
      <w:r w:rsidRPr="0093149F">
        <w:rPr>
          <w:rFonts w:ascii="Times New Roman" w:hAnsi="Times New Roman"/>
          <w:sz w:val="26"/>
          <w:szCs w:val="26"/>
        </w:rPr>
        <w:t xml:space="preserve"> apmērā </w:t>
      </w:r>
      <w:r w:rsidR="0093149F" w:rsidRPr="0093149F">
        <w:rPr>
          <w:rFonts w:ascii="Times New Roman" w:hAnsi="Times New Roman"/>
          <w:sz w:val="26"/>
          <w:szCs w:val="26"/>
        </w:rPr>
        <w:t>330</w:t>
      </w:r>
      <w:r w:rsidRPr="0093149F">
        <w:rPr>
          <w:rFonts w:ascii="Times New Roman" w:hAnsi="Times New Roman"/>
          <w:sz w:val="26"/>
          <w:szCs w:val="26"/>
        </w:rPr>
        <w:t xml:space="preserve"> Latvijā</w:t>
      </w:r>
      <w:r w:rsidR="00F003ED">
        <w:rPr>
          <w:rFonts w:ascii="Times New Roman" w:hAnsi="Times New Roman"/>
          <w:sz w:val="26"/>
          <w:szCs w:val="26"/>
        </w:rPr>
        <w:t xml:space="preserve"> reģistrētās kapitālsabiedrībās</w:t>
      </w:r>
      <w:r w:rsidR="000557D8">
        <w:rPr>
          <w:rFonts w:ascii="Times New Roman" w:hAnsi="Times New Roman"/>
          <w:sz w:val="26"/>
          <w:szCs w:val="26"/>
        </w:rPr>
        <w:t xml:space="preserve">, kas ir tikai </w:t>
      </w:r>
      <w:r w:rsidR="000557D8">
        <w:rPr>
          <w:rFonts w:ascii="Times New Roman" w:hAnsi="Times New Roman"/>
          <w:sz w:val="26"/>
          <w:szCs w:val="26"/>
        </w:rPr>
        <w:lastRenderedPageBreak/>
        <w:t>5,2% no kopējām attiecinātajiem ieguldījumiem, lai arī 2013.gadā apjomi pieauga vairāk kā divas reizes salīdzinot ar 2012.gadu.</w:t>
      </w:r>
      <w:r w:rsidR="00F003ED" w:rsidRPr="00F003ED">
        <w:rPr>
          <w:rFonts w:ascii="Times New Roman" w:hAnsi="Times New Roman"/>
          <w:sz w:val="26"/>
          <w:szCs w:val="26"/>
          <w:lang w:eastAsia="lv-LV"/>
        </w:rPr>
        <w:t xml:space="preserve"> </w:t>
      </w:r>
      <w:bookmarkStart w:id="23" w:name="_Toc340050958"/>
      <w:r w:rsidRPr="0054015A">
        <w:rPr>
          <w:rFonts w:ascii="Times New Roman" w:hAnsi="Times New Roman"/>
          <w:sz w:val="26"/>
          <w:szCs w:val="26"/>
        </w:rPr>
        <w:t xml:space="preserve">Tāpēc TUA izsniegšanu pret ieguldījumiem kapitālsabiedrību pamatkapitālā pašlaik var vērtēt tikai kā vienu no stimuliem, kas </w:t>
      </w:r>
      <w:r w:rsidR="00E76245">
        <w:rPr>
          <w:rFonts w:ascii="Times New Roman" w:hAnsi="Times New Roman"/>
          <w:sz w:val="26"/>
          <w:szCs w:val="26"/>
        </w:rPr>
        <w:t>sniedz</w:t>
      </w:r>
      <w:r w:rsidRPr="0054015A">
        <w:rPr>
          <w:rFonts w:ascii="Times New Roman" w:hAnsi="Times New Roman"/>
          <w:sz w:val="26"/>
          <w:szCs w:val="26"/>
        </w:rPr>
        <w:t xml:space="preserve"> ieguldījumu ārvalstu investīciju piesaistei reālajā sektorā.</w:t>
      </w:r>
    </w:p>
    <w:p w:rsidR="00EF074B" w:rsidRDefault="009B10A4" w:rsidP="00F443DB">
      <w:pPr>
        <w:pStyle w:val="tv213"/>
        <w:spacing w:before="0" w:beforeAutospacing="0" w:after="120" w:afterAutospacing="0"/>
        <w:ind w:firstLine="426"/>
        <w:jc w:val="both"/>
        <w:rPr>
          <w:sz w:val="26"/>
          <w:szCs w:val="26"/>
        </w:rPr>
      </w:pPr>
      <w:r w:rsidRPr="00EF074B">
        <w:rPr>
          <w:sz w:val="26"/>
          <w:szCs w:val="26"/>
        </w:rPr>
        <w:t>Attiecīgā Imigrācijas likuma norma paredz, ka ārzemnieks ir tiesīgs pieprasīt TUA uz laiku, ja viņš veicis ieguldījumu esošas kapitālsabiedrības pamatkapitālā</w:t>
      </w:r>
      <w:r w:rsidR="00EF074B" w:rsidRPr="00EF074B">
        <w:rPr>
          <w:sz w:val="26"/>
          <w:szCs w:val="26"/>
        </w:rPr>
        <w:t>, to palielinot,</w:t>
      </w:r>
      <w:r w:rsidRPr="00EF074B">
        <w:rPr>
          <w:sz w:val="26"/>
          <w:szCs w:val="26"/>
        </w:rPr>
        <w:t xml:space="preserve"> vai veicis ieguldījumu jaundibinātas kapitālsabiedrības pamatkapitālā.</w:t>
      </w:r>
      <w:r w:rsidR="00EF074B">
        <w:rPr>
          <w:sz w:val="26"/>
          <w:szCs w:val="26"/>
        </w:rPr>
        <w:t xml:space="preserve">  Imigrācijas likums paredz vairākus ieguldījumu variantus – veikt ieguldījumu</w:t>
      </w:r>
      <w:r w:rsidRPr="00EF074B">
        <w:rPr>
          <w:sz w:val="26"/>
          <w:szCs w:val="26"/>
        </w:rPr>
        <w:t xml:space="preserve"> </w:t>
      </w:r>
      <w:r w:rsidR="00EF074B">
        <w:rPr>
          <w:sz w:val="26"/>
          <w:szCs w:val="26"/>
        </w:rPr>
        <w:t xml:space="preserve">35 </w:t>
      </w:r>
      <w:r w:rsidRPr="00EF074B">
        <w:rPr>
          <w:sz w:val="26"/>
          <w:szCs w:val="26"/>
        </w:rPr>
        <w:t xml:space="preserve">tūkstošu </w:t>
      </w:r>
      <w:r w:rsidR="00EF074B">
        <w:rPr>
          <w:i/>
          <w:sz w:val="26"/>
          <w:szCs w:val="26"/>
        </w:rPr>
        <w:t>euro</w:t>
      </w:r>
      <w:r w:rsidRPr="00EF074B">
        <w:rPr>
          <w:sz w:val="26"/>
          <w:szCs w:val="26"/>
        </w:rPr>
        <w:t xml:space="preserve"> apmērā </w:t>
      </w:r>
      <w:r w:rsidR="00EF074B">
        <w:rPr>
          <w:sz w:val="26"/>
          <w:szCs w:val="26"/>
        </w:rPr>
        <w:t xml:space="preserve">kapitālsabiedrībā, kura </w:t>
      </w:r>
      <w:r w:rsidRPr="00EF074B">
        <w:rPr>
          <w:sz w:val="26"/>
          <w:szCs w:val="26"/>
        </w:rPr>
        <w:t>nodarbina ne vairāk kā 50 darbiniekus,</w:t>
      </w:r>
      <w:r w:rsidR="00EF074B">
        <w:rPr>
          <w:sz w:val="26"/>
          <w:szCs w:val="26"/>
        </w:rPr>
        <w:t xml:space="preserve"> kuras</w:t>
      </w:r>
      <w:r w:rsidRPr="00EF074B">
        <w:rPr>
          <w:sz w:val="26"/>
          <w:szCs w:val="26"/>
        </w:rPr>
        <w:t xml:space="preserve"> gada apgrozījums vai gada bilance nepārsniedz </w:t>
      </w:r>
      <w:r w:rsidR="00EF074B">
        <w:rPr>
          <w:sz w:val="26"/>
          <w:szCs w:val="26"/>
        </w:rPr>
        <w:t xml:space="preserve">10 miljonus </w:t>
      </w:r>
      <w:r w:rsidR="00EF074B">
        <w:rPr>
          <w:i/>
          <w:sz w:val="26"/>
          <w:szCs w:val="26"/>
        </w:rPr>
        <w:t>euro</w:t>
      </w:r>
      <w:r w:rsidRPr="00EF074B">
        <w:rPr>
          <w:sz w:val="26"/>
          <w:szCs w:val="26"/>
        </w:rPr>
        <w:t xml:space="preserve"> un kura saimnieciskā gada laikā kopā valsts budžetā un pašvaldības budžetā nodokļos samaksā ne mazāk kā </w:t>
      </w:r>
      <w:r w:rsidR="00EF074B">
        <w:rPr>
          <w:sz w:val="26"/>
          <w:szCs w:val="26"/>
        </w:rPr>
        <w:t>4</w:t>
      </w:r>
      <w:r w:rsidRPr="00EF074B">
        <w:rPr>
          <w:sz w:val="26"/>
          <w:szCs w:val="26"/>
        </w:rPr>
        <w:t xml:space="preserve">0 tūkst. </w:t>
      </w:r>
      <w:r w:rsidR="00EF074B">
        <w:rPr>
          <w:i/>
          <w:sz w:val="26"/>
          <w:szCs w:val="26"/>
        </w:rPr>
        <w:t>euro</w:t>
      </w:r>
      <w:r w:rsidRPr="00EF074B">
        <w:rPr>
          <w:sz w:val="26"/>
          <w:szCs w:val="26"/>
        </w:rPr>
        <w:t>.</w:t>
      </w:r>
      <w:r w:rsidR="00EF074B">
        <w:rPr>
          <w:sz w:val="26"/>
          <w:szCs w:val="26"/>
        </w:rPr>
        <w:t xml:space="preserve"> No 2014.gada 1.janvāra ir spēkā grozījumi Imigrācijas likumā, kas šāda veida ieguldījuma veikšanas gadījumā pieļauj TUA izsniegšanu ne vairāk kā trim ārzemniekiem</w:t>
      </w:r>
      <w:r w:rsidR="00EA746B">
        <w:rPr>
          <w:sz w:val="26"/>
          <w:szCs w:val="26"/>
        </w:rPr>
        <w:t xml:space="preserve">, tādējādi izslēdzot iespēju, ka praktiski neierobežots skaits ārzemnieku var saņemt uzturēšanās atļauju, veicot nelielu ieguldījumu uzņēmumā, kurš veic formālu nodokļu nomaksu 40 000 </w:t>
      </w:r>
      <w:r w:rsidR="00EA746B">
        <w:rPr>
          <w:i/>
          <w:sz w:val="26"/>
          <w:szCs w:val="26"/>
        </w:rPr>
        <w:t>euro</w:t>
      </w:r>
      <w:r w:rsidR="00EA746B">
        <w:rPr>
          <w:sz w:val="26"/>
          <w:szCs w:val="26"/>
        </w:rPr>
        <w:t xml:space="preserve"> apjomā gada laikā</w:t>
      </w:r>
      <w:r w:rsidR="00EF074B">
        <w:rPr>
          <w:sz w:val="26"/>
          <w:szCs w:val="26"/>
        </w:rPr>
        <w:t xml:space="preserve">. </w:t>
      </w:r>
      <w:r w:rsidR="00EF074B" w:rsidRPr="00EF074B">
        <w:t xml:space="preserve"> </w:t>
      </w:r>
      <w:r w:rsidR="00EF074B" w:rsidRPr="00EA746B">
        <w:rPr>
          <w:sz w:val="26"/>
          <w:szCs w:val="26"/>
        </w:rPr>
        <w:t xml:space="preserve">Otra veida ieguldījums attiecas uz kapitālsabiedrībām, kuras nodarbina vairāk nekā 50 darbinieku un kuru gada apgrozījums vai gada bilance pārsniedz 10 miljonus </w:t>
      </w:r>
      <w:r w:rsidR="00EF074B" w:rsidRPr="00EA746B">
        <w:rPr>
          <w:i/>
          <w:sz w:val="26"/>
          <w:szCs w:val="26"/>
        </w:rPr>
        <w:t>euro</w:t>
      </w:r>
      <w:r w:rsidR="00EA746B" w:rsidRPr="00EA746B">
        <w:rPr>
          <w:sz w:val="26"/>
          <w:szCs w:val="26"/>
        </w:rPr>
        <w:t xml:space="preserve">. Šādā gadījumā ieguldījumam jābūt vismaz 150 000 </w:t>
      </w:r>
      <w:r w:rsidR="00EA746B" w:rsidRPr="00EA746B">
        <w:rPr>
          <w:i/>
          <w:sz w:val="26"/>
          <w:szCs w:val="26"/>
        </w:rPr>
        <w:t>euro</w:t>
      </w:r>
      <w:r w:rsidR="00612092">
        <w:rPr>
          <w:sz w:val="26"/>
          <w:szCs w:val="26"/>
        </w:rPr>
        <w:t xml:space="preserve"> apmērā</w:t>
      </w:r>
      <w:r w:rsidR="00EA746B" w:rsidRPr="00EA746B">
        <w:rPr>
          <w:sz w:val="26"/>
          <w:szCs w:val="26"/>
        </w:rPr>
        <w:t>.</w:t>
      </w:r>
    </w:p>
    <w:p w:rsidR="005B6991" w:rsidRPr="005B6991" w:rsidRDefault="009B10A4" w:rsidP="005B6991">
      <w:pPr>
        <w:pStyle w:val="tv213"/>
        <w:spacing w:before="0" w:beforeAutospacing="0" w:after="120" w:afterAutospacing="0"/>
        <w:ind w:firstLine="426"/>
        <w:jc w:val="both"/>
        <w:rPr>
          <w:sz w:val="26"/>
          <w:szCs w:val="26"/>
        </w:rPr>
      </w:pPr>
      <w:r w:rsidRPr="00C0414F">
        <w:rPr>
          <w:sz w:val="26"/>
          <w:szCs w:val="26"/>
        </w:rPr>
        <w:t xml:space="preserve">Kā liecina </w:t>
      </w:r>
      <w:r w:rsidR="00336B6D">
        <w:rPr>
          <w:sz w:val="26"/>
          <w:szCs w:val="26"/>
        </w:rPr>
        <w:t>PMLP</w:t>
      </w:r>
      <w:r w:rsidRPr="00C0414F">
        <w:rPr>
          <w:sz w:val="26"/>
          <w:szCs w:val="26"/>
        </w:rPr>
        <w:t xml:space="preserve"> dati, tad </w:t>
      </w:r>
      <w:r w:rsidR="00C0414F" w:rsidRPr="00C0414F">
        <w:rPr>
          <w:sz w:val="26"/>
          <w:szCs w:val="26"/>
        </w:rPr>
        <w:t>nedaudz vairāk nekā</w:t>
      </w:r>
      <w:r w:rsidRPr="00C0414F">
        <w:rPr>
          <w:sz w:val="26"/>
          <w:szCs w:val="26"/>
        </w:rPr>
        <w:t xml:space="preserve"> puse</w:t>
      </w:r>
      <w:r w:rsidR="00C0414F" w:rsidRPr="00C0414F">
        <w:rPr>
          <w:sz w:val="26"/>
          <w:szCs w:val="26"/>
        </w:rPr>
        <w:t xml:space="preserve"> (53%)</w:t>
      </w:r>
      <w:r w:rsidRPr="00C0414F">
        <w:rPr>
          <w:sz w:val="26"/>
          <w:szCs w:val="26"/>
        </w:rPr>
        <w:t xml:space="preserve"> no ārvalstu investoriem, kas ir veikuši ieguldījumu kapitālsabiedrībās, to ir darījuši tuvu minimālajai pieļaujamai ieguldījumu summai, </w:t>
      </w:r>
      <w:r w:rsidR="00C0414F" w:rsidRPr="00C0414F">
        <w:rPr>
          <w:sz w:val="26"/>
          <w:szCs w:val="26"/>
        </w:rPr>
        <w:t>savukārt</w:t>
      </w:r>
      <w:r w:rsidRPr="00C0414F">
        <w:rPr>
          <w:sz w:val="26"/>
          <w:szCs w:val="26"/>
        </w:rPr>
        <w:t xml:space="preserve"> </w:t>
      </w:r>
      <w:r w:rsidR="00C0414F" w:rsidRPr="00C0414F">
        <w:rPr>
          <w:sz w:val="26"/>
          <w:szCs w:val="26"/>
        </w:rPr>
        <w:t>7</w:t>
      </w:r>
      <w:r w:rsidRPr="00C0414F">
        <w:rPr>
          <w:sz w:val="26"/>
          <w:szCs w:val="26"/>
        </w:rPr>
        <w:t xml:space="preserve">% no ārvalstu investoriem ir veikuši ieguldījumus </w:t>
      </w:r>
      <w:r w:rsidRPr="005B6991">
        <w:rPr>
          <w:sz w:val="26"/>
          <w:szCs w:val="26"/>
        </w:rPr>
        <w:t>kapitālsabiedrību pamatkapitālā vairāk nekā 1</w:t>
      </w:r>
      <w:r w:rsidR="00C0414F" w:rsidRPr="005B6991">
        <w:rPr>
          <w:sz w:val="26"/>
          <w:szCs w:val="26"/>
        </w:rPr>
        <w:t>50 tūkst. euro</w:t>
      </w:r>
      <w:r w:rsidRPr="005B6991">
        <w:rPr>
          <w:sz w:val="26"/>
          <w:szCs w:val="26"/>
        </w:rPr>
        <w:t xml:space="preserve"> apmērā</w:t>
      </w:r>
      <w:r w:rsidR="00336B6D" w:rsidRPr="005B6991">
        <w:rPr>
          <w:sz w:val="26"/>
          <w:szCs w:val="26"/>
        </w:rPr>
        <w:t xml:space="preserve"> (skatīt 11.attēlu)</w:t>
      </w:r>
      <w:r w:rsidRPr="005B6991">
        <w:rPr>
          <w:sz w:val="26"/>
          <w:szCs w:val="26"/>
        </w:rPr>
        <w:t xml:space="preserve">. </w:t>
      </w:r>
      <w:r w:rsidR="005B6991" w:rsidRPr="005B6991">
        <w:rPr>
          <w:sz w:val="26"/>
          <w:szCs w:val="26"/>
        </w:rPr>
        <w:t>Kopumā no investīcijām kapitālsabiedrību pamatkapitālā 66,7% gadījumos ieguldījums ir attiecināms uz 1 TUA pieteicēju, 21% gadījumu – uz 2 TUA pieteicējiem, 5,8% gadījumu – uz 3 TUA pieteicējiem. Lielāks TUA pieteicēju skaits (virs 3) vienā uzņēmumā ir 6,7% gadījumu, tai skaitā vienā uzņēmumā ir investējuši 27 TUA pieteicēju, bet divos uzņēmumos – 12 TUA pieteicēji.</w:t>
      </w:r>
    </w:p>
    <w:p w:rsidR="00FA1863" w:rsidRPr="00FA1863" w:rsidRDefault="00612092" w:rsidP="00FA1863">
      <w:pPr>
        <w:spacing w:after="120" w:line="240" w:lineRule="auto"/>
        <w:ind w:firstLine="540"/>
        <w:jc w:val="both"/>
        <w:rPr>
          <w:rFonts w:ascii="Times New Roman" w:hAnsi="Times New Roman"/>
          <w:sz w:val="26"/>
          <w:szCs w:val="26"/>
        </w:rPr>
      </w:pPr>
      <w:r>
        <w:rPr>
          <w:rFonts w:ascii="Times New Roman" w:hAnsi="Times New Roman"/>
          <w:sz w:val="26"/>
          <w:szCs w:val="26"/>
        </w:rPr>
        <w:t>Lai arī</w:t>
      </w:r>
      <w:r w:rsidRPr="00FA1863">
        <w:rPr>
          <w:rFonts w:ascii="Times New Roman" w:hAnsi="Times New Roman"/>
          <w:sz w:val="26"/>
          <w:szCs w:val="26"/>
        </w:rPr>
        <w:t xml:space="preserve"> investīciju apjoms, kas tiek ieguldīts uzņēmuma pamatkapitālā, a</w:t>
      </w:r>
      <w:r>
        <w:rPr>
          <w:rFonts w:ascii="Times New Roman" w:hAnsi="Times New Roman"/>
          <w:sz w:val="26"/>
          <w:szCs w:val="26"/>
        </w:rPr>
        <w:t>r katru gadu palielinās, no 3 </w:t>
      </w:r>
      <w:r w:rsidRPr="00FA1863">
        <w:rPr>
          <w:rFonts w:ascii="Times New Roman" w:hAnsi="Times New Roman"/>
          <w:sz w:val="26"/>
          <w:szCs w:val="26"/>
        </w:rPr>
        <w:t>641</w:t>
      </w:r>
      <w:r>
        <w:rPr>
          <w:rFonts w:ascii="Times New Roman" w:hAnsi="Times New Roman"/>
          <w:sz w:val="26"/>
          <w:szCs w:val="26"/>
        </w:rPr>
        <w:t> </w:t>
      </w:r>
      <w:r w:rsidRPr="00FA1863">
        <w:rPr>
          <w:rFonts w:ascii="Times New Roman" w:hAnsi="Times New Roman"/>
          <w:sz w:val="26"/>
          <w:szCs w:val="26"/>
        </w:rPr>
        <w:t>314</w:t>
      </w:r>
      <w:r>
        <w:rPr>
          <w:rFonts w:ascii="Times New Roman" w:hAnsi="Times New Roman"/>
          <w:sz w:val="26"/>
          <w:szCs w:val="26"/>
        </w:rPr>
        <w:t xml:space="preserve"> </w:t>
      </w:r>
      <w:r w:rsidRPr="00FA1863">
        <w:rPr>
          <w:rFonts w:ascii="Times New Roman" w:hAnsi="Times New Roman"/>
          <w:i/>
          <w:sz w:val="26"/>
          <w:szCs w:val="26"/>
        </w:rPr>
        <w:t>euro</w:t>
      </w:r>
      <w:r>
        <w:rPr>
          <w:rFonts w:ascii="Times New Roman" w:hAnsi="Times New Roman"/>
          <w:sz w:val="26"/>
          <w:szCs w:val="26"/>
        </w:rPr>
        <w:t xml:space="preserve"> (2011.gadā) līdz 29 300 </w:t>
      </w:r>
      <w:r w:rsidRPr="00FA1863">
        <w:rPr>
          <w:rFonts w:ascii="Times New Roman" w:hAnsi="Times New Roman"/>
          <w:sz w:val="26"/>
          <w:szCs w:val="26"/>
        </w:rPr>
        <w:t xml:space="preserve">291 </w:t>
      </w:r>
      <w:r w:rsidRPr="00FA1863">
        <w:rPr>
          <w:rFonts w:ascii="Times New Roman" w:hAnsi="Times New Roman"/>
          <w:i/>
          <w:sz w:val="26"/>
          <w:szCs w:val="26"/>
        </w:rPr>
        <w:t>euro</w:t>
      </w:r>
      <w:r>
        <w:rPr>
          <w:rFonts w:ascii="Times New Roman" w:hAnsi="Times New Roman"/>
          <w:sz w:val="26"/>
          <w:szCs w:val="26"/>
        </w:rPr>
        <w:t xml:space="preserve"> (2013.gadā), i</w:t>
      </w:r>
      <w:r w:rsidR="00FA1863" w:rsidRPr="00FA1863">
        <w:rPr>
          <w:rFonts w:ascii="Times New Roman" w:hAnsi="Times New Roman"/>
          <w:sz w:val="26"/>
          <w:szCs w:val="26"/>
        </w:rPr>
        <w:t xml:space="preserve">nvestīcijas uzņēmuma pamatkapitālā šobrīd sastāda mazu proporciju </w:t>
      </w:r>
      <w:r w:rsidR="00FA1863">
        <w:rPr>
          <w:rFonts w:ascii="Times New Roman" w:hAnsi="Times New Roman"/>
          <w:sz w:val="26"/>
          <w:szCs w:val="26"/>
        </w:rPr>
        <w:t>no kopējā investīciju apjoma (5,</w:t>
      </w:r>
      <w:r w:rsidR="00FA1863" w:rsidRPr="00FA1863">
        <w:rPr>
          <w:rFonts w:ascii="Times New Roman" w:hAnsi="Times New Roman"/>
          <w:sz w:val="26"/>
          <w:szCs w:val="26"/>
        </w:rPr>
        <w:t>2%) saistībā ar termiņuzturēšanās atļauju izsniegšanu. Ņemot vērā, ka šāds investīciju veids ieplūst reālaj</w:t>
      </w:r>
      <w:r w:rsidR="00C879B9">
        <w:rPr>
          <w:rFonts w:ascii="Times New Roman" w:hAnsi="Times New Roman"/>
          <w:sz w:val="26"/>
          <w:szCs w:val="26"/>
        </w:rPr>
        <w:t>ā ekonomikā</w:t>
      </w:r>
      <w:r w:rsidR="005343D2">
        <w:rPr>
          <w:rFonts w:ascii="Times New Roman" w:hAnsi="Times New Roman"/>
          <w:sz w:val="26"/>
          <w:szCs w:val="26"/>
        </w:rPr>
        <w:t>,</w:t>
      </w:r>
      <w:r w:rsidR="00FA1863" w:rsidRPr="00FA1863">
        <w:rPr>
          <w:rFonts w:ascii="Times New Roman" w:hAnsi="Times New Roman"/>
          <w:sz w:val="26"/>
          <w:szCs w:val="26"/>
        </w:rPr>
        <w:t xml:space="preserve"> </w:t>
      </w:r>
      <w:r w:rsidR="00C879B9">
        <w:rPr>
          <w:rFonts w:ascii="Times New Roman" w:hAnsi="Times New Roman"/>
          <w:sz w:val="26"/>
          <w:szCs w:val="26"/>
        </w:rPr>
        <w:t>risinot</w:t>
      </w:r>
      <w:r w:rsidR="00FA1863" w:rsidRPr="00FA1863">
        <w:rPr>
          <w:rFonts w:ascii="Times New Roman" w:hAnsi="Times New Roman"/>
          <w:sz w:val="26"/>
          <w:szCs w:val="26"/>
        </w:rPr>
        <w:t xml:space="preserve"> uzņēmumu pašu finanšu trūkumu, </w:t>
      </w:r>
      <w:r w:rsidR="00C879B9">
        <w:rPr>
          <w:rFonts w:ascii="Times New Roman" w:hAnsi="Times New Roman"/>
          <w:sz w:val="26"/>
          <w:szCs w:val="26"/>
        </w:rPr>
        <w:t xml:space="preserve"> veicinot uzņēmumu attīstību, </w:t>
      </w:r>
      <w:r w:rsidR="005343D2">
        <w:rPr>
          <w:rFonts w:ascii="Times New Roman" w:hAnsi="Times New Roman"/>
          <w:sz w:val="26"/>
          <w:szCs w:val="26"/>
        </w:rPr>
        <w:t>inovāciju ieviešanu, tādējādi kāpinot to konkurētspēju, tad nepieciešams</w:t>
      </w:r>
      <w:r w:rsidR="00FA1863" w:rsidRPr="00FA1863">
        <w:rPr>
          <w:rFonts w:ascii="Times New Roman" w:hAnsi="Times New Roman"/>
          <w:sz w:val="26"/>
          <w:szCs w:val="26"/>
        </w:rPr>
        <w:t xml:space="preserve"> </w:t>
      </w:r>
      <w:r w:rsidR="005343D2">
        <w:rPr>
          <w:rFonts w:ascii="Times New Roman" w:hAnsi="Times New Roman"/>
          <w:sz w:val="26"/>
          <w:szCs w:val="26"/>
        </w:rPr>
        <w:t xml:space="preserve">regulējums, kas stimulē </w:t>
      </w:r>
      <w:r w:rsidR="00C879B9">
        <w:rPr>
          <w:rFonts w:ascii="Times New Roman" w:hAnsi="Times New Roman"/>
          <w:sz w:val="26"/>
          <w:szCs w:val="26"/>
        </w:rPr>
        <w:t>šādu investīciju</w:t>
      </w:r>
      <w:r w:rsidR="005343D2">
        <w:rPr>
          <w:rFonts w:ascii="Times New Roman" w:hAnsi="Times New Roman"/>
          <w:sz w:val="26"/>
          <w:szCs w:val="26"/>
        </w:rPr>
        <w:t xml:space="preserve"> veikšanu</w:t>
      </w:r>
      <w:r w:rsidR="00C879B9">
        <w:rPr>
          <w:rFonts w:ascii="Times New Roman" w:hAnsi="Times New Roman"/>
          <w:sz w:val="26"/>
          <w:szCs w:val="26"/>
        </w:rPr>
        <w:t xml:space="preserve">. Imigrācijas likumā ietvertais regulējums investīcijām kapitālsabiedrību pamatkapitālā </w:t>
      </w:r>
      <w:r w:rsidR="000A2295">
        <w:rPr>
          <w:rFonts w:ascii="Times New Roman" w:hAnsi="Times New Roman"/>
          <w:sz w:val="26"/>
          <w:szCs w:val="26"/>
        </w:rPr>
        <w:t>vēl aizvien ir instruments ar viszemāko piesaistīto investīciju apjomu, tādēļ nepieciešamas izmaiņas Imigrācijas likumā, kas aktīvo investīciju programmu padarītu pievilcīgu investoriem.</w:t>
      </w:r>
    </w:p>
    <w:p w:rsidR="00FA1863" w:rsidRPr="001D13FC" w:rsidRDefault="00FA1863" w:rsidP="00E36D19">
      <w:pPr>
        <w:spacing w:after="120" w:line="240" w:lineRule="auto"/>
        <w:ind w:firstLine="426"/>
        <w:jc w:val="both"/>
        <w:rPr>
          <w:rFonts w:ascii="Times New Roman" w:hAnsi="Times New Roman"/>
          <w:sz w:val="26"/>
          <w:szCs w:val="26"/>
        </w:rPr>
      </w:pPr>
    </w:p>
    <w:p w:rsidR="00260D14" w:rsidRDefault="00260D14" w:rsidP="00F443DB">
      <w:pPr>
        <w:spacing w:after="120" w:line="240" w:lineRule="auto"/>
        <w:jc w:val="right"/>
        <w:rPr>
          <w:rFonts w:ascii="Times New Roman" w:hAnsi="Times New Roman"/>
          <w:sz w:val="26"/>
          <w:szCs w:val="26"/>
        </w:rPr>
      </w:pPr>
    </w:p>
    <w:p w:rsidR="00F443DB" w:rsidRDefault="00F443DB" w:rsidP="00F443DB">
      <w:pPr>
        <w:spacing w:after="120" w:line="240" w:lineRule="auto"/>
        <w:jc w:val="right"/>
        <w:rPr>
          <w:rFonts w:ascii="Times New Roman" w:hAnsi="Times New Roman"/>
          <w:sz w:val="26"/>
          <w:szCs w:val="26"/>
        </w:rPr>
      </w:pPr>
    </w:p>
    <w:p w:rsidR="00DA5907" w:rsidRDefault="009B10A4" w:rsidP="000557D8">
      <w:pPr>
        <w:keepNext/>
        <w:spacing w:after="120" w:line="240" w:lineRule="auto"/>
        <w:jc w:val="right"/>
        <w:rPr>
          <w:rFonts w:ascii="Times New Roman" w:hAnsi="Times New Roman"/>
          <w:sz w:val="26"/>
          <w:szCs w:val="26"/>
        </w:rPr>
      </w:pPr>
      <w:r w:rsidRPr="00C0414F">
        <w:rPr>
          <w:rFonts w:ascii="Times New Roman" w:hAnsi="Times New Roman"/>
          <w:sz w:val="26"/>
          <w:szCs w:val="26"/>
        </w:rPr>
        <w:lastRenderedPageBreak/>
        <w:t>1</w:t>
      </w:r>
      <w:r w:rsidR="00660830">
        <w:rPr>
          <w:rFonts w:ascii="Times New Roman" w:hAnsi="Times New Roman"/>
          <w:sz w:val="26"/>
          <w:szCs w:val="26"/>
        </w:rPr>
        <w:t>1</w:t>
      </w:r>
      <w:r w:rsidRPr="00C0414F">
        <w:rPr>
          <w:rFonts w:ascii="Times New Roman" w:hAnsi="Times New Roman"/>
          <w:sz w:val="26"/>
          <w:szCs w:val="26"/>
        </w:rPr>
        <w:t>.attēls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699"/>
      </w:tblGrid>
      <w:tr w:rsidR="00C83CA2" w:rsidTr="00BD42CB">
        <w:tc>
          <w:tcPr>
            <w:tcW w:w="9571" w:type="dxa"/>
            <w:gridSpan w:val="2"/>
          </w:tcPr>
          <w:p w:rsidR="00C83CA2" w:rsidRPr="00874066" w:rsidRDefault="009F4C01" w:rsidP="000557D8">
            <w:pPr>
              <w:keepNext/>
              <w:spacing w:after="120" w:line="240" w:lineRule="auto"/>
              <w:jc w:val="center"/>
              <w:rPr>
                <w:rFonts w:ascii="Times New Roman" w:hAnsi="Times New Roman"/>
                <w:b/>
                <w:sz w:val="24"/>
                <w:szCs w:val="24"/>
              </w:rPr>
            </w:pPr>
            <w:r>
              <w:rPr>
                <w:rFonts w:ascii="Times New Roman" w:hAnsi="Times New Roman"/>
                <w:b/>
                <w:sz w:val="24"/>
                <w:szCs w:val="24"/>
              </w:rPr>
              <w:t>TUA iesniedzēju – ieguldītāju</w:t>
            </w:r>
            <w:r w:rsidR="00C83CA2">
              <w:rPr>
                <w:rFonts w:ascii="Times New Roman" w:hAnsi="Times New Roman"/>
                <w:b/>
                <w:sz w:val="24"/>
                <w:szCs w:val="24"/>
              </w:rPr>
              <w:t xml:space="preserve"> </w:t>
            </w:r>
            <w:r>
              <w:rPr>
                <w:rFonts w:ascii="Times New Roman" w:hAnsi="Times New Roman"/>
                <w:b/>
                <w:sz w:val="24"/>
                <w:szCs w:val="24"/>
              </w:rPr>
              <w:t>kapitālsabiedrību pamatkapitālā</w:t>
            </w:r>
          </w:p>
        </w:tc>
      </w:tr>
      <w:tr w:rsidR="00DA5907" w:rsidTr="00DA5907">
        <w:tc>
          <w:tcPr>
            <w:tcW w:w="4785" w:type="dxa"/>
          </w:tcPr>
          <w:p w:rsidR="00DA5907" w:rsidRDefault="00C83CA2" w:rsidP="000557D8">
            <w:pPr>
              <w:keepNext/>
              <w:spacing w:after="120" w:line="240" w:lineRule="auto"/>
              <w:jc w:val="center"/>
              <w:rPr>
                <w:rFonts w:ascii="Times New Roman" w:hAnsi="Times New Roman"/>
                <w:b/>
                <w:sz w:val="24"/>
                <w:szCs w:val="24"/>
              </w:rPr>
            </w:pPr>
            <w:r>
              <w:rPr>
                <w:rFonts w:ascii="Times New Roman" w:hAnsi="Times New Roman"/>
                <w:b/>
                <w:sz w:val="24"/>
                <w:szCs w:val="24"/>
              </w:rPr>
              <w:t xml:space="preserve">veikto ieguldījumu skaits </w:t>
            </w:r>
            <w:r w:rsidR="00DA5907" w:rsidRPr="00F21E70">
              <w:rPr>
                <w:rFonts w:ascii="Times New Roman" w:hAnsi="Times New Roman"/>
                <w:b/>
                <w:sz w:val="24"/>
                <w:szCs w:val="24"/>
              </w:rPr>
              <w:t>sadalījumā pēc to apjoma (07.2010.-06.2014.)</w:t>
            </w:r>
          </w:p>
          <w:p w:rsidR="00DA5907" w:rsidRDefault="00DA5907" w:rsidP="000557D8">
            <w:pPr>
              <w:keepNext/>
              <w:spacing w:after="120" w:line="240" w:lineRule="auto"/>
              <w:jc w:val="right"/>
              <w:rPr>
                <w:rFonts w:ascii="Times New Roman" w:hAnsi="Times New Roman"/>
                <w:sz w:val="26"/>
                <w:szCs w:val="26"/>
              </w:rPr>
            </w:pPr>
            <w:r>
              <w:rPr>
                <w:noProof/>
                <w:lang w:eastAsia="lv-LV"/>
              </w:rPr>
              <w:drawing>
                <wp:inline distT="0" distB="0" distL="0" distR="0">
                  <wp:extent cx="2886075" cy="2314575"/>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A5907" w:rsidRDefault="00DA5907" w:rsidP="000557D8">
            <w:pPr>
              <w:keepNext/>
              <w:spacing w:after="120" w:line="240" w:lineRule="auto"/>
              <w:rPr>
                <w:rFonts w:ascii="Times New Roman" w:hAnsi="Times New Roman"/>
                <w:i/>
                <w:sz w:val="26"/>
                <w:szCs w:val="26"/>
              </w:rPr>
            </w:pPr>
          </w:p>
          <w:p w:rsidR="00DA5907" w:rsidRPr="00CC533C" w:rsidRDefault="00DA5907" w:rsidP="000557D8">
            <w:pPr>
              <w:keepNext/>
              <w:spacing w:after="120" w:line="240" w:lineRule="auto"/>
              <w:rPr>
                <w:rFonts w:ascii="Times New Roman" w:hAnsi="Times New Roman"/>
                <w:sz w:val="22"/>
                <w:szCs w:val="22"/>
              </w:rPr>
            </w:pPr>
            <w:r w:rsidRPr="00CC533C">
              <w:rPr>
                <w:rFonts w:ascii="Times New Roman" w:hAnsi="Times New Roman"/>
                <w:i/>
                <w:sz w:val="22"/>
                <w:szCs w:val="22"/>
              </w:rPr>
              <w:t>Avots: PMLP</w:t>
            </w:r>
          </w:p>
        </w:tc>
        <w:tc>
          <w:tcPr>
            <w:tcW w:w="4786" w:type="dxa"/>
          </w:tcPr>
          <w:p w:rsidR="00DA5907" w:rsidRDefault="00DA5907" w:rsidP="000557D8">
            <w:pPr>
              <w:keepNext/>
              <w:spacing w:after="120" w:line="240" w:lineRule="auto"/>
              <w:jc w:val="center"/>
              <w:rPr>
                <w:rFonts w:ascii="Times New Roman" w:hAnsi="Times New Roman"/>
                <w:b/>
                <w:sz w:val="24"/>
                <w:szCs w:val="24"/>
              </w:rPr>
            </w:pPr>
            <w:r w:rsidRPr="00874066">
              <w:rPr>
                <w:rFonts w:ascii="Times New Roman" w:hAnsi="Times New Roman"/>
                <w:b/>
                <w:sz w:val="24"/>
                <w:szCs w:val="24"/>
              </w:rPr>
              <w:t xml:space="preserve">sadalījums pēc valstiskās piederības </w:t>
            </w:r>
          </w:p>
          <w:p w:rsidR="00DA5907" w:rsidRDefault="00DA5907" w:rsidP="000557D8">
            <w:pPr>
              <w:keepNext/>
              <w:spacing w:after="120" w:line="240" w:lineRule="auto"/>
              <w:jc w:val="center"/>
              <w:rPr>
                <w:rFonts w:ascii="Times New Roman" w:hAnsi="Times New Roman"/>
                <w:b/>
                <w:sz w:val="24"/>
                <w:szCs w:val="24"/>
              </w:rPr>
            </w:pPr>
            <w:r w:rsidRPr="00874066">
              <w:rPr>
                <w:rFonts w:ascii="Times New Roman" w:hAnsi="Times New Roman"/>
                <w:b/>
                <w:sz w:val="24"/>
                <w:szCs w:val="24"/>
              </w:rPr>
              <w:t>(07.2010.-06.2014.)</w:t>
            </w:r>
          </w:p>
          <w:p w:rsidR="00DA5907" w:rsidRDefault="00DA5907" w:rsidP="000557D8">
            <w:pPr>
              <w:keepNext/>
              <w:spacing w:after="120" w:line="240" w:lineRule="auto"/>
              <w:jc w:val="center"/>
              <w:rPr>
                <w:rFonts w:ascii="Times New Roman" w:hAnsi="Times New Roman"/>
                <w:b/>
                <w:sz w:val="24"/>
                <w:szCs w:val="24"/>
              </w:rPr>
            </w:pPr>
            <w:r>
              <w:rPr>
                <w:noProof/>
                <w:lang w:eastAsia="lv-LV"/>
              </w:rPr>
              <w:drawing>
                <wp:inline distT="0" distB="0" distL="0" distR="0">
                  <wp:extent cx="2781300" cy="2533650"/>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A5907" w:rsidRPr="00CC533C" w:rsidRDefault="00DA5907" w:rsidP="000557D8">
            <w:pPr>
              <w:keepNext/>
              <w:spacing w:after="120" w:line="240" w:lineRule="auto"/>
              <w:rPr>
                <w:rFonts w:ascii="Times New Roman" w:hAnsi="Times New Roman"/>
                <w:sz w:val="22"/>
                <w:szCs w:val="22"/>
              </w:rPr>
            </w:pPr>
            <w:r w:rsidRPr="00CC533C">
              <w:rPr>
                <w:rFonts w:ascii="Times New Roman" w:hAnsi="Times New Roman"/>
                <w:i/>
                <w:sz w:val="22"/>
                <w:szCs w:val="22"/>
              </w:rPr>
              <w:t>Avots: PMLP</w:t>
            </w:r>
          </w:p>
          <w:p w:rsidR="00DA5907" w:rsidRDefault="00DA5907" w:rsidP="000557D8">
            <w:pPr>
              <w:keepNext/>
              <w:spacing w:after="120" w:line="240" w:lineRule="auto"/>
              <w:jc w:val="right"/>
              <w:rPr>
                <w:rFonts w:ascii="Times New Roman" w:hAnsi="Times New Roman"/>
                <w:sz w:val="26"/>
                <w:szCs w:val="26"/>
              </w:rPr>
            </w:pPr>
          </w:p>
        </w:tc>
      </w:tr>
    </w:tbl>
    <w:p w:rsidR="000A2105" w:rsidRPr="000A2105" w:rsidRDefault="00F43147" w:rsidP="000A2105">
      <w:pPr>
        <w:spacing w:after="120" w:line="240" w:lineRule="auto"/>
        <w:ind w:firstLine="425"/>
        <w:jc w:val="both"/>
        <w:rPr>
          <w:rFonts w:ascii="Times New Roman" w:hAnsi="Times New Roman"/>
          <w:sz w:val="26"/>
          <w:szCs w:val="26"/>
          <w:highlight w:val="yellow"/>
        </w:rPr>
      </w:pPr>
      <w:r>
        <w:rPr>
          <w:rFonts w:ascii="Times New Roman" w:hAnsi="Times New Roman"/>
          <w:sz w:val="26"/>
          <w:szCs w:val="26"/>
        </w:rPr>
        <w:t>Kopumā vērtējot, nerezidenti</w:t>
      </w:r>
      <w:r w:rsidR="000A2105">
        <w:rPr>
          <w:rFonts w:ascii="Times New Roman" w:hAnsi="Times New Roman"/>
          <w:sz w:val="26"/>
          <w:szCs w:val="26"/>
        </w:rPr>
        <w:t>em</w:t>
      </w:r>
      <w:r>
        <w:rPr>
          <w:rFonts w:ascii="Times New Roman" w:hAnsi="Times New Roman"/>
          <w:sz w:val="26"/>
          <w:szCs w:val="26"/>
        </w:rPr>
        <w:t>, kas veikuši ieguldījumu kapitālsabied</w:t>
      </w:r>
      <w:r w:rsidR="000A2105">
        <w:rPr>
          <w:rFonts w:ascii="Times New Roman" w:hAnsi="Times New Roman"/>
          <w:sz w:val="26"/>
          <w:szCs w:val="26"/>
        </w:rPr>
        <w:t xml:space="preserve">rībās un pieteikušies TUA, </w:t>
      </w:r>
      <w:r>
        <w:rPr>
          <w:rFonts w:ascii="Times New Roman" w:hAnsi="Times New Roman"/>
          <w:sz w:val="26"/>
          <w:szCs w:val="26"/>
        </w:rPr>
        <w:t>pieder kapitāla daļas 330 Latvijā reģistrētās kapitālsabiedrībās (papildus, LURSOFT dati liecin</w:t>
      </w:r>
      <w:r w:rsidR="000A2105">
        <w:rPr>
          <w:rFonts w:ascii="Times New Roman" w:hAnsi="Times New Roman"/>
          <w:sz w:val="26"/>
          <w:szCs w:val="26"/>
        </w:rPr>
        <w:t>a, ka šiem nerezidentiem vai</w:t>
      </w:r>
      <w:r>
        <w:rPr>
          <w:rFonts w:ascii="Times New Roman" w:hAnsi="Times New Roman"/>
          <w:sz w:val="26"/>
          <w:szCs w:val="26"/>
        </w:rPr>
        <w:t xml:space="preserve"> viņu ģimenes locekļiem pieder kapitāla daļas vēl 21 Latvijā reģistrētā kapitālsabiedrībā).</w:t>
      </w:r>
      <w:r w:rsidR="000A2105" w:rsidRPr="000A2105">
        <w:rPr>
          <w:rFonts w:ascii="Times New Roman" w:hAnsi="Times New Roman"/>
          <w:sz w:val="26"/>
          <w:szCs w:val="26"/>
        </w:rPr>
        <w:t xml:space="preserve"> </w:t>
      </w:r>
      <w:r w:rsidR="000A2105">
        <w:rPr>
          <w:rFonts w:ascii="Times New Roman" w:hAnsi="Times New Roman"/>
          <w:sz w:val="26"/>
          <w:szCs w:val="26"/>
        </w:rPr>
        <w:t xml:space="preserve">Saskaņā ar LURSOFT datiem, 87 kapitālsabiedrības, kurās šiem TUA saņēmējiem pieder kapitāla daļas, 2013.gadu ir noslēgušas ar pelņu, bet 155 kapitālsabiedrības ar zaudējumiem, nodarbinot kopā 1 565 darbiniekus, bet kopējais kapitālsabiedrību apgrozījums 2013.gadā bija 125,6 milj. </w:t>
      </w:r>
      <w:r w:rsidR="000A2105">
        <w:rPr>
          <w:rFonts w:ascii="Times New Roman" w:hAnsi="Times New Roman"/>
          <w:i/>
          <w:iCs/>
          <w:sz w:val="26"/>
          <w:szCs w:val="26"/>
        </w:rPr>
        <w:t>euro</w:t>
      </w:r>
      <w:r w:rsidR="000A2105">
        <w:rPr>
          <w:rFonts w:ascii="Times New Roman" w:hAnsi="Times New Roman"/>
          <w:sz w:val="26"/>
          <w:szCs w:val="26"/>
        </w:rPr>
        <w:t xml:space="preserve">. </w:t>
      </w:r>
    </w:p>
    <w:p w:rsidR="00F43147" w:rsidRDefault="00F43147" w:rsidP="00F43147">
      <w:pPr>
        <w:spacing w:after="120" w:line="240" w:lineRule="auto"/>
        <w:ind w:firstLine="425"/>
        <w:jc w:val="both"/>
        <w:rPr>
          <w:rFonts w:ascii="Times New Roman" w:hAnsi="Times New Roman"/>
          <w:sz w:val="26"/>
          <w:szCs w:val="26"/>
        </w:rPr>
      </w:pPr>
      <w:r>
        <w:rPr>
          <w:rFonts w:ascii="Times New Roman" w:hAnsi="Times New Roman"/>
          <w:sz w:val="26"/>
          <w:szCs w:val="26"/>
        </w:rPr>
        <w:t xml:space="preserve"> Savukārt minētie TUA pieteicēji un viņu ģimenes locekļi ieņem kādu amatu 147 Latvijā reģistrētās kapitālsabiedrībās.</w:t>
      </w:r>
    </w:p>
    <w:p w:rsidR="009B10A4" w:rsidRDefault="009B10A4" w:rsidP="00F443DB">
      <w:pPr>
        <w:spacing w:after="120" w:line="240" w:lineRule="auto"/>
        <w:ind w:firstLine="426"/>
        <w:jc w:val="both"/>
        <w:rPr>
          <w:rFonts w:ascii="Times New Roman" w:hAnsi="Times New Roman"/>
          <w:sz w:val="26"/>
          <w:szCs w:val="26"/>
          <w:highlight w:val="yellow"/>
        </w:rPr>
      </w:pPr>
    </w:p>
    <w:p w:rsidR="00CC533C" w:rsidRDefault="002F0CAA" w:rsidP="00F443DB">
      <w:pPr>
        <w:keepNext/>
        <w:spacing w:after="120" w:line="240" w:lineRule="auto"/>
        <w:jc w:val="right"/>
        <w:rPr>
          <w:rFonts w:ascii="Times New Roman" w:hAnsi="Times New Roman"/>
          <w:sz w:val="26"/>
          <w:szCs w:val="26"/>
        </w:rPr>
      </w:pPr>
      <w:r>
        <w:rPr>
          <w:rFonts w:ascii="Times New Roman" w:hAnsi="Times New Roman"/>
          <w:sz w:val="26"/>
          <w:szCs w:val="26"/>
        </w:rPr>
        <w:lastRenderedPageBreak/>
        <w:t>1</w:t>
      </w:r>
      <w:r w:rsidR="00660830">
        <w:rPr>
          <w:rFonts w:ascii="Times New Roman" w:hAnsi="Times New Roman"/>
          <w:sz w:val="26"/>
          <w:szCs w:val="26"/>
        </w:rPr>
        <w:t>2</w:t>
      </w:r>
      <w:r w:rsidR="00CC533C" w:rsidRPr="00C0414F">
        <w:rPr>
          <w:rFonts w:ascii="Times New Roman" w:hAnsi="Times New Roman"/>
          <w:sz w:val="26"/>
          <w:szCs w:val="26"/>
        </w:rPr>
        <w:t>.attēls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4748"/>
      </w:tblGrid>
      <w:tr w:rsidR="002C65AA" w:rsidTr="00873031">
        <w:tc>
          <w:tcPr>
            <w:tcW w:w="9571" w:type="dxa"/>
            <w:gridSpan w:val="2"/>
          </w:tcPr>
          <w:p w:rsidR="00C464B0" w:rsidRDefault="002C65AA" w:rsidP="00F443DB">
            <w:pPr>
              <w:keepNext/>
              <w:spacing w:after="120" w:line="240" w:lineRule="auto"/>
              <w:jc w:val="center"/>
              <w:rPr>
                <w:rFonts w:ascii="Times New Roman" w:hAnsi="Times New Roman"/>
                <w:b/>
                <w:sz w:val="24"/>
                <w:szCs w:val="24"/>
              </w:rPr>
            </w:pPr>
            <w:r>
              <w:rPr>
                <w:rFonts w:ascii="Times New Roman" w:hAnsi="Times New Roman"/>
                <w:b/>
                <w:sz w:val="24"/>
                <w:szCs w:val="24"/>
              </w:rPr>
              <w:t xml:space="preserve">Uz TUA iesniedzējiem – ieguldītājiem </w:t>
            </w:r>
            <w:r w:rsidR="00C464B0" w:rsidRPr="00C464B0">
              <w:rPr>
                <w:rFonts w:ascii="Times New Roman" w:hAnsi="Times New Roman"/>
                <w:b/>
                <w:sz w:val="24"/>
                <w:szCs w:val="24"/>
              </w:rPr>
              <w:t>kapitālsabiedrību pamatkapitālā</w:t>
            </w:r>
            <w:r w:rsidR="00C464B0" w:rsidRPr="0093149F">
              <w:rPr>
                <w:rFonts w:ascii="Times New Roman" w:hAnsi="Times New Roman"/>
                <w:sz w:val="26"/>
                <w:szCs w:val="26"/>
              </w:rPr>
              <w:t xml:space="preserve"> </w:t>
            </w:r>
            <w:r>
              <w:rPr>
                <w:rFonts w:ascii="Times New Roman" w:hAnsi="Times New Roman"/>
                <w:b/>
                <w:sz w:val="24"/>
                <w:szCs w:val="24"/>
              </w:rPr>
              <w:t xml:space="preserve">attiecināmo </w:t>
            </w:r>
          </w:p>
          <w:p w:rsidR="002C65AA" w:rsidRDefault="002C65AA" w:rsidP="00F443DB">
            <w:pPr>
              <w:keepNext/>
              <w:spacing w:after="120" w:line="240" w:lineRule="auto"/>
              <w:jc w:val="center"/>
              <w:rPr>
                <w:rFonts w:ascii="Times New Roman" w:hAnsi="Times New Roman"/>
                <w:b/>
                <w:sz w:val="24"/>
                <w:szCs w:val="24"/>
              </w:rPr>
            </w:pPr>
            <w:r>
              <w:rPr>
                <w:rFonts w:ascii="Times New Roman" w:hAnsi="Times New Roman"/>
                <w:b/>
                <w:sz w:val="24"/>
                <w:szCs w:val="24"/>
              </w:rPr>
              <w:t>(pieder daļas)</w:t>
            </w:r>
          </w:p>
        </w:tc>
      </w:tr>
      <w:tr w:rsidR="002C65AA" w:rsidTr="00873031">
        <w:tc>
          <w:tcPr>
            <w:tcW w:w="4785" w:type="dxa"/>
          </w:tcPr>
          <w:p w:rsidR="002C65AA" w:rsidRDefault="002C65AA" w:rsidP="00F443DB">
            <w:pPr>
              <w:keepNext/>
              <w:spacing w:after="120" w:line="240" w:lineRule="auto"/>
              <w:jc w:val="center"/>
              <w:rPr>
                <w:rFonts w:ascii="Times New Roman" w:hAnsi="Times New Roman"/>
                <w:b/>
                <w:sz w:val="24"/>
                <w:szCs w:val="24"/>
              </w:rPr>
            </w:pPr>
            <w:r>
              <w:rPr>
                <w:rFonts w:ascii="Times New Roman" w:hAnsi="Times New Roman"/>
                <w:b/>
                <w:sz w:val="24"/>
                <w:szCs w:val="24"/>
              </w:rPr>
              <w:t>kapitālsabiedrību sadalījums pēc to dibināšanas gada</w:t>
            </w:r>
          </w:p>
          <w:p w:rsidR="002C65AA" w:rsidRDefault="002C65AA" w:rsidP="00F443DB">
            <w:pPr>
              <w:keepNext/>
              <w:spacing w:after="120" w:line="240" w:lineRule="auto"/>
              <w:jc w:val="right"/>
              <w:rPr>
                <w:rFonts w:ascii="Times New Roman" w:hAnsi="Times New Roman"/>
                <w:sz w:val="26"/>
                <w:szCs w:val="26"/>
              </w:rPr>
            </w:pPr>
            <w:r>
              <w:rPr>
                <w:rFonts w:ascii="Times New Roman" w:hAnsi="Times New Roman"/>
                <w:noProof/>
                <w:sz w:val="26"/>
                <w:szCs w:val="26"/>
                <w:lang w:eastAsia="lv-LV"/>
              </w:rPr>
              <w:drawing>
                <wp:inline distT="0" distB="0" distL="0" distR="0">
                  <wp:extent cx="2619375" cy="2152650"/>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C65AA" w:rsidRDefault="002C65AA" w:rsidP="00F443DB">
            <w:pPr>
              <w:keepNext/>
              <w:spacing w:after="120" w:line="240" w:lineRule="auto"/>
              <w:rPr>
                <w:rFonts w:ascii="Times New Roman" w:hAnsi="Times New Roman"/>
                <w:i/>
                <w:sz w:val="26"/>
                <w:szCs w:val="26"/>
              </w:rPr>
            </w:pPr>
          </w:p>
          <w:p w:rsidR="002C65AA" w:rsidRPr="00CC533C" w:rsidRDefault="002C65AA" w:rsidP="00F443DB">
            <w:pPr>
              <w:keepNext/>
              <w:spacing w:after="120" w:line="240" w:lineRule="auto"/>
              <w:rPr>
                <w:rFonts w:ascii="Times New Roman" w:hAnsi="Times New Roman"/>
                <w:sz w:val="22"/>
                <w:szCs w:val="22"/>
              </w:rPr>
            </w:pPr>
            <w:r w:rsidRPr="00CC533C">
              <w:rPr>
                <w:rFonts w:ascii="Times New Roman" w:hAnsi="Times New Roman"/>
                <w:i/>
                <w:sz w:val="22"/>
                <w:szCs w:val="22"/>
              </w:rPr>
              <w:t>Avots: Lursoft</w:t>
            </w:r>
          </w:p>
        </w:tc>
        <w:tc>
          <w:tcPr>
            <w:tcW w:w="4786" w:type="dxa"/>
          </w:tcPr>
          <w:p w:rsidR="002C65AA" w:rsidRDefault="002C65AA" w:rsidP="00F443DB">
            <w:pPr>
              <w:keepNext/>
              <w:spacing w:after="120" w:line="240" w:lineRule="auto"/>
              <w:jc w:val="center"/>
              <w:rPr>
                <w:rFonts w:ascii="Times New Roman" w:hAnsi="Times New Roman"/>
                <w:b/>
                <w:sz w:val="24"/>
                <w:szCs w:val="24"/>
              </w:rPr>
            </w:pPr>
            <w:r>
              <w:rPr>
                <w:rFonts w:ascii="Times New Roman" w:hAnsi="Times New Roman"/>
                <w:b/>
                <w:sz w:val="24"/>
                <w:szCs w:val="24"/>
              </w:rPr>
              <w:t>kapitālsabiedrību sadalījums</w:t>
            </w:r>
            <w:r w:rsidRPr="00874066">
              <w:rPr>
                <w:rFonts w:ascii="Times New Roman" w:hAnsi="Times New Roman"/>
                <w:b/>
                <w:sz w:val="24"/>
                <w:szCs w:val="24"/>
              </w:rPr>
              <w:t xml:space="preserve"> pēc </w:t>
            </w:r>
            <w:r>
              <w:rPr>
                <w:rFonts w:ascii="Times New Roman" w:hAnsi="Times New Roman"/>
                <w:b/>
                <w:sz w:val="24"/>
                <w:szCs w:val="24"/>
              </w:rPr>
              <w:t>darbības jomas</w:t>
            </w:r>
            <w:r w:rsidRPr="00874066">
              <w:rPr>
                <w:rFonts w:ascii="Times New Roman" w:hAnsi="Times New Roman"/>
                <w:b/>
                <w:sz w:val="24"/>
                <w:szCs w:val="24"/>
              </w:rPr>
              <w:t xml:space="preserve"> </w:t>
            </w:r>
          </w:p>
          <w:p w:rsidR="002C65AA" w:rsidRDefault="002C65AA" w:rsidP="00F443DB">
            <w:pPr>
              <w:keepNext/>
              <w:spacing w:after="120" w:line="240" w:lineRule="auto"/>
              <w:jc w:val="center"/>
              <w:rPr>
                <w:rFonts w:ascii="Times New Roman" w:hAnsi="Times New Roman"/>
                <w:b/>
                <w:sz w:val="24"/>
                <w:szCs w:val="24"/>
              </w:rPr>
            </w:pPr>
            <w:r>
              <w:rPr>
                <w:rFonts w:ascii="Times New Roman" w:hAnsi="Times New Roman"/>
                <w:noProof/>
                <w:sz w:val="26"/>
                <w:szCs w:val="26"/>
                <w:lang w:eastAsia="lv-LV"/>
              </w:rPr>
              <w:drawing>
                <wp:inline distT="0" distB="0" distL="0" distR="0">
                  <wp:extent cx="2724150" cy="2152650"/>
                  <wp:effectExtent l="0" t="0" r="0"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C65AA" w:rsidRDefault="002C65AA" w:rsidP="00F443DB">
            <w:pPr>
              <w:keepNext/>
              <w:spacing w:after="120" w:line="240" w:lineRule="auto"/>
              <w:rPr>
                <w:rFonts w:ascii="Times New Roman" w:hAnsi="Times New Roman"/>
                <w:i/>
                <w:sz w:val="26"/>
                <w:szCs w:val="26"/>
              </w:rPr>
            </w:pPr>
          </w:p>
          <w:p w:rsidR="002C65AA" w:rsidRDefault="002C65AA" w:rsidP="00F443DB">
            <w:pPr>
              <w:keepNext/>
              <w:spacing w:after="120" w:line="240" w:lineRule="auto"/>
              <w:rPr>
                <w:rFonts w:ascii="Times New Roman" w:hAnsi="Times New Roman"/>
                <w:sz w:val="26"/>
                <w:szCs w:val="26"/>
              </w:rPr>
            </w:pPr>
            <w:r w:rsidRPr="00CC533C">
              <w:rPr>
                <w:rFonts w:ascii="Times New Roman" w:hAnsi="Times New Roman"/>
                <w:i/>
                <w:sz w:val="22"/>
                <w:szCs w:val="22"/>
              </w:rPr>
              <w:t>Avots: Lursoft</w:t>
            </w:r>
            <w:r>
              <w:rPr>
                <w:rFonts w:ascii="Times New Roman" w:hAnsi="Times New Roman"/>
                <w:sz w:val="26"/>
                <w:szCs w:val="26"/>
              </w:rPr>
              <w:t xml:space="preserve"> </w:t>
            </w:r>
          </w:p>
        </w:tc>
      </w:tr>
    </w:tbl>
    <w:p w:rsidR="009B10A4" w:rsidRPr="00966703" w:rsidRDefault="009B10A4" w:rsidP="00F443DB">
      <w:pPr>
        <w:spacing w:after="120" w:line="240" w:lineRule="auto"/>
        <w:ind w:firstLine="426"/>
        <w:jc w:val="both"/>
        <w:rPr>
          <w:rFonts w:ascii="Times New Roman" w:hAnsi="Times New Roman"/>
          <w:sz w:val="26"/>
          <w:szCs w:val="26"/>
          <w:highlight w:val="yellow"/>
        </w:rPr>
      </w:pPr>
    </w:p>
    <w:p w:rsidR="009B10A4" w:rsidRPr="0086727D" w:rsidRDefault="009B10A4" w:rsidP="00F443DB">
      <w:pPr>
        <w:spacing w:after="120" w:line="240" w:lineRule="auto"/>
        <w:ind w:firstLine="426"/>
        <w:jc w:val="both"/>
        <w:rPr>
          <w:rFonts w:ascii="Times New Roman" w:hAnsi="Times New Roman"/>
          <w:sz w:val="26"/>
          <w:szCs w:val="26"/>
        </w:rPr>
      </w:pPr>
      <w:r w:rsidRPr="0086727D">
        <w:rPr>
          <w:rFonts w:ascii="Times New Roman" w:hAnsi="Times New Roman"/>
          <w:sz w:val="26"/>
          <w:szCs w:val="26"/>
        </w:rPr>
        <w:t xml:space="preserve">No šīm kapitālsabiedrībām vairums darbojas pakalpojumu sfērā – vairumtirdzniecībā, restorānu biznesā, izmitināšanas pakalpojumos, finanšu starpniecībā, operācijās ar nekustamo īpašumu, profesionālos un tehniskajos pakalpojumos (juridiskie pakalpojumi, grāmatvedība). </w:t>
      </w:r>
    </w:p>
    <w:p w:rsidR="009B10A4" w:rsidRPr="00966703" w:rsidRDefault="009B10A4" w:rsidP="00F443DB">
      <w:pPr>
        <w:pStyle w:val="Heading1"/>
        <w:spacing w:before="0" w:after="120" w:line="240" w:lineRule="auto"/>
        <w:rPr>
          <w:rFonts w:ascii="Times New Roman" w:hAnsi="Times New Roman"/>
          <w:color w:val="auto"/>
          <w:highlight w:val="yellow"/>
        </w:rPr>
      </w:pPr>
    </w:p>
    <w:p w:rsidR="009B10A4" w:rsidRPr="00C0414F" w:rsidRDefault="009B10A4" w:rsidP="00F443DB">
      <w:pPr>
        <w:spacing w:after="120" w:line="240" w:lineRule="auto"/>
        <w:ind w:firstLine="426"/>
        <w:jc w:val="both"/>
        <w:rPr>
          <w:rFonts w:ascii="Times New Roman" w:hAnsi="Times New Roman"/>
          <w:sz w:val="26"/>
          <w:szCs w:val="26"/>
        </w:rPr>
      </w:pPr>
      <w:r w:rsidRPr="00C0414F">
        <w:rPr>
          <w:rFonts w:ascii="Times New Roman" w:hAnsi="Times New Roman"/>
          <w:sz w:val="26"/>
          <w:szCs w:val="26"/>
        </w:rPr>
        <w:t xml:space="preserve">Imigrācijas likuma </w:t>
      </w:r>
      <w:r w:rsidRPr="00C0414F">
        <w:rPr>
          <w:rFonts w:ascii="Times New Roman" w:hAnsi="Times New Roman"/>
          <w:b/>
          <w:sz w:val="26"/>
          <w:szCs w:val="26"/>
          <w:u w:val="single"/>
        </w:rPr>
        <w:t>23.panta pirmās daļas 3.punktā</w:t>
      </w:r>
      <w:r w:rsidRPr="00C0414F">
        <w:rPr>
          <w:rFonts w:ascii="Times New Roman" w:hAnsi="Times New Roman"/>
          <w:sz w:val="26"/>
          <w:szCs w:val="26"/>
        </w:rPr>
        <w:t xml:space="preserve"> noteikts, ka ārzemnieks var pieprasīt termiņuzturēšanās atļauju uz pilnvaru termiņu, bet ne ilgāk kā uz pieciem gadiem, ja viņš ir komercreģistrā reģistrēts valdes vai padomes loceklis, prokūrists, administrators, likvidators vai personālsabiedrības biedrs, kam ir tiesības pārstāvēt personālsabiedrību, vai persona, kura pilnvarota pārstāvēt komersantu (ārvalsts komersantu) darbībās, kas saistītas ar filiāli, ja komercsabiedrība vai ārzemju komersanta filiāle ir ierakstīta komercreģistrā ne mazāk kā vienu gadu pirms uzturēšanās atļaujas pieprasīšanas, tā veic aktīvu saimniecisku darbību un tās darbība dod ekonomisku labumu Latvijas Republikai. Attiecībā uz sabiedrības ar ierobežotu atbildību komercreģistrā reģistrētu amatpersonu šo nosacījumu piemēro, ja sabiedrības ar ierobežotu atbildību pamatkapitāls ir ne mazāks par 2</w:t>
      </w:r>
      <w:r w:rsidR="00260D14">
        <w:rPr>
          <w:rFonts w:ascii="Times New Roman" w:hAnsi="Times New Roman"/>
          <w:sz w:val="26"/>
          <w:szCs w:val="26"/>
        </w:rPr>
        <w:t> </w:t>
      </w:r>
      <w:r w:rsidR="00C0414F" w:rsidRPr="00C0414F">
        <w:rPr>
          <w:rFonts w:ascii="Times New Roman" w:hAnsi="Times New Roman"/>
          <w:sz w:val="26"/>
          <w:szCs w:val="26"/>
        </w:rPr>
        <w:t>8</w:t>
      </w:r>
      <w:r w:rsidRPr="00C0414F">
        <w:rPr>
          <w:rFonts w:ascii="Times New Roman" w:hAnsi="Times New Roman"/>
          <w:sz w:val="26"/>
          <w:szCs w:val="26"/>
        </w:rPr>
        <w:t xml:space="preserve">00 </w:t>
      </w:r>
      <w:r w:rsidR="00C0414F" w:rsidRPr="00C0414F">
        <w:rPr>
          <w:rFonts w:ascii="Times New Roman" w:hAnsi="Times New Roman"/>
          <w:i/>
          <w:sz w:val="26"/>
          <w:szCs w:val="26"/>
        </w:rPr>
        <w:t>euro</w:t>
      </w:r>
      <w:r w:rsidRPr="00C0414F">
        <w:rPr>
          <w:rFonts w:ascii="Times New Roman" w:hAnsi="Times New Roman"/>
          <w:sz w:val="26"/>
          <w:szCs w:val="26"/>
        </w:rPr>
        <w:t xml:space="preserve">. </w:t>
      </w:r>
    </w:p>
    <w:p w:rsidR="009B10A4" w:rsidRPr="003465EF" w:rsidRDefault="009B10A4" w:rsidP="00F443DB">
      <w:pPr>
        <w:spacing w:after="120" w:line="240" w:lineRule="auto"/>
        <w:ind w:firstLine="426"/>
        <w:jc w:val="both"/>
        <w:rPr>
          <w:rFonts w:ascii="Times New Roman" w:hAnsi="Times New Roman"/>
          <w:sz w:val="26"/>
          <w:szCs w:val="26"/>
        </w:rPr>
      </w:pPr>
      <w:r w:rsidRPr="003465EF">
        <w:rPr>
          <w:rFonts w:ascii="Times New Roman" w:hAnsi="Times New Roman"/>
          <w:sz w:val="26"/>
          <w:szCs w:val="26"/>
        </w:rPr>
        <w:t>201</w:t>
      </w:r>
      <w:r w:rsidR="00C0414F" w:rsidRPr="003465EF">
        <w:rPr>
          <w:rFonts w:ascii="Times New Roman" w:hAnsi="Times New Roman"/>
          <w:sz w:val="26"/>
          <w:szCs w:val="26"/>
        </w:rPr>
        <w:t>4</w:t>
      </w:r>
      <w:r w:rsidRPr="003465EF">
        <w:rPr>
          <w:rFonts w:ascii="Times New Roman" w:hAnsi="Times New Roman"/>
          <w:sz w:val="26"/>
          <w:szCs w:val="26"/>
        </w:rPr>
        <w:t>.gada 1.jūlijā Latvijas Republikā uzturējās 2</w:t>
      </w:r>
      <w:r w:rsidR="003465EF" w:rsidRPr="003465EF">
        <w:rPr>
          <w:rFonts w:ascii="Times New Roman" w:hAnsi="Times New Roman"/>
          <w:sz w:val="26"/>
          <w:szCs w:val="26"/>
        </w:rPr>
        <w:t>37</w:t>
      </w:r>
      <w:r w:rsidRPr="003465EF">
        <w:rPr>
          <w:rFonts w:ascii="Times New Roman" w:hAnsi="Times New Roman"/>
          <w:sz w:val="26"/>
          <w:szCs w:val="26"/>
        </w:rPr>
        <w:t xml:space="preserve"> personas ar derīgām TUA , kas izsniegtas personām kā komercreģistrā reģistrētām amatpersonām. </w:t>
      </w:r>
      <w:r w:rsidR="00B96C18">
        <w:rPr>
          <w:rFonts w:ascii="Times New Roman" w:hAnsi="Times New Roman"/>
          <w:sz w:val="26"/>
          <w:szCs w:val="26"/>
        </w:rPr>
        <w:t>Kopumā šīs personas šobrīd ieņem amatus 235 Latvijā reģistrētā kapitālsabiedrībā</w:t>
      </w:r>
      <w:r w:rsidR="00B96C18" w:rsidRPr="00C571A4">
        <w:rPr>
          <w:rFonts w:ascii="Times New Roman" w:hAnsi="Times New Roman"/>
          <w:sz w:val="26"/>
          <w:szCs w:val="26"/>
        </w:rPr>
        <w:t xml:space="preserve"> un</w:t>
      </w:r>
      <w:r w:rsidR="00B96C18">
        <w:rPr>
          <w:rFonts w:ascii="Times New Roman" w:hAnsi="Times New Roman"/>
          <w:sz w:val="26"/>
          <w:szCs w:val="26"/>
        </w:rPr>
        <w:t xml:space="preserve"> tām</w:t>
      </w:r>
      <w:r w:rsidR="00B96C18" w:rsidRPr="00C571A4">
        <w:rPr>
          <w:rFonts w:ascii="Times New Roman" w:hAnsi="Times New Roman"/>
          <w:sz w:val="26"/>
          <w:szCs w:val="26"/>
        </w:rPr>
        <w:t xml:space="preserve"> pieder kapitāla daļas </w:t>
      </w:r>
      <w:r w:rsidR="00B96C18">
        <w:rPr>
          <w:rFonts w:ascii="Times New Roman" w:hAnsi="Times New Roman"/>
          <w:sz w:val="26"/>
          <w:szCs w:val="26"/>
        </w:rPr>
        <w:t>107</w:t>
      </w:r>
      <w:r w:rsidR="00B96C18" w:rsidRPr="00C571A4">
        <w:rPr>
          <w:rFonts w:ascii="Times New Roman" w:hAnsi="Times New Roman"/>
          <w:sz w:val="26"/>
          <w:szCs w:val="26"/>
        </w:rPr>
        <w:t xml:space="preserve"> Latvijā reģistrētās kapitālsabiedrībās.</w:t>
      </w:r>
    </w:p>
    <w:p w:rsidR="00510275" w:rsidRDefault="00A94D8B" w:rsidP="00F443DB">
      <w:pPr>
        <w:spacing w:after="120" w:line="240" w:lineRule="auto"/>
        <w:ind w:firstLine="426"/>
        <w:jc w:val="both"/>
        <w:rPr>
          <w:rFonts w:ascii="Times New Roman" w:hAnsi="Times New Roman"/>
          <w:sz w:val="26"/>
          <w:szCs w:val="26"/>
        </w:rPr>
      </w:pPr>
      <w:r>
        <w:rPr>
          <w:rFonts w:ascii="Times New Roman" w:hAnsi="Times New Roman"/>
          <w:sz w:val="26"/>
          <w:szCs w:val="26"/>
        </w:rPr>
        <w:lastRenderedPageBreak/>
        <w:t xml:space="preserve">Kopumā šīs amatpersonas </w:t>
      </w:r>
      <w:r w:rsidRPr="00547B7A">
        <w:rPr>
          <w:rFonts w:ascii="Times New Roman" w:hAnsi="Times New Roman"/>
          <w:sz w:val="26"/>
          <w:szCs w:val="26"/>
        </w:rPr>
        <w:t xml:space="preserve">ieņem kādu amatu </w:t>
      </w:r>
      <w:r>
        <w:rPr>
          <w:rFonts w:ascii="Times New Roman" w:hAnsi="Times New Roman"/>
          <w:sz w:val="26"/>
          <w:szCs w:val="26"/>
        </w:rPr>
        <w:t>235</w:t>
      </w:r>
      <w:r w:rsidRPr="00547B7A">
        <w:rPr>
          <w:rFonts w:ascii="Times New Roman" w:hAnsi="Times New Roman"/>
          <w:sz w:val="26"/>
          <w:szCs w:val="26"/>
        </w:rPr>
        <w:t xml:space="preserve"> Latvijā reģistrētās kapitālsabiedrībās</w:t>
      </w:r>
      <w:r>
        <w:rPr>
          <w:rFonts w:ascii="Times New Roman" w:hAnsi="Times New Roman"/>
          <w:sz w:val="26"/>
          <w:szCs w:val="26"/>
        </w:rPr>
        <w:t>, tai skaitā 191 sabiedrībā ar ierobežotu atbildību, 24 ak</w:t>
      </w:r>
      <w:r w:rsidR="00510275">
        <w:rPr>
          <w:rFonts w:ascii="Times New Roman" w:hAnsi="Times New Roman"/>
          <w:sz w:val="26"/>
          <w:szCs w:val="26"/>
        </w:rPr>
        <w:t>ciju sabiedrībā un16 biedrībās).</w:t>
      </w:r>
    </w:p>
    <w:p w:rsidR="00A94D8B" w:rsidRPr="002158E9" w:rsidRDefault="00510275" w:rsidP="00F443DB">
      <w:pPr>
        <w:spacing w:after="120" w:line="240" w:lineRule="auto"/>
        <w:ind w:firstLine="426"/>
        <w:jc w:val="both"/>
        <w:rPr>
          <w:rFonts w:ascii="Times New Roman" w:hAnsi="Times New Roman"/>
          <w:color w:val="000000" w:themeColor="text1"/>
          <w:sz w:val="26"/>
          <w:szCs w:val="26"/>
        </w:rPr>
      </w:pPr>
      <w:r>
        <w:rPr>
          <w:rFonts w:ascii="Times New Roman" w:hAnsi="Times New Roman"/>
          <w:sz w:val="26"/>
          <w:szCs w:val="26"/>
        </w:rPr>
        <w:t>T</w:t>
      </w:r>
      <w:r w:rsidR="00A94D8B" w:rsidRPr="00547B7A">
        <w:rPr>
          <w:rFonts w:ascii="Times New Roman" w:hAnsi="Times New Roman"/>
          <w:sz w:val="26"/>
          <w:szCs w:val="26"/>
        </w:rPr>
        <w:t xml:space="preserve">iem pieder </w:t>
      </w:r>
      <w:r w:rsidR="00A94D8B" w:rsidRPr="00F2225C">
        <w:rPr>
          <w:rFonts w:ascii="Times New Roman" w:hAnsi="Times New Roman"/>
          <w:sz w:val="26"/>
          <w:szCs w:val="26"/>
        </w:rPr>
        <w:t xml:space="preserve">kapitāla daļas </w:t>
      </w:r>
      <w:r w:rsidR="00F2225C">
        <w:rPr>
          <w:rFonts w:ascii="Times New Roman" w:hAnsi="Times New Roman"/>
          <w:sz w:val="26"/>
          <w:szCs w:val="26"/>
        </w:rPr>
        <w:t>93</w:t>
      </w:r>
      <w:r w:rsidR="00A94D8B" w:rsidRPr="00547B7A">
        <w:rPr>
          <w:rFonts w:ascii="Times New Roman" w:hAnsi="Times New Roman"/>
          <w:sz w:val="26"/>
          <w:szCs w:val="26"/>
        </w:rPr>
        <w:t xml:space="preserve"> Latvijā</w:t>
      </w:r>
      <w:r w:rsidR="002158E9">
        <w:rPr>
          <w:rFonts w:ascii="Times New Roman" w:hAnsi="Times New Roman"/>
          <w:sz w:val="26"/>
          <w:szCs w:val="26"/>
        </w:rPr>
        <w:t xml:space="preserve"> reģistrētās kapitālsabiedrībās, no kuriem </w:t>
      </w:r>
      <w:r w:rsidR="002158E9">
        <w:rPr>
          <w:rFonts w:ascii="Times New Roman" w:hAnsi="Times New Roman"/>
          <w:color w:val="FF0000"/>
          <w:sz w:val="26"/>
          <w:szCs w:val="26"/>
        </w:rPr>
        <w:t xml:space="preserve"> </w:t>
      </w:r>
      <w:r w:rsidR="002158E9" w:rsidRPr="002158E9">
        <w:rPr>
          <w:rFonts w:ascii="Times New Roman" w:hAnsi="Times New Roman"/>
          <w:color w:val="000000" w:themeColor="text1"/>
          <w:sz w:val="26"/>
          <w:szCs w:val="26"/>
        </w:rPr>
        <w:t xml:space="preserve">31% sniedz dažādus komercpakalpojumus, tai skaitā transports un loģistika, 20% </w:t>
      </w:r>
      <w:r w:rsidR="005E5C63" w:rsidRPr="002158E9">
        <w:rPr>
          <w:rFonts w:ascii="Times New Roman" w:hAnsi="Times New Roman"/>
          <w:color w:val="000000" w:themeColor="text1"/>
          <w:sz w:val="26"/>
          <w:szCs w:val="26"/>
        </w:rPr>
        <w:t>saistīti a</w:t>
      </w:r>
      <w:r w:rsidR="002158E9" w:rsidRPr="002158E9">
        <w:rPr>
          <w:rFonts w:ascii="Times New Roman" w:hAnsi="Times New Roman"/>
          <w:color w:val="000000" w:themeColor="text1"/>
          <w:sz w:val="26"/>
          <w:szCs w:val="26"/>
        </w:rPr>
        <w:t>r vairum- un mazumtirdzniecību,</w:t>
      </w:r>
      <w:r w:rsidR="005E5C63" w:rsidRPr="002158E9">
        <w:rPr>
          <w:rFonts w:ascii="Times New Roman" w:hAnsi="Times New Roman"/>
          <w:color w:val="000000" w:themeColor="text1"/>
          <w:sz w:val="26"/>
          <w:szCs w:val="26"/>
        </w:rPr>
        <w:t xml:space="preserve"> </w:t>
      </w:r>
      <w:r w:rsidR="002158E9" w:rsidRPr="002158E9">
        <w:rPr>
          <w:rFonts w:ascii="Times New Roman" w:hAnsi="Times New Roman"/>
          <w:color w:val="000000" w:themeColor="text1"/>
          <w:sz w:val="26"/>
          <w:szCs w:val="26"/>
        </w:rPr>
        <w:t>14</w:t>
      </w:r>
      <w:r w:rsidR="005E5C63" w:rsidRPr="002158E9">
        <w:rPr>
          <w:rFonts w:ascii="Times New Roman" w:hAnsi="Times New Roman"/>
          <w:color w:val="000000" w:themeColor="text1"/>
          <w:sz w:val="26"/>
          <w:szCs w:val="26"/>
        </w:rPr>
        <w:t xml:space="preserve">% – ar </w:t>
      </w:r>
      <w:r w:rsidR="002158E9" w:rsidRPr="002158E9">
        <w:rPr>
          <w:rFonts w:ascii="Times New Roman" w:hAnsi="Times New Roman"/>
          <w:color w:val="000000" w:themeColor="text1"/>
          <w:sz w:val="26"/>
          <w:szCs w:val="26"/>
        </w:rPr>
        <w:t>apstrādes rūpniecību un zivsaimniecību, savukārt 12% nodarbojas ar nekust</w:t>
      </w:r>
      <w:r w:rsidR="00E93391">
        <w:rPr>
          <w:rFonts w:ascii="Times New Roman" w:hAnsi="Times New Roman"/>
          <w:color w:val="000000" w:themeColor="text1"/>
          <w:sz w:val="26"/>
          <w:szCs w:val="26"/>
        </w:rPr>
        <w:t>a</w:t>
      </w:r>
      <w:r w:rsidR="002158E9" w:rsidRPr="002158E9">
        <w:rPr>
          <w:rFonts w:ascii="Times New Roman" w:hAnsi="Times New Roman"/>
          <w:color w:val="000000" w:themeColor="text1"/>
          <w:sz w:val="26"/>
          <w:szCs w:val="26"/>
        </w:rPr>
        <w:t xml:space="preserve">mā īpašuma attīstīšanu. </w:t>
      </w:r>
    </w:p>
    <w:p w:rsidR="00083569" w:rsidRDefault="00083569" w:rsidP="00F443DB">
      <w:pPr>
        <w:spacing w:after="120" w:line="240" w:lineRule="auto"/>
        <w:ind w:firstLine="426"/>
        <w:jc w:val="both"/>
        <w:rPr>
          <w:rFonts w:ascii="Times New Roman" w:hAnsi="Times New Roman"/>
          <w:color w:val="FF0000"/>
          <w:sz w:val="26"/>
          <w:szCs w:val="26"/>
        </w:rPr>
      </w:pPr>
    </w:p>
    <w:p w:rsidR="00083569" w:rsidRDefault="00083569" w:rsidP="00F443DB">
      <w:pPr>
        <w:keepNext/>
        <w:spacing w:after="120" w:line="240" w:lineRule="auto"/>
        <w:jc w:val="right"/>
        <w:rPr>
          <w:rFonts w:ascii="Times New Roman" w:hAnsi="Times New Roman"/>
          <w:sz w:val="26"/>
          <w:szCs w:val="26"/>
        </w:rPr>
      </w:pPr>
      <w:r w:rsidRPr="00C0414F">
        <w:rPr>
          <w:rFonts w:ascii="Times New Roman" w:hAnsi="Times New Roman"/>
          <w:sz w:val="26"/>
          <w:szCs w:val="26"/>
        </w:rPr>
        <w:t>1</w:t>
      </w:r>
      <w:r w:rsidR="00660830">
        <w:rPr>
          <w:rFonts w:ascii="Times New Roman" w:hAnsi="Times New Roman"/>
          <w:sz w:val="26"/>
          <w:szCs w:val="26"/>
        </w:rPr>
        <w:t>3</w:t>
      </w:r>
      <w:r w:rsidRPr="00C0414F">
        <w:rPr>
          <w:rFonts w:ascii="Times New Roman" w:hAnsi="Times New Roman"/>
          <w:sz w:val="26"/>
          <w:szCs w:val="26"/>
        </w:rPr>
        <w:t>.attēls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4748"/>
      </w:tblGrid>
      <w:tr w:rsidR="00083569" w:rsidTr="00DC5667">
        <w:tc>
          <w:tcPr>
            <w:tcW w:w="9571" w:type="dxa"/>
            <w:gridSpan w:val="2"/>
          </w:tcPr>
          <w:p w:rsidR="00AD630F" w:rsidRDefault="00083569" w:rsidP="00F443DB">
            <w:pPr>
              <w:keepNext/>
              <w:spacing w:after="120" w:line="240" w:lineRule="auto"/>
              <w:jc w:val="center"/>
              <w:rPr>
                <w:rFonts w:ascii="Times New Roman" w:hAnsi="Times New Roman"/>
                <w:b/>
                <w:sz w:val="24"/>
                <w:szCs w:val="24"/>
              </w:rPr>
            </w:pPr>
            <w:r>
              <w:rPr>
                <w:rFonts w:ascii="Times New Roman" w:hAnsi="Times New Roman"/>
                <w:b/>
                <w:sz w:val="24"/>
                <w:szCs w:val="24"/>
              </w:rPr>
              <w:t xml:space="preserve">Uz TUA iesniedzējiem – </w:t>
            </w:r>
            <w:r w:rsidR="00AD630F">
              <w:rPr>
                <w:rFonts w:ascii="Times New Roman" w:hAnsi="Times New Roman"/>
                <w:b/>
                <w:sz w:val="24"/>
                <w:szCs w:val="24"/>
              </w:rPr>
              <w:t>valdes vai padomes locekļiem</w:t>
            </w:r>
            <w:r w:rsidR="00AD630F" w:rsidRPr="00AD630F">
              <w:rPr>
                <w:rFonts w:ascii="Times New Roman" w:hAnsi="Times New Roman"/>
                <w:b/>
                <w:sz w:val="24"/>
                <w:szCs w:val="24"/>
              </w:rPr>
              <w:t>, prokūrist</w:t>
            </w:r>
            <w:r w:rsidR="00AD630F">
              <w:rPr>
                <w:rFonts w:ascii="Times New Roman" w:hAnsi="Times New Roman"/>
                <w:b/>
                <w:sz w:val="24"/>
                <w:szCs w:val="24"/>
              </w:rPr>
              <w:t xml:space="preserve">iem u.c. attiecināmo </w:t>
            </w:r>
          </w:p>
          <w:p w:rsidR="00083569" w:rsidRDefault="00AD630F" w:rsidP="00F443DB">
            <w:pPr>
              <w:keepNext/>
              <w:spacing w:after="120" w:line="240" w:lineRule="auto"/>
              <w:jc w:val="center"/>
              <w:rPr>
                <w:rFonts w:ascii="Times New Roman" w:hAnsi="Times New Roman"/>
                <w:b/>
                <w:sz w:val="24"/>
                <w:szCs w:val="24"/>
              </w:rPr>
            </w:pPr>
            <w:r>
              <w:rPr>
                <w:rFonts w:ascii="Times New Roman" w:hAnsi="Times New Roman"/>
                <w:b/>
                <w:sz w:val="24"/>
                <w:szCs w:val="24"/>
              </w:rPr>
              <w:t>(pieder daļas)</w:t>
            </w:r>
          </w:p>
        </w:tc>
      </w:tr>
      <w:tr w:rsidR="00083569" w:rsidTr="00DC5667">
        <w:tc>
          <w:tcPr>
            <w:tcW w:w="4785" w:type="dxa"/>
          </w:tcPr>
          <w:p w:rsidR="00083569" w:rsidRDefault="00083569" w:rsidP="00F443DB">
            <w:pPr>
              <w:keepNext/>
              <w:spacing w:after="120" w:line="240" w:lineRule="auto"/>
              <w:jc w:val="center"/>
              <w:rPr>
                <w:rFonts w:ascii="Times New Roman" w:hAnsi="Times New Roman"/>
                <w:b/>
                <w:sz w:val="24"/>
                <w:szCs w:val="24"/>
              </w:rPr>
            </w:pPr>
            <w:r>
              <w:rPr>
                <w:rFonts w:ascii="Times New Roman" w:hAnsi="Times New Roman"/>
                <w:b/>
                <w:sz w:val="24"/>
                <w:szCs w:val="24"/>
              </w:rPr>
              <w:t>kapitālsabiedrību sadalījums pēc to dibināšanas gada</w:t>
            </w:r>
          </w:p>
          <w:p w:rsidR="00083569" w:rsidRDefault="00083569" w:rsidP="00F443DB">
            <w:pPr>
              <w:keepNext/>
              <w:spacing w:after="120" w:line="240" w:lineRule="auto"/>
              <w:jc w:val="right"/>
              <w:rPr>
                <w:rFonts w:ascii="Times New Roman" w:hAnsi="Times New Roman"/>
                <w:sz w:val="26"/>
                <w:szCs w:val="26"/>
              </w:rPr>
            </w:pPr>
            <w:r>
              <w:rPr>
                <w:rFonts w:ascii="Times New Roman" w:hAnsi="Times New Roman"/>
                <w:noProof/>
                <w:sz w:val="26"/>
                <w:szCs w:val="26"/>
                <w:lang w:eastAsia="lv-LV"/>
              </w:rPr>
              <w:drawing>
                <wp:inline distT="0" distB="0" distL="0" distR="0">
                  <wp:extent cx="2619375" cy="2152650"/>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83569" w:rsidRDefault="00083569" w:rsidP="00F443DB">
            <w:pPr>
              <w:keepNext/>
              <w:spacing w:after="120" w:line="240" w:lineRule="auto"/>
              <w:rPr>
                <w:rFonts w:ascii="Times New Roman" w:hAnsi="Times New Roman"/>
                <w:i/>
                <w:sz w:val="26"/>
                <w:szCs w:val="26"/>
              </w:rPr>
            </w:pPr>
          </w:p>
          <w:p w:rsidR="00083569" w:rsidRPr="00CC533C" w:rsidRDefault="00083569" w:rsidP="00F443DB">
            <w:pPr>
              <w:keepNext/>
              <w:spacing w:after="120" w:line="240" w:lineRule="auto"/>
              <w:rPr>
                <w:rFonts w:ascii="Times New Roman" w:hAnsi="Times New Roman"/>
                <w:sz w:val="22"/>
                <w:szCs w:val="22"/>
              </w:rPr>
            </w:pPr>
            <w:r w:rsidRPr="00CC533C">
              <w:rPr>
                <w:rFonts w:ascii="Times New Roman" w:hAnsi="Times New Roman"/>
                <w:i/>
                <w:sz w:val="22"/>
                <w:szCs w:val="22"/>
              </w:rPr>
              <w:t>Avots: Lursoft</w:t>
            </w:r>
          </w:p>
        </w:tc>
        <w:tc>
          <w:tcPr>
            <w:tcW w:w="4786" w:type="dxa"/>
          </w:tcPr>
          <w:p w:rsidR="00083569" w:rsidRDefault="00083569" w:rsidP="00F443DB">
            <w:pPr>
              <w:keepNext/>
              <w:spacing w:after="120" w:line="240" w:lineRule="auto"/>
              <w:jc w:val="center"/>
              <w:rPr>
                <w:rFonts w:ascii="Times New Roman" w:hAnsi="Times New Roman"/>
                <w:b/>
                <w:sz w:val="24"/>
                <w:szCs w:val="24"/>
              </w:rPr>
            </w:pPr>
            <w:r>
              <w:rPr>
                <w:rFonts w:ascii="Times New Roman" w:hAnsi="Times New Roman"/>
                <w:b/>
                <w:sz w:val="24"/>
                <w:szCs w:val="24"/>
              </w:rPr>
              <w:t>kapitālsabiedrību sadalījums</w:t>
            </w:r>
            <w:r w:rsidRPr="00874066">
              <w:rPr>
                <w:rFonts w:ascii="Times New Roman" w:hAnsi="Times New Roman"/>
                <w:b/>
                <w:sz w:val="24"/>
                <w:szCs w:val="24"/>
              </w:rPr>
              <w:t xml:space="preserve"> pēc </w:t>
            </w:r>
            <w:r>
              <w:rPr>
                <w:rFonts w:ascii="Times New Roman" w:hAnsi="Times New Roman"/>
                <w:b/>
                <w:sz w:val="24"/>
                <w:szCs w:val="24"/>
              </w:rPr>
              <w:t>darbības jomas</w:t>
            </w:r>
            <w:r w:rsidRPr="00874066">
              <w:rPr>
                <w:rFonts w:ascii="Times New Roman" w:hAnsi="Times New Roman"/>
                <w:b/>
                <w:sz w:val="24"/>
                <w:szCs w:val="24"/>
              </w:rPr>
              <w:t xml:space="preserve"> </w:t>
            </w:r>
          </w:p>
          <w:p w:rsidR="00083569" w:rsidRDefault="00083569" w:rsidP="00F443DB">
            <w:pPr>
              <w:keepNext/>
              <w:spacing w:after="120" w:line="240" w:lineRule="auto"/>
              <w:jc w:val="center"/>
              <w:rPr>
                <w:rFonts w:ascii="Times New Roman" w:hAnsi="Times New Roman"/>
                <w:b/>
                <w:sz w:val="24"/>
                <w:szCs w:val="24"/>
              </w:rPr>
            </w:pPr>
            <w:r>
              <w:rPr>
                <w:rFonts w:ascii="Times New Roman" w:hAnsi="Times New Roman"/>
                <w:noProof/>
                <w:sz w:val="26"/>
                <w:szCs w:val="26"/>
                <w:lang w:eastAsia="lv-LV"/>
              </w:rPr>
              <w:drawing>
                <wp:inline distT="0" distB="0" distL="0" distR="0">
                  <wp:extent cx="2724150" cy="2152650"/>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83569" w:rsidRDefault="00083569" w:rsidP="00F443DB">
            <w:pPr>
              <w:keepNext/>
              <w:spacing w:after="120" w:line="240" w:lineRule="auto"/>
              <w:rPr>
                <w:rFonts w:ascii="Times New Roman" w:hAnsi="Times New Roman"/>
                <w:i/>
                <w:sz w:val="26"/>
                <w:szCs w:val="26"/>
              </w:rPr>
            </w:pPr>
          </w:p>
          <w:p w:rsidR="00083569" w:rsidRDefault="00083569" w:rsidP="00F443DB">
            <w:pPr>
              <w:keepNext/>
              <w:spacing w:after="120" w:line="240" w:lineRule="auto"/>
              <w:rPr>
                <w:rFonts w:ascii="Times New Roman" w:hAnsi="Times New Roman"/>
                <w:sz w:val="26"/>
                <w:szCs w:val="26"/>
              </w:rPr>
            </w:pPr>
            <w:r w:rsidRPr="00CC533C">
              <w:rPr>
                <w:rFonts w:ascii="Times New Roman" w:hAnsi="Times New Roman"/>
                <w:i/>
                <w:sz w:val="22"/>
                <w:szCs w:val="22"/>
              </w:rPr>
              <w:t>Avots: Lursoft</w:t>
            </w:r>
            <w:r>
              <w:rPr>
                <w:rFonts w:ascii="Times New Roman" w:hAnsi="Times New Roman"/>
                <w:sz w:val="26"/>
                <w:szCs w:val="26"/>
              </w:rPr>
              <w:t xml:space="preserve"> </w:t>
            </w:r>
          </w:p>
        </w:tc>
      </w:tr>
    </w:tbl>
    <w:p w:rsidR="00A94D8B" w:rsidRDefault="00A94D8B" w:rsidP="00F443DB">
      <w:pPr>
        <w:spacing w:after="120" w:line="240" w:lineRule="auto"/>
        <w:ind w:firstLine="425"/>
        <w:jc w:val="both"/>
        <w:rPr>
          <w:rFonts w:ascii="Times New Roman" w:hAnsi="Times New Roman"/>
          <w:color w:val="FF0000"/>
          <w:sz w:val="26"/>
          <w:szCs w:val="26"/>
        </w:rPr>
      </w:pPr>
    </w:p>
    <w:p w:rsidR="005E5C63" w:rsidRDefault="005E5C63" w:rsidP="00F443DB">
      <w:pPr>
        <w:spacing w:after="120" w:line="240" w:lineRule="auto"/>
        <w:ind w:firstLine="425"/>
        <w:jc w:val="both"/>
        <w:rPr>
          <w:rFonts w:ascii="Times New Roman" w:hAnsi="Times New Roman"/>
          <w:color w:val="FF0000"/>
          <w:sz w:val="26"/>
          <w:szCs w:val="26"/>
        </w:rPr>
      </w:pPr>
    </w:p>
    <w:p w:rsidR="009B10A4" w:rsidRPr="003F1F18" w:rsidRDefault="009B10A4" w:rsidP="00F443DB">
      <w:pPr>
        <w:pStyle w:val="Heading1"/>
        <w:spacing w:before="0" w:after="120" w:line="240" w:lineRule="auto"/>
        <w:rPr>
          <w:rFonts w:ascii="Times New Roman" w:hAnsi="Times New Roman"/>
          <w:color w:val="auto"/>
        </w:rPr>
      </w:pPr>
      <w:bookmarkStart w:id="24" w:name="_Toc398179986"/>
      <w:r w:rsidRPr="003F1F18">
        <w:rPr>
          <w:rFonts w:ascii="Times New Roman" w:hAnsi="Times New Roman"/>
          <w:color w:val="auto"/>
        </w:rPr>
        <w:t>7. Ietekme uz tautsaimniecības reālo sektoru</w:t>
      </w:r>
      <w:bookmarkEnd w:id="23"/>
      <w:bookmarkEnd w:id="24"/>
    </w:p>
    <w:p w:rsidR="009B10A4" w:rsidRPr="00A34265" w:rsidRDefault="009B10A4" w:rsidP="00F443DB">
      <w:pPr>
        <w:spacing w:after="120" w:line="240" w:lineRule="auto"/>
        <w:ind w:firstLine="426"/>
        <w:jc w:val="both"/>
        <w:rPr>
          <w:rFonts w:ascii="Times New Roman" w:hAnsi="Times New Roman"/>
          <w:sz w:val="26"/>
          <w:szCs w:val="26"/>
        </w:rPr>
      </w:pPr>
      <w:r w:rsidRPr="00A34265">
        <w:rPr>
          <w:rFonts w:ascii="Times New Roman" w:hAnsi="Times New Roman"/>
          <w:sz w:val="26"/>
          <w:szCs w:val="26"/>
        </w:rPr>
        <w:t>Ienākušie naudas līdzekļi ir veicinājuši ekonomisko aktivitāšu palielināšanos un brīvās naudas līdzekļu daudzumu Latvijā. Pozitīvu ietekmi no attiecīgajām Imigrācijas likuma normām ir izjutušas atsevišķas nozares – galvenokārt, finanšu un nekustamā īpašuma tirgus</w:t>
      </w:r>
      <w:r w:rsidRPr="003F1F18">
        <w:rPr>
          <w:rFonts w:ascii="Times New Roman" w:hAnsi="Times New Roman"/>
          <w:sz w:val="26"/>
          <w:szCs w:val="26"/>
        </w:rPr>
        <w:t xml:space="preserve">, kam Latvijā ienākošie finanšu līdzekļi ir ļāvuši mazināt krīzes izraisītās sekas. </w:t>
      </w:r>
    </w:p>
    <w:p w:rsidR="009B10A4" w:rsidRPr="00A34265" w:rsidRDefault="009B10A4" w:rsidP="00F443DB">
      <w:pPr>
        <w:spacing w:after="120" w:line="240" w:lineRule="auto"/>
        <w:ind w:firstLine="426"/>
        <w:jc w:val="both"/>
        <w:rPr>
          <w:rFonts w:ascii="Times New Roman" w:hAnsi="Times New Roman"/>
          <w:sz w:val="26"/>
          <w:szCs w:val="26"/>
        </w:rPr>
      </w:pPr>
      <w:r w:rsidRPr="00A34265">
        <w:rPr>
          <w:rFonts w:ascii="Times New Roman" w:hAnsi="Times New Roman"/>
          <w:sz w:val="26"/>
          <w:szCs w:val="26"/>
        </w:rPr>
        <w:t>Tiešo ieguvumu no investoriem izjūt arī tā</w:t>
      </w:r>
      <w:r w:rsidR="00E31B6F">
        <w:rPr>
          <w:rFonts w:ascii="Times New Roman" w:hAnsi="Times New Roman"/>
          <w:sz w:val="26"/>
          <w:szCs w:val="26"/>
        </w:rPr>
        <w:t>das nozares kā tūrisms, izmitināšanas pakalpojumi</w:t>
      </w:r>
      <w:r w:rsidRPr="00A34265">
        <w:rPr>
          <w:rFonts w:ascii="Times New Roman" w:hAnsi="Times New Roman"/>
          <w:sz w:val="26"/>
          <w:szCs w:val="26"/>
        </w:rPr>
        <w:t>, juridiskie pakalpojumi, apdrošināšana, namu apsaimniekošana, interjera un dizaina pakalpojumu sniedzēji un ražotāji, pārtika un ēdināšana, veselības aprūpe</w:t>
      </w:r>
      <w:r w:rsidR="00510275">
        <w:rPr>
          <w:rStyle w:val="FootnoteReference"/>
          <w:rFonts w:ascii="Times New Roman" w:hAnsi="Times New Roman"/>
          <w:sz w:val="26"/>
          <w:szCs w:val="26"/>
        </w:rPr>
        <w:footnoteReference w:id="14"/>
      </w:r>
      <w:r w:rsidRPr="00A34265">
        <w:rPr>
          <w:rFonts w:ascii="Times New Roman" w:hAnsi="Times New Roman"/>
          <w:sz w:val="26"/>
          <w:szCs w:val="26"/>
        </w:rPr>
        <w:t>.</w:t>
      </w:r>
    </w:p>
    <w:p w:rsidR="009B10A4" w:rsidRPr="00505830" w:rsidRDefault="009B10A4" w:rsidP="00F443DB">
      <w:pPr>
        <w:spacing w:after="120" w:line="240" w:lineRule="auto"/>
        <w:ind w:firstLine="426"/>
        <w:jc w:val="both"/>
        <w:rPr>
          <w:rFonts w:ascii="Times New Roman" w:hAnsi="Times New Roman"/>
          <w:sz w:val="26"/>
          <w:szCs w:val="26"/>
        </w:rPr>
      </w:pPr>
      <w:r w:rsidRPr="00505830">
        <w:rPr>
          <w:rFonts w:ascii="Times New Roman" w:hAnsi="Times New Roman"/>
          <w:sz w:val="26"/>
          <w:szCs w:val="26"/>
        </w:rPr>
        <w:lastRenderedPageBreak/>
        <w:t>Nerezidentu saimnieciskās darbības paplašināšanos īsumā var aprakstīt sekojoši – lielākā daļa nerezidentu, kurus piesaista iespēja saņemt TUA, atver savus kontus Latvijas komercbankās vai arī iegādājas nekustamo īpašumu. Ņemot vērā, ka likumā noteiktie ieguldījumu ir pietiekami augsti, to</w:t>
      </w:r>
      <w:r w:rsidR="009F07A5">
        <w:rPr>
          <w:rFonts w:ascii="Times New Roman" w:hAnsi="Times New Roman"/>
          <w:sz w:val="26"/>
          <w:szCs w:val="26"/>
        </w:rPr>
        <w:t xml:space="preserve"> var atļauties turīgas personas</w:t>
      </w:r>
      <w:r w:rsidRPr="00505830">
        <w:rPr>
          <w:rFonts w:ascii="Times New Roman" w:hAnsi="Times New Roman"/>
          <w:sz w:val="26"/>
          <w:szCs w:val="26"/>
        </w:rPr>
        <w:t>.</w:t>
      </w:r>
    </w:p>
    <w:p w:rsidR="009B10A4" w:rsidRPr="00966703" w:rsidRDefault="009B10A4" w:rsidP="00F443DB">
      <w:pPr>
        <w:spacing w:after="120" w:line="240" w:lineRule="auto"/>
        <w:jc w:val="right"/>
        <w:rPr>
          <w:rFonts w:ascii="Times New Roman" w:hAnsi="Times New Roman"/>
          <w:sz w:val="26"/>
          <w:szCs w:val="26"/>
          <w:highlight w:val="yellow"/>
        </w:rPr>
      </w:pPr>
    </w:p>
    <w:p w:rsidR="009B10A4" w:rsidRPr="003F1F18" w:rsidRDefault="009B10A4" w:rsidP="00F443DB">
      <w:pPr>
        <w:keepNext/>
        <w:spacing w:after="120" w:line="240" w:lineRule="auto"/>
        <w:jc w:val="right"/>
        <w:rPr>
          <w:rFonts w:ascii="Times New Roman" w:hAnsi="Times New Roman"/>
          <w:sz w:val="26"/>
          <w:szCs w:val="26"/>
        </w:rPr>
      </w:pPr>
      <w:r w:rsidRPr="003F1F18">
        <w:rPr>
          <w:rFonts w:ascii="Times New Roman" w:hAnsi="Times New Roman"/>
          <w:sz w:val="26"/>
          <w:szCs w:val="26"/>
        </w:rPr>
        <w:t>1</w:t>
      </w:r>
      <w:r w:rsidR="00660830">
        <w:rPr>
          <w:rFonts w:ascii="Times New Roman" w:hAnsi="Times New Roman"/>
          <w:sz w:val="26"/>
          <w:szCs w:val="26"/>
        </w:rPr>
        <w:t>4</w:t>
      </w:r>
      <w:r w:rsidRPr="003F1F18">
        <w:rPr>
          <w:rFonts w:ascii="Times New Roman" w:hAnsi="Times New Roman"/>
          <w:sz w:val="26"/>
          <w:szCs w:val="26"/>
        </w:rPr>
        <w:t>.attēls</w:t>
      </w:r>
    </w:p>
    <w:p w:rsidR="009B10A4" w:rsidRPr="003F1F18" w:rsidRDefault="009B10A4" w:rsidP="00F443DB">
      <w:pPr>
        <w:keepNext/>
        <w:spacing w:after="120" w:line="240" w:lineRule="auto"/>
        <w:jc w:val="center"/>
        <w:rPr>
          <w:rFonts w:ascii="Times New Roman" w:hAnsi="Times New Roman"/>
          <w:b/>
          <w:sz w:val="24"/>
          <w:szCs w:val="26"/>
        </w:rPr>
      </w:pPr>
      <w:r w:rsidRPr="003F1F18">
        <w:rPr>
          <w:rFonts w:ascii="Times New Roman" w:hAnsi="Times New Roman"/>
          <w:b/>
          <w:sz w:val="24"/>
          <w:szCs w:val="26"/>
        </w:rPr>
        <w:t>Ārvalstu nerezidentu saimnieciskās darbības paplašināšanās</w:t>
      </w:r>
    </w:p>
    <w:p w:rsidR="009B10A4" w:rsidRPr="003F1F18" w:rsidRDefault="009B10A4" w:rsidP="00F443DB">
      <w:pPr>
        <w:keepNext/>
        <w:spacing w:after="120" w:line="240" w:lineRule="auto"/>
        <w:jc w:val="center"/>
        <w:rPr>
          <w:rFonts w:ascii="Times New Roman" w:hAnsi="Times New Roman"/>
          <w:sz w:val="8"/>
          <w:szCs w:val="8"/>
        </w:rPr>
      </w:pPr>
    </w:p>
    <w:p w:rsidR="009B10A4" w:rsidRPr="003F1F18" w:rsidRDefault="00A624BB" w:rsidP="00F443DB">
      <w:pPr>
        <w:keepNext/>
        <w:spacing w:after="120" w:line="240" w:lineRule="auto"/>
        <w:jc w:val="both"/>
        <w:rPr>
          <w:rFonts w:ascii="Times New Roman" w:hAnsi="Times New Roman"/>
          <w:sz w:val="26"/>
          <w:szCs w:val="26"/>
        </w:rPr>
      </w:pPr>
      <w:r>
        <w:rPr>
          <w:noProof/>
          <w:lang w:eastAsia="lv-LV"/>
        </w:rPr>
      </w:r>
      <w:r>
        <w:rPr>
          <w:noProof/>
          <w:lang w:eastAsia="lv-LV"/>
        </w:rPr>
        <w:pict>
          <v:group id="Group 3" o:spid="_x0000_s1026" style="width:444.25pt;height:165.5pt;mso-position-horizontal-relative:char;mso-position-vertical-relative:line" coordsize="56419,22574">
            <v:shapetype id="_x0000_t32" coordsize="21600,21600" o:spt="32" o:oned="t" path="m,l21600,21600e" filled="f">
              <v:path arrowok="t" fillok="f" o:connecttype="none"/>
              <o:lock v:ext="edit" shapetype="t"/>
            </v:shapetype>
            <v:shape id="Straight Arrow Connector 7" o:spid="_x0000_s1027" type="#_x0000_t32" style="position:absolute;top:20097;width:5641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fPrsIAAADaAAAADwAAAGRycy9kb3ducmV2LnhtbESPT4vCMBTE7wt+h/CEva2pLixSTcU/&#10;CIIHUZc9P5vXpti8lCbW+u3NguBxmJnfMPNFb2vRUesrxwrGowQEce50xaWC3/P2awrCB2SNtWNS&#10;8CAPi2zwMcdUuzsfqTuFUkQI+xQVmBCaVEqfG7LoR64hjl7hWoshyraUusV7hNtaTpLkR1qsOC4Y&#10;bGhtKL+ebjZSLoc8bP5u3frq5XFarPaPsdkr9TnslzMQgfrwDr/aO63gG/6vxBsg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ifPrsIAAADaAAAADwAAAAAAAAAAAAAA&#10;AAChAgAAZHJzL2Rvd25yZXYueG1sUEsFBgAAAAAEAAQA+QAAAJADAAAAAA==&#10;" strokecolor="#4579b8" strokeweight="3pt">
              <v:stroke endarrow="open"/>
            </v:shape>
            <v:line id="Straight Connector 10" o:spid="_x0000_s1028" style="position:absolute;visibility:visible" from="13335,18859" to="13335,21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DSqMQAAADaAAAADwAAAGRycy9kb3ducmV2LnhtbESP3WrCQBSE7wu+w3IE7+pGCbFGVxHB&#10;IiUU/MHrY/aYBLNnQ3abpG/fLRR6OczMN8x6O5hadNS6yrKC2TQCQZxbXXGh4Ho5vL6BcB5ZY22Z&#10;FHyTg+1m9LLGVNueT9SdfSEChF2KCkrvm1RKl5dk0E1tQxy8h20N+iDbQuoW+wA3tZxHUSINVhwW&#10;SmxoX1L+PH8ZBffGnJ7vy4/sqmeLePEZZ7ekzpWajIfdCoSnwf+H/9pHrSCG3yvhBs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NKoxAAAANoAAAAPAAAAAAAAAAAA&#10;AAAAAKECAABkcnMvZG93bnJldi54bWxQSwUGAAAAAAQABAD5AAAAkgMAAAAA&#10;" strokecolor="#4579b8" strokeweight="3pt"/>
            <v:line id="Straight Connector 12" o:spid="_x0000_s1029" style="position:absolute;visibility:visible" from="28575,18859" to="28575,21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x3M8EAAADaAAAADwAAAGRycy9kb3ducmV2LnhtbESPW4vCMBSE3wX/QziCb5q6eO0aZREU&#10;ERG84POxOdsWm5PSRK3/3giCj8PMfMNM57UpxJ0ql1tW0OtGIIgTq3NOFZyOy84YhPPIGgvLpOBJ&#10;DuazZmOKsbYP3tP94FMRIOxiVJB5X8ZSuiQjg65rS+Lg/dvKoA+ySqWu8BHgppA/UTSUBnMOCxmW&#10;tMgouR5uRsGlNPvrarLZnnRv1B/t+tvzsEiUarfqv18Qnmr/DX/aa61gAO8r4QbI2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PHczwQAAANoAAAAPAAAAAAAAAAAAAAAA&#10;AKECAABkcnMvZG93bnJldi54bWxQSwUGAAAAAAQABAD5AAAAjwMAAAAA&#10;" strokecolor="#4579b8" strokeweight="3pt"/>
            <v:line id="Straight Connector 17" o:spid="_x0000_s1030" style="position:absolute;visibility:visible" from="43815,19050" to="43815,21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7pRMEAAADaAAAADwAAAGRycy9kb3ducmV2LnhtbESP3YrCMBSE7wXfIRzBO00VqVqNsiwo&#10;IiL4g9fH5tgWm5PSRK1vv1kQvBxm5htmvmxMKZ5Uu8KygkE/AkGcWl1wpuB8WvUmIJxH1lhaJgVv&#10;crBctFtzTLR98YGeR5+JAGGXoILc+yqR0qU5GXR9WxEH72Zrgz7IOpO6xleAm1IOoyiWBgsOCzlW&#10;9JtTej8+jIJrZQ739XS7O+vBeDTej3aXuEyV6naanxkIT43/hj/tjVYQw/+VcAPk4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7ulEwQAAANoAAAAPAAAAAAAAAAAAAAAA&#10;AKECAABkcnMvZG93bnJldi54bWxQSwUGAAAAAAQABAD5AAAAjwMAAAAA&#10;" strokecolor="#4579b8" strokeweight="3pt"/>
            <v:shapetype id="_x0000_t202" coordsize="21600,21600" o:spt="202" path="m,l,21600r21600,l21600,xe">
              <v:stroke joinstyle="miter"/>
              <v:path gradientshapeok="t" o:connecttype="rect"/>
            </v:shapetype>
            <v:shape id="Text Box 18" o:spid="_x0000_s1031" type="#_x0000_t202" style="position:absolute;width:10795;height:179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WB9MQA&#10;AADaAAAADwAAAGRycy9kb3ducmV2LnhtbESPQWvCQBSE7wX/w/KEXqRuFKoldRUVpFIoaCzt9ZF9&#10;JsHs27C7TaK/vlsQehxm5htmsepNLVpyvrKsYDJOQBDnVldcKPg87Z5eQPiArLG2TAqu5GG1HDws&#10;MNW24yO1WShEhLBPUUEZQpNK6fOSDPqxbYijd7bOYIjSFVI77CLc1HKaJDNpsOK4UGJD25LyS/Zj&#10;FLzbov640SF72+y/Js/fl4pHh0ypx2G/fgURqA//4Xt7rxXM4e9Kv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VgfTEAAAA2gAAAA8AAAAAAAAAAAAAAAAAmAIAAGRycy9k&#10;b3ducmV2LnhtbFBLBQYAAAAABAAEAPUAAACJAwAAAAA=&#10;" fillcolor="#c6d9f1" strokeweight=".5pt">
              <v:shadow on="t" color="black" opacity="26213f" origin="-.5,-.5" offset=".74836mm,.74836mm"/>
              <v:textbox>
                <w:txbxContent>
                  <w:p w:rsidR="000A2105" w:rsidRDefault="000A2105" w:rsidP="00AC58BD">
                    <w:pPr>
                      <w:spacing w:after="0" w:line="240" w:lineRule="auto"/>
                      <w:jc w:val="center"/>
                      <w:rPr>
                        <w:rFonts w:ascii="Times New Roman" w:hAnsi="Times New Roman"/>
                      </w:rPr>
                    </w:pPr>
                    <w:r>
                      <w:rPr>
                        <w:rFonts w:ascii="Times New Roman" w:hAnsi="Times New Roman"/>
                      </w:rPr>
                      <w:t>Privātpersonu piesaiste</w:t>
                    </w:r>
                  </w:p>
                  <w:p w:rsidR="000A2105" w:rsidRDefault="000A2105" w:rsidP="00AC58BD">
                    <w:pPr>
                      <w:spacing w:after="0" w:line="240" w:lineRule="auto"/>
                      <w:jc w:val="center"/>
                      <w:rPr>
                        <w:rFonts w:ascii="Times New Roman" w:hAnsi="Times New Roman"/>
                      </w:rPr>
                    </w:pPr>
                  </w:p>
                  <w:p w:rsidR="000A2105" w:rsidRPr="00AC58BD" w:rsidRDefault="000A2105" w:rsidP="00AC58BD">
                    <w:pPr>
                      <w:spacing w:after="0" w:line="240" w:lineRule="auto"/>
                      <w:jc w:val="center"/>
                      <w:rPr>
                        <w:rFonts w:ascii="Times New Roman" w:hAnsi="Times New Roman"/>
                      </w:rPr>
                    </w:pPr>
                    <w:r w:rsidRPr="00AC58BD">
                      <w:rPr>
                        <w:rFonts w:ascii="Times New Roman" w:hAnsi="Times New Roman"/>
                      </w:rPr>
                      <w:t>(banku sektors)</w:t>
                    </w:r>
                  </w:p>
                </w:txbxContent>
              </v:textbox>
            </v:shape>
            <v:shape id="Text Box 20" o:spid="_x0000_s1032" type="#_x0000_t202" style="position:absolute;left:15525;top:1809;width:10795;height:161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oVhsAA&#10;AADaAAAADwAAAGRycy9kb3ducmV2LnhtbERPTYvCMBC9C/sfwix4EU1dUKSalt0FWREEraLXoZlt&#10;i82kNFGrv94cBI+P971IO1OLK7WusqxgPIpAEOdWV1woOOyXwxkI55E11pZJwZ0cpMlHb4Gxtjfe&#10;0TXzhQgh7GJUUHrfxFK6vCSDbmQb4sD929agD7AtpG7xFsJNLb+iaCoNVhwaSmzot6T8nF2MgrUt&#10;6s2Dttnfz+o4npzOFQ+2mVL9z+57DsJT59/il3ulFYSt4Uq4ATJ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oVhsAAAADaAAAADwAAAAAAAAAAAAAAAACYAgAAZHJzL2Rvd25y&#10;ZXYueG1sUEsFBgAAAAAEAAQA9QAAAIUDAAAAAA==&#10;" fillcolor="#c6d9f1" strokeweight=".5pt">
              <v:shadow on="t" color="black" opacity="26213f" origin="-.5,-.5" offset=".74836mm,.74836mm"/>
              <v:textbox>
                <w:txbxContent>
                  <w:p w:rsidR="000A2105" w:rsidRDefault="000A2105" w:rsidP="00AC58BD">
                    <w:pPr>
                      <w:spacing w:after="0" w:line="240" w:lineRule="auto"/>
                      <w:jc w:val="center"/>
                      <w:rPr>
                        <w:rFonts w:ascii="Times New Roman" w:hAnsi="Times New Roman"/>
                      </w:rPr>
                    </w:pPr>
                    <w:r w:rsidRPr="00AC58BD">
                      <w:rPr>
                        <w:rFonts w:ascii="Times New Roman" w:hAnsi="Times New Roman"/>
                      </w:rPr>
                      <w:t>Privātā biznesa administrēšana</w:t>
                    </w:r>
                  </w:p>
                  <w:p w:rsidR="000A2105" w:rsidRPr="00AC58BD" w:rsidRDefault="000A2105" w:rsidP="00AC58BD">
                    <w:pPr>
                      <w:spacing w:after="0" w:line="240" w:lineRule="auto"/>
                      <w:jc w:val="center"/>
                      <w:rPr>
                        <w:rFonts w:ascii="Times New Roman" w:hAnsi="Times New Roman"/>
                      </w:rPr>
                    </w:pPr>
                    <w:r w:rsidRPr="00AC58BD">
                      <w:rPr>
                        <w:rFonts w:ascii="Times New Roman" w:hAnsi="Times New Roman"/>
                      </w:rPr>
                      <w:t>(izmantojot ār-pakalpojumus –  juridiskie pakalpojumi, grāmatvedība u.c.)</w:t>
                    </w:r>
                  </w:p>
                </w:txbxContent>
              </v:textbox>
            </v:shape>
            <v:shape id="Text Box 24" o:spid="_x0000_s1033" type="#_x0000_t202" style="position:absolute;left:30670;top:3714;width:10795;height:143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wHcQA&#10;AADaAAAADwAAAGRycy9kb3ducmV2LnhtbESPQWvCQBSE7wX/w/KEXqRuFCo2dRUVpFIoaCzt9ZF9&#10;JsHs27C7TaK/vlsQehxm5htmsepNLVpyvrKsYDJOQBDnVldcKPg87Z7mIHxA1lhbJgVX8rBaDh4W&#10;mGrb8ZHaLBQiQtinqKAMoUml9HlJBv3YNsTRO1tnMETpCqkddhFuajlNkpk0WHFcKLGhbUn5Jfsx&#10;Ct5tUX/c6JC9bfZfk+fvS8WjQ6bU47Bfv4II1If/8L291wpe4O9Kv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GsB3EAAAA2gAAAA8AAAAAAAAAAAAAAAAAmAIAAGRycy9k&#10;b3ducmV2LnhtbFBLBQYAAAAABAAEAPUAAACJAwAAAAA=&#10;" fillcolor="#c6d9f1" strokeweight=".5pt">
              <v:shadow on="t" color="black" opacity="26213f" origin="-.5,-.5" offset=".74836mm,.74836mm"/>
              <v:textbox>
                <w:txbxContent>
                  <w:p w:rsidR="000A2105" w:rsidRDefault="000A2105" w:rsidP="00AC58BD">
                    <w:pPr>
                      <w:spacing w:after="0" w:line="240" w:lineRule="auto"/>
                      <w:jc w:val="center"/>
                      <w:rPr>
                        <w:rFonts w:ascii="Times New Roman" w:hAnsi="Times New Roman"/>
                      </w:rPr>
                    </w:pPr>
                    <w:r>
                      <w:rPr>
                        <w:rFonts w:ascii="Times New Roman" w:hAnsi="Times New Roman"/>
                      </w:rPr>
                      <w:t>Pakalpojumu sniegšana</w:t>
                    </w:r>
                  </w:p>
                  <w:p w:rsidR="000A2105" w:rsidRPr="00AC58BD" w:rsidRDefault="000A2105" w:rsidP="00AC58BD">
                    <w:pPr>
                      <w:spacing w:after="0" w:line="240" w:lineRule="auto"/>
                      <w:jc w:val="center"/>
                      <w:rPr>
                        <w:rFonts w:ascii="Times New Roman" w:hAnsi="Times New Roman"/>
                      </w:rPr>
                    </w:pPr>
                    <w:r w:rsidRPr="00AC58BD">
                      <w:rPr>
                        <w:rFonts w:ascii="Times New Roman" w:hAnsi="Times New Roman"/>
                      </w:rPr>
                      <w:t xml:space="preserve">(tirdzniecība, </w:t>
                    </w:r>
                    <w:r>
                      <w:rPr>
                        <w:rFonts w:ascii="Times New Roman" w:hAnsi="Times New Roman"/>
                      </w:rPr>
                      <w:t xml:space="preserve">loģistika, </w:t>
                    </w:r>
                    <w:r w:rsidRPr="00AC58BD">
                      <w:rPr>
                        <w:rFonts w:ascii="Times New Roman" w:hAnsi="Times New Roman"/>
                      </w:rPr>
                      <w:t>…)</w:t>
                    </w:r>
                  </w:p>
                </w:txbxContent>
              </v:textbox>
            </v:shape>
            <v:shape id="Text Box 25" o:spid="_x0000_s1034" type="#_x0000_t202" style="position:absolute;left:45624;top:5429;width:10795;height:125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0rM8QA&#10;AADbAAAADwAAAGRycy9kb3ducmV2LnhtbESPQWvCQBCF74L/YRnBi+hGQSmpq6hQFKFg02KvQ3ZM&#10;gtnZkN1q7K/vHAreZnhv3vtmue5crW7UhsqzgekkAUWce1txYeDr8238AipEZIu1ZzLwoADrVb+3&#10;xNT6O3/QLYuFkhAOKRooY2xSrUNeksMw8Q2xaBffOoyytoW2Ld4l3NV6liQL7bBiaSixoV1J+TX7&#10;cQaOvqjff+mU7beH83T+fa14dMqMGQ66zSuoSF18mv+vD1bwhV5+kQH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NKzPEAAAA2wAAAA8AAAAAAAAAAAAAAAAAmAIAAGRycy9k&#10;b3ducmV2LnhtbFBLBQYAAAAABAAEAPUAAACJAwAAAAA=&#10;" fillcolor="#c6d9f1" strokeweight=".5pt">
              <v:shadow on="t" color="black" opacity="26213f" origin="-.5,-.5" offset=".74836mm,.74836mm"/>
              <v:textbox>
                <w:txbxContent>
                  <w:p w:rsidR="000A2105" w:rsidRPr="00AC58BD" w:rsidRDefault="000A2105" w:rsidP="00AC58BD">
                    <w:pPr>
                      <w:spacing w:after="0" w:line="240" w:lineRule="auto"/>
                      <w:jc w:val="center"/>
                      <w:rPr>
                        <w:rFonts w:ascii="Times New Roman" w:hAnsi="Times New Roman"/>
                      </w:rPr>
                    </w:pPr>
                    <w:r w:rsidRPr="00AC58BD">
                      <w:rPr>
                        <w:rFonts w:ascii="Times New Roman" w:hAnsi="Times New Roman"/>
                      </w:rPr>
                      <w:t>Ražošana</w:t>
                    </w:r>
                  </w:p>
                </w:txbxContent>
              </v:textbox>
            </v:shape>
            <v:group id="Group 26" o:spid="_x0000_s1035" style="position:absolute;left:12192;top:9525;width:32766;height:3238" coordsize="32766,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7" o:spid="_x0000_s1036" type="#_x0000_t13" style="position:absolute;width:2476;height:3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vXMEA&#10;AADbAAAADwAAAGRycy9kb3ducmV2LnhtbERPTYvCMBC9C/sfwix401SRRapRVNhFD4K6hfU4NGNT&#10;bSaliVr//UYQvM3jfc503tpK3KjxpWMFg34Cgjh3uuRCQfb73RuD8AFZY+WYFDzIw3z20Zliqt2d&#10;93Q7hELEEPYpKjAh1KmUPjdk0fddTRy5k2sshgibQuoG7zHcVnKYJF/SYsmxwWBNK0P55XC1Cs7L&#10;S7Uz/rhx593fSf9k6+1qMVKq+9kuJiACteEtfrnXOs4fwvOXeIC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br1zBAAAA2wAAAA8AAAAAAAAAAAAAAAAAmAIAAGRycy9kb3du&#10;cmV2LnhtbFBLBQYAAAAABAAEAPUAAACGAwAAAAA=&#10;" adj="10800" fillcolor="#b8cce4" strokecolor="#243f60" strokeweight=".5pt"/>
              <v:shape id="Right Arrow 28" o:spid="_x0000_s1037" type="#_x0000_t13" style="position:absolute;left:15240;width:2476;height:3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cKx8MA&#10;AADbAAAADwAAAGRycy9kb3ducmV2LnhtbERPTWvCQBC9F/oflin0Vje2IiW6SiooeiioFdrjkB2z&#10;MdnZkF2T+O+7QqG3ebzPmS8HW4uOWl86VjAeJSCIc6dLLhScvtYv7yB8QNZYOyYFN/KwXDw+zDHV&#10;rucDdcdQiBjCPkUFJoQmldLnhiz6kWuII3d2rcUQYVtI3WIfw20tX5NkKi2WHBsMNrQylFfHq1Vw&#10;+ajqvfE/O3fZf5/15rT9XGUTpZ6fhmwGItAQ/sV/7q2O89/g/ks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cKx8MAAADbAAAADwAAAAAAAAAAAAAAAACYAgAAZHJzL2Rv&#10;d25yZXYueG1sUEsFBgAAAAAEAAQA9QAAAIgDAAAAAA==&#10;" adj="10800" fillcolor="#b8cce4" strokecolor="#243f60" strokeweight=".5pt"/>
              <v:shape id="Right Arrow 29" o:spid="_x0000_s1038" type="#_x0000_t13" style="position:absolute;left:30289;width:2477;height:3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6Ss8IA&#10;AADbAAAADwAAAGRycy9kb3ducmV2LnhtbERPS2sCMRC+F/wPYYTealYRKVvjsgoWeyhYFexx2Iyb&#10;fWSybFLd/ntTKHibj+85y2ywrbhS7yvHCqaTBARx4XTFpYLTcfvyCsIHZI2tY1LwSx6y1ehpial2&#10;N/6i6yGUIoawT1GBCaFLpfSFIYt+4jriyF1cbzFE2JdS93iL4baVsyRZSIsVxwaDHW0MFc3hxyqo&#10;1027N/77w9X780W/n3afm3yu1PN4yN9ABBrCQ/zv3uk4fw5/v8Q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vpKzwgAAANsAAAAPAAAAAAAAAAAAAAAAAJgCAABkcnMvZG93&#10;bnJldi54bWxQSwUGAAAAAAQABAD1AAAAhwMAAAAA&#10;" adj="10800" fillcolor="#b8cce4" strokecolor="#243f60" strokeweight=".5pt"/>
            </v:group>
            <v:shape id="Text Box 30" o:spid="_x0000_s1039" type="#_x0000_t202" style="position:absolute;top:20097;width:10795;height:24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LLcIA&#10;AADbAAAADwAAAGRycy9kb3ducmV2LnhtbERPTWsCMRC9F/wPYQQvRbOKtrI1ShGEPexFWwq9DZvp&#10;ZnEz2SZxXf+9KRS8zeN9zmY32Fb05EPjWMF8loEgrpxuuFbw+XGYrkGEiKyxdUwKbhRgtx09bTDX&#10;7spH6k+xFimEQ44KTIxdLmWoDFkMM9cRJ+7HeYsxQV9L7fGawm0rF1n2Ii02nBoMdrQ3VJ1PF6ug&#10;/yqW+tib6J/3ZZEV5/L39btUajIe3t9ARBriQ/zvLnSav4K/X9I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mostwgAAANsAAAAPAAAAAAAAAAAAAAAAAJgCAABkcnMvZG93&#10;bnJldi54bWxQSwUGAAAAAAQABAD1AAAAhwMAAAAA&#10;" filled="f" stroked="f" strokeweight=".5pt">
              <v:textbox>
                <w:txbxContent>
                  <w:p w:rsidR="000A2105" w:rsidRPr="00612134" w:rsidRDefault="000A2105" w:rsidP="00906871">
                    <w:pPr>
                      <w:rPr>
                        <w:rFonts w:ascii="Times New Roman" w:hAnsi="Times New Roman"/>
                        <w:i/>
                      </w:rPr>
                    </w:pPr>
                    <w:r w:rsidRPr="00612134">
                      <w:rPr>
                        <w:rFonts w:ascii="Times New Roman" w:hAnsi="Times New Roman"/>
                        <w:i/>
                      </w:rPr>
                      <w:t>laiks</w:t>
                    </w:r>
                  </w:p>
                </w:txbxContent>
              </v:textbox>
            </v:shape>
            <w10:wrap type="none"/>
            <w10:anchorlock/>
          </v:group>
        </w:pict>
      </w:r>
    </w:p>
    <w:p w:rsidR="009B10A4" w:rsidRPr="003F1F18" w:rsidRDefault="009B10A4" w:rsidP="00F443DB">
      <w:pPr>
        <w:keepNext/>
        <w:spacing w:after="120" w:line="240" w:lineRule="auto"/>
        <w:jc w:val="both"/>
        <w:rPr>
          <w:rFonts w:ascii="Times New Roman" w:hAnsi="Times New Roman"/>
          <w:sz w:val="16"/>
          <w:szCs w:val="26"/>
        </w:rPr>
      </w:pPr>
    </w:p>
    <w:p w:rsidR="009B10A4" w:rsidRPr="003F1F18" w:rsidRDefault="009B10A4" w:rsidP="00F443DB">
      <w:pPr>
        <w:spacing w:after="120" w:line="240" w:lineRule="auto"/>
        <w:ind w:firstLine="426"/>
        <w:jc w:val="both"/>
        <w:rPr>
          <w:rFonts w:ascii="Times New Roman" w:hAnsi="Times New Roman"/>
          <w:sz w:val="26"/>
          <w:szCs w:val="26"/>
        </w:rPr>
      </w:pPr>
      <w:r w:rsidRPr="003F1F18">
        <w:rPr>
          <w:rFonts w:ascii="Times New Roman" w:hAnsi="Times New Roman"/>
          <w:sz w:val="26"/>
          <w:szCs w:val="26"/>
        </w:rPr>
        <w:t>Ar laiku pastāv iespēja, ka investors var izvēlēties pārvaldīt savu biznesu ārzemēs, izmantojot jau Latvijā sniegtos pakalpojumus, piemēram, juridiskos, grāmatvedības, apdrošināšanas u.c. pakalpojumus. Nākamie soļi ir reālās uzņēmējdarbības uzsākšana</w:t>
      </w:r>
      <w:r w:rsidR="00510275">
        <w:rPr>
          <w:rFonts w:ascii="Times New Roman" w:hAnsi="Times New Roman"/>
          <w:sz w:val="26"/>
          <w:szCs w:val="26"/>
        </w:rPr>
        <w:t>.</w:t>
      </w:r>
      <w:r w:rsidRPr="003F1F18">
        <w:rPr>
          <w:rFonts w:ascii="Times New Roman" w:hAnsi="Times New Roman"/>
          <w:sz w:val="26"/>
          <w:szCs w:val="26"/>
        </w:rPr>
        <w:t xml:space="preserve"> Šādai shēmai no investora viedokļa ir svarīgi priekšnosacījumi – skaidrs tiesiskais regulējums, droša un uzņēmējdarbībai draudzīga vide u.c. faktori.</w:t>
      </w:r>
    </w:p>
    <w:p w:rsidR="00505830" w:rsidRPr="00061B22" w:rsidRDefault="00505830" w:rsidP="00F443DB">
      <w:pPr>
        <w:spacing w:after="120" w:line="240" w:lineRule="auto"/>
        <w:ind w:firstLine="426"/>
        <w:jc w:val="both"/>
        <w:rPr>
          <w:rFonts w:ascii="Times New Roman" w:hAnsi="Times New Roman"/>
          <w:sz w:val="26"/>
          <w:szCs w:val="26"/>
        </w:rPr>
      </w:pPr>
      <w:r w:rsidRPr="00061B22">
        <w:rPr>
          <w:rFonts w:ascii="Times New Roman" w:hAnsi="Times New Roman"/>
          <w:sz w:val="26"/>
          <w:szCs w:val="26"/>
        </w:rPr>
        <w:t xml:space="preserve">Analizējot pieejamos datus, var secināt, ka investori vai viņa ģimenes locekļi, kas saņēmuši TUA, iesaistās saimnieciskajā darbībā, taču </w:t>
      </w:r>
      <w:r w:rsidR="00DD57CC">
        <w:rPr>
          <w:rFonts w:ascii="Times New Roman" w:hAnsi="Times New Roman"/>
          <w:sz w:val="26"/>
          <w:szCs w:val="26"/>
        </w:rPr>
        <w:t xml:space="preserve">nepieciešams </w:t>
      </w:r>
      <w:r w:rsidRPr="00061B22">
        <w:rPr>
          <w:rFonts w:ascii="Times New Roman" w:hAnsi="Times New Roman"/>
          <w:sz w:val="26"/>
          <w:szCs w:val="26"/>
        </w:rPr>
        <w:t xml:space="preserve">sistēmisks un regulārs darbs, lai TUA </w:t>
      </w:r>
      <w:r w:rsidR="00B07381">
        <w:rPr>
          <w:rFonts w:ascii="Times New Roman" w:hAnsi="Times New Roman"/>
          <w:sz w:val="26"/>
          <w:szCs w:val="26"/>
        </w:rPr>
        <w:t>saņēmējus</w:t>
      </w:r>
      <w:r w:rsidRPr="00061B22">
        <w:rPr>
          <w:rFonts w:ascii="Times New Roman" w:hAnsi="Times New Roman"/>
          <w:sz w:val="26"/>
          <w:szCs w:val="26"/>
        </w:rPr>
        <w:t xml:space="preserve"> motivētu paplašināt</w:t>
      </w:r>
      <w:r w:rsidR="00061B22" w:rsidRPr="00061B22">
        <w:rPr>
          <w:rFonts w:ascii="Times New Roman" w:hAnsi="Times New Roman"/>
          <w:sz w:val="26"/>
          <w:szCs w:val="26"/>
        </w:rPr>
        <w:t xml:space="preserve"> savas investīcijas Latvijā</w:t>
      </w:r>
      <w:r w:rsidRPr="00061B22">
        <w:rPr>
          <w:rFonts w:ascii="Times New Roman" w:hAnsi="Times New Roman"/>
          <w:sz w:val="26"/>
          <w:szCs w:val="26"/>
        </w:rPr>
        <w:t>.</w:t>
      </w:r>
    </w:p>
    <w:p w:rsidR="009B10A4" w:rsidRPr="00966703" w:rsidRDefault="009B10A4" w:rsidP="00F443DB">
      <w:pPr>
        <w:spacing w:after="120" w:line="240" w:lineRule="auto"/>
        <w:ind w:firstLine="426"/>
        <w:jc w:val="both"/>
        <w:rPr>
          <w:rFonts w:ascii="Times New Roman" w:hAnsi="Times New Roman"/>
          <w:highlight w:val="yellow"/>
        </w:rPr>
      </w:pPr>
    </w:p>
    <w:p w:rsidR="009B10A4" w:rsidRPr="00FD260E" w:rsidRDefault="009B10A4" w:rsidP="00F443DB">
      <w:pPr>
        <w:pStyle w:val="Heading1"/>
        <w:spacing w:before="0" w:after="120" w:line="240" w:lineRule="auto"/>
        <w:rPr>
          <w:rFonts w:ascii="Times New Roman" w:hAnsi="Times New Roman"/>
          <w:color w:val="auto"/>
        </w:rPr>
      </w:pPr>
      <w:bookmarkStart w:id="25" w:name="_Toc398179987"/>
      <w:r w:rsidRPr="00FD260E">
        <w:rPr>
          <w:rFonts w:ascii="Times New Roman" w:hAnsi="Times New Roman"/>
          <w:color w:val="auto"/>
        </w:rPr>
        <w:t>8. Ietekme uz finanšu sektoru</w:t>
      </w:r>
      <w:bookmarkEnd w:id="25"/>
    </w:p>
    <w:p w:rsidR="009B10A4" w:rsidRPr="00FD260E" w:rsidRDefault="009B10A4" w:rsidP="00F443DB">
      <w:pPr>
        <w:spacing w:after="120" w:line="240" w:lineRule="auto"/>
        <w:ind w:firstLine="426"/>
        <w:jc w:val="both"/>
        <w:rPr>
          <w:rFonts w:ascii="Times New Roman" w:hAnsi="Times New Roman"/>
          <w:sz w:val="26"/>
          <w:szCs w:val="26"/>
        </w:rPr>
      </w:pPr>
      <w:r w:rsidRPr="00FD260E">
        <w:rPr>
          <w:rFonts w:ascii="Times New Roman" w:hAnsi="Times New Roman"/>
          <w:sz w:val="26"/>
          <w:szCs w:val="26"/>
        </w:rPr>
        <w:t xml:space="preserve">Vērtējot finanšu sektora ieguvumus no attiecīgajām Imigrācijas likuma normām, jāmin, ka kredītiestādēs kā obligātie starpnieki TUA saņemšanas procesā (gan </w:t>
      </w:r>
      <w:r w:rsidR="00F90BBB">
        <w:rPr>
          <w:rFonts w:ascii="Times New Roman" w:hAnsi="Times New Roman"/>
          <w:sz w:val="26"/>
          <w:szCs w:val="26"/>
        </w:rPr>
        <w:t>slēdzot līgumus par pakārtotajām saistībām</w:t>
      </w:r>
      <w:r w:rsidRPr="00FD260E">
        <w:rPr>
          <w:rFonts w:ascii="Times New Roman" w:hAnsi="Times New Roman"/>
          <w:sz w:val="26"/>
          <w:szCs w:val="26"/>
        </w:rPr>
        <w:t xml:space="preserve">, gan apkalpojot nekustamā īpašuma darījuma kontu), iegūst gan jaunus klientus, gan vērā ņemamu aktīvu pieplūdumu. </w:t>
      </w:r>
    </w:p>
    <w:p w:rsidR="009B10A4" w:rsidRPr="00FD260E" w:rsidRDefault="009B10A4" w:rsidP="00F443DB">
      <w:pPr>
        <w:spacing w:after="120" w:line="240" w:lineRule="auto"/>
        <w:ind w:firstLine="426"/>
        <w:jc w:val="both"/>
        <w:rPr>
          <w:rFonts w:ascii="Times New Roman" w:hAnsi="Times New Roman"/>
          <w:sz w:val="26"/>
          <w:szCs w:val="26"/>
        </w:rPr>
      </w:pPr>
      <w:r w:rsidRPr="00FD260E">
        <w:rPr>
          <w:rFonts w:ascii="Times New Roman" w:hAnsi="Times New Roman"/>
          <w:sz w:val="26"/>
          <w:szCs w:val="26"/>
        </w:rPr>
        <w:t>Attiecī</w:t>
      </w:r>
      <w:r w:rsidR="00D3787B">
        <w:rPr>
          <w:rFonts w:ascii="Times New Roman" w:hAnsi="Times New Roman"/>
          <w:sz w:val="26"/>
          <w:szCs w:val="26"/>
        </w:rPr>
        <w:t xml:space="preserve">gās Imigrācijas likuma izmaiņas, kas stājās spēkā ar 2010.gada 1.jūliju, </w:t>
      </w:r>
      <w:r w:rsidRPr="00FD260E">
        <w:rPr>
          <w:rFonts w:ascii="Times New Roman" w:hAnsi="Times New Roman"/>
          <w:sz w:val="26"/>
          <w:szCs w:val="26"/>
        </w:rPr>
        <w:t xml:space="preserve">deva iespēju attīstīt un tirgū aktīvi piedāvāt iepriekš maz pieprasīto pakalpojumu – </w:t>
      </w:r>
      <w:r w:rsidR="00F90BBB">
        <w:rPr>
          <w:rFonts w:ascii="Times New Roman" w:hAnsi="Times New Roman"/>
          <w:sz w:val="26"/>
          <w:szCs w:val="26"/>
        </w:rPr>
        <w:t>līgumu par pakārtotajām saistībām</w:t>
      </w:r>
      <w:r w:rsidRPr="00FD260E">
        <w:rPr>
          <w:rFonts w:ascii="Times New Roman" w:hAnsi="Times New Roman"/>
          <w:sz w:val="26"/>
          <w:szCs w:val="26"/>
        </w:rPr>
        <w:t>, kā rezultātā, kredītiestādēm sniedzot iespēju paplašināt potenciālo klientu loku.</w:t>
      </w:r>
    </w:p>
    <w:p w:rsidR="009B10A4" w:rsidRPr="00FD260E" w:rsidRDefault="009B10A4" w:rsidP="00F443DB">
      <w:pPr>
        <w:spacing w:after="120" w:line="240" w:lineRule="auto"/>
        <w:ind w:firstLine="426"/>
        <w:jc w:val="both"/>
        <w:rPr>
          <w:rFonts w:ascii="Times New Roman" w:hAnsi="Times New Roman"/>
          <w:sz w:val="26"/>
          <w:szCs w:val="26"/>
        </w:rPr>
      </w:pPr>
      <w:r w:rsidRPr="00FD260E">
        <w:rPr>
          <w:rFonts w:ascii="Times New Roman" w:hAnsi="Times New Roman"/>
          <w:sz w:val="26"/>
          <w:szCs w:val="26"/>
        </w:rPr>
        <w:t>Piesaistītos līdzekļus kredītiestādes atgriež apgrozījumā, izsniedzot kredītus, t.i. attīsta kreditēšanas sfēru un ļauj naudai strādāt tautsaimniecības interesēs.</w:t>
      </w:r>
    </w:p>
    <w:p w:rsidR="009B10A4" w:rsidRPr="00FD260E" w:rsidRDefault="009B10A4" w:rsidP="00F443DB">
      <w:pPr>
        <w:spacing w:after="120" w:line="240" w:lineRule="auto"/>
        <w:ind w:firstLine="426"/>
        <w:jc w:val="both"/>
        <w:rPr>
          <w:rFonts w:ascii="Times New Roman" w:hAnsi="Times New Roman"/>
          <w:sz w:val="26"/>
          <w:szCs w:val="26"/>
        </w:rPr>
      </w:pPr>
      <w:r w:rsidRPr="00FD260E">
        <w:rPr>
          <w:rFonts w:ascii="Times New Roman" w:hAnsi="Times New Roman"/>
          <w:sz w:val="26"/>
          <w:szCs w:val="26"/>
        </w:rPr>
        <w:lastRenderedPageBreak/>
        <w:t>Palielinoties piesaistītajam kapitālam, parādās iespēja refinansēt daļu no sliktajiem un kavētajiem kredītiem – tas nozīmē, ka to īpatsvaram parādās tendence samazināties, kā arī uzlabojas kredītiestāžu kapitāla pietiekamības rādītāji.</w:t>
      </w:r>
    </w:p>
    <w:p w:rsidR="009B10A4" w:rsidRPr="00FD260E" w:rsidRDefault="00F90BBB" w:rsidP="00F443DB">
      <w:pPr>
        <w:spacing w:after="120" w:line="240" w:lineRule="auto"/>
        <w:ind w:firstLine="426"/>
        <w:jc w:val="both"/>
        <w:rPr>
          <w:rFonts w:ascii="Times New Roman" w:hAnsi="Times New Roman"/>
          <w:sz w:val="26"/>
          <w:szCs w:val="26"/>
        </w:rPr>
      </w:pPr>
      <w:r>
        <w:rPr>
          <w:rFonts w:ascii="Times New Roman" w:hAnsi="Times New Roman"/>
          <w:sz w:val="26"/>
          <w:szCs w:val="26"/>
        </w:rPr>
        <w:t>Pakārtotās saistības</w:t>
      </w:r>
      <w:r w:rsidR="009B10A4" w:rsidRPr="00FD260E">
        <w:rPr>
          <w:rFonts w:ascii="Times New Roman" w:hAnsi="Times New Roman"/>
          <w:sz w:val="26"/>
          <w:szCs w:val="26"/>
        </w:rPr>
        <w:t xml:space="preserve"> tiek izmantotas tikai otrā līmeņa kapitālā (</w:t>
      </w:r>
      <w:r w:rsidR="009B10A4" w:rsidRPr="00FD260E">
        <w:rPr>
          <w:rFonts w:ascii="Times New Roman" w:hAnsi="Times New Roman"/>
          <w:i/>
          <w:sz w:val="26"/>
          <w:szCs w:val="26"/>
        </w:rPr>
        <w:t>Tier 2 Capital</w:t>
      </w:r>
      <w:r w:rsidR="009B10A4" w:rsidRPr="00FD260E">
        <w:rPr>
          <w:rFonts w:ascii="Times New Roman" w:hAnsi="Times New Roman"/>
          <w:sz w:val="26"/>
          <w:szCs w:val="26"/>
        </w:rPr>
        <w:t xml:space="preserve">) un tiek ņemts vērā kredītiestādes kapitāla pietiekamības aprēķinā. Tādējādi tas tiek izmantots attiecīgās bankas un visas banku sistēmas risku mazināšanai (pieaug kapitāla pietiekamība) un attiecīgi palielinās iespēja bankām izsniegt kredītus. </w:t>
      </w:r>
    </w:p>
    <w:p w:rsidR="009B10A4" w:rsidRPr="00FD260E" w:rsidRDefault="009B10A4" w:rsidP="00F443DB">
      <w:pPr>
        <w:spacing w:after="120" w:line="240" w:lineRule="auto"/>
        <w:ind w:firstLine="426"/>
        <w:jc w:val="both"/>
        <w:rPr>
          <w:rFonts w:ascii="Times New Roman" w:hAnsi="Times New Roman"/>
          <w:color w:val="FF0000"/>
          <w:sz w:val="26"/>
          <w:szCs w:val="26"/>
        </w:rPr>
      </w:pPr>
      <w:r w:rsidRPr="00FD260E">
        <w:rPr>
          <w:rFonts w:ascii="Times New Roman" w:hAnsi="Times New Roman"/>
          <w:sz w:val="26"/>
          <w:szCs w:val="26"/>
        </w:rPr>
        <w:t xml:space="preserve">Imigrācijas likuma normas ir pozitīvi ietekmējušas kredītiestāžu kapitāla bāzi, sevišķi, tās palīdzējušas piesaistīt kapitālu apstākļos, kad kapitāls praktiski nav pieejams tiešo </w:t>
      </w:r>
      <w:r w:rsidRPr="00375832">
        <w:rPr>
          <w:rFonts w:ascii="Times New Roman" w:hAnsi="Times New Roman"/>
          <w:sz w:val="26"/>
          <w:szCs w:val="26"/>
        </w:rPr>
        <w:t>investīciju veidā. Atsevišķām kredītiestādēm piesaistīto pakārtoto saistību apjoms pieaudzis līdz pat 70%</w:t>
      </w:r>
      <w:r w:rsidRPr="00375832">
        <w:rPr>
          <w:rStyle w:val="FootnoteReference"/>
          <w:rFonts w:ascii="Times New Roman" w:hAnsi="Times New Roman"/>
          <w:sz w:val="26"/>
          <w:szCs w:val="26"/>
        </w:rPr>
        <w:footnoteReference w:id="15"/>
      </w:r>
      <w:r w:rsidRPr="00375832">
        <w:rPr>
          <w:rFonts w:ascii="Times New Roman" w:hAnsi="Times New Roman"/>
          <w:sz w:val="26"/>
          <w:szCs w:val="26"/>
        </w:rPr>
        <w:t>.</w:t>
      </w:r>
      <w:r w:rsidRPr="00FD260E">
        <w:rPr>
          <w:rFonts w:ascii="Times New Roman" w:hAnsi="Times New Roman"/>
          <w:sz w:val="26"/>
          <w:szCs w:val="26"/>
        </w:rPr>
        <w:t xml:space="preserve">   </w:t>
      </w:r>
    </w:p>
    <w:p w:rsidR="005436B6" w:rsidRPr="00966703" w:rsidRDefault="005436B6" w:rsidP="00F443DB">
      <w:pPr>
        <w:spacing w:after="120" w:line="240" w:lineRule="auto"/>
        <w:jc w:val="right"/>
        <w:rPr>
          <w:rFonts w:ascii="Times New Roman" w:hAnsi="Times New Roman"/>
          <w:sz w:val="26"/>
          <w:szCs w:val="26"/>
          <w:highlight w:val="yellow"/>
        </w:rPr>
      </w:pPr>
    </w:p>
    <w:p w:rsidR="00327CF1" w:rsidRPr="00375832" w:rsidRDefault="009B10A4" w:rsidP="00F443DB">
      <w:pPr>
        <w:spacing w:after="120" w:line="240" w:lineRule="auto"/>
        <w:jc w:val="right"/>
        <w:rPr>
          <w:rFonts w:ascii="Times New Roman" w:hAnsi="Times New Roman"/>
          <w:sz w:val="26"/>
          <w:szCs w:val="26"/>
        </w:rPr>
      </w:pPr>
      <w:r w:rsidRPr="00375832">
        <w:rPr>
          <w:rFonts w:ascii="Times New Roman" w:hAnsi="Times New Roman"/>
          <w:sz w:val="26"/>
          <w:szCs w:val="26"/>
        </w:rPr>
        <w:t>1</w:t>
      </w:r>
      <w:r w:rsidR="00660830">
        <w:rPr>
          <w:rFonts w:ascii="Times New Roman" w:hAnsi="Times New Roman"/>
          <w:sz w:val="26"/>
          <w:szCs w:val="26"/>
        </w:rPr>
        <w:t>5</w:t>
      </w:r>
      <w:r w:rsidRPr="00375832">
        <w:rPr>
          <w:rFonts w:ascii="Times New Roman" w:hAnsi="Times New Roman"/>
          <w:sz w:val="26"/>
          <w:szCs w:val="26"/>
        </w:rPr>
        <w:t>.attēls</w:t>
      </w: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6"/>
        <w:gridCol w:w="4638"/>
      </w:tblGrid>
      <w:tr w:rsidR="00754554" w:rsidTr="00375832">
        <w:tc>
          <w:tcPr>
            <w:tcW w:w="5490" w:type="dxa"/>
          </w:tcPr>
          <w:tbl>
            <w:tblPr>
              <w:tblW w:w="5000" w:type="pct"/>
              <w:tblLook w:val="00A0" w:firstRow="1" w:lastRow="0" w:firstColumn="1" w:lastColumn="0" w:noHBand="0" w:noVBand="0"/>
            </w:tblPr>
            <w:tblGrid>
              <w:gridCol w:w="5220"/>
            </w:tblGrid>
            <w:tr w:rsidR="00754554" w:rsidRPr="00754554" w:rsidTr="00754554">
              <w:tc>
                <w:tcPr>
                  <w:tcW w:w="5000" w:type="pct"/>
                </w:tcPr>
                <w:p w:rsidR="00754554" w:rsidRPr="00754554" w:rsidRDefault="00754554" w:rsidP="00F443DB">
                  <w:pPr>
                    <w:spacing w:after="120" w:line="240" w:lineRule="auto"/>
                    <w:ind w:left="142" w:right="202"/>
                    <w:jc w:val="center"/>
                    <w:rPr>
                      <w:rFonts w:ascii="Times New Roman" w:hAnsi="Times New Roman"/>
                      <w:b/>
                      <w:color w:val="000000" w:themeColor="text1"/>
                      <w:szCs w:val="26"/>
                    </w:rPr>
                  </w:pPr>
                  <w:r w:rsidRPr="00754554">
                    <w:rPr>
                      <w:rFonts w:ascii="Times New Roman" w:hAnsi="Times New Roman"/>
                      <w:b/>
                      <w:color w:val="000000" w:themeColor="text1"/>
                      <w:szCs w:val="26"/>
                    </w:rPr>
                    <w:t>Kredītu maksājumu kavējumi (&gt;180 dienām), milj.eiro</w:t>
                  </w:r>
                </w:p>
              </w:tc>
            </w:tr>
            <w:tr w:rsidR="00754554" w:rsidRPr="00754554" w:rsidTr="00754554">
              <w:tc>
                <w:tcPr>
                  <w:tcW w:w="5000" w:type="pct"/>
                </w:tcPr>
                <w:p w:rsidR="00754554" w:rsidRPr="00754554" w:rsidRDefault="00754554" w:rsidP="00F443DB">
                  <w:pPr>
                    <w:spacing w:after="120" w:line="240" w:lineRule="auto"/>
                    <w:jc w:val="both"/>
                    <w:rPr>
                      <w:rFonts w:ascii="Times New Roman" w:hAnsi="Times New Roman"/>
                      <w:color w:val="000000" w:themeColor="text1"/>
                      <w:sz w:val="26"/>
                      <w:szCs w:val="26"/>
                    </w:rPr>
                  </w:pPr>
                  <w:r w:rsidRPr="00754554">
                    <w:rPr>
                      <w:rFonts w:ascii="Times New Roman" w:hAnsi="Times New Roman"/>
                      <w:noProof/>
                      <w:color w:val="000000" w:themeColor="text1"/>
                      <w:sz w:val="26"/>
                      <w:szCs w:val="26"/>
                      <w:lang w:eastAsia="lv-LV"/>
                    </w:rPr>
                    <w:drawing>
                      <wp:inline distT="0" distB="0" distL="0" distR="0">
                        <wp:extent cx="3377821" cy="1753738"/>
                        <wp:effectExtent l="0" t="0" r="0" b="0"/>
                        <wp:docPr id="16" name="Objec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rsidR="00754554" w:rsidRPr="00754554" w:rsidRDefault="00754554" w:rsidP="00F443DB">
            <w:pPr>
              <w:spacing w:after="120" w:line="240" w:lineRule="auto"/>
              <w:rPr>
                <w:rFonts w:ascii="Times New Roman" w:hAnsi="Times New Roman"/>
                <w:color w:val="000000" w:themeColor="text1"/>
                <w:sz w:val="26"/>
                <w:szCs w:val="26"/>
              </w:rPr>
            </w:pPr>
            <w:r w:rsidRPr="00754554">
              <w:rPr>
                <w:rFonts w:ascii="Times New Roman" w:hAnsi="Times New Roman"/>
                <w:i/>
                <w:color w:val="000000" w:themeColor="text1"/>
                <w:szCs w:val="26"/>
              </w:rPr>
              <w:t>Avots: FKTK</w:t>
            </w:r>
          </w:p>
        </w:tc>
        <w:tc>
          <w:tcPr>
            <w:tcW w:w="4682" w:type="dxa"/>
          </w:tcPr>
          <w:tbl>
            <w:tblPr>
              <w:tblW w:w="5000" w:type="pct"/>
              <w:tblLook w:val="00A0" w:firstRow="1" w:lastRow="0" w:firstColumn="1" w:lastColumn="0" w:noHBand="0" w:noVBand="0"/>
            </w:tblPr>
            <w:tblGrid>
              <w:gridCol w:w="4422"/>
            </w:tblGrid>
            <w:tr w:rsidR="00754554" w:rsidRPr="00754554" w:rsidTr="00401F10">
              <w:tc>
                <w:tcPr>
                  <w:tcW w:w="5000" w:type="pct"/>
                </w:tcPr>
                <w:p w:rsidR="00754554" w:rsidRPr="00754554" w:rsidRDefault="00754554" w:rsidP="00F443DB">
                  <w:pPr>
                    <w:spacing w:after="120" w:line="240" w:lineRule="auto"/>
                    <w:ind w:left="142" w:right="202"/>
                    <w:rPr>
                      <w:rFonts w:ascii="Times New Roman" w:hAnsi="Times New Roman"/>
                      <w:b/>
                      <w:color w:val="000000" w:themeColor="text1"/>
                      <w:szCs w:val="26"/>
                    </w:rPr>
                  </w:pPr>
                  <w:r w:rsidRPr="00754554">
                    <w:rPr>
                      <w:rFonts w:ascii="Times New Roman" w:hAnsi="Times New Roman"/>
                      <w:b/>
                      <w:color w:val="000000" w:themeColor="text1"/>
                      <w:szCs w:val="26"/>
                    </w:rPr>
                    <w:t xml:space="preserve">              </w:t>
                  </w:r>
                </w:p>
                <w:p w:rsidR="00754554" w:rsidRPr="00754554" w:rsidRDefault="00754554" w:rsidP="00F443DB">
                  <w:pPr>
                    <w:spacing w:after="120" w:line="240" w:lineRule="auto"/>
                    <w:ind w:left="142" w:right="202"/>
                    <w:jc w:val="center"/>
                    <w:rPr>
                      <w:rFonts w:ascii="Times New Roman" w:hAnsi="Times New Roman"/>
                      <w:b/>
                      <w:color w:val="000000" w:themeColor="text1"/>
                      <w:szCs w:val="26"/>
                    </w:rPr>
                  </w:pPr>
                  <w:r w:rsidRPr="00754554">
                    <w:rPr>
                      <w:rFonts w:ascii="Times New Roman" w:hAnsi="Times New Roman"/>
                      <w:b/>
                      <w:color w:val="000000" w:themeColor="text1"/>
                      <w:szCs w:val="26"/>
                    </w:rPr>
                    <w:t>Banku likviditātes rādītājs</w:t>
                  </w:r>
                </w:p>
              </w:tc>
            </w:tr>
            <w:tr w:rsidR="00754554" w:rsidRPr="00754554" w:rsidTr="00401F10">
              <w:tc>
                <w:tcPr>
                  <w:tcW w:w="5000" w:type="pct"/>
                </w:tcPr>
                <w:p w:rsidR="00754554" w:rsidRPr="00754554" w:rsidRDefault="00754554" w:rsidP="00F443DB">
                  <w:pPr>
                    <w:spacing w:after="120" w:line="240" w:lineRule="auto"/>
                    <w:jc w:val="both"/>
                    <w:rPr>
                      <w:rFonts w:ascii="Times New Roman" w:hAnsi="Times New Roman"/>
                      <w:color w:val="000000" w:themeColor="text1"/>
                      <w:sz w:val="26"/>
                      <w:szCs w:val="26"/>
                    </w:rPr>
                  </w:pPr>
                  <w:r w:rsidRPr="00754554">
                    <w:rPr>
                      <w:rFonts w:ascii="Times New Roman" w:hAnsi="Times New Roman"/>
                      <w:noProof/>
                      <w:color w:val="000000" w:themeColor="text1"/>
                      <w:sz w:val="26"/>
                      <w:szCs w:val="26"/>
                      <w:lang w:eastAsia="lv-LV"/>
                    </w:rPr>
                    <w:drawing>
                      <wp:inline distT="0" distB="0" distL="0" distR="0">
                        <wp:extent cx="2838734" cy="1753737"/>
                        <wp:effectExtent l="0" t="0" r="0" b="0"/>
                        <wp:docPr id="24" name="Objec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rsidR="00754554" w:rsidRPr="00754554" w:rsidRDefault="00754554" w:rsidP="00F443DB">
            <w:pPr>
              <w:spacing w:after="120" w:line="240" w:lineRule="auto"/>
              <w:rPr>
                <w:rFonts w:ascii="Times New Roman" w:hAnsi="Times New Roman"/>
                <w:color w:val="000000" w:themeColor="text1"/>
                <w:sz w:val="26"/>
                <w:szCs w:val="26"/>
              </w:rPr>
            </w:pPr>
            <w:r w:rsidRPr="00754554">
              <w:rPr>
                <w:rFonts w:ascii="Times New Roman" w:hAnsi="Times New Roman"/>
                <w:i/>
                <w:color w:val="000000" w:themeColor="text1"/>
                <w:szCs w:val="26"/>
              </w:rPr>
              <w:t>Avots: FKTK</w:t>
            </w:r>
          </w:p>
        </w:tc>
      </w:tr>
    </w:tbl>
    <w:p w:rsidR="00754554" w:rsidRDefault="00754554" w:rsidP="00F443DB">
      <w:pPr>
        <w:spacing w:after="120" w:line="240" w:lineRule="auto"/>
        <w:ind w:firstLine="426"/>
        <w:jc w:val="both"/>
        <w:rPr>
          <w:rFonts w:ascii="Times New Roman" w:hAnsi="Times New Roman"/>
          <w:sz w:val="26"/>
          <w:szCs w:val="26"/>
        </w:rPr>
      </w:pPr>
    </w:p>
    <w:p w:rsidR="008C0ACA" w:rsidRDefault="009B10A4" w:rsidP="00F443DB">
      <w:pPr>
        <w:spacing w:after="120" w:line="240" w:lineRule="auto"/>
        <w:ind w:firstLine="426"/>
        <w:jc w:val="both"/>
        <w:rPr>
          <w:rFonts w:ascii="Times New Roman" w:hAnsi="Times New Roman"/>
          <w:sz w:val="26"/>
          <w:szCs w:val="26"/>
        </w:rPr>
      </w:pPr>
      <w:r w:rsidRPr="001D13FC">
        <w:rPr>
          <w:rFonts w:ascii="Times New Roman" w:hAnsi="Times New Roman"/>
          <w:sz w:val="26"/>
          <w:szCs w:val="26"/>
        </w:rPr>
        <w:t xml:space="preserve">Attiecībā uz kredītiestāžu izsniegto hipotekāro kredītu amortizāciju (samazinājumu), jānorāda, ka attiecīgās Imigrācijas likuma normas būtiski ietekmē gan kredītu plānotās (pielīgtās) atmaksas, gan atmaksas ar tiesvedības procesu starpniecību. Šajā kontekstā ir </w:t>
      </w:r>
      <w:r w:rsidR="008C0ACA" w:rsidRPr="001D13FC">
        <w:rPr>
          <w:rFonts w:ascii="Times New Roman" w:hAnsi="Times New Roman"/>
          <w:sz w:val="26"/>
          <w:szCs w:val="26"/>
        </w:rPr>
        <w:t xml:space="preserve">grūti </w:t>
      </w:r>
      <w:r w:rsidRPr="001D13FC">
        <w:rPr>
          <w:rFonts w:ascii="Times New Roman" w:hAnsi="Times New Roman"/>
          <w:sz w:val="26"/>
          <w:szCs w:val="26"/>
        </w:rPr>
        <w:t xml:space="preserve">precīzi noteikt ārvalstniekiem, kā arī tieši attiecīgo Imigrācijas likuma normu ietvaros pārdoto īpašumu </w:t>
      </w:r>
      <w:r w:rsidRPr="002A0B6B">
        <w:rPr>
          <w:rFonts w:ascii="Times New Roman" w:hAnsi="Times New Roman"/>
          <w:sz w:val="26"/>
          <w:szCs w:val="26"/>
        </w:rPr>
        <w:t>proporciju, tomēr šo likumu normu ietekme ir nenoliedzama, jo atsevišķām kredītiestādēm laikā no 2010.-2013.gadam rezidentiem izsniegtie hipotekārie kredīti ir samazinājušies par 25%</w:t>
      </w:r>
      <w:r w:rsidRPr="002A0B6B">
        <w:rPr>
          <w:rStyle w:val="FootnoteReference"/>
          <w:rFonts w:ascii="Times New Roman" w:hAnsi="Times New Roman"/>
          <w:sz w:val="26"/>
          <w:szCs w:val="26"/>
        </w:rPr>
        <w:footnoteReference w:id="16"/>
      </w:r>
      <w:r w:rsidRPr="002A0B6B">
        <w:rPr>
          <w:rFonts w:ascii="Times New Roman" w:hAnsi="Times New Roman"/>
          <w:sz w:val="26"/>
          <w:szCs w:val="26"/>
        </w:rPr>
        <w:t>.</w:t>
      </w:r>
      <w:r w:rsidRPr="001D13FC">
        <w:rPr>
          <w:rFonts w:ascii="Times New Roman" w:hAnsi="Times New Roman"/>
          <w:sz w:val="26"/>
          <w:szCs w:val="26"/>
        </w:rPr>
        <w:t xml:space="preserve"> </w:t>
      </w:r>
    </w:p>
    <w:p w:rsidR="009B10A4" w:rsidRDefault="009B10A4" w:rsidP="00F443DB">
      <w:pPr>
        <w:spacing w:after="120" w:line="240" w:lineRule="auto"/>
        <w:ind w:firstLine="426"/>
        <w:jc w:val="both"/>
        <w:rPr>
          <w:rFonts w:ascii="Times New Roman" w:hAnsi="Times New Roman"/>
          <w:sz w:val="26"/>
          <w:szCs w:val="26"/>
        </w:rPr>
      </w:pPr>
      <w:r w:rsidRPr="001D13FC">
        <w:rPr>
          <w:rFonts w:ascii="Times New Roman" w:hAnsi="Times New Roman"/>
          <w:sz w:val="26"/>
          <w:szCs w:val="26"/>
        </w:rPr>
        <w:t xml:space="preserve">Kopumā vērtējot, šobrīd kapitāla finansējums bankām ir pieejams ierobežotā apjomā, kas saistīts ar kapitāla atdeves samazināšanos no ieguldījumiem finanšu sektorā, tāpēc kredītiestādēm ir ļoti būtiski saglabāt attiecīgās Imigrācijas likuma normas un nesamazināt iespējas to ietvaros piesaistīt kapitālu kredītiestādēm. Minētais attiecināms </w:t>
      </w:r>
      <w:r w:rsidRPr="001D13FC">
        <w:rPr>
          <w:rFonts w:ascii="Times New Roman" w:hAnsi="Times New Roman"/>
          <w:sz w:val="26"/>
          <w:szCs w:val="26"/>
        </w:rPr>
        <w:lastRenderedPageBreak/>
        <w:t>arī uz minimālo investīciju summu, kas veicamas Latvijā reģistrētas kredītiestādes</w:t>
      </w:r>
      <w:r w:rsidRPr="001D13FC">
        <w:rPr>
          <w:rFonts w:ascii="Times New Roman" w:hAnsi="Times New Roman"/>
        </w:rPr>
        <w:t xml:space="preserve"> </w:t>
      </w:r>
      <w:r w:rsidR="00F90BBB">
        <w:rPr>
          <w:rFonts w:ascii="Times New Roman" w:hAnsi="Times New Roman"/>
          <w:sz w:val="26"/>
          <w:szCs w:val="26"/>
        </w:rPr>
        <w:t>pakārtotajās saistībās</w:t>
      </w:r>
      <w:r w:rsidRPr="001D13FC">
        <w:rPr>
          <w:rStyle w:val="FootnoteReference"/>
          <w:rFonts w:ascii="Times New Roman" w:hAnsi="Times New Roman"/>
          <w:sz w:val="26"/>
          <w:szCs w:val="26"/>
        </w:rPr>
        <w:footnoteReference w:id="17"/>
      </w:r>
      <w:r w:rsidRPr="001D13FC">
        <w:rPr>
          <w:rFonts w:ascii="Times New Roman" w:hAnsi="Times New Roman"/>
          <w:sz w:val="26"/>
          <w:szCs w:val="26"/>
        </w:rPr>
        <w:t>.</w:t>
      </w:r>
    </w:p>
    <w:p w:rsidR="009B10A4" w:rsidRPr="00966703" w:rsidRDefault="009B10A4" w:rsidP="00F443DB">
      <w:pPr>
        <w:spacing w:after="120" w:line="240" w:lineRule="auto"/>
        <w:rPr>
          <w:szCs w:val="24"/>
          <w:highlight w:val="yellow"/>
        </w:rPr>
      </w:pPr>
    </w:p>
    <w:p w:rsidR="009B10A4" w:rsidRPr="003465EF" w:rsidRDefault="009B10A4" w:rsidP="00F443DB">
      <w:pPr>
        <w:pStyle w:val="Heading1"/>
        <w:spacing w:before="0" w:after="120" w:line="240" w:lineRule="auto"/>
        <w:rPr>
          <w:rFonts w:ascii="Times New Roman" w:hAnsi="Times New Roman"/>
          <w:color w:val="auto"/>
        </w:rPr>
      </w:pPr>
      <w:bookmarkStart w:id="26" w:name="_Toc398179988"/>
      <w:r w:rsidRPr="003465EF">
        <w:rPr>
          <w:rFonts w:ascii="Times New Roman" w:hAnsi="Times New Roman"/>
          <w:color w:val="auto"/>
        </w:rPr>
        <w:t>9. Ietekme uz valsts un pašvaldību budžetiem</w:t>
      </w:r>
      <w:bookmarkEnd w:id="26"/>
    </w:p>
    <w:p w:rsidR="009B10A4" w:rsidRPr="003465EF" w:rsidRDefault="009B10A4" w:rsidP="00F443DB">
      <w:pPr>
        <w:spacing w:after="120" w:line="240" w:lineRule="auto"/>
        <w:ind w:firstLine="426"/>
        <w:jc w:val="both"/>
        <w:rPr>
          <w:rFonts w:ascii="Times New Roman" w:hAnsi="Times New Roman"/>
          <w:sz w:val="26"/>
          <w:szCs w:val="26"/>
        </w:rPr>
      </w:pPr>
      <w:r w:rsidRPr="003465EF">
        <w:rPr>
          <w:rFonts w:ascii="Times New Roman" w:hAnsi="Times New Roman"/>
          <w:sz w:val="26"/>
          <w:szCs w:val="26"/>
        </w:rPr>
        <w:t xml:space="preserve">Arī uz valsts budžetu ir vērtējama gan tiešā, gan pakārtotā ietekme. Tiešā ietekme ir saistīta ar visiem maksājumiem valsts budžetā, kas ir saistīta ar TUA saņemšanu. </w:t>
      </w:r>
    </w:p>
    <w:p w:rsidR="00893736" w:rsidRPr="00893736" w:rsidRDefault="009B10A4" w:rsidP="00F443DB">
      <w:pPr>
        <w:spacing w:after="120" w:line="240" w:lineRule="auto"/>
        <w:ind w:firstLine="426"/>
        <w:jc w:val="both"/>
        <w:rPr>
          <w:rFonts w:ascii="Times New Roman" w:hAnsi="Times New Roman"/>
          <w:sz w:val="26"/>
          <w:szCs w:val="26"/>
        </w:rPr>
      </w:pPr>
      <w:r w:rsidRPr="003465EF">
        <w:rPr>
          <w:rFonts w:ascii="Times New Roman" w:hAnsi="Times New Roman"/>
          <w:sz w:val="26"/>
          <w:szCs w:val="26"/>
        </w:rPr>
        <w:t xml:space="preserve">Iegādājoties nekustamo īpašumu no Latvijā reģistrētām juridiskām personām, kas nodarbojas ar jaunu nekustamo īpašumu attīstīšanu, veicot </w:t>
      </w:r>
      <w:r w:rsidR="00DF61DA">
        <w:rPr>
          <w:rFonts w:ascii="Times New Roman" w:hAnsi="Times New Roman"/>
          <w:sz w:val="26"/>
          <w:szCs w:val="26"/>
        </w:rPr>
        <w:t>darījumu</w:t>
      </w:r>
      <w:r w:rsidRPr="003465EF">
        <w:rPr>
          <w:rFonts w:ascii="Times New Roman" w:hAnsi="Times New Roman"/>
          <w:sz w:val="26"/>
          <w:szCs w:val="26"/>
        </w:rPr>
        <w:t xml:space="preserve">, tiek </w:t>
      </w:r>
      <w:r w:rsidR="00931EB4">
        <w:rPr>
          <w:rFonts w:ascii="Times New Roman" w:hAnsi="Times New Roman"/>
          <w:sz w:val="26"/>
          <w:szCs w:val="26"/>
        </w:rPr>
        <w:t>attiecināts</w:t>
      </w:r>
      <w:r w:rsidR="00DF61DA">
        <w:rPr>
          <w:rFonts w:ascii="Times New Roman" w:hAnsi="Times New Roman"/>
          <w:sz w:val="26"/>
          <w:szCs w:val="26"/>
        </w:rPr>
        <w:t xml:space="preserve"> pievienotās vērtības nodoklis.</w:t>
      </w:r>
      <w:r w:rsidR="00932428">
        <w:rPr>
          <w:rFonts w:ascii="Times New Roman" w:hAnsi="Times New Roman"/>
          <w:sz w:val="26"/>
          <w:szCs w:val="26"/>
        </w:rPr>
        <w:t xml:space="preserve"> </w:t>
      </w:r>
      <w:r w:rsidR="00DF61DA">
        <w:rPr>
          <w:rFonts w:ascii="Times New Roman" w:hAnsi="Times New Roman"/>
          <w:sz w:val="26"/>
          <w:szCs w:val="26"/>
        </w:rPr>
        <w:t>K</w:t>
      </w:r>
      <w:r w:rsidRPr="003465EF">
        <w:rPr>
          <w:rFonts w:ascii="Times New Roman" w:hAnsi="Times New Roman"/>
          <w:sz w:val="26"/>
          <w:szCs w:val="26"/>
        </w:rPr>
        <w:t xml:space="preserve">opš 2010.gada </w:t>
      </w:r>
      <w:r w:rsidRPr="006C36AA">
        <w:rPr>
          <w:rFonts w:ascii="Times New Roman" w:hAnsi="Times New Roman"/>
          <w:sz w:val="26"/>
          <w:szCs w:val="26"/>
        </w:rPr>
        <w:t xml:space="preserve">1.jūlija </w:t>
      </w:r>
      <w:r w:rsidR="00104DC0" w:rsidRPr="006C36AA">
        <w:rPr>
          <w:rFonts w:ascii="Times New Roman" w:hAnsi="Times New Roman"/>
          <w:sz w:val="26"/>
          <w:szCs w:val="26"/>
        </w:rPr>
        <w:t xml:space="preserve">līdz 2014.gada 30.jūnijam </w:t>
      </w:r>
      <w:r w:rsidR="00DF61DA">
        <w:rPr>
          <w:rFonts w:ascii="Times New Roman" w:hAnsi="Times New Roman"/>
          <w:sz w:val="26"/>
          <w:szCs w:val="26"/>
        </w:rPr>
        <w:t xml:space="preserve">no </w:t>
      </w:r>
      <w:r w:rsidR="00DF61DA" w:rsidRPr="00CF37B9">
        <w:rPr>
          <w:rFonts w:ascii="Times New Roman" w:hAnsi="Times New Roman"/>
          <w:sz w:val="26"/>
          <w:szCs w:val="26"/>
        </w:rPr>
        <w:t>juridiskajām personām iegādāto nekustāmo īpašumu summa veid</w:t>
      </w:r>
      <w:r w:rsidR="00DF61DA" w:rsidRPr="006A404C">
        <w:rPr>
          <w:rFonts w:ascii="Times New Roman" w:hAnsi="Times New Roman"/>
          <w:sz w:val="26"/>
          <w:szCs w:val="26"/>
        </w:rPr>
        <w:t>o</w:t>
      </w:r>
      <w:r w:rsidR="00931EB4" w:rsidRPr="006A404C">
        <w:rPr>
          <w:rFonts w:ascii="Times New Roman" w:hAnsi="Times New Roman"/>
          <w:sz w:val="26"/>
          <w:szCs w:val="26"/>
        </w:rPr>
        <w:t xml:space="preserve"> </w:t>
      </w:r>
      <w:r w:rsidR="006A404C" w:rsidRPr="00893736">
        <w:rPr>
          <w:rFonts w:ascii="Times New Roman" w:hAnsi="Times New Roman"/>
          <w:sz w:val="26"/>
          <w:szCs w:val="26"/>
        </w:rPr>
        <w:t>438</w:t>
      </w:r>
      <w:r w:rsidR="00931EB4" w:rsidRPr="00893736">
        <w:rPr>
          <w:rFonts w:ascii="Times New Roman" w:hAnsi="Times New Roman"/>
          <w:sz w:val="26"/>
          <w:szCs w:val="26"/>
        </w:rPr>
        <w:t xml:space="preserve"> </w:t>
      </w:r>
      <w:r w:rsidR="002643BF" w:rsidRPr="00893736">
        <w:rPr>
          <w:rFonts w:ascii="Times New Roman" w:hAnsi="Times New Roman"/>
          <w:sz w:val="26"/>
          <w:szCs w:val="26"/>
        </w:rPr>
        <w:t xml:space="preserve">milj. </w:t>
      </w:r>
      <w:r w:rsidR="002643BF" w:rsidRPr="00893736">
        <w:rPr>
          <w:rFonts w:ascii="Times New Roman" w:hAnsi="Times New Roman"/>
          <w:i/>
          <w:sz w:val="26"/>
          <w:szCs w:val="26"/>
        </w:rPr>
        <w:t>euro</w:t>
      </w:r>
      <w:r w:rsidR="009F2697" w:rsidRPr="00893736">
        <w:rPr>
          <w:rFonts w:ascii="Times New Roman" w:hAnsi="Times New Roman"/>
          <w:sz w:val="26"/>
          <w:szCs w:val="26"/>
        </w:rPr>
        <w:t>, tādējādi aprēķinātai</w:t>
      </w:r>
      <w:r w:rsidR="00DF61DA" w:rsidRPr="00893736">
        <w:rPr>
          <w:rFonts w:ascii="Times New Roman" w:hAnsi="Times New Roman"/>
          <w:sz w:val="26"/>
          <w:szCs w:val="26"/>
        </w:rPr>
        <w:t xml:space="preserve">s pievienotās vērtības nodoklis veido </w:t>
      </w:r>
      <w:r w:rsidR="00CF37B9" w:rsidRPr="00893736">
        <w:rPr>
          <w:rFonts w:ascii="Times New Roman" w:hAnsi="Times New Roman"/>
          <w:sz w:val="26"/>
          <w:szCs w:val="26"/>
        </w:rPr>
        <w:t>92</w:t>
      </w:r>
      <w:r w:rsidR="00DF61DA" w:rsidRPr="00893736">
        <w:rPr>
          <w:rFonts w:ascii="Times New Roman" w:hAnsi="Times New Roman"/>
          <w:sz w:val="26"/>
          <w:szCs w:val="26"/>
        </w:rPr>
        <w:t xml:space="preserve"> milj. euro</w:t>
      </w:r>
      <w:r w:rsidR="00893736" w:rsidRPr="00893736">
        <w:rPr>
          <w:rStyle w:val="FootnoteReference"/>
          <w:rFonts w:ascii="Times New Roman" w:hAnsi="Times New Roman"/>
          <w:i/>
          <w:sz w:val="26"/>
          <w:szCs w:val="26"/>
        </w:rPr>
        <w:footnoteReference w:id="18"/>
      </w:r>
      <w:r w:rsidR="00893736" w:rsidRPr="00893736">
        <w:rPr>
          <w:rFonts w:ascii="Times New Roman" w:hAnsi="Times New Roman"/>
          <w:sz w:val="26"/>
          <w:szCs w:val="26"/>
        </w:rPr>
        <w:t>.</w:t>
      </w:r>
    </w:p>
    <w:p w:rsidR="009B10A4" w:rsidRPr="003465EF" w:rsidRDefault="000B7DF2" w:rsidP="00F443DB">
      <w:pPr>
        <w:spacing w:after="120" w:line="240" w:lineRule="auto"/>
        <w:ind w:firstLine="426"/>
        <w:jc w:val="both"/>
        <w:rPr>
          <w:rFonts w:ascii="Times New Roman" w:hAnsi="Times New Roman"/>
          <w:sz w:val="26"/>
          <w:szCs w:val="26"/>
        </w:rPr>
      </w:pPr>
      <w:r w:rsidRPr="00893736">
        <w:rPr>
          <w:rFonts w:ascii="Times New Roman" w:hAnsi="Times New Roman"/>
          <w:sz w:val="26"/>
          <w:szCs w:val="26"/>
        </w:rPr>
        <w:t xml:space="preserve">Nodevas „Par vīzas un uzturēšanās atļaujas pieprasīšanai nepieciešamo dokumentu izskatīšanai un ar to saistītajiem pakalpojumiem” iekasētas 2,8 milj. </w:t>
      </w:r>
      <w:r w:rsidRPr="00893736">
        <w:rPr>
          <w:rFonts w:ascii="Times New Roman" w:hAnsi="Times New Roman"/>
          <w:i/>
          <w:sz w:val="26"/>
          <w:szCs w:val="26"/>
        </w:rPr>
        <w:t>euro</w:t>
      </w:r>
      <w:r w:rsidRPr="00893736">
        <w:rPr>
          <w:rFonts w:ascii="Times New Roman" w:hAnsi="Times New Roman"/>
          <w:sz w:val="26"/>
          <w:szCs w:val="26"/>
        </w:rPr>
        <w:t xml:space="preserve"> apmērā</w:t>
      </w:r>
      <w:r w:rsidR="00893736" w:rsidRPr="00893736">
        <w:rPr>
          <w:rFonts w:ascii="Times New Roman" w:hAnsi="Times New Roman"/>
          <w:sz w:val="26"/>
          <w:szCs w:val="26"/>
        </w:rPr>
        <w:t xml:space="preserve">, savukārt nodevas „Par īpašuma tiesību nostiprināšanu zemesgrāmatā” iekasētas 16,8 milj. </w:t>
      </w:r>
      <w:r w:rsidR="00893736" w:rsidRPr="00893736">
        <w:rPr>
          <w:rFonts w:ascii="Times New Roman" w:hAnsi="Times New Roman"/>
          <w:i/>
          <w:sz w:val="26"/>
          <w:szCs w:val="26"/>
        </w:rPr>
        <w:t xml:space="preserve">euro </w:t>
      </w:r>
      <w:r w:rsidR="00893736" w:rsidRPr="00893736">
        <w:rPr>
          <w:rFonts w:ascii="Times New Roman" w:hAnsi="Times New Roman"/>
          <w:sz w:val="26"/>
          <w:szCs w:val="26"/>
        </w:rPr>
        <w:t>apmērā</w:t>
      </w:r>
      <w:r w:rsidR="00893736" w:rsidRPr="00893736">
        <w:rPr>
          <w:rStyle w:val="FootnoteReference"/>
          <w:rFonts w:ascii="Times New Roman" w:hAnsi="Times New Roman"/>
          <w:sz w:val="26"/>
          <w:szCs w:val="26"/>
        </w:rPr>
        <w:footnoteReference w:id="19"/>
      </w:r>
      <w:r w:rsidR="00822168" w:rsidRPr="00893736">
        <w:rPr>
          <w:rFonts w:ascii="Times New Roman" w:hAnsi="Times New Roman"/>
          <w:sz w:val="26"/>
          <w:szCs w:val="26"/>
        </w:rPr>
        <w:t>.</w:t>
      </w:r>
      <w:r>
        <w:rPr>
          <w:rFonts w:ascii="Times New Roman" w:hAnsi="Times New Roman"/>
          <w:sz w:val="26"/>
          <w:szCs w:val="26"/>
        </w:rPr>
        <w:t xml:space="preserve"> </w:t>
      </w:r>
    </w:p>
    <w:p w:rsidR="009B10A4" w:rsidRPr="00395305" w:rsidRDefault="009B10A4" w:rsidP="00F443DB">
      <w:pPr>
        <w:spacing w:after="120" w:line="240" w:lineRule="auto"/>
        <w:ind w:firstLine="426"/>
        <w:jc w:val="both"/>
        <w:rPr>
          <w:rFonts w:ascii="Times New Roman" w:hAnsi="Times New Roman"/>
          <w:sz w:val="26"/>
          <w:szCs w:val="26"/>
        </w:rPr>
      </w:pPr>
      <w:bookmarkStart w:id="27" w:name="_Toc340050961"/>
      <w:r w:rsidRPr="00395305">
        <w:rPr>
          <w:rFonts w:ascii="Times New Roman" w:hAnsi="Times New Roman"/>
          <w:sz w:val="26"/>
          <w:szCs w:val="26"/>
        </w:rPr>
        <w:t>Saskaņā ar pašvaldību sniegto informāciju</w:t>
      </w:r>
      <w:r w:rsidR="006108D8">
        <w:rPr>
          <w:rFonts w:ascii="Times New Roman" w:hAnsi="Times New Roman"/>
          <w:sz w:val="26"/>
          <w:szCs w:val="26"/>
        </w:rPr>
        <w:t xml:space="preserve"> Ekonomikas ministrijai</w:t>
      </w:r>
      <w:r w:rsidR="00541B7E">
        <w:rPr>
          <w:rFonts w:ascii="Times New Roman" w:hAnsi="Times New Roman"/>
          <w:sz w:val="26"/>
          <w:szCs w:val="26"/>
        </w:rPr>
        <w:t xml:space="preserve"> (10 pašvaldības ar lielāko TUA pieteicēju darījumu skaitu)</w:t>
      </w:r>
      <w:r w:rsidRPr="00395305">
        <w:rPr>
          <w:rFonts w:ascii="Times New Roman" w:hAnsi="Times New Roman"/>
          <w:sz w:val="26"/>
          <w:szCs w:val="26"/>
        </w:rPr>
        <w:t xml:space="preserve">, izriet, ka nerezidenti – TUA pieteicēji nekustamā īpašuma nodokļa </w:t>
      </w:r>
      <w:r w:rsidRPr="00DF61DA">
        <w:rPr>
          <w:rFonts w:ascii="Times New Roman" w:hAnsi="Times New Roman"/>
          <w:sz w:val="26"/>
          <w:szCs w:val="26"/>
        </w:rPr>
        <w:t xml:space="preserve">veidā </w:t>
      </w:r>
      <w:r w:rsidR="00CF37B9" w:rsidRPr="00DF61DA">
        <w:rPr>
          <w:rFonts w:ascii="Times New Roman" w:hAnsi="Times New Roman"/>
          <w:sz w:val="26"/>
          <w:szCs w:val="26"/>
        </w:rPr>
        <w:t xml:space="preserve">2013.gadā </w:t>
      </w:r>
      <w:r w:rsidRPr="00DF61DA">
        <w:rPr>
          <w:rFonts w:ascii="Times New Roman" w:hAnsi="Times New Roman"/>
          <w:sz w:val="26"/>
          <w:szCs w:val="26"/>
        </w:rPr>
        <w:t>pašvaldību budžetos iemaksā</w:t>
      </w:r>
      <w:r w:rsidR="00CF37B9">
        <w:rPr>
          <w:rFonts w:ascii="Times New Roman" w:hAnsi="Times New Roman"/>
          <w:sz w:val="26"/>
          <w:szCs w:val="26"/>
        </w:rPr>
        <w:t>ja</w:t>
      </w:r>
      <w:r w:rsidRPr="00DF61DA">
        <w:rPr>
          <w:rFonts w:ascii="Times New Roman" w:hAnsi="Times New Roman"/>
          <w:sz w:val="26"/>
          <w:szCs w:val="26"/>
        </w:rPr>
        <w:t xml:space="preserve"> </w:t>
      </w:r>
      <w:r w:rsidR="00541B7E" w:rsidRPr="00DF61DA">
        <w:rPr>
          <w:rFonts w:ascii="Times New Roman" w:hAnsi="Times New Roman"/>
          <w:sz w:val="26"/>
          <w:szCs w:val="26"/>
        </w:rPr>
        <w:t>633</w:t>
      </w:r>
      <w:r w:rsidR="00822168" w:rsidRPr="00DF61DA">
        <w:rPr>
          <w:rFonts w:ascii="Times New Roman" w:hAnsi="Times New Roman"/>
          <w:sz w:val="26"/>
          <w:szCs w:val="26"/>
        </w:rPr>
        <w:t xml:space="preserve"> tūkst. </w:t>
      </w:r>
      <w:r w:rsidR="00822168" w:rsidRPr="00DF61DA">
        <w:rPr>
          <w:rFonts w:ascii="Times New Roman" w:hAnsi="Times New Roman"/>
          <w:i/>
          <w:sz w:val="26"/>
          <w:szCs w:val="26"/>
        </w:rPr>
        <w:t>euro</w:t>
      </w:r>
      <w:r w:rsidR="00822168" w:rsidRPr="00DF61DA">
        <w:rPr>
          <w:rFonts w:ascii="Times New Roman" w:hAnsi="Times New Roman"/>
          <w:sz w:val="26"/>
          <w:szCs w:val="26"/>
        </w:rPr>
        <w:t xml:space="preserve"> jeb 0,4% no kopumā valstī iekasētā nekustamā īpašuma nodokļa.</w:t>
      </w:r>
    </w:p>
    <w:p w:rsidR="009B10A4" w:rsidRDefault="009B10A4" w:rsidP="00F443DB">
      <w:pPr>
        <w:spacing w:after="120" w:line="240" w:lineRule="auto"/>
        <w:ind w:firstLine="426"/>
        <w:jc w:val="both"/>
        <w:rPr>
          <w:rFonts w:ascii="Times New Roman" w:hAnsi="Times New Roman"/>
          <w:sz w:val="26"/>
          <w:szCs w:val="26"/>
        </w:rPr>
      </w:pPr>
      <w:r w:rsidRPr="00FC55C8">
        <w:rPr>
          <w:rFonts w:ascii="Times New Roman" w:hAnsi="Times New Roman"/>
          <w:sz w:val="26"/>
          <w:szCs w:val="26"/>
        </w:rPr>
        <w:t>Valsts ieņēmumu dienesta dati par ar TUA pieteicējiem vai viņu ģimenes locekļiem saistīto kapitālsabiedrību – kurās ieņem amatu vai ir kapitāla daļu turētājs, nomaksātajiem nodokļiem saistībā ar veikto</w:t>
      </w:r>
      <w:r w:rsidR="00104DC0">
        <w:rPr>
          <w:rFonts w:ascii="Times New Roman" w:hAnsi="Times New Roman"/>
          <w:sz w:val="26"/>
          <w:szCs w:val="26"/>
        </w:rPr>
        <w:t xml:space="preserve"> saimniecisko darbību apkopoti 3</w:t>
      </w:r>
      <w:r w:rsidRPr="00FC55C8">
        <w:rPr>
          <w:rFonts w:ascii="Times New Roman" w:hAnsi="Times New Roman"/>
          <w:sz w:val="26"/>
          <w:szCs w:val="26"/>
        </w:rPr>
        <w:t>.tabulā. Redzams, ka ša</w:t>
      </w:r>
      <w:r w:rsidR="00FC55C8">
        <w:rPr>
          <w:rFonts w:ascii="Times New Roman" w:hAnsi="Times New Roman"/>
          <w:sz w:val="26"/>
          <w:szCs w:val="26"/>
        </w:rPr>
        <w:t>jās kapitālsabiedrībās 2013.gadā</w:t>
      </w:r>
      <w:r w:rsidRPr="00FC55C8">
        <w:rPr>
          <w:rFonts w:ascii="Times New Roman" w:hAnsi="Times New Roman"/>
          <w:sz w:val="26"/>
          <w:szCs w:val="26"/>
        </w:rPr>
        <w:t xml:space="preserve"> tika nomaksāts iedzīvotāju ienākuma nodoklis </w:t>
      </w:r>
      <w:r w:rsidR="00FC55C8">
        <w:rPr>
          <w:rFonts w:ascii="Times New Roman" w:hAnsi="Times New Roman"/>
          <w:sz w:val="26"/>
          <w:szCs w:val="26"/>
        </w:rPr>
        <w:t>gandrīz 35</w:t>
      </w:r>
      <w:r w:rsidRPr="00FC55C8">
        <w:rPr>
          <w:rFonts w:ascii="Times New Roman" w:hAnsi="Times New Roman"/>
          <w:sz w:val="26"/>
          <w:szCs w:val="26"/>
        </w:rPr>
        <w:t xml:space="preserve"> milj. </w:t>
      </w:r>
      <w:r w:rsidR="00FC55C8" w:rsidRPr="00140144">
        <w:rPr>
          <w:rFonts w:ascii="Times New Roman" w:hAnsi="Times New Roman"/>
          <w:i/>
          <w:sz w:val="26"/>
          <w:szCs w:val="26"/>
        </w:rPr>
        <w:t>euro</w:t>
      </w:r>
      <w:r w:rsidRPr="00FC55C8">
        <w:rPr>
          <w:rFonts w:ascii="Times New Roman" w:hAnsi="Times New Roman"/>
          <w:sz w:val="26"/>
          <w:szCs w:val="26"/>
        </w:rPr>
        <w:t xml:space="preserve"> apmērā un vei</w:t>
      </w:r>
      <w:r w:rsidR="00C752FF" w:rsidRPr="00FC55C8">
        <w:rPr>
          <w:rFonts w:ascii="Times New Roman" w:hAnsi="Times New Roman"/>
          <w:sz w:val="26"/>
          <w:szCs w:val="26"/>
        </w:rPr>
        <w:t>ktas</w:t>
      </w:r>
      <w:r w:rsidRPr="00FC55C8">
        <w:rPr>
          <w:rFonts w:ascii="Times New Roman" w:hAnsi="Times New Roman"/>
          <w:sz w:val="26"/>
          <w:szCs w:val="26"/>
        </w:rPr>
        <w:t xml:space="preserve"> sociālās apdrošināšanas iemaksas </w:t>
      </w:r>
      <w:r w:rsidR="00FC55C8">
        <w:rPr>
          <w:rFonts w:ascii="Times New Roman" w:hAnsi="Times New Roman"/>
          <w:sz w:val="26"/>
          <w:szCs w:val="26"/>
        </w:rPr>
        <w:t>57</w:t>
      </w:r>
      <w:r w:rsidRPr="00FC55C8">
        <w:rPr>
          <w:rFonts w:ascii="Times New Roman" w:hAnsi="Times New Roman"/>
          <w:sz w:val="26"/>
          <w:szCs w:val="26"/>
        </w:rPr>
        <w:t xml:space="preserve"> milj. </w:t>
      </w:r>
      <w:r w:rsidR="00FC55C8" w:rsidRPr="00140144">
        <w:rPr>
          <w:rFonts w:ascii="Times New Roman" w:hAnsi="Times New Roman"/>
          <w:i/>
          <w:sz w:val="26"/>
          <w:szCs w:val="26"/>
        </w:rPr>
        <w:t>euro</w:t>
      </w:r>
      <w:r w:rsidRPr="00FC55C8">
        <w:rPr>
          <w:rFonts w:ascii="Times New Roman" w:hAnsi="Times New Roman"/>
          <w:sz w:val="26"/>
          <w:szCs w:val="26"/>
        </w:rPr>
        <w:t xml:space="preserve"> apmērā, kas veidoja caurmērā </w:t>
      </w:r>
      <w:r w:rsidR="00FC55C8">
        <w:rPr>
          <w:rFonts w:ascii="Times New Roman" w:hAnsi="Times New Roman"/>
          <w:sz w:val="26"/>
          <w:szCs w:val="26"/>
        </w:rPr>
        <w:t>2,6% no kopējā attiecīgā</w:t>
      </w:r>
      <w:r w:rsidR="002E55D0">
        <w:rPr>
          <w:rFonts w:ascii="Times New Roman" w:hAnsi="Times New Roman"/>
          <w:sz w:val="26"/>
          <w:szCs w:val="26"/>
        </w:rPr>
        <w:t xml:space="preserve"> nodokļa ieņēmumiem </w:t>
      </w:r>
      <w:r w:rsidRPr="00FC55C8">
        <w:rPr>
          <w:rFonts w:ascii="Times New Roman" w:hAnsi="Times New Roman"/>
          <w:sz w:val="26"/>
          <w:szCs w:val="26"/>
        </w:rPr>
        <w:t xml:space="preserve">valstī. </w:t>
      </w:r>
    </w:p>
    <w:p w:rsidR="002B224D" w:rsidRPr="00FC55C8" w:rsidRDefault="002B224D" w:rsidP="00F443DB">
      <w:pPr>
        <w:spacing w:after="120" w:line="240" w:lineRule="auto"/>
        <w:ind w:firstLine="426"/>
        <w:jc w:val="both"/>
        <w:rPr>
          <w:rFonts w:ascii="Times New Roman" w:hAnsi="Times New Roman"/>
          <w:sz w:val="26"/>
          <w:szCs w:val="26"/>
        </w:rPr>
      </w:pPr>
    </w:p>
    <w:p w:rsidR="009B10A4" w:rsidRPr="00C64396" w:rsidRDefault="00F443DB" w:rsidP="00F443DB">
      <w:pPr>
        <w:keepNext/>
        <w:spacing w:after="120" w:line="240" w:lineRule="auto"/>
        <w:jc w:val="right"/>
        <w:rPr>
          <w:rFonts w:ascii="Times New Roman" w:hAnsi="Times New Roman"/>
          <w:sz w:val="26"/>
          <w:szCs w:val="26"/>
        </w:rPr>
      </w:pPr>
      <w:r>
        <w:rPr>
          <w:rFonts w:ascii="Times New Roman" w:hAnsi="Times New Roman"/>
          <w:sz w:val="26"/>
          <w:szCs w:val="26"/>
        </w:rPr>
        <w:lastRenderedPageBreak/>
        <w:t>3</w:t>
      </w:r>
      <w:r w:rsidR="009B10A4" w:rsidRPr="00C64396">
        <w:rPr>
          <w:rFonts w:ascii="Times New Roman" w:hAnsi="Times New Roman"/>
          <w:sz w:val="26"/>
          <w:szCs w:val="26"/>
        </w:rPr>
        <w:t>.tabula</w:t>
      </w:r>
    </w:p>
    <w:p w:rsidR="009B10A4" w:rsidRPr="00C64396" w:rsidRDefault="009B10A4" w:rsidP="00F443DB">
      <w:pPr>
        <w:keepNext/>
        <w:spacing w:after="120" w:line="240" w:lineRule="auto"/>
        <w:jc w:val="center"/>
        <w:rPr>
          <w:rFonts w:ascii="Times New Roman" w:hAnsi="Times New Roman"/>
          <w:b/>
          <w:sz w:val="26"/>
          <w:szCs w:val="26"/>
        </w:rPr>
      </w:pPr>
      <w:r w:rsidRPr="00C64396">
        <w:rPr>
          <w:rFonts w:ascii="Times New Roman" w:hAnsi="Times New Roman"/>
          <w:b/>
          <w:sz w:val="24"/>
          <w:szCs w:val="24"/>
        </w:rPr>
        <w:t>Ar TUA pieteicējiem un viņu ģimenes locekļiem saistīto kapitālsabiedrību nomaksātie</w:t>
      </w:r>
      <w:r w:rsidRPr="00C64396">
        <w:rPr>
          <w:rFonts w:ascii="Times New Roman" w:hAnsi="Times New Roman"/>
          <w:b/>
          <w:sz w:val="26"/>
          <w:szCs w:val="26"/>
        </w:rPr>
        <w:t xml:space="preserve"> </w:t>
      </w:r>
      <w:r w:rsidRPr="00140144">
        <w:rPr>
          <w:rFonts w:ascii="Times New Roman" w:hAnsi="Times New Roman"/>
          <w:b/>
          <w:sz w:val="24"/>
          <w:szCs w:val="24"/>
        </w:rPr>
        <w:t>nodokļi</w:t>
      </w:r>
    </w:p>
    <w:tbl>
      <w:tblPr>
        <w:tblW w:w="9571" w:type="dxa"/>
        <w:tblLayout w:type="fixed"/>
        <w:tblLook w:val="00A0" w:firstRow="1" w:lastRow="0" w:firstColumn="1" w:lastColumn="0" w:noHBand="0" w:noVBand="0"/>
      </w:tblPr>
      <w:tblGrid>
        <w:gridCol w:w="857"/>
        <w:gridCol w:w="1803"/>
        <w:gridCol w:w="1134"/>
        <w:gridCol w:w="1172"/>
        <w:gridCol w:w="1210"/>
        <w:gridCol w:w="1303"/>
        <w:gridCol w:w="1134"/>
        <w:gridCol w:w="958"/>
      </w:tblGrid>
      <w:tr w:rsidR="00CA1C25" w:rsidRPr="00C64396" w:rsidTr="00CA1C25">
        <w:trPr>
          <w:trHeight w:val="315"/>
        </w:trPr>
        <w:tc>
          <w:tcPr>
            <w:tcW w:w="2660" w:type="dxa"/>
            <w:gridSpan w:val="2"/>
            <w:tcBorders>
              <w:top w:val="single" w:sz="8" w:space="0" w:color="auto"/>
              <w:bottom w:val="single" w:sz="4" w:space="0" w:color="auto"/>
            </w:tcBorders>
            <w:shd w:val="clear" w:color="auto" w:fill="auto"/>
            <w:noWrap/>
            <w:vAlign w:val="center"/>
          </w:tcPr>
          <w:p w:rsidR="00CA1C25" w:rsidRPr="00C64396" w:rsidRDefault="00CA1C25" w:rsidP="00F443DB">
            <w:pPr>
              <w:keepNext/>
              <w:spacing w:after="120" w:line="240" w:lineRule="auto"/>
              <w:jc w:val="center"/>
              <w:rPr>
                <w:rFonts w:ascii="Times New Roman" w:hAnsi="Times New Roman"/>
                <w:b/>
                <w:bCs/>
                <w:lang w:eastAsia="zh-CN"/>
              </w:rPr>
            </w:pPr>
          </w:p>
        </w:tc>
        <w:tc>
          <w:tcPr>
            <w:tcW w:w="3516" w:type="dxa"/>
            <w:gridSpan w:val="3"/>
            <w:tcBorders>
              <w:top w:val="single" w:sz="8" w:space="0" w:color="auto"/>
              <w:bottom w:val="single" w:sz="4" w:space="0" w:color="auto"/>
            </w:tcBorders>
            <w:shd w:val="clear" w:color="auto" w:fill="auto"/>
            <w:noWrap/>
            <w:vAlign w:val="center"/>
          </w:tcPr>
          <w:p w:rsidR="00CA1C25" w:rsidRPr="009E4415" w:rsidRDefault="00CA1C25" w:rsidP="00F443DB">
            <w:pPr>
              <w:keepNext/>
              <w:spacing w:after="120" w:line="240" w:lineRule="auto"/>
              <w:jc w:val="center"/>
              <w:rPr>
                <w:rFonts w:ascii="Times New Roman" w:hAnsi="Times New Roman"/>
                <w:b/>
                <w:bCs/>
                <w:lang w:eastAsia="zh-CN"/>
              </w:rPr>
            </w:pPr>
            <w:r w:rsidRPr="009E4415">
              <w:rPr>
                <w:rFonts w:ascii="Times New Roman" w:hAnsi="Times New Roman"/>
                <w:b/>
                <w:szCs w:val="26"/>
                <w:lang w:eastAsia="zh-CN"/>
              </w:rPr>
              <w:t>Kapitālsabiedrību</w:t>
            </w:r>
            <w:r w:rsidRPr="009E4415">
              <w:rPr>
                <w:rFonts w:ascii="Times New Roman" w:hAnsi="Times New Roman"/>
                <w:b/>
                <w:bCs/>
                <w:lang w:eastAsia="zh-CN"/>
              </w:rPr>
              <w:t xml:space="preserve"> </w:t>
            </w:r>
            <w:r w:rsidRPr="009E4415">
              <w:rPr>
                <w:rFonts w:ascii="Times New Roman" w:hAnsi="Times New Roman"/>
                <w:b/>
                <w:lang w:eastAsia="zh-CN"/>
              </w:rPr>
              <w:t xml:space="preserve">nomaksātie nodokļi, tūkst. </w:t>
            </w:r>
            <w:r w:rsidRPr="00140144">
              <w:rPr>
                <w:rFonts w:ascii="Times New Roman" w:hAnsi="Times New Roman"/>
                <w:b/>
                <w:i/>
                <w:lang w:eastAsia="zh-CN"/>
              </w:rPr>
              <w:t>euro</w:t>
            </w:r>
          </w:p>
        </w:tc>
        <w:tc>
          <w:tcPr>
            <w:tcW w:w="3395" w:type="dxa"/>
            <w:gridSpan w:val="3"/>
            <w:tcBorders>
              <w:top w:val="single" w:sz="8" w:space="0" w:color="auto"/>
              <w:bottom w:val="single" w:sz="4" w:space="0" w:color="auto"/>
            </w:tcBorders>
            <w:shd w:val="clear" w:color="auto" w:fill="auto"/>
            <w:noWrap/>
            <w:vAlign w:val="center"/>
          </w:tcPr>
          <w:p w:rsidR="00CA1C25" w:rsidRPr="009E4415" w:rsidRDefault="00CA1C25" w:rsidP="00F443DB">
            <w:pPr>
              <w:keepNext/>
              <w:spacing w:after="120" w:line="240" w:lineRule="auto"/>
              <w:jc w:val="center"/>
              <w:rPr>
                <w:rFonts w:ascii="Times New Roman" w:hAnsi="Times New Roman"/>
                <w:b/>
                <w:bCs/>
                <w:lang w:eastAsia="zh-CN"/>
              </w:rPr>
            </w:pPr>
            <w:r w:rsidRPr="009E4415">
              <w:rPr>
                <w:rFonts w:ascii="Times New Roman" w:hAnsi="Times New Roman"/>
                <w:b/>
                <w:lang w:eastAsia="zh-CN"/>
              </w:rPr>
              <w:t>% no kopējiem attiecīgā nodokļa ieņēmumiem valsts kopbudžetā</w:t>
            </w:r>
          </w:p>
        </w:tc>
      </w:tr>
      <w:tr w:rsidR="00C64396" w:rsidRPr="00C64396" w:rsidTr="0016601E">
        <w:trPr>
          <w:trHeight w:val="315"/>
        </w:trPr>
        <w:tc>
          <w:tcPr>
            <w:tcW w:w="2660" w:type="dxa"/>
            <w:gridSpan w:val="2"/>
            <w:tcBorders>
              <w:top w:val="single" w:sz="4" w:space="0" w:color="auto"/>
              <w:left w:val="nil"/>
              <w:bottom w:val="single" w:sz="4" w:space="0" w:color="auto"/>
              <w:right w:val="nil"/>
            </w:tcBorders>
            <w:shd w:val="clear" w:color="000000" w:fill="D9D9D9"/>
            <w:noWrap/>
            <w:vAlign w:val="center"/>
          </w:tcPr>
          <w:p w:rsidR="00C64396" w:rsidRPr="00C64396" w:rsidRDefault="00C64396" w:rsidP="00F443DB">
            <w:pPr>
              <w:keepNext/>
              <w:spacing w:after="120" w:line="240" w:lineRule="auto"/>
              <w:jc w:val="center"/>
              <w:rPr>
                <w:rFonts w:ascii="Times New Roman" w:hAnsi="Times New Roman"/>
                <w:b/>
                <w:bCs/>
                <w:lang w:eastAsia="zh-CN"/>
              </w:rPr>
            </w:pPr>
            <w:r w:rsidRPr="00C64396">
              <w:rPr>
                <w:rFonts w:ascii="Times New Roman" w:hAnsi="Times New Roman"/>
                <w:b/>
                <w:bCs/>
                <w:lang w:eastAsia="zh-CN"/>
              </w:rPr>
              <w:t> </w:t>
            </w:r>
          </w:p>
        </w:tc>
        <w:tc>
          <w:tcPr>
            <w:tcW w:w="1134" w:type="dxa"/>
            <w:tcBorders>
              <w:top w:val="single" w:sz="4" w:space="0" w:color="auto"/>
              <w:left w:val="nil"/>
              <w:bottom w:val="single" w:sz="4" w:space="0" w:color="auto"/>
              <w:right w:val="nil"/>
            </w:tcBorders>
            <w:shd w:val="clear" w:color="000000" w:fill="D9D9D9"/>
            <w:noWrap/>
            <w:vAlign w:val="center"/>
          </w:tcPr>
          <w:p w:rsidR="00C64396" w:rsidRPr="00C64396" w:rsidRDefault="00C64396" w:rsidP="00F443DB">
            <w:pPr>
              <w:keepNext/>
              <w:spacing w:after="120" w:line="240" w:lineRule="auto"/>
              <w:jc w:val="center"/>
              <w:rPr>
                <w:rFonts w:ascii="Times New Roman" w:hAnsi="Times New Roman"/>
                <w:b/>
                <w:bCs/>
                <w:lang w:eastAsia="zh-CN"/>
              </w:rPr>
            </w:pPr>
            <w:r>
              <w:rPr>
                <w:rFonts w:ascii="Times New Roman" w:hAnsi="Times New Roman"/>
                <w:b/>
                <w:bCs/>
                <w:lang w:eastAsia="zh-CN"/>
              </w:rPr>
              <w:t>2012</w:t>
            </w:r>
          </w:p>
        </w:tc>
        <w:tc>
          <w:tcPr>
            <w:tcW w:w="1172" w:type="dxa"/>
            <w:tcBorders>
              <w:top w:val="single" w:sz="4" w:space="0" w:color="auto"/>
              <w:left w:val="nil"/>
              <w:bottom w:val="single" w:sz="4" w:space="0" w:color="auto"/>
              <w:right w:val="nil"/>
            </w:tcBorders>
            <w:shd w:val="clear" w:color="000000" w:fill="D9D9D9"/>
            <w:noWrap/>
            <w:vAlign w:val="center"/>
          </w:tcPr>
          <w:p w:rsidR="00C64396" w:rsidRPr="00C64396" w:rsidRDefault="00C64396" w:rsidP="00F443DB">
            <w:pPr>
              <w:keepNext/>
              <w:spacing w:after="120" w:line="240" w:lineRule="auto"/>
              <w:jc w:val="center"/>
              <w:rPr>
                <w:rFonts w:ascii="Times New Roman" w:hAnsi="Times New Roman"/>
                <w:b/>
                <w:bCs/>
                <w:lang w:eastAsia="zh-CN"/>
              </w:rPr>
            </w:pPr>
            <w:r>
              <w:rPr>
                <w:rFonts w:ascii="Times New Roman" w:hAnsi="Times New Roman"/>
                <w:b/>
                <w:bCs/>
                <w:lang w:eastAsia="zh-CN"/>
              </w:rPr>
              <w:t>2013</w:t>
            </w:r>
          </w:p>
        </w:tc>
        <w:tc>
          <w:tcPr>
            <w:tcW w:w="1210" w:type="dxa"/>
            <w:tcBorders>
              <w:top w:val="single" w:sz="4" w:space="0" w:color="auto"/>
              <w:left w:val="nil"/>
              <w:bottom w:val="single" w:sz="4" w:space="0" w:color="auto"/>
              <w:right w:val="nil"/>
            </w:tcBorders>
            <w:shd w:val="clear" w:color="000000" w:fill="D9D9D9"/>
            <w:vAlign w:val="center"/>
          </w:tcPr>
          <w:p w:rsidR="00C64396" w:rsidRPr="00C64396" w:rsidRDefault="00C64396" w:rsidP="00F443DB">
            <w:pPr>
              <w:keepNext/>
              <w:spacing w:after="120" w:line="240" w:lineRule="auto"/>
              <w:jc w:val="center"/>
              <w:rPr>
                <w:rFonts w:ascii="Times New Roman" w:hAnsi="Times New Roman"/>
                <w:b/>
                <w:bCs/>
                <w:lang w:eastAsia="zh-CN"/>
              </w:rPr>
            </w:pPr>
            <w:r w:rsidRPr="00C64396">
              <w:rPr>
                <w:rFonts w:ascii="Times New Roman" w:hAnsi="Times New Roman"/>
                <w:b/>
                <w:bCs/>
                <w:lang w:eastAsia="zh-CN"/>
              </w:rPr>
              <w:t>201</w:t>
            </w:r>
            <w:r>
              <w:rPr>
                <w:rFonts w:ascii="Times New Roman" w:hAnsi="Times New Roman"/>
                <w:b/>
                <w:bCs/>
                <w:lang w:eastAsia="zh-CN"/>
              </w:rPr>
              <w:t>4</w:t>
            </w:r>
            <w:r w:rsidRPr="00C64396">
              <w:rPr>
                <w:rFonts w:ascii="Times New Roman" w:hAnsi="Times New Roman"/>
                <w:b/>
                <w:bCs/>
                <w:lang w:eastAsia="zh-CN"/>
              </w:rPr>
              <w:t xml:space="preserve"> </w:t>
            </w:r>
          </w:p>
          <w:p w:rsidR="00C64396" w:rsidRPr="00C64396" w:rsidRDefault="00C64396" w:rsidP="00F443DB">
            <w:pPr>
              <w:keepNext/>
              <w:spacing w:after="120" w:line="240" w:lineRule="auto"/>
              <w:jc w:val="center"/>
              <w:rPr>
                <w:rFonts w:ascii="Times New Roman" w:hAnsi="Times New Roman"/>
                <w:b/>
                <w:bCs/>
                <w:lang w:eastAsia="zh-CN"/>
              </w:rPr>
            </w:pPr>
            <w:r w:rsidRPr="00C64396">
              <w:rPr>
                <w:rFonts w:ascii="Times New Roman" w:hAnsi="Times New Roman"/>
                <w:b/>
                <w:bCs/>
                <w:lang w:eastAsia="zh-CN"/>
              </w:rPr>
              <w:t>I-VI</w:t>
            </w:r>
          </w:p>
        </w:tc>
        <w:tc>
          <w:tcPr>
            <w:tcW w:w="1303" w:type="dxa"/>
            <w:tcBorders>
              <w:top w:val="single" w:sz="4" w:space="0" w:color="auto"/>
              <w:left w:val="nil"/>
              <w:bottom w:val="single" w:sz="4" w:space="0" w:color="auto"/>
              <w:right w:val="nil"/>
            </w:tcBorders>
            <w:shd w:val="clear" w:color="000000" w:fill="D9D9D9"/>
            <w:noWrap/>
            <w:vAlign w:val="center"/>
          </w:tcPr>
          <w:p w:rsidR="00C64396" w:rsidRPr="00C64396" w:rsidRDefault="00C64396" w:rsidP="00F443DB">
            <w:pPr>
              <w:keepNext/>
              <w:spacing w:after="120" w:line="240" w:lineRule="auto"/>
              <w:jc w:val="center"/>
              <w:rPr>
                <w:rFonts w:ascii="Times New Roman" w:hAnsi="Times New Roman"/>
                <w:b/>
                <w:bCs/>
                <w:lang w:eastAsia="zh-CN"/>
              </w:rPr>
            </w:pPr>
            <w:r>
              <w:rPr>
                <w:rFonts w:ascii="Times New Roman" w:hAnsi="Times New Roman"/>
                <w:b/>
                <w:bCs/>
                <w:lang w:eastAsia="zh-CN"/>
              </w:rPr>
              <w:t>2012</w:t>
            </w:r>
          </w:p>
        </w:tc>
        <w:tc>
          <w:tcPr>
            <w:tcW w:w="1134" w:type="dxa"/>
            <w:tcBorders>
              <w:top w:val="single" w:sz="4" w:space="0" w:color="auto"/>
              <w:left w:val="nil"/>
              <w:bottom w:val="single" w:sz="4" w:space="0" w:color="auto"/>
              <w:right w:val="nil"/>
            </w:tcBorders>
            <w:shd w:val="clear" w:color="000000" w:fill="D9D9D9"/>
            <w:noWrap/>
            <w:vAlign w:val="center"/>
          </w:tcPr>
          <w:p w:rsidR="00C64396" w:rsidRPr="00C64396" w:rsidRDefault="00C64396" w:rsidP="00F443DB">
            <w:pPr>
              <w:keepNext/>
              <w:spacing w:after="120" w:line="240" w:lineRule="auto"/>
              <w:jc w:val="center"/>
              <w:rPr>
                <w:rFonts w:ascii="Times New Roman" w:hAnsi="Times New Roman"/>
                <w:b/>
                <w:bCs/>
                <w:lang w:eastAsia="zh-CN"/>
              </w:rPr>
            </w:pPr>
            <w:r>
              <w:rPr>
                <w:rFonts w:ascii="Times New Roman" w:hAnsi="Times New Roman"/>
                <w:b/>
                <w:bCs/>
                <w:lang w:eastAsia="zh-CN"/>
              </w:rPr>
              <w:t>2013</w:t>
            </w:r>
          </w:p>
        </w:tc>
        <w:tc>
          <w:tcPr>
            <w:tcW w:w="958" w:type="dxa"/>
            <w:tcBorders>
              <w:top w:val="single" w:sz="4" w:space="0" w:color="auto"/>
              <w:left w:val="nil"/>
              <w:bottom w:val="single" w:sz="4" w:space="0" w:color="auto"/>
              <w:right w:val="nil"/>
            </w:tcBorders>
            <w:shd w:val="clear" w:color="000000" w:fill="D9D9D9"/>
            <w:vAlign w:val="center"/>
          </w:tcPr>
          <w:p w:rsidR="0016601E" w:rsidRDefault="00C64396" w:rsidP="00F443DB">
            <w:pPr>
              <w:keepNext/>
              <w:spacing w:after="120" w:line="240" w:lineRule="auto"/>
              <w:jc w:val="center"/>
              <w:rPr>
                <w:rFonts w:ascii="Times New Roman" w:hAnsi="Times New Roman"/>
                <w:b/>
                <w:bCs/>
                <w:lang w:eastAsia="zh-CN"/>
              </w:rPr>
            </w:pPr>
            <w:r>
              <w:rPr>
                <w:rFonts w:ascii="Times New Roman" w:hAnsi="Times New Roman"/>
                <w:b/>
                <w:bCs/>
                <w:lang w:eastAsia="zh-CN"/>
              </w:rPr>
              <w:t>2014</w:t>
            </w:r>
            <w:r w:rsidRPr="00C64396">
              <w:rPr>
                <w:rFonts w:ascii="Times New Roman" w:hAnsi="Times New Roman"/>
                <w:b/>
                <w:bCs/>
                <w:lang w:eastAsia="zh-CN"/>
              </w:rPr>
              <w:t xml:space="preserve"> </w:t>
            </w:r>
          </w:p>
          <w:p w:rsidR="00C64396" w:rsidRPr="00C64396" w:rsidRDefault="00C64396" w:rsidP="00F443DB">
            <w:pPr>
              <w:keepNext/>
              <w:spacing w:after="120" w:line="240" w:lineRule="auto"/>
              <w:jc w:val="center"/>
              <w:rPr>
                <w:rFonts w:ascii="Times New Roman" w:hAnsi="Times New Roman"/>
                <w:b/>
                <w:bCs/>
                <w:lang w:eastAsia="zh-CN"/>
              </w:rPr>
            </w:pPr>
            <w:r w:rsidRPr="00C64396">
              <w:rPr>
                <w:rFonts w:ascii="Times New Roman" w:hAnsi="Times New Roman"/>
                <w:b/>
                <w:bCs/>
                <w:lang w:eastAsia="zh-CN"/>
              </w:rPr>
              <w:t>I-VI</w:t>
            </w:r>
          </w:p>
        </w:tc>
      </w:tr>
      <w:tr w:rsidR="00C64396" w:rsidRPr="00C64396" w:rsidTr="0016601E">
        <w:trPr>
          <w:trHeight w:val="300"/>
        </w:trPr>
        <w:tc>
          <w:tcPr>
            <w:tcW w:w="2660" w:type="dxa"/>
            <w:gridSpan w:val="2"/>
            <w:tcBorders>
              <w:top w:val="single" w:sz="4" w:space="0" w:color="auto"/>
              <w:left w:val="nil"/>
              <w:bottom w:val="nil"/>
            </w:tcBorders>
            <w:shd w:val="clear" w:color="000000" w:fill="FFFFFF"/>
            <w:noWrap/>
            <w:vAlign w:val="center"/>
          </w:tcPr>
          <w:p w:rsidR="00C64396" w:rsidRPr="00C64396" w:rsidRDefault="00C64396" w:rsidP="00F443DB">
            <w:pPr>
              <w:keepNext/>
              <w:spacing w:after="120" w:line="240" w:lineRule="auto"/>
              <w:rPr>
                <w:rFonts w:ascii="Times New Roman" w:hAnsi="Times New Roman"/>
                <w:lang w:eastAsia="zh-CN"/>
              </w:rPr>
            </w:pPr>
            <w:r w:rsidRPr="00C64396">
              <w:rPr>
                <w:rFonts w:ascii="Times New Roman" w:hAnsi="Times New Roman"/>
                <w:lang w:eastAsia="zh-CN"/>
              </w:rPr>
              <w:t>Uzņēmumu ienākuma nodoklis</w:t>
            </w:r>
          </w:p>
        </w:tc>
        <w:tc>
          <w:tcPr>
            <w:tcW w:w="1134" w:type="dxa"/>
            <w:tcBorders>
              <w:top w:val="single" w:sz="4" w:space="0" w:color="auto"/>
            </w:tcBorders>
            <w:shd w:val="clear" w:color="000000" w:fill="FFFFFF"/>
            <w:noWrap/>
            <w:vAlign w:val="center"/>
          </w:tcPr>
          <w:p w:rsidR="00C64396" w:rsidRPr="00C64396" w:rsidRDefault="00C64396" w:rsidP="00F443DB">
            <w:pPr>
              <w:keepNext/>
              <w:spacing w:after="120" w:line="240" w:lineRule="auto"/>
              <w:jc w:val="right"/>
              <w:rPr>
                <w:rFonts w:ascii="Times New Roman" w:hAnsi="Times New Roman"/>
                <w:color w:val="000000"/>
              </w:rPr>
            </w:pPr>
            <w:r w:rsidRPr="00C64396">
              <w:rPr>
                <w:rFonts w:ascii="Times New Roman" w:hAnsi="Times New Roman"/>
                <w:color w:val="000000"/>
              </w:rPr>
              <w:t>15 986,1</w:t>
            </w:r>
          </w:p>
        </w:tc>
        <w:tc>
          <w:tcPr>
            <w:tcW w:w="1172" w:type="dxa"/>
            <w:tcBorders>
              <w:top w:val="single" w:sz="4" w:space="0" w:color="auto"/>
            </w:tcBorders>
            <w:shd w:val="clear" w:color="000000" w:fill="FFFFFF"/>
            <w:noWrap/>
            <w:vAlign w:val="center"/>
          </w:tcPr>
          <w:p w:rsidR="00C64396" w:rsidRPr="00C64396" w:rsidRDefault="00C64396" w:rsidP="00F443DB">
            <w:pPr>
              <w:keepNext/>
              <w:spacing w:after="120" w:line="240" w:lineRule="auto"/>
              <w:jc w:val="right"/>
              <w:rPr>
                <w:rFonts w:ascii="Times New Roman" w:hAnsi="Times New Roman"/>
                <w:color w:val="000000"/>
              </w:rPr>
            </w:pPr>
            <w:r w:rsidRPr="00C64396">
              <w:rPr>
                <w:rFonts w:ascii="Times New Roman" w:hAnsi="Times New Roman"/>
                <w:color w:val="000000"/>
              </w:rPr>
              <w:t>22</w:t>
            </w:r>
            <w:r w:rsidR="00CA1C25">
              <w:rPr>
                <w:rFonts w:ascii="Times New Roman" w:hAnsi="Times New Roman"/>
                <w:color w:val="000000"/>
              </w:rPr>
              <w:t> </w:t>
            </w:r>
            <w:r w:rsidRPr="00C64396">
              <w:rPr>
                <w:rFonts w:ascii="Times New Roman" w:hAnsi="Times New Roman"/>
                <w:color w:val="000000"/>
              </w:rPr>
              <w:t>829,1</w:t>
            </w:r>
          </w:p>
        </w:tc>
        <w:tc>
          <w:tcPr>
            <w:tcW w:w="1210" w:type="dxa"/>
            <w:tcBorders>
              <w:top w:val="single" w:sz="4" w:space="0" w:color="auto"/>
            </w:tcBorders>
            <w:shd w:val="clear" w:color="000000" w:fill="FFFFFF"/>
            <w:noWrap/>
            <w:vAlign w:val="center"/>
          </w:tcPr>
          <w:p w:rsidR="00C64396" w:rsidRPr="00C64396" w:rsidRDefault="00C64396" w:rsidP="00F443DB">
            <w:pPr>
              <w:keepNext/>
              <w:spacing w:after="120" w:line="240" w:lineRule="auto"/>
              <w:jc w:val="right"/>
              <w:rPr>
                <w:rFonts w:ascii="Times New Roman" w:hAnsi="Times New Roman"/>
                <w:color w:val="000000"/>
              </w:rPr>
            </w:pPr>
            <w:r w:rsidRPr="00C64396">
              <w:rPr>
                <w:rFonts w:ascii="Times New Roman" w:hAnsi="Times New Roman"/>
                <w:color w:val="000000"/>
              </w:rPr>
              <w:t>7</w:t>
            </w:r>
            <w:r w:rsidR="00CA1C25">
              <w:rPr>
                <w:rFonts w:ascii="Times New Roman" w:hAnsi="Times New Roman"/>
                <w:color w:val="000000"/>
              </w:rPr>
              <w:t> </w:t>
            </w:r>
            <w:r w:rsidRPr="00C64396">
              <w:rPr>
                <w:rFonts w:ascii="Times New Roman" w:hAnsi="Times New Roman"/>
                <w:color w:val="000000"/>
              </w:rPr>
              <w:t>901,1</w:t>
            </w:r>
          </w:p>
        </w:tc>
        <w:tc>
          <w:tcPr>
            <w:tcW w:w="1303" w:type="dxa"/>
            <w:tcBorders>
              <w:top w:val="single" w:sz="4" w:space="0" w:color="auto"/>
            </w:tcBorders>
            <w:noWrap/>
            <w:vAlign w:val="center"/>
          </w:tcPr>
          <w:p w:rsidR="00C64396" w:rsidRPr="00C64396" w:rsidRDefault="00C64396" w:rsidP="00F443DB">
            <w:pPr>
              <w:keepNext/>
              <w:spacing w:after="120" w:line="240" w:lineRule="auto"/>
              <w:jc w:val="center"/>
              <w:rPr>
                <w:rFonts w:ascii="Times New Roman" w:hAnsi="Times New Roman"/>
                <w:color w:val="000000"/>
              </w:rPr>
            </w:pPr>
            <w:r w:rsidRPr="00C64396">
              <w:rPr>
                <w:rFonts w:ascii="Times New Roman" w:hAnsi="Times New Roman"/>
                <w:color w:val="000000"/>
              </w:rPr>
              <w:t>4,6</w:t>
            </w:r>
          </w:p>
        </w:tc>
        <w:tc>
          <w:tcPr>
            <w:tcW w:w="1134" w:type="dxa"/>
            <w:tcBorders>
              <w:top w:val="single" w:sz="4" w:space="0" w:color="auto"/>
            </w:tcBorders>
            <w:noWrap/>
            <w:vAlign w:val="center"/>
          </w:tcPr>
          <w:p w:rsidR="00C64396" w:rsidRPr="00C64396" w:rsidRDefault="00C64396" w:rsidP="00F443DB">
            <w:pPr>
              <w:keepNext/>
              <w:spacing w:after="120" w:line="240" w:lineRule="auto"/>
              <w:jc w:val="center"/>
              <w:rPr>
                <w:rFonts w:ascii="Times New Roman" w:hAnsi="Times New Roman"/>
                <w:color w:val="000000"/>
              </w:rPr>
            </w:pPr>
            <w:r w:rsidRPr="00C64396">
              <w:rPr>
                <w:rFonts w:ascii="Times New Roman" w:hAnsi="Times New Roman"/>
                <w:color w:val="000000"/>
              </w:rPr>
              <w:t>6,3</w:t>
            </w:r>
          </w:p>
        </w:tc>
        <w:tc>
          <w:tcPr>
            <w:tcW w:w="958" w:type="dxa"/>
            <w:tcBorders>
              <w:top w:val="single" w:sz="4" w:space="0" w:color="auto"/>
            </w:tcBorders>
            <w:vAlign w:val="center"/>
          </w:tcPr>
          <w:p w:rsidR="00C64396" w:rsidRPr="00C64396" w:rsidRDefault="00C64396" w:rsidP="00F443DB">
            <w:pPr>
              <w:keepNext/>
              <w:spacing w:after="120" w:line="240" w:lineRule="auto"/>
              <w:jc w:val="center"/>
              <w:rPr>
                <w:rFonts w:ascii="Times New Roman" w:hAnsi="Times New Roman"/>
                <w:color w:val="000000"/>
              </w:rPr>
            </w:pPr>
            <w:r w:rsidRPr="00C64396">
              <w:rPr>
                <w:rFonts w:ascii="Times New Roman" w:hAnsi="Times New Roman"/>
                <w:color w:val="000000"/>
              </w:rPr>
              <w:t>4,3</w:t>
            </w:r>
          </w:p>
        </w:tc>
      </w:tr>
      <w:tr w:rsidR="00C64396" w:rsidRPr="00C64396" w:rsidTr="0016601E">
        <w:trPr>
          <w:trHeight w:val="300"/>
        </w:trPr>
        <w:tc>
          <w:tcPr>
            <w:tcW w:w="2660" w:type="dxa"/>
            <w:gridSpan w:val="2"/>
            <w:tcBorders>
              <w:top w:val="nil"/>
              <w:left w:val="nil"/>
              <w:bottom w:val="nil"/>
            </w:tcBorders>
            <w:shd w:val="clear" w:color="000000" w:fill="FFFFFF"/>
            <w:noWrap/>
            <w:vAlign w:val="center"/>
          </w:tcPr>
          <w:p w:rsidR="00C64396" w:rsidRPr="00C64396" w:rsidRDefault="00C64396" w:rsidP="00F443DB">
            <w:pPr>
              <w:keepNext/>
              <w:spacing w:after="120" w:line="240" w:lineRule="auto"/>
              <w:rPr>
                <w:rFonts w:ascii="Times New Roman" w:hAnsi="Times New Roman"/>
                <w:lang w:eastAsia="zh-CN"/>
              </w:rPr>
            </w:pPr>
            <w:r w:rsidRPr="00C64396">
              <w:rPr>
                <w:rFonts w:ascii="Times New Roman" w:hAnsi="Times New Roman"/>
                <w:lang w:eastAsia="zh-CN"/>
              </w:rPr>
              <w:t>Iedzīvotāju ienākuma nodoklis</w:t>
            </w:r>
          </w:p>
        </w:tc>
        <w:tc>
          <w:tcPr>
            <w:tcW w:w="1134" w:type="dxa"/>
            <w:shd w:val="clear" w:color="000000" w:fill="FFFFFF"/>
            <w:noWrap/>
            <w:vAlign w:val="center"/>
          </w:tcPr>
          <w:p w:rsidR="00C64396" w:rsidRPr="00C64396" w:rsidRDefault="00C64396" w:rsidP="00F443DB">
            <w:pPr>
              <w:keepNext/>
              <w:spacing w:after="120" w:line="240" w:lineRule="auto"/>
              <w:jc w:val="right"/>
              <w:rPr>
                <w:rFonts w:ascii="Times New Roman" w:hAnsi="Times New Roman"/>
                <w:color w:val="000000"/>
              </w:rPr>
            </w:pPr>
            <w:r w:rsidRPr="00C64396">
              <w:rPr>
                <w:rFonts w:ascii="Times New Roman" w:hAnsi="Times New Roman"/>
                <w:color w:val="000000"/>
              </w:rPr>
              <w:t>29 029,6</w:t>
            </w:r>
          </w:p>
        </w:tc>
        <w:tc>
          <w:tcPr>
            <w:tcW w:w="1172" w:type="dxa"/>
            <w:shd w:val="clear" w:color="000000" w:fill="FFFFFF"/>
            <w:noWrap/>
            <w:vAlign w:val="center"/>
          </w:tcPr>
          <w:p w:rsidR="00C64396" w:rsidRPr="00C64396" w:rsidRDefault="00C64396" w:rsidP="00F443DB">
            <w:pPr>
              <w:keepNext/>
              <w:spacing w:after="120" w:line="240" w:lineRule="auto"/>
              <w:jc w:val="right"/>
              <w:rPr>
                <w:rFonts w:ascii="Times New Roman" w:hAnsi="Times New Roman"/>
                <w:color w:val="000000"/>
              </w:rPr>
            </w:pPr>
            <w:r w:rsidRPr="00C64396">
              <w:rPr>
                <w:rFonts w:ascii="Times New Roman" w:hAnsi="Times New Roman"/>
                <w:color w:val="000000"/>
              </w:rPr>
              <w:t>34</w:t>
            </w:r>
            <w:r w:rsidR="00CA1C25">
              <w:rPr>
                <w:rFonts w:ascii="Times New Roman" w:hAnsi="Times New Roman"/>
                <w:color w:val="000000"/>
              </w:rPr>
              <w:t> </w:t>
            </w:r>
            <w:r w:rsidRPr="00C64396">
              <w:rPr>
                <w:rFonts w:ascii="Times New Roman" w:hAnsi="Times New Roman"/>
                <w:color w:val="000000"/>
              </w:rPr>
              <w:t>974,7</w:t>
            </w:r>
          </w:p>
        </w:tc>
        <w:tc>
          <w:tcPr>
            <w:tcW w:w="1210" w:type="dxa"/>
            <w:shd w:val="clear" w:color="000000" w:fill="FFFFFF"/>
            <w:noWrap/>
            <w:vAlign w:val="center"/>
          </w:tcPr>
          <w:p w:rsidR="00C64396" w:rsidRPr="00C64396" w:rsidRDefault="00C64396" w:rsidP="00F443DB">
            <w:pPr>
              <w:keepNext/>
              <w:spacing w:after="120" w:line="240" w:lineRule="auto"/>
              <w:jc w:val="right"/>
              <w:rPr>
                <w:rFonts w:ascii="Times New Roman" w:hAnsi="Times New Roman"/>
                <w:color w:val="000000"/>
              </w:rPr>
            </w:pPr>
            <w:r w:rsidRPr="00C64396">
              <w:rPr>
                <w:rFonts w:ascii="Times New Roman" w:hAnsi="Times New Roman"/>
                <w:color w:val="000000"/>
              </w:rPr>
              <w:t>18</w:t>
            </w:r>
            <w:r w:rsidR="00CA1C25">
              <w:rPr>
                <w:rFonts w:ascii="Times New Roman" w:hAnsi="Times New Roman"/>
                <w:color w:val="000000"/>
              </w:rPr>
              <w:t> </w:t>
            </w:r>
            <w:r w:rsidRPr="00C64396">
              <w:rPr>
                <w:rFonts w:ascii="Times New Roman" w:hAnsi="Times New Roman"/>
                <w:color w:val="000000"/>
              </w:rPr>
              <w:t>060,4</w:t>
            </w:r>
          </w:p>
        </w:tc>
        <w:tc>
          <w:tcPr>
            <w:tcW w:w="1303" w:type="dxa"/>
            <w:noWrap/>
            <w:vAlign w:val="center"/>
          </w:tcPr>
          <w:p w:rsidR="00C64396" w:rsidRPr="00C64396" w:rsidRDefault="00C64396" w:rsidP="00F443DB">
            <w:pPr>
              <w:keepNext/>
              <w:spacing w:after="120" w:line="240" w:lineRule="auto"/>
              <w:jc w:val="center"/>
              <w:rPr>
                <w:rFonts w:ascii="Times New Roman" w:hAnsi="Times New Roman"/>
                <w:color w:val="000000"/>
              </w:rPr>
            </w:pPr>
            <w:r w:rsidRPr="00C64396">
              <w:rPr>
                <w:rFonts w:ascii="Times New Roman" w:hAnsi="Times New Roman"/>
                <w:color w:val="000000"/>
              </w:rPr>
              <w:t>2,3</w:t>
            </w:r>
          </w:p>
        </w:tc>
        <w:tc>
          <w:tcPr>
            <w:tcW w:w="1134" w:type="dxa"/>
            <w:noWrap/>
            <w:vAlign w:val="center"/>
          </w:tcPr>
          <w:p w:rsidR="00C64396" w:rsidRPr="00C64396" w:rsidRDefault="00C64396" w:rsidP="00F443DB">
            <w:pPr>
              <w:keepNext/>
              <w:spacing w:after="120" w:line="240" w:lineRule="auto"/>
              <w:jc w:val="center"/>
              <w:rPr>
                <w:rFonts w:ascii="Times New Roman" w:hAnsi="Times New Roman"/>
                <w:color w:val="000000"/>
              </w:rPr>
            </w:pPr>
            <w:r w:rsidRPr="00C64396">
              <w:rPr>
                <w:rFonts w:ascii="Times New Roman" w:hAnsi="Times New Roman"/>
                <w:color w:val="000000"/>
              </w:rPr>
              <w:t>2,6</w:t>
            </w:r>
          </w:p>
        </w:tc>
        <w:tc>
          <w:tcPr>
            <w:tcW w:w="958" w:type="dxa"/>
            <w:vAlign w:val="center"/>
          </w:tcPr>
          <w:p w:rsidR="00C64396" w:rsidRPr="00C64396" w:rsidRDefault="00C64396" w:rsidP="00F443DB">
            <w:pPr>
              <w:keepNext/>
              <w:spacing w:after="120" w:line="240" w:lineRule="auto"/>
              <w:jc w:val="center"/>
              <w:rPr>
                <w:rFonts w:ascii="Times New Roman" w:hAnsi="Times New Roman"/>
                <w:color w:val="000000"/>
              </w:rPr>
            </w:pPr>
            <w:r w:rsidRPr="00C64396">
              <w:rPr>
                <w:rFonts w:ascii="Times New Roman" w:hAnsi="Times New Roman"/>
                <w:color w:val="000000"/>
              </w:rPr>
              <w:t>2,7</w:t>
            </w:r>
          </w:p>
        </w:tc>
      </w:tr>
      <w:tr w:rsidR="00C64396" w:rsidRPr="00C64396" w:rsidTr="0016601E">
        <w:trPr>
          <w:trHeight w:val="300"/>
        </w:trPr>
        <w:tc>
          <w:tcPr>
            <w:tcW w:w="2660" w:type="dxa"/>
            <w:gridSpan w:val="2"/>
            <w:tcBorders>
              <w:top w:val="nil"/>
              <w:left w:val="nil"/>
              <w:bottom w:val="nil"/>
            </w:tcBorders>
            <w:shd w:val="clear" w:color="000000" w:fill="FFFFFF"/>
            <w:noWrap/>
            <w:vAlign w:val="center"/>
          </w:tcPr>
          <w:p w:rsidR="00C64396" w:rsidRPr="00C64396" w:rsidRDefault="00C64396" w:rsidP="00F443DB">
            <w:pPr>
              <w:keepNext/>
              <w:spacing w:after="120" w:line="240" w:lineRule="auto"/>
              <w:rPr>
                <w:rFonts w:ascii="Times New Roman" w:hAnsi="Times New Roman"/>
                <w:lang w:eastAsia="zh-CN"/>
              </w:rPr>
            </w:pPr>
            <w:r w:rsidRPr="00C64396">
              <w:rPr>
                <w:rFonts w:ascii="Times New Roman" w:hAnsi="Times New Roman"/>
                <w:lang w:eastAsia="zh-CN"/>
              </w:rPr>
              <w:t>Sociālās apdrošināšanas iemaksas</w:t>
            </w:r>
          </w:p>
        </w:tc>
        <w:tc>
          <w:tcPr>
            <w:tcW w:w="1134" w:type="dxa"/>
            <w:shd w:val="clear" w:color="000000" w:fill="FFFFFF"/>
            <w:noWrap/>
            <w:vAlign w:val="center"/>
          </w:tcPr>
          <w:p w:rsidR="00C64396" w:rsidRPr="00C64396" w:rsidRDefault="00C64396" w:rsidP="00F443DB">
            <w:pPr>
              <w:keepNext/>
              <w:spacing w:after="120" w:line="240" w:lineRule="auto"/>
              <w:jc w:val="right"/>
              <w:rPr>
                <w:rFonts w:ascii="Times New Roman" w:hAnsi="Times New Roman"/>
                <w:color w:val="000000"/>
              </w:rPr>
            </w:pPr>
            <w:r w:rsidRPr="00C64396">
              <w:rPr>
                <w:rFonts w:ascii="Times New Roman" w:hAnsi="Times New Roman"/>
                <w:color w:val="000000"/>
              </w:rPr>
              <w:t>48 288,3</w:t>
            </w:r>
          </w:p>
        </w:tc>
        <w:tc>
          <w:tcPr>
            <w:tcW w:w="1172" w:type="dxa"/>
            <w:shd w:val="clear" w:color="000000" w:fill="FFFFFF"/>
            <w:noWrap/>
            <w:vAlign w:val="center"/>
          </w:tcPr>
          <w:p w:rsidR="00C64396" w:rsidRPr="00C64396" w:rsidRDefault="00C64396" w:rsidP="00F443DB">
            <w:pPr>
              <w:keepNext/>
              <w:spacing w:after="120" w:line="240" w:lineRule="auto"/>
              <w:jc w:val="right"/>
              <w:rPr>
                <w:rFonts w:ascii="Times New Roman" w:hAnsi="Times New Roman"/>
                <w:color w:val="000000"/>
              </w:rPr>
            </w:pPr>
            <w:r w:rsidRPr="00C64396">
              <w:rPr>
                <w:rFonts w:ascii="Times New Roman" w:hAnsi="Times New Roman"/>
                <w:color w:val="000000"/>
              </w:rPr>
              <w:t>57</w:t>
            </w:r>
            <w:r w:rsidR="00CA1C25">
              <w:rPr>
                <w:rFonts w:ascii="Times New Roman" w:hAnsi="Times New Roman"/>
                <w:color w:val="000000"/>
              </w:rPr>
              <w:t> </w:t>
            </w:r>
            <w:r w:rsidRPr="00C64396">
              <w:rPr>
                <w:rFonts w:ascii="Times New Roman" w:hAnsi="Times New Roman"/>
                <w:color w:val="000000"/>
              </w:rPr>
              <w:t>069,8</w:t>
            </w:r>
          </w:p>
        </w:tc>
        <w:tc>
          <w:tcPr>
            <w:tcW w:w="1210" w:type="dxa"/>
            <w:shd w:val="clear" w:color="000000" w:fill="FFFFFF"/>
            <w:noWrap/>
            <w:vAlign w:val="center"/>
          </w:tcPr>
          <w:p w:rsidR="00C64396" w:rsidRPr="00C64396" w:rsidRDefault="00C64396" w:rsidP="00F443DB">
            <w:pPr>
              <w:keepNext/>
              <w:spacing w:after="120" w:line="240" w:lineRule="auto"/>
              <w:jc w:val="right"/>
              <w:rPr>
                <w:rFonts w:ascii="Times New Roman" w:hAnsi="Times New Roman"/>
                <w:color w:val="000000"/>
              </w:rPr>
            </w:pPr>
            <w:r w:rsidRPr="00C64396">
              <w:rPr>
                <w:rFonts w:ascii="Times New Roman" w:hAnsi="Times New Roman"/>
                <w:color w:val="000000"/>
              </w:rPr>
              <w:t>28</w:t>
            </w:r>
            <w:r w:rsidR="00CA1C25">
              <w:rPr>
                <w:rFonts w:ascii="Times New Roman" w:hAnsi="Times New Roman"/>
                <w:color w:val="000000"/>
              </w:rPr>
              <w:t> </w:t>
            </w:r>
            <w:r w:rsidRPr="00C64396">
              <w:rPr>
                <w:rFonts w:ascii="Times New Roman" w:hAnsi="Times New Roman"/>
                <w:color w:val="000000"/>
              </w:rPr>
              <w:t>155,2</w:t>
            </w:r>
          </w:p>
        </w:tc>
        <w:tc>
          <w:tcPr>
            <w:tcW w:w="1303" w:type="dxa"/>
            <w:noWrap/>
            <w:vAlign w:val="center"/>
          </w:tcPr>
          <w:p w:rsidR="00C64396" w:rsidRPr="00C64396" w:rsidRDefault="00C64396" w:rsidP="00F443DB">
            <w:pPr>
              <w:keepNext/>
              <w:spacing w:after="120" w:line="240" w:lineRule="auto"/>
              <w:jc w:val="center"/>
              <w:rPr>
                <w:rFonts w:ascii="Times New Roman" w:hAnsi="Times New Roman"/>
                <w:color w:val="000000"/>
              </w:rPr>
            </w:pPr>
            <w:r w:rsidRPr="00C64396">
              <w:rPr>
                <w:rFonts w:ascii="Times New Roman" w:hAnsi="Times New Roman"/>
                <w:color w:val="000000"/>
              </w:rPr>
              <w:t>2,4</w:t>
            </w:r>
          </w:p>
        </w:tc>
        <w:tc>
          <w:tcPr>
            <w:tcW w:w="1134" w:type="dxa"/>
            <w:noWrap/>
            <w:vAlign w:val="center"/>
          </w:tcPr>
          <w:p w:rsidR="00C64396" w:rsidRPr="00C64396" w:rsidRDefault="00C64396" w:rsidP="00F443DB">
            <w:pPr>
              <w:keepNext/>
              <w:spacing w:after="120" w:line="240" w:lineRule="auto"/>
              <w:jc w:val="center"/>
              <w:rPr>
                <w:rFonts w:ascii="Times New Roman" w:hAnsi="Times New Roman"/>
                <w:color w:val="000000"/>
              </w:rPr>
            </w:pPr>
            <w:r w:rsidRPr="00C64396">
              <w:rPr>
                <w:rFonts w:ascii="Times New Roman" w:hAnsi="Times New Roman"/>
                <w:color w:val="000000"/>
              </w:rPr>
              <w:t>2,6</w:t>
            </w:r>
          </w:p>
        </w:tc>
        <w:tc>
          <w:tcPr>
            <w:tcW w:w="958" w:type="dxa"/>
            <w:vAlign w:val="center"/>
          </w:tcPr>
          <w:p w:rsidR="00C64396" w:rsidRPr="00C64396" w:rsidRDefault="00C64396" w:rsidP="00F443DB">
            <w:pPr>
              <w:keepNext/>
              <w:spacing w:after="120" w:line="240" w:lineRule="auto"/>
              <w:jc w:val="center"/>
              <w:rPr>
                <w:rFonts w:ascii="Times New Roman" w:hAnsi="Times New Roman"/>
                <w:color w:val="000000"/>
              </w:rPr>
            </w:pPr>
            <w:r w:rsidRPr="00C64396">
              <w:rPr>
                <w:rFonts w:ascii="Times New Roman" w:hAnsi="Times New Roman"/>
                <w:color w:val="000000"/>
              </w:rPr>
              <w:t>2,6</w:t>
            </w:r>
          </w:p>
        </w:tc>
      </w:tr>
      <w:tr w:rsidR="00C64396" w:rsidRPr="00C64396" w:rsidTr="0016601E">
        <w:trPr>
          <w:trHeight w:val="300"/>
        </w:trPr>
        <w:tc>
          <w:tcPr>
            <w:tcW w:w="2660" w:type="dxa"/>
            <w:gridSpan w:val="2"/>
            <w:tcBorders>
              <w:top w:val="nil"/>
              <w:left w:val="nil"/>
              <w:bottom w:val="nil"/>
            </w:tcBorders>
            <w:shd w:val="clear" w:color="000000" w:fill="FFFFFF"/>
            <w:noWrap/>
            <w:vAlign w:val="center"/>
          </w:tcPr>
          <w:p w:rsidR="00C64396" w:rsidRPr="00C64396" w:rsidRDefault="00C64396" w:rsidP="00F443DB">
            <w:pPr>
              <w:keepNext/>
              <w:spacing w:after="120" w:line="240" w:lineRule="auto"/>
              <w:rPr>
                <w:rFonts w:ascii="Times New Roman" w:hAnsi="Times New Roman"/>
                <w:lang w:eastAsia="zh-CN"/>
              </w:rPr>
            </w:pPr>
            <w:r w:rsidRPr="00C64396">
              <w:rPr>
                <w:rFonts w:ascii="Times New Roman" w:hAnsi="Times New Roman"/>
                <w:lang w:eastAsia="zh-CN"/>
              </w:rPr>
              <w:t>Pievienotās vērtības nodoklis</w:t>
            </w:r>
          </w:p>
        </w:tc>
        <w:tc>
          <w:tcPr>
            <w:tcW w:w="1134" w:type="dxa"/>
            <w:shd w:val="clear" w:color="000000" w:fill="FFFFFF"/>
            <w:noWrap/>
            <w:vAlign w:val="center"/>
          </w:tcPr>
          <w:p w:rsidR="00C64396" w:rsidRPr="00C64396" w:rsidRDefault="00C64396" w:rsidP="00F443DB">
            <w:pPr>
              <w:keepNext/>
              <w:spacing w:after="120" w:line="240" w:lineRule="auto"/>
              <w:jc w:val="right"/>
              <w:rPr>
                <w:rFonts w:ascii="Times New Roman" w:hAnsi="Times New Roman"/>
                <w:color w:val="000000"/>
              </w:rPr>
            </w:pPr>
            <w:r w:rsidRPr="00C64396">
              <w:rPr>
                <w:rFonts w:ascii="Times New Roman" w:hAnsi="Times New Roman"/>
                <w:color w:val="000000"/>
              </w:rPr>
              <w:t>23 282,8</w:t>
            </w:r>
          </w:p>
        </w:tc>
        <w:tc>
          <w:tcPr>
            <w:tcW w:w="1172" w:type="dxa"/>
            <w:shd w:val="clear" w:color="000000" w:fill="FFFFFF"/>
            <w:noWrap/>
            <w:vAlign w:val="center"/>
          </w:tcPr>
          <w:p w:rsidR="00C64396" w:rsidRPr="00C64396" w:rsidRDefault="00C64396" w:rsidP="00F443DB">
            <w:pPr>
              <w:keepNext/>
              <w:spacing w:after="120" w:line="240" w:lineRule="auto"/>
              <w:jc w:val="right"/>
              <w:rPr>
                <w:rFonts w:ascii="Times New Roman" w:hAnsi="Times New Roman"/>
                <w:color w:val="000000"/>
              </w:rPr>
            </w:pPr>
            <w:r w:rsidRPr="00C64396">
              <w:rPr>
                <w:rFonts w:ascii="Times New Roman" w:hAnsi="Times New Roman"/>
                <w:color w:val="000000"/>
              </w:rPr>
              <w:t>29</w:t>
            </w:r>
            <w:r w:rsidR="00CA1C25">
              <w:rPr>
                <w:rFonts w:ascii="Times New Roman" w:hAnsi="Times New Roman"/>
                <w:color w:val="000000"/>
              </w:rPr>
              <w:t> </w:t>
            </w:r>
            <w:r w:rsidRPr="00C64396">
              <w:rPr>
                <w:rFonts w:ascii="Times New Roman" w:hAnsi="Times New Roman"/>
                <w:color w:val="000000"/>
              </w:rPr>
              <w:t>571,0</w:t>
            </w:r>
          </w:p>
        </w:tc>
        <w:tc>
          <w:tcPr>
            <w:tcW w:w="1210" w:type="dxa"/>
            <w:shd w:val="clear" w:color="000000" w:fill="FFFFFF"/>
            <w:noWrap/>
            <w:vAlign w:val="center"/>
          </w:tcPr>
          <w:p w:rsidR="00C64396" w:rsidRPr="00C64396" w:rsidRDefault="00C64396" w:rsidP="00F443DB">
            <w:pPr>
              <w:keepNext/>
              <w:spacing w:after="120" w:line="240" w:lineRule="auto"/>
              <w:jc w:val="right"/>
              <w:rPr>
                <w:rFonts w:ascii="Times New Roman" w:hAnsi="Times New Roman"/>
                <w:color w:val="000000"/>
              </w:rPr>
            </w:pPr>
            <w:r w:rsidRPr="00C64396">
              <w:rPr>
                <w:rFonts w:ascii="Times New Roman" w:hAnsi="Times New Roman"/>
                <w:color w:val="000000"/>
              </w:rPr>
              <w:t>14</w:t>
            </w:r>
            <w:r w:rsidR="00CA1C25">
              <w:rPr>
                <w:rFonts w:ascii="Times New Roman" w:hAnsi="Times New Roman"/>
                <w:color w:val="000000"/>
              </w:rPr>
              <w:t> </w:t>
            </w:r>
            <w:r w:rsidRPr="00C64396">
              <w:rPr>
                <w:rFonts w:ascii="Times New Roman" w:hAnsi="Times New Roman"/>
                <w:color w:val="000000"/>
              </w:rPr>
              <w:t>167,2</w:t>
            </w:r>
          </w:p>
        </w:tc>
        <w:tc>
          <w:tcPr>
            <w:tcW w:w="1303" w:type="dxa"/>
            <w:noWrap/>
            <w:vAlign w:val="center"/>
          </w:tcPr>
          <w:p w:rsidR="00C64396" w:rsidRPr="00C64396" w:rsidRDefault="00C64396" w:rsidP="00F443DB">
            <w:pPr>
              <w:keepNext/>
              <w:spacing w:after="120" w:line="240" w:lineRule="auto"/>
              <w:jc w:val="center"/>
              <w:rPr>
                <w:rFonts w:ascii="Times New Roman" w:hAnsi="Times New Roman"/>
                <w:color w:val="000000"/>
              </w:rPr>
            </w:pPr>
            <w:r w:rsidRPr="00C64396">
              <w:rPr>
                <w:rFonts w:ascii="Times New Roman" w:hAnsi="Times New Roman"/>
                <w:color w:val="000000"/>
              </w:rPr>
              <w:t>1,5</w:t>
            </w:r>
          </w:p>
        </w:tc>
        <w:tc>
          <w:tcPr>
            <w:tcW w:w="1134" w:type="dxa"/>
            <w:noWrap/>
            <w:vAlign w:val="center"/>
          </w:tcPr>
          <w:p w:rsidR="00C64396" w:rsidRPr="00C64396" w:rsidRDefault="00C64396" w:rsidP="00F443DB">
            <w:pPr>
              <w:keepNext/>
              <w:spacing w:after="120" w:line="240" w:lineRule="auto"/>
              <w:jc w:val="center"/>
              <w:rPr>
                <w:rFonts w:ascii="Times New Roman" w:hAnsi="Times New Roman"/>
                <w:color w:val="000000"/>
              </w:rPr>
            </w:pPr>
            <w:r w:rsidRPr="00C64396">
              <w:rPr>
                <w:rFonts w:ascii="Times New Roman" w:hAnsi="Times New Roman"/>
                <w:color w:val="000000"/>
              </w:rPr>
              <w:t>1,8</w:t>
            </w:r>
          </w:p>
        </w:tc>
        <w:tc>
          <w:tcPr>
            <w:tcW w:w="958" w:type="dxa"/>
            <w:vAlign w:val="center"/>
          </w:tcPr>
          <w:p w:rsidR="00C64396" w:rsidRPr="00C64396" w:rsidRDefault="00C64396" w:rsidP="00F443DB">
            <w:pPr>
              <w:keepNext/>
              <w:spacing w:after="120" w:line="240" w:lineRule="auto"/>
              <w:jc w:val="center"/>
              <w:rPr>
                <w:rFonts w:ascii="Times New Roman" w:hAnsi="Times New Roman"/>
                <w:color w:val="000000"/>
              </w:rPr>
            </w:pPr>
            <w:r w:rsidRPr="00C64396">
              <w:rPr>
                <w:rFonts w:ascii="Times New Roman" w:hAnsi="Times New Roman"/>
                <w:color w:val="000000"/>
              </w:rPr>
              <w:t>1,6</w:t>
            </w:r>
          </w:p>
        </w:tc>
      </w:tr>
      <w:tr w:rsidR="00C64396" w:rsidRPr="00C64396" w:rsidTr="0016601E">
        <w:trPr>
          <w:trHeight w:val="300"/>
        </w:trPr>
        <w:tc>
          <w:tcPr>
            <w:tcW w:w="2660" w:type="dxa"/>
            <w:gridSpan w:val="2"/>
            <w:tcBorders>
              <w:top w:val="nil"/>
              <w:left w:val="nil"/>
              <w:bottom w:val="nil"/>
            </w:tcBorders>
            <w:shd w:val="clear" w:color="000000" w:fill="FFFFFF"/>
            <w:noWrap/>
            <w:vAlign w:val="center"/>
          </w:tcPr>
          <w:p w:rsidR="00C64396" w:rsidRPr="00C64396" w:rsidRDefault="00C64396" w:rsidP="00F443DB">
            <w:pPr>
              <w:keepNext/>
              <w:spacing w:after="120" w:line="240" w:lineRule="auto"/>
              <w:rPr>
                <w:rFonts w:ascii="Times New Roman" w:hAnsi="Times New Roman"/>
                <w:lang w:eastAsia="zh-CN"/>
              </w:rPr>
            </w:pPr>
            <w:r w:rsidRPr="00C64396">
              <w:rPr>
                <w:rFonts w:ascii="Times New Roman" w:hAnsi="Times New Roman"/>
                <w:lang w:eastAsia="zh-CN"/>
              </w:rPr>
              <w:t>Akcīzes nodoklis</w:t>
            </w:r>
          </w:p>
        </w:tc>
        <w:tc>
          <w:tcPr>
            <w:tcW w:w="1134" w:type="dxa"/>
            <w:shd w:val="clear" w:color="000000" w:fill="FFFFFF"/>
            <w:noWrap/>
            <w:vAlign w:val="center"/>
          </w:tcPr>
          <w:p w:rsidR="00C64396" w:rsidRPr="00C64396" w:rsidRDefault="00C64396" w:rsidP="00F443DB">
            <w:pPr>
              <w:keepNext/>
              <w:spacing w:after="120" w:line="240" w:lineRule="auto"/>
              <w:jc w:val="right"/>
              <w:rPr>
                <w:rFonts w:ascii="Times New Roman" w:hAnsi="Times New Roman"/>
                <w:color w:val="000000"/>
              </w:rPr>
            </w:pPr>
            <w:r w:rsidRPr="00C64396">
              <w:rPr>
                <w:rFonts w:ascii="Times New Roman" w:hAnsi="Times New Roman"/>
                <w:color w:val="000000"/>
              </w:rPr>
              <w:t>9 024,9</w:t>
            </w:r>
          </w:p>
        </w:tc>
        <w:tc>
          <w:tcPr>
            <w:tcW w:w="1172" w:type="dxa"/>
            <w:shd w:val="clear" w:color="000000" w:fill="FFFFFF"/>
            <w:noWrap/>
            <w:vAlign w:val="center"/>
          </w:tcPr>
          <w:p w:rsidR="00C64396" w:rsidRPr="00C64396" w:rsidRDefault="00C64396" w:rsidP="00F443DB">
            <w:pPr>
              <w:keepNext/>
              <w:spacing w:after="120" w:line="240" w:lineRule="auto"/>
              <w:jc w:val="right"/>
              <w:rPr>
                <w:rFonts w:ascii="Times New Roman" w:hAnsi="Times New Roman"/>
                <w:color w:val="000000"/>
              </w:rPr>
            </w:pPr>
            <w:r w:rsidRPr="00C64396">
              <w:rPr>
                <w:rFonts w:ascii="Times New Roman" w:hAnsi="Times New Roman"/>
                <w:color w:val="000000"/>
              </w:rPr>
              <w:t>11</w:t>
            </w:r>
            <w:r w:rsidR="00CA1C25">
              <w:rPr>
                <w:rFonts w:ascii="Times New Roman" w:hAnsi="Times New Roman"/>
                <w:color w:val="000000"/>
              </w:rPr>
              <w:t> </w:t>
            </w:r>
            <w:r w:rsidRPr="00C64396">
              <w:rPr>
                <w:rFonts w:ascii="Times New Roman" w:hAnsi="Times New Roman"/>
                <w:color w:val="000000"/>
              </w:rPr>
              <w:t>229,1</w:t>
            </w:r>
          </w:p>
        </w:tc>
        <w:tc>
          <w:tcPr>
            <w:tcW w:w="1210" w:type="dxa"/>
            <w:shd w:val="clear" w:color="000000" w:fill="FFFFFF"/>
            <w:noWrap/>
            <w:vAlign w:val="center"/>
          </w:tcPr>
          <w:p w:rsidR="00C64396" w:rsidRPr="00C64396" w:rsidRDefault="00C64396" w:rsidP="00F443DB">
            <w:pPr>
              <w:keepNext/>
              <w:spacing w:after="120" w:line="240" w:lineRule="auto"/>
              <w:jc w:val="right"/>
              <w:rPr>
                <w:rFonts w:ascii="Times New Roman" w:hAnsi="Times New Roman"/>
                <w:color w:val="000000"/>
              </w:rPr>
            </w:pPr>
            <w:r w:rsidRPr="00C64396">
              <w:rPr>
                <w:rFonts w:ascii="Times New Roman" w:hAnsi="Times New Roman"/>
                <w:color w:val="000000"/>
              </w:rPr>
              <w:t>5</w:t>
            </w:r>
            <w:r w:rsidR="00CA1C25">
              <w:rPr>
                <w:rFonts w:ascii="Times New Roman" w:hAnsi="Times New Roman"/>
                <w:color w:val="000000"/>
              </w:rPr>
              <w:t> </w:t>
            </w:r>
            <w:r w:rsidRPr="00C64396">
              <w:rPr>
                <w:rFonts w:ascii="Times New Roman" w:hAnsi="Times New Roman"/>
                <w:color w:val="000000"/>
              </w:rPr>
              <w:t>840,8</w:t>
            </w:r>
          </w:p>
        </w:tc>
        <w:tc>
          <w:tcPr>
            <w:tcW w:w="1303" w:type="dxa"/>
            <w:noWrap/>
            <w:vAlign w:val="center"/>
          </w:tcPr>
          <w:p w:rsidR="00C64396" w:rsidRPr="00C64396" w:rsidRDefault="00C64396" w:rsidP="00F443DB">
            <w:pPr>
              <w:keepNext/>
              <w:spacing w:after="120" w:line="240" w:lineRule="auto"/>
              <w:jc w:val="center"/>
              <w:rPr>
                <w:rFonts w:ascii="Times New Roman" w:hAnsi="Times New Roman"/>
                <w:color w:val="000000"/>
              </w:rPr>
            </w:pPr>
            <w:r w:rsidRPr="00C64396">
              <w:rPr>
                <w:rFonts w:ascii="Times New Roman" w:hAnsi="Times New Roman"/>
                <w:color w:val="000000"/>
              </w:rPr>
              <w:t>1,3</w:t>
            </w:r>
          </w:p>
        </w:tc>
        <w:tc>
          <w:tcPr>
            <w:tcW w:w="1134" w:type="dxa"/>
            <w:noWrap/>
            <w:vAlign w:val="center"/>
          </w:tcPr>
          <w:p w:rsidR="00C64396" w:rsidRPr="00C64396" w:rsidRDefault="00C64396" w:rsidP="00F443DB">
            <w:pPr>
              <w:keepNext/>
              <w:spacing w:after="120" w:line="240" w:lineRule="auto"/>
              <w:jc w:val="center"/>
              <w:rPr>
                <w:rFonts w:ascii="Times New Roman" w:hAnsi="Times New Roman"/>
                <w:color w:val="000000"/>
              </w:rPr>
            </w:pPr>
            <w:r w:rsidRPr="00C64396">
              <w:rPr>
                <w:rFonts w:ascii="Times New Roman" w:hAnsi="Times New Roman"/>
                <w:color w:val="000000"/>
              </w:rPr>
              <w:t>1,5</w:t>
            </w:r>
          </w:p>
        </w:tc>
        <w:tc>
          <w:tcPr>
            <w:tcW w:w="958" w:type="dxa"/>
            <w:vAlign w:val="center"/>
          </w:tcPr>
          <w:p w:rsidR="00C64396" w:rsidRPr="00C64396" w:rsidRDefault="00C64396" w:rsidP="00F443DB">
            <w:pPr>
              <w:keepNext/>
              <w:spacing w:after="120" w:line="240" w:lineRule="auto"/>
              <w:jc w:val="center"/>
              <w:rPr>
                <w:rFonts w:ascii="Times New Roman" w:hAnsi="Times New Roman"/>
                <w:color w:val="000000"/>
              </w:rPr>
            </w:pPr>
            <w:r w:rsidRPr="00C64396">
              <w:rPr>
                <w:rFonts w:ascii="Times New Roman" w:hAnsi="Times New Roman"/>
                <w:color w:val="000000"/>
              </w:rPr>
              <w:t>1,6</w:t>
            </w:r>
          </w:p>
        </w:tc>
      </w:tr>
      <w:tr w:rsidR="00C64396" w:rsidRPr="00C64396" w:rsidTr="0016601E">
        <w:trPr>
          <w:trHeight w:val="300"/>
        </w:trPr>
        <w:tc>
          <w:tcPr>
            <w:tcW w:w="2660" w:type="dxa"/>
            <w:gridSpan w:val="2"/>
            <w:tcBorders>
              <w:top w:val="nil"/>
              <w:left w:val="nil"/>
              <w:bottom w:val="nil"/>
            </w:tcBorders>
            <w:shd w:val="clear" w:color="000000" w:fill="FFFFFF"/>
            <w:noWrap/>
            <w:vAlign w:val="center"/>
          </w:tcPr>
          <w:p w:rsidR="00C64396" w:rsidRPr="00C64396" w:rsidRDefault="00C64396" w:rsidP="00F443DB">
            <w:pPr>
              <w:keepNext/>
              <w:spacing w:after="120" w:line="240" w:lineRule="auto"/>
              <w:rPr>
                <w:rFonts w:ascii="Times New Roman" w:hAnsi="Times New Roman"/>
                <w:lang w:eastAsia="zh-CN"/>
              </w:rPr>
            </w:pPr>
            <w:r w:rsidRPr="00C64396">
              <w:rPr>
                <w:rFonts w:ascii="Times New Roman" w:hAnsi="Times New Roman"/>
                <w:lang w:eastAsia="zh-CN"/>
              </w:rPr>
              <w:t>Transportlīdzekļa ekspluatācijas nodoklis</w:t>
            </w:r>
            <w:r w:rsidRPr="00C64396">
              <w:rPr>
                <w:rStyle w:val="FootnoteReference"/>
                <w:rFonts w:ascii="Times New Roman" w:hAnsi="Times New Roman"/>
                <w:lang w:eastAsia="zh-CN"/>
              </w:rPr>
              <w:footnoteReference w:id="20"/>
            </w:r>
          </w:p>
        </w:tc>
        <w:tc>
          <w:tcPr>
            <w:tcW w:w="1134" w:type="dxa"/>
            <w:shd w:val="clear" w:color="000000" w:fill="FFFFFF"/>
            <w:noWrap/>
            <w:vAlign w:val="center"/>
          </w:tcPr>
          <w:p w:rsidR="00C64396" w:rsidRPr="00C64396" w:rsidRDefault="00C64396" w:rsidP="00F443DB">
            <w:pPr>
              <w:keepNext/>
              <w:spacing w:after="120" w:line="240" w:lineRule="auto"/>
              <w:jc w:val="right"/>
              <w:rPr>
                <w:rFonts w:ascii="Times New Roman" w:hAnsi="Times New Roman"/>
                <w:color w:val="000000"/>
              </w:rPr>
            </w:pPr>
            <w:r w:rsidRPr="00C64396">
              <w:rPr>
                <w:rFonts w:ascii="Times New Roman" w:hAnsi="Times New Roman"/>
                <w:color w:val="000000"/>
              </w:rPr>
              <w:t>182,4</w:t>
            </w:r>
          </w:p>
        </w:tc>
        <w:tc>
          <w:tcPr>
            <w:tcW w:w="1172" w:type="dxa"/>
            <w:shd w:val="clear" w:color="000000" w:fill="FFFFFF"/>
            <w:noWrap/>
            <w:vAlign w:val="center"/>
          </w:tcPr>
          <w:p w:rsidR="00C64396" w:rsidRPr="00C64396" w:rsidRDefault="00C64396" w:rsidP="00F443DB">
            <w:pPr>
              <w:keepNext/>
              <w:spacing w:after="120" w:line="240" w:lineRule="auto"/>
              <w:jc w:val="right"/>
              <w:rPr>
                <w:rFonts w:ascii="Times New Roman" w:hAnsi="Times New Roman"/>
                <w:color w:val="000000"/>
              </w:rPr>
            </w:pPr>
            <w:r w:rsidRPr="00C64396">
              <w:rPr>
                <w:rFonts w:ascii="Times New Roman" w:hAnsi="Times New Roman"/>
                <w:color w:val="000000"/>
              </w:rPr>
              <w:t>178,4</w:t>
            </w:r>
          </w:p>
        </w:tc>
        <w:tc>
          <w:tcPr>
            <w:tcW w:w="1210" w:type="dxa"/>
            <w:shd w:val="clear" w:color="000000" w:fill="FFFFFF"/>
            <w:noWrap/>
            <w:vAlign w:val="center"/>
          </w:tcPr>
          <w:p w:rsidR="00C64396" w:rsidRPr="00C64396" w:rsidRDefault="00C64396" w:rsidP="00F443DB">
            <w:pPr>
              <w:keepNext/>
              <w:spacing w:after="120" w:line="240" w:lineRule="auto"/>
              <w:jc w:val="right"/>
              <w:rPr>
                <w:rFonts w:ascii="Times New Roman" w:hAnsi="Times New Roman"/>
                <w:color w:val="000000"/>
              </w:rPr>
            </w:pPr>
            <w:r w:rsidRPr="00C64396">
              <w:rPr>
                <w:rFonts w:ascii="Times New Roman" w:hAnsi="Times New Roman"/>
                <w:color w:val="000000"/>
              </w:rPr>
              <w:t>64,6</w:t>
            </w:r>
          </w:p>
        </w:tc>
        <w:tc>
          <w:tcPr>
            <w:tcW w:w="1303" w:type="dxa"/>
            <w:noWrap/>
            <w:vAlign w:val="center"/>
          </w:tcPr>
          <w:p w:rsidR="00C64396" w:rsidRPr="00C64396" w:rsidRDefault="00C64396" w:rsidP="00F443DB">
            <w:pPr>
              <w:keepNext/>
              <w:spacing w:after="120" w:line="240" w:lineRule="auto"/>
              <w:jc w:val="center"/>
              <w:rPr>
                <w:rFonts w:ascii="Times New Roman" w:hAnsi="Times New Roman"/>
                <w:color w:val="000000"/>
              </w:rPr>
            </w:pPr>
            <w:r w:rsidRPr="00C64396">
              <w:rPr>
                <w:rFonts w:ascii="Times New Roman" w:hAnsi="Times New Roman"/>
                <w:color w:val="000000"/>
              </w:rPr>
              <w:t>0,2</w:t>
            </w:r>
          </w:p>
        </w:tc>
        <w:tc>
          <w:tcPr>
            <w:tcW w:w="1134" w:type="dxa"/>
            <w:noWrap/>
            <w:vAlign w:val="center"/>
          </w:tcPr>
          <w:p w:rsidR="00C64396" w:rsidRPr="00C64396" w:rsidRDefault="00C64396" w:rsidP="00F443DB">
            <w:pPr>
              <w:keepNext/>
              <w:spacing w:after="120" w:line="240" w:lineRule="auto"/>
              <w:jc w:val="center"/>
              <w:rPr>
                <w:rFonts w:ascii="Times New Roman" w:hAnsi="Times New Roman"/>
                <w:color w:val="000000"/>
              </w:rPr>
            </w:pPr>
            <w:r w:rsidRPr="00C64396">
              <w:rPr>
                <w:rFonts w:ascii="Times New Roman" w:hAnsi="Times New Roman"/>
                <w:color w:val="000000"/>
              </w:rPr>
              <w:t>0,2</w:t>
            </w:r>
          </w:p>
        </w:tc>
        <w:tc>
          <w:tcPr>
            <w:tcW w:w="958" w:type="dxa"/>
            <w:vAlign w:val="center"/>
          </w:tcPr>
          <w:p w:rsidR="00C64396" w:rsidRPr="00C64396" w:rsidRDefault="00C64396" w:rsidP="00F443DB">
            <w:pPr>
              <w:keepNext/>
              <w:spacing w:after="120" w:line="240" w:lineRule="auto"/>
              <w:jc w:val="center"/>
              <w:rPr>
                <w:rFonts w:ascii="Times New Roman" w:hAnsi="Times New Roman"/>
                <w:color w:val="000000"/>
              </w:rPr>
            </w:pPr>
            <w:r w:rsidRPr="00C64396">
              <w:rPr>
                <w:rFonts w:ascii="Times New Roman" w:hAnsi="Times New Roman"/>
                <w:color w:val="000000"/>
              </w:rPr>
              <w:t>0,1</w:t>
            </w:r>
          </w:p>
        </w:tc>
      </w:tr>
      <w:tr w:rsidR="00C64396" w:rsidRPr="00C64396" w:rsidTr="0016601E">
        <w:trPr>
          <w:trHeight w:val="300"/>
        </w:trPr>
        <w:tc>
          <w:tcPr>
            <w:tcW w:w="2660" w:type="dxa"/>
            <w:gridSpan w:val="2"/>
            <w:tcBorders>
              <w:top w:val="nil"/>
              <w:left w:val="nil"/>
              <w:bottom w:val="nil"/>
            </w:tcBorders>
            <w:shd w:val="clear" w:color="000000" w:fill="FFFFFF"/>
            <w:noWrap/>
            <w:vAlign w:val="center"/>
          </w:tcPr>
          <w:p w:rsidR="00C64396" w:rsidRPr="00C64396" w:rsidRDefault="00C64396" w:rsidP="00F443DB">
            <w:pPr>
              <w:keepNext/>
              <w:spacing w:after="120" w:line="240" w:lineRule="auto"/>
              <w:rPr>
                <w:rFonts w:ascii="Times New Roman" w:hAnsi="Times New Roman"/>
                <w:lang w:eastAsia="zh-CN"/>
              </w:rPr>
            </w:pPr>
            <w:r w:rsidRPr="00C64396">
              <w:rPr>
                <w:rFonts w:ascii="Times New Roman" w:hAnsi="Times New Roman"/>
                <w:lang w:eastAsia="zh-CN"/>
              </w:rPr>
              <w:t>Dabas resursu nodoklis</w:t>
            </w:r>
          </w:p>
        </w:tc>
        <w:tc>
          <w:tcPr>
            <w:tcW w:w="1134" w:type="dxa"/>
            <w:shd w:val="clear" w:color="000000" w:fill="FFFFFF"/>
            <w:noWrap/>
            <w:vAlign w:val="center"/>
          </w:tcPr>
          <w:p w:rsidR="00C64396" w:rsidRPr="00C64396" w:rsidRDefault="00C64396" w:rsidP="00F443DB">
            <w:pPr>
              <w:keepNext/>
              <w:spacing w:after="120" w:line="240" w:lineRule="auto"/>
              <w:jc w:val="right"/>
              <w:rPr>
                <w:rFonts w:ascii="Times New Roman" w:hAnsi="Times New Roman"/>
                <w:color w:val="000000"/>
              </w:rPr>
            </w:pPr>
            <w:r w:rsidRPr="00C64396">
              <w:rPr>
                <w:rFonts w:ascii="Times New Roman" w:hAnsi="Times New Roman"/>
                <w:color w:val="000000"/>
              </w:rPr>
              <w:t>961,3</w:t>
            </w:r>
          </w:p>
        </w:tc>
        <w:tc>
          <w:tcPr>
            <w:tcW w:w="1172" w:type="dxa"/>
            <w:shd w:val="clear" w:color="000000" w:fill="FFFFFF"/>
            <w:noWrap/>
            <w:vAlign w:val="center"/>
          </w:tcPr>
          <w:p w:rsidR="00C64396" w:rsidRPr="00C64396" w:rsidRDefault="00C64396" w:rsidP="00F443DB">
            <w:pPr>
              <w:keepNext/>
              <w:spacing w:after="120" w:line="240" w:lineRule="auto"/>
              <w:jc w:val="right"/>
              <w:rPr>
                <w:rFonts w:ascii="Times New Roman" w:hAnsi="Times New Roman"/>
                <w:color w:val="000000"/>
              </w:rPr>
            </w:pPr>
            <w:r w:rsidRPr="00C64396">
              <w:rPr>
                <w:rFonts w:ascii="Times New Roman" w:hAnsi="Times New Roman"/>
                <w:color w:val="000000"/>
              </w:rPr>
              <w:t>1</w:t>
            </w:r>
            <w:r w:rsidR="00CA1C25">
              <w:rPr>
                <w:rFonts w:ascii="Times New Roman" w:hAnsi="Times New Roman"/>
                <w:color w:val="000000"/>
              </w:rPr>
              <w:t> </w:t>
            </w:r>
            <w:r w:rsidRPr="00C64396">
              <w:rPr>
                <w:rFonts w:ascii="Times New Roman" w:hAnsi="Times New Roman"/>
                <w:color w:val="000000"/>
              </w:rPr>
              <w:t>233,6</w:t>
            </w:r>
          </w:p>
        </w:tc>
        <w:tc>
          <w:tcPr>
            <w:tcW w:w="1210" w:type="dxa"/>
            <w:shd w:val="clear" w:color="000000" w:fill="FFFFFF"/>
            <w:noWrap/>
            <w:vAlign w:val="center"/>
          </w:tcPr>
          <w:p w:rsidR="00C64396" w:rsidRPr="00C64396" w:rsidRDefault="00C64396" w:rsidP="00F443DB">
            <w:pPr>
              <w:keepNext/>
              <w:spacing w:after="120" w:line="240" w:lineRule="auto"/>
              <w:jc w:val="right"/>
              <w:rPr>
                <w:rFonts w:ascii="Times New Roman" w:hAnsi="Times New Roman"/>
                <w:color w:val="000000"/>
              </w:rPr>
            </w:pPr>
            <w:r w:rsidRPr="00C64396">
              <w:rPr>
                <w:rFonts w:ascii="Times New Roman" w:hAnsi="Times New Roman"/>
                <w:color w:val="000000"/>
              </w:rPr>
              <w:t>409,9</w:t>
            </w:r>
          </w:p>
        </w:tc>
        <w:tc>
          <w:tcPr>
            <w:tcW w:w="1303" w:type="dxa"/>
            <w:noWrap/>
            <w:vAlign w:val="center"/>
          </w:tcPr>
          <w:p w:rsidR="00C64396" w:rsidRPr="00C64396" w:rsidRDefault="00C64396" w:rsidP="00F443DB">
            <w:pPr>
              <w:keepNext/>
              <w:spacing w:after="120" w:line="240" w:lineRule="auto"/>
              <w:jc w:val="center"/>
              <w:rPr>
                <w:rFonts w:ascii="Times New Roman" w:hAnsi="Times New Roman"/>
                <w:color w:val="000000"/>
              </w:rPr>
            </w:pPr>
            <w:r w:rsidRPr="00C64396">
              <w:rPr>
                <w:rFonts w:ascii="Times New Roman" w:hAnsi="Times New Roman"/>
                <w:color w:val="000000"/>
              </w:rPr>
              <w:t>5,5</w:t>
            </w:r>
          </w:p>
        </w:tc>
        <w:tc>
          <w:tcPr>
            <w:tcW w:w="1134" w:type="dxa"/>
            <w:noWrap/>
            <w:vAlign w:val="center"/>
          </w:tcPr>
          <w:p w:rsidR="00C64396" w:rsidRPr="00C64396" w:rsidRDefault="00C64396" w:rsidP="00F443DB">
            <w:pPr>
              <w:keepNext/>
              <w:spacing w:after="120" w:line="240" w:lineRule="auto"/>
              <w:jc w:val="center"/>
              <w:rPr>
                <w:rFonts w:ascii="Times New Roman" w:hAnsi="Times New Roman"/>
                <w:color w:val="000000"/>
              </w:rPr>
            </w:pPr>
            <w:r w:rsidRPr="00C64396">
              <w:rPr>
                <w:rFonts w:ascii="Times New Roman" w:hAnsi="Times New Roman"/>
                <w:color w:val="000000"/>
              </w:rPr>
              <w:t>6,5</w:t>
            </w:r>
          </w:p>
        </w:tc>
        <w:tc>
          <w:tcPr>
            <w:tcW w:w="958" w:type="dxa"/>
            <w:vAlign w:val="center"/>
          </w:tcPr>
          <w:p w:rsidR="00C64396" w:rsidRPr="00C64396" w:rsidRDefault="00C64396" w:rsidP="00F443DB">
            <w:pPr>
              <w:keepNext/>
              <w:spacing w:after="120" w:line="240" w:lineRule="auto"/>
              <w:jc w:val="center"/>
              <w:rPr>
                <w:rFonts w:ascii="Times New Roman" w:hAnsi="Times New Roman"/>
                <w:color w:val="000000"/>
              </w:rPr>
            </w:pPr>
            <w:r w:rsidRPr="00C64396">
              <w:rPr>
                <w:rFonts w:ascii="Times New Roman" w:hAnsi="Times New Roman"/>
                <w:color w:val="000000"/>
              </w:rPr>
              <w:t>4,3</w:t>
            </w:r>
          </w:p>
        </w:tc>
      </w:tr>
      <w:tr w:rsidR="00C64396" w:rsidRPr="00C64396" w:rsidTr="0016601E">
        <w:trPr>
          <w:trHeight w:val="300"/>
        </w:trPr>
        <w:tc>
          <w:tcPr>
            <w:tcW w:w="2660" w:type="dxa"/>
            <w:gridSpan w:val="2"/>
            <w:tcBorders>
              <w:top w:val="nil"/>
              <w:left w:val="nil"/>
            </w:tcBorders>
            <w:shd w:val="clear" w:color="000000" w:fill="FFFFFF"/>
            <w:noWrap/>
            <w:vAlign w:val="center"/>
          </w:tcPr>
          <w:p w:rsidR="00C64396" w:rsidRPr="00C64396" w:rsidRDefault="00C64396" w:rsidP="00F443DB">
            <w:pPr>
              <w:keepNext/>
              <w:spacing w:after="120" w:line="240" w:lineRule="auto"/>
              <w:rPr>
                <w:rFonts w:ascii="Times New Roman" w:hAnsi="Times New Roman"/>
                <w:lang w:eastAsia="zh-CN"/>
              </w:rPr>
            </w:pPr>
            <w:r w:rsidRPr="00C64396">
              <w:rPr>
                <w:rFonts w:ascii="Times New Roman" w:hAnsi="Times New Roman"/>
                <w:lang w:eastAsia="zh-CN"/>
              </w:rPr>
              <w:t>Muitas nodoklis</w:t>
            </w:r>
          </w:p>
        </w:tc>
        <w:tc>
          <w:tcPr>
            <w:tcW w:w="1134" w:type="dxa"/>
            <w:shd w:val="clear" w:color="000000" w:fill="FFFFFF"/>
            <w:noWrap/>
            <w:vAlign w:val="center"/>
          </w:tcPr>
          <w:p w:rsidR="00C64396" w:rsidRPr="00C64396" w:rsidRDefault="00C64396" w:rsidP="00F443DB">
            <w:pPr>
              <w:keepNext/>
              <w:spacing w:after="120" w:line="240" w:lineRule="auto"/>
              <w:jc w:val="right"/>
              <w:rPr>
                <w:rFonts w:ascii="Times New Roman" w:hAnsi="Times New Roman"/>
                <w:color w:val="000000"/>
              </w:rPr>
            </w:pPr>
            <w:r w:rsidRPr="00C64396">
              <w:rPr>
                <w:rFonts w:ascii="Times New Roman" w:hAnsi="Times New Roman"/>
                <w:color w:val="000000"/>
              </w:rPr>
              <w:t>1 054,3</w:t>
            </w:r>
          </w:p>
        </w:tc>
        <w:tc>
          <w:tcPr>
            <w:tcW w:w="1172" w:type="dxa"/>
            <w:shd w:val="clear" w:color="000000" w:fill="FFFFFF"/>
            <w:noWrap/>
            <w:vAlign w:val="center"/>
          </w:tcPr>
          <w:p w:rsidR="00C64396" w:rsidRPr="00C64396" w:rsidRDefault="00C64396" w:rsidP="00F443DB">
            <w:pPr>
              <w:keepNext/>
              <w:spacing w:after="120" w:line="240" w:lineRule="auto"/>
              <w:jc w:val="right"/>
              <w:rPr>
                <w:rFonts w:ascii="Times New Roman" w:hAnsi="Times New Roman"/>
                <w:color w:val="000000"/>
              </w:rPr>
            </w:pPr>
            <w:r w:rsidRPr="00C64396">
              <w:rPr>
                <w:rFonts w:ascii="Times New Roman" w:hAnsi="Times New Roman"/>
                <w:color w:val="000000"/>
              </w:rPr>
              <w:t>772,9</w:t>
            </w:r>
          </w:p>
        </w:tc>
        <w:tc>
          <w:tcPr>
            <w:tcW w:w="1210" w:type="dxa"/>
            <w:shd w:val="clear" w:color="000000" w:fill="FFFFFF"/>
            <w:noWrap/>
            <w:vAlign w:val="center"/>
          </w:tcPr>
          <w:p w:rsidR="00C64396" w:rsidRPr="00C64396" w:rsidRDefault="00C64396" w:rsidP="00F443DB">
            <w:pPr>
              <w:keepNext/>
              <w:spacing w:after="120" w:line="240" w:lineRule="auto"/>
              <w:jc w:val="right"/>
              <w:rPr>
                <w:rFonts w:ascii="Times New Roman" w:hAnsi="Times New Roman"/>
                <w:color w:val="000000"/>
              </w:rPr>
            </w:pPr>
            <w:r w:rsidRPr="00C64396">
              <w:rPr>
                <w:rFonts w:ascii="Times New Roman" w:hAnsi="Times New Roman"/>
                <w:color w:val="000000"/>
              </w:rPr>
              <w:t>1</w:t>
            </w:r>
            <w:r w:rsidR="00CA1C25">
              <w:rPr>
                <w:rFonts w:ascii="Times New Roman" w:hAnsi="Times New Roman"/>
                <w:color w:val="000000"/>
              </w:rPr>
              <w:t> </w:t>
            </w:r>
            <w:r w:rsidRPr="00C64396">
              <w:rPr>
                <w:rFonts w:ascii="Times New Roman" w:hAnsi="Times New Roman"/>
                <w:color w:val="000000"/>
              </w:rPr>
              <w:t>193,8</w:t>
            </w:r>
          </w:p>
        </w:tc>
        <w:tc>
          <w:tcPr>
            <w:tcW w:w="1303" w:type="dxa"/>
            <w:noWrap/>
            <w:vAlign w:val="center"/>
          </w:tcPr>
          <w:p w:rsidR="00C64396" w:rsidRPr="00C64396" w:rsidRDefault="00C64396" w:rsidP="00F443DB">
            <w:pPr>
              <w:keepNext/>
              <w:spacing w:after="120" w:line="240" w:lineRule="auto"/>
              <w:jc w:val="center"/>
              <w:rPr>
                <w:rFonts w:ascii="Times New Roman" w:hAnsi="Times New Roman"/>
                <w:color w:val="000000"/>
              </w:rPr>
            </w:pPr>
            <w:r w:rsidRPr="00C64396">
              <w:rPr>
                <w:rFonts w:ascii="Times New Roman" w:hAnsi="Times New Roman"/>
                <w:color w:val="000000"/>
              </w:rPr>
              <w:t>3,3</w:t>
            </w:r>
          </w:p>
        </w:tc>
        <w:tc>
          <w:tcPr>
            <w:tcW w:w="1134" w:type="dxa"/>
            <w:noWrap/>
            <w:vAlign w:val="center"/>
          </w:tcPr>
          <w:p w:rsidR="00C64396" w:rsidRPr="00C64396" w:rsidRDefault="00C64396" w:rsidP="00F443DB">
            <w:pPr>
              <w:keepNext/>
              <w:spacing w:after="120" w:line="240" w:lineRule="auto"/>
              <w:jc w:val="center"/>
              <w:rPr>
                <w:rFonts w:ascii="Times New Roman" w:hAnsi="Times New Roman"/>
                <w:color w:val="000000"/>
              </w:rPr>
            </w:pPr>
            <w:r w:rsidRPr="00C64396">
              <w:rPr>
                <w:rFonts w:ascii="Times New Roman" w:hAnsi="Times New Roman"/>
                <w:color w:val="000000"/>
              </w:rPr>
              <w:t>2,8</w:t>
            </w:r>
          </w:p>
        </w:tc>
        <w:tc>
          <w:tcPr>
            <w:tcW w:w="958" w:type="dxa"/>
            <w:vAlign w:val="center"/>
          </w:tcPr>
          <w:p w:rsidR="00C64396" w:rsidRPr="00C64396" w:rsidRDefault="00C64396" w:rsidP="00F443DB">
            <w:pPr>
              <w:keepNext/>
              <w:spacing w:after="120" w:line="240" w:lineRule="auto"/>
              <w:jc w:val="center"/>
              <w:rPr>
                <w:rFonts w:ascii="Times New Roman" w:hAnsi="Times New Roman"/>
                <w:color w:val="000000"/>
              </w:rPr>
            </w:pPr>
            <w:r w:rsidRPr="00C64396">
              <w:rPr>
                <w:rFonts w:ascii="Times New Roman" w:hAnsi="Times New Roman"/>
                <w:color w:val="000000"/>
              </w:rPr>
              <w:t>7,2</w:t>
            </w:r>
          </w:p>
        </w:tc>
      </w:tr>
      <w:tr w:rsidR="00C64396" w:rsidRPr="00C64396" w:rsidTr="0016601E">
        <w:trPr>
          <w:trHeight w:val="315"/>
        </w:trPr>
        <w:tc>
          <w:tcPr>
            <w:tcW w:w="2660" w:type="dxa"/>
            <w:gridSpan w:val="2"/>
            <w:tcBorders>
              <w:top w:val="nil"/>
              <w:left w:val="nil"/>
              <w:bottom w:val="single" w:sz="4" w:space="0" w:color="auto"/>
            </w:tcBorders>
            <w:noWrap/>
            <w:vAlign w:val="center"/>
          </w:tcPr>
          <w:p w:rsidR="00C64396" w:rsidRPr="00C64396" w:rsidRDefault="00C64396" w:rsidP="00F443DB">
            <w:pPr>
              <w:keepNext/>
              <w:spacing w:after="120" w:line="240" w:lineRule="auto"/>
              <w:rPr>
                <w:rFonts w:ascii="Times New Roman" w:hAnsi="Times New Roman"/>
                <w:lang w:eastAsia="zh-CN"/>
              </w:rPr>
            </w:pPr>
            <w:r w:rsidRPr="00C64396">
              <w:rPr>
                <w:rFonts w:ascii="Times New Roman" w:hAnsi="Times New Roman"/>
                <w:lang w:eastAsia="zh-CN"/>
              </w:rPr>
              <w:t>Mikrouzņēmumu nodoklis</w:t>
            </w:r>
          </w:p>
        </w:tc>
        <w:tc>
          <w:tcPr>
            <w:tcW w:w="1134" w:type="dxa"/>
            <w:tcBorders>
              <w:bottom w:val="single" w:sz="4" w:space="0" w:color="auto"/>
            </w:tcBorders>
            <w:noWrap/>
            <w:vAlign w:val="center"/>
          </w:tcPr>
          <w:p w:rsidR="00C64396" w:rsidRPr="00C64396" w:rsidRDefault="00C64396" w:rsidP="00F443DB">
            <w:pPr>
              <w:keepNext/>
              <w:spacing w:after="120" w:line="240" w:lineRule="auto"/>
              <w:jc w:val="right"/>
              <w:rPr>
                <w:rFonts w:ascii="Times New Roman" w:hAnsi="Times New Roman"/>
                <w:color w:val="000000"/>
              </w:rPr>
            </w:pPr>
            <w:r w:rsidRPr="00C64396">
              <w:rPr>
                <w:rFonts w:ascii="Times New Roman" w:hAnsi="Times New Roman"/>
                <w:color w:val="000000"/>
              </w:rPr>
              <w:t>10,3</w:t>
            </w:r>
          </w:p>
        </w:tc>
        <w:tc>
          <w:tcPr>
            <w:tcW w:w="1172" w:type="dxa"/>
            <w:tcBorders>
              <w:bottom w:val="single" w:sz="4" w:space="0" w:color="auto"/>
            </w:tcBorders>
            <w:noWrap/>
            <w:vAlign w:val="center"/>
          </w:tcPr>
          <w:p w:rsidR="00C64396" w:rsidRPr="00C64396" w:rsidRDefault="00C64396" w:rsidP="00F443DB">
            <w:pPr>
              <w:keepNext/>
              <w:spacing w:after="120" w:line="240" w:lineRule="auto"/>
              <w:jc w:val="right"/>
              <w:rPr>
                <w:rFonts w:ascii="Times New Roman" w:hAnsi="Times New Roman"/>
                <w:color w:val="000000"/>
              </w:rPr>
            </w:pPr>
            <w:r w:rsidRPr="00C64396">
              <w:rPr>
                <w:rFonts w:ascii="Times New Roman" w:hAnsi="Times New Roman"/>
                <w:color w:val="000000"/>
              </w:rPr>
              <w:t>33,0</w:t>
            </w:r>
          </w:p>
        </w:tc>
        <w:tc>
          <w:tcPr>
            <w:tcW w:w="1210" w:type="dxa"/>
            <w:tcBorders>
              <w:bottom w:val="single" w:sz="4" w:space="0" w:color="auto"/>
            </w:tcBorders>
            <w:vAlign w:val="center"/>
          </w:tcPr>
          <w:p w:rsidR="00C64396" w:rsidRPr="00C64396" w:rsidRDefault="00C64396" w:rsidP="00F443DB">
            <w:pPr>
              <w:keepNext/>
              <w:spacing w:after="120" w:line="240" w:lineRule="auto"/>
              <w:jc w:val="right"/>
              <w:rPr>
                <w:rFonts w:ascii="Times New Roman" w:hAnsi="Times New Roman"/>
                <w:color w:val="000000"/>
              </w:rPr>
            </w:pPr>
            <w:r w:rsidRPr="00C64396">
              <w:rPr>
                <w:rFonts w:ascii="Times New Roman" w:hAnsi="Times New Roman"/>
                <w:color w:val="000000"/>
              </w:rPr>
              <w:t>36,2</w:t>
            </w:r>
          </w:p>
        </w:tc>
        <w:tc>
          <w:tcPr>
            <w:tcW w:w="1303" w:type="dxa"/>
            <w:tcBorders>
              <w:bottom w:val="single" w:sz="4" w:space="0" w:color="auto"/>
            </w:tcBorders>
            <w:noWrap/>
            <w:vAlign w:val="center"/>
          </w:tcPr>
          <w:p w:rsidR="00C64396" w:rsidRPr="00C64396" w:rsidRDefault="00C64396" w:rsidP="00F443DB">
            <w:pPr>
              <w:keepNext/>
              <w:spacing w:after="120" w:line="240" w:lineRule="auto"/>
              <w:jc w:val="center"/>
              <w:rPr>
                <w:rFonts w:ascii="Times New Roman" w:hAnsi="Times New Roman"/>
                <w:color w:val="000000"/>
              </w:rPr>
            </w:pPr>
            <w:r w:rsidRPr="00C64396">
              <w:rPr>
                <w:rFonts w:ascii="Times New Roman" w:hAnsi="Times New Roman"/>
                <w:color w:val="000000"/>
              </w:rPr>
              <w:t>0,0</w:t>
            </w:r>
          </w:p>
        </w:tc>
        <w:tc>
          <w:tcPr>
            <w:tcW w:w="1134" w:type="dxa"/>
            <w:tcBorders>
              <w:bottom w:val="single" w:sz="4" w:space="0" w:color="auto"/>
            </w:tcBorders>
            <w:noWrap/>
            <w:vAlign w:val="center"/>
          </w:tcPr>
          <w:p w:rsidR="00C64396" w:rsidRPr="00C64396" w:rsidRDefault="00C64396" w:rsidP="00F443DB">
            <w:pPr>
              <w:keepNext/>
              <w:spacing w:after="120" w:line="240" w:lineRule="auto"/>
              <w:jc w:val="center"/>
              <w:rPr>
                <w:rFonts w:ascii="Times New Roman" w:hAnsi="Times New Roman"/>
                <w:color w:val="000000"/>
              </w:rPr>
            </w:pPr>
            <w:r w:rsidRPr="00C64396">
              <w:rPr>
                <w:rFonts w:ascii="Times New Roman" w:hAnsi="Times New Roman"/>
                <w:color w:val="000000"/>
              </w:rPr>
              <w:t>0,1</w:t>
            </w:r>
          </w:p>
        </w:tc>
        <w:tc>
          <w:tcPr>
            <w:tcW w:w="958" w:type="dxa"/>
            <w:tcBorders>
              <w:bottom w:val="single" w:sz="4" w:space="0" w:color="auto"/>
            </w:tcBorders>
            <w:vAlign w:val="center"/>
          </w:tcPr>
          <w:p w:rsidR="00C64396" w:rsidRPr="00C64396" w:rsidRDefault="00C64396" w:rsidP="00F443DB">
            <w:pPr>
              <w:keepNext/>
              <w:spacing w:after="120" w:line="240" w:lineRule="auto"/>
              <w:jc w:val="center"/>
              <w:rPr>
                <w:rFonts w:ascii="Times New Roman" w:hAnsi="Times New Roman"/>
                <w:color w:val="000000"/>
              </w:rPr>
            </w:pPr>
            <w:r w:rsidRPr="00C64396">
              <w:rPr>
                <w:rFonts w:ascii="Times New Roman" w:hAnsi="Times New Roman"/>
                <w:color w:val="000000"/>
              </w:rPr>
              <w:t>0,2</w:t>
            </w:r>
          </w:p>
        </w:tc>
      </w:tr>
      <w:tr w:rsidR="00C64396" w:rsidRPr="00C64396" w:rsidTr="00CA1C25">
        <w:trPr>
          <w:gridAfter w:val="7"/>
          <w:wAfter w:w="8714" w:type="dxa"/>
        </w:trPr>
        <w:tc>
          <w:tcPr>
            <w:tcW w:w="857" w:type="dxa"/>
          </w:tcPr>
          <w:p w:rsidR="00C64396" w:rsidRPr="00C64396" w:rsidRDefault="00C64396" w:rsidP="00F443DB">
            <w:pPr>
              <w:keepNext/>
              <w:spacing w:after="120" w:line="240" w:lineRule="auto"/>
              <w:jc w:val="both"/>
              <w:rPr>
                <w:rFonts w:ascii="Times New Roman" w:hAnsi="Times New Roman"/>
                <w:i/>
                <w:sz w:val="20"/>
                <w:szCs w:val="26"/>
              </w:rPr>
            </w:pPr>
          </w:p>
        </w:tc>
      </w:tr>
    </w:tbl>
    <w:p w:rsidR="00CA1C25" w:rsidRPr="00E20875" w:rsidRDefault="00E20875" w:rsidP="00F443DB">
      <w:pPr>
        <w:keepNext/>
        <w:spacing w:after="120" w:line="240" w:lineRule="auto"/>
        <w:ind w:firstLine="426"/>
        <w:jc w:val="both"/>
        <w:rPr>
          <w:rFonts w:ascii="Times New Roman" w:hAnsi="Times New Roman"/>
          <w:i/>
        </w:rPr>
      </w:pPr>
      <w:r w:rsidRPr="00E20875">
        <w:rPr>
          <w:rFonts w:ascii="Times New Roman" w:hAnsi="Times New Roman"/>
          <w:i/>
        </w:rPr>
        <w:t>Avots: Lusoft, VID</w:t>
      </w:r>
    </w:p>
    <w:p w:rsidR="00E20875" w:rsidRDefault="00E20875" w:rsidP="00F443DB">
      <w:pPr>
        <w:spacing w:after="120" w:line="240" w:lineRule="auto"/>
        <w:ind w:firstLine="426"/>
        <w:jc w:val="both"/>
        <w:rPr>
          <w:rFonts w:ascii="Times New Roman" w:hAnsi="Times New Roman"/>
          <w:sz w:val="26"/>
          <w:szCs w:val="26"/>
          <w:highlight w:val="yellow"/>
        </w:rPr>
      </w:pPr>
    </w:p>
    <w:p w:rsidR="009B10A4" w:rsidRDefault="00873437" w:rsidP="00F443DB">
      <w:pPr>
        <w:spacing w:after="120" w:line="240" w:lineRule="auto"/>
        <w:ind w:firstLine="426"/>
        <w:jc w:val="both"/>
        <w:rPr>
          <w:rFonts w:ascii="Times New Roman" w:hAnsi="Times New Roman"/>
          <w:sz w:val="26"/>
          <w:szCs w:val="26"/>
        </w:rPr>
      </w:pPr>
      <w:r>
        <w:rPr>
          <w:rFonts w:ascii="Times New Roman" w:hAnsi="Times New Roman"/>
          <w:sz w:val="26"/>
          <w:szCs w:val="26"/>
        </w:rPr>
        <w:t>Saskaņā ar PMLP 2013.gadā veikto aptauju</w:t>
      </w:r>
      <w:r w:rsidR="009B10A4" w:rsidRPr="00AA13FA">
        <w:rPr>
          <w:rFonts w:ascii="Times New Roman" w:hAnsi="Times New Roman"/>
          <w:sz w:val="26"/>
          <w:szCs w:val="26"/>
        </w:rPr>
        <w:t xml:space="preserve"> investors un viņa ģimenes locekļi uzturas Latvijā vidēji 2-4 mēnešus gadā un vidēji mēnesī uz katru ģ</w:t>
      </w:r>
      <w:r w:rsidR="00FA2365">
        <w:rPr>
          <w:rFonts w:ascii="Times New Roman" w:hAnsi="Times New Roman"/>
          <w:sz w:val="26"/>
          <w:szCs w:val="26"/>
        </w:rPr>
        <w:t>imenes locekli tērē</w:t>
      </w:r>
      <w:r w:rsidR="00AA13FA" w:rsidRPr="00AA13FA">
        <w:rPr>
          <w:rFonts w:ascii="Times New Roman" w:hAnsi="Times New Roman"/>
          <w:sz w:val="26"/>
          <w:szCs w:val="26"/>
        </w:rPr>
        <w:t>, 8</w:t>
      </w:r>
      <w:r w:rsidR="009B10A4" w:rsidRPr="00AA13FA">
        <w:rPr>
          <w:rFonts w:ascii="Times New Roman" w:hAnsi="Times New Roman"/>
          <w:sz w:val="26"/>
          <w:szCs w:val="26"/>
        </w:rPr>
        <w:t xml:space="preserve">00 </w:t>
      </w:r>
      <w:r w:rsidR="00AA13FA" w:rsidRPr="00AA13FA">
        <w:rPr>
          <w:rFonts w:ascii="Times New Roman" w:hAnsi="Times New Roman"/>
          <w:i/>
          <w:sz w:val="26"/>
          <w:szCs w:val="26"/>
        </w:rPr>
        <w:t>euro</w:t>
      </w:r>
      <w:r w:rsidR="009B10A4" w:rsidRPr="00AA13FA">
        <w:rPr>
          <w:rFonts w:ascii="Times New Roman" w:hAnsi="Times New Roman"/>
          <w:sz w:val="26"/>
          <w:szCs w:val="26"/>
        </w:rPr>
        <w:t xml:space="preserve"> (pārtikai</w:t>
      </w:r>
      <w:r>
        <w:rPr>
          <w:rFonts w:ascii="Times New Roman" w:hAnsi="Times New Roman"/>
          <w:sz w:val="26"/>
          <w:szCs w:val="26"/>
        </w:rPr>
        <w:t>, izklaides pasākumiem u.c.), tā</w:t>
      </w:r>
      <w:r w:rsidR="009B10A4" w:rsidRPr="00AA13FA">
        <w:rPr>
          <w:rFonts w:ascii="Times New Roman" w:hAnsi="Times New Roman"/>
          <w:sz w:val="26"/>
          <w:szCs w:val="26"/>
        </w:rPr>
        <w:t>d</w:t>
      </w:r>
      <w:r>
        <w:rPr>
          <w:rFonts w:ascii="Times New Roman" w:hAnsi="Times New Roman"/>
          <w:sz w:val="26"/>
          <w:szCs w:val="26"/>
        </w:rPr>
        <w:t>ējādi</w:t>
      </w:r>
      <w:r w:rsidR="009B10A4" w:rsidRPr="00AA13FA">
        <w:rPr>
          <w:rFonts w:ascii="Times New Roman" w:hAnsi="Times New Roman"/>
          <w:sz w:val="26"/>
          <w:szCs w:val="26"/>
        </w:rPr>
        <w:t xml:space="preserve"> kopējie tēriņi gadā var </w:t>
      </w:r>
      <w:r w:rsidR="00AA13FA" w:rsidRPr="00AA13FA">
        <w:rPr>
          <w:rFonts w:ascii="Times New Roman" w:hAnsi="Times New Roman"/>
          <w:sz w:val="26"/>
          <w:szCs w:val="26"/>
        </w:rPr>
        <w:t>sasniegt 30</w:t>
      </w:r>
      <w:r w:rsidR="009B10A4" w:rsidRPr="00AA13FA">
        <w:rPr>
          <w:rFonts w:ascii="Times New Roman" w:hAnsi="Times New Roman"/>
          <w:sz w:val="26"/>
          <w:szCs w:val="26"/>
        </w:rPr>
        <w:t xml:space="preserve"> milj. </w:t>
      </w:r>
      <w:r w:rsidR="00AA13FA" w:rsidRPr="00140144">
        <w:rPr>
          <w:rFonts w:ascii="Times New Roman" w:hAnsi="Times New Roman"/>
          <w:i/>
          <w:sz w:val="26"/>
          <w:szCs w:val="26"/>
        </w:rPr>
        <w:t>euro</w:t>
      </w:r>
      <w:r w:rsidR="009B10A4" w:rsidRPr="00AA13FA">
        <w:rPr>
          <w:rFonts w:ascii="Times New Roman" w:hAnsi="Times New Roman"/>
          <w:sz w:val="26"/>
          <w:szCs w:val="26"/>
        </w:rPr>
        <w:t>, savukārt, ienākumi valsts budžetā patēriņa nodok</w:t>
      </w:r>
      <w:r w:rsidR="00AA13FA" w:rsidRPr="00AA13FA">
        <w:rPr>
          <w:rFonts w:ascii="Times New Roman" w:hAnsi="Times New Roman"/>
          <w:sz w:val="26"/>
          <w:szCs w:val="26"/>
        </w:rPr>
        <w:t>ļu veidā var sasniegt papildus 6</w:t>
      </w:r>
      <w:r w:rsidR="009B10A4" w:rsidRPr="00AA13FA">
        <w:rPr>
          <w:rFonts w:ascii="Times New Roman" w:hAnsi="Times New Roman"/>
          <w:sz w:val="26"/>
          <w:szCs w:val="26"/>
        </w:rPr>
        <w:t xml:space="preserve"> milj. </w:t>
      </w:r>
      <w:r w:rsidR="00AA13FA" w:rsidRPr="00AA13FA">
        <w:rPr>
          <w:rFonts w:ascii="Times New Roman" w:hAnsi="Times New Roman"/>
          <w:i/>
          <w:sz w:val="26"/>
          <w:szCs w:val="26"/>
        </w:rPr>
        <w:t>euro</w:t>
      </w:r>
      <w:r w:rsidR="009B10A4" w:rsidRPr="00AA13FA">
        <w:rPr>
          <w:rFonts w:ascii="Times New Roman" w:hAnsi="Times New Roman"/>
          <w:sz w:val="26"/>
          <w:szCs w:val="26"/>
        </w:rPr>
        <w:t xml:space="preserve">.  </w:t>
      </w:r>
    </w:p>
    <w:p w:rsidR="002B224D" w:rsidRDefault="002B224D" w:rsidP="00F443DB">
      <w:pPr>
        <w:spacing w:after="120" w:line="240" w:lineRule="auto"/>
        <w:ind w:firstLine="426"/>
        <w:jc w:val="both"/>
        <w:rPr>
          <w:rFonts w:ascii="Times New Roman" w:hAnsi="Times New Roman"/>
          <w:sz w:val="26"/>
          <w:szCs w:val="26"/>
        </w:rPr>
      </w:pPr>
    </w:p>
    <w:p w:rsidR="002B224D" w:rsidRDefault="002B224D" w:rsidP="002B224D">
      <w:pPr>
        <w:pStyle w:val="Heading1"/>
        <w:spacing w:before="0" w:after="120" w:line="240" w:lineRule="auto"/>
        <w:rPr>
          <w:rFonts w:ascii="Times New Roman" w:hAnsi="Times New Roman"/>
          <w:color w:val="auto"/>
        </w:rPr>
      </w:pPr>
      <w:bookmarkStart w:id="28" w:name="_Toc365460268"/>
      <w:bookmarkStart w:id="29" w:name="_Toc398179989"/>
      <w:r>
        <w:rPr>
          <w:rFonts w:ascii="Times New Roman" w:hAnsi="Times New Roman"/>
          <w:color w:val="auto"/>
        </w:rPr>
        <w:t>10. Ietekme uz sabiedrību</w:t>
      </w:r>
      <w:bookmarkEnd w:id="28"/>
      <w:bookmarkEnd w:id="29"/>
    </w:p>
    <w:p w:rsidR="002B224D" w:rsidRDefault="002B224D" w:rsidP="002B224D">
      <w:pPr>
        <w:spacing w:after="120" w:line="240" w:lineRule="auto"/>
        <w:ind w:firstLine="426"/>
        <w:jc w:val="both"/>
        <w:rPr>
          <w:rFonts w:ascii="Times New Roman" w:hAnsi="Times New Roman"/>
          <w:sz w:val="26"/>
          <w:szCs w:val="26"/>
        </w:rPr>
      </w:pPr>
      <w:r>
        <w:rPr>
          <w:rFonts w:ascii="Times New Roman" w:hAnsi="Times New Roman"/>
          <w:sz w:val="26"/>
          <w:szCs w:val="26"/>
        </w:rPr>
        <w:t xml:space="preserve">Lai iegūtu konkrētākus datus par minēto mērķa grupu, Kultūras ministrija kā Eiropas Trešo valstu valstspiederīgo integrācijas fonda vadošā iestāde, izstrādājot kārtējo fonda gada programmu, tās saturā kā vienu no pasākumiem ir iekļāvusi pētījumu. Programmas ietvaros paredzēts veikt trešo valstu pilsoņu integrācijas iespēju novērtēšanu un problēmu identificēšanu, tai skaitā, nosakot atbilstību Eiropas Savienības tiesību normām, integrācijas politikas efektīvākai īstenošanai. </w:t>
      </w:r>
    </w:p>
    <w:p w:rsidR="002B224D" w:rsidRDefault="002B224D" w:rsidP="002B224D">
      <w:pPr>
        <w:spacing w:after="120" w:line="240" w:lineRule="auto"/>
        <w:ind w:firstLine="426"/>
        <w:jc w:val="both"/>
        <w:rPr>
          <w:rFonts w:ascii="Times New Roman" w:hAnsi="Times New Roman"/>
          <w:sz w:val="26"/>
          <w:szCs w:val="26"/>
        </w:rPr>
      </w:pPr>
      <w:r>
        <w:rPr>
          <w:rFonts w:ascii="Times New Roman" w:hAnsi="Times New Roman"/>
          <w:sz w:val="26"/>
          <w:szCs w:val="26"/>
        </w:rPr>
        <w:lastRenderedPageBreak/>
        <w:t>2014.gada 9.jūnijā Ministru kabinets apstiprināja noteikumus Nr.292 „Noteikumi par Eiropas Trešo valstu valstspiederīgo integrācijas fonda 2013.gada programmas aktivitāšu īstenošanu”, kuru IX nodaļas 82.punkts paredz sasniegt šādus uzraudzības rādītājus:</w:t>
      </w:r>
    </w:p>
    <w:p w:rsidR="002B224D" w:rsidRDefault="002B224D" w:rsidP="002B224D">
      <w:pPr>
        <w:spacing w:after="120" w:line="240" w:lineRule="auto"/>
        <w:ind w:firstLine="426"/>
        <w:jc w:val="both"/>
        <w:rPr>
          <w:rFonts w:ascii="Times New Roman" w:hAnsi="Times New Roman"/>
          <w:sz w:val="26"/>
          <w:szCs w:val="26"/>
        </w:rPr>
      </w:pPr>
      <w:r>
        <w:rPr>
          <w:rFonts w:ascii="Times New Roman" w:hAnsi="Times New Roman"/>
          <w:sz w:val="26"/>
          <w:szCs w:val="26"/>
        </w:rPr>
        <w:t>82.1. apzinātas dažādas trešo valstu pilsoņu grupas, tajā skaitā apzināta mērķa grupa, kas Latvijā ieceļo, pamatojoties uz Imigrācijas likuma 23. panta pirmās daļas 3., 28., 29. un 30. punktā noteikto;</w:t>
      </w:r>
    </w:p>
    <w:p w:rsidR="002B224D" w:rsidRDefault="002B224D" w:rsidP="002B224D">
      <w:pPr>
        <w:spacing w:after="120" w:line="240" w:lineRule="auto"/>
        <w:ind w:firstLine="426"/>
        <w:jc w:val="both"/>
        <w:rPr>
          <w:rFonts w:ascii="Times New Roman" w:hAnsi="Times New Roman"/>
          <w:sz w:val="26"/>
          <w:szCs w:val="26"/>
        </w:rPr>
      </w:pPr>
      <w:r>
        <w:rPr>
          <w:rFonts w:ascii="Times New Roman" w:hAnsi="Times New Roman"/>
          <w:sz w:val="26"/>
          <w:szCs w:val="26"/>
        </w:rPr>
        <w:t>82.2. pētījums veikts, ievērojot pēctecību ar iepriekš veiktiem pētījumiem, izvērtējot integrācijas galveno rādītāju attīstību dinamikā, apzinot tādas integrācijas jomas kā nodarbinātība, izglītība, veselības aprūpe, sociālā iekļaušanās, pilsoniskā līdzdalība, diskriminācijas mazināšana;</w:t>
      </w:r>
    </w:p>
    <w:p w:rsidR="002B224D" w:rsidRDefault="002B224D" w:rsidP="002B224D">
      <w:pPr>
        <w:spacing w:after="120" w:line="240" w:lineRule="auto"/>
        <w:ind w:firstLine="426"/>
        <w:jc w:val="both"/>
        <w:rPr>
          <w:rFonts w:ascii="Times New Roman" w:hAnsi="Times New Roman"/>
          <w:sz w:val="26"/>
          <w:szCs w:val="26"/>
        </w:rPr>
      </w:pPr>
      <w:r>
        <w:rPr>
          <w:rFonts w:ascii="Times New Roman" w:hAnsi="Times New Roman"/>
          <w:sz w:val="26"/>
          <w:szCs w:val="26"/>
        </w:rPr>
        <w:t>82.3. veikta valodas un integrācijas kursu pieejamības un kvalitātes analīze dažādām trešo valstu pilsoņu grupām;</w:t>
      </w:r>
    </w:p>
    <w:p w:rsidR="002B224D" w:rsidRDefault="002B224D" w:rsidP="002B224D">
      <w:pPr>
        <w:spacing w:after="120" w:line="240" w:lineRule="auto"/>
        <w:ind w:firstLine="426"/>
        <w:jc w:val="both"/>
        <w:rPr>
          <w:rFonts w:ascii="Times New Roman" w:hAnsi="Times New Roman"/>
          <w:sz w:val="26"/>
          <w:szCs w:val="26"/>
        </w:rPr>
      </w:pPr>
      <w:r>
        <w:rPr>
          <w:rFonts w:ascii="Times New Roman" w:hAnsi="Times New Roman"/>
          <w:sz w:val="26"/>
          <w:szCs w:val="26"/>
        </w:rPr>
        <w:t>82.4. sniegta pieejamo pētījumu un datu analīze un identificētas to pieejamības nepilnības;</w:t>
      </w:r>
    </w:p>
    <w:p w:rsidR="002B224D" w:rsidRDefault="002B224D" w:rsidP="002B224D">
      <w:pPr>
        <w:spacing w:after="120" w:line="240" w:lineRule="auto"/>
        <w:ind w:firstLine="426"/>
        <w:jc w:val="both"/>
        <w:rPr>
          <w:rFonts w:ascii="Times New Roman" w:hAnsi="Times New Roman"/>
          <w:sz w:val="26"/>
          <w:szCs w:val="26"/>
        </w:rPr>
      </w:pPr>
      <w:r>
        <w:rPr>
          <w:rFonts w:ascii="Times New Roman" w:hAnsi="Times New Roman"/>
          <w:sz w:val="26"/>
          <w:szCs w:val="26"/>
        </w:rPr>
        <w:t>82.5. ar pētījuma rezultātiem iepazīstināti attiecīgās jomas speciālisti, nevalstisko organizāciju pārstāvji un trešo valstu pilsoņi.</w:t>
      </w:r>
    </w:p>
    <w:p w:rsidR="002B224D" w:rsidRDefault="002B224D" w:rsidP="002B224D">
      <w:pPr>
        <w:spacing w:after="120" w:line="240" w:lineRule="auto"/>
        <w:ind w:firstLine="426"/>
        <w:jc w:val="both"/>
        <w:rPr>
          <w:rFonts w:ascii="Times New Roman" w:hAnsi="Times New Roman"/>
          <w:sz w:val="26"/>
          <w:szCs w:val="26"/>
        </w:rPr>
      </w:pPr>
      <w:r>
        <w:rPr>
          <w:rFonts w:ascii="Times New Roman" w:hAnsi="Times New Roman"/>
          <w:sz w:val="26"/>
          <w:szCs w:val="26"/>
        </w:rPr>
        <w:t>Šobrīd notiek Eiropas Trešo valstu valstspiederīgo integrācijas fonda 2013.gada programmas projektu iesniegumu vērtēšana. Ministru kabineta noteikumu Nr.292 „Noteikumi par Eiropas Trešo valstu valstspiederīgo integrācijas fonda 2013.gada programmas aktivitāšu īstenošanu” IX nodaļas 82.</w:t>
      </w:r>
      <w:r w:rsidR="00A624BB">
        <w:rPr>
          <w:rFonts w:ascii="Times New Roman" w:hAnsi="Times New Roman"/>
          <w:sz w:val="26"/>
          <w:szCs w:val="26"/>
        </w:rPr>
        <w:t xml:space="preserve"> </w:t>
      </w:r>
      <w:bookmarkStart w:id="30" w:name="_GoBack"/>
      <w:bookmarkEnd w:id="30"/>
      <w:r>
        <w:rPr>
          <w:rFonts w:ascii="Times New Roman" w:hAnsi="Times New Roman"/>
          <w:sz w:val="26"/>
          <w:szCs w:val="26"/>
        </w:rPr>
        <w:t xml:space="preserve">punktā minētie pētījuma rezultāti būs pieejami pēc 2015.gada 30.jūnija, kad noslēgsies apstiprināto projektu īstenošanas periods. Iegūtie rezultāti ļaus nodrošināt detalizētāku izvērtējumu un precīzāku informāciju, sagatavojot 2015.gada ziņojumu par Imigrācijas likuma 23.panta pirmās daļas 3., 28., 29. un 30.punktā paredzēto noteikumu īstenošanas ietekmi uz sabiedrības attīstību. </w:t>
      </w:r>
    </w:p>
    <w:p w:rsidR="002B224D" w:rsidRDefault="002B224D" w:rsidP="002B224D">
      <w:pPr>
        <w:spacing w:after="120" w:line="240" w:lineRule="auto"/>
        <w:ind w:firstLine="720"/>
        <w:jc w:val="both"/>
        <w:rPr>
          <w:rFonts w:ascii="Times New Roman" w:hAnsi="Times New Roman"/>
          <w:sz w:val="26"/>
          <w:szCs w:val="26"/>
        </w:rPr>
      </w:pPr>
      <w:r>
        <w:rPr>
          <w:rFonts w:ascii="Times New Roman" w:hAnsi="Times New Roman"/>
          <w:sz w:val="26"/>
          <w:szCs w:val="26"/>
        </w:rPr>
        <w:t xml:space="preserve">Vienlaikus atkārtoti jāpievērš uzmanība tam, ka palielinoties imigrācijas intensitātei, it īpaši imigrācijas plūsmai no bijušajām Padomju Savienības teritorijām, potenciāli var tikt padziļinātas tādas problēmas, kā krievu valodas pašpietiekamība publiskajā telpā un paralēlas krievvalodīgas sabiedrības veidošanās un nostiprināšanās. Saglabājas arī riska faktors, ka tad, ja ārzemnieki ar vienotu etnisko izcelsmi, piemēram, ķīnieši, iegādājas nekustamos īpašumus vienā teritorijā, nākotnē var izveidoties situācija, ka kādā noteiktā teritorijā var parādīties etnisko konfliktu risks. </w:t>
      </w:r>
    </w:p>
    <w:p w:rsidR="002B224D" w:rsidRPr="00AA13FA" w:rsidRDefault="002B224D" w:rsidP="00F443DB">
      <w:pPr>
        <w:spacing w:after="120" w:line="240" w:lineRule="auto"/>
        <w:ind w:firstLine="426"/>
        <w:jc w:val="both"/>
        <w:rPr>
          <w:rFonts w:ascii="Times New Roman" w:hAnsi="Times New Roman"/>
          <w:sz w:val="26"/>
          <w:szCs w:val="26"/>
        </w:rPr>
      </w:pPr>
    </w:p>
    <w:p w:rsidR="009B10A4" w:rsidRDefault="009B10A4" w:rsidP="00F443DB">
      <w:pPr>
        <w:spacing w:after="120" w:line="240" w:lineRule="auto"/>
      </w:pPr>
    </w:p>
    <w:p w:rsidR="00A14738" w:rsidRDefault="00A14738" w:rsidP="00F443DB">
      <w:pPr>
        <w:spacing w:after="120" w:line="240" w:lineRule="auto"/>
      </w:pPr>
    </w:p>
    <w:p w:rsidR="00A14738" w:rsidRDefault="00A14738" w:rsidP="00F443DB">
      <w:pPr>
        <w:spacing w:after="120" w:line="240" w:lineRule="auto"/>
      </w:pPr>
    </w:p>
    <w:p w:rsidR="00A14738" w:rsidRDefault="00A14738" w:rsidP="00F443DB">
      <w:pPr>
        <w:spacing w:after="120" w:line="240" w:lineRule="auto"/>
      </w:pPr>
    </w:p>
    <w:p w:rsidR="00A14738" w:rsidRDefault="00A14738" w:rsidP="00F443DB">
      <w:pPr>
        <w:spacing w:after="120" w:line="240" w:lineRule="auto"/>
      </w:pPr>
    </w:p>
    <w:p w:rsidR="00A14738" w:rsidRPr="00887219" w:rsidRDefault="00A14738" w:rsidP="00F443DB">
      <w:pPr>
        <w:spacing w:after="120" w:line="240" w:lineRule="auto"/>
      </w:pPr>
    </w:p>
    <w:p w:rsidR="009B10A4" w:rsidRPr="008A4B96" w:rsidRDefault="009B10A4" w:rsidP="00F443DB">
      <w:pPr>
        <w:pStyle w:val="Heading1"/>
        <w:spacing w:before="0" w:after="120" w:line="240" w:lineRule="auto"/>
        <w:rPr>
          <w:rFonts w:ascii="Times New Roman" w:hAnsi="Times New Roman"/>
          <w:color w:val="auto"/>
        </w:rPr>
      </w:pPr>
      <w:bookmarkStart w:id="31" w:name="_Toc398179990"/>
      <w:r w:rsidRPr="008A4B96">
        <w:rPr>
          <w:rFonts w:ascii="Times New Roman" w:hAnsi="Times New Roman"/>
          <w:color w:val="auto"/>
        </w:rPr>
        <w:lastRenderedPageBreak/>
        <w:t>Secinājumi</w:t>
      </w:r>
      <w:bookmarkEnd w:id="27"/>
      <w:bookmarkEnd w:id="31"/>
    </w:p>
    <w:p w:rsidR="008A4B96" w:rsidRPr="008A4B96" w:rsidRDefault="008A4B96" w:rsidP="00873437">
      <w:pPr>
        <w:pStyle w:val="ListParagraph"/>
        <w:numPr>
          <w:ilvl w:val="0"/>
          <w:numId w:val="38"/>
        </w:numPr>
        <w:spacing w:after="120" w:line="240" w:lineRule="auto"/>
        <w:ind w:left="284" w:hanging="284"/>
        <w:contextualSpacing w:val="0"/>
        <w:jc w:val="both"/>
        <w:rPr>
          <w:rFonts w:ascii="Times New Roman" w:hAnsi="Times New Roman"/>
          <w:sz w:val="26"/>
          <w:szCs w:val="26"/>
        </w:rPr>
      </w:pPr>
      <w:r w:rsidRPr="008A4B96">
        <w:rPr>
          <w:rFonts w:ascii="Times New Roman" w:hAnsi="Times New Roman"/>
          <w:sz w:val="26"/>
          <w:szCs w:val="26"/>
        </w:rPr>
        <w:t>No 2010.gada 1.jūlija līdz 2014.gada 30.jūnijam investīciju programmas ietvaros PMLP ir saņēmusi 12 427 personu, tajā skaitā, 5 267 investoru un 7 160 viņu ģimenes locekļu iesniegumus TUA pieprasīšanai. Šajā laika posmā izsniegtas 11 754 uzturēšanās atļaujas. No visiem pieņemtajiem lēmumiem 94,7% ir bijuši pozitīvi lēmumi. No 2010.gada 1.jūlija anulēta 551 TUA.</w:t>
      </w:r>
    </w:p>
    <w:p w:rsidR="008A4B96" w:rsidRDefault="009B10A4" w:rsidP="00873437">
      <w:pPr>
        <w:pStyle w:val="ListParagraph"/>
        <w:numPr>
          <w:ilvl w:val="0"/>
          <w:numId w:val="38"/>
        </w:numPr>
        <w:spacing w:after="120" w:line="240" w:lineRule="auto"/>
        <w:ind w:left="284" w:hanging="284"/>
        <w:contextualSpacing w:val="0"/>
        <w:jc w:val="both"/>
        <w:rPr>
          <w:rFonts w:ascii="Times New Roman" w:hAnsi="Times New Roman"/>
          <w:sz w:val="26"/>
          <w:szCs w:val="26"/>
        </w:rPr>
      </w:pPr>
      <w:r w:rsidRPr="008A4B96">
        <w:rPr>
          <w:rFonts w:ascii="Times New Roman" w:hAnsi="Times New Roman"/>
          <w:sz w:val="26"/>
          <w:szCs w:val="26"/>
        </w:rPr>
        <w:t>Nerezidentu ieguldījumi, kas saistīti ar TUA saņemšanu, no 2010.gada 1.jūlija līdz 201</w:t>
      </w:r>
      <w:r w:rsidR="008A4B96" w:rsidRPr="008A4B96">
        <w:rPr>
          <w:rFonts w:ascii="Times New Roman" w:hAnsi="Times New Roman"/>
          <w:sz w:val="26"/>
          <w:szCs w:val="26"/>
        </w:rPr>
        <w:t>4</w:t>
      </w:r>
      <w:r w:rsidRPr="008A4B96">
        <w:rPr>
          <w:rFonts w:ascii="Times New Roman" w:hAnsi="Times New Roman"/>
          <w:sz w:val="26"/>
          <w:szCs w:val="26"/>
        </w:rPr>
        <w:t xml:space="preserve">.gada 1.jūlijam bija </w:t>
      </w:r>
      <w:r w:rsidR="008A4B96" w:rsidRPr="008A4B96">
        <w:rPr>
          <w:rFonts w:ascii="Times New Roman" w:hAnsi="Times New Roman"/>
          <w:sz w:val="26"/>
          <w:szCs w:val="26"/>
        </w:rPr>
        <w:t>1 017,1</w:t>
      </w:r>
      <w:r w:rsidRPr="008A4B96">
        <w:rPr>
          <w:rFonts w:ascii="Times New Roman" w:hAnsi="Times New Roman"/>
          <w:sz w:val="26"/>
          <w:szCs w:val="26"/>
        </w:rPr>
        <w:t xml:space="preserve"> milj. </w:t>
      </w:r>
      <w:r w:rsidR="008A4B96" w:rsidRPr="008A4B96">
        <w:rPr>
          <w:rFonts w:ascii="Times New Roman" w:hAnsi="Times New Roman"/>
          <w:i/>
          <w:sz w:val="26"/>
          <w:szCs w:val="26"/>
        </w:rPr>
        <w:t>euro</w:t>
      </w:r>
      <w:r w:rsidRPr="008A4B96">
        <w:rPr>
          <w:rFonts w:ascii="Times New Roman" w:hAnsi="Times New Roman"/>
          <w:sz w:val="26"/>
          <w:szCs w:val="26"/>
        </w:rPr>
        <w:t xml:space="preserve">. </w:t>
      </w:r>
    </w:p>
    <w:p w:rsidR="00067EB8" w:rsidRDefault="009B10A4" w:rsidP="00873437">
      <w:pPr>
        <w:pStyle w:val="ListParagraph"/>
        <w:numPr>
          <w:ilvl w:val="0"/>
          <w:numId w:val="38"/>
        </w:numPr>
        <w:spacing w:after="120" w:line="240" w:lineRule="auto"/>
        <w:ind w:left="284" w:hanging="284"/>
        <w:contextualSpacing w:val="0"/>
        <w:jc w:val="both"/>
        <w:rPr>
          <w:rFonts w:ascii="Times New Roman" w:hAnsi="Times New Roman"/>
          <w:sz w:val="26"/>
          <w:szCs w:val="26"/>
        </w:rPr>
      </w:pPr>
      <w:r w:rsidRPr="008A4B96">
        <w:rPr>
          <w:rFonts w:ascii="Times New Roman" w:hAnsi="Times New Roman"/>
          <w:sz w:val="26"/>
          <w:szCs w:val="26"/>
        </w:rPr>
        <w:t>No ieguldītajiem līdzekļiem 8</w:t>
      </w:r>
      <w:r w:rsidR="008A4B96" w:rsidRPr="008A4B96">
        <w:rPr>
          <w:rFonts w:ascii="Times New Roman" w:hAnsi="Times New Roman"/>
          <w:sz w:val="26"/>
          <w:szCs w:val="26"/>
        </w:rPr>
        <w:t>2</w:t>
      </w:r>
      <w:r w:rsidRPr="008A4B96">
        <w:rPr>
          <w:rFonts w:ascii="Times New Roman" w:hAnsi="Times New Roman"/>
          <w:sz w:val="26"/>
          <w:szCs w:val="26"/>
        </w:rPr>
        <w:t xml:space="preserve">% jeb </w:t>
      </w:r>
      <w:r w:rsidR="008A4B96" w:rsidRPr="008A4B96">
        <w:rPr>
          <w:rFonts w:ascii="Times New Roman" w:hAnsi="Times New Roman"/>
          <w:sz w:val="26"/>
          <w:szCs w:val="26"/>
        </w:rPr>
        <w:t>837,5 m</w:t>
      </w:r>
      <w:r w:rsidRPr="008A4B96">
        <w:rPr>
          <w:rFonts w:ascii="Times New Roman" w:hAnsi="Times New Roman"/>
          <w:sz w:val="26"/>
          <w:szCs w:val="26"/>
        </w:rPr>
        <w:t xml:space="preserve">ilj. </w:t>
      </w:r>
      <w:r w:rsidR="008A4B96" w:rsidRPr="008A4B96">
        <w:rPr>
          <w:rFonts w:ascii="Times New Roman" w:hAnsi="Times New Roman"/>
          <w:i/>
          <w:sz w:val="26"/>
          <w:szCs w:val="26"/>
        </w:rPr>
        <w:t>euro</w:t>
      </w:r>
      <w:r w:rsidRPr="008A4B96">
        <w:rPr>
          <w:rFonts w:ascii="Times New Roman" w:hAnsi="Times New Roman"/>
          <w:sz w:val="26"/>
          <w:szCs w:val="26"/>
        </w:rPr>
        <w:t xml:space="preserve"> ir saistīti ar darījumiem Latvijas nekustamā īpašuma tirgū. Pēc kopējā apjoma otrie lielākie ieguldījumi, kas uzrādīti </w:t>
      </w:r>
      <w:r w:rsidRPr="00067EB8">
        <w:rPr>
          <w:rFonts w:ascii="Times New Roman" w:hAnsi="Times New Roman"/>
          <w:sz w:val="26"/>
          <w:szCs w:val="26"/>
        </w:rPr>
        <w:t xml:space="preserve">TUA saņemšanai, ir ieguldījumi kredītiestādes </w:t>
      </w:r>
      <w:r w:rsidR="00F90BBB">
        <w:rPr>
          <w:rFonts w:ascii="Times New Roman" w:hAnsi="Times New Roman"/>
          <w:sz w:val="26"/>
          <w:szCs w:val="26"/>
        </w:rPr>
        <w:t xml:space="preserve">pakārtotajās saistībās </w:t>
      </w:r>
      <w:r w:rsidRPr="00067EB8">
        <w:rPr>
          <w:rFonts w:ascii="Times New Roman" w:hAnsi="Times New Roman"/>
          <w:sz w:val="26"/>
          <w:szCs w:val="26"/>
        </w:rPr>
        <w:t>(</w:t>
      </w:r>
      <w:r w:rsidR="008A4B96" w:rsidRPr="00067EB8">
        <w:rPr>
          <w:rFonts w:ascii="Times New Roman" w:hAnsi="Times New Roman"/>
          <w:sz w:val="26"/>
          <w:szCs w:val="26"/>
        </w:rPr>
        <w:t>126,6</w:t>
      </w:r>
      <w:r w:rsidRPr="00067EB8">
        <w:rPr>
          <w:rFonts w:ascii="Times New Roman" w:hAnsi="Times New Roman"/>
          <w:sz w:val="26"/>
          <w:szCs w:val="26"/>
        </w:rPr>
        <w:t xml:space="preserve"> milj. </w:t>
      </w:r>
      <w:r w:rsidR="008A4B96" w:rsidRPr="00067EB8">
        <w:rPr>
          <w:rFonts w:ascii="Times New Roman" w:hAnsi="Times New Roman"/>
          <w:i/>
          <w:sz w:val="26"/>
          <w:szCs w:val="26"/>
        </w:rPr>
        <w:t>euro</w:t>
      </w:r>
      <w:r w:rsidRPr="00067EB8">
        <w:rPr>
          <w:rFonts w:ascii="Times New Roman" w:hAnsi="Times New Roman"/>
          <w:sz w:val="26"/>
          <w:szCs w:val="26"/>
        </w:rPr>
        <w:t xml:space="preserve"> jeb 1</w:t>
      </w:r>
      <w:r w:rsidR="008A4B96" w:rsidRPr="00067EB8">
        <w:rPr>
          <w:rFonts w:ascii="Times New Roman" w:hAnsi="Times New Roman"/>
          <w:sz w:val="26"/>
          <w:szCs w:val="26"/>
        </w:rPr>
        <w:t>2</w:t>
      </w:r>
      <w:r w:rsidRPr="00067EB8">
        <w:rPr>
          <w:rFonts w:ascii="Times New Roman" w:hAnsi="Times New Roman"/>
          <w:sz w:val="26"/>
          <w:szCs w:val="26"/>
        </w:rPr>
        <w:t xml:space="preserve">% no visiem ieguldījumiem). Savukārt ieguldījumi kapitālsabiedrību pamatkapitālā veido </w:t>
      </w:r>
      <w:r w:rsidR="005D77F1" w:rsidRPr="00067EB8">
        <w:rPr>
          <w:rFonts w:ascii="Times New Roman" w:hAnsi="Times New Roman"/>
          <w:sz w:val="26"/>
          <w:szCs w:val="26"/>
        </w:rPr>
        <w:t>6</w:t>
      </w:r>
      <w:r w:rsidRPr="00067EB8">
        <w:rPr>
          <w:rFonts w:ascii="Times New Roman" w:hAnsi="Times New Roman"/>
          <w:sz w:val="26"/>
          <w:szCs w:val="26"/>
        </w:rPr>
        <w:t xml:space="preserve">% (jeb </w:t>
      </w:r>
      <w:r w:rsidR="005D77F1" w:rsidRPr="00067EB8">
        <w:rPr>
          <w:rFonts w:ascii="Times New Roman" w:hAnsi="Times New Roman"/>
          <w:sz w:val="26"/>
          <w:szCs w:val="26"/>
        </w:rPr>
        <w:t xml:space="preserve">52,9 milj. </w:t>
      </w:r>
      <w:r w:rsidR="005D77F1" w:rsidRPr="00067EB8">
        <w:rPr>
          <w:rFonts w:ascii="Times New Roman" w:hAnsi="Times New Roman"/>
          <w:i/>
          <w:sz w:val="26"/>
          <w:szCs w:val="26"/>
        </w:rPr>
        <w:t>euro</w:t>
      </w:r>
      <w:r w:rsidRPr="00067EB8">
        <w:rPr>
          <w:rFonts w:ascii="Times New Roman" w:hAnsi="Times New Roman"/>
          <w:sz w:val="26"/>
          <w:szCs w:val="26"/>
        </w:rPr>
        <w:t xml:space="preserve">) no kopējām veiktajām investīcijām. </w:t>
      </w:r>
    </w:p>
    <w:p w:rsidR="00873437" w:rsidRDefault="009B10A4" w:rsidP="00873437">
      <w:pPr>
        <w:pStyle w:val="ListParagraph"/>
        <w:numPr>
          <w:ilvl w:val="0"/>
          <w:numId w:val="38"/>
        </w:numPr>
        <w:spacing w:after="120" w:line="240" w:lineRule="auto"/>
        <w:ind w:left="284" w:hanging="284"/>
        <w:contextualSpacing w:val="0"/>
        <w:jc w:val="both"/>
        <w:rPr>
          <w:rFonts w:ascii="Times New Roman" w:hAnsi="Times New Roman"/>
          <w:sz w:val="26"/>
          <w:szCs w:val="26"/>
        </w:rPr>
      </w:pPr>
      <w:r w:rsidRPr="00094A40">
        <w:rPr>
          <w:rFonts w:ascii="Times New Roman" w:hAnsi="Times New Roman"/>
          <w:sz w:val="26"/>
          <w:szCs w:val="26"/>
        </w:rPr>
        <w:t>Saistībā ar attiecīgajām Imigrācijas likuma normām valsts budžets tiešā veidā no nodevām un pievienotās vērtības nodokļ</w:t>
      </w:r>
      <w:r w:rsidR="00094A40" w:rsidRPr="00094A40">
        <w:rPr>
          <w:rFonts w:ascii="Times New Roman" w:hAnsi="Times New Roman"/>
          <w:sz w:val="26"/>
          <w:szCs w:val="26"/>
        </w:rPr>
        <w:t xml:space="preserve">a veidā ir ieguvis vairāk nekā </w:t>
      </w:r>
      <w:r w:rsidR="00094A40" w:rsidRPr="00893736">
        <w:rPr>
          <w:rFonts w:ascii="Times New Roman" w:hAnsi="Times New Roman"/>
          <w:sz w:val="26"/>
          <w:szCs w:val="26"/>
        </w:rPr>
        <w:t>1</w:t>
      </w:r>
      <w:r w:rsidR="000B7DF2" w:rsidRPr="00893736">
        <w:rPr>
          <w:rFonts w:ascii="Times New Roman" w:hAnsi="Times New Roman"/>
          <w:sz w:val="26"/>
          <w:szCs w:val="26"/>
        </w:rPr>
        <w:t>11</w:t>
      </w:r>
      <w:r w:rsidRPr="00094A40">
        <w:rPr>
          <w:rFonts w:ascii="Times New Roman" w:hAnsi="Times New Roman"/>
          <w:sz w:val="26"/>
          <w:szCs w:val="26"/>
        </w:rPr>
        <w:t xml:space="preserve"> milj. </w:t>
      </w:r>
      <w:r w:rsidR="00094A40" w:rsidRPr="00094A40">
        <w:rPr>
          <w:rFonts w:ascii="Times New Roman" w:hAnsi="Times New Roman"/>
          <w:i/>
          <w:sz w:val="26"/>
          <w:szCs w:val="26"/>
        </w:rPr>
        <w:t>euro</w:t>
      </w:r>
      <w:r w:rsidRPr="00094A40">
        <w:rPr>
          <w:rFonts w:ascii="Times New Roman" w:hAnsi="Times New Roman"/>
          <w:sz w:val="26"/>
          <w:szCs w:val="26"/>
        </w:rPr>
        <w:t>.</w:t>
      </w:r>
      <w:r w:rsidRPr="00067EB8">
        <w:rPr>
          <w:rFonts w:ascii="Times New Roman" w:hAnsi="Times New Roman"/>
          <w:sz w:val="26"/>
          <w:szCs w:val="26"/>
        </w:rPr>
        <w:t xml:space="preserve"> Nekustamā īpašuma nodokļa veidā TUA pieteicēji </w:t>
      </w:r>
      <w:r w:rsidR="00CF37B9" w:rsidRPr="00067EB8">
        <w:rPr>
          <w:rFonts w:ascii="Times New Roman" w:hAnsi="Times New Roman"/>
          <w:sz w:val="26"/>
          <w:szCs w:val="26"/>
        </w:rPr>
        <w:t xml:space="preserve">2013.gadā </w:t>
      </w:r>
      <w:r w:rsidRPr="00067EB8">
        <w:rPr>
          <w:rFonts w:ascii="Times New Roman" w:hAnsi="Times New Roman"/>
          <w:sz w:val="26"/>
          <w:szCs w:val="26"/>
        </w:rPr>
        <w:t>pašvaldību budžet</w:t>
      </w:r>
      <w:r w:rsidR="00FA2365">
        <w:rPr>
          <w:rFonts w:ascii="Times New Roman" w:hAnsi="Times New Roman"/>
          <w:sz w:val="26"/>
          <w:szCs w:val="26"/>
        </w:rPr>
        <w:t>os</w:t>
      </w:r>
      <w:r w:rsidR="00873437">
        <w:rPr>
          <w:rFonts w:ascii="Times New Roman" w:hAnsi="Times New Roman"/>
          <w:sz w:val="26"/>
          <w:szCs w:val="26"/>
        </w:rPr>
        <w:t xml:space="preserve"> (10 pašvaldībās ar lielāko TUA pieteicēju darījumu skaitu)</w:t>
      </w:r>
      <w:r w:rsidR="00CF37B9">
        <w:rPr>
          <w:rFonts w:ascii="Times New Roman" w:hAnsi="Times New Roman"/>
          <w:sz w:val="26"/>
          <w:szCs w:val="26"/>
        </w:rPr>
        <w:t xml:space="preserve"> iemaksāja</w:t>
      </w:r>
      <w:r w:rsidR="002B7570" w:rsidRPr="00067EB8">
        <w:rPr>
          <w:rFonts w:ascii="Times New Roman" w:hAnsi="Times New Roman"/>
          <w:sz w:val="26"/>
          <w:szCs w:val="26"/>
        </w:rPr>
        <w:t xml:space="preserve"> </w:t>
      </w:r>
      <w:r w:rsidR="00873437" w:rsidRPr="00DF61DA">
        <w:rPr>
          <w:rFonts w:ascii="Times New Roman" w:hAnsi="Times New Roman"/>
          <w:sz w:val="26"/>
          <w:szCs w:val="26"/>
        </w:rPr>
        <w:t>633</w:t>
      </w:r>
      <w:r w:rsidR="00873437">
        <w:rPr>
          <w:rFonts w:ascii="Times New Roman" w:hAnsi="Times New Roman"/>
          <w:sz w:val="26"/>
          <w:szCs w:val="26"/>
        </w:rPr>
        <w:t xml:space="preserve"> </w:t>
      </w:r>
      <w:r w:rsidRPr="00067EB8">
        <w:rPr>
          <w:rFonts w:ascii="Times New Roman" w:hAnsi="Times New Roman"/>
          <w:sz w:val="26"/>
          <w:szCs w:val="26"/>
        </w:rPr>
        <w:t xml:space="preserve">tūkst. </w:t>
      </w:r>
      <w:r w:rsidR="002B7570" w:rsidRPr="00067EB8">
        <w:rPr>
          <w:rFonts w:ascii="Times New Roman" w:hAnsi="Times New Roman"/>
          <w:i/>
          <w:sz w:val="26"/>
          <w:szCs w:val="26"/>
        </w:rPr>
        <w:t>euro</w:t>
      </w:r>
      <w:r w:rsidRPr="00067EB8">
        <w:rPr>
          <w:rFonts w:ascii="Times New Roman" w:hAnsi="Times New Roman"/>
          <w:sz w:val="26"/>
          <w:szCs w:val="26"/>
        </w:rPr>
        <w:t xml:space="preserve"> jeb </w:t>
      </w:r>
      <w:r w:rsidR="002B7570" w:rsidRPr="00067EB8">
        <w:rPr>
          <w:rFonts w:ascii="Times New Roman" w:hAnsi="Times New Roman"/>
          <w:sz w:val="26"/>
          <w:szCs w:val="26"/>
        </w:rPr>
        <w:t>0,4</w:t>
      </w:r>
      <w:r w:rsidRPr="00067EB8">
        <w:rPr>
          <w:rFonts w:ascii="Times New Roman" w:hAnsi="Times New Roman"/>
          <w:sz w:val="26"/>
          <w:szCs w:val="26"/>
        </w:rPr>
        <w:t>% no kopumā valstī ieka</w:t>
      </w:r>
      <w:r w:rsidR="0006683A" w:rsidRPr="00067EB8">
        <w:rPr>
          <w:rFonts w:ascii="Times New Roman" w:hAnsi="Times New Roman"/>
          <w:sz w:val="26"/>
          <w:szCs w:val="26"/>
        </w:rPr>
        <w:t>sētā nekustamā īpašuma nodokļa</w:t>
      </w:r>
      <w:r w:rsidR="002B7570" w:rsidRPr="00067EB8">
        <w:rPr>
          <w:rFonts w:ascii="Times New Roman" w:hAnsi="Times New Roman"/>
          <w:sz w:val="26"/>
          <w:szCs w:val="26"/>
        </w:rPr>
        <w:t xml:space="preserve">. </w:t>
      </w:r>
      <w:r w:rsidRPr="00067EB8">
        <w:rPr>
          <w:rFonts w:ascii="Times New Roman" w:hAnsi="Times New Roman"/>
          <w:sz w:val="26"/>
          <w:szCs w:val="26"/>
        </w:rPr>
        <w:t>Savukārt kapitālsabiedrības, kuru darbība ir saistīta ar nerezidentu vai viņa ģimenes locekļiem, kas saņēmuši TUA gada laikā n</w:t>
      </w:r>
      <w:r w:rsidR="0006683A" w:rsidRPr="00067EB8">
        <w:rPr>
          <w:rFonts w:ascii="Times New Roman" w:hAnsi="Times New Roman"/>
          <w:sz w:val="26"/>
          <w:szCs w:val="26"/>
        </w:rPr>
        <w:t>odokļu veidā valsts budžetā 2013</w:t>
      </w:r>
      <w:r w:rsidR="00537145" w:rsidRPr="00067EB8">
        <w:rPr>
          <w:rFonts w:ascii="Times New Roman" w:hAnsi="Times New Roman"/>
          <w:sz w:val="26"/>
          <w:szCs w:val="26"/>
        </w:rPr>
        <w:t>.gadā iemaksāja vairāk nekā 157</w:t>
      </w:r>
      <w:r w:rsidRPr="00067EB8">
        <w:rPr>
          <w:rFonts w:ascii="Times New Roman" w:hAnsi="Times New Roman"/>
          <w:sz w:val="26"/>
          <w:szCs w:val="26"/>
        </w:rPr>
        <w:t xml:space="preserve"> milj. </w:t>
      </w:r>
      <w:r w:rsidR="00537145" w:rsidRPr="00067EB8">
        <w:rPr>
          <w:rFonts w:ascii="Times New Roman" w:hAnsi="Times New Roman"/>
          <w:i/>
          <w:sz w:val="26"/>
          <w:szCs w:val="26"/>
        </w:rPr>
        <w:t>euro</w:t>
      </w:r>
      <w:r w:rsidRPr="00067EB8">
        <w:rPr>
          <w:rFonts w:ascii="Times New Roman" w:hAnsi="Times New Roman"/>
          <w:sz w:val="26"/>
          <w:szCs w:val="26"/>
        </w:rPr>
        <w:t>.</w:t>
      </w:r>
      <w:r w:rsidR="002B7570" w:rsidRPr="00067EB8">
        <w:rPr>
          <w:rFonts w:ascii="Times New Roman" w:hAnsi="Times New Roman"/>
          <w:sz w:val="26"/>
          <w:szCs w:val="26"/>
          <w:highlight w:val="yellow"/>
        </w:rPr>
        <w:t xml:space="preserve"> </w:t>
      </w:r>
    </w:p>
    <w:p w:rsidR="009B10A4" w:rsidRPr="00966703" w:rsidRDefault="009B10A4" w:rsidP="00F443DB">
      <w:pPr>
        <w:pStyle w:val="ListParagraph"/>
        <w:spacing w:after="120" w:line="240" w:lineRule="auto"/>
        <w:contextualSpacing w:val="0"/>
        <w:jc w:val="both"/>
        <w:rPr>
          <w:rFonts w:ascii="Times New Roman" w:hAnsi="Times New Roman"/>
          <w:sz w:val="26"/>
          <w:szCs w:val="26"/>
          <w:highlight w:val="yellow"/>
        </w:rPr>
      </w:pPr>
    </w:p>
    <w:p w:rsidR="00C63DC8" w:rsidRDefault="00C63DC8" w:rsidP="00F443DB">
      <w:pPr>
        <w:tabs>
          <w:tab w:val="left" w:pos="5123"/>
          <w:tab w:val="left" w:pos="6431"/>
        </w:tabs>
        <w:spacing w:after="120" w:line="240" w:lineRule="auto"/>
        <w:rPr>
          <w:rFonts w:ascii="Times New Roman" w:hAnsi="Times New Roman"/>
          <w:sz w:val="26"/>
          <w:szCs w:val="26"/>
        </w:rPr>
      </w:pPr>
    </w:p>
    <w:p w:rsidR="009B10A4" w:rsidRPr="000438CA" w:rsidRDefault="009B10A4" w:rsidP="00F443DB">
      <w:pPr>
        <w:tabs>
          <w:tab w:val="left" w:pos="5123"/>
          <w:tab w:val="left" w:pos="6431"/>
        </w:tabs>
        <w:spacing w:after="120" w:line="240" w:lineRule="auto"/>
        <w:rPr>
          <w:rFonts w:ascii="Times New Roman" w:hAnsi="Times New Roman"/>
          <w:sz w:val="26"/>
          <w:szCs w:val="26"/>
        </w:rPr>
      </w:pPr>
      <w:r w:rsidRPr="000438CA">
        <w:rPr>
          <w:rFonts w:ascii="Times New Roman" w:hAnsi="Times New Roman"/>
          <w:sz w:val="26"/>
          <w:szCs w:val="26"/>
        </w:rPr>
        <w:t>Ministru prezident</w:t>
      </w:r>
      <w:r w:rsidR="000438CA" w:rsidRPr="000438CA">
        <w:rPr>
          <w:rFonts w:ascii="Times New Roman" w:hAnsi="Times New Roman"/>
          <w:sz w:val="26"/>
          <w:szCs w:val="26"/>
        </w:rPr>
        <w:t>e</w:t>
      </w:r>
      <w:r w:rsidRPr="000438CA">
        <w:rPr>
          <w:rFonts w:ascii="Times New Roman" w:hAnsi="Times New Roman"/>
          <w:sz w:val="26"/>
          <w:szCs w:val="26"/>
        </w:rPr>
        <w:tab/>
      </w:r>
      <w:r w:rsidRPr="000438CA">
        <w:rPr>
          <w:rFonts w:ascii="Times New Roman" w:hAnsi="Times New Roman"/>
          <w:sz w:val="26"/>
          <w:szCs w:val="26"/>
        </w:rPr>
        <w:tab/>
      </w:r>
      <w:r w:rsidR="000438CA" w:rsidRPr="000438CA">
        <w:rPr>
          <w:rFonts w:ascii="Times New Roman" w:hAnsi="Times New Roman"/>
          <w:sz w:val="26"/>
          <w:szCs w:val="26"/>
        </w:rPr>
        <w:t>L. Straujuma</w:t>
      </w:r>
    </w:p>
    <w:p w:rsidR="009B10A4" w:rsidRPr="000438CA" w:rsidRDefault="009B10A4" w:rsidP="00F443DB">
      <w:pPr>
        <w:tabs>
          <w:tab w:val="left" w:pos="6758"/>
        </w:tabs>
        <w:spacing w:after="120" w:line="240" w:lineRule="auto"/>
        <w:rPr>
          <w:rFonts w:ascii="Times New Roman" w:hAnsi="Times New Roman"/>
          <w:sz w:val="26"/>
          <w:szCs w:val="26"/>
        </w:rPr>
      </w:pPr>
    </w:p>
    <w:p w:rsidR="009B10A4" w:rsidRPr="000438CA" w:rsidRDefault="009B10A4" w:rsidP="00F443DB">
      <w:pPr>
        <w:tabs>
          <w:tab w:val="left" w:pos="6758"/>
        </w:tabs>
        <w:spacing w:after="120" w:line="240" w:lineRule="auto"/>
        <w:rPr>
          <w:rFonts w:ascii="Times New Roman" w:hAnsi="Times New Roman"/>
          <w:sz w:val="26"/>
          <w:szCs w:val="26"/>
        </w:rPr>
      </w:pPr>
    </w:p>
    <w:p w:rsidR="009B10A4" w:rsidRPr="000438CA" w:rsidRDefault="009B10A4" w:rsidP="00F443DB">
      <w:pPr>
        <w:tabs>
          <w:tab w:val="left" w:pos="6758"/>
        </w:tabs>
        <w:spacing w:after="120" w:line="240" w:lineRule="auto"/>
        <w:rPr>
          <w:rFonts w:ascii="Times New Roman" w:hAnsi="Times New Roman"/>
          <w:sz w:val="26"/>
          <w:szCs w:val="26"/>
        </w:rPr>
      </w:pPr>
      <w:r w:rsidRPr="000438CA">
        <w:rPr>
          <w:rFonts w:ascii="Times New Roman" w:hAnsi="Times New Roman"/>
          <w:sz w:val="26"/>
          <w:szCs w:val="26"/>
        </w:rPr>
        <w:t>Iesniedzējs:</w:t>
      </w:r>
    </w:p>
    <w:p w:rsidR="009B10A4" w:rsidRPr="000438CA" w:rsidRDefault="009B10A4" w:rsidP="00F443DB">
      <w:pPr>
        <w:tabs>
          <w:tab w:val="left" w:pos="6431"/>
          <w:tab w:val="left" w:pos="6758"/>
        </w:tabs>
        <w:spacing w:after="120" w:line="240" w:lineRule="auto"/>
        <w:rPr>
          <w:rFonts w:ascii="Times New Roman" w:hAnsi="Times New Roman"/>
          <w:sz w:val="26"/>
          <w:szCs w:val="26"/>
        </w:rPr>
      </w:pPr>
      <w:r w:rsidRPr="000438CA">
        <w:rPr>
          <w:rFonts w:ascii="Times New Roman" w:hAnsi="Times New Roman"/>
          <w:sz w:val="26"/>
          <w:szCs w:val="26"/>
        </w:rPr>
        <w:t xml:space="preserve">Iekšlietu ministrs </w:t>
      </w:r>
      <w:r w:rsidRPr="000438CA">
        <w:rPr>
          <w:rFonts w:ascii="Times New Roman" w:hAnsi="Times New Roman"/>
          <w:sz w:val="26"/>
          <w:szCs w:val="26"/>
        </w:rPr>
        <w:tab/>
        <w:t>R. Kozlovskis</w:t>
      </w:r>
    </w:p>
    <w:p w:rsidR="009B10A4" w:rsidRPr="000438CA" w:rsidRDefault="009B10A4" w:rsidP="00F443DB">
      <w:pPr>
        <w:tabs>
          <w:tab w:val="left" w:pos="6758"/>
        </w:tabs>
        <w:spacing w:after="120" w:line="240" w:lineRule="auto"/>
        <w:rPr>
          <w:rFonts w:ascii="Times New Roman" w:hAnsi="Times New Roman"/>
          <w:sz w:val="26"/>
          <w:szCs w:val="26"/>
        </w:rPr>
      </w:pPr>
    </w:p>
    <w:p w:rsidR="009B10A4" w:rsidRPr="000438CA" w:rsidRDefault="009B10A4" w:rsidP="00F443DB">
      <w:pPr>
        <w:spacing w:after="120" w:line="240" w:lineRule="auto"/>
        <w:ind w:left="720" w:hanging="720"/>
        <w:rPr>
          <w:rFonts w:ascii="Times New Roman" w:hAnsi="Times New Roman"/>
          <w:sz w:val="26"/>
          <w:szCs w:val="26"/>
        </w:rPr>
      </w:pPr>
    </w:p>
    <w:p w:rsidR="009B10A4" w:rsidRPr="000438CA" w:rsidRDefault="009B10A4" w:rsidP="00F443DB">
      <w:pPr>
        <w:spacing w:after="120" w:line="240" w:lineRule="auto"/>
        <w:ind w:left="720" w:hanging="720"/>
        <w:rPr>
          <w:rFonts w:ascii="Times New Roman" w:hAnsi="Times New Roman"/>
          <w:sz w:val="26"/>
          <w:szCs w:val="26"/>
        </w:rPr>
      </w:pPr>
      <w:r w:rsidRPr="000438CA">
        <w:rPr>
          <w:rFonts w:ascii="Times New Roman" w:hAnsi="Times New Roman"/>
          <w:sz w:val="26"/>
          <w:szCs w:val="26"/>
        </w:rPr>
        <w:t>Vīza:</w:t>
      </w:r>
    </w:p>
    <w:p w:rsidR="009B10A4" w:rsidRPr="000438CA" w:rsidRDefault="009B10A4" w:rsidP="00F443DB">
      <w:pPr>
        <w:tabs>
          <w:tab w:val="left" w:pos="6431"/>
        </w:tabs>
        <w:spacing w:after="120" w:line="240" w:lineRule="auto"/>
        <w:ind w:left="720" w:hanging="720"/>
        <w:rPr>
          <w:rFonts w:ascii="Times New Roman" w:hAnsi="Times New Roman"/>
          <w:sz w:val="26"/>
          <w:szCs w:val="26"/>
        </w:rPr>
      </w:pPr>
      <w:r w:rsidRPr="000438CA">
        <w:rPr>
          <w:rFonts w:ascii="Times New Roman" w:hAnsi="Times New Roman"/>
          <w:sz w:val="26"/>
          <w:szCs w:val="26"/>
        </w:rPr>
        <w:t xml:space="preserve">Valsts </w:t>
      </w:r>
      <w:r w:rsidR="00B415A1" w:rsidRPr="000438CA">
        <w:rPr>
          <w:rFonts w:ascii="Times New Roman" w:hAnsi="Times New Roman"/>
          <w:sz w:val="26"/>
          <w:szCs w:val="26"/>
        </w:rPr>
        <w:t>sekretāre</w:t>
      </w:r>
      <w:r w:rsidRPr="000438CA">
        <w:rPr>
          <w:rFonts w:ascii="Times New Roman" w:hAnsi="Times New Roman"/>
          <w:sz w:val="26"/>
          <w:szCs w:val="26"/>
        </w:rPr>
        <w:tab/>
      </w:r>
      <w:r w:rsidRPr="000438CA">
        <w:rPr>
          <w:rFonts w:ascii="Times New Roman" w:hAnsi="Times New Roman"/>
          <w:sz w:val="26"/>
          <w:szCs w:val="26"/>
        </w:rPr>
        <w:tab/>
        <w:t>I.</w:t>
      </w:r>
      <w:r w:rsidR="00B415A1" w:rsidRPr="000438CA">
        <w:rPr>
          <w:rFonts w:ascii="Times New Roman" w:hAnsi="Times New Roman"/>
          <w:sz w:val="26"/>
          <w:szCs w:val="26"/>
        </w:rPr>
        <w:t xml:space="preserve"> Pētersone-Godmane</w:t>
      </w:r>
    </w:p>
    <w:p w:rsidR="009B10A4" w:rsidRPr="00966703" w:rsidRDefault="009B10A4" w:rsidP="00F443DB">
      <w:pPr>
        <w:spacing w:after="120" w:line="240" w:lineRule="auto"/>
        <w:ind w:right="-328"/>
        <w:jc w:val="both"/>
        <w:rPr>
          <w:rFonts w:ascii="Times New Roman" w:hAnsi="Times New Roman"/>
          <w:sz w:val="26"/>
          <w:szCs w:val="26"/>
          <w:highlight w:val="yellow"/>
        </w:rPr>
      </w:pPr>
    </w:p>
    <w:p w:rsidR="009B10A4" w:rsidRPr="00966703" w:rsidRDefault="009B10A4" w:rsidP="00F443DB">
      <w:pPr>
        <w:spacing w:after="120" w:line="240" w:lineRule="auto"/>
        <w:ind w:right="-328"/>
        <w:jc w:val="both"/>
        <w:rPr>
          <w:rFonts w:ascii="Times New Roman" w:hAnsi="Times New Roman"/>
          <w:sz w:val="26"/>
          <w:szCs w:val="26"/>
          <w:highlight w:val="yellow"/>
        </w:rPr>
      </w:pPr>
    </w:p>
    <w:p w:rsidR="009B10A4" w:rsidRPr="00966703" w:rsidRDefault="009B10A4" w:rsidP="009B68B7">
      <w:pPr>
        <w:spacing w:after="0" w:line="240" w:lineRule="auto"/>
        <w:ind w:right="-329"/>
        <w:jc w:val="both"/>
        <w:rPr>
          <w:rFonts w:ascii="Times New Roman" w:hAnsi="Times New Roman"/>
          <w:sz w:val="26"/>
          <w:szCs w:val="26"/>
          <w:highlight w:val="yellow"/>
        </w:rPr>
      </w:pPr>
    </w:p>
    <w:p w:rsidR="002F0DC4" w:rsidRDefault="006F234D" w:rsidP="002F0DC4">
      <w:pPr>
        <w:spacing w:after="0" w:line="240" w:lineRule="auto"/>
        <w:ind w:right="-329"/>
        <w:jc w:val="both"/>
        <w:rPr>
          <w:rFonts w:ascii="Times New Roman" w:hAnsi="Times New Roman"/>
          <w:sz w:val="24"/>
          <w:szCs w:val="24"/>
        </w:rPr>
      </w:pPr>
      <w:r w:rsidRPr="006F234D">
        <w:rPr>
          <w:rFonts w:ascii="Times New Roman" w:hAnsi="Times New Roman"/>
          <w:sz w:val="24"/>
          <w:szCs w:val="24"/>
        </w:rPr>
        <w:t>1</w:t>
      </w:r>
      <w:r w:rsidR="00A14738">
        <w:rPr>
          <w:rFonts w:ascii="Times New Roman" w:hAnsi="Times New Roman"/>
          <w:sz w:val="24"/>
          <w:szCs w:val="24"/>
        </w:rPr>
        <w:t>2</w:t>
      </w:r>
      <w:r w:rsidR="009B10A4" w:rsidRPr="006F234D">
        <w:rPr>
          <w:rFonts w:ascii="Times New Roman" w:hAnsi="Times New Roman"/>
          <w:sz w:val="24"/>
          <w:szCs w:val="24"/>
        </w:rPr>
        <w:t>.</w:t>
      </w:r>
      <w:r w:rsidR="004A4736" w:rsidRPr="006F234D">
        <w:rPr>
          <w:rFonts w:ascii="Times New Roman" w:hAnsi="Times New Roman"/>
          <w:sz w:val="24"/>
          <w:szCs w:val="24"/>
        </w:rPr>
        <w:t>09</w:t>
      </w:r>
      <w:r w:rsidRPr="006F234D">
        <w:rPr>
          <w:rFonts w:ascii="Times New Roman" w:hAnsi="Times New Roman"/>
          <w:sz w:val="24"/>
          <w:szCs w:val="24"/>
        </w:rPr>
        <w:t>.2014</w:t>
      </w:r>
      <w:r w:rsidR="004A4736" w:rsidRPr="006F234D">
        <w:rPr>
          <w:rFonts w:ascii="Times New Roman" w:hAnsi="Times New Roman"/>
          <w:sz w:val="24"/>
          <w:szCs w:val="24"/>
        </w:rPr>
        <w:t>.</w:t>
      </w:r>
      <w:r w:rsidR="009B10A4" w:rsidRPr="006F234D">
        <w:rPr>
          <w:rFonts w:ascii="Times New Roman" w:hAnsi="Times New Roman"/>
          <w:sz w:val="24"/>
          <w:szCs w:val="24"/>
        </w:rPr>
        <w:t xml:space="preserve"> </w:t>
      </w:r>
      <w:r w:rsidR="00152AC4">
        <w:rPr>
          <w:rFonts w:ascii="Times New Roman" w:hAnsi="Times New Roman"/>
          <w:sz w:val="24"/>
          <w:szCs w:val="24"/>
        </w:rPr>
        <w:t>10:4</w:t>
      </w:r>
      <w:r w:rsidR="00D333F2">
        <w:rPr>
          <w:rFonts w:ascii="Times New Roman" w:hAnsi="Times New Roman"/>
          <w:sz w:val="24"/>
          <w:szCs w:val="24"/>
        </w:rPr>
        <w:t>6</w:t>
      </w:r>
    </w:p>
    <w:p w:rsidR="009B10A4" w:rsidRPr="006F234D" w:rsidRDefault="00152AC4" w:rsidP="002F0DC4">
      <w:pPr>
        <w:spacing w:after="0" w:line="240" w:lineRule="auto"/>
        <w:ind w:right="-329"/>
        <w:jc w:val="both"/>
        <w:rPr>
          <w:rFonts w:ascii="Times New Roman" w:hAnsi="Times New Roman"/>
          <w:sz w:val="24"/>
          <w:szCs w:val="24"/>
        </w:rPr>
      </w:pPr>
      <w:r>
        <w:rPr>
          <w:rFonts w:ascii="Times New Roman" w:hAnsi="Times New Roman"/>
          <w:sz w:val="24"/>
          <w:szCs w:val="24"/>
        </w:rPr>
        <w:t>5047</w:t>
      </w:r>
    </w:p>
    <w:p w:rsidR="009B10A4" w:rsidRPr="006F234D" w:rsidRDefault="009B10A4" w:rsidP="009B68B7">
      <w:pPr>
        <w:spacing w:after="0" w:line="240" w:lineRule="auto"/>
        <w:ind w:right="-329"/>
        <w:rPr>
          <w:rFonts w:ascii="Times New Roman" w:hAnsi="Times New Roman"/>
          <w:sz w:val="24"/>
          <w:szCs w:val="24"/>
        </w:rPr>
      </w:pPr>
      <w:r w:rsidRPr="006F234D">
        <w:rPr>
          <w:rFonts w:ascii="Times New Roman" w:hAnsi="Times New Roman"/>
          <w:sz w:val="24"/>
          <w:szCs w:val="24"/>
        </w:rPr>
        <w:t>I. Briede, 67219546</w:t>
      </w:r>
    </w:p>
    <w:p w:rsidR="00DC5667" w:rsidRPr="00307F18" w:rsidRDefault="00A624BB" w:rsidP="00A14738">
      <w:pPr>
        <w:spacing w:after="0" w:line="240" w:lineRule="auto"/>
        <w:ind w:right="-329"/>
        <w:rPr>
          <w:rFonts w:ascii="Times New Roman" w:hAnsi="Times New Roman"/>
          <w:color w:val="000000"/>
          <w:sz w:val="24"/>
          <w:szCs w:val="24"/>
        </w:rPr>
      </w:pPr>
      <w:hyperlink r:id="rId30" w:history="1">
        <w:r w:rsidR="009B10A4" w:rsidRPr="006F234D">
          <w:rPr>
            <w:rFonts w:ascii="Times New Roman" w:hAnsi="Times New Roman"/>
            <w:sz w:val="24"/>
            <w:szCs w:val="24"/>
          </w:rPr>
          <w:t>ilze.briede@pmlp.gov.lv</w:t>
        </w:r>
      </w:hyperlink>
      <w:r w:rsidR="00A14738">
        <w:t xml:space="preserve"> </w:t>
      </w:r>
    </w:p>
    <w:sectPr w:rsidR="00DC5667" w:rsidRPr="00307F18" w:rsidSect="00F90BBB">
      <w:headerReference w:type="even" r:id="rId31"/>
      <w:headerReference w:type="default" r:id="rId32"/>
      <w:footerReference w:type="default" r:id="rId33"/>
      <w:footerReference w:type="first" r:id="rId34"/>
      <w:pgSz w:w="11906" w:h="16838"/>
      <w:pgMar w:top="1440" w:right="849" w:bottom="1440" w:left="1800" w:header="709" w:footer="3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F3E" w:rsidRDefault="008A4F3E" w:rsidP="006F61F5">
      <w:pPr>
        <w:spacing w:after="0" w:line="240" w:lineRule="auto"/>
      </w:pPr>
      <w:r>
        <w:separator/>
      </w:r>
    </w:p>
  </w:endnote>
  <w:endnote w:type="continuationSeparator" w:id="0">
    <w:p w:rsidR="008A4F3E" w:rsidRDefault="008A4F3E" w:rsidP="006F6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05" w:rsidRPr="00801226" w:rsidRDefault="000A2105" w:rsidP="00801226">
    <w:pPr>
      <w:spacing w:after="0" w:line="240" w:lineRule="auto"/>
      <w:jc w:val="both"/>
      <w:rPr>
        <w:rFonts w:ascii="Times New Roman" w:hAnsi="Times New Roman"/>
        <w:sz w:val="20"/>
        <w:szCs w:val="20"/>
      </w:rPr>
    </w:pPr>
    <w:r>
      <w:rPr>
        <w:rFonts w:ascii="Times New Roman" w:hAnsi="Times New Roman"/>
        <w:sz w:val="20"/>
        <w:szCs w:val="20"/>
      </w:rPr>
      <w:t>IEMZino_1</w:t>
    </w:r>
    <w:r w:rsidR="00A14738">
      <w:rPr>
        <w:rFonts w:ascii="Times New Roman" w:hAnsi="Times New Roman"/>
        <w:sz w:val="20"/>
        <w:szCs w:val="20"/>
      </w:rPr>
      <w:t>2</w:t>
    </w:r>
    <w:r>
      <w:rPr>
        <w:rFonts w:ascii="Times New Roman" w:hAnsi="Times New Roman"/>
        <w:sz w:val="20"/>
        <w:szCs w:val="20"/>
      </w:rPr>
      <w:t xml:space="preserve">0914; Informatīvais ziņojums par </w:t>
    </w:r>
    <w:r w:rsidRPr="00282BC6">
      <w:rPr>
        <w:rFonts w:ascii="Times New Roman" w:hAnsi="Times New Roman"/>
        <w:sz w:val="20"/>
        <w:szCs w:val="20"/>
      </w:rPr>
      <w:t xml:space="preserve">Imigrācijas likuma 23.panta pirmās daļas 3., 28., 29. un 30.punktā paredzēto noteikumu īstenošanas </w:t>
    </w:r>
    <w:r>
      <w:rPr>
        <w:rFonts w:ascii="Times New Roman" w:hAnsi="Times New Roman"/>
        <w:sz w:val="20"/>
        <w:szCs w:val="20"/>
      </w:rPr>
      <w:t>gaitu un rezultātiem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05" w:rsidRPr="004A4736" w:rsidRDefault="000A2105" w:rsidP="004A4736">
    <w:pPr>
      <w:spacing w:after="0" w:line="240" w:lineRule="auto"/>
      <w:jc w:val="both"/>
      <w:rPr>
        <w:rFonts w:ascii="Times New Roman" w:hAnsi="Times New Roman"/>
        <w:sz w:val="20"/>
        <w:szCs w:val="20"/>
      </w:rPr>
    </w:pPr>
    <w:r>
      <w:rPr>
        <w:rFonts w:ascii="Times New Roman" w:hAnsi="Times New Roman"/>
        <w:sz w:val="20"/>
        <w:szCs w:val="20"/>
      </w:rPr>
      <w:t>IEMZino_</w:t>
    </w:r>
    <w:r w:rsidR="00A14738">
      <w:rPr>
        <w:rFonts w:ascii="Times New Roman" w:hAnsi="Times New Roman"/>
        <w:sz w:val="20"/>
        <w:szCs w:val="20"/>
      </w:rPr>
      <w:t>120914</w:t>
    </w:r>
    <w:r>
      <w:rPr>
        <w:rFonts w:ascii="Times New Roman" w:hAnsi="Times New Roman"/>
        <w:sz w:val="20"/>
        <w:szCs w:val="20"/>
      </w:rPr>
      <w:t xml:space="preserve">; Informatīvais ziņojums par </w:t>
    </w:r>
    <w:r w:rsidRPr="00282BC6">
      <w:rPr>
        <w:rFonts w:ascii="Times New Roman" w:hAnsi="Times New Roman"/>
        <w:sz w:val="20"/>
        <w:szCs w:val="20"/>
      </w:rPr>
      <w:t xml:space="preserve">Imigrācijas likuma 23.panta pirmās daļas 3., 28., 29. un 30.punktā paredzēto noteikumu īstenošanas </w:t>
    </w:r>
    <w:r>
      <w:rPr>
        <w:rFonts w:ascii="Times New Roman" w:hAnsi="Times New Roman"/>
        <w:sz w:val="20"/>
        <w:szCs w:val="20"/>
      </w:rPr>
      <w:t>gaitu un rezultātiem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F3E" w:rsidRDefault="008A4F3E" w:rsidP="006F61F5">
      <w:pPr>
        <w:spacing w:after="0" w:line="240" w:lineRule="auto"/>
      </w:pPr>
      <w:r>
        <w:separator/>
      </w:r>
    </w:p>
  </w:footnote>
  <w:footnote w:type="continuationSeparator" w:id="0">
    <w:p w:rsidR="008A4F3E" w:rsidRDefault="008A4F3E" w:rsidP="006F61F5">
      <w:pPr>
        <w:spacing w:after="0" w:line="240" w:lineRule="auto"/>
      </w:pPr>
      <w:r>
        <w:continuationSeparator/>
      </w:r>
    </w:p>
  </w:footnote>
  <w:footnote w:id="1">
    <w:p w:rsidR="000A2105" w:rsidRPr="00066EE5" w:rsidRDefault="000A2105">
      <w:pPr>
        <w:pStyle w:val="FootnoteText"/>
        <w:rPr>
          <w:rFonts w:ascii="Times New Roman" w:hAnsi="Times New Roman"/>
        </w:rPr>
      </w:pPr>
      <w:r w:rsidRPr="00066EE5">
        <w:rPr>
          <w:rStyle w:val="FootnoteReference"/>
          <w:rFonts w:ascii="Times New Roman" w:hAnsi="Times New Roman"/>
        </w:rPr>
        <w:footnoteRef/>
      </w:r>
      <w:r w:rsidRPr="00066EE5">
        <w:rPr>
          <w:rFonts w:ascii="Times New Roman" w:hAnsi="Times New Roman"/>
        </w:rPr>
        <w:t xml:space="preserve"> Avots: Latvijas Banka</w:t>
      </w:r>
    </w:p>
  </w:footnote>
  <w:footnote w:id="2">
    <w:p w:rsidR="000A2105" w:rsidRPr="003D3DA1" w:rsidRDefault="000A2105" w:rsidP="003D3DA1">
      <w:pPr>
        <w:spacing w:after="0" w:line="240" w:lineRule="auto"/>
        <w:jc w:val="both"/>
        <w:rPr>
          <w:sz w:val="20"/>
          <w:szCs w:val="20"/>
        </w:rPr>
      </w:pPr>
      <w:r w:rsidRPr="003D3DA1">
        <w:rPr>
          <w:rStyle w:val="FootnoteReference"/>
          <w:rFonts w:ascii="Times New Roman" w:hAnsi="Times New Roman"/>
          <w:sz w:val="20"/>
          <w:szCs w:val="20"/>
        </w:rPr>
        <w:footnoteRef/>
      </w:r>
      <w:r w:rsidRPr="003D3DA1">
        <w:rPr>
          <w:rFonts w:ascii="Times New Roman" w:hAnsi="Times New Roman"/>
          <w:sz w:val="20"/>
          <w:szCs w:val="20"/>
        </w:rPr>
        <w:t xml:space="preserve"> Kanādas investīciju un biznesa konsultāciju uzņēmuma „Ra</w:t>
      </w:r>
      <w:r>
        <w:rPr>
          <w:rFonts w:ascii="Times New Roman" w:hAnsi="Times New Roman"/>
          <w:sz w:val="20"/>
          <w:szCs w:val="20"/>
        </w:rPr>
        <w:t>ymond Chabot Grant Thornton LLP</w:t>
      </w:r>
      <w:r w:rsidRPr="003D3DA1">
        <w:rPr>
          <w:rFonts w:ascii="Times New Roman" w:hAnsi="Times New Roman"/>
          <w:sz w:val="20"/>
          <w:szCs w:val="20"/>
        </w:rPr>
        <w:t>” pētījums par uzturēšanās atļauju programmu darbību Latvijā un citur pasaulē, 2013.gads</w:t>
      </w:r>
    </w:p>
  </w:footnote>
  <w:footnote w:id="3">
    <w:p w:rsidR="000A2105" w:rsidRPr="002A69E3" w:rsidRDefault="000A2105">
      <w:pPr>
        <w:pStyle w:val="FootnoteText"/>
        <w:rPr>
          <w:rFonts w:ascii="Times New Roman" w:hAnsi="Times New Roman"/>
        </w:rPr>
      </w:pPr>
      <w:r w:rsidRPr="002A69E3">
        <w:rPr>
          <w:rStyle w:val="FootnoteReference"/>
          <w:rFonts w:ascii="Times New Roman" w:hAnsi="Times New Roman"/>
        </w:rPr>
        <w:footnoteRef/>
      </w:r>
      <w:r w:rsidRPr="002A69E3">
        <w:rPr>
          <w:rFonts w:ascii="Times New Roman" w:hAnsi="Times New Roman"/>
        </w:rPr>
        <w:t xml:space="preserve"> Ministru kabineta 2010.gada 21.jūnija noteikumi Nr.554 „Noteikumi par valstīm, kuru pilsoņiem, izsniedzot vīzu vai uzturēšanās atļauju, veic papildu pārbaudi”</w:t>
      </w:r>
    </w:p>
  </w:footnote>
  <w:footnote w:id="4">
    <w:p w:rsidR="000A2105" w:rsidRPr="00F91E37" w:rsidRDefault="000A2105">
      <w:pPr>
        <w:pStyle w:val="FootnoteText"/>
        <w:rPr>
          <w:rFonts w:ascii="Times New Roman" w:hAnsi="Times New Roman"/>
        </w:rPr>
      </w:pPr>
      <w:r w:rsidRPr="00F91E37">
        <w:rPr>
          <w:rStyle w:val="FootnoteReference"/>
          <w:rFonts w:ascii="Times New Roman" w:hAnsi="Times New Roman"/>
        </w:rPr>
        <w:footnoteRef/>
      </w:r>
      <w:r w:rsidRPr="00F91E37">
        <w:rPr>
          <w:rFonts w:ascii="Times New Roman" w:hAnsi="Times New Roman"/>
        </w:rPr>
        <w:t xml:space="preserve"> Avots: </w:t>
      </w:r>
      <w:hyperlink r:id="rId1" w:history="1">
        <w:r w:rsidRPr="00F91E37">
          <w:rPr>
            <w:rStyle w:val="Hyperlink"/>
            <w:rFonts w:ascii="Times New Roman" w:hAnsi="Times New Roman"/>
          </w:rPr>
          <w:t>http://ee24.com/articles/europe/real-estate-european-countries-grant-reside/</w:t>
        </w:r>
      </w:hyperlink>
      <w:r w:rsidRPr="00F91E37">
        <w:rPr>
          <w:rFonts w:ascii="Times New Roman" w:hAnsi="Times New Roman"/>
        </w:rPr>
        <w:t xml:space="preserve"> </w:t>
      </w:r>
    </w:p>
  </w:footnote>
  <w:footnote w:id="5">
    <w:p w:rsidR="000A2105" w:rsidRPr="000C6DF8" w:rsidRDefault="000A2105">
      <w:pPr>
        <w:pStyle w:val="FootnoteText"/>
        <w:rPr>
          <w:rFonts w:ascii="Times New Roman" w:hAnsi="Times New Roman"/>
        </w:rPr>
      </w:pPr>
      <w:r w:rsidRPr="00F91E37">
        <w:rPr>
          <w:rStyle w:val="FootnoteReference"/>
          <w:rFonts w:ascii="Times New Roman" w:hAnsi="Times New Roman"/>
        </w:rPr>
        <w:footnoteRef/>
      </w:r>
      <w:r w:rsidRPr="00F91E37">
        <w:rPr>
          <w:rFonts w:ascii="Times New Roman" w:hAnsi="Times New Roman"/>
        </w:rPr>
        <w:t xml:space="preserve"> Avots</w:t>
      </w:r>
      <w:r w:rsidRPr="000C6DF8">
        <w:rPr>
          <w:rFonts w:ascii="Times New Roman" w:hAnsi="Times New Roman"/>
        </w:rPr>
        <w:t xml:space="preserve">: </w:t>
      </w:r>
      <w:hyperlink r:id="rId2" w:anchor=".VAmhwdEcR_s" w:history="1">
        <w:r w:rsidRPr="000B6533">
          <w:rPr>
            <w:rStyle w:val="Hyperlink"/>
            <w:rFonts w:ascii="Times New Roman" w:hAnsi="Times New Roman"/>
          </w:rPr>
          <w:t>http://spanishnewstoday.com/is-500000%E2%82%AC-spanish-residency-offer-stimulus-for-increased-foreign-property-buyers_18856-a.html#.VAmhwdEcR_s</w:t>
        </w:r>
      </w:hyperlink>
      <w:r>
        <w:t xml:space="preserve"> </w:t>
      </w:r>
    </w:p>
  </w:footnote>
  <w:footnote w:id="6">
    <w:p w:rsidR="000A2105" w:rsidRPr="000C6DF8" w:rsidRDefault="000A2105">
      <w:pPr>
        <w:pStyle w:val="FootnoteText"/>
        <w:rPr>
          <w:rFonts w:ascii="Times New Roman" w:hAnsi="Times New Roman"/>
        </w:rPr>
      </w:pPr>
      <w:r w:rsidRPr="000C6DF8">
        <w:rPr>
          <w:rStyle w:val="FootnoteReference"/>
          <w:rFonts w:ascii="Times New Roman" w:hAnsi="Times New Roman"/>
        </w:rPr>
        <w:footnoteRef/>
      </w:r>
      <w:r w:rsidRPr="000C6DF8">
        <w:rPr>
          <w:rFonts w:ascii="Times New Roman" w:hAnsi="Times New Roman"/>
        </w:rPr>
        <w:t xml:space="preserve"> Avots: </w:t>
      </w:r>
      <w:r w:rsidRPr="00AB5457">
        <w:rPr>
          <w:rFonts w:ascii="Times New Roman" w:hAnsi="Times New Roman"/>
        </w:rPr>
        <w:t>LANĪDA</w:t>
      </w:r>
    </w:p>
  </w:footnote>
  <w:footnote w:id="7">
    <w:p w:rsidR="000A2105" w:rsidRPr="000C6DF8" w:rsidRDefault="000A2105" w:rsidP="001C3956">
      <w:pPr>
        <w:pStyle w:val="FootnoteText"/>
        <w:rPr>
          <w:rFonts w:ascii="Times New Roman" w:hAnsi="Times New Roman"/>
        </w:rPr>
      </w:pPr>
      <w:r w:rsidRPr="000C6DF8">
        <w:rPr>
          <w:rStyle w:val="FootnoteReference"/>
          <w:rFonts w:ascii="Times New Roman" w:hAnsi="Times New Roman"/>
        </w:rPr>
        <w:footnoteRef/>
      </w:r>
      <w:r w:rsidRPr="000C6DF8">
        <w:rPr>
          <w:rFonts w:ascii="Times New Roman" w:hAnsi="Times New Roman"/>
        </w:rPr>
        <w:t xml:space="preserve"> Latio Mājokļu tirgus pārskats, 2014.gada jūnijs </w:t>
      </w:r>
      <w:hyperlink r:id="rId3" w:history="1">
        <w:r w:rsidRPr="000C6DF8">
          <w:rPr>
            <w:rStyle w:val="Hyperlink"/>
            <w:rFonts w:ascii="Times New Roman" w:hAnsi="Times New Roman"/>
          </w:rPr>
          <w:t>http://www.latio.lv/lv/pakalpojumi/tirgus-analize/majoklu-tirgus/122/latio-majoklu-tirgus-parskats-2014-06.pdf</w:t>
        </w:r>
      </w:hyperlink>
    </w:p>
  </w:footnote>
  <w:footnote w:id="8">
    <w:p w:rsidR="000A2105" w:rsidRDefault="000A2105" w:rsidP="001C3956">
      <w:pPr>
        <w:pStyle w:val="FootnoteText"/>
      </w:pPr>
      <w:r w:rsidRPr="000C6DF8">
        <w:rPr>
          <w:rStyle w:val="FootnoteReference"/>
          <w:rFonts w:ascii="Times New Roman" w:hAnsi="Times New Roman"/>
        </w:rPr>
        <w:footnoteRef/>
      </w:r>
      <w:r w:rsidRPr="000C6DF8">
        <w:rPr>
          <w:rFonts w:ascii="Times New Roman" w:hAnsi="Times New Roman"/>
        </w:rPr>
        <w:t xml:space="preserve"> Latio Mājokļu tirgus pārskats, 2014.gada jūnijs </w:t>
      </w:r>
      <w:hyperlink r:id="rId4" w:history="1">
        <w:r w:rsidRPr="000C6DF8">
          <w:rPr>
            <w:rFonts w:ascii="Times New Roman" w:hAnsi="Times New Roman"/>
          </w:rPr>
          <w:t>http://www.latio.lv/lv/pakalpojumi/tirgus-analize/majoklu-tirgus/122/latio-majoklu-tirgus-parskats-2014-06.pdf</w:t>
        </w:r>
      </w:hyperlink>
    </w:p>
  </w:footnote>
  <w:footnote w:id="9">
    <w:p w:rsidR="000A2105" w:rsidRDefault="000A2105">
      <w:pPr>
        <w:pStyle w:val="FootnoteText"/>
      </w:pPr>
      <w:r w:rsidRPr="001B2188">
        <w:rPr>
          <w:rStyle w:val="FootnoteReference"/>
          <w:rFonts w:ascii="Times New Roman" w:hAnsi="Times New Roman"/>
        </w:rPr>
        <w:footnoteRef/>
      </w:r>
      <w:r w:rsidRPr="001B2188">
        <w:rPr>
          <w:rFonts w:ascii="Times New Roman" w:hAnsi="Times New Roman"/>
        </w:rPr>
        <w:t xml:space="preserve"> </w:t>
      </w:r>
      <w:r w:rsidRPr="00AB5457">
        <w:rPr>
          <w:rFonts w:ascii="Times New Roman" w:hAnsi="Times New Roman"/>
        </w:rPr>
        <w:t>LANĪDA vērtējums</w:t>
      </w:r>
    </w:p>
  </w:footnote>
  <w:footnote w:id="10">
    <w:p w:rsidR="000A2105" w:rsidRDefault="000A2105">
      <w:pPr>
        <w:pStyle w:val="FootnoteText"/>
      </w:pPr>
      <w:r w:rsidRPr="00AB5457">
        <w:rPr>
          <w:rStyle w:val="FootnoteReference"/>
          <w:rFonts w:ascii="Times New Roman" w:hAnsi="Times New Roman"/>
        </w:rPr>
        <w:footnoteRef/>
      </w:r>
      <w:r w:rsidRPr="00AB5457">
        <w:rPr>
          <w:rFonts w:ascii="Times New Roman" w:hAnsi="Times New Roman"/>
        </w:rPr>
        <w:t xml:space="preserve"> LANĪDA vērtējums</w:t>
      </w:r>
    </w:p>
  </w:footnote>
  <w:footnote w:id="11">
    <w:p w:rsidR="000A2105" w:rsidRDefault="000A2105">
      <w:pPr>
        <w:pStyle w:val="FootnoteText"/>
      </w:pPr>
      <w:r>
        <w:rPr>
          <w:rStyle w:val="FootnoteReference"/>
        </w:rPr>
        <w:footnoteRef/>
      </w:r>
      <w:r>
        <w:t xml:space="preserve"> </w:t>
      </w:r>
      <w:r w:rsidRPr="00A4072D">
        <w:rPr>
          <w:rFonts w:ascii="Times New Roman" w:hAnsi="Times New Roman"/>
        </w:rPr>
        <w:t>Valsts zemes dienesta, Latio, LANĪDA vērtējums</w:t>
      </w:r>
    </w:p>
  </w:footnote>
  <w:footnote w:id="12">
    <w:p w:rsidR="000A2105" w:rsidRPr="001B0886" w:rsidRDefault="000A2105">
      <w:pPr>
        <w:pStyle w:val="FootnoteText"/>
        <w:rPr>
          <w:rFonts w:ascii="Times New Roman" w:hAnsi="Times New Roman"/>
        </w:rPr>
      </w:pPr>
      <w:r w:rsidRPr="001B0886">
        <w:rPr>
          <w:rStyle w:val="FootnoteReference"/>
          <w:rFonts w:ascii="Times New Roman" w:hAnsi="Times New Roman"/>
        </w:rPr>
        <w:footnoteRef/>
      </w:r>
      <w:r w:rsidRPr="001B0886">
        <w:rPr>
          <w:rFonts w:ascii="Times New Roman" w:hAnsi="Times New Roman"/>
        </w:rPr>
        <w:t xml:space="preserve"> PMLP dati</w:t>
      </w:r>
    </w:p>
  </w:footnote>
  <w:footnote w:id="13">
    <w:p w:rsidR="000A2105" w:rsidRPr="001B0886" w:rsidRDefault="000A2105" w:rsidP="00FB052F">
      <w:pPr>
        <w:pStyle w:val="FootnoteText"/>
        <w:rPr>
          <w:rFonts w:ascii="Times New Roman" w:hAnsi="Times New Roman"/>
        </w:rPr>
      </w:pPr>
      <w:r w:rsidRPr="001B0886">
        <w:rPr>
          <w:rStyle w:val="FootnoteReference"/>
          <w:rFonts w:ascii="Times New Roman" w:hAnsi="Times New Roman"/>
        </w:rPr>
        <w:footnoteRef/>
      </w:r>
      <w:r w:rsidRPr="001B0886">
        <w:rPr>
          <w:rFonts w:ascii="Times New Roman" w:hAnsi="Times New Roman"/>
        </w:rPr>
        <w:t xml:space="preserve"> Avots: Lu</w:t>
      </w:r>
      <w:r>
        <w:rPr>
          <w:rFonts w:ascii="Times New Roman" w:hAnsi="Times New Roman"/>
        </w:rPr>
        <w:t>r</w:t>
      </w:r>
      <w:r w:rsidRPr="001B0886">
        <w:rPr>
          <w:rFonts w:ascii="Times New Roman" w:hAnsi="Times New Roman"/>
        </w:rPr>
        <w:t>soft</w:t>
      </w:r>
    </w:p>
  </w:footnote>
  <w:footnote w:id="14">
    <w:p w:rsidR="000A2105" w:rsidRDefault="000A2105">
      <w:pPr>
        <w:pStyle w:val="FootnoteText"/>
      </w:pPr>
      <w:r>
        <w:rPr>
          <w:rStyle w:val="FootnoteReference"/>
        </w:rPr>
        <w:footnoteRef/>
      </w:r>
      <w:r>
        <w:t xml:space="preserve"> </w:t>
      </w:r>
      <w:r w:rsidRPr="000C6DF8">
        <w:rPr>
          <w:rFonts w:ascii="Times New Roman" w:hAnsi="Times New Roman"/>
        </w:rPr>
        <w:t>PMLP 2013.gadā veiktā TUA pieteicēju aptauja</w:t>
      </w:r>
    </w:p>
  </w:footnote>
  <w:footnote w:id="15">
    <w:p w:rsidR="000A2105" w:rsidRDefault="000A2105">
      <w:pPr>
        <w:pStyle w:val="FootnoteText"/>
      </w:pPr>
      <w:r w:rsidRPr="005263FF">
        <w:rPr>
          <w:rStyle w:val="FootnoteReference"/>
          <w:rFonts w:ascii="Times New Roman" w:hAnsi="Times New Roman"/>
        </w:rPr>
        <w:footnoteRef/>
      </w:r>
      <w:r w:rsidRPr="005263FF">
        <w:rPr>
          <w:rFonts w:ascii="Times New Roman" w:hAnsi="Times New Roman"/>
        </w:rPr>
        <w:t xml:space="preserve"> Latvijas Komercbanku asociācijas vērtējums</w:t>
      </w:r>
    </w:p>
  </w:footnote>
  <w:footnote w:id="16">
    <w:p w:rsidR="000A2105" w:rsidRDefault="000A2105" w:rsidP="00AA64DE">
      <w:pPr>
        <w:pStyle w:val="FootnoteText"/>
      </w:pPr>
      <w:r w:rsidRPr="00AA64DE">
        <w:rPr>
          <w:rStyle w:val="FootnoteReference"/>
          <w:rFonts w:ascii="Times New Roman" w:hAnsi="Times New Roman"/>
        </w:rPr>
        <w:footnoteRef/>
      </w:r>
      <w:r w:rsidRPr="00AA64DE">
        <w:rPr>
          <w:rFonts w:ascii="Times New Roman" w:hAnsi="Times New Roman"/>
        </w:rPr>
        <w:t xml:space="preserve"> Latvijas Komercbanku asociācijas vērtējums</w:t>
      </w:r>
    </w:p>
  </w:footnote>
  <w:footnote w:id="17">
    <w:p w:rsidR="000A2105" w:rsidRPr="00AA64DE" w:rsidRDefault="000A2105" w:rsidP="00AA64DE">
      <w:pPr>
        <w:pStyle w:val="FootnoteText"/>
        <w:rPr>
          <w:rFonts w:ascii="Times New Roman" w:hAnsi="Times New Roman"/>
        </w:rPr>
      </w:pPr>
      <w:r w:rsidRPr="00AA64DE">
        <w:rPr>
          <w:rStyle w:val="FootnoteReference"/>
          <w:rFonts w:ascii="Times New Roman" w:hAnsi="Times New Roman"/>
        </w:rPr>
        <w:footnoteRef/>
      </w:r>
      <w:r w:rsidRPr="00AA64DE">
        <w:rPr>
          <w:rFonts w:ascii="Times New Roman" w:hAnsi="Times New Roman"/>
        </w:rPr>
        <w:t xml:space="preserve"> Latvijas Komercbanku asociācijas vērtējums</w:t>
      </w:r>
    </w:p>
    <w:p w:rsidR="000A2105" w:rsidRDefault="000A2105" w:rsidP="00AA64DE">
      <w:pPr>
        <w:pStyle w:val="FootnoteText"/>
      </w:pPr>
    </w:p>
  </w:footnote>
  <w:footnote w:id="18">
    <w:p w:rsidR="000A2105" w:rsidRPr="00A41FA5" w:rsidRDefault="000A2105" w:rsidP="00893736">
      <w:pPr>
        <w:pStyle w:val="FootnoteText"/>
        <w:rPr>
          <w:rFonts w:ascii="Times New Roman" w:hAnsi="Times New Roman"/>
        </w:rPr>
      </w:pPr>
      <w:r w:rsidRPr="00A41FA5">
        <w:rPr>
          <w:rStyle w:val="FootnoteReference"/>
          <w:rFonts w:ascii="Times New Roman" w:hAnsi="Times New Roman"/>
        </w:rPr>
        <w:footnoteRef/>
      </w:r>
      <w:r w:rsidRPr="00A41FA5">
        <w:rPr>
          <w:rFonts w:ascii="Times New Roman" w:hAnsi="Times New Roman"/>
        </w:rPr>
        <w:t xml:space="preserve"> </w:t>
      </w:r>
      <w:r>
        <w:rPr>
          <w:rFonts w:ascii="Times New Roman" w:hAnsi="Times New Roman"/>
        </w:rPr>
        <w:t>Ekonomikas ministrijas aprēķini, pamatojoties uz PMLP datiem</w:t>
      </w:r>
    </w:p>
  </w:footnote>
  <w:footnote w:id="19">
    <w:p w:rsidR="000A2105" w:rsidRDefault="000A2105">
      <w:pPr>
        <w:pStyle w:val="FootnoteText"/>
      </w:pPr>
      <w:r>
        <w:rPr>
          <w:rStyle w:val="FootnoteReference"/>
        </w:rPr>
        <w:footnoteRef/>
      </w:r>
      <w:r>
        <w:t xml:space="preserve"> </w:t>
      </w:r>
      <w:r w:rsidRPr="00893736">
        <w:rPr>
          <w:rFonts w:ascii="Times New Roman" w:hAnsi="Times New Roman"/>
        </w:rPr>
        <w:t>PMLP dati</w:t>
      </w:r>
      <w:r>
        <w:t xml:space="preserve"> </w:t>
      </w:r>
    </w:p>
  </w:footnote>
  <w:footnote w:id="20">
    <w:p w:rsidR="000A2105" w:rsidRDefault="000A2105">
      <w:pPr>
        <w:pStyle w:val="FootnoteText"/>
      </w:pPr>
      <w:r w:rsidRPr="00E50C87">
        <w:rPr>
          <w:rStyle w:val="FootnoteReference"/>
          <w:rFonts w:ascii="Times New Roman" w:hAnsi="Times New Roman"/>
        </w:rPr>
        <w:footnoteRef/>
      </w:r>
      <w:r w:rsidRPr="00E50C87">
        <w:rPr>
          <w:rFonts w:ascii="Times New Roman" w:hAnsi="Times New Roman"/>
        </w:rPr>
        <w:t xml:space="preserve"> Transportlīdzekļa ekspluatācijas, </w:t>
      </w:r>
      <w:r w:rsidRPr="005263FF">
        <w:rPr>
          <w:rFonts w:ascii="Times New Roman" w:hAnsi="Times New Roman"/>
        </w:rPr>
        <w:t>vieglo automobiļu un motociklu nodoklis un uzņēmumu vieglo transportlīdzekļu nodoklis</w:t>
      </w:r>
      <w:r w:rsidRPr="00E50C87">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05" w:rsidRDefault="001279BF" w:rsidP="008757FB">
    <w:pPr>
      <w:pStyle w:val="Header"/>
      <w:framePr w:wrap="around" w:vAnchor="text" w:hAnchor="margin" w:xAlign="center" w:y="1"/>
      <w:rPr>
        <w:rStyle w:val="PageNumber"/>
      </w:rPr>
    </w:pPr>
    <w:r>
      <w:rPr>
        <w:rStyle w:val="PageNumber"/>
      </w:rPr>
      <w:fldChar w:fldCharType="begin"/>
    </w:r>
    <w:r w:rsidR="000A2105">
      <w:rPr>
        <w:rStyle w:val="PageNumber"/>
      </w:rPr>
      <w:instrText xml:space="preserve">PAGE  </w:instrText>
    </w:r>
    <w:r>
      <w:rPr>
        <w:rStyle w:val="PageNumber"/>
      </w:rPr>
      <w:fldChar w:fldCharType="end"/>
    </w:r>
  </w:p>
  <w:p w:rsidR="000A2105" w:rsidRDefault="000A21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725053"/>
      <w:docPartObj>
        <w:docPartGallery w:val="Page Numbers (Top of Page)"/>
        <w:docPartUnique/>
      </w:docPartObj>
    </w:sdtPr>
    <w:sdtEndPr>
      <w:rPr>
        <w:rFonts w:ascii="Times New Roman" w:eastAsia="PMingLiU-ExtB" w:hAnsi="Times New Roman"/>
        <w:noProof/>
        <w:sz w:val="24"/>
      </w:rPr>
    </w:sdtEndPr>
    <w:sdtContent>
      <w:p w:rsidR="000A2105" w:rsidRPr="002C5E69" w:rsidRDefault="001279BF">
        <w:pPr>
          <w:pStyle w:val="Header"/>
          <w:jc w:val="center"/>
          <w:rPr>
            <w:rFonts w:ascii="Times New Roman" w:eastAsia="PMingLiU-ExtB" w:hAnsi="Times New Roman"/>
            <w:sz w:val="24"/>
          </w:rPr>
        </w:pPr>
        <w:r w:rsidRPr="002C5E69">
          <w:rPr>
            <w:rFonts w:ascii="Times New Roman" w:eastAsia="PMingLiU-ExtB" w:hAnsi="Times New Roman"/>
            <w:sz w:val="24"/>
          </w:rPr>
          <w:fldChar w:fldCharType="begin"/>
        </w:r>
        <w:r w:rsidR="000A2105" w:rsidRPr="002C5E69">
          <w:rPr>
            <w:rFonts w:ascii="Times New Roman" w:eastAsia="PMingLiU-ExtB" w:hAnsi="Times New Roman"/>
            <w:sz w:val="24"/>
          </w:rPr>
          <w:instrText xml:space="preserve"> PAGE   \* MERGEFORMAT </w:instrText>
        </w:r>
        <w:r w:rsidRPr="002C5E69">
          <w:rPr>
            <w:rFonts w:ascii="Times New Roman" w:eastAsia="PMingLiU-ExtB" w:hAnsi="Times New Roman"/>
            <w:sz w:val="24"/>
          </w:rPr>
          <w:fldChar w:fldCharType="separate"/>
        </w:r>
        <w:r w:rsidR="00A624BB">
          <w:rPr>
            <w:rFonts w:ascii="Times New Roman" w:eastAsia="PMingLiU-ExtB" w:hAnsi="Times New Roman"/>
            <w:noProof/>
            <w:sz w:val="24"/>
          </w:rPr>
          <w:t>23</w:t>
        </w:r>
        <w:r w:rsidRPr="002C5E69">
          <w:rPr>
            <w:rFonts w:ascii="Times New Roman" w:eastAsia="PMingLiU-ExtB" w:hAnsi="Times New Roman"/>
            <w:noProof/>
            <w:sz w:val="24"/>
          </w:rPr>
          <w:fldChar w:fldCharType="end"/>
        </w:r>
      </w:p>
    </w:sdtContent>
  </w:sdt>
  <w:p w:rsidR="000A2105" w:rsidRDefault="000A2105" w:rsidP="002C5E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4A35"/>
    <w:multiLevelType w:val="hybridMultilevel"/>
    <w:tmpl w:val="40BCE7F6"/>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00AF5637"/>
    <w:multiLevelType w:val="hybridMultilevel"/>
    <w:tmpl w:val="F4863E1A"/>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021B7C14"/>
    <w:multiLevelType w:val="hybridMultilevel"/>
    <w:tmpl w:val="B6E05796"/>
    <w:lvl w:ilvl="0" w:tplc="43884C7C">
      <w:start w:val="1"/>
      <w:numFmt w:val="bullet"/>
      <w:lvlText w:val="–"/>
      <w:lvlJc w:val="left"/>
      <w:pPr>
        <w:ind w:left="128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2215BE2"/>
    <w:multiLevelType w:val="hybridMultilevel"/>
    <w:tmpl w:val="262E26B8"/>
    <w:lvl w:ilvl="0" w:tplc="1F24189A">
      <w:start w:val="1"/>
      <w:numFmt w:val="bullet"/>
      <w:lvlText w:val="-"/>
      <w:lvlJc w:val="left"/>
      <w:pPr>
        <w:ind w:left="720" w:hanging="360"/>
      </w:pPr>
      <w:rPr>
        <w:rFonts w:ascii="Calibri" w:eastAsia="Times New Roman" w:hAnsi="Calibri"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4434033"/>
    <w:multiLevelType w:val="hybridMultilevel"/>
    <w:tmpl w:val="47EA5BF4"/>
    <w:lvl w:ilvl="0" w:tplc="43884C7C">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5D741F7"/>
    <w:multiLevelType w:val="hybridMultilevel"/>
    <w:tmpl w:val="2BA47A02"/>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064379B9"/>
    <w:multiLevelType w:val="hybridMultilevel"/>
    <w:tmpl w:val="1B66685C"/>
    <w:lvl w:ilvl="0" w:tplc="43884C7C">
      <w:start w:val="1"/>
      <w:numFmt w:val="bullet"/>
      <w:lvlText w:val="–"/>
      <w:lvlJc w:val="left"/>
      <w:pPr>
        <w:ind w:left="1146" w:hanging="360"/>
      </w:pPr>
      <w:rPr>
        <w:rFonts w:ascii="Times New Roman" w:hAnsi="Times New Roman"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07631102"/>
    <w:multiLevelType w:val="hybridMultilevel"/>
    <w:tmpl w:val="4EA2F652"/>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08414BAC"/>
    <w:multiLevelType w:val="hybridMultilevel"/>
    <w:tmpl w:val="46FA51FA"/>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14C03EA2"/>
    <w:multiLevelType w:val="hybridMultilevel"/>
    <w:tmpl w:val="B964BFE0"/>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161E2E17"/>
    <w:multiLevelType w:val="hybridMultilevel"/>
    <w:tmpl w:val="D4BE148C"/>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1D00473B"/>
    <w:multiLevelType w:val="hybridMultilevel"/>
    <w:tmpl w:val="F24CCE0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20092F61"/>
    <w:multiLevelType w:val="hybridMultilevel"/>
    <w:tmpl w:val="977617A2"/>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nsid w:val="24E46D5A"/>
    <w:multiLevelType w:val="hybridMultilevel"/>
    <w:tmpl w:val="42505046"/>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nsid w:val="2FF468BF"/>
    <w:multiLevelType w:val="hybridMultilevel"/>
    <w:tmpl w:val="2D30F84E"/>
    <w:lvl w:ilvl="0" w:tplc="8FAA116E">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51591"/>
    <w:multiLevelType w:val="hybridMultilevel"/>
    <w:tmpl w:val="C144EF5A"/>
    <w:lvl w:ilvl="0" w:tplc="01383EC0">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nsid w:val="320E71CD"/>
    <w:multiLevelType w:val="hybridMultilevel"/>
    <w:tmpl w:val="1E1C5E6C"/>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nsid w:val="36297B87"/>
    <w:multiLevelType w:val="hybridMultilevel"/>
    <w:tmpl w:val="8C4A9E52"/>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nsid w:val="372E1FE2"/>
    <w:multiLevelType w:val="hybridMultilevel"/>
    <w:tmpl w:val="31166826"/>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nsid w:val="392863D0"/>
    <w:multiLevelType w:val="hybridMultilevel"/>
    <w:tmpl w:val="DF30E3B6"/>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9826951"/>
    <w:multiLevelType w:val="hybridMultilevel"/>
    <w:tmpl w:val="D166C932"/>
    <w:lvl w:ilvl="0" w:tplc="0409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nsid w:val="3A7C679B"/>
    <w:multiLevelType w:val="hybridMultilevel"/>
    <w:tmpl w:val="92A0908A"/>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nsid w:val="3AA91EBA"/>
    <w:multiLevelType w:val="hybridMultilevel"/>
    <w:tmpl w:val="0810BFA0"/>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B3A61E8"/>
    <w:multiLevelType w:val="hybridMultilevel"/>
    <w:tmpl w:val="10F626A2"/>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nsid w:val="40FF26AF"/>
    <w:multiLevelType w:val="hybridMultilevel"/>
    <w:tmpl w:val="7592EFD2"/>
    <w:lvl w:ilvl="0" w:tplc="6D2E0CF6">
      <w:start w:val="12"/>
      <w:numFmt w:val="bullet"/>
      <w:lvlText w:val="-"/>
      <w:lvlJc w:val="left"/>
      <w:pPr>
        <w:ind w:left="720" w:hanging="360"/>
      </w:pPr>
      <w:rPr>
        <w:rFonts w:ascii="Calibri" w:eastAsia="Times New Roman" w:hAnsi="Calibri"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5">
    <w:nsid w:val="421D11B4"/>
    <w:multiLevelType w:val="hybridMultilevel"/>
    <w:tmpl w:val="3C3424EC"/>
    <w:lvl w:ilvl="0" w:tplc="689EF41E">
      <w:start w:val="1"/>
      <w:numFmt w:val="bullet"/>
      <w:lvlText w:val=""/>
      <w:lvlJc w:val="left"/>
      <w:pPr>
        <w:ind w:left="720" w:hanging="360"/>
      </w:pPr>
      <w:rPr>
        <w:rFonts w:ascii="Wingdings" w:eastAsia="Times New Roman" w:hAnsi="Wingdings" w:hint="default"/>
        <w:color w:val="FF000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7EA3147"/>
    <w:multiLevelType w:val="hybridMultilevel"/>
    <w:tmpl w:val="99861D22"/>
    <w:lvl w:ilvl="0" w:tplc="AC4A2E68">
      <w:start w:val="1"/>
      <w:numFmt w:val="upperRoman"/>
      <w:lvlText w:val="%1."/>
      <w:lvlJc w:val="left"/>
      <w:pPr>
        <w:ind w:left="1080" w:hanging="72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7">
    <w:nsid w:val="4D075DA6"/>
    <w:multiLevelType w:val="hybridMultilevel"/>
    <w:tmpl w:val="9F982142"/>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nsid w:val="51666F61"/>
    <w:multiLevelType w:val="hybridMultilevel"/>
    <w:tmpl w:val="DC7AD46C"/>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9">
    <w:nsid w:val="517A7387"/>
    <w:multiLevelType w:val="hybridMultilevel"/>
    <w:tmpl w:val="40EE3788"/>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0">
    <w:nsid w:val="51FB5B03"/>
    <w:multiLevelType w:val="hybridMultilevel"/>
    <w:tmpl w:val="D0026EF6"/>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1">
    <w:nsid w:val="537E5141"/>
    <w:multiLevelType w:val="hybridMultilevel"/>
    <w:tmpl w:val="A6F0C0BE"/>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2">
    <w:nsid w:val="54561BDE"/>
    <w:multiLevelType w:val="hybridMultilevel"/>
    <w:tmpl w:val="3CA0518E"/>
    <w:lvl w:ilvl="0" w:tplc="6248E6C8">
      <w:start w:val="1"/>
      <w:numFmt w:val="lowerLetter"/>
      <w:lvlText w:val="%1)"/>
      <w:lvlJc w:val="left"/>
      <w:pPr>
        <w:tabs>
          <w:tab w:val="num" w:pos="1460"/>
        </w:tabs>
        <w:ind w:left="1460" w:hanging="915"/>
      </w:pPr>
      <w:rPr>
        <w:rFonts w:cs="Times New Roman" w:hint="default"/>
      </w:rPr>
    </w:lvl>
    <w:lvl w:ilvl="1" w:tplc="04260019" w:tentative="1">
      <w:start w:val="1"/>
      <w:numFmt w:val="lowerLetter"/>
      <w:lvlText w:val="%2."/>
      <w:lvlJc w:val="left"/>
      <w:pPr>
        <w:tabs>
          <w:tab w:val="num" w:pos="1625"/>
        </w:tabs>
        <w:ind w:left="1625" w:hanging="360"/>
      </w:pPr>
      <w:rPr>
        <w:rFonts w:cs="Times New Roman"/>
      </w:rPr>
    </w:lvl>
    <w:lvl w:ilvl="2" w:tplc="0426001B" w:tentative="1">
      <w:start w:val="1"/>
      <w:numFmt w:val="lowerRoman"/>
      <w:lvlText w:val="%3."/>
      <w:lvlJc w:val="right"/>
      <w:pPr>
        <w:tabs>
          <w:tab w:val="num" w:pos="2345"/>
        </w:tabs>
        <w:ind w:left="2345" w:hanging="180"/>
      </w:pPr>
      <w:rPr>
        <w:rFonts w:cs="Times New Roman"/>
      </w:rPr>
    </w:lvl>
    <w:lvl w:ilvl="3" w:tplc="0426000F" w:tentative="1">
      <w:start w:val="1"/>
      <w:numFmt w:val="decimal"/>
      <w:lvlText w:val="%4."/>
      <w:lvlJc w:val="left"/>
      <w:pPr>
        <w:tabs>
          <w:tab w:val="num" w:pos="3065"/>
        </w:tabs>
        <w:ind w:left="3065" w:hanging="360"/>
      </w:pPr>
      <w:rPr>
        <w:rFonts w:cs="Times New Roman"/>
      </w:rPr>
    </w:lvl>
    <w:lvl w:ilvl="4" w:tplc="04260019" w:tentative="1">
      <w:start w:val="1"/>
      <w:numFmt w:val="lowerLetter"/>
      <w:lvlText w:val="%5."/>
      <w:lvlJc w:val="left"/>
      <w:pPr>
        <w:tabs>
          <w:tab w:val="num" w:pos="3785"/>
        </w:tabs>
        <w:ind w:left="3785" w:hanging="360"/>
      </w:pPr>
      <w:rPr>
        <w:rFonts w:cs="Times New Roman"/>
      </w:rPr>
    </w:lvl>
    <w:lvl w:ilvl="5" w:tplc="0426001B" w:tentative="1">
      <w:start w:val="1"/>
      <w:numFmt w:val="lowerRoman"/>
      <w:lvlText w:val="%6."/>
      <w:lvlJc w:val="right"/>
      <w:pPr>
        <w:tabs>
          <w:tab w:val="num" w:pos="4505"/>
        </w:tabs>
        <w:ind w:left="4505" w:hanging="180"/>
      </w:pPr>
      <w:rPr>
        <w:rFonts w:cs="Times New Roman"/>
      </w:rPr>
    </w:lvl>
    <w:lvl w:ilvl="6" w:tplc="0426000F" w:tentative="1">
      <w:start w:val="1"/>
      <w:numFmt w:val="decimal"/>
      <w:lvlText w:val="%7."/>
      <w:lvlJc w:val="left"/>
      <w:pPr>
        <w:tabs>
          <w:tab w:val="num" w:pos="5225"/>
        </w:tabs>
        <w:ind w:left="5225" w:hanging="360"/>
      </w:pPr>
      <w:rPr>
        <w:rFonts w:cs="Times New Roman"/>
      </w:rPr>
    </w:lvl>
    <w:lvl w:ilvl="7" w:tplc="04260019" w:tentative="1">
      <w:start w:val="1"/>
      <w:numFmt w:val="lowerLetter"/>
      <w:lvlText w:val="%8."/>
      <w:lvlJc w:val="left"/>
      <w:pPr>
        <w:tabs>
          <w:tab w:val="num" w:pos="5945"/>
        </w:tabs>
        <w:ind w:left="5945" w:hanging="360"/>
      </w:pPr>
      <w:rPr>
        <w:rFonts w:cs="Times New Roman"/>
      </w:rPr>
    </w:lvl>
    <w:lvl w:ilvl="8" w:tplc="0426001B" w:tentative="1">
      <w:start w:val="1"/>
      <w:numFmt w:val="lowerRoman"/>
      <w:lvlText w:val="%9."/>
      <w:lvlJc w:val="right"/>
      <w:pPr>
        <w:tabs>
          <w:tab w:val="num" w:pos="6665"/>
        </w:tabs>
        <w:ind w:left="6665" w:hanging="180"/>
      </w:pPr>
      <w:rPr>
        <w:rFonts w:cs="Times New Roman"/>
      </w:rPr>
    </w:lvl>
  </w:abstractNum>
  <w:abstractNum w:abstractNumId="33">
    <w:nsid w:val="56B077CE"/>
    <w:multiLevelType w:val="hybridMultilevel"/>
    <w:tmpl w:val="9814DD94"/>
    <w:lvl w:ilvl="0" w:tplc="8E421518">
      <w:start w:val="7"/>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5B673822"/>
    <w:multiLevelType w:val="hybridMultilevel"/>
    <w:tmpl w:val="AD8430FC"/>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5">
    <w:nsid w:val="5BB85D6E"/>
    <w:multiLevelType w:val="hybridMultilevel"/>
    <w:tmpl w:val="38EAC1E2"/>
    <w:lvl w:ilvl="0" w:tplc="43884C7C">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5E3861AB"/>
    <w:multiLevelType w:val="hybridMultilevel"/>
    <w:tmpl w:val="AF5870B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7">
    <w:nsid w:val="640F50E3"/>
    <w:multiLevelType w:val="hybridMultilevel"/>
    <w:tmpl w:val="F2309EA2"/>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8">
    <w:nsid w:val="6B810E01"/>
    <w:multiLevelType w:val="hybridMultilevel"/>
    <w:tmpl w:val="757EC138"/>
    <w:lvl w:ilvl="0" w:tplc="64A21A1E">
      <w:start w:val="1"/>
      <w:numFmt w:val="upperRoman"/>
      <w:lvlText w:val="%1."/>
      <w:lvlJc w:val="left"/>
      <w:pPr>
        <w:ind w:left="1080" w:hanging="72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9">
    <w:nsid w:val="6BA56458"/>
    <w:multiLevelType w:val="hybridMultilevel"/>
    <w:tmpl w:val="004011C2"/>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0">
    <w:nsid w:val="6C247E26"/>
    <w:multiLevelType w:val="hybridMultilevel"/>
    <w:tmpl w:val="773A6D8C"/>
    <w:lvl w:ilvl="0" w:tplc="FA786CB2">
      <w:start w:val="1"/>
      <w:numFmt w:val="bullet"/>
      <w:lvlText w:val="•"/>
      <w:lvlJc w:val="left"/>
      <w:pPr>
        <w:tabs>
          <w:tab w:val="num" w:pos="720"/>
        </w:tabs>
        <w:ind w:left="720" w:hanging="360"/>
      </w:pPr>
      <w:rPr>
        <w:rFonts w:ascii="Arial" w:hAnsi="Arial" w:hint="default"/>
      </w:rPr>
    </w:lvl>
    <w:lvl w:ilvl="1" w:tplc="8BC45074">
      <w:start w:val="270"/>
      <w:numFmt w:val="bullet"/>
      <w:lvlText w:val="–"/>
      <w:lvlJc w:val="left"/>
      <w:pPr>
        <w:tabs>
          <w:tab w:val="num" w:pos="1440"/>
        </w:tabs>
        <w:ind w:left="1440" w:hanging="360"/>
      </w:pPr>
      <w:rPr>
        <w:rFonts w:ascii="Arial" w:hAnsi="Arial" w:hint="default"/>
      </w:rPr>
    </w:lvl>
    <w:lvl w:ilvl="2" w:tplc="DBE0ADCE" w:tentative="1">
      <w:start w:val="1"/>
      <w:numFmt w:val="bullet"/>
      <w:lvlText w:val="•"/>
      <w:lvlJc w:val="left"/>
      <w:pPr>
        <w:tabs>
          <w:tab w:val="num" w:pos="2160"/>
        </w:tabs>
        <w:ind w:left="2160" w:hanging="360"/>
      </w:pPr>
      <w:rPr>
        <w:rFonts w:ascii="Arial" w:hAnsi="Arial" w:hint="default"/>
      </w:rPr>
    </w:lvl>
    <w:lvl w:ilvl="3" w:tplc="2AF2041C" w:tentative="1">
      <w:start w:val="1"/>
      <w:numFmt w:val="bullet"/>
      <w:lvlText w:val="•"/>
      <w:lvlJc w:val="left"/>
      <w:pPr>
        <w:tabs>
          <w:tab w:val="num" w:pos="2880"/>
        </w:tabs>
        <w:ind w:left="2880" w:hanging="360"/>
      </w:pPr>
      <w:rPr>
        <w:rFonts w:ascii="Arial" w:hAnsi="Arial" w:hint="default"/>
      </w:rPr>
    </w:lvl>
    <w:lvl w:ilvl="4" w:tplc="117C22CE" w:tentative="1">
      <w:start w:val="1"/>
      <w:numFmt w:val="bullet"/>
      <w:lvlText w:val="•"/>
      <w:lvlJc w:val="left"/>
      <w:pPr>
        <w:tabs>
          <w:tab w:val="num" w:pos="3600"/>
        </w:tabs>
        <w:ind w:left="3600" w:hanging="360"/>
      </w:pPr>
      <w:rPr>
        <w:rFonts w:ascii="Arial" w:hAnsi="Arial" w:hint="default"/>
      </w:rPr>
    </w:lvl>
    <w:lvl w:ilvl="5" w:tplc="A0BCD0E0" w:tentative="1">
      <w:start w:val="1"/>
      <w:numFmt w:val="bullet"/>
      <w:lvlText w:val="•"/>
      <w:lvlJc w:val="left"/>
      <w:pPr>
        <w:tabs>
          <w:tab w:val="num" w:pos="4320"/>
        </w:tabs>
        <w:ind w:left="4320" w:hanging="360"/>
      </w:pPr>
      <w:rPr>
        <w:rFonts w:ascii="Arial" w:hAnsi="Arial" w:hint="default"/>
      </w:rPr>
    </w:lvl>
    <w:lvl w:ilvl="6" w:tplc="AD506BC6" w:tentative="1">
      <w:start w:val="1"/>
      <w:numFmt w:val="bullet"/>
      <w:lvlText w:val="•"/>
      <w:lvlJc w:val="left"/>
      <w:pPr>
        <w:tabs>
          <w:tab w:val="num" w:pos="5040"/>
        </w:tabs>
        <w:ind w:left="5040" w:hanging="360"/>
      </w:pPr>
      <w:rPr>
        <w:rFonts w:ascii="Arial" w:hAnsi="Arial" w:hint="default"/>
      </w:rPr>
    </w:lvl>
    <w:lvl w:ilvl="7" w:tplc="ED4063F6" w:tentative="1">
      <w:start w:val="1"/>
      <w:numFmt w:val="bullet"/>
      <w:lvlText w:val="•"/>
      <w:lvlJc w:val="left"/>
      <w:pPr>
        <w:tabs>
          <w:tab w:val="num" w:pos="5760"/>
        </w:tabs>
        <w:ind w:left="5760" w:hanging="360"/>
      </w:pPr>
      <w:rPr>
        <w:rFonts w:ascii="Arial" w:hAnsi="Arial" w:hint="default"/>
      </w:rPr>
    </w:lvl>
    <w:lvl w:ilvl="8" w:tplc="596276F0" w:tentative="1">
      <w:start w:val="1"/>
      <w:numFmt w:val="bullet"/>
      <w:lvlText w:val="•"/>
      <w:lvlJc w:val="left"/>
      <w:pPr>
        <w:tabs>
          <w:tab w:val="num" w:pos="6480"/>
        </w:tabs>
        <w:ind w:left="6480" w:hanging="360"/>
      </w:pPr>
      <w:rPr>
        <w:rFonts w:ascii="Arial" w:hAnsi="Arial" w:hint="default"/>
      </w:rPr>
    </w:lvl>
  </w:abstractNum>
  <w:abstractNum w:abstractNumId="41">
    <w:nsid w:val="73097B76"/>
    <w:multiLevelType w:val="hybridMultilevel"/>
    <w:tmpl w:val="63703972"/>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2">
    <w:nsid w:val="769B7C16"/>
    <w:multiLevelType w:val="hybridMultilevel"/>
    <w:tmpl w:val="E8801E14"/>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3">
    <w:nsid w:val="7A2233B7"/>
    <w:multiLevelType w:val="hybridMultilevel"/>
    <w:tmpl w:val="E338A014"/>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4">
    <w:nsid w:val="7A8D52EF"/>
    <w:multiLevelType w:val="hybridMultilevel"/>
    <w:tmpl w:val="E44CFD04"/>
    <w:lvl w:ilvl="0" w:tplc="689EF41E">
      <w:start w:val="1"/>
      <w:numFmt w:val="bullet"/>
      <w:lvlText w:val=""/>
      <w:lvlJc w:val="left"/>
      <w:pPr>
        <w:ind w:left="720" w:hanging="360"/>
      </w:pPr>
      <w:rPr>
        <w:rFonts w:ascii="Wingdings" w:eastAsia="Times New Roman" w:hAnsi="Wingdings" w:hint="default"/>
        <w:color w:val="FF000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7D464635"/>
    <w:multiLevelType w:val="hybridMultilevel"/>
    <w:tmpl w:val="F21A5DF6"/>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6">
    <w:nsid w:val="7DAB50F7"/>
    <w:multiLevelType w:val="hybridMultilevel"/>
    <w:tmpl w:val="D90E855A"/>
    <w:lvl w:ilvl="0" w:tplc="4678DBDA">
      <w:start w:val="1"/>
      <w:numFmt w:val="bullet"/>
      <w:lvlText w:val="•"/>
      <w:lvlJc w:val="left"/>
      <w:pPr>
        <w:tabs>
          <w:tab w:val="num" w:pos="720"/>
        </w:tabs>
        <w:ind w:left="720" w:hanging="360"/>
      </w:pPr>
      <w:rPr>
        <w:rFonts w:ascii="Arial" w:hAnsi="Arial" w:hint="default"/>
      </w:rPr>
    </w:lvl>
    <w:lvl w:ilvl="1" w:tplc="EC3A05D4" w:tentative="1">
      <w:start w:val="1"/>
      <w:numFmt w:val="bullet"/>
      <w:lvlText w:val="•"/>
      <w:lvlJc w:val="left"/>
      <w:pPr>
        <w:tabs>
          <w:tab w:val="num" w:pos="1440"/>
        </w:tabs>
        <w:ind w:left="1440" w:hanging="360"/>
      </w:pPr>
      <w:rPr>
        <w:rFonts w:ascii="Arial" w:hAnsi="Arial" w:hint="default"/>
      </w:rPr>
    </w:lvl>
    <w:lvl w:ilvl="2" w:tplc="004A8BF0" w:tentative="1">
      <w:start w:val="1"/>
      <w:numFmt w:val="bullet"/>
      <w:lvlText w:val="•"/>
      <w:lvlJc w:val="left"/>
      <w:pPr>
        <w:tabs>
          <w:tab w:val="num" w:pos="2160"/>
        </w:tabs>
        <w:ind w:left="2160" w:hanging="360"/>
      </w:pPr>
      <w:rPr>
        <w:rFonts w:ascii="Arial" w:hAnsi="Arial" w:hint="default"/>
      </w:rPr>
    </w:lvl>
    <w:lvl w:ilvl="3" w:tplc="E5D0161A" w:tentative="1">
      <w:start w:val="1"/>
      <w:numFmt w:val="bullet"/>
      <w:lvlText w:val="•"/>
      <w:lvlJc w:val="left"/>
      <w:pPr>
        <w:tabs>
          <w:tab w:val="num" w:pos="2880"/>
        </w:tabs>
        <w:ind w:left="2880" w:hanging="360"/>
      </w:pPr>
      <w:rPr>
        <w:rFonts w:ascii="Arial" w:hAnsi="Arial" w:hint="default"/>
      </w:rPr>
    </w:lvl>
    <w:lvl w:ilvl="4" w:tplc="6B2E4702" w:tentative="1">
      <w:start w:val="1"/>
      <w:numFmt w:val="bullet"/>
      <w:lvlText w:val="•"/>
      <w:lvlJc w:val="left"/>
      <w:pPr>
        <w:tabs>
          <w:tab w:val="num" w:pos="3600"/>
        </w:tabs>
        <w:ind w:left="3600" w:hanging="360"/>
      </w:pPr>
      <w:rPr>
        <w:rFonts w:ascii="Arial" w:hAnsi="Arial" w:hint="default"/>
      </w:rPr>
    </w:lvl>
    <w:lvl w:ilvl="5" w:tplc="70701A28" w:tentative="1">
      <w:start w:val="1"/>
      <w:numFmt w:val="bullet"/>
      <w:lvlText w:val="•"/>
      <w:lvlJc w:val="left"/>
      <w:pPr>
        <w:tabs>
          <w:tab w:val="num" w:pos="4320"/>
        </w:tabs>
        <w:ind w:left="4320" w:hanging="360"/>
      </w:pPr>
      <w:rPr>
        <w:rFonts w:ascii="Arial" w:hAnsi="Arial" w:hint="default"/>
      </w:rPr>
    </w:lvl>
    <w:lvl w:ilvl="6" w:tplc="BCBE78B0" w:tentative="1">
      <w:start w:val="1"/>
      <w:numFmt w:val="bullet"/>
      <w:lvlText w:val="•"/>
      <w:lvlJc w:val="left"/>
      <w:pPr>
        <w:tabs>
          <w:tab w:val="num" w:pos="5040"/>
        </w:tabs>
        <w:ind w:left="5040" w:hanging="360"/>
      </w:pPr>
      <w:rPr>
        <w:rFonts w:ascii="Arial" w:hAnsi="Arial" w:hint="default"/>
      </w:rPr>
    </w:lvl>
    <w:lvl w:ilvl="7" w:tplc="8BBE75B6" w:tentative="1">
      <w:start w:val="1"/>
      <w:numFmt w:val="bullet"/>
      <w:lvlText w:val="•"/>
      <w:lvlJc w:val="left"/>
      <w:pPr>
        <w:tabs>
          <w:tab w:val="num" w:pos="5760"/>
        </w:tabs>
        <w:ind w:left="5760" w:hanging="360"/>
      </w:pPr>
      <w:rPr>
        <w:rFonts w:ascii="Arial" w:hAnsi="Arial" w:hint="default"/>
      </w:rPr>
    </w:lvl>
    <w:lvl w:ilvl="8" w:tplc="56903CCE" w:tentative="1">
      <w:start w:val="1"/>
      <w:numFmt w:val="bullet"/>
      <w:lvlText w:val="•"/>
      <w:lvlJc w:val="left"/>
      <w:pPr>
        <w:tabs>
          <w:tab w:val="num" w:pos="6480"/>
        </w:tabs>
        <w:ind w:left="6480" w:hanging="360"/>
      </w:pPr>
      <w:rPr>
        <w:rFonts w:ascii="Arial" w:hAnsi="Arial" w:hint="default"/>
      </w:rPr>
    </w:lvl>
  </w:abstractNum>
  <w:abstractNum w:abstractNumId="47">
    <w:nsid w:val="7FFD5227"/>
    <w:multiLevelType w:val="hybridMultilevel"/>
    <w:tmpl w:val="EDEADD18"/>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33"/>
  </w:num>
  <w:num w:numId="3">
    <w:abstractNumId w:val="22"/>
  </w:num>
  <w:num w:numId="4">
    <w:abstractNumId w:val="36"/>
  </w:num>
  <w:num w:numId="5">
    <w:abstractNumId w:val="20"/>
  </w:num>
  <w:num w:numId="6">
    <w:abstractNumId w:val="24"/>
  </w:num>
  <w:num w:numId="7">
    <w:abstractNumId w:val="31"/>
  </w:num>
  <w:num w:numId="8">
    <w:abstractNumId w:val="10"/>
  </w:num>
  <w:num w:numId="9">
    <w:abstractNumId w:val="29"/>
  </w:num>
  <w:num w:numId="10">
    <w:abstractNumId w:val="42"/>
  </w:num>
  <w:num w:numId="11">
    <w:abstractNumId w:val="12"/>
  </w:num>
  <w:num w:numId="12">
    <w:abstractNumId w:val="43"/>
  </w:num>
  <w:num w:numId="13">
    <w:abstractNumId w:val="34"/>
  </w:num>
  <w:num w:numId="14">
    <w:abstractNumId w:val="27"/>
  </w:num>
  <w:num w:numId="15">
    <w:abstractNumId w:val="9"/>
  </w:num>
  <w:num w:numId="16">
    <w:abstractNumId w:val="18"/>
  </w:num>
  <w:num w:numId="17">
    <w:abstractNumId w:val="45"/>
  </w:num>
  <w:num w:numId="18">
    <w:abstractNumId w:val="47"/>
  </w:num>
  <w:num w:numId="19">
    <w:abstractNumId w:val="23"/>
  </w:num>
  <w:num w:numId="20">
    <w:abstractNumId w:val="39"/>
  </w:num>
  <w:num w:numId="21">
    <w:abstractNumId w:val="1"/>
  </w:num>
  <w:num w:numId="22">
    <w:abstractNumId w:val="17"/>
  </w:num>
  <w:num w:numId="23">
    <w:abstractNumId w:val="41"/>
  </w:num>
  <w:num w:numId="24">
    <w:abstractNumId w:val="37"/>
  </w:num>
  <w:num w:numId="25">
    <w:abstractNumId w:val="30"/>
  </w:num>
  <w:num w:numId="26">
    <w:abstractNumId w:val="21"/>
  </w:num>
  <w:num w:numId="27">
    <w:abstractNumId w:val="8"/>
  </w:num>
  <w:num w:numId="28">
    <w:abstractNumId w:val="5"/>
  </w:num>
  <w:num w:numId="29">
    <w:abstractNumId w:val="0"/>
  </w:num>
  <w:num w:numId="30">
    <w:abstractNumId w:val="28"/>
  </w:num>
  <w:num w:numId="31">
    <w:abstractNumId w:val="13"/>
  </w:num>
  <w:num w:numId="32">
    <w:abstractNumId w:val="7"/>
  </w:num>
  <w:num w:numId="33">
    <w:abstractNumId w:val="16"/>
  </w:num>
  <w:num w:numId="34">
    <w:abstractNumId w:val="11"/>
  </w:num>
  <w:num w:numId="35">
    <w:abstractNumId w:val="4"/>
  </w:num>
  <w:num w:numId="36">
    <w:abstractNumId w:val="15"/>
  </w:num>
  <w:num w:numId="37">
    <w:abstractNumId w:val="35"/>
  </w:num>
  <w:num w:numId="38">
    <w:abstractNumId w:val="14"/>
  </w:num>
  <w:num w:numId="39">
    <w:abstractNumId w:val="2"/>
  </w:num>
  <w:num w:numId="40">
    <w:abstractNumId w:val="6"/>
  </w:num>
  <w:num w:numId="41">
    <w:abstractNumId w:val="3"/>
  </w:num>
  <w:num w:numId="42">
    <w:abstractNumId w:val="38"/>
  </w:num>
  <w:num w:numId="43">
    <w:abstractNumId w:val="25"/>
  </w:num>
  <w:num w:numId="44">
    <w:abstractNumId w:val="44"/>
  </w:num>
  <w:num w:numId="45">
    <w:abstractNumId w:val="26"/>
  </w:num>
  <w:num w:numId="46">
    <w:abstractNumId w:val="19"/>
  </w:num>
  <w:num w:numId="47">
    <w:abstractNumId w:val="46"/>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930F2"/>
    <w:rsid w:val="00002387"/>
    <w:rsid w:val="000057C9"/>
    <w:rsid w:val="00010B65"/>
    <w:rsid w:val="000176AE"/>
    <w:rsid w:val="0002039E"/>
    <w:rsid w:val="000215AD"/>
    <w:rsid w:val="00025418"/>
    <w:rsid w:val="00026279"/>
    <w:rsid w:val="000322BB"/>
    <w:rsid w:val="00032F75"/>
    <w:rsid w:val="00037578"/>
    <w:rsid w:val="00037B97"/>
    <w:rsid w:val="00040ADE"/>
    <w:rsid w:val="00040F6D"/>
    <w:rsid w:val="00042EAD"/>
    <w:rsid w:val="000438CA"/>
    <w:rsid w:val="00045F6D"/>
    <w:rsid w:val="00046EA3"/>
    <w:rsid w:val="0004717D"/>
    <w:rsid w:val="00047D0D"/>
    <w:rsid w:val="000507AA"/>
    <w:rsid w:val="000536BF"/>
    <w:rsid w:val="000557D8"/>
    <w:rsid w:val="00055B73"/>
    <w:rsid w:val="00061B22"/>
    <w:rsid w:val="00061EC9"/>
    <w:rsid w:val="0006249E"/>
    <w:rsid w:val="0006339E"/>
    <w:rsid w:val="00064451"/>
    <w:rsid w:val="0006683A"/>
    <w:rsid w:val="00066EE5"/>
    <w:rsid w:val="00067EB8"/>
    <w:rsid w:val="00070243"/>
    <w:rsid w:val="000751FD"/>
    <w:rsid w:val="00075B75"/>
    <w:rsid w:val="000779DD"/>
    <w:rsid w:val="00081271"/>
    <w:rsid w:val="00081C89"/>
    <w:rsid w:val="00083569"/>
    <w:rsid w:val="000907E4"/>
    <w:rsid w:val="00092FB9"/>
    <w:rsid w:val="00094378"/>
    <w:rsid w:val="00094A40"/>
    <w:rsid w:val="000A2105"/>
    <w:rsid w:val="000A21BC"/>
    <w:rsid w:val="000A2295"/>
    <w:rsid w:val="000A22EE"/>
    <w:rsid w:val="000B39A7"/>
    <w:rsid w:val="000B5187"/>
    <w:rsid w:val="000B6533"/>
    <w:rsid w:val="000B6A25"/>
    <w:rsid w:val="000B7A63"/>
    <w:rsid w:val="000B7DF2"/>
    <w:rsid w:val="000C2A4F"/>
    <w:rsid w:val="000C3627"/>
    <w:rsid w:val="000C6175"/>
    <w:rsid w:val="000C65C5"/>
    <w:rsid w:val="000C67A3"/>
    <w:rsid w:val="000C6DF8"/>
    <w:rsid w:val="000C7631"/>
    <w:rsid w:val="000D0903"/>
    <w:rsid w:val="000D47B0"/>
    <w:rsid w:val="000D6924"/>
    <w:rsid w:val="000E050B"/>
    <w:rsid w:val="000E25DB"/>
    <w:rsid w:val="000E2E64"/>
    <w:rsid w:val="000E5618"/>
    <w:rsid w:val="000F0C1E"/>
    <w:rsid w:val="000F38A9"/>
    <w:rsid w:val="000F6040"/>
    <w:rsid w:val="000F61C2"/>
    <w:rsid w:val="000F63A2"/>
    <w:rsid w:val="00103122"/>
    <w:rsid w:val="00103F08"/>
    <w:rsid w:val="00104DC0"/>
    <w:rsid w:val="0010537E"/>
    <w:rsid w:val="00105D88"/>
    <w:rsid w:val="0010742B"/>
    <w:rsid w:val="00111341"/>
    <w:rsid w:val="00111B8B"/>
    <w:rsid w:val="0011630A"/>
    <w:rsid w:val="001229A9"/>
    <w:rsid w:val="00125522"/>
    <w:rsid w:val="001279BF"/>
    <w:rsid w:val="00127F35"/>
    <w:rsid w:val="00132614"/>
    <w:rsid w:val="00132739"/>
    <w:rsid w:val="00132A86"/>
    <w:rsid w:val="001368D1"/>
    <w:rsid w:val="00140144"/>
    <w:rsid w:val="0014255E"/>
    <w:rsid w:val="0014314D"/>
    <w:rsid w:val="00143F35"/>
    <w:rsid w:val="00150F7D"/>
    <w:rsid w:val="0015127C"/>
    <w:rsid w:val="001523EF"/>
    <w:rsid w:val="00152AC4"/>
    <w:rsid w:val="00154F1A"/>
    <w:rsid w:val="00156194"/>
    <w:rsid w:val="00156BC2"/>
    <w:rsid w:val="001573E8"/>
    <w:rsid w:val="00160BA2"/>
    <w:rsid w:val="00164178"/>
    <w:rsid w:val="00164DB5"/>
    <w:rsid w:val="0016601E"/>
    <w:rsid w:val="0016622D"/>
    <w:rsid w:val="00166E78"/>
    <w:rsid w:val="001670DD"/>
    <w:rsid w:val="00167262"/>
    <w:rsid w:val="0016775F"/>
    <w:rsid w:val="001701A5"/>
    <w:rsid w:val="00170C4C"/>
    <w:rsid w:val="00173DFF"/>
    <w:rsid w:val="001755DB"/>
    <w:rsid w:val="001825DC"/>
    <w:rsid w:val="00183420"/>
    <w:rsid w:val="00190A3C"/>
    <w:rsid w:val="001943B5"/>
    <w:rsid w:val="001948C3"/>
    <w:rsid w:val="001A36A6"/>
    <w:rsid w:val="001A6832"/>
    <w:rsid w:val="001B0886"/>
    <w:rsid w:val="001B2188"/>
    <w:rsid w:val="001B272C"/>
    <w:rsid w:val="001B2C24"/>
    <w:rsid w:val="001B5096"/>
    <w:rsid w:val="001B699C"/>
    <w:rsid w:val="001C074B"/>
    <w:rsid w:val="001C1C38"/>
    <w:rsid w:val="001C3956"/>
    <w:rsid w:val="001C57F3"/>
    <w:rsid w:val="001D13FC"/>
    <w:rsid w:val="001D5BF5"/>
    <w:rsid w:val="001D6BA7"/>
    <w:rsid w:val="001E091D"/>
    <w:rsid w:val="001E26CB"/>
    <w:rsid w:val="001E35C7"/>
    <w:rsid w:val="001E4859"/>
    <w:rsid w:val="001E711D"/>
    <w:rsid w:val="001E76DB"/>
    <w:rsid w:val="001F40CF"/>
    <w:rsid w:val="001F5D1A"/>
    <w:rsid w:val="001F64EC"/>
    <w:rsid w:val="00201367"/>
    <w:rsid w:val="00204F06"/>
    <w:rsid w:val="002069CB"/>
    <w:rsid w:val="00207A55"/>
    <w:rsid w:val="002109DC"/>
    <w:rsid w:val="002121E5"/>
    <w:rsid w:val="00212C08"/>
    <w:rsid w:val="00213E1F"/>
    <w:rsid w:val="00214350"/>
    <w:rsid w:val="002158E9"/>
    <w:rsid w:val="002167E8"/>
    <w:rsid w:val="002234F9"/>
    <w:rsid w:val="0022438D"/>
    <w:rsid w:val="00226104"/>
    <w:rsid w:val="00227F6D"/>
    <w:rsid w:val="00231210"/>
    <w:rsid w:val="002433EB"/>
    <w:rsid w:val="002461A0"/>
    <w:rsid w:val="00251F64"/>
    <w:rsid w:val="00253029"/>
    <w:rsid w:val="0025598A"/>
    <w:rsid w:val="00260D14"/>
    <w:rsid w:val="002643BF"/>
    <w:rsid w:val="00267B4E"/>
    <w:rsid w:val="002728DF"/>
    <w:rsid w:val="002808E5"/>
    <w:rsid w:val="00282BC6"/>
    <w:rsid w:val="002855B2"/>
    <w:rsid w:val="002859E4"/>
    <w:rsid w:val="00287D48"/>
    <w:rsid w:val="00290873"/>
    <w:rsid w:val="002912DF"/>
    <w:rsid w:val="002925AF"/>
    <w:rsid w:val="00294394"/>
    <w:rsid w:val="00297CC0"/>
    <w:rsid w:val="002A0B6B"/>
    <w:rsid w:val="002A69E3"/>
    <w:rsid w:val="002A6BFA"/>
    <w:rsid w:val="002A7570"/>
    <w:rsid w:val="002B02E9"/>
    <w:rsid w:val="002B224D"/>
    <w:rsid w:val="002B5630"/>
    <w:rsid w:val="002B7570"/>
    <w:rsid w:val="002C1C1E"/>
    <w:rsid w:val="002C26C7"/>
    <w:rsid w:val="002C4A2E"/>
    <w:rsid w:val="002C5E69"/>
    <w:rsid w:val="002C617B"/>
    <w:rsid w:val="002C65AA"/>
    <w:rsid w:val="002D34F4"/>
    <w:rsid w:val="002D5EE0"/>
    <w:rsid w:val="002D7C13"/>
    <w:rsid w:val="002E255E"/>
    <w:rsid w:val="002E3B53"/>
    <w:rsid w:val="002E4200"/>
    <w:rsid w:val="002E55D0"/>
    <w:rsid w:val="002E5654"/>
    <w:rsid w:val="002F0AE3"/>
    <w:rsid w:val="002F0CAA"/>
    <w:rsid w:val="002F0DC4"/>
    <w:rsid w:val="002F4452"/>
    <w:rsid w:val="002F7A6F"/>
    <w:rsid w:val="00304CF1"/>
    <w:rsid w:val="00304E31"/>
    <w:rsid w:val="003058FB"/>
    <w:rsid w:val="003073CA"/>
    <w:rsid w:val="00313DFC"/>
    <w:rsid w:val="003163A4"/>
    <w:rsid w:val="00325263"/>
    <w:rsid w:val="003257E0"/>
    <w:rsid w:val="003279F5"/>
    <w:rsid w:val="00327CF1"/>
    <w:rsid w:val="00333018"/>
    <w:rsid w:val="00334A0A"/>
    <w:rsid w:val="00336B6D"/>
    <w:rsid w:val="00342EAA"/>
    <w:rsid w:val="0034404C"/>
    <w:rsid w:val="003465EF"/>
    <w:rsid w:val="003472BA"/>
    <w:rsid w:val="00347B59"/>
    <w:rsid w:val="00350F35"/>
    <w:rsid w:val="00353B30"/>
    <w:rsid w:val="00353DBB"/>
    <w:rsid w:val="0035699B"/>
    <w:rsid w:val="003570FE"/>
    <w:rsid w:val="00360700"/>
    <w:rsid w:val="00363AB6"/>
    <w:rsid w:val="0036493D"/>
    <w:rsid w:val="00370620"/>
    <w:rsid w:val="00371DFA"/>
    <w:rsid w:val="00371FC0"/>
    <w:rsid w:val="003726F1"/>
    <w:rsid w:val="00373074"/>
    <w:rsid w:val="00374E9D"/>
    <w:rsid w:val="00375832"/>
    <w:rsid w:val="003766E4"/>
    <w:rsid w:val="00380F71"/>
    <w:rsid w:val="003814C8"/>
    <w:rsid w:val="00383758"/>
    <w:rsid w:val="003871A9"/>
    <w:rsid w:val="00393FDE"/>
    <w:rsid w:val="00394CBA"/>
    <w:rsid w:val="00395305"/>
    <w:rsid w:val="00397852"/>
    <w:rsid w:val="003A17E3"/>
    <w:rsid w:val="003A492F"/>
    <w:rsid w:val="003B6B6D"/>
    <w:rsid w:val="003B799C"/>
    <w:rsid w:val="003C065A"/>
    <w:rsid w:val="003C0D8D"/>
    <w:rsid w:val="003C1626"/>
    <w:rsid w:val="003C63B4"/>
    <w:rsid w:val="003D0F75"/>
    <w:rsid w:val="003D3DA1"/>
    <w:rsid w:val="003D3F2D"/>
    <w:rsid w:val="003D552B"/>
    <w:rsid w:val="003D6945"/>
    <w:rsid w:val="003D72EE"/>
    <w:rsid w:val="003E06A7"/>
    <w:rsid w:val="003E2003"/>
    <w:rsid w:val="003E7BF3"/>
    <w:rsid w:val="003E7CDB"/>
    <w:rsid w:val="003F1F18"/>
    <w:rsid w:val="00401F10"/>
    <w:rsid w:val="00404FBE"/>
    <w:rsid w:val="00405298"/>
    <w:rsid w:val="00407A16"/>
    <w:rsid w:val="00407B4A"/>
    <w:rsid w:val="00410EFB"/>
    <w:rsid w:val="00411519"/>
    <w:rsid w:val="00415693"/>
    <w:rsid w:val="00415C11"/>
    <w:rsid w:val="00426FF6"/>
    <w:rsid w:val="004273C3"/>
    <w:rsid w:val="004309B1"/>
    <w:rsid w:val="00431B7C"/>
    <w:rsid w:val="004321A4"/>
    <w:rsid w:val="004322BE"/>
    <w:rsid w:val="0043250F"/>
    <w:rsid w:val="004356DB"/>
    <w:rsid w:val="004358C6"/>
    <w:rsid w:val="0043710C"/>
    <w:rsid w:val="0043739D"/>
    <w:rsid w:val="00444EEC"/>
    <w:rsid w:val="004470FD"/>
    <w:rsid w:val="00447204"/>
    <w:rsid w:val="00450522"/>
    <w:rsid w:val="004548C1"/>
    <w:rsid w:val="004559A3"/>
    <w:rsid w:val="00455A51"/>
    <w:rsid w:val="00457DBB"/>
    <w:rsid w:val="0046344D"/>
    <w:rsid w:val="004648C7"/>
    <w:rsid w:val="00464DF0"/>
    <w:rsid w:val="004678B3"/>
    <w:rsid w:val="00467B8D"/>
    <w:rsid w:val="00471199"/>
    <w:rsid w:val="0047124B"/>
    <w:rsid w:val="0047227B"/>
    <w:rsid w:val="00473837"/>
    <w:rsid w:val="0047401D"/>
    <w:rsid w:val="0047512C"/>
    <w:rsid w:val="00476F2D"/>
    <w:rsid w:val="004801A0"/>
    <w:rsid w:val="00481DA6"/>
    <w:rsid w:val="00486810"/>
    <w:rsid w:val="0049015F"/>
    <w:rsid w:val="004943BC"/>
    <w:rsid w:val="0049467B"/>
    <w:rsid w:val="004955ED"/>
    <w:rsid w:val="00495B3B"/>
    <w:rsid w:val="004A35F1"/>
    <w:rsid w:val="004A4736"/>
    <w:rsid w:val="004A4EFD"/>
    <w:rsid w:val="004A523D"/>
    <w:rsid w:val="004B414D"/>
    <w:rsid w:val="004B459A"/>
    <w:rsid w:val="004B5A9B"/>
    <w:rsid w:val="004B6014"/>
    <w:rsid w:val="004B7376"/>
    <w:rsid w:val="004C170B"/>
    <w:rsid w:val="004C1FF1"/>
    <w:rsid w:val="004C2D65"/>
    <w:rsid w:val="004D187E"/>
    <w:rsid w:val="004D499B"/>
    <w:rsid w:val="004D4D6F"/>
    <w:rsid w:val="004D72E4"/>
    <w:rsid w:val="004E0433"/>
    <w:rsid w:val="004E1B14"/>
    <w:rsid w:val="004E2A07"/>
    <w:rsid w:val="004E559B"/>
    <w:rsid w:val="004F00F1"/>
    <w:rsid w:val="004F27E1"/>
    <w:rsid w:val="004F710F"/>
    <w:rsid w:val="00501479"/>
    <w:rsid w:val="005039E7"/>
    <w:rsid w:val="00503CBA"/>
    <w:rsid w:val="00504FD7"/>
    <w:rsid w:val="00505830"/>
    <w:rsid w:val="00506C49"/>
    <w:rsid w:val="00510145"/>
    <w:rsid w:val="00510275"/>
    <w:rsid w:val="0051645C"/>
    <w:rsid w:val="00520880"/>
    <w:rsid w:val="0052100E"/>
    <w:rsid w:val="00521D0D"/>
    <w:rsid w:val="005223B7"/>
    <w:rsid w:val="0052634C"/>
    <w:rsid w:val="005263FF"/>
    <w:rsid w:val="0052678B"/>
    <w:rsid w:val="00527891"/>
    <w:rsid w:val="0052794E"/>
    <w:rsid w:val="0053192B"/>
    <w:rsid w:val="005324F5"/>
    <w:rsid w:val="00532544"/>
    <w:rsid w:val="005343D2"/>
    <w:rsid w:val="0053544D"/>
    <w:rsid w:val="00536DDD"/>
    <w:rsid w:val="00537145"/>
    <w:rsid w:val="0054015A"/>
    <w:rsid w:val="00541B7E"/>
    <w:rsid w:val="0054293E"/>
    <w:rsid w:val="0054310E"/>
    <w:rsid w:val="005432DE"/>
    <w:rsid w:val="005436B6"/>
    <w:rsid w:val="00544584"/>
    <w:rsid w:val="00546117"/>
    <w:rsid w:val="005467DF"/>
    <w:rsid w:val="005477F7"/>
    <w:rsid w:val="00547B7A"/>
    <w:rsid w:val="005518D4"/>
    <w:rsid w:val="00554929"/>
    <w:rsid w:val="00555ABD"/>
    <w:rsid w:val="00555CEB"/>
    <w:rsid w:val="00555FA3"/>
    <w:rsid w:val="00556C1A"/>
    <w:rsid w:val="00556C21"/>
    <w:rsid w:val="005617D1"/>
    <w:rsid w:val="00562A11"/>
    <w:rsid w:val="00563671"/>
    <w:rsid w:val="0056396C"/>
    <w:rsid w:val="0056406D"/>
    <w:rsid w:val="00566F2E"/>
    <w:rsid w:val="00570770"/>
    <w:rsid w:val="00571E96"/>
    <w:rsid w:val="00573D96"/>
    <w:rsid w:val="005746F2"/>
    <w:rsid w:val="00574EA4"/>
    <w:rsid w:val="00577AF1"/>
    <w:rsid w:val="00584AB7"/>
    <w:rsid w:val="00590DB8"/>
    <w:rsid w:val="005913E2"/>
    <w:rsid w:val="00592C2D"/>
    <w:rsid w:val="00593E47"/>
    <w:rsid w:val="00594BAA"/>
    <w:rsid w:val="005958E0"/>
    <w:rsid w:val="00596DA2"/>
    <w:rsid w:val="00597F55"/>
    <w:rsid w:val="005A24E0"/>
    <w:rsid w:val="005A7117"/>
    <w:rsid w:val="005A7B5A"/>
    <w:rsid w:val="005B1594"/>
    <w:rsid w:val="005B26F2"/>
    <w:rsid w:val="005B6991"/>
    <w:rsid w:val="005B79DC"/>
    <w:rsid w:val="005C044F"/>
    <w:rsid w:val="005C2FC5"/>
    <w:rsid w:val="005C4289"/>
    <w:rsid w:val="005C6985"/>
    <w:rsid w:val="005C7155"/>
    <w:rsid w:val="005D2E9C"/>
    <w:rsid w:val="005D3379"/>
    <w:rsid w:val="005D39EA"/>
    <w:rsid w:val="005D7266"/>
    <w:rsid w:val="005D77F1"/>
    <w:rsid w:val="005D7B39"/>
    <w:rsid w:val="005E0663"/>
    <w:rsid w:val="005E0E9F"/>
    <w:rsid w:val="005E5C63"/>
    <w:rsid w:val="005E5D5A"/>
    <w:rsid w:val="005E60B0"/>
    <w:rsid w:val="005F0433"/>
    <w:rsid w:val="005F177C"/>
    <w:rsid w:val="005F4F1E"/>
    <w:rsid w:val="006023C0"/>
    <w:rsid w:val="0060393B"/>
    <w:rsid w:val="00607B4E"/>
    <w:rsid w:val="006108D8"/>
    <w:rsid w:val="00611371"/>
    <w:rsid w:val="0061183C"/>
    <w:rsid w:val="00612092"/>
    <w:rsid w:val="00612134"/>
    <w:rsid w:val="00617A3F"/>
    <w:rsid w:val="006200AC"/>
    <w:rsid w:val="006206ED"/>
    <w:rsid w:val="006233B2"/>
    <w:rsid w:val="00626448"/>
    <w:rsid w:val="00626B99"/>
    <w:rsid w:val="00632C01"/>
    <w:rsid w:val="00633178"/>
    <w:rsid w:val="006336A6"/>
    <w:rsid w:val="00633BAF"/>
    <w:rsid w:val="0063437C"/>
    <w:rsid w:val="00635E63"/>
    <w:rsid w:val="00636824"/>
    <w:rsid w:val="00636F64"/>
    <w:rsid w:val="00637318"/>
    <w:rsid w:val="00637891"/>
    <w:rsid w:val="00637BA8"/>
    <w:rsid w:val="00640149"/>
    <w:rsid w:val="00644C96"/>
    <w:rsid w:val="00645311"/>
    <w:rsid w:val="006520DF"/>
    <w:rsid w:val="00653252"/>
    <w:rsid w:val="006535D4"/>
    <w:rsid w:val="00654CFB"/>
    <w:rsid w:val="006574A6"/>
    <w:rsid w:val="00660830"/>
    <w:rsid w:val="00661329"/>
    <w:rsid w:val="0066381F"/>
    <w:rsid w:val="00663E3C"/>
    <w:rsid w:val="0066490C"/>
    <w:rsid w:val="00671E03"/>
    <w:rsid w:val="0067703E"/>
    <w:rsid w:val="0067720D"/>
    <w:rsid w:val="00677C7E"/>
    <w:rsid w:val="00680B6F"/>
    <w:rsid w:val="0068555D"/>
    <w:rsid w:val="006863C8"/>
    <w:rsid w:val="00687EBD"/>
    <w:rsid w:val="0069064B"/>
    <w:rsid w:val="00693DFC"/>
    <w:rsid w:val="0069543A"/>
    <w:rsid w:val="006A1A7D"/>
    <w:rsid w:val="006A1D3B"/>
    <w:rsid w:val="006A237E"/>
    <w:rsid w:val="006A3802"/>
    <w:rsid w:val="006A404C"/>
    <w:rsid w:val="006A4556"/>
    <w:rsid w:val="006A67A3"/>
    <w:rsid w:val="006B3E24"/>
    <w:rsid w:val="006B5DFF"/>
    <w:rsid w:val="006B6031"/>
    <w:rsid w:val="006B6A8E"/>
    <w:rsid w:val="006C1135"/>
    <w:rsid w:val="006C19BD"/>
    <w:rsid w:val="006C2112"/>
    <w:rsid w:val="006C3362"/>
    <w:rsid w:val="006C36AA"/>
    <w:rsid w:val="006C39DA"/>
    <w:rsid w:val="006C4ED0"/>
    <w:rsid w:val="006C542E"/>
    <w:rsid w:val="006C67C2"/>
    <w:rsid w:val="006D0371"/>
    <w:rsid w:val="006D3319"/>
    <w:rsid w:val="006D4980"/>
    <w:rsid w:val="006D57C1"/>
    <w:rsid w:val="006D77D7"/>
    <w:rsid w:val="006D79A4"/>
    <w:rsid w:val="006E059E"/>
    <w:rsid w:val="006E46C5"/>
    <w:rsid w:val="006F0EF4"/>
    <w:rsid w:val="006F1BF9"/>
    <w:rsid w:val="006F234D"/>
    <w:rsid w:val="006F274B"/>
    <w:rsid w:val="006F5034"/>
    <w:rsid w:val="006F61F5"/>
    <w:rsid w:val="00711BDE"/>
    <w:rsid w:val="00714070"/>
    <w:rsid w:val="007168AA"/>
    <w:rsid w:val="00717B89"/>
    <w:rsid w:val="00723005"/>
    <w:rsid w:val="00740ACF"/>
    <w:rsid w:val="00746EEA"/>
    <w:rsid w:val="00753BC3"/>
    <w:rsid w:val="00754554"/>
    <w:rsid w:val="00756AFA"/>
    <w:rsid w:val="00757025"/>
    <w:rsid w:val="00761AC0"/>
    <w:rsid w:val="00761BE2"/>
    <w:rsid w:val="007623FF"/>
    <w:rsid w:val="0076243A"/>
    <w:rsid w:val="007630A4"/>
    <w:rsid w:val="00763557"/>
    <w:rsid w:val="00763636"/>
    <w:rsid w:val="007644D1"/>
    <w:rsid w:val="0077232F"/>
    <w:rsid w:val="00773002"/>
    <w:rsid w:val="007917D8"/>
    <w:rsid w:val="00794BCF"/>
    <w:rsid w:val="0079559C"/>
    <w:rsid w:val="0079664F"/>
    <w:rsid w:val="00797095"/>
    <w:rsid w:val="00797442"/>
    <w:rsid w:val="007974C0"/>
    <w:rsid w:val="007A20C9"/>
    <w:rsid w:val="007B3651"/>
    <w:rsid w:val="007B40E0"/>
    <w:rsid w:val="007B545F"/>
    <w:rsid w:val="007B6529"/>
    <w:rsid w:val="007C20CA"/>
    <w:rsid w:val="007C6446"/>
    <w:rsid w:val="007C6D50"/>
    <w:rsid w:val="007C7278"/>
    <w:rsid w:val="007D3321"/>
    <w:rsid w:val="007D3635"/>
    <w:rsid w:val="007D423B"/>
    <w:rsid w:val="007D4E39"/>
    <w:rsid w:val="007D4E47"/>
    <w:rsid w:val="007D58E3"/>
    <w:rsid w:val="007D6DDF"/>
    <w:rsid w:val="007E51FA"/>
    <w:rsid w:val="007E6F03"/>
    <w:rsid w:val="007F0649"/>
    <w:rsid w:val="007F55E0"/>
    <w:rsid w:val="007F61A7"/>
    <w:rsid w:val="007F6468"/>
    <w:rsid w:val="00801226"/>
    <w:rsid w:val="00805BF4"/>
    <w:rsid w:val="008065DA"/>
    <w:rsid w:val="00810A85"/>
    <w:rsid w:val="00812314"/>
    <w:rsid w:val="00814B1E"/>
    <w:rsid w:val="00822168"/>
    <w:rsid w:val="0082306F"/>
    <w:rsid w:val="00824749"/>
    <w:rsid w:val="0083107C"/>
    <w:rsid w:val="00831601"/>
    <w:rsid w:val="00832DB0"/>
    <w:rsid w:val="00833283"/>
    <w:rsid w:val="00836F59"/>
    <w:rsid w:val="008370A1"/>
    <w:rsid w:val="00840A99"/>
    <w:rsid w:val="00841169"/>
    <w:rsid w:val="00841596"/>
    <w:rsid w:val="0084269C"/>
    <w:rsid w:val="008438C2"/>
    <w:rsid w:val="00846D5E"/>
    <w:rsid w:val="00855D26"/>
    <w:rsid w:val="008560DC"/>
    <w:rsid w:val="00857D67"/>
    <w:rsid w:val="00861ABE"/>
    <w:rsid w:val="008624D3"/>
    <w:rsid w:val="00862894"/>
    <w:rsid w:val="0086329B"/>
    <w:rsid w:val="00865BB6"/>
    <w:rsid w:val="0086727D"/>
    <w:rsid w:val="00872150"/>
    <w:rsid w:val="00873031"/>
    <w:rsid w:val="00873437"/>
    <w:rsid w:val="00874066"/>
    <w:rsid w:val="00874DED"/>
    <w:rsid w:val="008757FB"/>
    <w:rsid w:val="00876D81"/>
    <w:rsid w:val="008826E3"/>
    <w:rsid w:val="008857C3"/>
    <w:rsid w:val="00885959"/>
    <w:rsid w:val="00885A80"/>
    <w:rsid w:val="00886C27"/>
    <w:rsid w:val="00887219"/>
    <w:rsid w:val="008877A2"/>
    <w:rsid w:val="00892FC2"/>
    <w:rsid w:val="00893736"/>
    <w:rsid w:val="008944C3"/>
    <w:rsid w:val="0089775D"/>
    <w:rsid w:val="008977E1"/>
    <w:rsid w:val="00897E68"/>
    <w:rsid w:val="008A2CBD"/>
    <w:rsid w:val="008A3A97"/>
    <w:rsid w:val="008A4B96"/>
    <w:rsid w:val="008A4F3E"/>
    <w:rsid w:val="008A563B"/>
    <w:rsid w:val="008A6FA5"/>
    <w:rsid w:val="008B5698"/>
    <w:rsid w:val="008B7705"/>
    <w:rsid w:val="008B78AB"/>
    <w:rsid w:val="008C0ACA"/>
    <w:rsid w:val="008C5545"/>
    <w:rsid w:val="008C5790"/>
    <w:rsid w:val="008C7B88"/>
    <w:rsid w:val="008D0948"/>
    <w:rsid w:val="008D0A06"/>
    <w:rsid w:val="008D2C07"/>
    <w:rsid w:val="008D3080"/>
    <w:rsid w:val="008D5F0E"/>
    <w:rsid w:val="008D6909"/>
    <w:rsid w:val="008E0DC2"/>
    <w:rsid w:val="008E155E"/>
    <w:rsid w:val="008E2032"/>
    <w:rsid w:val="008E6545"/>
    <w:rsid w:val="008E6967"/>
    <w:rsid w:val="008F13C1"/>
    <w:rsid w:val="008F16B0"/>
    <w:rsid w:val="008F1B1E"/>
    <w:rsid w:val="008F2F54"/>
    <w:rsid w:val="008F3C30"/>
    <w:rsid w:val="009000AE"/>
    <w:rsid w:val="00903D52"/>
    <w:rsid w:val="00903F7D"/>
    <w:rsid w:val="00904D33"/>
    <w:rsid w:val="00905215"/>
    <w:rsid w:val="00906871"/>
    <w:rsid w:val="009116B6"/>
    <w:rsid w:val="00913A00"/>
    <w:rsid w:val="00922843"/>
    <w:rsid w:val="00923D72"/>
    <w:rsid w:val="00924AA5"/>
    <w:rsid w:val="00925AEF"/>
    <w:rsid w:val="00925FC4"/>
    <w:rsid w:val="0093149F"/>
    <w:rsid w:val="00931EB4"/>
    <w:rsid w:val="00932428"/>
    <w:rsid w:val="009365FD"/>
    <w:rsid w:val="00940293"/>
    <w:rsid w:val="009412CC"/>
    <w:rsid w:val="00941EAC"/>
    <w:rsid w:val="0094269F"/>
    <w:rsid w:val="0094292B"/>
    <w:rsid w:val="00944F2C"/>
    <w:rsid w:val="00951721"/>
    <w:rsid w:val="00952EFD"/>
    <w:rsid w:val="009533E2"/>
    <w:rsid w:val="00954049"/>
    <w:rsid w:val="00955EF5"/>
    <w:rsid w:val="00957399"/>
    <w:rsid w:val="0096550D"/>
    <w:rsid w:val="00966703"/>
    <w:rsid w:val="00970896"/>
    <w:rsid w:val="009751A7"/>
    <w:rsid w:val="00976247"/>
    <w:rsid w:val="00980051"/>
    <w:rsid w:val="009807D3"/>
    <w:rsid w:val="00981AA8"/>
    <w:rsid w:val="00981BEB"/>
    <w:rsid w:val="00981D31"/>
    <w:rsid w:val="00990183"/>
    <w:rsid w:val="0099042C"/>
    <w:rsid w:val="00990B1B"/>
    <w:rsid w:val="009921F8"/>
    <w:rsid w:val="0099328F"/>
    <w:rsid w:val="009974B7"/>
    <w:rsid w:val="009A1A6F"/>
    <w:rsid w:val="009A3A8A"/>
    <w:rsid w:val="009A4531"/>
    <w:rsid w:val="009A4F54"/>
    <w:rsid w:val="009A5401"/>
    <w:rsid w:val="009B0428"/>
    <w:rsid w:val="009B1072"/>
    <w:rsid w:val="009B10A4"/>
    <w:rsid w:val="009B3ED9"/>
    <w:rsid w:val="009B68B7"/>
    <w:rsid w:val="009C2A27"/>
    <w:rsid w:val="009C2D0C"/>
    <w:rsid w:val="009C6019"/>
    <w:rsid w:val="009C698A"/>
    <w:rsid w:val="009C7476"/>
    <w:rsid w:val="009D0104"/>
    <w:rsid w:val="009D1D88"/>
    <w:rsid w:val="009D29E6"/>
    <w:rsid w:val="009D37DC"/>
    <w:rsid w:val="009E1064"/>
    <w:rsid w:val="009E16EB"/>
    <w:rsid w:val="009E2B27"/>
    <w:rsid w:val="009E4415"/>
    <w:rsid w:val="009E7EBF"/>
    <w:rsid w:val="009E7EF9"/>
    <w:rsid w:val="009F07A5"/>
    <w:rsid w:val="009F2697"/>
    <w:rsid w:val="009F4C01"/>
    <w:rsid w:val="009F6E47"/>
    <w:rsid w:val="00A003DB"/>
    <w:rsid w:val="00A048FF"/>
    <w:rsid w:val="00A04D3E"/>
    <w:rsid w:val="00A132D6"/>
    <w:rsid w:val="00A13FCE"/>
    <w:rsid w:val="00A14738"/>
    <w:rsid w:val="00A15623"/>
    <w:rsid w:val="00A16774"/>
    <w:rsid w:val="00A179B0"/>
    <w:rsid w:val="00A201BB"/>
    <w:rsid w:val="00A2080E"/>
    <w:rsid w:val="00A21DCD"/>
    <w:rsid w:val="00A26929"/>
    <w:rsid w:val="00A27F81"/>
    <w:rsid w:val="00A340BC"/>
    <w:rsid w:val="00A34265"/>
    <w:rsid w:val="00A3526A"/>
    <w:rsid w:val="00A37216"/>
    <w:rsid w:val="00A4072D"/>
    <w:rsid w:val="00A419D2"/>
    <w:rsid w:val="00A41FA5"/>
    <w:rsid w:val="00A425F7"/>
    <w:rsid w:val="00A43091"/>
    <w:rsid w:val="00A47846"/>
    <w:rsid w:val="00A5045A"/>
    <w:rsid w:val="00A51E8B"/>
    <w:rsid w:val="00A52ABB"/>
    <w:rsid w:val="00A535AF"/>
    <w:rsid w:val="00A57400"/>
    <w:rsid w:val="00A60168"/>
    <w:rsid w:val="00A61AC1"/>
    <w:rsid w:val="00A624BB"/>
    <w:rsid w:val="00A63448"/>
    <w:rsid w:val="00A64CA0"/>
    <w:rsid w:val="00A64E91"/>
    <w:rsid w:val="00A67154"/>
    <w:rsid w:val="00A672D3"/>
    <w:rsid w:val="00A71448"/>
    <w:rsid w:val="00A72ADD"/>
    <w:rsid w:val="00A72FD9"/>
    <w:rsid w:val="00A750EC"/>
    <w:rsid w:val="00A76E0C"/>
    <w:rsid w:val="00A81CF4"/>
    <w:rsid w:val="00A82772"/>
    <w:rsid w:val="00A835C0"/>
    <w:rsid w:val="00A8433E"/>
    <w:rsid w:val="00A87939"/>
    <w:rsid w:val="00A90929"/>
    <w:rsid w:val="00A94D8B"/>
    <w:rsid w:val="00AA13FA"/>
    <w:rsid w:val="00AA2134"/>
    <w:rsid w:val="00AA34E5"/>
    <w:rsid w:val="00AA3BA2"/>
    <w:rsid w:val="00AA4947"/>
    <w:rsid w:val="00AA508F"/>
    <w:rsid w:val="00AA5A01"/>
    <w:rsid w:val="00AA5B6B"/>
    <w:rsid w:val="00AA64DE"/>
    <w:rsid w:val="00AA6D9A"/>
    <w:rsid w:val="00AA72B9"/>
    <w:rsid w:val="00AA7FA4"/>
    <w:rsid w:val="00AB15B2"/>
    <w:rsid w:val="00AB15FB"/>
    <w:rsid w:val="00AB1658"/>
    <w:rsid w:val="00AB19C8"/>
    <w:rsid w:val="00AB5457"/>
    <w:rsid w:val="00AB610F"/>
    <w:rsid w:val="00AB768D"/>
    <w:rsid w:val="00AB7FE4"/>
    <w:rsid w:val="00AC240B"/>
    <w:rsid w:val="00AC38FD"/>
    <w:rsid w:val="00AC4307"/>
    <w:rsid w:val="00AC58BD"/>
    <w:rsid w:val="00AC5F7C"/>
    <w:rsid w:val="00AC7B6F"/>
    <w:rsid w:val="00AD0DD0"/>
    <w:rsid w:val="00AD3D9A"/>
    <w:rsid w:val="00AD500A"/>
    <w:rsid w:val="00AD630F"/>
    <w:rsid w:val="00AD705E"/>
    <w:rsid w:val="00AD7C0F"/>
    <w:rsid w:val="00AE1358"/>
    <w:rsid w:val="00AE3B5E"/>
    <w:rsid w:val="00AE54BD"/>
    <w:rsid w:val="00AE6190"/>
    <w:rsid w:val="00AF007D"/>
    <w:rsid w:val="00AF2187"/>
    <w:rsid w:val="00AF2C2F"/>
    <w:rsid w:val="00AF44FA"/>
    <w:rsid w:val="00AF633A"/>
    <w:rsid w:val="00B00D18"/>
    <w:rsid w:val="00B01584"/>
    <w:rsid w:val="00B026AA"/>
    <w:rsid w:val="00B056A8"/>
    <w:rsid w:val="00B07381"/>
    <w:rsid w:val="00B11385"/>
    <w:rsid w:val="00B13CEE"/>
    <w:rsid w:val="00B13F53"/>
    <w:rsid w:val="00B158F7"/>
    <w:rsid w:val="00B172B1"/>
    <w:rsid w:val="00B17DD8"/>
    <w:rsid w:val="00B2026D"/>
    <w:rsid w:val="00B20957"/>
    <w:rsid w:val="00B30425"/>
    <w:rsid w:val="00B31BE8"/>
    <w:rsid w:val="00B32576"/>
    <w:rsid w:val="00B32DBD"/>
    <w:rsid w:val="00B35908"/>
    <w:rsid w:val="00B36E9B"/>
    <w:rsid w:val="00B415A1"/>
    <w:rsid w:val="00B43B2D"/>
    <w:rsid w:val="00B472EF"/>
    <w:rsid w:val="00B503A6"/>
    <w:rsid w:val="00B52E10"/>
    <w:rsid w:val="00B52E7E"/>
    <w:rsid w:val="00B55013"/>
    <w:rsid w:val="00B55CA2"/>
    <w:rsid w:val="00B56904"/>
    <w:rsid w:val="00B610A5"/>
    <w:rsid w:val="00B63741"/>
    <w:rsid w:val="00B642EB"/>
    <w:rsid w:val="00B6641A"/>
    <w:rsid w:val="00B666A5"/>
    <w:rsid w:val="00B67552"/>
    <w:rsid w:val="00B676EF"/>
    <w:rsid w:val="00B72C29"/>
    <w:rsid w:val="00B7425E"/>
    <w:rsid w:val="00B81779"/>
    <w:rsid w:val="00B82ACB"/>
    <w:rsid w:val="00B832F1"/>
    <w:rsid w:val="00B841C5"/>
    <w:rsid w:val="00B84DF5"/>
    <w:rsid w:val="00B86086"/>
    <w:rsid w:val="00B879BD"/>
    <w:rsid w:val="00B9506A"/>
    <w:rsid w:val="00B95FF1"/>
    <w:rsid w:val="00B96874"/>
    <w:rsid w:val="00B96C18"/>
    <w:rsid w:val="00B97212"/>
    <w:rsid w:val="00BA1211"/>
    <w:rsid w:val="00BA1CDF"/>
    <w:rsid w:val="00BA42BE"/>
    <w:rsid w:val="00BA48FE"/>
    <w:rsid w:val="00BA6166"/>
    <w:rsid w:val="00BB0B7D"/>
    <w:rsid w:val="00BB398C"/>
    <w:rsid w:val="00BB42CD"/>
    <w:rsid w:val="00BB4FA1"/>
    <w:rsid w:val="00BC2821"/>
    <w:rsid w:val="00BC6E31"/>
    <w:rsid w:val="00BD1C85"/>
    <w:rsid w:val="00BD2D4B"/>
    <w:rsid w:val="00BD31D5"/>
    <w:rsid w:val="00BD42CB"/>
    <w:rsid w:val="00BD6955"/>
    <w:rsid w:val="00BD6F33"/>
    <w:rsid w:val="00BD7DC8"/>
    <w:rsid w:val="00BE23D1"/>
    <w:rsid w:val="00BE3043"/>
    <w:rsid w:val="00BE3FE5"/>
    <w:rsid w:val="00BE43A4"/>
    <w:rsid w:val="00BE4FE6"/>
    <w:rsid w:val="00BE566D"/>
    <w:rsid w:val="00BE7C30"/>
    <w:rsid w:val="00BF1B2D"/>
    <w:rsid w:val="00BF36A5"/>
    <w:rsid w:val="00C03B2F"/>
    <w:rsid w:val="00C03D39"/>
    <w:rsid w:val="00C0414F"/>
    <w:rsid w:val="00C07783"/>
    <w:rsid w:val="00C1046E"/>
    <w:rsid w:val="00C130FF"/>
    <w:rsid w:val="00C14A03"/>
    <w:rsid w:val="00C16720"/>
    <w:rsid w:val="00C17734"/>
    <w:rsid w:val="00C21A7D"/>
    <w:rsid w:val="00C235E0"/>
    <w:rsid w:val="00C24118"/>
    <w:rsid w:val="00C26742"/>
    <w:rsid w:val="00C27A34"/>
    <w:rsid w:val="00C31D1C"/>
    <w:rsid w:val="00C36C12"/>
    <w:rsid w:val="00C4202E"/>
    <w:rsid w:val="00C43021"/>
    <w:rsid w:val="00C4352B"/>
    <w:rsid w:val="00C44A56"/>
    <w:rsid w:val="00C4589C"/>
    <w:rsid w:val="00C45F38"/>
    <w:rsid w:val="00C464B0"/>
    <w:rsid w:val="00C4676E"/>
    <w:rsid w:val="00C4748F"/>
    <w:rsid w:val="00C47BDF"/>
    <w:rsid w:val="00C51735"/>
    <w:rsid w:val="00C52C63"/>
    <w:rsid w:val="00C54A7A"/>
    <w:rsid w:val="00C571A4"/>
    <w:rsid w:val="00C61413"/>
    <w:rsid w:val="00C63DC8"/>
    <w:rsid w:val="00C64396"/>
    <w:rsid w:val="00C64780"/>
    <w:rsid w:val="00C66AC2"/>
    <w:rsid w:val="00C73C0A"/>
    <w:rsid w:val="00C73E53"/>
    <w:rsid w:val="00C752FF"/>
    <w:rsid w:val="00C75FB8"/>
    <w:rsid w:val="00C77007"/>
    <w:rsid w:val="00C83C13"/>
    <w:rsid w:val="00C83CA2"/>
    <w:rsid w:val="00C84BF1"/>
    <w:rsid w:val="00C84CA0"/>
    <w:rsid w:val="00C87558"/>
    <w:rsid w:val="00C879B9"/>
    <w:rsid w:val="00C930F2"/>
    <w:rsid w:val="00C93291"/>
    <w:rsid w:val="00C9363E"/>
    <w:rsid w:val="00C95C93"/>
    <w:rsid w:val="00C95D05"/>
    <w:rsid w:val="00C96C17"/>
    <w:rsid w:val="00CA1C25"/>
    <w:rsid w:val="00CA6460"/>
    <w:rsid w:val="00CB1D35"/>
    <w:rsid w:val="00CB27B4"/>
    <w:rsid w:val="00CB3ADA"/>
    <w:rsid w:val="00CB651C"/>
    <w:rsid w:val="00CC340E"/>
    <w:rsid w:val="00CC533C"/>
    <w:rsid w:val="00CD1DC4"/>
    <w:rsid w:val="00CD6C08"/>
    <w:rsid w:val="00CD7040"/>
    <w:rsid w:val="00CE0762"/>
    <w:rsid w:val="00CE3F40"/>
    <w:rsid w:val="00CE4038"/>
    <w:rsid w:val="00CE422A"/>
    <w:rsid w:val="00CE47F1"/>
    <w:rsid w:val="00CE4BF1"/>
    <w:rsid w:val="00CE7AB8"/>
    <w:rsid w:val="00CF305B"/>
    <w:rsid w:val="00CF37B9"/>
    <w:rsid w:val="00CF3CED"/>
    <w:rsid w:val="00CF4A4E"/>
    <w:rsid w:val="00CF7E96"/>
    <w:rsid w:val="00D00940"/>
    <w:rsid w:val="00D01EAE"/>
    <w:rsid w:val="00D02744"/>
    <w:rsid w:val="00D036CD"/>
    <w:rsid w:val="00D04183"/>
    <w:rsid w:val="00D04A5B"/>
    <w:rsid w:val="00D04A6B"/>
    <w:rsid w:val="00D04C29"/>
    <w:rsid w:val="00D0664B"/>
    <w:rsid w:val="00D07357"/>
    <w:rsid w:val="00D104F1"/>
    <w:rsid w:val="00D176D9"/>
    <w:rsid w:val="00D207EB"/>
    <w:rsid w:val="00D213EC"/>
    <w:rsid w:val="00D239A3"/>
    <w:rsid w:val="00D2561B"/>
    <w:rsid w:val="00D2565F"/>
    <w:rsid w:val="00D3207D"/>
    <w:rsid w:val="00D32CA6"/>
    <w:rsid w:val="00D33358"/>
    <w:rsid w:val="00D333F2"/>
    <w:rsid w:val="00D340D9"/>
    <w:rsid w:val="00D35880"/>
    <w:rsid w:val="00D36975"/>
    <w:rsid w:val="00D3787B"/>
    <w:rsid w:val="00D40102"/>
    <w:rsid w:val="00D416F5"/>
    <w:rsid w:val="00D47C5A"/>
    <w:rsid w:val="00D50EA1"/>
    <w:rsid w:val="00D50F8F"/>
    <w:rsid w:val="00D5130C"/>
    <w:rsid w:val="00D6271F"/>
    <w:rsid w:val="00D64C3A"/>
    <w:rsid w:val="00D65689"/>
    <w:rsid w:val="00D65F81"/>
    <w:rsid w:val="00D65FEB"/>
    <w:rsid w:val="00D71367"/>
    <w:rsid w:val="00D735D1"/>
    <w:rsid w:val="00D74174"/>
    <w:rsid w:val="00D768F0"/>
    <w:rsid w:val="00D80BB6"/>
    <w:rsid w:val="00D80C77"/>
    <w:rsid w:val="00D81291"/>
    <w:rsid w:val="00D82946"/>
    <w:rsid w:val="00D8347A"/>
    <w:rsid w:val="00D83770"/>
    <w:rsid w:val="00D859A4"/>
    <w:rsid w:val="00D85B80"/>
    <w:rsid w:val="00D908E4"/>
    <w:rsid w:val="00D91D1B"/>
    <w:rsid w:val="00D93225"/>
    <w:rsid w:val="00D93FB8"/>
    <w:rsid w:val="00D94495"/>
    <w:rsid w:val="00D94F1F"/>
    <w:rsid w:val="00D976AE"/>
    <w:rsid w:val="00DA090B"/>
    <w:rsid w:val="00DA3D09"/>
    <w:rsid w:val="00DA5907"/>
    <w:rsid w:val="00DA7A72"/>
    <w:rsid w:val="00DB1439"/>
    <w:rsid w:val="00DB26A3"/>
    <w:rsid w:val="00DB2869"/>
    <w:rsid w:val="00DB2CCE"/>
    <w:rsid w:val="00DB36BC"/>
    <w:rsid w:val="00DB4113"/>
    <w:rsid w:val="00DB7F2F"/>
    <w:rsid w:val="00DC1D77"/>
    <w:rsid w:val="00DC32F4"/>
    <w:rsid w:val="00DC3ABD"/>
    <w:rsid w:val="00DC5306"/>
    <w:rsid w:val="00DC5667"/>
    <w:rsid w:val="00DC62AB"/>
    <w:rsid w:val="00DD57CC"/>
    <w:rsid w:val="00DD658B"/>
    <w:rsid w:val="00DD79F9"/>
    <w:rsid w:val="00DE0797"/>
    <w:rsid w:val="00DE1CF8"/>
    <w:rsid w:val="00DE243C"/>
    <w:rsid w:val="00DE29CA"/>
    <w:rsid w:val="00DE3ED6"/>
    <w:rsid w:val="00DE6867"/>
    <w:rsid w:val="00DE744A"/>
    <w:rsid w:val="00DF53A6"/>
    <w:rsid w:val="00DF6172"/>
    <w:rsid w:val="00DF61DA"/>
    <w:rsid w:val="00DF7151"/>
    <w:rsid w:val="00DF7C20"/>
    <w:rsid w:val="00E00A37"/>
    <w:rsid w:val="00E036FA"/>
    <w:rsid w:val="00E055B5"/>
    <w:rsid w:val="00E12086"/>
    <w:rsid w:val="00E148C3"/>
    <w:rsid w:val="00E1666A"/>
    <w:rsid w:val="00E1720C"/>
    <w:rsid w:val="00E17F29"/>
    <w:rsid w:val="00E200D4"/>
    <w:rsid w:val="00E20127"/>
    <w:rsid w:val="00E20875"/>
    <w:rsid w:val="00E22DF6"/>
    <w:rsid w:val="00E23105"/>
    <w:rsid w:val="00E23F4C"/>
    <w:rsid w:val="00E261A6"/>
    <w:rsid w:val="00E27280"/>
    <w:rsid w:val="00E27329"/>
    <w:rsid w:val="00E31B6F"/>
    <w:rsid w:val="00E32651"/>
    <w:rsid w:val="00E3277E"/>
    <w:rsid w:val="00E343F6"/>
    <w:rsid w:val="00E3449A"/>
    <w:rsid w:val="00E360CE"/>
    <w:rsid w:val="00E36D19"/>
    <w:rsid w:val="00E371A8"/>
    <w:rsid w:val="00E40B1C"/>
    <w:rsid w:val="00E42542"/>
    <w:rsid w:val="00E42B2D"/>
    <w:rsid w:val="00E43E31"/>
    <w:rsid w:val="00E441A3"/>
    <w:rsid w:val="00E45D58"/>
    <w:rsid w:val="00E45FC7"/>
    <w:rsid w:val="00E45FEB"/>
    <w:rsid w:val="00E461D7"/>
    <w:rsid w:val="00E50C87"/>
    <w:rsid w:val="00E5150C"/>
    <w:rsid w:val="00E54331"/>
    <w:rsid w:val="00E6276E"/>
    <w:rsid w:val="00E632DE"/>
    <w:rsid w:val="00E67AE8"/>
    <w:rsid w:val="00E70F36"/>
    <w:rsid w:val="00E71E8C"/>
    <w:rsid w:val="00E72486"/>
    <w:rsid w:val="00E73624"/>
    <w:rsid w:val="00E76245"/>
    <w:rsid w:val="00E77253"/>
    <w:rsid w:val="00E80E82"/>
    <w:rsid w:val="00E909AF"/>
    <w:rsid w:val="00E914C6"/>
    <w:rsid w:val="00E924B8"/>
    <w:rsid w:val="00E92EB1"/>
    <w:rsid w:val="00E93391"/>
    <w:rsid w:val="00EA1580"/>
    <w:rsid w:val="00EA21FF"/>
    <w:rsid w:val="00EA29EC"/>
    <w:rsid w:val="00EA49D6"/>
    <w:rsid w:val="00EA6C42"/>
    <w:rsid w:val="00EA746B"/>
    <w:rsid w:val="00EB41F1"/>
    <w:rsid w:val="00EB4721"/>
    <w:rsid w:val="00EB5F85"/>
    <w:rsid w:val="00EC0705"/>
    <w:rsid w:val="00EC2D3F"/>
    <w:rsid w:val="00EC2FD7"/>
    <w:rsid w:val="00EC41D2"/>
    <w:rsid w:val="00EC4C1D"/>
    <w:rsid w:val="00ED0CFD"/>
    <w:rsid w:val="00ED3FFD"/>
    <w:rsid w:val="00ED4AD9"/>
    <w:rsid w:val="00ED5400"/>
    <w:rsid w:val="00ED7C18"/>
    <w:rsid w:val="00EE1C7C"/>
    <w:rsid w:val="00EE3399"/>
    <w:rsid w:val="00EE3E85"/>
    <w:rsid w:val="00EE6498"/>
    <w:rsid w:val="00EF074B"/>
    <w:rsid w:val="00EF113C"/>
    <w:rsid w:val="00EF5785"/>
    <w:rsid w:val="00EF5E94"/>
    <w:rsid w:val="00F003ED"/>
    <w:rsid w:val="00F022C4"/>
    <w:rsid w:val="00F02D60"/>
    <w:rsid w:val="00F0571F"/>
    <w:rsid w:val="00F07561"/>
    <w:rsid w:val="00F10387"/>
    <w:rsid w:val="00F122B1"/>
    <w:rsid w:val="00F1318C"/>
    <w:rsid w:val="00F16660"/>
    <w:rsid w:val="00F1684F"/>
    <w:rsid w:val="00F1779F"/>
    <w:rsid w:val="00F21E70"/>
    <w:rsid w:val="00F2225C"/>
    <w:rsid w:val="00F2380D"/>
    <w:rsid w:val="00F23CEE"/>
    <w:rsid w:val="00F35C04"/>
    <w:rsid w:val="00F4138E"/>
    <w:rsid w:val="00F41F8C"/>
    <w:rsid w:val="00F43147"/>
    <w:rsid w:val="00F443DB"/>
    <w:rsid w:val="00F44A2C"/>
    <w:rsid w:val="00F46F80"/>
    <w:rsid w:val="00F479D2"/>
    <w:rsid w:val="00F51217"/>
    <w:rsid w:val="00F52AD3"/>
    <w:rsid w:val="00F55215"/>
    <w:rsid w:val="00F5653E"/>
    <w:rsid w:val="00F6282E"/>
    <w:rsid w:val="00F64947"/>
    <w:rsid w:val="00F6498D"/>
    <w:rsid w:val="00F65278"/>
    <w:rsid w:val="00F65283"/>
    <w:rsid w:val="00F66A3F"/>
    <w:rsid w:val="00F676A0"/>
    <w:rsid w:val="00F70039"/>
    <w:rsid w:val="00F742A7"/>
    <w:rsid w:val="00F75631"/>
    <w:rsid w:val="00F76119"/>
    <w:rsid w:val="00F81014"/>
    <w:rsid w:val="00F81097"/>
    <w:rsid w:val="00F82C24"/>
    <w:rsid w:val="00F90940"/>
    <w:rsid w:val="00F90BBB"/>
    <w:rsid w:val="00F91E37"/>
    <w:rsid w:val="00F95062"/>
    <w:rsid w:val="00F95B44"/>
    <w:rsid w:val="00F973B0"/>
    <w:rsid w:val="00FA1863"/>
    <w:rsid w:val="00FA1AB3"/>
    <w:rsid w:val="00FA2365"/>
    <w:rsid w:val="00FA38DC"/>
    <w:rsid w:val="00FA3A70"/>
    <w:rsid w:val="00FA59CF"/>
    <w:rsid w:val="00FA5E70"/>
    <w:rsid w:val="00FA698D"/>
    <w:rsid w:val="00FB052F"/>
    <w:rsid w:val="00FB46B2"/>
    <w:rsid w:val="00FC0AEF"/>
    <w:rsid w:val="00FC55C8"/>
    <w:rsid w:val="00FC692C"/>
    <w:rsid w:val="00FD08D8"/>
    <w:rsid w:val="00FD260E"/>
    <w:rsid w:val="00FD7683"/>
    <w:rsid w:val="00FE0C83"/>
    <w:rsid w:val="00FE1CB5"/>
    <w:rsid w:val="00FE3C59"/>
    <w:rsid w:val="00FE535D"/>
    <w:rsid w:val="00FF0871"/>
    <w:rsid w:val="00FF195E"/>
    <w:rsid w:val="00FF2C21"/>
    <w:rsid w:val="00FF3FC0"/>
    <w:rsid w:val="00FF6039"/>
    <w:rsid w:val="00FF6626"/>
    <w:rsid w:val="00FF6D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shapeDefaults>
    <o:shapedefaults v:ext="edit" spidmax="1041"/>
    <o:shapelayout v:ext="edit">
      <o:idmap v:ext="edit" data="1"/>
      <o:rules v:ext="edit">
        <o:r id="V:Rule2" type="connector" idref="#Straight Arrow Connector 7"/>
      </o:rules>
    </o:shapelayout>
  </w:shapeDefaults>
  <w:decimalSymbol w:val=","/>
  <w:listSeparator w:val=";"/>
  <w15:docId w15:val="{797C42BF-C056-42F2-B00F-00B66834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locked="1"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CFB"/>
    <w:pPr>
      <w:spacing w:after="200" w:line="276" w:lineRule="auto"/>
    </w:pPr>
    <w:rPr>
      <w:rFonts w:eastAsia="Times New Roman"/>
      <w:lang w:eastAsia="en-US"/>
    </w:rPr>
  </w:style>
  <w:style w:type="paragraph" w:styleId="Heading1">
    <w:name w:val="heading 1"/>
    <w:basedOn w:val="Normal"/>
    <w:next w:val="Normal"/>
    <w:link w:val="Heading1Char"/>
    <w:uiPriority w:val="99"/>
    <w:qFormat/>
    <w:rsid w:val="006F61F5"/>
    <w:pPr>
      <w:keepNext/>
      <w:keepLines/>
      <w:spacing w:before="480" w:after="0"/>
      <w:outlineLvl w:val="0"/>
    </w:pPr>
    <w:rPr>
      <w:rFonts w:ascii="Cambria" w:eastAsia="SimSun" w:hAnsi="Cambria"/>
      <w:b/>
      <w:bCs/>
      <w:color w:val="365F91"/>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61F5"/>
    <w:rPr>
      <w:rFonts w:ascii="Cambria" w:eastAsia="SimSun" w:hAnsi="Cambria" w:cs="Times New Roman"/>
      <w:b/>
      <w:color w:val="365F91"/>
      <w:sz w:val="28"/>
    </w:rPr>
  </w:style>
  <w:style w:type="paragraph" w:styleId="BalloonText">
    <w:name w:val="Balloon Text"/>
    <w:basedOn w:val="Normal"/>
    <w:link w:val="BalloonTextChar"/>
    <w:uiPriority w:val="99"/>
    <w:semiHidden/>
    <w:rsid w:val="00577AF1"/>
    <w:pPr>
      <w:spacing w:after="0" w:line="240" w:lineRule="auto"/>
    </w:pPr>
    <w:rPr>
      <w:rFonts w:ascii="Tahoma" w:eastAsia="Calibri" w:hAnsi="Tahoma"/>
      <w:sz w:val="16"/>
      <w:szCs w:val="16"/>
      <w:lang w:eastAsia="lv-LV"/>
    </w:rPr>
  </w:style>
  <w:style w:type="character" w:customStyle="1" w:styleId="BalloonTextChar">
    <w:name w:val="Balloon Text Char"/>
    <w:basedOn w:val="DefaultParagraphFont"/>
    <w:link w:val="BalloonText"/>
    <w:uiPriority w:val="99"/>
    <w:semiHidden/>
    <w:locked/>
    <w:rsid w:val="00577AF1"/>
    <w:rPr>
      <w:rFonts w:ascii="Tahoma" w:hAnsi="Tahoma" w:cs="Times New Roman"/>
      <w:sz w:val="16"/>
    </w:rPr>
  </w:style>
  <w:style w:type="paragraph" w:styleId="ListParagraph">
    <w:name w:val="List Paragraph"/>
    <w:basedOn w:val="Normal"/>
    <w:link w:val="ListParagraphChar"/>
    <w:uiPriority w:val="34"/>
    <w:qFormat/>
    <w:rsid w:val="00556C21"/>
    <w:pPr>
      <w:ind w:left="720"/>
      <w:contextualSpacing/>
    </w:pPr>
    <w:rPr>
      <w:szCs w:val="20"/>
    </w:rPr>
  </w:style>
  <w:style w:type="paragraph" w:styleId="TOC1">
    <w:name w:val="toc 1"/>
    <w:basedOn w:val="Normal"/>
    <w:next w:val="Normal"/>
    <w:autoRedefine/>
    <w:uiPriority w:val="39"/>
    <w:rsid w:val="006F61F5"/>
    <w:pPr>
      <w:tabs>
        <w:tab w:val="right" w:leader="dot" w:pos="9639"/>
      </w:tabs>
      <w:spacing w:before="60" w:after="40" w:line="240" w:lineRule="auto"/>
    </w:pPr>
    <w:rPr>
      <w:rFonts w:ascii="Times New Roman" w:hAnsi="Times New Roman"/>
      <w:b/>
      <w:noProof/>
      <w:szCs w:val="28"/>
    </w:rPr>
  </w:style>
  <w:style w:type="character" w:styleId="Hyperlink">
    <w:name w:val="Hyperlink"/>
    <w:basedOn w:val="DefaultParagraphFont"/>
    <w:uiPriority w:val="99"/>
    <w:rsid w:val="006F61F5"/>
    <w:rPr>
      <w:rFonts w:cs="Times New Roman"/>
      <w:color w:val="0000FF"/>
      <w:u w:val="single"/>
    </w:rPr>
  </w:style>
  <w:style w:type="paragraph" w:styleId="Header">
    <w:name w:val="header"/>
    <w:basedOn w:val="Normal"/>
    <w:link w:val="HeaderChar"/>
    <w:uiPriority w:val="99"/>
    <w:rsid w:val="006F61F5"/>
    <w:pPr>
      <w:tabs>
        <w:tab w:val="center" w:pos="4153"/>
        <w:tab w:val="right" w:pos="8306"/>
      </w:tabs>
      <w:spacing w:after="0" w:line="240" w:lineRule="auto"/>
    </w:pPr>
    <w:rPr>
      <w:rFonts w:eastAsia="Calibri"/>
      <w:sz w:val="20"/>
      <w:szCs w:val="20"/>
      <w:lang w:eastAsia="lv-LV"/>
    </w:rPr>
  </w:style>
  <w:style w:type="character" w:customStyle="1" w:styleId="HeaderChar">
    <w:name w:val="Header Char"/>
    <w:basedOn w:val="DefaultParagraphFont"/>
    <w:link w:val="Header"/>
    <w:uiPriority w:val="99"/>
    <w:locked/>
    <w:rsid w:val="006F61F5"/>
    <w:rPr>
      <w:rFonts w:cs="Times New Roman"/>
    </w:rPr>
  </w:style>
  <w:style w:type="paragraph" w:styleId="Footer">
    <w:name w:val="footer"/>
    <w:basedOn w:val="Normal"/>
    <w:link w:val="FooterChar"/>
    <w:uiPriority w:val="99"/>
    <w:rsid w:val="006F61F5"/>
    <w:pPr>
      <w:tabs>
        <w:tab w:val="center" w:pos="4153"/>
        <w:tab w:val="right" w:pos="8306"/>
      </w:tabs>
      <w:spacing w:after="0" w:line="240" w:lineRule="auto"/>
    </w:pPr>
    <w:rPr>
      <w:rFonts w:eastAsia="Calibri"/>
      <w:sz w:val="20"/>
      <w:szCs w:val="20"/>
      <w:lang w:eastAsia="lv-LV"/>
    </w:rPr>
  </w:style>
  <w:style w:type="character" w:customStyle="1" w:styleId="FooterChar">
    <w:name w:val="Footer Char"/>
    <w:basedOn w:val="DefaultParagraphFont"/>
    <w:link w:val="Footer"/>
    <w:uiPriority w:val="99"/>
    <w:locked/>
    <w:rsid w:val="006F61F5"/>
    <w:rPr>
      <w:rFonts w:cs="Times New Roman"/>
    </w:rPr>
  </w:style>
  <w:style w:type="paragraph" w:styleId="Subtitle">
    <w:name w:val="Subtitle"/>
    <w:basedOn w:val="Normal"/>
    <w:next w:val="Normal"/>
    <w:link w:val="SubtitleChar"/>
    <w:uiPriority w:val="99"/>
    <w:qFormat/>
    <w:rsid w:val="008E0DC2"/>
    <w:pPr>
      <w:keepNext/>
      <w:keepLines/>
      <w:widowControl w:val="0"/>
      <w:suppressAutoHyphens/>
      <w:spacing w:before="600" w:after="600" w:line="240" w:lineRule="auto"/>
      <w:ind w:right="4820"/>
    </w:pPr>
    <w:rPr>
      <w:rFonts w:ascii="Times New Roman" w:eastAsia="Calibri" w:hAnsi="Times New Roman"/>
      <w:b/>
      <w:sz w:val="20"/>
      <w:szCs w:val="20"/>
      <w:lang w:val="en-AU" w:eastAsia="lv-LV"/>
    </w:rPr>
  </w:style>
  <w:style w:type="character" w:customStyle="1" w:styleId="SubtitleChar">
    <w:name w:val="Subtitle Char"/>
    <w:basedOn w:val="DefaultParagraphFont"/>
    <w:link w:val="Subtitle"/>
    <w:uiPriority w:val="99"/>
    <w:locked/>
    <w:rsid w:val="008E0DC2"/>
    <w:rPr>
      <w:rFonts w:ascii="Times New Roman" w:hAnsi="Times New Roman" w:cs="Times New Roman"/>
      <w:b/>
      <w:sz w:val="20"/>
      <w:lang w:val="en-AU"/>
    </w:rPr>
  </w:style>
  <w:style w:type="paragraph" w:styleId="PlainText">
    <w:name w:val="Plain Text"/>
    <w:basedOn w:val="Normal"/>
    <w:link w:val="PlainTextChar"/>
    <w:rsid w:val="000F61C2"/>
    <w:pPr>
      <w:spacing w:after="0" w:line="240" w:lineRule="auto"/>
    </w:pPr>
    <w:rPr>
      <w:rFonts w:eastAsia="Calibri"/>
      <w:sz w:val="20"/>
      <w:szCs w:val="20"/>
      <w:lang w:eastAsia="lv-LV"/>
    </w:rPr>
  </w:style>
  <w:style w:type="character" w:customStyle="1" w:styleId="PlainTextChar">
    <w:name w:val="Plain Text Char"/>
    <w:basedOn w:val="DefaultParagraphFont"/>
    <w:link w:val="PlainText"/>
    <w:locked/>
    <w:rsid w:val="000F61C2"/>
    <w:rPr>
      <w:rFonts w:ascii="Calibri" w:hAnsi="Calibri" w:cs="Times New Roman"/>
    </w:rPr>
  </w:style>
  <w:style w:type="paragraph" w:customStyle="1" w:styleId="Vstulesdatumsunnumurs">
    <w:name w:val="Vçstules datums un numurs"/>
    <w:basedOn w:val="Normal"/>
    <w:next w:val="EnvelopeAddress"/>
    <w:uiPriority w:val="99"/>
    <w:rsid w:val="00AF633A"/>
    <w:pPr>
      <w:keepNext/>
      <w:keepLines/>
      <w:widowControl w:val="0"/>
      <w:suppressAutoHyphens/>
      <w:spacing w:before="60" w:after="60" w:line="240" w:lineRule="auto"/>
      <w:ind w:left="4820"/>
    </w:pPr>
    <w:rPr>
      <w:rFonts w:ascii="Times New Roman" w:eastAsia="Calibri" w:hAnsi="Times New Roman"/>
      <w:sz w:val="24"/>
      <w:szCs w:val="20"/>
    </w:rPr>
  </w:style>
  <w:style w:type="paragraph" w:styleId="EnvelopeAddress">
    <w:name w:val="envelope address"/>
    <w:basedOn w:val="Normal"/>
    <w:uiPriority w:val="99"/>
    <w:semiHidden/>
    <w:rsid w:val="00AF633A"/>
    <w:pPr>
      <w:framePr w:w="7920" w:h="1980" w:hRule="exact" w:hSpace="180" w:wrap="auto" w:hAnchor="page" w:xAlign="center" w:yAlign="bottom"/>
      <w:spacing w:after="0" w:line="240" w:lineRule="auto"/>
      <w:ind w:left="2880"/>
    </w:pPr>
    <w:rPr>
      <w:rFonts w:ascii="Cambria" w:eastAsia="SimSun" w:hAnsi="Cambria"/>
      <w:sz w:val="24"/>
      <w:szCs w:val="24"/>
    </w:rPr>
  </w:style>
  <w:style w:type="table" w:styleId="TableClassic4">
    <w:name w:val="Table Classic 4"/>
    <w:basedOn w:val="TableNormal"/>
    <w:uiPriority w:val="99"/>
    <w:rsid w:val="0047124B"/>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Grid">
    <w:name w:val="Table Grid"/>
    <w:basedOn w:val="TableNormal"/>
    <w:uiPriority w:val="99"/>
    <w:rsid w:val="0047124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763636"/>
    <w:rPr>
      <w:rFonts w:cs="Times New Roman"/>
      <w:color w:val="800080"/>
      <w:u w:val="single"/>
    </w:rPr>
  </w:style>
  <w:style w:type="paragraph" w:styleId="FootnoteText">
    <w:name w:val="footnote text"/>
    <w:basedOn w:val="Normal"/>
    <w:link w:val="FootnoteTextChar"/>
    <w:uiPriority w:val="99"/>
    <w:semiHidden/>
    <w:rsid w:val="00563671"/>
    <w:pPr>
      <w:spacing w:after="0" w:line="240" w:lineRule="auto"/>
    </w:pPr>
    <w:rPr>
      <w:rFonts w:eastAsia="Calibri"/>
      <w:sz w:val="20"/>
      <w:szCs w:val="20"/>
      <w:lang w:eastAsia="lv-LV"/>
    </w:rPr>
  </w:style>
  <w:style w:type="character" w:customStyle="1" w:styleId="FootnoteTextChar">
    <w:name w:val="Footnote Text Char"/>
    <w:basedOn w:val="DefaultParagraphFont"/>
    <w:link w:val="FootnoteText"/>
    <w:uiPriority w:val="99"/>
    <w:semiHidden/>
    <w:locked/>
    <w:rsid w:val="00563671"/>
    <w:rPr>
      <w:rFonts w:cs="Times New Roman"/>
      <w:sz w:val="20"/>
    </w:rPr>
  </w:style>
  <w:style w:type="character" w:styleId="FootnoteReference">
    <w:name w:val="footnote reference"/>
    <w:basedOn w:val="DefaultParagraphFont"/>
    <w:uiPriority w:val="99"/>
    <w:semiHidden/>
    <w:rsid w:val="00563671"/>
    <w:rPr>
      <w:rFonts w:cs="Times New Roman"/>
      <w:vertAlign w:val="superscript"/>
    </w:rPr>
  </w:style>
  <w:style w:type="paragraph" w:styleId="NormalWeb">
    <w:name w:val="Normal (Web)"/>
    <w:basedOn w:val="Normal"/>
    <w:uiPriority w:val="99"/>
    <w:rsid w:val="001229A9"/>
    <w:pPr>
      <w:spacing w:before="100" w:beforeAutospacing="1" w:after="100" w:afterAutospacing="1" w:line="240" w:lineRule="auto"/>
    </w:pPr>
    <w:rPr>
      <w:rFonts w:ascii="Times New Roman" w:eastAsia="Calibri" w:hAnsi="Times New Roman"/>
      <w:sz w:val="24"/>
      <w:szCs w:val="24"/>
      <w:lang w:eastAsia="lv-LV"/>
    </w:rPr>
  </w:style>
  <w:style w:type="character" w:styleId="CommentReference">
    <w:name w:val="annotation reference"/>
    <w:basedOn w:val="DefaultParagraphFont"/>
    <w:uiPriority w:val="99"/>
    <w:semiHidden/>
    <w:rsid w:val="00E45FEB"/>
    <w:rPr>
      <w:rFonts w:cs="Times New Roman"/>
      <w:sz w:val="16"/>
    </w:rPr>
  </w:style>
  <w:style w:type="paragraph" w:styleId="CommentText">
    <w:name w:val="annotation text"/>
    <w:basedOn w:val="Normal"/>
    <w:link w:val="CommentTextChar"/>
    <w:uiPriority w:val="99"/>
    <w:semiHidden/>
    <w:rsid w:val="00E45FEB"/>
    <w:pPr>
      <w:spacing w:line="240" w:lineRule="auto"/>
    </w:pPr>
    <w:rPr>
      <w:rFonts w:eastAsia="Calibri"/>
      <w:sz w:val="20"/>
      <w:szCs w:val="20"/>
      <w:lang w:eastAsia="lv-LV"/>
    </w:rPr>
  </w:style>
  <w:style w:type="character" w:customStyle="1" w:styleId="CommentTextChar">
    <w:name w:val="Comment Text Char"/>
    <w:basedOn w:val="DefaultParagraphFont"/>
    <w:link w:val="CommentText"/>
    <w:uiPriority w:val="99"/>
    <w:semiHidden/>
    <w:locked/>
    <w:rsid w:val="00E45FEB"/>
    <w:rPr>
      <w:rFonts w:cs="Times New Roman"/>
      <w:sz w:val="20"/>
    </w:rPr>
  </w:style>
  <w:style w:type="paragraph" w:styleId="CommentSubject">
    <w:name w:val="annotation subject"/>
    <w:basedOn w:val="CommentText"/>
    <w:next w:val="CommentText"/>
    <w:link w:val="CommentSubjectChar"/>
    <w:uiPriority w:val="99"/>
    <w:semiHidden/>
    <w:rsid w:val="00E45FEB"/>
    <w:rPr>
      <w:b/>
      <w:bCs/>
    </w:rPr>
  </w:style>
  <w:style w:type="character" w:customStyle="1" w:styleId="CommentSubjectChar">
    <w:name w:val="Comment Subject Char"/>
    <w:basedOn w:val="CommentTextChar"/>
    <w:link w:val="CommentSubject"/>
    <w:uiPriority w:val="99"/>
    <w:semiHidden/>
    <w:locked/>
    <w:rsid w:val="00E45FEB"/>
    <w:rPr>
      <w:rFonts w:cs="Times New Roman"/>
      <w:b/>
      <w:sz w:val="20"/>
    </w:rPr>
  </w:style>
  <w:style w:type="character" w:customStyle="1" w:styleId="st1">
    <w:name w:val="st1"/>
    <w:basedOn w:val="DefaultParagraphFont"/>
    <w:uiPriority w:val="99"/>
    <w:rsid w:val="001D6BA7"/>
    <w:rPr>
      <w:rFonts w:cs="Times New Roman"/>
    </w:rPr>
  </w:style>
  <w:style w:type="character" w:styleId="Emphasis">
    <w:name w:val="Emphasis"/>
    <w:basedOn w:val="DefaultParagraphFont"/>
    <w:uiPriority w:val="99"/>
    <w:qFormat/>
    <w:locked/>
    <w:rsid w:val="000C3627"/>
    <w:rPr>
      <w:rFonts w:cs="Times New Roman"/>
      <w:b/>
      <w:bCs/>
    </w:rPr>
  </w:style>
  <w:style w:type="character" w:customStyle="1" w:styleId="ListParagraphChar">
    <w:name w:val="List Paragraph Char"/>
    <w:link w:val="ListParagraph"/>
    <w:uiPriority w:val="99"/>
    <w:locked/>
    <w:rsid w:val="0047512C"/>
    <w:rPr>
      <w:rFonts w:eastAsia="Times New Roman"/>
      <w:sz w:val="22"/>
      <w:lang w:eastAsia="en-US"/>
    </w:rPr>
  </w:style>
  <w:style w:type="paragraph" w:customStyle="1" w:styleId="Default">
    <w:name w:val="Default"/>
    <w:uiPriority w:val="99"/>
    <w:rsid w:val="00F07561"/>
    <w:pPr>
      <w:autoSpaceDE w:val="0"/>
      <w:autoSpaceDN w:val="0"/>
      <w:adjustRightInd w:val="0"/>
    </w:pPr>
    <w:rPr>
      <w:rFonts w:ascii="Times New Roman" w:hAnsi="Times New Roman"/>
      <w:color w:val="000000"/>
      <w:sz w:val="24"/>
      <w:szCs w:val="24"/>
      <w:lang w:eastAsia="zh-CN"/>
    </w:rPr>
  </w:style>
  <w:style w:type="paragraph" w:customStyle="1" w:styleId="Char">
    <w:name w:val="Char"/>
    <w:basedOn w:val="Normal"/>
    <w:uiPriority w:val="99"/>
    <w:rsid w:val="00156194"/>
    <w:pPr>
      <w:spacing w:before="40" w:after="0" w:line="240" w:lineRule="auto"/>
    </w:pPr>
    <w:rPr>
      <w:rFonts w:ascii="Arial" w:hAnsi="Arial"/>
      <w:sz w:val="24"/>
      <w:szCs w:val="24"/>
      <w:lang w:val="pl-PL" w:eastAsia="pl-PL"/>
    </w:rPr>
  </w:style>
  <w:style w:type="character" w:styleId="PageNumber">
    <w:name w:val="page number"/>
    <w:basedOn w:val="DefaultParagraphFont"/>
    <w:uiPriority w:val="99"/>
    <w:rsid w:val="0006249E"/>
    <w:rPr>
      <w:rFonts w:cs="Times New Roman"/>
    </w:rPr>
  </w:style>
  <w:style w:type="table" w:styleId="LightShading-Accent3">
    <w:name w:val="Light Shading Accent 3"/>
    <w:basedOn w:val="TableNormal"/>
    <w:uiPriority w:val="60"/>
    <w:rsid w:val="00B676EF"/>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B676E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v213">
    <w:name w:val="tv213"/>
    <w:basedOn w:val="Normal"/>
    <w:rsid w:val="00EF074B"/>
    <w:pPr>
      <w:spacing w:before="100" w:beforeAutospacing="1" w:after="100" w:afterAutospacing="1" w:line="240" w:lineRule="auto"/>
    </w:pPr>
    <w:rPr>
      <w:rFonts w:ascii="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9190">
      <w:bodyDiv w:val="1"/>
      <w:marLeft w:val="0"/>
      <w:marRight w:val="0"/>
      <w:marTop w:val="0"/>
      <w:marBottom w:val="0"/>
      <w:divBdr>
        <w:top w:val="none" w:sz="0" w:space="0" w:color="auto"/>
        <w:left w:val="none" w:sz="0" w:space="0" w:color="auto"/>
        <w:bottom w:val="none" w:sz="0" w:space="0" w:color="auto"/>
        <w:right w:val="none" w:sz="0" w:space="0" w:color="auto"/>
      </w:divBdr>
    </w:div>
    <w:div w:id="9452394">
      <w:bodyDiv w:val="1"/>
      <w:marLeft w:val="0"/>
      <w:marRight w:val="0"/>
      <w:marTop w:val="0"/>
      <w:marBottom w:val="0"/>
      <w:divBdr>
        <w:top w:val="none" w:sz="0" w:space="0" w:color="auto"/>
        <w:left w:val="none" w:sz="0" w:space="0" w:color="auto"/>
        <w:bottom w:val="none" w:sz="0" w:space="0" w:color="auto"/>
        <w:right w:val="none" w:sz="0" w:space="0" w:color="auto"/>
      </w:divBdr>
    </w:div>
    <w:div w:id="42413993">
      <w:bodyDiv w:val="1"/>
      <w:marLeft w:val="0"/>
      <w:marRight w:val="0"/>
      <w:marTop w:val="0"/>
      <w:marBottom w:val="0"/>
      <w:divBdr>
        <w:top w:val="none" w:sz="0" w:space="0" w:color="auto"/>
        <w:left w:val="none" w:sz="0" w:space="0" w:color="auto"/>
        <w:bottom w:val="none" w:sz="0" w:space="0" w:color="auto"/>
        <w:right w:val="none" w:sz="0" w:space="0" w:color="auto"/>
      </w:divBdr>
    </w:div>
    <w:div w:id="49040357">
      <w:bodyDiv w:val="1"/>
      <w:marLeft w:val="0"/>
      <w:marRight w:val="0"/>
      <w:marTop w:val="0"/>
      <w:marBottom w:val="0"/>
      <w:divBdr>
        <w:top w:val="none" w:sz="0" w:space="0" w:color="auto"/>
        <w:left w:val="none" w:sz="0" w:space="0" w:color="auto"/>
        <w:bottom w:val="none" w:sz="0" w:space="0" w:color="auto"/>
        <w:right w:val="none" w:sz="0" w:space="0" w:color="auto"/>
      </w:divBdr>
    </w:div>
    <w:div w:id="54354645">
      <w:bodyDiv w:val="1"/>
      <w:marLeft w:val="0"/>
      <w:marRight w:val="0"/>
      <w:marTop w:val="0"/>
      <w:marBottom w:val="0"/>
      <w:divBdr>
        <w:top w:val="none" w:sz="0" w:space="0" w:color="auto"/>
        <w:left w:val="none" w:sz="0" w:space="0" w:color="auto"/>
        <w:bottom w:val="none" w:sz="0" w:space="0" w:color="auto"/>
        <w:right w:val="none" w:sz="0" w:space="0" w:color="auto"/>
      </w:divBdr>
    </w:div>
    <w:div w:id="102462769">
      <w:bodyDiv w:val="1"/>
      <w:marLeft w:val="0"/>
      <w:marRight w:val="0"/>
      <w:marTop w:val="0"/>
      <w:marBottom w:val="0"/>
      <w:divBdr>
        <w:top w:val="none" w:sz="0" w:space="0" w:color="auto"/>
        <w:left w:val="none" w:sz="0" w:space="0" w:color="auto"/>
        <w:bottom w:val="none" w:sz="0" w:space="0" w:color="auto"/>
        <w:right w:val="none" w:sz="0" w:space="0" w:color="auto"/>
      </w:divBdr>
    </w:div>
    <w:div w:id="121267633">
      <w:bodyDiv w:val="1"/>
      <w:marLeft w:val="0"/>
      <w:marRight w:val="0"/>
      <w:marTop w:val="0"/>
      <w:marBottom w:val="0"/>
      <w:divBdr>
        <w:top w:val="none" w:sz="0" w:space="0" w:color="auto"/>
        <w:left w:val="none" w:sz="0" w:space="0" w:color="auto"/>
        <w:bottom w:val="none" w:sz="0" w:space="0" w:color="auto"/>
        <w:right w:val="none" w:sz="0" w:space="0" w:color="auto"/>
      </w:divBdr>
    </w:div>
    <w:div w:id="129053459">
      <w:bodyDiv w:val="1"/>
      <w:marLeft w:val="0"/>
      <w:marRight w:val="0"/>
      <w:marTop w:val="0"/>
      <w:marBottom w:val="0"/>
      <w:divBdr>
        <w:top w:val="none" w:sz="0" w:space="0" w:color="auto"/>
        <w:left w:val="none" w:sz="0" w:space="0" w:color="auto"/>
        <w:bottom w:val="none" w:sz="0" w:space="0" w:color="auto"/>
        <w:right w:val="none" w:sz="0" w:space="0" w:color="auto"/>
      </w:divBdr>
    </w:div>
    <w:div w:id="130559557">
      <w:bodyDiv w:val="1"/>
      <w:marLeft w:val="0"/>
      <w:marRight w:val="0"/>
      <w:marTop w:val="0"/>
      <w:marBottom w:val="0"/>
      <w:divBdr>
        <w:top w:val="none" w:sz="0" w:space="0" w:color="auto"/>
        <w:left w:val="none" w:sz="0" w:space="0" w:color="auto"/>
        <w:bottom w:val="none" w:sz="0" w:space="0" w:color="auto"/>
        <w:right w:val="none" w:sz="0" w:space="0" w:color="auto"/>
      </w:divBdr>
    </w:div>
    <w:div w:id="139157594">
      <w:bodyDiv w:val="1"/>
      <w:marLeft w:val="0"/>
      <w:marRight w:val="0"/>
      <w:marTop w:val="0"/>
      <w:marBottom w:val="0"/>
      <w:divBdr>
        <w:top w:val="none" w:sz="0" w:space="0" w:color="auto"/>
        <w:left w:val="none" w:sz="0" w:space="0" w:color="auto"/>
        <w:bottom w:val="none" w:sz="0" w:space="0" w:color="auto"/>
        <w:right w:val="none" w:sz="0" w:space="0" w:color="auto"/>
      </w:divBdr>
    </w:div>
    <w:div w:id="177503906">
      <w:bodyDiv w:val="1"/>
      <w:marLeft w:val="0"/>
      <w:marRight w:val="0"/>
      <w:marTop w:val="0"/>
      <w:marBottom w:val="0"/>
      <w:divBdr>
        <w:top w:val="none" w:sz="0" w:space="0" w:color="auto"/>
        <w:left w:val="none" w:sz="0" w:space="0" w:color="auto"/>
        <w:bottom w:val="none" w:sz="0" w:space="0" w:color="auto"/>
        <w:right w:val="none" w:sz="0" w:space="0" w:color="auto"/>
      </w:divBdr>
    </w:div>
    <w:div w:id="236520241">
      <w:bodyDiv w:val="1"/>
      <w:marLeft w:val="0"/>
      <w:marRight w:val="0"/>
      <w:marTop w:val="0"/>
      <w:marBottom w:val="0"/>
      <w:divBdr>
        <w:top w:val="none" w:sz="0" w:space="0" w:color="auto"/>
        <w:left w:val="none" w:sz="0" w:space="0" w:color="auto"/>
        <w:bottom w:val="none" w:sz="0" w:space="0" w:color="auto"/>
        <w:right w:val="none" w:sz="0" w:space="0" w:color="auto"/>
      </w:divBdr>
    </w:div>
    <w:div w:id="428238357">
      <w:bodyDiv w:val="1"/>
      <w:marLeft w:val="0"/>
      <w:marRight w:val="0"/>
      <w:marTop w:val="0"/>
      <w:marBottom w:val="0"/>
      <w:divBdr>
        <w:top w:val="none" w:sz="0" w:space="0" w:color="auto"/>
        <w:left w:val="none" w:sz="0" w:space="0" w:color="auto"/>
        <w:bottom w:val="none" w:sz="0" w:space="0" w:color="auto"/>
        <w:right w:val="none" w:sz="0" w:space="0" w:color="auto"/>
      </w:divBdr>
    </w:div>
    <w:div w:id="433287467">
      <w:bodyDiv w:val="1"/>
      <w:marLeft w:val="0"/>
      <w:marRight w:val="0"/>
      <w:marTop w:val="0"/>
      <w:marBottom w:val="0"/>
      <w:divBdr>
        <w:top w:val="none" w:sz="0" w:space="0" w:color="auto"/>
        <w:left w:val="none" w:sz="0" w:space="0" w:color="auto"/>
        <w:bottom w:val="none" w:sz="0" w:space="0" w:color="auto"/>
        <w:right w:val="none" w:sz="0" w:space="0" w:color="auto"/>
      </w:divBdr>
    </w:div>
    <w:div w:id="436096481">
      <w:bodyDiv w:val="1"/>
      <w:marLeft w:val="0"/>
      <w:marRight w:val="0"/>
      <w:marTop w:val="0"/>
      <w:marBottom w:val="0"/>
      <w:divBdr>
        <w:top w:val="none" w:sz="0" w:space="0" w:color="auto"/>
        <w:left w:val="none" w:sz="0" w:space="0" w:color="auto"/>
        <w:bottom w:val="none" w:sz="0" w:space="0" w:color="auto"/>
        <w:right w:val="none" w:sz="0" w:space="0" w:color="auto"/>
      </w:divBdr>
    </w:div>
    <w:div w:id="595286529">
      <w:bodyDiv w:val="1"/>
      <w:marLeft w:val="0"/>
      <w:marRight w:val="0"/>
      <w:marTop w:val="0"/>
      <w:marBottom w:val="0"/>
      <w:divBdr>
        <w:top w:val="none" w:sz="0" w:space="0" w:color="auto"/>
        <w:left w:val="none" w:sz="0" w:space="0" w:color="auto"/>
        <w:bottom w:val="none" w:sz="0" w:space="0" w:color="auto"/>
        <w:right w:val="none" w:sz="0" w:space="0" w:color="auto"/>
      </w:divBdr>
    </w:div>
    <w:div w:id="659887546">
      <w:bodyDiv w:val="1"/>
      <w:marLeft w:val="0"/>
      <w:marRight w:val="0"/>
      <w:marTop w:val="0"/>
      <w:marBottom w:val="0"/>
      <w:divBdr>
        <w:top w:val="none" w:sz="0" w:space="0" w:color="auto"/>
        <w:left w:val="none" w:sz="0" w:space="0" w:color="auto"/>
        <w:bottom w:val="none" w:sz="0" w:space="0" w:color="auto"/>
        <w:right w:val="none" w:sz="0" w:space="0" w:color="auto"/>
      </w:divBdr>
    </w:div>
    <w:div w:id="684358716">
      <w:bodyDiv w:val="1"/>
      <w:marLeft w:val="0"/>
      <w:marRight w:val="0"/>
      <w:marTop w:val="0"/>
      <w:marBottom w:val="0"/>
      <w:divBdr>
        <w:top w:val="none" w:sz="0" w:space="0" w:color="auto"/>
        <w:left w:val="none" w:sz="0" w:space="0" w:color="auto"/>
        <w:bottom w:val="none" w:sz="0" w:space="0" w:color="auto"/>
        <w:right w:val="none" w:sz="0" w:space="0" w:color="auto"/>
      </w:divBdr>
    </w:div>
    <w:div w:id="695813118">
      <w:bodyDiv w:val="1"/>
      <w:marLeft w:val="0"/>
      <w:marRight w:val="0"/>
      <w:marTop w:val="0"/>
      <w:marBottom w:val="0"/>
      <w:divBdr>
        <w:top w:val="none" w:sz="0" w:space="0" w:color="auto"/>
        <w:left w:val="none" w:sz="0" w:space="0" w:color="auto"/>
        <w:bottom w:val="none" w:sz="0" w:space="0" w:color="auto"/>
        <w:right w:val="none" w:sz="0" w:space="0" w:color="auto"/>
      </w:divBdr>
    </w:div>
    <w:div w:id="751899148">
      <w:bodyDiv w:val="1"/>
      <w:marLeft w:val="0"/>
      <w:marRight w:val="0"/>
      <w:marTop w:val="0"/>
      <w:marBottom w:val="0"/>
      <w:divBdr>
        <w:top w:val="none" w:sz="0" w:space="0" w:color="auto"/>
        <w:left w:val="none" w:sz="0" w:space="0" w:color="auto"/>
        <w:bottom w:val="none" w:sz="0" w:space="0" w:color="auto"/>
        <w:right w:val="none" w:sz="0" w:space="0" w:color="auto"/>
      </w:divBdr>
    </w:div>
    <w:div w:id="786240289">
      <w:bodyDiv w:val="1"/>
      <w:marLeft w:val="0"/>
      <w:marRight w:val="0"/>
      <w:marTop w:val="0"/>
      <w:marBottom w:val="0"/>
      <w:divBdr>
        <w:top w:val="none" w:sz="0" w:space="0" w:color="auto"/>
        <w:left w:val="none" w:sz="0" w:space="0" w:color="auto"/>
        <w:bottom w:val="none" w:sz="0" w:space="0" w:color="auto"/>
        <w:right w:val="none" w:sz="0" w:space="0" w:color="auto"/>
      </w:divBdr>
    </w:div>
    <w:div w:id="997540166">
      <w:bodyDiv w:val="1"/>
      <w:marLeft w:val="0"/>
      <w:marRight w:val="0"/>
      <w:marTop w:val="0"/>
      <w:marBottom w:val="0"/>
      <w:divBdr>
        <w:top w:val="none" w:sz="0" w:space="0" w:color="auto"/>
        <w:left w:val="none" w:sz="0" w:space="0" w:color="auto"/>
        <w:bottom w:val="none" w:sz="0" w:space="0" w:color="auto"/>
        <w:right w:val="none" w:sz="0" w:space="0" w:color="auto"/>
      </w:divBdr>
    </w:div>
    <w:div w:id="1066105270">
      <w:bodyDiv w:val="1"/>
      <w:marLeft w:val="0"/>
      <w:marRight w:val="0"/>
      <w:marTop w:val="0"/>
      <w:marBottom w:val="0"/>
      <w:divBdr>
        <w:top w:val="none" w:sz="0" w:space="0" w:color="auto"/>
        <w:left w:val="none" w:sz="0" w:space="0" w:color="auto"/>
        <w:bottom w:val="none" w:sz="0" w:space="0" w:color="auto"/>
        <w:right w:val="none" w:sz="0" w:space="0" w:color="auto"/>
      </w:divBdr>
    </w:div>
    <w:div w:id="1129935006">
      <w:bodyDiv w:val="1"/>
      <w:marLeft w:val="0"/>
      <w:marRight w:val="0"/>
      <w:marTop w:val="0"/>
      <w:marBottom w:val="0"/>
      <w:divBdr>
        <w:top w:val="none" w:sz="0" w:space="0" w:color="auto"/>
        <w:left w:val="none" w:sz="0" w:space="0" w:color="auto"/>
        <w:bottom w:val="none" w:sz="0" w:space="0" w:color="auto"/>
        <w:right w:val="none" w:sz="0" w:space="0" w:color="auto"/>
      </w:divBdr>
    </w:div>
    <w:div w:id="1155562066">
      <w:bodyDiv w:val="1"/>
      <w:marLeft w:val="0"/>
      <w:marRight w:val="0"/>
      <w:marTop w:val="0"/>
      <w:marBottom w:val="0"/>
      <w:divBdr>
        <w:top w:val="none" w:sz="0" w:space="0" w:color="auto"/>
        <w:left w:val="none" w:sz="0" w:space="0" w:color="auto"/>
        <w:bottom w:val="none" w:sz="0" w:space="0" w:color="auto"/>
        <w:right w:val="none" w:sz="0" w:space="0" w:color="auto"/>
      </w:divBdr>
    </w:div>
    <w:div w:id="1316953895">
      <w:bodyDiv w:val="1"/>
      <w:marLeft w:val="0"/>
      <w:marRight w:val="0"/>
      <w:marTop w:val="0"/>
      <w:marBottom w:val="0"/>
      <w:divBdr>
        <w:top w:val="none" w:sz="0" w:space="0" w:color="auto"/>
        <w:left w:val="none" w:sz="0" w:space="0" w:color="auto"/>
        <w:bottom w:val="none" w:sz="0" w:space="0" w:color="auto"/>
        <w:right w:val="none" w:sz="0" w:space="0" w:color="auto"/>
      </w:divBdr>
    </w:div>
    <w:div w:id="1325166056">
      <w:bodyDiv w:val="1"/>
      <w:marLeft w:val="0"/>
      <w:marRight w:val="0"/>
      <w:marTop w:val="0"/>
      <w:marBottom w:val="0"/>
      <w:divBdr>
        <w:top w:val="none" w:sz="0" w:space="0" w:color="auto"/>
        <w:left w:val="none" w:sz="0" w:space="0" w:color="auto"/>
        <w:bottom w:val="none" w:sz="0" w:space="0" w:color="auto"/>
        <w:right w:val="none" w:sz="0" w:space="0" w:color="auto"/>
      </w:divBdr>
    </w:div>
    <w:div w:id="1425759349">
      <w:bodyDiv w:val="1"/>
      <w:marLeft w:val="0"/>
      <w:marRight w:val="0"/>
      <w:marTop w:val="0"/>
      <w:marBottom w:val="0"/>
      <w:divBdr>
        <w:top w:val="none" w:sz="0" w:space="0" w:color="auto"/>
        <w:left w:val="none" w:sz="0" w:space="0" w:color="auto"/>
        <w:bottom w:val="none" w:sz="0" w:space="0" w:color="auto"/>
        <w:right w:val="none" w:sz="0" w:space="0" w:color="auto"/>
      </w:divBdr>
    </w:div>
    <w:div w:id="1430203092">
      <w:bodyDiv w:val="1"/>
      <w:marLeft w:val="0"/>
      <w:marRight w:val="0"/>
      <w:marTop w:val="0"/>
      <w:marBottom w:val="0"/>
      <w:divBdr>
        <w:top w:val="none" w:sz="0" w:space="0" w:color="auto"/>
        <w:left w:val="none" w:sz="0" w:space="0" w:color="auto"/>
        <w:bottom w:val="none" w:sz="0" w:space="0" w:color="auto"/>
        <w:right w:val="none" w:sz="0" w:space="0" w:color="auto"/>
      </w:divBdr>
    </w:div>
    <w:div w:id="1440905387">
      <w:bodyDiv w:val="1"/>
      <w:marLeft w:val="0"/>
      <w:marRight w:val="0"/>
      <w:marTop w:val="0"/>
      <w:marBottom w:val="0"/>
      <w:divBdr>
        <w:top w:val="none" w:sz="0" w:space="0" w:color="auto"/>
        <w:left w:val="none" w:sz="0" w:space="0" w:color="auto"/>
        <w:bottom w:val="none" w:sz="0" w:space="0" w:color="auto"/>
        <w:right w:val="none" w:sz="0" w:space="0" w:color="auto"/>
      </w:divBdr>
    </w:div>
    <w:div w:id="1456371309">
      <w:bodyDiv w:val="1"/>
      <w:marLeft w:val="0"/>
      <w:marRight w:val="0"/>
      <w:marTop w:val="0"/>
      <w:marBottom w:val="0"/>
      <w:divBdr>
        <w:top w:val="none" w:sz="0" w:space="0" w:color="auto"/>
        <w:left w:val="none" w:sz="0" w:space="0" w:color="auto"/>
        <w:bottom w:val="none" w:sz="0" w:space="0" w:color="auto"/>
        <w:right w:val="none" w:sz="0" w:space="0" w:color="auto"/>
      </w:divBdr>
    </w:div>
    <w:div w:id="1482455182">
      <w:marLeft w:val="0"/>
      <w:marRight w:val="0"/>
      <w:marTop w:val="0"/>
      <w:marBottom w:val="0"/>
      <w:divBdr>
        <w:top w:val="none" w:sz="0" w:space="0" w:color="auto"/>
        <w:left w:val="none" w:sz="0" w:space="0" w:color="auto"/>
        <w:bottom w:val="none" w:sz="0" w:space="0" w:color="auto"/>
        <w:right w:val="none" w:sz="0" w:space="0" w:color="auto"/>
      </w:divBdr>
    </w:div>
    <w:div w:id="1482455183">
      <w:marLeft w:val="0"/>
      <w:marRight w:val="0"/>
      <w:marTop w:val="0"/>
      <w:marBottom w:val="0"/>
      <w:divBdr>
        <w:top w:val="none" w:sz="0" w:space="0" w:color="auto"/>
        <w:left w:val="none" w:sz="0" w:space="0" w:color="auto"/>
        <w:bottom w:val="none" w:sz="0" w:space="0" w:color="auto"/>
        <w:right w:val="none" w:sz="0" w:space="0" w:color="auto"/>
      </w:divBdr>
    </w:div>
    <w:div w:id="1482455184">
      <w:marLeft w:val="0"/>
      <w:marRight w:val="0"/>
      <w:marTop w:val="0"/>
      <w:marBottom w:val="0"/>
      <w:divBdr>
        <w:top w:val="none" w:sz="0" w:space="0" w:color="auto"/>
        <w:left w:val="none" w:sz="0" w:space="0" w:color="auto"/>
        <w:bottom w:val="none" w:sz="0" w:space="0" w:color="auto"/>
        <w:right w:val="none" w:sz="0" w:space="0" w:color="auto"/>
      </w:divBdr>
    </w:div>
    <w:div w:id="1482455185">
      <w:marLeft w:val="0"/>
      <w:marRight w:val="0"/>
      <w:marTop w:val="0"/>
      <w:marBottom w:val="0"/>
      <w:divBdr>
        <w:top w:val="none" w:sz="0" w:space="0" w:color="auto"/>
        <w:left w:val="none" w:sz="0" w:space="0" w:color="auto"/>
        <w:bottom w:val="none" w:sz="0" w:space="0" w:color="auto"/>
        <w:right w:val="none" w:sz="0" w:space="0" w:color="auto"/>
      </w:divBdr>
    </w:div>
    <w:div w:id="1482455186">
      <w:marLeft w:val="0"/>
      <w:marRight w:val="0"/>
      <w:marTop w:val="0"/>
      <w:marBottom w:val="0"/>
      <w:divBdr>
        <w:top w:val="none" w:sz="0" w:space="0" w:color="auto"/>
        <w:left w:val="none" w:sz="0" w:space="0" w:color="auto"/>
        <w:bottom w:val="none" w:sz="0" w:space="0" w:color="auto"/>
        <w:right w:val="none" w:sz="0" w:space="0" w:color="auto"/>
      </w:divBdr>
    </w:div>
    <w:div w:id="1482455187">
      <w:marLeft w:val="0"/>
      <w:marRight w:val="0"/>
      <w:marTop w:val="0"/>
      <w:marBottom w:val="0"/>
      <w:divBdr>
        <w:top w:val="none" w:sz="0" w:space="0" w:color="auto"/>
        <w:left w:val="none" w:sz="0" w:space="0" w:color="auto"/>
        <w:bottom w:val="none" w:sz="0" w:space="0" w:color="auto"/>
        <w:right w:val="none" w:sz="0" w:space="0" w:color="auto"/>
      </w:divBdr>
    </w:div>
    <w:div w:id="1482455188">
      <w:marLeft w:val="0"/>
      <w:marRight w:val="0"/>
      <w:marTop w:val="0"/>
      <w:marBottom w:val="0"/>
      <w:divBdr>
        <w:top w:val="none" w:sz="0" w:space="0" w:color="auto"/>
        <w:left w:val="none" w:sz="0" w:space="0" w:color="auto"/>
        <w:bottom w:val="none" w:sz="0" w:space="0" w:color="auto"/>
        <w:right w:val="none" w:sz="0" w:space="0" w:color="auto"/>
      </w:divBdr>
    </w:div>
    <w:div w:id="1482455189">
      <w:marLeft w:val="0"/>
      <w:marRight w:val="0"/>
      <w:marTop w:val="0"/>
      <w:marBottom w:val="0"/>
      <w:divBdr>
        <w:top w:val="none" w:sz="0" w:space="0" w:color="auto"/>
        <w:left w:val="none" w:sz="0" w:space="0" w:color="auto"/>
        <w:bottom w:val="none" w:sz="0" w:space="0" w:color="auto"/>
        <w:right w:val="none" w:sz="0" w:space="0" w:color="auto"/>
      </w:divBdr>
    </w:div>
    <w:div w:id="1482455190">
      <w:marLeft w:val="0"/>
      <w:marRight w:val="0"/>
      <w:marTop w:val="0"/>
      <w:marBottom w:val="0"/>
      <w:divBdr>
        <w:top w:val="none" w:sz="0" w:space="0" w:color="auto"/>
        <w:left w:val="none" w:sz="0" w:space="0" w:color="auto"/>
        <w:bottom w:val="none" w:sz="0" w:space="0" w:color="auto"/>
        <w:right w:val="none" w:sz="0" w:space="0" w:color="auto"/>
      </w:divBdr>
    </w:div>
    <w:div w:id="1482455191">
      <w:marLeft w:val="0"/>
      <w:marRight w:val="0"/>
      <w:marTop w:val="0"/>
      <w:marBottom w:val="0"/>
      <w:divBdr>
        <w:top w:val="none" w:sz="0" w:space="0" w:color="auto"/>
        <w:left w:val="none" w:sz="0" w:space="0" w:color="auto"/>
        <w:bottom w:val="none" w:sz="0" w:space="0" w:color="auto"/>
        <w:right w:val="none" w:sz="0" w:space="0" w:color="auto"/>
      </w:divBdr>
    </w:div>
    <w:div w:id="1482455192">
      <w:marLeft w:val="0"/>
      <w:marRight w:val="0"/>
      <w:marTop w:val="0"/>
      <w:marBottom w:val="0"/>
      <w:divBdr>
        <w:top w:val="none" w:sz="0" w:space="0" w:color="auto"/>
        <w:left w:val="none" w:sz="0" w:space="0" w:color="auto"/>
        <w:bottom w:val="none" w:sz="0" w:space="0" w:color="auto"/>
        <w:right w:val="none" w:sz="0" w:space="0" w:color="auto"/>
      </w:divBdr>
    </w:div>
    <w:div w:id="1482455193">
      <w:marLeft w:val="0"/>
      <w:marRight w:val="0"/>
      <w:marTop w:val="0"/>
      <w:marBottom w:val="0"/>
      <w:divBdr>
        <w:top w:val="none" w:sz="0" w:space="0" w:color="auto"/>
        <w:left w:val="none" w:sz="0" w:space="0" w:color="auto"/>
        <w:bottom w:val="none" w:sz="0" w:space="0" w:color="auto"/>
        <w:right w:val="none" w:sz="0" w:space="0" w:color="auto"/>
      </w:divBdr>
    </w:div>
    <w:div w:id="1482455194">
      <w:marLeft w:val="0"/>
      <w:marRight w:val="0"/>
      <w:marTop w:val="0"/>
      <w:marBottom w:val="0"/>
      <w:divBdr>
        <w:top w:val="none" w:sz="0" w:space="0" w:color="auto"/>
        <w:left w:val="none" w:sz="0" w:space="0" w:color="auto"/>
        <w:bottom w:val="none" w:sz="0" w:space="0" w:color="auto"/>
        <w:right w:val="none" w:sz="0" w:space="0" w:color="auto"/>
      </w:divBdr>
    </w:div>
    <w:div w:id="1482455195">
      <w:marLeft w:val="0"/>
      <w:marRight w:val="0"/>
      <w:marTop w:val="0"/>
      <w:marBottom w:val="0"/>
      <w:divBdr>
        <w:top w:val="none" w:sz="0" w:space="0" w:color="auto"/>
        <w:left w:val="none" w:sz="0" w:space="0" w:color="auto"/>
        <w:bottom w:val="none" w:sz="0" w:space="0" w:color="auto"/>
        <w:right w:val="none" w:sz="0" w:space="0" w:color="auto"/>
      </w:divBdr>
    </w:div>
    <w:div w:id="1482455196">
      <w:marLeft w:val="0"/>
      <w:marRight w:val="0"/>
      <w:marTop w:val="0"/>
      <w:marBottom w:val="0"/>
      <w:divBdr>
        <w:top w:val="none" w:sz="0" w:space="0" w:color="auto"/>
        <w:left w:val="none" w:sz="0" w:space="0" w:color="auto"/>
        <w:bottom w:val="none" w:sz="0" w:space="0" w:color="auto"/>
        <w:right w:val="none" w:sz="0" w:space="0" w:color="auto"/>
      </w:divBdr>
    </w:div>
    <w:div w:id="1482455197">
      <w:marLeft w:val="0"/>
      <w:marRight w:val="0"/>
      <w:marTop w:val="0"/>
      <w:marBottom w:val="0"/>
      <w:divBdr>
        <w:top w:val="none" w:sz="0" w:space="0" w:color="auto"/>
        <w:left w:val="none" w:sz="0" w:space="0" w:color="auto"/>
        <w:bottom w:val="none" w:sz="0" w:space="0" w:color="auto"/>
        <w:right w:val="none" w:sz="0" w:space="0" w:color="auto"/>
      </w:divBdr>
    </w:div>
    <w:div w:id="1482455198">
      <w:marLeft w:val="0"/>
      <w:marRight w:val="0"/>
      <w:marTop w:val="0"/>
      <w:marBottom w:val="0"/>
      <w:divBdr>
        <w:top w:val="none" w:sz="0" w:space="0" w:color="auto"/>
        <w:left w:val="none" w:sz="0" w:space="0" w:color="auto"/>
        <w:bottom w:val="none" w:sz="0" w:space="0" w:color="auto"/>
        <w:right w:val="none" w:sz="0" w:space="0" w:color="auto"/>
      </w:divBdr>
    </w:div>
    <w:div w:id="1482455199">
      <w:marLeft w:val="0"/>
      <w:marRight w:val="0"/>
      <w:marTop w:val="0"/>
      <w:marBottom w:val="0"/>
      <w:divBdr>
        <w:top w:val="none" w:sz="0" w:space="0" w:color="auto"/>
        <w:left w:val="none" w:sz="0" w:space="0" w:color="auto"/>
        <w:bottom w:val="none" w:sz="0" w:space="0" w:color="auto"/>
        <w:right w:val="none" w:sz="0" w:space="0" w:color="auto"/>
      </w:divBdr>
    </w:div>
    <w:div w:id="1482455200">
      <w:marLeft w:val="0"/>
      <w:marRight w:val="0"/>
      <w:marTop w:val="0"/>
      <w:marBottom w:val="0"/>
      <w:divBdr>
        <w:top w:val="none" w:sz="0" w:space="0" w:color="auto"/>
        <w:left w:val="none" w:sz="0" w:space="0" w:color="auto"/>
        <w:bottom w:val="none" w:sz="0" w:space="0" w:color="auto"/>
        <w:right w:val="none" w:sz="0" w:space="0" w:color="auto"/>
      </w:divBdr>
    </w:div>
    <w:div w:id="1482455201">
      <w:marLeft w:val="0"/>
      <w:marRight w:val="0"/>
      <w:marTop w:val="0"/>
      <w:marBottom w:val="0"/>
      <w:divBdr>
        <w:top w:val="none" w:sz="0" w:space="0" w:color="auto"/>
        <w:left w:val="none" w:sz="0" w:space="0" w:color="auto"/>
        <w:bottom w:val="none" w:sz="0" w:space="0" w:color="auto"/>
        <w:right w:val="none" w:sz="0" w:space="0" w:color="auto"/>
      </w:divBdr>
    </w:div>
    <w:div w:id="1482455202">
      <w:marLeft w:val="0"/>
      <w:marRight w:val="0"/>
      <w:marTop w:val="0"/>
      <w:marBottom w:val="0"/>
      <w:divBdr>
        <w:top w:val="none" w:sz="0" w:space="0" w:color="auto"/>
        <w:left w:val="none" w:sz="0" w:space="0" w:color="auto"/>
        <w:bottom w:val="none" w:sz="0" w:space="0" w:color="auto"/>
        <w:right w:val="none" w:sz="0" w:space="0" w:color="auto"/>
      </w:divBdr>
    </w:div>
    <w:div w:id="1482455203">
      <w:marLeft w:val="0"/>
      <w:marRight w:val="0"/>
      <w:marTop w:val="0"/>
      <w:marBottom w:val="0"/>
      <w:divBdr>
        <w:top w:val="none" w:sz="0" w:space="0" w:color="auto"/>
        <w:left w:val="none" w:sz="0" w:space="0" w:color="auto"/>
        <w:bottom w:val="none" w:sz="0" w:space="0" w:color="auto"/>
        <w:right w:val="none" w:sz="0" w:space="0" w:color="auto"/>
      </w:divBdr>
    </w:div>
    <w:div w:id="1570533350">
      <w:bodyDiv w:val="1"/>
      <w:marLeft w:val="0"/>
      <w:marRight w:val="0"/>
      <w:marTop w:val="0"/>
      <w:marBottom w:val="0"/>
      <w:divBdr>
        <w:top w:val="none" w:sz="0" w:space="0" w:color="auto"/>
        <w:left w:val="none" w:sz="0" w:space="0" w:color="auto"/>
        <w:bottom w:val="none" w:sz="0" w:space="0" w:color="auto"/>
        <w:right w:val="none" w:sz="0" w:space="0" w:color="auto"/>
      </w:divBdr>
    </w:div>
    <w:div w:id="1579170379">
      <w:bodyDiv w:val="1"/>
      <w:marLeft w:val="0"/>
      <w:marRight w:val="0"/>
      <w:marTop w:val="0"/>
      <w:marBottom w:val="0"/>
      <w:divBdr>
        <w:top w:val="none" w:sz="0" w:space="0" w:color="auto"/>
        <w:left w:val="none" w:sz="0" w:space="0" w:color="auto"/>
        <w:bottom w:val="none" w:sz="0" w:space="0" w:color="auto"/>
        <w:right w:val="none" w:sz="0" w:space="0" w:color="auto"/>
      </w:divBdr>
    </w:div>
    <w:div w:id="1618177881">
      <w:bodyDiv w:val="1"/>
      <w:marLeft w:val="0"/>
      <w:marRight w:val="0"/>
      <w:marTop w:val="0"/>
      <w:marBottom w:val="0"/>
      <w:divBdr>
        <w:top w:val="none" w:sz="0" w:space="0" w:color="auto"/>
        <w:left w:val="none" w:sz="0" w:space="0" w:color="auto"/>
        <w:bottom w:val="none" w:sz="0" w:space="0" w:color="auto"/>
        <w:right w:val="none" w:sz="0" w:space="0" w:color="auto"/>
      </w:divBdr>
    </w:div>
    <w:div w:id="1649937169">
      <w:bodyDiv w:val="1"/>
      <w:marLeft w:val="0"/>
      <w:marRight w:val="0"/>
      <w:marTop w:val="0"/>
      <w:marBottom w:val="0"/>
      <w:divBdr>
        <w:top w:val="none" w:sz="0" w:space="0" w:color="auto"/>
        <w:left w:val="none" w:sz="0" w:space="0" w:color="auto"/>
        <w:bottom w:val="none" w:sz="0" w:space="0" w:color="auto"/>
        <w:right w:val="none" w:sz="0" w:space="0" w:color="auto"/>
      </w:divBdr>
    </w:div>
    <w:div w:id="1850244636">
      <w:bodyDiv w:val="1"/>
      <w:marLeft w:val="0"/>
      <w:marRight w:val="0"/>
      <w:marTop w:val="0"/>
      <w:marBottom w:val="0"/>
      <w:divBdr>
        <w:top w:val="none" w:sz="0" w:space="0" w:color="auto"/>
        <w:left w:val="none" w:sz="0" w:space="0" w:color="auto"/>
        <w:bottom w:val="none" w:sz="0" w:space="0" w:color="auto"/>
        <w:right w:val="none" w:sz="0" w:space="0" w:color="auto"/>
      </w:divBdr>
    </w:div>
    <w:div w:id="1862544317">
      <w:bodyDiv w:val="1"/>
      <w:marLeft w:val="0"/>
      <w:marRight w:val="0"/>
      <w:marTop w:val="0"/>
      <w:marBottom w:val="0"/>
      <w:divBdr>
        <w:top w:val="none" w:sz="0" w:space="0" w:color="auto"/>
        <w:left w:val="none" w:sz="0" w:space="0" w:color="auto"/>
        <w:bottom w:val="none" w:sz="0" w:space="0" w:color="auto"/>
        <w:right w:val="none" w:sz="0" w:space="0" w:color="auto"/>
      </w:divBdr>
    </w:div>
    <w:div w:id="1963344865">
      <w:bodyDiv w:val="1"/>
      <w:marLeft w:val="0"/>
      <w:marRight w:val="0"/>
      <w:marTop w:val="0"/>
      <w:marBottom w:val="0"/>
      <w:divBdr>
        <w:top w:val="none" w:sz="0" w:space="0" w:color="auto"/>
        <w:left w:val="none" w:sz="0" w:space="0" w:color="auto"/>
        <w:bottom w:val="none" w:sz="0" w:space="0" w:color="auto"/>
        <w:right w:val="none" w:sz="0" w:space="0" w:color="auto"/>
      </w:divBdr>
    </w:div>
    <w:div w:id="1981575707">
      <w:bodyDiv w:val="1"/>
      <w:marLeft w:val="0"/>
      <w:marRight w:val="0"/>
      <w:marTop w:val="0"/>
      <w:marBottom w:val="0"/>
      <w:divBdr>
        <w:top w:val="none" w:sz="0" w:space="0" w:color="auto"/>
        <w:left w:val="none" w:sz="0" w:space="0" w:color="auto"/>
        <w:bottom w:val="none" w:sz="0" w:space="0" w:color="auto"/>
        <w:right w:val="none" w:sz="0" w:space="0" w:color="auto"/>
      </w:divBdr>
    </w:div>
    <w:div w:id="2014604429">
      <w:bodyDiv w:val="1"/>
      <w:marLeft w:val="0"/>
      <w:marRight w:val="0"/>
      <w:marTop w:val="0"/>
      <w:marBottom w:val="0"/>
      <w:divBdr>
        <w:top w:val="none" w:sz="0" w:space="0" w:color="auto"/>
        <w:left w:val="none" w:sz="0" w:space="0" w:color="auto"/>
        <w:bottom w:val="none" w:sz="0" w:space="0" w:color="auto"/>
        <w:right w:val="none" w:sz="0" w:space="0" w:color="auto"/>
      </w:divBdr>
    </w:div>
    <w:div w:id="206957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hyperlink" Target="mailto:ilze.briede@pmlp.gov.lv"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atio.lv/lv/pakalpojumi/tirgus-analize/majoklu-tirgus/122/latio-majoklu-tirgus-parskats-2014-06.pdf" TargetMode="External"/><Relationship Id="rId2" Type="http://schemas.openxmlformats.org/officeDocument/2006/relationships/hyperlink" Target="http://spanishnewstoday.com/is-500000%E2%82%AC-spanish-residency-offer-stimulus-for-increased-foreign-property-buyers_18856-a.html" TargetMode="External"/><Relationship Id="rId1" Type="http://schemas.openxmlformats.org/officeDocument/2006/relationships/hyperlink" Target="http://ee24.com/articles/europe/real-estate-european-countries-grant-reside/" TargetMode="External"/><Relationship Id="rId4" Type="http://schemas.openxmlformats.org/officeDocument/2006/relationships/hyperlink" Target="http://www.latio.lv/lv/pakalpojumi/tirgus-analize/majoklu-tirgus/122/latio-majoklu-tirgus-parskats-2014-06.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1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2.xml"/></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15.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3.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4.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2"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1" Type="http://schemas.openxmlformats.org/officeDocument/2006/relationships/oleObject" Target="file:///\\fls3\.Uznemejdarbibas%20konkuretspejas%20departaments\&#256;TE%20noda&#316;a\1.%20&#256;rvalstu%20invest&#299;ciju%20piesaiste\Imigr&#257;cijas%20likums_%20uztur&#275;&#353;.at&#316;aujas\zi&#326;ojumi%20par%20likuma%20pantu%20ietekmi\2014\Bankas%20un%20nekust.&#299;pa&#353;\LAN&#298;DA\GRafiki.xls"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 in Microsoft Word]Sheet1'!$A$12</c:f>
              <c:strCache>
                <c:ptCount val="1"/>
                <c:pt idx="0">
                  <c:v>Skaits</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'[Chart in Microsoft Word]Sheet1'!$B$11:$K$11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'[Chart in Microsoft Word]Sheet1'!$B$12:$K$12</c:f>
              <c:numCache>
                <c:formatCode>General</c:formatCode>
                <c:ptCount val="10"/>
                <c:pt idx="0">
                  <c:v>2061</c:v>
                </c:pt>
                <c:pt idx="1">
                  <c:v>2396</c:v>
                </c:pt>
                <c:pt idx="2">
                  <c:v>2928</c:v>
                </c:pt>
                <c:pt idx="3">
                  <c:v>4831</c:v>
                </c:pt>
                <c:pt idx="4">
                  <c:v>4609</c:v>
                </c:pt>
                <c:pt idx="5">
                  <c:v>2388</c:v>
                </c:pt>
                <c:pt idx="6">
                  <c:v>2495</c:v>
                </c:pt>
                <c:pt idx="7">
                  <c:v>4824</c:v>
                </c:pt>
                <c:pt idx="8">
                  <c:v>6365</c:v>
                </c:pt>
                <c:pt idx="9">
                  <c:v>7354</c:v>
                </c:pt>
              </c:numCache>
            </c:numRef>
          </c:val>
        </c:ser>
        <c:dLbls>
          <c:showLegendKey val="0"/>
          <c:showVal val="0"/>
          <c:showCatName val="0"/>
          <c:showSerName val="0"/>
          <c:showPercent val="0"/>
          <c:showBubbleSize val="0"/>
        </c:dLbls>
        <c:gapWidth val="150"/>
        <c:axId val="156810312"/>
        <c:axId val="156810704"/>
      </c:barChart>
      <c:catAx>
        <c:axId val="156810312"/>
        <c:scaling>
          <c:orientation val="minMax"/>
        </c:scaling>
        <c:delete val="0"/>
        <c:axPos val="b"/>
        <c:numFmt formatCode="General" sourceLinked="1"/>
        <c:majorTickMark val="out"/>
        <c:minorTickMark val="none"/>
        <c:tickLblPos val="nextTo"/>
        <c:txPr>
          <a:bodyPr/>
          <a:lstStyle/>
          <a:p>
            <a:pPr>
              <a:defRPr baseline="0">
                <a:latin typeface="Times New Roman" panose="02020603050405020304" pitchFamily="18" charset="0"/>
              </a:defRPr>
            </a:pPr>
            <a:endParaRPr lang="lv-LV"/>
          </a:p>
        </c:txPr>
        <c:crossAx val="156810704"/>
        <c:crosses val="autoZero"/>
        <c:auto val="1"/>
        <c:lblAlgn val="ctr"/>
        <c:lblOffset val="100"/>
        <c:noMultiLvlLbl val="0"/>
      </c:catAx>
      <c:valAx>
        <c:axId val="156810704"/>
        <c:scaling>
          <c:orientation val="minMax"/>
        </c:scaling>
        <c:delete val="0"/>
        <c:axPos val="l"/>
        <c:majorGridlines>
          <c:spPr>
            <a:ln>
              <a:noFill/>
            </a:ln>
          </c:spPr>
        </c:majorGridlines>
        <c:numFmt formatCode="General" sourceLinked="1"/>
        <c:majorTickMark val="out"/>
        <c:minorTickMark val="none"/>
        <c:tickLblPos val="nextTo"/>
        <c:txPr>
          <a:bodyPr/>
          <a:lstStyle/>
          <a:p>
            <a:pPr>
              <a:defRPr baseline="0">
                <a:latin typeface="Times New Roman" panose="02020603050405020304" pitchFamily="18" charset="0"/>
              </a:defRPr>
            </a:pPr>
            <a:endParaRPr lang="lv-LV"/>
          </a:p>
        </c:txPr>
        <c:crossAx val="156810312"/>
        <c:crosses val="autoZero"/>
        <c:crossBetween val="between"/>
      </c:valAx>
    </c:plotArea>
    <c:plotVisOnly val="1"/>
    <c:dispBlanksAs val="gap"/>
    <c:showDLblsOverMax val="0"/>
  </c:chart>
  <c:spPr>
    <a:no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skaits</c:v>
                </c:pt>
              </c:strCache>
            </c:strRef>
          </c:tx>
          <c:dLbls>
            <c:dLbl>
              <c:idx val="0"/>
              <c:layout>
                <c:manualLayout>
                  <c:x val="-5.6958089916179816E-2"/>
                  <c:y val="0"/>
                </c:manualLayout>
              </c:layou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2.13848107696216E-2"/>
                  <c:y val="9.5186814883433703E-3"/>
                </c:manualLayout>
              </c:layou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3.9160782321564641E-2"/>
                  <c:y val="-1.9607843137254902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3.6386758106849465E-2"/>
                  <c:y val="1.0786243631310793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0.25066294132588324"/>
                  <c:y val="-3.7459471977767549E-3"/>
                </c:manualLayout>
              </c:layout>
              <c:showLegendKey val="0"/>
              <c:showVal val="0"/>
              <c:showCatName val="1"/>
              <c:showSerName val="0"/>
              <c:showPercent val="1"/>
              <c:showBubbleSize val="0"/>
              <c:extLst>
                <c:ext xmlns:c15="http://schemas.microsoft.com/office/drawing/2012/chart" uri="{CE6537A1-D6FC-4f65-9D91-7224C49458BB}">
                  <c15:layout/>
                </c:ext>
              </c:extLst>
            </c:dLbl>
            <c:dLbl>
              <c:idx val="5"/>
              <c:layout>
                <c:manualLayout>
                  <c:x val="0"/>
                  <c:y val="-0.17035394472749754"/>
                </c:manualLayout>
              </c:layou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Sheet1!$A$2:$A$7</c:f>
              <c:strCache>
                <c:ptCount val="6"/>
                <c:pt idx="0">
                  <c:v>Komercpakalpojumi</c:v>
                </c:pt>
                <c:pt idx="1">
                  <c:v>Operāc. ar nekust. Īpaš.</c:v>
                </c:pt>
                <c:pt idx="2">
                  <c:v>Tirdzniecība</c:v>
                </c:pt>
                <c:pt idx="3">
                  <c:v>Būvniecība</c:v>
                </c:pt>
                <c:pt idx="4">
                  <c:v>Apstr. rūpniec. un lauksaimn.</c:v>
                </c:pt>
                <c:pt idx="5">
                  <c:v>Bez koda</c:v>
                </c:pt>
              </c:strCache>
            </c:strRef>
          </c:cat>
          <c:val>
            <c:numRef>
              <c:f>Sheet1!$B$2:$B$7</c:f>
              <c:numCache>
                <c:formatCode>General</c:formatCode>
                <c:ptCount val="6"/>
                <c:pt idx="0">
                  <c:v>80</c:v>
                </c:pt>
                <c:pt idx="1">
                  <c:v>61</c:v>
                </c:pt>
                <c:pt idx="2">
                  <c:v>60</c:v>
                </c:pt>
                <c:pt idx="3">
                  <c:v>18</c:v>
                </c:pt>
                <c:pt idx="4">
                  <c:v>19</c:v>
                </c:pt>
                <c:pt idx="5">
                  <c:v>314</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2"/>
              <c:layout>
                <c:manualLayout>
                  <c:x val="1.2796934865900384E-2"/>
                  <c:y val="4.4317132772196594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4.6664655423819146E-2"/>
                  <c:y val="1.4367816091954023E-3"/>
                </c:manualLayout>
              </c:layou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1"/>
            <c:showSerName val="0"/>
            <c:showPercent val="0"/>
            <c:showBubbleSize val="0"/>
            <c:showLeaderLines val="1"/>
            <c:extLst>
              <c:ext xmlns:c15="http://schemas.microsoft.com/office/drawing/2012/chart" uri="{CE6537A1-D6FC-4f65-9D91-7224C49458BB}">
                <c15:layout/>
              </c:ext>
            </c:extLst>
          </c:dLbls>
          <c:cat>
            <c:strRef>
              <c:f>Sheet1!$A$1:$A$6</c:f>
              <c:strCache>
                <c:ptCount val="6"/>
                <c:pt idx="0">
                  <c:v>Krievija</c:v>
                </c:pt>
                <c:pt idx="1">
                  <c:v>Ukraina</c:v>
                </c:pt>
                <c:pt idx="2">
                  <c:v>Kazahstāna</c:v>
                </c:pt>
                <c:pt idx="3">
                  <c:v>Uzbekistāna</c:v>
                </c:pt>
                <c:pt idx="4">
                  <c:v>Baltkrievija</c:v>
                </c:pt>
                <c:pt idx="5">
                  <c:v>Citi</c:v>
                </c:pt>
              </c:strCache>
            </c:strRef>
          </c:cat>
          <c:val>
            <c:numRef>
              <c:f>Sheet1!$B$1:$B$6</c:f>
              <c:numCache>
                <c:formatCode>0%</c:formatCode>
                <c:ptCount val="6"/>
                <c:pt idx="0">
                  <c:v>0.5850515463917525</c:v>
                </c:pt>
                <c:pt idx="1">
                  <c:v>0.1752577319587629</c:v>
                </c:pt>
                <c:pt idx="2">
                  <c:v>8.2474226804123682E-2</c:v>
                </c:pt>
                <c:pt idx="3">
                  <c:v>7.2164948453608324E-2</c:v>
                </c:pt>
                <c:pt idx="4">
                  <c:v>3.8659793814432991E-2</c:v>
                </c:pt>
                <c:pt idx="5">
                  <c:v>4.0000000000000022E-2</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1"/>
            <c:showSerName val="0"/>
            <c:showPercent val="0"/>
            <c:showBubbleSize val="0"/>
            <c:showLeaderLines val="1"/>
            <c:extLst>
              <c:ext xmlns:c15="http://schemas.microsoft.com/office/drawing/2012/chart" uri="{CE6537A1-D6FC-4f65-9D91-7224C49458BB}">
                <c15:layout/>
              </c:ext>
            </c:extLst>
          </c:dLbls>
          <c:cat>
            <c:strRef>
              <c:f>Sheet3!$A$1:$A$7</c:f>
              <c:strCache>
                <c:ptCount val="7"/>
                <c:pt idx="0">
                  <c:v>Rietumu Banka</c:v>
                </c:pt>
                <c:pt idx="1">
                  <c:v>ABLV Bank</c:v>
                </c:pt>
                <c:pt idx="2">
                  <c:v>Baltic International Bank</c:v>
                </c:pt>
                <c:pt idx="3">
                  <c:v>Norvikbanka</c:v>
                </c:pt>
                <c:pt idx="4">
                  <c:v>PrivatBank</c:v>
                </c:pt>
                <c:pt idx="5">
                  <c:v>Trasta komercbanka</c:v>
                </c:pt>
                <c:pt idx="6">
                  <c:v>Citi</c:v>
                </c:pt>
              </c:strCache>
            </c:strRef>
          </c:cat>
          <c:val>
            <c:numRef>
              <c:f>Sheet3!$B$1:$B$7</c:f>
              <c:numCache>
                <c:formatCode>0%</c:formatCode>
                <c:ptCount val="7"/>
                <c:pt idx="0">
                  <c:v>0.56000000000000005</c:v>
                </c:pt>
                <c:pt idx="1">
                  <c:v>0.14000000000000001</c:v>
                </c:pt>
                <c:pt idx="2">
                  <c:v>7.0000000000000021E-2</c:v>
                </c:pt>
                <c:pt idx="3">
                  <c:v>6.0000000000000032E-2</c:v>
                </c:pt>
                <c:pt idx="4">
                  <c:v>0.05</c:v>
                </c:pt>
                <c:pt idx="5">
                  <c:v>0.05</c:v>
                </c:pt>
                <c:pt idx="6">
                  <c:v>8.0000000000000043E-2</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Lbls>
            <c:dLbl>
              <c:idx val="0"/>
              <c:layout>
                <c:manualLayout>
                  <c:x val="-9.9230161285601562E-4"/>
                  <c:y val="1.4749262536873156E-3"/>
                </c:manualLayout>
              </c:layou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1.2097298246641099E-2"/>
                  <c:y val="5.6144751817527308E-3"/>
                </c:manualLayout>
              </c:layou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4.4873303476470644E-2"/>
                  <c:y val="-2.7079646017699209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3.017399188737778E-2"/>
                  <c:y val="-1.2877151418019674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2.4954873205905032E-2"/>
                  <c:y val="7.9646017699115113E-2"/>
                </c:manualLayout>
              </c:layou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1"/>
            <c:showSerName val="0"/>
            <c:showPercent val="0"/>
            <c:showBubbleSize val="0"/>
            <c:showLeaderLines val="1"/>
            <c:extLst>
              <c:ext xmlns:c15="http://schemas.microsoft.com/office/drawing/2012/chart" uri="{CE6537A1-D6FC-4f65-9D91-7224C49458BB}">
                <c15:layout/>
              </c:ext>
            </c:extLst>
          </c:dLbls>
          <c:cat>
            <c:strRef>
              <c:f>Sheet1!$A$2:$A$7</c:f>
              <c:strCache>
                <c:ptCount val="6"/>
                <c:pt idx="0">
                  <c:v>2014</c:v>
                </c:pt>
                <c:pt idx="1">
                  <c:v>2013</c:v>
                </c:pt>
                <c:pt idx="2">
                  <c:v>2012</c:v>
                </c:pt>
                <c:pt idx="3">
                  <c:v>2011</c:v>
                </c:pt>
                <c:pt idx="4">
                  <c:v>2010</c:v>
                </c:pt>
                <c:pt idx="5">
                  <c:v>vecāki par 2010</c:v>
                </c:pt>
              </c:strCache>
            </c:strRef>
          </c:cat>
          <c:val>
            <c:numRef>
              <c:f>Sheet1!$B$2:$B$7</c:f>
              <c:numCache>
                <c:formatCode>General</c:formatCode>
                <c:ptCount val="6"/>
                <c:pt idx="0">
                  <c:v>5</c:v>
                </c:pt>
                <c:pt idx="1">
                  <c:v>8</c:v>
                </c:pt>
                <c:pt idx="2">
                  <c:v>2</c:v>
                </c:pt>
                <c:pt idx="3">
                  <c:v>6</c:v>
                </c:pt>
                <c:pt idx="4">
                  <c:v>2</c:v>
                </c:pt>
                <c:pt idx="5">
                  <c:v>9</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skaits</c:v>
                </c:pt>
              </c:strCache>
            </c:strRef>
          </c:tx>
          <c:dLbls>
            <c:dLbl>
              <c:idx val="0"/>
              <c:layout>
                <c:manualLayout>
                  <c:x val="-1.0439953747040361E-3"/>
                  <c:y val="0"/>
                </c:manualLayout>
              </c:layou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7.2997815832461524E-2"/>
                  <c:y val="-2.8522983299653917E-4"/>
                </c:manualLayout>
              </c:layou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4.3461997320265094E-2"/>
                  <c:y val="0"/>
                </c:manualLayout>
              </c:layou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0.13531156507534461"/>
                  <c:y val="-6.2743130560007437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0.14313602408090598"/>
                  <c:y val="-3.7460804125148107E-3"/>
                </c:manualLayout>
              </c:layout>
              <c:showLegendKey val="0"/>
              <c:showVal val="0"/>
              <c:showCatName val="1"/>
              <c:showSerName val="0"/>
              <c:showPercent val="1"/>
              <c:showBubbleSize val="0"/>
              <c:extLst>
                <c:ext xmlns:c15="http://schemas.microsoft.com/office/drawing/2012/chart" uri="{CE6537A1-D6FC-4f65-9D91-7224C49458BB}">
                  <c15:layout/>
                </c:ext>
              </c:extLst>
            </c:dLbl>
            <c:dLbl>
              <c:idx val="5"/>
              <c:layout>
                <c:manualLayout>
                  <c:x val="-2.4954873205905032E-2"/>
                  <c:y val="7.9646017699115113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Sheet1!$A$2:$A$6</c:f>
              <c:strCache>
                <c:ptCount val="5"/>
                <c:pt idx="0">
                  <c:v>Komercpakalpojumi</c:v>
                </c:pt>
                <c:pt idx="1">
                  <c:v>Operāc. ar nekust. Īpaš.</c:v>
                </c:pt>
                <c:pt idx="2">
                  <c:v>Būvniecība</c:v>
                </c:pt>
                <c:pt idx="3">
                  <c:v>Apstr. rūpniec. un lauksaimn.</c:v>
                </c:pt>
                <c:pt idx="4">
                  <c:v>Bez koda</c:v>
                </c:pt>
              </c:strCache>
            </c:strRef>
          </c:cat>
          <c:val>
            <c:numRef>
              <c:f>Sheet1!$B$2:$B$6</c:f>
              <c:numCache>
                <c:formatCode>General</c:formatCode>
                <c:ptCount val="5"/>
                <c:pt idx="0">
                  <c:v>10</c:v>
                </c:pt>
                <c:pt idx="1">
                  <c:v>6</c:v>
                </c:pt>
                <c:pt idx="2">
                  <c:v>2</c:v>
                </c:pt>
                <c:pt idx="3">
                  <c:v>1</c:v>
                </c:pt>
                <c:pt idx="4">
                  <c:v>13</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227077865266839"/>
          <c:y val="5.0925925925925923E-2"/>
          <c:w val="0.771895888014"/>
          <c:h val="0.84020815106445024"/>
        </c:manualLayout>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Sheet5!$A$1:$A$5</c:f>
              <c:strCache>
                <c:ptCount val="5"/>
                <c:pt idx="0">
                  <c:v>25-50tk.€</c:v>
                </c:pt>
                <c:pt idx="1">
                  <c:v>50-150tk.€</c:v>
                </c:pt>
                <c:pt idx="2">
                  <c:v>150-250tk.€</c:v>
                </c:pt>
                <c:pt idx="3">
                  <c:v>250-500tk.€</c:v>
                </c:pt>
                <c:pt idx="4">
                  <c:v>&gt;500tk.€</c:v>
                </c:pt>
              </c:strCache>
            </c:strRef>
          </c:cat>
          <c:val>
            <c:numRef>
              <c:f>Sheet5!$B$1:$B$5</c:f>
              <c:numCache>
                <c:formatCode>General</c:formatCode>
                <c:ptCount val="5"/>
                <c:pt idx="0">
                  <c:v>290</c:v>
                </c:pt>
                <c:pt idx="1">
                  <c:v>231</c:v>
                </c:pt>
                <c:pt idx="2">
                  <c:v>28</c:v>
                </c:pt>
                <c:pt idx="3">
                  <c:v>8</c:v>
                </c:pt>
                <c:pt idx="4">
                  <c:v>2</c:v>
                </c:pt>
              </c:numCache>
            </c:numRef>
          </c:val>
        </c:ser>
        <c:dLbls>
          <c:showLegendKey val="0"/>
          <c:showVal val="0"/>
          <c:showCatName val="0"/>
          <c:showSerName val="0"/>
          <c:showPercent val="0"/>
          <c:showBubbleSize val="0"/>
        </c:dLbls>
        <c:gapWidth val="150"/>
        <c:axId val="158450632"/>
        <c:axId val="158451024"/>
      </c:barChart>
      <c:catAx>
        <c:axId val="158450632"/>
        <c:scaling>
          <c:orientation val="minMax"/>
        </c:scaling>
        <c:delete val="0"/>
        <c:axPos val="l"/>
        <c:numFmt formatCode="General" sourceLinked="0"/>
        <c:majorTickMark val="out"/>
        <c:minorTickMark val="none"/>
        <c:tickLblPos val="nextTo"/>
        <c:crossAx val="158451024"/>
        <c:crosses val="autoZero"/>
        <c:auto val="1"/>
        <c:lblAlgn val="ctr"/>
        <c:lblOffset val="100"/>
        <c:noMultiLvlLbl val="0"/>
      </c:catAx>
      <c:valAx>
        <c:axId val="158451024"/>
        <c:scaling>
          <c:orientation val="minMax"/>
        </c:scaling>
        <c:delete val="0"/>
        <c:axPos val="b"/>
        <c:majorGridlines>
          <c:spPr>
            <a:ln>
              <a:noFill/>
            </a:ln>
          </c:spPr>
        </c:majorGridlines>
        <c:numFmt formatCode="General" sourceLinked="1"/>
        <c:majorTickMark val="out"/>
        <c:minorTickMark val="none"/>
        <c:tickLblPos val="nextTo"/>
        <c:crossAx val="158450632"/>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1"/>
            <c:showSerName val="0"/>
            <c:showPercent val="0"/>
            <c:showBubbleSize val="0"/>
            <c:showLeaderLines val="1"/>
            <c:extLst>
              <c:ext xmlns:c15="http://schemas.microsoft.com/office/drawing/2012/chart" uri="{CE6537A1-D6FC-4f65-9D91-7224C49458BB}">
                <c15:layout/>
              </c:ext>
            </c:extLst>
          </c:dLbls>
          <c:cat>
            <c:strRef>
              <c:f>Sheet4!$A$1:$A$7</c:f>
              <c:strCache>
                <c:ptCount val="7"/>
                <c:pt idx="0">
                  <c:v>Krievija</c:v>
                </c:pt>
                <c:pt idx="1">
                  <c:v>Ķīna</c:v>
                </c:pt>
                <c:pt idx="2">
                  <c:v>Ukraina</c:v>
                </c:pt>
                <c:pt idx="3">
                  <c:v>Uzbekistāna</c:v>
                </c:pt>
                <c:pt idx="4">
                  <c:v>Baltkrievija</c:v>
                </c:pt>
                <c:pt idx="5">
                  <c:v>Kazahstāna</c:v>
                </c:pt>
                <c:pt idx="6">
                  <c:v>Citi</c:v>
                </c:pt>
              </c:strCache>
            </c:strRef>
          </c:cat>
          <c:val>
            <c:numRef>
              <c:f>Sheet4!$B$1:$B$7</c:f>
              <c:numCache>
                <c:formatCode>0%</c:formatCode>
                <c:ptCount val="7"/>
                <c:pt idx="0">
                  <c:v>0.59033989266547526</c:v>
                </c:pt>
                <c:pt idx="1">
                  <c:v>0.10554561717352416</c:v>
                </c:pt>
                <c:pt idx="2">
                  <c:v>8.2289803220035679E-2</c:v>
                </c:pt>
                <c:pt idx="3">
                  <c:v>7.1556350626118079E-2</c:v>
                </c:pt>
                <c:pt idx="4">
                  <c:v>3.5778175313059095E-2</c:v>
                </c:pt>
                <c:pt idx="5">
                  <c:v>2.5044722719141356E-2</c:v>
                </c:pt>
                <c:pt idx="6">
                  <c:v>8.0000000000000043E-2</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Lbls>
            <c:dLbl>
              <c:idx val="0"/>
              <c:layout>
                <c:manualLayout>
                  <c:x val="-9.9230161285601562E-4"/>
                  <c:y val="1.4749262536873156E-3"/>
                </c:manualLayout>
              </c:layou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1.2097298246641099E-2"/>
                  <c:y val="5.6144751817527308E-3"/>
                </c:manualLayout>
              </c:layou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4.4873303476470644E-2"/>
                  <c:y val="-2.7079646017699209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4.5261560486757266E-2"/>
                  <c:y val="-1.5563607646389362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4.4766404199475243E-3"/>
                  <c:y val="-1.5251434278679766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1.3832689095681246E-2"/>
                  <c:y val="4.4247787610619468E-2"/>
                </c:manualLayout>
              </c:layou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1"/>
            <c:showSerName val="0"/>
            <c:showPercent val="0"/>
            <c:showBubbleSize val="0"/>
            <c:showLeaderLines val="1"/>
            <c:extLst>
              <c:ext xmlns:c15="http://schemas.microsoft.com/office/drawing/2012/chart" uri="{CE6537A1-D6FC-4f65-9D91-7224C49458BB}"/>
            </c:extLst>
          </c:dLbls>
          <c:cat>
            <c:strRef>
              <c:f>Sheet1!$A$2:$A$7</c:f>
              <c:strCache>
                <c:ptCount val="6"/>
                <c:pt idx="0">
                  <c:v>2014</c:v>
                </c:pt>
                <c:pt idx="1">
                  <c:v>2013</c:v>
                </c:pt>
                <c:pt idx="2">
                  <c:v>2012</c:v>
                </c:pt>
                <c:pt idx="3">
                  <c:v>2011</c:v>
                </c:pt>
                <c:pt idx="4">
                  <c:v>2010</c:v>
                </c:pt>
                <c:pt idx="5">
                  <c:v>vecāki par 2010</c:v>
                </c:pt>
              </c:strCache>
            </c:strRef>
          </c:cat>
          <c:val>
            <c:numRef>
              <c:f>Sheet1!$B$2:$B$7</c:f>
              <c:numCache>
                <c:formatCode>General</c:formatCode>
                <c:ptCount val="6"/>
                <c:pt idx="0">
                  <c:v>28</c:v>
                </c:pt>
                <c:pt idx="1">
                  <c:v>104</c:v>
                </c:pt>
                <c:pt idx="2">
                  <c:v>60</c:v>
                </c:pt>
                <c:pt idx="3">
                  <c:v>35</c:v>
                </c:pt>
                <c:pt idx="4">
                  <c:v>30</c:v>
                </c:pt>
                <c:pt idx="5">
                  <c:v>94</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skaits</c:v>
                </c:pt>
              </c:strCache>
            </c:strRef>
          </c:tx>
          <c:dLbls>
            <c:dLbl>
              <c:idx val="0"/>
              <c:layout>
                <c:manualLayout>
                  <c:x val="-1.0439953747040361E-3"/>
                  <c:y val="0"/>
                </c:manualLayout>
              </c:layou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1.7053927738586581E-2"/>
                  <c:y val="-7.698139502473697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2.9475943759818202E-2"/>
                  <c:y val="2.0117994100294984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6.0719491847905864E-2"/>
                  <c:y val="-3.7460804125148107E-3"/>
                </c:manualLayout>
              </c:layou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0.14313602408090598"/>
                  <c:y val="-3.7460804125148107E-3"/>
                </c:manualLayout>
              </c:layout>
              <c:showLegendKey val="0"/>
              <c:showVal val="0"/>
              <c:showCatName val="1"/>
              <c:showSerName val="0"/>
              <c:showPercent val="1"/>
              <c:showBubbleSize val="0"/>
              <c:extLst>
                <c:ext xmlns:c15="http://schemas.microsoft.com/office/drawing/2012/chart" uri="{CE6537A1-D6FC-4f65-9D91-7224C49458BB}">
                  <c15:layout/>
                </c:ext>
              </c:extLst>
            </c:dLbl>
            <c:dLbl>
              <c:idx val="5"/>
              <c:layout>
                <c:manualLayout>
                  <c:x val="-2.4954873205905032E-2"/>
                  <c:y val="7.9646017699115113E-2"/>
                </c:manualLayout>
              </c:layou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Sheet1!$A$2:$A$7</c:f>
              <c:strCache>
                <c:ptCount val="6"/>
                <c:pt idx="0">
                  <c:v>Komercpakalpojumi</c:v>
                </c:pt>
                <c:pt idx="1">
                  <c:v>Operāc. ar nekust. Īpaš.</c:v>
                </c:pt>
                <c:pt idx="2">
                  <c:v>Būvniecība</c:v>
                </c:pt>
                <c:pt idx="3">
                  <c:v>Tirdzniecība</c:v>
                </c:pt>
                <c:pt idx="4">
                  <c:v>Apstr. rūpniec. un lauksaimn.</c:v>
                </c:pt>
                <c:pt idx="5">
                  <c:v>Bez koda</c:v>
                </c:pt>
              </c:strCache>
            </c:strRef>
          </c:cat>
          <c:val>
            <c:numRef>
              <c:f>Sheet1!$B$2:$B$7</c:f>
              <c:numCache>
                <c:formatCode>General</c:formatCode>
                <c:ptCount val="6"/>
                <c:pt idx="0">
                  <c:v>79</c:v>
                </c:pt>
                <c:pt idx="1">
                  <c:v>39</c:v>
                </c:pt>
                <c:pt idx="2">
                  <c:v>20</c:v>
                </c:pt>
                <c:pt idx="3">
                  <c:v>55</c:v>
                </c:pt>
                <c:pt idx="4">
                  <c:v>25</c:v>
                </c:pt>
                <c:pt idx="5">
                  <c:v>133</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Lbls>
            <c:dLbl>
              <c:idx val="0"/>
              <c:layout>
                <c:manualLayout>
                  <c:x val="-6.4022524457170285E-2"/>
                  <c:y val="1.4749262536873156E-3"/>
                </c:manualLayout>
              </c:layou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1.2097298246641099E-2"/>
                  <c:y val="5.6144751817527308E-3"/>
                </c:manualLayout>
              </c:layou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1.3308518253400082E-2"/>
                  <c:y val="4.9616519174041432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4.5261560486757266E-2"/>
                  <c:y val="-1.5563607646389362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1.0068814125507041E-2"/>
                  <c:y val="-3.8850254337676818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1.3832689095681246E-2"/>
                  <c:y val="4.4247787610619468E-2"/>
                </c:manualLayout>
              </c:layou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1"/>
            <c:showSerName val="0"/>
            <c:showPercent val="0"/>
            <c:showBubbleSize val="0"/>
            <c:showLeaderLines val="1"/>
            <c:extLst>
              <c:ext xmlns:c15="http://schemas.microsoft.com/office/drawing/2012/chart" uri="{CE6537A1-D6FC-4f65-9D91-7224C49458BB}"/>
            </c:extLst>
          </c:dLbls>
          <c:cat>
            <c:strRef>
              <c:f>Sheet1!$A$2:$A$7</c:f>
              <c:strCache>
                <c:ptCount val="6"/>
                <c:pt idx="0">
                  <c:v>2014</c:v>
                </c:pt>
                <c:pt idx="1">
                  <c:v>2013</c:v>
                </c:pt>
                <c:pt idx="2">
                  <c:v>2012</c:v>
                </c:pt>
                <c:pt idx="3">
                  <c:v>2011</c:v>
                </c:pt>
                <c:pt idx="4">
                  <c:v>2010</c:v>
                </c:pt>
                <c:pt idx="5">
                  <c:v>vecāki par 2010</c:v>
                </c:pt>
              </c:strCache>
            </c:strRef>
          </c:cat>
          <c:val>
            <c:numRef>
              <c:f>Sheet1!$B$2:$B$7</c:f>
              <c:numCache>
                <c:formatCode>General</c:formatCode>
                <c:ptCount val="6"/>
                <c:pt idx="0">
                  <c:v>4</c:v>
                </c:pt>
                <c:pt idx="1">
                  <c:v>4</c:v>
                </c:pt>
                <c:pt idx="2">
                  <c:v>10</c:v>
                </c:pt>
                <c:pt idx="3">
                  <c:v>9</c:v>
                </c:pt>
                <c:pt idx="4">
                  <c:v>12</c:v>
                </c:pt>
                <c:pt idx="5">
                  <c:v>54</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'[Chart in Microsoft Word]Sheet1'!$B$10</c:f>
              <c:strCache>
                <c:ptCount val="1"/>
                <c:pt idx="0">
                  <c:v>Ģimene</c:v>
                </c:pt>
              </c:strCache>
            </c:strRef>
          </c:tx>
          <c:invertIfNegative val="0"/>
          <c:cat>
            <c:numRef>
              <c:f>'[Chart in Microsoft Word]Sheet1'!$A$11:$A$17</c:f>
              <c:numCache>
                <c:formatCode>General</c:formatCode>
                <c:ptCount val="7"/>
                <c:pt idx="0">
                  <c:v>2007</c:v>
                </c:pt>
                <c:pt idx="1">
                  <c:v>2008</c:v>
                </c:pt>
                <c:pt idx="2">
                  <c:v>2009</c:v>
                </c:pt>
                <c:pt idx="3">
                  <c:v>2010</c:v>
                </c:pt>
                <c:pt idx="4">
                  <c:v>2011</c:v>
                </c:pt>
                <c:pt idx="5">
                  <c:v>2012</c:v>
                </c:pt>
                <c:pt idx="6">
                  <c:v>2013</c:v>
                </c:pt>
              </c:numCache>
            </c:numRef>
          </c:cat>
          <c:val>
            <c:numRef>
              <c:f>'[Chart in Microsoft Word]Sheet1'!$B$11:$B$17</c:f>
              <c:numCache>
                <c:formatCode>General</c:formatCode>
                <c:ptCount val="7"/>
                <c:pt idx="0">
                  <c:v>981</c:v>
                </c:pt>
                <c:pt idx="1">
                  <c:v>907</c:v>
                </c:pt>
                <c:pt idx="2">
                  <c:v>586</c:v>
                </c:pt>
                <c:pt idx="3">
                  <c:v>574</c:v>
                </c:pt>
                <c:pt idx="4">
                  <c:v>669</c:v>
                </c:pt>
                <c:pt idx="5">
                  <c:v>736</c:v>
                </c:pt>
                <c:pt idx="6">
                  <c:v>739</c:v>
                </c:pt>
              </c:numCache>
            </c:numRef>
          </c:val>
        </c:ser>
        <c:ser>
          <c:idx val="1"/>
          <c:order val="1"/>
          <c:tx>
            <c:strRef>
              <c:f>'[Chart in Microsoft Word]Sheet1'!$C$10</c:f>
              <c:strCache>
                <c:ptCount val="1"/>
                <c:pt idx="0">
                  <c:v>Darbs</c:v>
                </c:pt>
              </c:strCache>
            </c:strRef>
          </c:tx>
          <c:invertIfNegative val="0"/>
          <c:cat>
            <c:numRef>
              <c:f>'[Chart in Microsoft Word]Sheet1'!$A$11:$A$17</c:f>
              <c:numCache>
                <c:formatCode>General</c:formatCode>
                <c:ptCount val="7"/>
                <c:pt idx="0">
                  <c:v>2007</c:v>
                </c:pt>
                <c:pt idx="1">
                  <c:v>2008</c:v>
                </c:pt>
                <c:pt idx="2">
                  <c:v>2009</c:v>
                </c:pt>
                <c:pt idx="3">
                  <c:v>2010</c:v>
                </c:pt>
                <c:pt idx="4">
                  <c:v>2011</c:v>
                </c:pt>
                <c:pt idx="5">
                  <c:v>2012</c:v>
                </c:pt>
                <c:pt idx="6">
                  <c:v>2013</c:v>
                </c:pt>
              </c:numCache>
            </c:numRef>
          </c:cat>
          <c:val>
            <c:numRef>
              <c:f>'[Chart in Microsoft Word]Sheet1'!$C$11:$C$17</c:f>
              <c:numCache>
                <c:formatCode>General</c:formatCode>
                <c:ptCount val="7"/>
                <c:pt idx="0">
                  <c:v>3048</c:v>
                </c:pt>
                <c:pt idx="1">
                  <c:v>2836</c:v>
                </c:pt>
                <c:pt idx="2">
                  <c:v>908</c:v>
                </c:pt>
                <c:pt idx="3">
                  <c:v>854</c:v>
                </c:pt>
                <c:pt idx="4">
                  <c:v>1231</c:v>
                </c:pt>
                <c:pt idx="5">
                  <c:v>1383</c:v>
                </c:pt>
                <c:pt idx="6">
                  <c:v>1372</c:v>
                </c:pt>
              </c:numCache>
            </c:numRef>
          </c:val>
        </c:ser>
        <c:ser>
          <c:idx val="2"/>
          <c:order val="2"/>
          <c:tx>
            <c:strRef>
              <c:f>'[Chart in Microsoft Word]Sheet1'!$D$10</c:f>
              <c:strCache>
                <c:ptCount val="1"/>
                <c:pt idx="0">
                  <c:v>Studijas</c:v>
                </c:pt>
              </c:strCache>
            </c:strRef>
          </c:tx>
          <c:invertIfNegative val="0"/>
          <c:cat>
            <c:numRef>
              <c:f>'[Chart in Microsoft Word]Sheet1'!$A$11:$A$17</c:f>
              <c:numCache>
                <c:formatCode>General</c:formatCode>
                <c:ptCount val="7"/>
                <c:pt idx="0">
                  <c:v>2007</c:v>
                </c:pt>
                <c:pt idx="1">
                  <c:v>2008</c:v>
                </c:pt>
                <c:pt idx="2">
                  <c:v>2009</c:v>
                </c:pt>
                <c:pt idx="3">
                  <c:v>2010</c:v>
                </c:pt>
                <c:pt idx="4">
                  <c:v>2011</c:v>
                </c:pt>
                <c:pt idx="5">
                  <c:v>2012</c:v>
                </c:pt>
                <c:pt idx="6">
                  <c:v>2013</c:v>
                </c:pt>
              </c:numCache>
            </c:numRef>
          </c:cat>
          <c:val>
            <c:numRef>
              <c:f>'[Chart in Microsoft Word]Sheet1'!$D$11:$D$17</c:f>
              <c:numCache>
                <c:formatCode>General</c:formatCode>
                <c:ptCount val="7"/>
                <c:pt idx="0">
                  <c:v>460</c:v>
                </c:pt>
                <c:pt idx="1">
                  <c:v>529</c:v>
                </c:pt>
                <c:pt idx="2">
                  <c:v>472</c:v>
                </c:pt>
                <c:pt idx="3">
                  <c:v>534</c:v>
                </c:pt>
                <c:pt idx="4">
                  <c:v>771</c:v>
                </c:pt>
                <c:pt idx="5">
                  <c:v>1156</c:v>
                </c:pt>
                <c:pt idx="6">
                  <c:v>1300</c:v>
                </c:pt>
              </c:numCache>
            </c:numRef>
          </c:val>
        </c:ser>
        <c:ser>
          <c:idx val="3"/>
          <c:order val="3"/>
          <c:tx>
            <c:strRef>
              <c:f>'[Chart in Microsoft Word]Sheet1'!$E$10</c:f>
              <c:strCache>
                <c:ptCount val="1"/>
                <c:pt idx="0">
                  <c:v>Investīcijas</c:v>
                </c:pt>
              </c:strCache>
            </c:strRef>
          </c:tx>
          <c:invertIfNegative val="0"/>
          <c:cat>
            <c:numRef>
              <c:f>'[Chart in Microsoft Word]Sheet1'!$A$11:$A$17</c:f>
              <c:numCache>
                <c:formatCode>General</c:formatCode>
                <c:ptCount val="7"/>
                <c:pt idx="0">
                  <c:v>2007</c:v>
                </c:pt>
                <c:pt idx="1">
                  <c:v>2008</c:v>
                </c:pt>
                <c:pt idx="2">
                  <c:v>2009</c:v>
                </c:pt>
                <c:pt idx="3">
                  <c:v>2010</c:v>
                </c:pt>
                <c:pt idx="4">
                  <c:v>2011</c:v>
                </c:pt>
                <c:pt idx="5">
                  <c:v>2012</c:v>
                </c:pt>
                <c:pt idx="6">
                  <c:v>2013</c:v>
                </c:pt>
              </c:numCache>
            </c:numRef>
          </c:cat>
          <c:val>
            <c:numRef>
              <c:f>'[Chart in Microsoft Word]Sheet1'!$E$11:$E$17</c:f>
              <c:numCache>
                <c:formatCode>General</c:formatCode>
                <c:ptCount val="7"/>
                <c:pt idx="0">
                  <c:v>0</c:v>
                </c:pt>
                <c:pt idx="1">
                  <c:v>0</c:v>
                </c:pt>
                <c:pt idx="2">
                  <c:v>0</c:v>
                </c:pt>
                <c:pt idx="3">
                  <c:v>48</c:v>
                </c:pt>
                <c:pt idx="4">
                  <c:v>1674</c:v>
                </c:pt>
                <c:pt idx="5">
                  <c:v>2573</c:v>
                </c:pt>
                <c:pt idx="6">
                  <c:v>3410</c:v>
                </c:pt>
              </c:numCache>
            </c:numRef>
          </c:val>
        </c:ser>
        <c:ser>
          <c:idx val="4"/>
          <c:order val="4"/>
          <c:tx>
            <c:strRef>
              <c:f>'[Chart in Microsoft Word]Sheet1'!$F$10</c:f>
              <c:strCache>
                <c:ptCount val="1"/>
                <c:pt idx="0">
                  <c:v>Cits iemesls</c:v>
                </c:pt>
              </c:strCache>
            </c:strRef>
          </c:tx>
          <c:invertIfNegative val="0"/>
          <c:cat>
            <c:numRef>
              <c:f>'[Chart in Microsoft Word]Sheet1'!$A$11:$A$17</c:f>
              <c:numCache>
                <c:formatCode>General</c:formatCode>
                <c:ptCount val="7"/>
                <c:pt idx="0">
                  <c:v>2007</c:v>
                </c:pt>
                <c:pt idx="1">
                  <c:v>2008</c:v>
                </c:pt>
                <c:pt idx="2">
                  <c:v>2009</c:v>
                </c:pt>
                <c:pt idx="3">
                  <c:v>2010</c:v>
                </c:pt>
                <c:pt idx="4">
                  <c:v>2011</c:v>
                </c:pt>
                <c:pt idx="5">
                  <c:v>2012</c:v>
                </c:pt>
                <c:pt idx="6">
                  <c:v>2013</c:v>
                </c:pt>
              </c:numCache>
            </c:numRef>
          </c:cat>
          <c:val>
            <c:numRef>
              <c:f>'[Chart in Microsoft Word]Sheet1'!$F$11:$F$17</c:f>
              <c:numCache>
                <c:formatCode>General</c:formatCode>
                <c:ptCount val="7"/>
                <c:pt idx="0">
                  <c:v>342</c:v>
                </c:pt>
                <c:pt idx="1">
                  <c:v>337</c:v>
                </c:pt>
                <c:pt idx="2">
                  <c:v>342</c:v>
                </c:pt>
                <c:pt idx="3">
                  <c:v>485</c:v>
                </c:pt>
                <c:pt idx="4">
                  <c:v>479</c:v>
                </c:pt>
                <c:pt idx="5">
                  <c:v>517</c:v>
                </c:pt>
                <c:pt idx="6">
                  <c:v>533</c:v>
                </c:pt>
              </c:numCache>
            </c:numRef>
          </c:val>
        </c:ser>
        <c:dLbls>
          <c:showLegendKey val="0"/>
          <c:showVal val="0"/>
          <c:showCatName val="0"/>
          <c:showSerName val="0"/>
          <c:showPercent val="0"/>
          <c:showBubbleSize val="0"/>
        </c:dLbls>
        <c:gapWidth val="150"/>
        <c:overlap val="100"/>
        <c:axId val="156811488"/>
        <c:axId val="156811880"/>
      </c:barChart>
      <c:catAx>
        <c:axId val="156811488"/>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56811880"/>
        <c:crosses val="autoZero"/>
        <c:auto val="1"/>
        <c:lblAlgn val="ctr"/>
        <c:lblOffset val="100"/>
        <c:noMultiLvlLbl val="0"/>
      </c:catAx>
      <c:valAx>
        <c:axId val="156811880"/>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56811488"/>
        <c:crosses val="autoZero"/>
        <c:crossBetween val="between"/>
      </c:valAx>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skaits</c:v>
                </c:pt>
              </c:strCache>
            </c:strRef>
          </c:tx>
          <c:dLbls>
            <c:dLbl>
              <c:idx val="0"/>
              <c:layout>
                <c:manualLayout>
                  <c:x val="-4.7664041994750571E-2"/>
                  <c:y val="-1.179941002949852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1.7053927738586581E-2"/>
                  <c:y val="-7.698139502473697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2.9475943759818202E-2"/>
                  <c:y val="2.0117994100294984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4.5482076978140057E-3"/>
                  <c:y val="-3.7460804125148107E-3"/>
                </c:manualLayout>
              </c:layou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0.14313602408090598"/>
                  <c:y val="-3.7460804125148107E-3"/>
                </c:manualLayout>
              </c:layout>
              <c:showLegendKey val="0"/>
              <c:showVal val="0"/>
              <c:showCatName val="1"/>
              <c:showSerName val="0"/>
              <c:showPercent val="1"/>
              <c:showBubbleSize val="0"/>
              <c:extLst>
                <c:ext xmlns:c15="http://schemas.microsoft.com/office/drawing/2012/chart" uri="{CE6537A1-D6FC-4f65-9D91-7224C49458BB}">
                  <c15:layout/>
                </c:ext>
              </c:extLst>
            </c:dLbl>
            <c:dLbl>
              <c:idx val="5"/>
              <c:layout>
                <c:manualLayout>
                  <c:x val="-2.4954873205905032E-2"/>
                  <c:y val="7.9646017699115113E-2"/>
                </c:manualLayout>
              </c:layou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Sheet1!$A$2:$A$7</c:f>
              <c:strCache>
                <c:ptCount val="6"/>
                <c:pt idx="0">
                  <c:v>Komercpakalpojumi</c:v>
                </c:pt>
                <c:pt idx="1">
                  <c:v>Operāc. ar nekust. Īpaš.</c:v>
                </c:pt>
                <c:pt idx="2">
                  <c:v>Būvniecība</c:v>
                </c:pt>
                <c:pt idx="3">
                  <c:v>Tirdzniecība</c:v>
                </c:pt>
                <c:pt idx="4">
                  <c:v>Apstr. rūpniec. un lauksaimn.</c:v>
                </c:pt>
                <c:pt idx="5">
                  <c:v>Bez koda</c:v>
                </c:pt>
              </c:strCache>
            </c:strRef>
          </c:cat>
          <c:val>
            <c:numRef>
              <c:f>Sheet1!$B$2:$B$7</c:f>
              <c:numCache>
                <c:formatCode>General</c:formatCode>
                <c:ptCount val="6"/>
                <c:pt idx="0">
                  <c:v>29</c:v>
                </c:pt>
                <c:pt idx="1">
                  <c:v>11</c:v>
                </c:pt>
                <c:pt idx="2">
                  <c:v>6</c:v>
                </c:pt>
                <c:pt idx="3">
                  <c:v>19</c:v>
                </c:pt>
                <c:pt idx="4">
                  <c:v>13</c:v>
                </c:pt>
                <c:pt idx="5">
                  <c:v>15</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369895710300464"/>
          <c:y val="3.1819172113293714E-2"/>
          <c:w val="0.877222464455788"/>
          <c:h val="0.8672640151693537"/>
        </c:manualLayout>
      </c:layout>
      <c:barChart>
        <c:barDir val="col"/>
        <c:grouping val="clustered"/>
        <c:varyColors val="0"/>
        <c:ser>
          <c:idx val="1"/>
          <c:order val="0"/>
          <c:tx>
            <c:strRef>
              <c:f>Sheet1!$A$4</c:f>
              <c:strCache>
                <c:ptCount val="1"/>
                <c:pt idx="0">
                  <c:v>Kredītu maksājuma kavējumi, Ar kavējumu virs 180 dienām milj.latu</c:v>
                </c:pt>
              </c:strCache>
            </c:strRef>
          </c:tx>
          <c:spPr>
            <a:solidFill>
              <a:srgbClr val="0070C0"/>
            </a:solidFill>
            <a:ln w="9525">
              <a:solidFill>
                <a:srgbClr val="000000"/>
              </a:solidFill>
              <a:prstDash val="solid"/>
            </a:ln>
          </c:spPr>
          <c:invertIfNegative val="0"/>
          <c:cat>
            <c:multiLvlStrRef>
              <c:f>Sheet1!$B$2:$AE$3</c:f>
              <c:multiLvlStrCache>
                <c:ptCount val="3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lvl>
                <c:lvl>
                  <c:pt idx="0">
                    <c:v>2007</c:v>
                  </c:pt>
                  <c:pt idx="4">
                    <c:v>2008</c:v>
                  </c:pt>
                  <c:pt idx="8">
                    <c:v>2009</c:v>
                  </c:pt>
                  <c:pt idx="12">
                    <c:v>2010</c:v>
                  </c:pt>
                  <c:pt idx="16">
                    <c:v>2011</c:v>
                  </c:pt>
                  <c:pt idx="20">
                    <c:v>2012</c:v>
                  </c:pt>
                  <c:pt idx="24">
                    <c:v>2013</c:v>
                  </c:pt>
                  <c:pt idx="28">
                    <c:v>2014</c:v>
                  </c:pt>
                </c:lvl>
              </c:multiLvlStrCache>
            </c:multiLvlStrRef>
          </c:cat>
          <c:val>
            <c:numRef>
              <c:f>Sheet1!$B$4:$AE$4</c:f>
              <c:numCache>
                <c:formatCode>General</c:formatCode>
                <c:ptCount val="30"/>
                <c:pt idx="0">
                  <c:v>51.786859494254394</c:v>
                </c:pt>
                <c:pt idx="1">
                  <c:v>52.926521476827105</c:v>
                </c:pt>
                <c:pt idx="2">
                  <c:v>74.720690263572777</c:v>
                </c:pt>
                <c:pt idx="3">
                  <c:v>78.315665534060713</c:v>
                </c:pt>
                <c:pt idx="4">
                  <c:v>131.98111279958565</c:v>
                </c:pt>
                <c:pt idx="5">
                  <c:v>202.83179947752171</c:v>
                </c:pt>
                <c:pt idx="6">
                  <c:v>342.05673985919208</c:v>
                </c:pt>
                <c:pt idx="7">
                  <c:v>495.67513702255525</c:v>
                </c:pt>
                <c:pt idx="8">
                  <c:v>774.06569256862554</c:v>
                </c:pt>
                <c:pt idx="9">
                  <c:v>1499.340082014329</c:v>
                </c:pt>
                <c:pt idx="10">
                  <c:v>2379.9414630537103</c:v>
                </c:pt>
                <c:pt idx="11">
                  <c:v>2885.1872926164342</c:v>
                </c:pt>
                <c:pt idx="12">
                  <c:v>3265.7959018446109</c:v>
                </c:pt>
                <c:pt idx="13">
                  <c:v>3532.5335157455042</c:v>
                </c:pt>
                <c:pt idx="14">
                  <c:v>3674.9578331938915</c:v>
                </c:pt>
                <c:pt idx="15">
                  <c:v>3516.0719318615193</c:v>
                </c:pt>
                <c:pt idx="16">
                  <c:v>3411.1760519291297</c:v>
                </c:pt>
                <c:pt idx="17">
                  <c:v>3269.005291660264</c:v>
                </c:pt>
                <c:pt idx="18">
                  <c:v>3175.0952043528491</c:v>
                </c:pt>
                <c:pt idx="19">
                  <c:v>2992.1862325769362</c:v>
                </c:pt>
                <c:pt idx="20">
                  <c:v>2075.9555452160212</c:v>
                </c:pt>
                <c:pt idx="21">
                  <c:v>1939.1504900370485</c:v>
                </c:pt>
                <c:pt idx="22">
                  <c:v>1874.618065634231</c:v>
                </c:pt>
                <c:pt idx="23">
                  <c:v>1696.5610127432401</c:v>
                </c:pt>
                <c:pt idx="24">
                  <c:v>1649.226430128457</c:v>
                </c:pt>
                <c:pt idx="25">
                  <c:v>1494.9703601573126</c:v>
                </c:pt>
                <c:pt idx="26">
                  <c:v>1382.7321714162131</c:v>
                </c:pt>
                <c:pt idx="27">
                  <c:v>1200.6456864218189</c:v>
                </c:pt>
                <c:pt idx="28">
                  <c:v>1099.1377570000011</c:v>
                </c:pt>
                <c:pt idx="29">
                  <c:v>1037.4585210000018</c:v>
                </c:pt>
              </c:numCache>
            </c:numRef>
          </c:val>
        </c:ser>
        <c:dLbls>
          <c:showLegendKey val="0"/>
          <c:showVal val="0"/>
          <c:showCatName val="0"/>
          <c:showSerName val="0"/>
          <c:showPercent val="0"/>
          <c:showBubbleSize val="0"/>
        </c:dLbls>
        <c:gapWidth val="50"/>
        <c:axId val="157691104"/>
        <c:axId val="157691496"/>
      </c:barChart>
      <c:catAx>
        <c:axId val="157691104"/>
        <c:scaling>
          <c:orientation val="minMax"/>
        </c:scaling>
        <c:delete val="0"/>
        <c:axPos val="b"/>
        <c:numFmt formatCode="General" sourceLinked="1"/>
        <c:majorTickMark val="none"/>
        <c:minorTickMark val="none"/>
        <c:tickLblPos val="nextTo"/>
        <c:spPr>
          <a:ln w="6350">
            <a:solidFill>
              <a:srgbClr val="000000"/>
            </a:solidFill>
            <a:prstDash val="solid"/>
          </a:ln>
        </c:spPr>
        <c:txPr>
          <a:bodyPr rot="0" vert="horz"/>
          <a:lstStyle/>
          <a:p>
            <a:pPr>
              <a:defRPr/>
            </a:pPr>
            <a:endParaRPr lang="lv-LV"/>
          </a:p>
        </c:txPr>
        <c:crossAx val="157691496"/>
        <c:crosses val="autoZero"/>
        <c:auto val="1"/>
        <c:lblAlgn val="ctr"/>
        <c:lblOffset val="0"/>
        <c:tickLblSkip val="1"/>
        <c:tickMarkSkip val="1"/>
        <c:noMultiLvlLbl val="1"/>
      </c:catAx>
      <c:valAx>
        <c:axId val="157691496"/>
        <c:scaling>
          <c:orientation val="minMax"/>
        </c:scaling>
        <c:delete val="0"/>
        <c:axPos val="l"/>
        <c:numFmt formatCode="0" sourceLinked="0"/>
        <c:majorTickMark val="out"/>
        <c:minorTickMark val="none"/>
        <c:tickLblPos val="nextTo"/>
        <c:spPr>
          <a:ln w="6350">
            <a:solidFill>
              <a:sysClr val="windowText" lastClr="000000"/>
            </a:solidFill>
          </a:ln>
        </c:spPr>
        <c:txPr>
          <a:bodyPr rot="0" vert="horz"/>
          <a:lstStyle/>
          <a:p>
            <a:pPr>
              <a:defRPr/>
            </a:pPr>
            <a:endParaRPr lang="lv-LV"/>
          </a:p>
        </c:txPr>
        <c:crossAx val="157691104"/>
        <c:crosses val="autoZero"/>
        <c:crossBetween val="between"/>
      </c:valAx>
      <c:spPr>
        <a:noFill/>
        <a:ln w="25400">
          <a:noFill/>
        </a:ln>
      </c:spPr>
    </c:plotArea>
    <c:plotVisOnly val="1"/>
    <c:dispBlanksAs val="gap"/>
    <c:showDLblsOverMax val="0"/>
  </c:chart>
  <c:spPr>
    <a:noFill/>
    <a:ln>
      <a:noFill/>
    </a:ln>
  </c:spPr>
  <c:txPr>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lv-LV"/>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955255308977971E-2"/>
          <c:y val="3.0163186123473726E-2"/>
          <c:w val="0.877222464455788"/>
          <c:h val="0.7803638744007797"/>
        </c:manualLayout>
      </c:layout>
      <c:lineChart>
        <c:grouping val="standard"/>
        <c:varyColors val="0"/>
        <c:ser>
          <c:idx val="1"/>
          <c:order val="0"/>
          <c:tx>
            <c:strRef>
              <c:f>Sheet1!$A$7</c:f>
              <c:strCache>
                <c:ptCount val="1"/>
                <c:pt idx="0">
                  <c:v>Kredītu maksājuma kavējumi, Ar kavējumu virs 180 dienām milj.latu</c:v>
                </c:pt>
              </c:strCache>
            </c:strRef>
          </c:tx>
          <c:spPr>
            <a:ln w="29581">
              <a:solidFill>
                <a:srgbClr val="0070C0"/>
              </a:solidFill>
              <a:prstDash val="solid"/>
            </a:ln>
          </c:spPr>
          <c:marker>
            <c:symbol val="none"/>
          </c:marker>
          <c:cat>
            <c:multiLvlStrRef>
              <c:f>Sheet1!$B$5:$AE$6</c:f>
              <c:multiLvlStrCache>
                <c:ptCount val="3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lvl>
                <c:lvl>
                  <c:pt idx="0">
                    <c:v>2007</c:v>
                  </c:pt>
                  <c:pt idx="4">
                    <c:v>2008</c:v>
                  </c:pt>
                  <c:pt idx="8">
                    <c:v>2009</c:v>
                  </c:pt>
                  <c:pt idx="12">
                    <c:v>2010</c:v>
                  </c:pt>
                  <c:pt idx="16">
                    <c:v>2011</c:v>
                  </c:pt>
                  <c:pt idx="20">
                    <c:v>2012</c:v>
                  </c:pt>
                  <c:pt idx="24">
                    <c:v>2013</c:v>
                  </c:pt>
                  <c:pt idx="28">
                    <c:v>2014</c:v>
                  </c:pt>
                </c:lvl>
              </c:multiLvlStrCache>
            </c:multiLvlStrRef>
          </c:cat>
          <c:val>
            <c:numRef>
              <c:f>Sheet1!$B$7:$AE$7</c:f>
              <c:numCache>
                <c:formatCode>General</c:formatCode>
                <c:ptCount val="30"/>
                <c:pt idx="0">
                  <c:v>51</c:v>
                </c:pt>
                <c:pt idx="1">
                  <c:v>48.11</c:v>
                </c:pt>
                <c:pt idx="2">
                  <c:v>54.690000000000012</c:v>
                </c:pt>
                <c:pt idx="3">
                  <c:v>55.7</c:v>
                </c:pt>
                <c:pt idx="4">
                  <c:v>51.408000000000001</c:v>
                </c:pt>
                <c:pt idx="5">
                  <c:v>50.720000000000013</c:v>
                </c:pt>
                <c:pt idx="6">
                  <c:v>49.13</c:v>
                </c:pt>
                <c:pt idx="7">
                  <c:v>52.77</c:v>
                </c:pt>
                <c:pt idx="8">
                  <c:v>48.04</c:v>
                </c:pt>
                <c:pt idx="9">
                  <c:v>49.57</c:v>
                </c:pt>
                <c:pt idx="10">
                  <c:v>54.4</c:v>
                </c:pt>
                <c:pt idx="11">
                  <c:v>62.82</c:v>
                </c:pt>
                <c:pt idx="12">
                  <c:v>62.82</c:v>
                </c:pt>
                <c:pt idx="13">
                  <c:v>64.48</c:v>
                </c:pt>
                <c:pt idx="14">
                  <c:v>66.400000000000006</c:v>
                </c:pt>
                <c:pt idx="15">
                  <c:v>67.86</c:v>
                </c:pt>
                <c:pt idx="16">
                  <c:v>65.09</c:v>
                </c:pt>
                <c:pt idx="17">
                  <c:v>62.25</c:v>
                </c:pt>
                <c:pt idx="18">
                  <c:v>60.05</c:v>
                </c:pt>
                <c:pt idx="19">
                  <c:v>63.89</c:v>
                </c:pt>
                <c:pt idx="20">
                  <c:v>63.24</c:v>
                </c:pt>
                <c:pt idx="21">
                  <c:v>59.260000000000012</c:v>
                </c:pt>
                <c:pt idx="22">
                  <c:v>59.39</c:v>
                </c:pt>
                <c:pt idx="23">
                  <c:v>59.68</c:v>
                </c:pt>
                <c:pt idx="24" formatCode="0.00">
                  <c:v>58.91</c:v>
                </c:pt>
                <c:pt idx="25" formatCode="0.00">
                  <c:v>64.872071621226198</c:v>
                </c:pt>
                <c:pt idx="26" formatCode="0.00">
                  <c:v>64.668999999999983</c:v>
                </c:pt>
                <c:pt idx="27" formatCode="0.00">
                  <c:v>64.398143970574878</c:v>
                </c:pt>
                <c:pt idx="28" formatCode="0.00">
                  <c:v>63.458233085912894</c:v>
                </c:pt>
                <c:pt idx="29" formatCode="0.00">
                  <c:v>61.483067753415241</c:v>
                </c:pt>
              </c:numCache>
            </c:numRef>
          </c:val>
          <c:smooth val="0"/>
        </c:ser>
        <c:dLbls>
          <c:showLegendKey val="0"/>
          <c:showVal val="0"/>
          <c:showCatName val="0"/>
          <c:showSerName val="0"/>
          <c:showPercent val="0"/>
          <c:showBubbleSize val="0"/>
        </c:dLbls>
        <c:smooth val="0"/>
        <c:axId val="157692280"/>
        <c:axId val="157692672"/>
      </c:lineChart>
      <c:catAx>
        <c:axId val="157692280"/>
        <c:scaling>
          <c:orientation val="minMax"/>
        </c:scaling>
        <c:delete val="0"/>
        <c:axPos val="b"/>
        <c:numFmt formatCode="General" sourceLinked="1"/>
        <c:majorTickMark val="none"/>
        <c:minorTickMark val="none"/>
        <c:tickLblPos val="nextTo"/>
        <c:spPr>
          <a:ln w="5916">
            <a:solidFill>
              <a:srgbClr val="000000"/>
            </a:solidFill>
            <a:prstDash val="solid"/>
          </a:ln>
        </c:spPr>
        <c:txPr>
          <a:bodyPr rot="0" vert="horz"/>
          <a:lstStyle/>
          <a:p>
            <a:pPr>
              <a:defRPr lang="lv-LV" sz="800" b="0" i="0" u="none" strike="noStrike" baseline="0">
                <a:solidFill>
                  <a:srgbClr val="000000"/>
                </a:solidFill>
                <a:latin typeface="Times New Roman" panose="02020603050405020304" pitchFamily="18" charset="0"/>
                <a:ea typeface="Times New Roman"/>
                <a:cs typeface="Times New Roman" panose="02020603050405020304" pitchFamily="18" charset="0"/>
              </a:defRPr>
            </a:pPr>
            <a:endParaRPr lang="lv-LV"/>
          </a:p>
        </c:txPr>
        <c:crossAx val="157692672"/>
        <c:crosses val="autoZero"/>
        <c:auto val="1"/>
        <c:lblAlgn val="ctr"/>
        <c:lblOffset val="0"/>
        <c:tickLblSkip val="1"/>
        <c:noMultiLvlLbl val="1"/>
      </c:catAx>
      <c:valAx>
        <c:axId val="157692672"/>
        <c:scaling>
          <c:orientation val="minMax"/>
          <c:min val="40"/>
        </c:scaling>
        <c:delete val="0"/>
        <c:axPos val="l"/>
        <c:numFmt formatCode="0" sourceLinked="0"/>
        <c:majorTickMark val="out"/>
        <c:minorTickMark val="none"/>
        <c:tickLblPos val="nextTo"/>
        <c:spPr>
          <a:ln w="5916">
            <a:solidFill>
              <a:sysClr val="windowText" lastClr="000000"/>
            </a:solidFill>
          </a:ln>
        </c:spPr>
        <c:txPr>
          <a:bodyPr rot="0" vert="horz"/>
          <a:lstStyle/>
          <a:p>
            <a:pPr>
              <a:defRPr lang="lv-LV" sz="745" b="0" i="0" u="none" strike="noStrike" baseline="0">
                <a:solidFill>
                  <a:srgbClr val="000000"/>
                </a:solidFill>
                <a:latin typeface="Arial" pitchFamily="34" charset="0"/>
                <a:ea typeface="Times New Roman"/>
                <a:cs typeface="Arial" pitchFamily="34" charset="0"/>
              </a:defRPr>
            </a:pPr>
            <a:endParaRPr lang="lv-LV"/>
          </a:p>
        </c:txPr>
        <c:crossAx val="157692280"/>
        <c:crosses val="autoZero"/>
        <c:crossBetween val="between"/>
      </c:valAx>
      <c:spPr>
        <a:noFill/>
        <a:ln w="23664">
          <a:noFill/>
        </a:ln>
      </c:spPr>
    </c:plotArea>
    <c:plotVisOnly val="1"/>
    <c:dispBlanksAs val="gap"/>
    <c:showDLblsOverMax val="0"/>
  </c:chart>
  <c:spPr>
    <a:noFill/>
    <a:ln>
      <a:noFill/>
    </a:ln>
  </c:spPr>
  <c:txPr>
    <a:bodyPr/>
    <a:lstStyle/>
    <a:p>
      <a:pPr>
        <a:defRPr sz="745" b="1" i="0" u="none" strike="noStrike" baseline="0">
          <a:solidFill>
            <a:srgbClr val="000000"/>
          </a:solidFill>
          <a:latin typeface="Arial"/>
          <a:ea typeface="Arial"/>
          <a:cs typeface="Arial"/>
        </a:defRPr>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Sheet1!$A$2</c:f>
              <c:strCache>
                <c:ptCount val="1"/>
                <c:pt idx="0">
                  <c:v>Neto ĀTI Latvijā</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Sheet1!$B$1:$I$1</c:f>
              <c:strCache>
                <c:ptCount val="8"/>
                <c:pt idx="0">
                  <c:v>2007</c:v>
                </c:pt>
                <c:pt idx="1">
                  <c:v>2008</c:v>
                </c:pt>
                <c:pt idx="2">
                  <c:v>2009</c:v>
                </c:pt>
                <c:pt idx="3">
                  <c:v>2010</c:v>
                </c:pt>
                <c:pt idx="4">
                  <c:v>2011</c:v>
                </c:pt>
                <c:pt idx="5">
                  <c:v>2012</c:v>
                </c:pt>
                <c:pt idx="6">
                  <c:v>2013</c:v>
                </c:pt>
                <c:pt idx="7">
                  <c:v>2014 I-VI</c:v>
                </c:pt>
              </c:strCache>
            </c:strRef>
          </c:cat>
          <c:val>
            <c:numRef>
              <c:f>Sheet1!$B$2:$I$2</c:f>
              <c:numCache>
                <c:formatCode>General</c:formatCode>
                <c:ptCount val="8"/>
                <c:pt idx="0">
                  <c:v>1697.76</c:v>
                </c:pt>
                <c:pt idx="1">
                  <c:v>862.95999999999947</c:v>
                </c:pt>
                <c:pt idx="2">
                  <c:v>67.579999999999956</c:v>
                </c:pt>
                <c:pt idx="3">
                  <c:v>286.45999999999964</c:v>
                </c:pt>
                <c:pt idx="4">
                  <c:v>1045.3599999999999</c:v>
                </c:pt>
                <c:pt idx="5">
                  <c:v>863.19000000000051</c:v>
                </c:pt>
                <c:pt idx="6">
                  <c:v>680.19</c:v>
                </c:pt>
                <c:pt idx="7">
                  <c:v>82.14</c:v>
                </c:pt>
              </c:numCache>
            </c:numRef>
          </c:val>
        </c:ser>
        <c:ser>
          <c:idx val="1"/>
          <c:order val="1"/>
          <c:tx>
            <c:strRef>
              <c:f>Sheet1!$A$3</c:f>
              <c:strCache>
                <c:ptCount val="1"/>
                <c:pt idx="0">
                  <c:v>Saistībā ar TUA attiecināmie ieguldījumi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Sheet1!$B$1:$I$1</c:f>
              <c:strCache>
                <c:ptCount val="8"/>
                <c:pt idx="0">
                  <c:v>2007</c:v>
                </c:pt>
                <c:pt idx="1">
                  <c:v>2008</c:v>
                </c:pt>
                <c:pt idx="2">
                  <c:v>2009</c:v>
                </c:pt>
                <c:pt idx="3">
                  <c:v>2010</c:v>
                </c:pt>
                <c:pt idx="4">
                  <c:v>2011</c:v>
                </c:pt>
                <c:pt idx="5">
                  <c:v>2012</c:v>
                </c:pt>
                <c:pt idx="6">
                  <c:v>2013</c:v>
                </c:pt>
                <c:pt idx="7">
                  <c:v>2014 I-VI</c:v>
                </c:pt>
              </c:strCache>
            </c:strRef>
          </c:cat>
          <c:val>
            <c:numRef>
              <c:f>Sheet1!$B$3:$I$3</c:f>
              <c:numCache>
                <c:formatCode>General</c:formatCode>
                <c:ptCount val="8"/>
                <c:pt idx="3">
                  <c:v>28.43</c:v>
                </c:pt>
                <c:pt idx="4">
                  <c:v>177.31</c:v>
                </c:pt>
                <c:pt idx="5">
                  <c:v>249.85000000000022</c:v>
                </c:pt>
                <c:pt idx="6">
                  <c:v>360.37</c:v>
                </c:pt>
                <c:pt idx="7">
                  <c:v>201.13</c:v>
                </c:pt>
              </c:numCache>
            </c:numRef>
          </c:val>
        </c:ser>
        <c:ser>
          <c:idx val="2"/>
          <c:order val="2"/>
          <c:tx>
            <c:strRef>
              <c:f>Sheet1!$A$4</c:f>
              <c:strCache>
                <c:ptCount val="1"/>
                <c:pt idx="0">
                  <c:v>Attiecinātie ieguldījumi nekustāmo īpašumu nozarē saistībā ar TUA</c:v>
                </c:pt>
              </c:strCache>
            </c:strRef>
          </c:tx>
          <c:invertIfNegative val="0"/>
          <c:cat>
            <c:strRef>
              <c:f>Sheet1!$B$1:$I$1</c:f>
              <c:strCache>
                <c:ptCount val="8"/>
                <c:pt idx="0">
                  <c:v>2007</c:v>
                </c:pt>
                <c:pt idx="1">
                  <c:v>2008</c:v>
                </c:pt>
                <c:pt idx="2">
                  <c:v>2009</c:v>
                </c:pt>
                <c:pt idx="3">
                  <c:v>2010</c:v>
                </c:pt>
                <c:pt idx="4">
                  <c:v>2011</c:v>
                </c:pt>
                <c:pt idx="5">
                  <c:v>2012</c:v>
                </c:pt>
                <c:pt idx="6">
                  <c:v>2013</c:v>
                </c:pt>
                <c:pt idx="7">
                  <c:v>2014 I-VI</c:v>
                </c:pt>
              </c:strCache>
            </c:strRef>
          </c:cat>
          <c:val>
            <c:numRef>
              <c:f>Sheet1!$B$4:$I$4</c:f>
              <c:numCache>
                <c:formatCode>General</c:formatCode>
                <c:ptCount val="8"/>
                <c:pt idx="3">
                  <c:v>15.84</c:v>
                </c:pt>
                <c:pt idx="4">
                  <c:v>138.6</c:v>
                </c:pt>
                <c:pt idx="5">
                  <c:v>208.04</c:v>
                </c:pt>
                <c:pt idx="6">
                  <c:v>296.97000000000003</c:v>
                </c:pt>
                <c:pt idx="7">
                  <c:v>178.09</c:v>
                </c:pt>
              </c:numCache>
            </c:numRef>
          </c:val>
        </c:ser>
        <c:dLbls>
          <c:showLegendKey val="0"/>
          <c:showVal val="0"/>
          <c:showCatName val="0"/>
          <c:showSerName val="0"/>
          <c:showPercent val="0"/>
          <c:showBubbleSize val="0"/>
        </c:dLbls>
        <c:gapWidth val="150"/>
        <c:axId val="156812664"/>
        <c:axId val="156813056"/>
      </c:barChart>
      <c:catAx>
        <c:axId val="156812664"/>
        <c:scaling>
          <c:orientation val="minMax"/>
        </c:scaling>
        <c:delete val="0"/>
        <c:axPos val="b"/>
        <c:numFmt formatCode="General" sourceLinked="0"/>
        <c:majorTickMark val="out"/>
        <c:minorTickMark val="none"/>
        <c:tickLblPos val="nextTo"/>
        <c:crossAx val="156813056"/>
        <c:crosses val="autoZero"/>
        <c:auto val="1"/>
        <c:lblAlgn val="ctr"/>
        <c:lblOffset val="100"/>
        <c:noMultiLvlLbl val="0"/>
      </c:catAx>
      <c:valAx>
        <c:axId val="156813056"/>
        <c:scaling>
          <c:orientation val="minMax"/>
        </c:scaling>
        <c:delete val="0"/>
        <c:axPos val="l"/>
        <c:majorGridlines>
          <c:spPr>
            <a:ln>
              <a:noFill/>
            </a:ln>
          </c:spPr>
        </c:majorGridlines>
        <c:numFmt formatCode="General" sourceLinked="1"/>
        <c:majorTickMark val="out"/>
        <c:minorTickMark val="none"/>
        <c:tickLblPos val="nextTo"/>
        <c:crossAx val="156812664"/>
        <c:crosses val="autoZero"/>
        <c:crossBetween val="between"/>
      </c:valAx>
    </c:plotArea>
    <c:legend>
      <c:legendPos val="r"/>
      <c:layout>
        <c:manualLayout>
          <c:xMode val="edge"/>
          <c:yMode val="edge"/>
          <c:x val="0.24690398075240655"/>
          <c:y val="3.5998625171853552E-2"/>
          <c:w val="0.30633675998833482"/>
          <c:h val="0.46300618672665961"/>
        </c:manualLayout>
      </c:layout>
      <c:overlay val="1"/>
      <c:spPr>
        <a:noFill/>
      </c:sp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manualLayout>
          <c:layoutTarget val="inner"/>
          <c:xMode val="edge"/>
          <c:yMode val="edge"/>
          <c:x val="0.33639305527644353"/>
          <c:y val="0.11356821922683392"/>
          <c:w val="0.42311489486088094"/>
          <c:h val="0.77272254103830262"/>
        </c:manualLayout>
      </c:layout>
      <c:pieChart>
        <c:varyColors val="1"/>
        <c:ser>
          <c:idx val="0"/>
          <c:order val="0"/>
          <c:tx>
            <c:strRef>
              <c:f>Sheet1!$B$11</c:f>
              <c:strCache>
                <c:ptCount val="1"/>
              </c:strCache>
            </c:strRef>
          </c:tx>
          <c:dLbls>
            <c:dLbl>
              <c:idx val="0"/>
              <c:layout>
                <c:manualLayout>
                  <c:x val="8.5304882133353001E-3"/>
                  <c:y val="-2.3383602473419689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1.3666649877720509E-2"/>
                  <c:y val="-5.0967569731749634E-3"/>
                </c:manualLayout>
              </c:layou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1.5585514497255032E-2"/>
                  <c:y val="3.1233595800524996E-2"/>
                </c:manualLayout>
              </c:layout>
              <c:tx>
                <c:rich>
                  <a:bodyPr/>
                  <a:lstStyle/>
                  <a:p>
                    <a:r>
                      <a:rPr lang="en-US" sz="1200">
                        <a:latin typeface="Times New Roman" panose="02020603050405020304" pitchFamily="18" charset="0"/>
                        <a:cs typeface="Times New Roman" panose="02020603050405020304" pitchFamily="18" charset="0"/>
                      </a:rPr>
                      <a:t>Uzbekistāna; 4%</a:t>
                    </a:r>
                    <a:endParaRPr lang="en-US"/>
                  </a:p>
                </c:rich>
              </c:tx>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2.0714568451565381E-2"/>
                  <c:y val="8.2350638373593202E-2"/>
                </c:manualLayout>
              </c:layout>
              <c:tx>
                <c:rich>
                  <a:bodyPr/>
                  <a:lstStyle/>
                  <a:p>
                    <a:r>
                      <a:rPr lang="en-US" sz="1200">
                        <a:latin typeface="Times New Roman" panose="02020603050405020304" pitchFamily="18" charset="0"/>
                        <a:cs typeface="Times New Roman" panose="02020603050405020304" pitchFamily="18" charset="0"/>
                      </a:rPr>
                      <a:t>Kazahstāna; 4%</a:t>
                    </a:r>
                    <a:endParaRPr lang="en-US"/>
                  </a:p>
                </c:rich>
              </c:tx>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1.6841746289834442E-2"/>
                  <c:y val="0.13109390987143588"/>
                </c:manualLayout>
              </c:layou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lv-LV"/>
              </a:p>
            </c:txPr>
            <c:showLegendKey val="0"/>
            <c:showVal val="1"/>
            <c:showCatName val="1"/>
            <c:showSerName val="0"/>
            <c:showPercent val="0"/>
            <c:showBubbleSize val="0"/>
            <c:showLeaderLines val="1"/>
            <c:extLst>
              <c:ext xmlns:c15="http://schemas.microsoft.com/office/drawing/2012/chart" uri="{CE6537A1-D6FC-4f65-9D91-7224C49458BB}">
                <c15:layout/>
              </c:ext>
            </c:extLst>
          </c:dLbls>
          <c:cat>
            <c:strRef>
              <c:f>Sheet1!$A$12:$A$17</c:f>
              <c:strCache>
                <c:ptCount val="6"/>
                <c:pt idx="0">
                  <c:v>Krievija</c:v>
                </c:pt>
                <c:pt idx="1">
                  <c:v>Ķīna</c:v>
                </c:pt>
                <c:pt idx="2">
                  <c:v>Ukraina</c:v>
                </c:pt>
                <c:pt idx="3">
                  <c:v>Uzbekistā-na</c:v>
                </c:pt>
                <c:pt idx="4">
                  <c:v>Kazahstā-na</c:v>
                </c:pt>
                <c:pt idx="5">
                  <c:v>Citi</c:v>
                </c:pt>
              </c:strCache>
            </c:strRef>
          </c:cat>
          <c:val>
            <c:numRef>
              <c:f>Sheet1!$B$12:$B$17</c:f>
              <c:numCache>
                <c:formatCode>0%</c:formatCode>
                <c:ptCount val="6"/>
                <c:pt idx="0">
                  <c:v>0.70000000000000062</c:v>
                </c:pt>
                <c:pt idx="1">
                  <c:v>7.0000000000000021E-2</c:v>
                </c:pt>
                <c:pt idx="2">
                  <c:v>7.0000000000000021E-2</c:v>
                </c:pt>
                <c:pt idx="3">
                  <c:v>4.0000000000000022E-2</c:v>
                </c:pt>
                <c:pt idx="4">
                  <c:v>4.0000000000000022E-2</c:v>
                </c:pt>
                <c:pt idx="5">
                  <c:v>0.05</c:v>
                </c:pt>
              </c:numCache>
            </c:numRef>
          </c:val>
        </c:ser>
        <c:dLbls>
          <c:showLegendKey val="0"/>
          <c:showVal val="0"/>
          <c:showCatName val="0"/>
          <c:showSerName val="0"/>
          <c:showPercent val="0"/>
          <c:showBubbleSize val="0"/>
          <c:showLeaderLines val="1"/>
        </c:dLbls>
        <c:firstSliceAng val="126"/>
      </c:pieChart>
    </c:plotArea>
    <c:plotVisOnly val="1"/>
    <c:dispBlanksAs val="zero"/>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txPr>
              <a:bodyPr/>
              <a:lstStyle/>
              <a:p>
                <a:pPr>
                  <a:defRPr>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Sheet1!$A$1:$A$12</c:f>
              <c:strCache>
                <c:ptCount val="11"/>
                <c:pt idx="0">
                  <c:v>&gt;25t</c:v>
                </c:pt>
                <c:pt idx="1">
                  <c:v>25-50 tk</c:v>
                </c:pt>
                <c:pt idx="2">
                  <c:v>50-100 tk</c:v>
                </c:pt>
                <c:pt idx="3">
                  <c:v>100-125 tk</c:v>
                </c:pt>
                <c:pt idx="4">
                  <c:v>125-150 tk</c:v>
                </c:pt>
                <c:pt idx="5">
                  <c:v>150-200 tk</c:v>
                </c:pt>
                <c:pt idx="6">
                  <c:v>200-250 tk</c:v>
                </c:pt>
                <c:pt idx="7">
                  <c:v>250-500 tk</c:v>
                </c:pt>
                <c:pt idx="8">
                  <c:v>500tk-1mln</c:v>
                </c:pt>
                <c:pt idx="9">
                  <c:v>1-2 mln</c:v>
                </c:pt>
                <c:pt idx="10">
                  <c:v>&lt;2mln</c:v>
                </c:pt>
              </c:strCache>
            </c:strRef>
          </c:cat>
          <c:val>
            <c:numRef>
              <c:f>Sheet1!$B$1:$B$12</c:f>
              <c:numCache>
                <c:formatCode>General</c:formatCode>
                <c:ptCount val="12"/>
                <c:pt idx="0">
                  <c:v>1</c:v>
                </c:pt>
                <c:pt idx="1">
                  <c:v>1</c:v>
                </c:pt>
                <c:pt idx="2">
                  <c:v>457</c:v>
                </c:pt>
                <c:pt idx="3">
                  <c:v>49</c:v>
                </c:pt>
                <c:pt idx="4">
                  <c:v>1411</c:v>
                </c:pt>
                <c:pt idx="5">
                  <c:v>1332</c:v>
                </c:pt>
                <c:pt idx="6">
                  <c:v>425</c:v>
                </c:pt>
                <c:pt idx="7">
                  <c:v>538</c:v>
                </c:pt>
                <c:pt idx="8">
                  <c:v>82</c:v>
                </c:pt>
                <c:pt idx="9">
                  <c:v>21</c:v>
                </c:pt>
                <c:pt idx="10">
                  <c:v>3</c:v>
                </c:pt>
              </c:numCache>
            </c:numRef>
          </c:val>
        </c:ser>
        <c:dLbls>
          <c:showLegendKey val="0"/>
          <c:showVal val="0"/>
          <c:showCatName val="0"/>
          <c:showSerName val="0"/>
          <c:showPercent val="0"/>
          <c:showBubbleSize val="0"/>
        </c:dLbls>
        <c:gapWidth val="150"/>
        <c:axId val="156813840"/>
        <c:axId val="156814232"/>
      </c:barChart>
      <c:catAx>
        <c:axId val="156813840"/>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lv-LV"/>
          </a:p>
        </c:txPr>
        <c:crossAx val="156814232"/>
        <c:crosses val="autoZero"/>
        <c:auto val="1"/>
        <c:lblAlgn val="ctr"/>
        <c:lblOffset val="100"/>
        <c:noMultiLvlLbl val="0"/>
      </c:catAx>
      <c:valAx>
        <c:axId val="156814232"/>
        <c:scaling>
          <c:orientation val="minMax"/>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lv-LV"/>
          </a:p>
        </c:txPr>
        <c:crossAx val="156813840"/>
        <c:crosses val="autoZero"/>
        <c:crossBetween val="between"/>
      </c:valAx>
    </c:plotArea>
    <c:plotVisOnly val="1"/>
    <c:dispBlanksAs val="gap"/>
    <c:showDLblsOverMax val="0"/>
  </c:chart>
  <c:spPr>
    <a:noFill/>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054771455454862"/>
          <c:y val="0.16506394894618109"/>
          <c:w val="0.67177701843873461"/>
          <c:h val="0.7144651901789868"/>
        </c:manualLayout>
      </c:layout>
      <c:pieChart>
        <c:varyColors val="1"/>
        <c:ser>
          <c:idx val="0"/>
          <c:order val="0"/>
          <c:dLbls>
            <c:dLbl>
              <c:idx val="1"/>
              <c:layout>
                <c:manualLayout>
                  <c:x val="1.6948519732905769E-2"/>
                  <c:y val="8.7074023496140504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5.9887514060742511E-2"/>
                  <c:y val="0.14586744922567341"/>
                </c:manualLayout>
              </c:layou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11843807259941561"/>
                  <c:y val="0.11079907653683765"/>
                </c:manualLayout>
              </c:layou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14013486521731952"/>
                  <c:y val="-1.1674259781072525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3.3814071113451243E-2"/>
                  <c:y val="0"/>
                </c:manualLayout>
              </c:layou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a:latin typeface="Times New Roman" panose="02020603050405020304" pitchFamily="18" charset="0"/>
                    <a:cs typeface="Times New Roman" panose="02020603050405020304" pitchFamily="18" charset="0"/>
                  </a:defRPr>
                </a:pPr>
                <a:endParaRPr lang="lv-LV"/>
              </a:p>
            </c:txPr>
            <c:showLegendKey val="0"/>
            <c:showVal val="1"/>
            <c:showCatName val="1"/>
            <c:showSerName val="0"/>
            <c:showPercent val="0"/>
            <c:showBubbleSize val="0"/>
            <c:showLeaderLines val="1"/>
            <c:extLst>
              <c:ext xmlns:c15="http://schemas.microsoft.com/office/drawing/2012/chart" uri="{CE6537A1-D6FC-4f65-9D91-7224C49458BB}">
                <c15:layout/>
              </c:ext>
            </c:extLst>
          </c:dLbls>
          <c:cat>
            <c:strRef>
              <c:f>Sheet3!$A$1:$A$6</c:f>
              <c:strCache>
                <c:ptCount val="6"/>
                <c:pt idx="0">
                  <c:v>Krievija</c:v>
                </c:pt>
                <c:pt idx="1">
                  <c:v>Ķīna</c:v>
                </c:pt>
                <c:pt idx="2">
                  <c:v>Ukraina</c:v>
                </c:pt>
                <c:pt idx="3">
                  <c:v>Kazahstāna</c:v>
                </c:pt>
                <c:pt idx="4">
                  <c:v>Uzbekistāna</c:v>
                </c:pt>
                <c:pt idx="5">
                  <c:v>Citi</c:v>
                </c:pt>
              </c:strCache>
            </c:strRef>
          </c:cat>
          <c:val>
            <c:numRef>
              <c:f>Sheet3!$B$1:$B$6</c:f>
              <c:numCache>
                <c:formatCode>0.0%</c:formatCode>
                <c:ptCount val="6"/>
                <c:pt idx="0">
                  <c:v>0.73200000000000065</c:v>
                </c:pt>
                <c:pt idx="1">
                  <c:v>8.8000000000000064E-2</c:v>
                </c:pt>
                <c:pt idx="2">
                  <c:v>5.7000000000000023E-2</c:v>
                </c:pt>
                <c:pt idx="3">
                  <c:v>3.1000000000000041E-2</c:v>
                </c:pt>
                <c:pt idx="4">
                  <c:v>2.8000000000000001E-2</c:v>
                </c:pt>
                <c:pt idx="5">
                  <c:v>6.4000000000000112E-2</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354822834645707E-2"/>
          <c:y val="5.4187037037040149E-2"/>
          <c:w val="0.8789631193571017"/>
          <c:h val="0.85253828370791285"/>
        </c:manualLayout>
      </c:layout>
      <c:barChart>
        <c:barDir val="col"/>
        <c:grouping val="clustered"/>
        <c:varyColors val="0"/>
        <c:ser>
          <c:idx val="9"/>
          <c:order val="0"/>
          <c:tx>
            <c:strRef>
              <c:f>Sheet1!$A$2</c:f>
              <c:strCache>
                <c:ptCount val="1"/>
                <c:pt idx="0">
                  <c:v>TUA pieteikumu skaits</c:v>
                </c:pt>
              </c:strCache>
            </c:strRef>
          </c:tx>
          <c:spPr>
            <a:solidFill>
              <a:srgbClr val="C00000"/>
            </a:solidFill>
            <a:ln w="2983">
              <a:noFill/>
              <a:prstDash val="solid"/>
            </a:ln>
          </c:spPr>
          <c:invertIfNegative val="0"/>
          <c:cat>
            <c:strRef>
              <c:f>Sheet1!$B$1:$F$1</c:f>
              <c:strCache>
                <c:ptCount val="5"/>
                <c:pt idx="0">
                  <c:v>2010</c:v>
                </c:pt>
                <c:pt idx="1">
                  <c:v>2011</c:v>
                </c:pt>
                <c:pt idx="2">
                  <c:v>2012</c:v>
                </c:pt>
                <c:pt idx="3">
                  <c:v>2013</c:v>
                </c:pt>
                <c:pt idx="4">
                  <c:v>2014 I-VII</c:v>
                </c:pt>
              </c:strCache>
            </c:strRef>
          </c:cat>
          <c:val>
            <c:numRef>
              <c:f>Sheet1!$B$2:$F$2</c:f>
              <c:numCache>
                <c:formatCode>0.0</c:formatCode>
                <c:ptCount val="5"/>
                <c:pt idx="0">
                  <c:v>7.9000000000000112E-2</c:v>
                </c:pt>
                <c:pt idx="1">
                  <c:v>0.66900000000000115</c:v>
                </c:pt>
                <c:pt idx="2">
                  <c:v>1.014</c:v>
                </c:pt>
                <c:pt idx="3">
                  <c:v>1.556</c:v>
                </c:pt>
                <c:pt idx="4">
                  <c:v>1.129</c:v>
                </c:pt>
              </c:numCache>
            </c:numRef>
          </c:val>
        </c:ser>
        <c:ser>
          <c:idx val="1"/>
          <c:order val="2"/>
          <c:tx>
            <c:strRef>
              <c:f>Sheet1!$A$4</c:f>
              <c:strCache>
                <c:ptCount val="1"/>
                <c:pt idx="0">
                  <c:v>Visu Latvijā veikto darījumu skaits</c:v>
                </c:pt>
              </c:strCache>
            </c:strRef>
          </c:tx>
          <c:spPr>
            <a:solidFill>
              <a:srgbClr val="F79646">
                <a:lumMod val="75000"/>
              </a:srgbClr>
            </a:solidFill>
            <a:ln>
              <a:noFill/>
            </a:ln>
          </c:spPr>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Sheet1!$B$1:$F$1</c:f>
              <c:strCache>
                <c:ptCount val="5"/>
                <c:pt idx="0">
                  <c:v>2010</c:v>
                </c:pt>
                <c:pt idx="1">
                  <c:v>2011</c:v>
                </c:pt>
                <c:pt idx="2">
                  <c:v>2012</c:v>
                </c:pt>
                <c:pt idx="3">
                  <c:v>2013</c:v>
                </c:pt>
                <c:pt idx="4">
                  <c:v>2014 I-VII</c:v>
                </c:pt>
              </c:strCache>
            </c:strRef>
          </c:cat>
          <c:val>
            <c:numRef>
              <c:f>Sheet1!$B$4:$F$4</c:f>
              <c:numCache>
                <c:formatCode>0.0</c:formatCode>
                <c:ptCount val="5"/>
                <c:pt idx="0">
                  <c:v>31.065999999999967</c:v>
                </c:pt>
                <c:pt idx="1">
                  <c:v>36.138000000000012</c:v>
                </c:pt>
                <c:pt idx="2">
                  <c:v>39.227000000000011</c:v>
                </c:pt>
                <c:pt idx="3">
                  <c:v>45.265000000000057</c:v>
                </c:pt>
                <c:pt idx="4">
                  <c:v>25.281999999999989</c:v>
                </c:pt>
              </c:numCache>
            </c:numRef>
          </c:val>
        </c:ser>
        <c:dLbls>
          <c:showLegendKey val="0"/>
          <c:showVal val="0"/>
          <c:showCatName val="0"/>
          <c:showSerName val="0"/>
          <c:showPercent val="0"/>
          <c:showBubbleSize val="0"/>
        </c:dLbls>
        <c:gapWidth val="40"/>
        <c:axId val="156815800"/>
        <c:axId val="158445536"/>
      </c:barChart>
      <c:lineChart>
        <c:grouping val="standard"/>
        <c:varyColors val="0"/>
        <c:ser>
          <c:idx val="0"/>
          <c:order val="1"/>
          <c:tx>
            <c:strRef>
              <c:f>Sheet1!$A$3</c:f>
              <c:strCache>
                <c:ptCount val="1"/>
                <c:pt idx="0">
                  <c:v>TUA investīciju summa</c:v>
                </c:pt>
              </c:strCache>
            </c:strRef>
          </c:tx>
          <c:marker>
            <c:symbol val="none"/>
          </c:marker>
          <c:cat>
            <c:strRef>
              <c:f>Sheet1!$B$1:$F$1</c:f>
              <c:strCache>
                <c:ptCount val="5"/>
                <c:pt idx="0">
                  <c:v>2010</c:v>
                </c:pt>
                <c:pt idx="1">
                  <c:v>2011</c:v>
                </c:pt>
                <c:pt idx="2">
                  <c:v>2012</c:v>
                </c:pt>
                <c:pt idx="3">
                  <c:v>2013</c:v>
                </c:pt>
                <c:pt idx="4">
                  <c:v>2014 I-VII</c:v>
                </c:pt>
              </c:strCache>
            </c:strRef>
          </c:cat>
          <c:val>
            <c:numRef>
              <c:f>Sheet1!$B$3:$F$3</c:f>
              <c:numCache>
                <c:formatCode>0.0</c:formatCode>
                <c:ptCount val="5"/>
                <c:pt idx="0">
                  <c:v>15.843266</c:v>
                </c:pt>
                <c:pt idx="1">
                  <c:v>138.60153099999999</c:v>
                </c:pt>
                <c:pt idx="2">
                  <c:v>208.04118600000001</c:v>
                </c:pt>
                <c:pt idx="3">
                  <c:v>296.96611299999898</c:v>
                </c:pt>
                <c:pt idx="4">
                  <c:v>198.58954199999999</c:v>
                </c:pt>
              </c:numCache>
            </c:numRef>
          </c:val>
          <c:smooth val="0"/>
        </c:ser>
        <c:ser>
          <c:idx val="2"/>
          <c:order val="3"/>
          <c:tx>
            <c:strRef>
              <c:f>Sheet1!$A$5</c:f>
              <c:strCache>
                <c:ptCount val="1"/>
                <c:pt idx="0">
                  <c:v>Visu Latvijā veikto darījumu summa</c:v>
                </c:pt>
              </c:strCache>
            </c:strRef>
          </c:tx>
          <c:spPr>
            <a:ln>
              <a:solidFill>
                <a:srgbClr val="9BBB59">
                  <a:lumMod val="50000"/>
                </a:srgbClr>
              </a:solidFill>
            </a:ln>
          </c:spPr>
          <c:marker>
            <c:symbol val="none"/>
          </c:marker>
          <c:dLbls>
            <c:dLbl>
              <c:idx val="3"/>
              <c:layout>
                <c:manualLayout>
                  <c:x val="-6.9867841409691753E-2"/>
                  <c:y val="9.161147902869752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2261380323054328E-2"/>
                  <c:y val="5.629139072847681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Sheet1!$B$1:$F$1</c:f>
              <c:strCache>
                <c:ptCount val="5"/>
                <c:pt idx="0">
                  <c:v>2010</c:v>
                </c:pt>
                <c:pt idx="1">
                  <c:v>2011</c:v>
                </c:pt>
                <c:pt idx="2">
                  <c:v>2012</c:v>
                </c:pt>
                <c:pt idx="3">
                  <c:v>2013</c:v>
                </c:pt>
                <c:pt idx="4">
                  <c:v>2014 I-VII</c:v>
                </c:pt>
              </c:strCache>
            </c:strRef>
          </c:cat>
          <c:val>
            <c:numRef>
              <c:f>Sheet1!$B$5:$F$5</c:f>
              <c:numCache>
                <c:formatCode>0.0</c:formatCode>
                <c:ptCount val="5"/>
                <c:pt idx="0">
                  <c:v>732.90053813011889</c:v>
                </c:pt>
                <c:pt idx="1">
                  <c:v>1024.9143320185976</c:v>
                </c:pt>
                <c:pt idx="2">
                  <c:v>1160.2558563980861</c:v>
                </c:pt>
                <c:pt idx="3">
                  <c:v>1495.0809670975123</c:v>
                </c:pt>
                <c:pt idx="4">
                  <c:v>892.12520539999946</c:v>
                </c:pt>
              </c:numCache>
            </c:numRef>
          </c:val>
          <c:smooth val="0"/>
        </c:ser>
        <c:dLbls>
          <c:showLegendKey val="0"/>
          <c:showVal val="0"/>
          <c:showCatName val="0"/>
          <c:showSerName val="0"/>
          <c:showPercent val="0"/>
          <c:showBubbleSize val="0"/>
        </c:dLbls>
        <c:marker val="1"/>
        <c:smooth val="0"/>
        <c:axId val="158445928"/>
        <c:axId val="158446320"/>
      </c:lineChart>
      <c:catAx>
        <c:axId val="156815800"/>
        <c:scaling>
          <c:orientation val="minMax"/>
        </c:scaling>
        <c:delete val="0"/>
        <c:axPos val="b"/>
        <c:numFmt formatCode="General" sourceLinked="1"/>
        <c:majorTickMark val="out"/>
        <c:minorTickMark val="none"/>
        <c:tickLblPos val="low"/>
        <c:spPr>
          <a:ln w="2983">
            <a:solidFill>
              <a:sysClr val="window" lastClr="FFFFFF">
                <a:lumMod val="50000"/>
              </a:sysClr>
            </a:solidFill>
            <a:prstDash val="solid"/>
          </a:ln>
        </c:spPr>
        <c:txPr>
          <a:bodyPr rot="0" vert="horz"/>
          <a:lstStyle/>
          <a:p>
            <a:pPr>
              <a:defRPr>
                <a:latin typeface="Times New Roman" panose="02020603050405020304" pitchFamily="18" charset="0"/>
                <a:cs typeface="Times New Roman" panose="02020603050405020304" pitchFamily="18" charset="0"/>
              </a:defRPr>
            </a:pPr>
            <a:endParaRPr lang="lv-LV"/>
          </a:p>
        </c:txPr>
        <c:crossAx val="158445536"/>
        <c:crosses val="autoZero"/>
        <c:auto val="0"/>
        <c:lblAlgn val="ctr"/>
        <c:lblOffset val="100"/>
        <c:noMultiLvlLbl val="0"/>
      </c:catAx>
      <c:valAx>
        <c:axId val="158445536"/>
        <c:scaling>
          <c:orientation val="minMax"/>
          <c:max val="60"/>
          <c:min val="0"/>
        </c:scaling>
        <c:delete val="0"/>
        <c:axPos val="l"/>
        <c:numFmt formatCode="0" sourceLinked="0"/>
        <c:majorTickMark val="out"/>
        <c:minorTickMark val="none"/>
        <c:tickLblPos val="nextTo"/>
        <c:spPr>
          <a:ln w="2983">
            <a:solidFill>
              <a:sysClr val="window" lastClr="FFFFFF">
                <a:lumMod val="50000"/>
              </a:sysClr>
            </a:solidFill>
            <a:prstDash val="solid"/>
          </a:ln>
        </c:spPr>
        <c:txPr>
          <a:bodyPr rot="0" vert="horz"/>
          <a:lstStyle/>
          <a:p>
            <a:pPr>
              <a:defRPr>
                <a:latin typeface="Times New Roman" panose="02020603050405020304" pitchFamily="18" charset="0"/>
                <a:cs typeface="Times New Roman" panose="02020603050405020304" pitchFamily="18" charset="0"/>
              </a:defRPr>
            </a:pPr>
            <a:endParaRPr lang="lv-LV"/>
          </a:p>
        </c:txPr>
        <c:crossAx val="156815800"/>
        <c:crosses val="autoZero"/>
        <c:crossBetween val="between"/>
        <c:majorUnit val="15"/>
      </c:valAx>
      <c:catAx>
        <c:axId val="158445928"/>
        <c:scaling>
          <c:orientation val="minMax"/>
        </c:scaling>
        <c:delete val="1"/>
        <c:axPos val="b"/>
        <c:numFmt formatCode="General" sourceLinked="1"/>
        <c:majorTickMark val="out"/>
        <c:minorTickMark val="none"/>
        <c:tickLblPos val="none"/>
        <c:crossAx val="158446320"/>
        <c:crosses val="autoZero"/>
        <c:auto val="1"/>
        <c:lblAlgn val="ctr"/>
        <c:lblOffset val="100"/>
        <c:noMultiLvlLbl val="0"/>
      </c:catAx>
      <c:valAx>
        <c:axId val="158446320"/>
        <c:scaling>
          <c:orientation val="minMax"/>
          <c:max val="2000"/>
          <c:min val="0"/>
        </c:scaling>
        <c:delete val="0"/>
        <c:axPos val="r"/>
        <c:numFmt formatCode="0"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58445928"/>
        <c:crosses val="max"/>
        <c:crossBetween val="between"/>
        <c:majorUnit val="500"/>
      </c:valAx>
      <c:spPr>
        <a:noFill/>
        <a:ln w="23861">
          <a:noFill/>
        </a:ln>
      </c:spPr>
    </c:plotArea>
    <c:legend>
      <c:legendPos val="l"/>
      <c:layout>
        <c:manualLayout>
          <c:xMode val="edge"/>
          <c:yMode val="edge"/>
          <c:x val="9.2279533340270781E-2"/>
          <c:y val="3.8557501150283439E-2"/>
          <c:w val="0.55842357811000498"/>
          <c:h val="0.24505883784394525"/>
        </c:manualLayout>
      </c:layout>
      <c:overlay val="1"/>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spPr>
    <a:noFill/>
    <a:ln>
      <a:noFill/>
    </a:ln>
  </c:spPr>
  <c:txPr>
    <a:bodyPr/>
    <a:lstStyle/>
    <a:p>
      <a:pPr>
        <a:defRPr sz="1000" b="0" i="0" u="none" strike="noStrike" baseline="0">
          <a:solidFill>
            <a:srgbClr val="000000"/>
          </a:solidFill>
          <a:latin typeface="Arial" panose="020B0604020202020204" pitchFamily="34" charset="0"/>
          <a:ea typeface="Arial"/>
          <a:cs typeface="Arial" panose="020B0604020202020204" pitchFamily="34" charset="0"/>
        </a:defRPr>
      </a:pPr>
      <a:endParaRPr lang="lv-LV"/>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95821863796188"/>
          <c:y val="0.10945397298864873"/>
          <c:w val="0.88842100025309279"/>
          <c:h val="0.6369848371861816"/>
        </c:manualLayout>
      </c:layout>
      <c:lineChart>
        <c:grouping val="standard"/>
        <c:varyColors val="0"/>
        <c:ser>
          <c:idx val="0"/>
          <c:order val="0"/>
          <c:tx>
            <c:strRef>
              <c:f>'dziv.cena JP'!$B$1</c:f>
              <c:strCache>
                <c:ptCount val="1"/>
                <c:pt idx="0">
                  <c:v>sērijveida mikrorajonos</c:v>
                </c:pt>
              </c:strCache>
            </c:strRef>
          </c:tx>
          <c:spPr>
            <a:ln w="38100">
              <a:solidFill>
                <a:schemeClr val="accent3">
                  <a:lumMod val="50000"/>
                </a:schemeClr>
              </a:solidFill>
              <a:prstDash val="solid"/>
            </a:ln>
          </c:spPr>
          <c:marker>
            <c:symbol val="none"/>
          </c:marker>
          <c:cat>
            <c:strRef>
              <c:f>'dziv.cena JP'!$A$2:$A$39</c:f>
              <c:strCache>
                <c:ptCount val="38"/>
                <c:pt idx="0">
                  <c:v>2005-I</c:v>
                </c:pt>
                <c:pt idx="1">
                  <c:v>2005-II</c:v>
                </c:pt>
                <c:pt idx="2">
                  <c:v>2005-III</c:v>
                </c:pt>
                <c:pt idx="3">
                  <c:v>2005-IV</c:v>
                </c:pt>
                <c:pt idx="4">
                  <c:v>2006-I</c:v>
                </c:pt>
                <c:pt idx="5">
                  <c:v>2006-II</c:v>
                </c:pt>
                <c:pt idx="6">
                  <c:v>2006-III</c:v>
                </c:pt>
                <c:pt idx="7">
                  <c:v>2006-IV</c:v>
                </c:pt>
                <c:pt idx="8">
                  <c:v>2007-I</c:v>
                </c:pt>
                <c:pt idx="9">
                  <c:v>2007-II</c:v>
                </c:pt>
                <c:pt idx="10">
                  <c:v>2007-III</c:v>
                </c:pt>
                <c:pt idx="11">
                  <c:v>2007-IV</c:v>
                </c:pt>
                <c:pt idx="12">
                  <c:v>2008-I</c:v>
                </c:pt>
                <c:pt idx="13">
                  <c:v>2008-II</c:v>
                </c:pt>
                <c:pt idx="14">
                  <c:v>2008-III</c:v>
                </c:pt>
                <c:pt idx="15">
                  <c:v>2008-IV</c:v>
                </c:pt>
                <c:pt idx="16">
                  <c:v>2009-I</c:v>
                </c:pt>
                <c:pt idx="17">
                  <c:v>2009-II</c:v>
                </c:pt>
                <c:pt idx="18">
                  <c:v>2009-III</c:v>
                </c:pt>
                <c:pt idx="19">
                  <c:v>2009-IV</c:v>
                </c:pt>
                <c:pt idx="20">
                  <c:v>2010-I</c:v>
                </c:pt>
                <c:pt idx="21">
                  <c:v>2010-II</c:v>
                </c:pt>
                <c:pt idx="22">
                  <c:v>2010-III</c:v>
                </c:pt>
                <c:pt idx="23">
                  <c:v>2010-IV</c:v>
                </c:pt>
                <c:pt idx="24">
                  <c:v>2011-I</c:v>
                </c:pt>
                <c:pt idx="25">
                  <c:v>2011-II</c:v>
                </c:pt>
                <c:pt idx="26">
                  <c:v>2011-III</c:v>
                </c:pt>
                <c:pt idx="27">
                  <c:v>2011-IV</c:v>
                </c:pt>
                <c:pt idx="28">
                  <c:v>2012-I</c:v>
                </c:pt>
                <c:pt idx="29">
                  <c:v>2012-II</c:v>
                </c:pt>
                <c:pt idx="30">
                  <c:v>2012-III</c:v>
                </c:pt>
                <c:pt idx="31">
                  <c:v>2012-IV</c:v>
                </c:pt>
                <c:pt idx="32">
                  <c:v>2013-I</c:v>
                </c:pt>
                <c:pt idx="33">
                  <c:v>2013-II</c:v>
                </c:pt>
                <c:pt idx="34">
                  <c:v>2013-III</c:v>
                </c:pt>
                <c:pt idx="35">
                  <c:v>2013-IV</c:v>
                </c:pt>
                <c:pt idx="36">
                  <c:v>2014-I</c:v>
                </c:pt>
                <c:pt idx="37">
                  <c:v>2014-II</c:v>
                </c:pt>
              </c:strCache>
            </c:strRef>
          </c:cat>
          <c:val>
            <c:numRef>
              <c:f>'dziv.cena JP'!$B$2:$B$39</c:f>
              <c:numCache>
                <c:formatCode>0</c:formatCode>
                <c:ptCount val="38"/>
                <c:pt idx="0">
                  <c:v>660.21627774615854</c:v>
                </c:pt>
                <c:pt idx="1">
                  <c:v>774.04667046101292</c:v>
                </c:pt>
                <c:pt idx="2">
                  <c:v>803.92714854866301</c:v>
                </c:pt>
                <c:pt idx="3">
                  <c:v>856.57370517928405</c:v>
                </c:pt>
                <c:pt idx="4">
                  <c:v>984.63289698349377</c:v>
                </c:pt>
                <c:pt idx="5">
                  <c:v>1078.54297097325</c:v>
                </c:pt>
                <c:pt idx="6">
                  <c:v>1225.0996015936255</c:v>
                </c:pt>
                <c:pt idx="7">
                  <c:v>1404.3824701195192</c:v>
                </c:pt>
                <c:pt idx="8">
                  <c:v>1583.6653386454166</c:v>
                </c:pt>
                <c:pt idx="9">
                  <c:v>1720.2618099032461</c:v>
                </c:pt>
                <c:pt idx="10">
                  <c:v>1585.0882185543508</c:v>
                </c:pt>
                <c:pt idx="11">
                  <c:v>1491.1781445645968</c:v>
                </c:pt>
                <c:pt idx="12">
                  <c:v>1374.5019920318707</c:v>
                </c:pt>
                <c:pt idx="13">
                  <c:v>1260.6715993170176</c:v>
                </c:pt>
                <c:pt idx="14">
                  <c:v>1162.4928856004553</c:v>
                </c:pt>
                <c:pt idx="15">
                  <c:v>1017.3591348890143</c:v>
                </c:pt>
                <c:pt idx="16">
                  <c:v>819.57882754695629</c:v>
                </c:pt>
                <c:pt idx="17">
                  <c:v>556.34604439385248</c:v>
                </c:pt>
                <c:pt idx="18">
                  <c:v>488.04780876494038</c:v>
                </c:pt>
                <c:pt idx="19">
                  <c:v>498.00796812749007</c:v>
                </c:pt>
                <c:pt idx="20">
                  <c:v>526.46556630620296</c:v>
                </c:pt>
                <c:pt idx="21">
                  <c:v>554.92316448491624</c:v>
                </c:pt>
                <c:pt idx="22">
                  <c:v>576.26636311895277</c:v>
                </c:pt>
                <c:pt idx="23">
                  <c:v>576.26636311895277</c:v>
                </c:pt>
                <c:pt idx="24">
                  <c:v>576.26636311895277</c:v>
                </c:pt>
                <c:pt idx="25">
                  <c:v>576.26636311895277</c:v>
                </c:pt>
                <c:pt idx="26">
                  <c:v>576.26636311895277</c:v>
                </c:pt>
                <c:pt idx="27">
                  <c:v>569.1519635742743</c:v>
                </c:pt>
                <c:pt idx="28">
                  <c:v>580</c:v>
                </c:pt>
                <c:pt idx="29">
                  <c:v>585</c:v>
                </c:pt>
                <c:pt idx="30">
                  <c:v>584.80364257256792</c:v>
                </c:pt>
                <c:pt idx="31">
                  <c:v>584.80364257256792</c:v>
                </c:pt>
                <c:pt idx="32" formatCode="General">
                  <c:v>590</c:v>
                </c:pt>
                <c:pt idx="33" formatCode="General">
                  <c:v>597</c:v>
                </c:pt>
                <c:pt idx="34">
                  <c:v>600</c:v>
                </c:pt>
                <c:pt idx="35" formatCode="General">
                  <c:v>600</c:v>
                </c:pt>
                <c:pt idx="36" formatCode="General">
                  <c:v>616</c:v>
                </c:pt>
                <c:pt idx="37" formatCode="General">
                  <c:v>625</c:v>
                </c:pt>
              </c:numCache>
            </c:numRef>
          </c:val>
          <c:smooth val="0"/>
        </c:ser>
        <c:ser>
          <c:idx val="1"/>
          <c:order val="1"/>
          <c:tx>
            <c:strRef>
              <c:f>'dziv.cena JP'!$C$1</c:f>
              <c:strCache>
                <c:ptCount val="1"/>
                <c:pt idx="0">
                  <c:v>JP mikrorajonos</c:v>
                </c:pt>
              </c:strCache>
            </c:strRef>
          </c:tx>
          <c:spPr>
            <a:ln w="38100">
              <a:solidFill>
                <a:schemeClr val="accent2">
                  <a:lumMod val="75000"/>
                </a:schemeClr>
              </a:solidFill>
              <a:prstDash val="solid"/>
            </a:ln>
          </c:spPr>
          <c:marker>
            <c:symbol val="none"/>
          </c:marker>
          <c:cat>
            <c:strRef>
              <c:f>'dziv.cena JP'!$A$2:$A$39</c:f>
              <c:strCache>
                <c:ptCount val="38"/>
                <c:pt idx="0">
                  <c:v>2005-I</c:v>
                </c:pt>
                <c:pt idx="1">
                  <c:v>2005-II</c:v>
                </c:pt>
                <c:pt idx="2">
                  <c:v>2005-III</c:v>
                </c:pt>
                <c:pt idx="3">
                  <c:v>2005-IV</c:v>
                </c:pt>
                <c:pt idx="4">
                  <c:v>2006-I</c:v>
                </c:pt>
                <c:pt idx="5">
                  <c:v>2006-II</c:v>
                </c:pt>
                <c:pt idx="6">
                  <c:v>2006-III</c:v>
                </c:pt>
                <c:pt idx="7">
                  <c:v>2006-IV</c:v>
                </c:pt>
                <c:pt idx="8">
                  <c:v>2007-I</c:v>
                </c:pt>
                <c:pt idx="9">
                  <c:v>2007-II</c:v>
                </c:pt>
                <c:pt idx="10">
                  <c:v>2007-III</c:v>
                </c:pt>
                <c:pt idx="11">
                  <c:v>2007-IV</c:v>
                </c:pt>
                <c:pt idx="12">
                  <c:v>2008-I</c:v>
                </c:pt>
                <c:pt idx="13">
                  <c:v>2008-II</c:v>
                </c:pt>
                <c:pt idx="14">
                  <c:v>2008-III</c:v>
                </c:pt>
                <c:pt idx="15">
                  <c:v>2008-IV</c:v>
                </c:pt>
                <c:pt idx="16">
                  <c:v>2009-I</c:v>
                </c:pt>
                <c:pt idx="17">
                  <c:v>2009-II</c:v>
                </c:pt>
                <c:pt idx="18">
                  <c:v>2009-III</c:v>
                </c:pt>
                <c:pt idx="19">
                  <c:v>2009-IV</c:v>
                </c:pt>
                <c:pt idx="20">
                  <c:v>2010-I</c:v>
                </c:pt>
                <c:pt idx="21">
                  <c:v>2010-II</c:v>
                </c:pt>
                <c:pt idx="22">
                  <c:v>2010-III</c:v>
                </c:pt>
                <c:pt idx="23">
                  <c:v>2010-IV</c:v>
                </c:pt>
                <c:pt idx="24">
                  <c:v>2011-I</c:v>
                </c:pt>
                <c:pt idx="25">
                  <c:v>2011-II</c:v>
                </c:pt>
                <c:pt idx="26">
                  <c:v>2011-III</c:v>
                </c:pt>
                <c:pt idx="27">
                  <c:v>2011-IV</c:v>
                </c:pt>
                <c:pt idx="28">
                  <c:v>2012-I</c:v>
                </c:pt>
                <c:pt idx="29">
                  <c:v>2012-II</c:v>
                </c:pt>
                <c:pt idx="30">
                  <c:v>2012-III</c:v>
                </c:pt>
                <c:pt idx="31">
                  <c:v>2012-IV</c:v>
                </c:pt>
                <c:pt idx="32">
                  <c:v>2013-I</c:v>
                </c:pt>
                <c:pt idx="33">
                  <c:v>2013-II</c:v>
                </c:pt>
                <c:pt idx="34">
                  <c:v>2013-III</c:v>
                </c:pt>
                <c:pt idx="35">
                  <c:v>2013-IV</c:v>
                </c:pt>
                <c:pt idx="36">
                  <c:v>2014-I</c:v>
                </c:pt>
                <c:pt idx="37">
                  <c:v>2014-II</c:v>
                </c:pt>
              </c:strCache>
            </c:strRef>
          </c:cat>
          <c:val>
            <c:numRef>
              <c:f>'dziv.cena JP'!$C$2:$C$39</c:f>
              <c:numCache>
                <c:formatCode>0</c:formatCode>
                <c:ptCount val="38"/>
                <c:pt idx="0">
                  <c:v>1204.3255549231669</c:v>
                </c:pt>
                <c:pt idx="1">
                  <c:v>1411.3190096755834</c:v>
                </c:pt>
                <c:pt idx="2">
                  <c:v>1543.0421172453046</c:v>
                </c:pt>
                <c:pt idx="3">
                  <c:v>1806.4883323847466</c:v>
                </c:pt>
                <c:pt idx="4">
                  <c:v>1928.8026465566288</c:v>
                </c:pt>
                <c:pt idx="5">
                  <c:v>2107.569721115538</c:v>
                </c:pt>
                <c:pt idx="6">
                  <c:v>2258.1104154809336</c:v>
                </c:pt>
                <c:pt idx="7">
                  <c:v>2408.6511098463343</c:v>
                </c:pt>
                <c:pt idx="8">
                  <c:v>2653.2797381900969</c:v>
                </c:pt>
                <c:pt idx="9">
                  <c:v>2822.6380193511668</c:v>
                </c:pt>
                <c:pt idx="10">
                  <c:v>2860.2731929425227</c:v>
                </c:pt>
                <c:pt idx="11">
                  <c:v>2690.9149117814472</c:v>
                </c:pt>
                <c:pt idx="12">
                  <c:v>2559.1918042117245</c:v>
                </c:pt>
                <c:pt idx="13">
                  <c:v>2371.0159362549857</c:v>
                </c:pt>
                <c:pt idx="14">
                  <c:v>2069.9345475241912</c:v>
                </c:pt>
                <c:pt idx="15">
                  <c:v>1787.6707455890705</c:v>
                </c:pt>
                <c:pt idx="16">
                  <c:v>1411.3190096755834</c:v>
                </c:pt>
                <c:pt idx="17">
                  <c:v>1081.2749003984043</c:v>
                </c:pt>
                <c:pt idx="18">
                  <c:v>878.53585657370513</c:v>
                </c:pt>
                <c:pt idx="19">
                  <c:v>878.53585657370513</c:v>
                </c:pt>
                <c:pt idx="20">
                  <c:v>946.11553784860553</c:v>
                </c:pt>
                <c:pt idx="21">
                  <c:v>1013.6952191235054</c:v>
                </c:pt>
                <c:pt idx="22">
                  <c:v>1081.2749003984043</c:v>
                </c:pt>
                <c:pt idx="23">
                  <c:v>1081.2749003984043</c:v>
                </c:pt>
                <c:pt idx="24">
                  <c:v>1081.2749003984043</c:v>
                </c:pt>
                <c:pt idx="25">
                  <c:v>1148.8545816733058</c:v>
                </c:pt>
                <c:pt idx="26">
                  <c:v>1158.5088218554356</c:v>
                </c:pt>
                <c:pt idx="27">
                  <c:v>1159.6471257825851</c:v>
                </c:pt>
                <c:pt idx="28">
                  <c:v>1160</c:v>
                </c:pt>
                <c:pt idx="29">
                  <c:v>1170</c:v>
                </c:pt>
                <c:pt idx="30">
                  <c:v>1173.8759248719398</c:v>
                </c:pt>
                <c:pt idx="31">
                  <c:v>1232.569721115538</c:v>
                </c:pt>
                <c:pt idx="32" formatCode="#,##0">
                  <c:v>1294</c:v>
                </c:pt>
                <c:pt idx="33" formatCode="#,##0">
                  <c:v>1320</c:v>
                </c:pt>
                <c:pt idx="34">
                  <c:v>1330</c:v>
                </c:pt>
                <c:pt idx="35">
                  <c:v>1350</c:v>
                </c:pt>
                <c:pt idx="36">
                  <c:v>1380</c:v>
                </c:pt>
                <c:pt idx="37" formatCode="General">
                  <c:v>1380</c:v>
                </c:pt>
              </c:numCache>
            </c:numRef>
          </c:val>
          <c:smooth val="0"/>
        </c:ser>
        <c:ser>
          <c:idx val="2"/>
          <c:order val="2"/>
          <c:tx>
            <c:strRef>
              <c:f>'dziv.cena JP'!$D$1</c:f>
              <c:strCache>
                <c:ptCount val="1"/>
                <c:pt idx="0">
                  <c:v>JP Rīgas centrā</c:v>
                </c:pt>
              </c:strCache>
            </c:strRef>
          </c:tx>
          <c:spPr>
            <a:ln w="38100">
              <a:solidFill>
                <a:schemeClr val="accent6">
                  <a:lumMod val="75000"/>
                </a:schemeClr>
              </a:solidFill>
              <a:prstDash val="solid"/>
            </a:ln>
          </c:spPr>
          <c:marker>
            <c:symbol val="none"/>
          </c:marker>
          <c:cat>
            <c:strRef>
              <c:f>'dziv.cena JP'!$A$2:$A$39</c:f>
              <c:strCache>
                <c:ptCount val="38"/>
                <c:pt idx="0">
                  <c:v>2005-I</c:v>
                </c:pt>
                <c:pt idx="1">
                  <c:v>2005-II</c:v>
                </c:pt>
                <c:pt idx="2">
                  <c:v>2005-III</c:v>
                </c:pt>
                <c:pt idx="3">
                  <c:v>2005-IV</c:v>
                </c:pt>
                <c:pt idx="4">
                  <c:v>2006-I</c:v>
                </c:pt>
                <c:pt idx="5">
                  <c:v>2006-II</c:v>
                </c:pt>
                <c:pt idx="6">
                  <c:v>2006-III</c:v>
                </c:pt>
                <c:pt idx="7">
                  <c:v>2006-IV</c:v>
                </c:pt>
                <c:pt idx="8">
                  <c:v>2007-I</c:v>
                </c:pt>
                <c:pt idx="9">
                  <c:v>2007-II</c:v>
                </c:pt>
                <c:pt idx="10">
                  <c:v>2007-III</c:v>
                </c:pt>
                <c:pt idx="11">
                  <c:v>2007-IV</c:v>
                </c:pt>
                <c:pt idx="12">
                  <c:v>2008-I</c:v>
                </c:pt>
                <c:pt idx="13">
                  <c:v>2008-II</c:v>
                </c:pt>
                <c:pt idx="14">
                  <c:v>2008-III</c:v>
                </c:pt>
                <c:pt idx="15">
                  <c:v>2008-IV</c:v>
                </c:pt>
                <c:pt idx="16">
                  <c:v>2009-I</c:v>
                </c:pt>
                <c:pt idx="17">
                  <c:v>2009-II</c:v>
                </c:pt>
                <c:pt idx="18">
                  <c:v>2009-III</c:v>
                </c:pt>
                <c:pt idx="19">
                  <c:v>2009-IV</c:v>
                </c:pt>
                <c:pt idx="20">
                  <c:v>2010-I</c:v>
                </c:pt>
                <c:pt idx="21">
                  <c:v>2010-II</c:v>
                </c:pt>
                <c:pt idx="22">
                  <c:v>2010-III</c:v>
                </c:pt>
                <c:pt idx="23">
                  <c:v>2010-IV</c:v>
                </c:pt>
                <c:pt idx="24">
                  <c:v>2011-I</c:v>
                </c:pt>
                <c:pt idx="25">
                  <c:v>2011-II</c:v>
                </c:pt>
                <c:pt idx="26">
                  <c:v>2011-III</c:v>
                </c:pt>
                <c:pt idx="27">
                  <c:v>2011-IV</c:v>
                </c:pt>
                <c:pt idx="28">
                  <c:v>2012-I</c:v>
                </c:pt>
                <c:pt idx="29">
                  <c:v>2012-II</c:v>
                </c:pt>
                <c:pt idx="30">
                  <c:v>2012-III</c:v>
                </c:pt>
                <c:pt idx="31">
                  <c:v>2012-IV</c:v>
                </c:pt>
                <c:pt idx="32">
                  <c:v>2013-I</c:v>
                </c:pt>
                <c:pt idx="33">
                  <c:v>2013-II</c:v>
                </c:pt>
                <c:pt idx="34">
                  <c:v>2013-III</c:v>
                </c:pt>
                <c:pt idx="35">
                  <c:v>2013-IV</c:v>
                </c:pt>
                <c:pt idx="36">
                  <c:v>2014-I</c:v>
                </c:pt>
                <c:pt idx="37">
                  <c:v>2014-II</c:v>
                </c:pt>
              </c:strCache>
            </c:strRef>
          </c:cat>
          <c:val>
            <c:numRef>
              <c:f>'dziv.cena JP'!$D$2:$D$39</c:f>
              <c:numCache>
                <c:formatCode>0</c:formatCode>
                <c:ptCount val="38"/>
                <c:pt idx="0">
                  <c:v>1775.7541263517348</c:v>
                </c:pt>
                <c:pt idx="1">
                  <c:v>1878.2014797951053</c:v>
                </c:pt>
                <c:pt idx="2">
                  <c:v>2100.1707455890723</c:v>
                </c:pt>
                <c:pt idx="3">
                  <c:v>2305.0654524758111</c:v>
                </c:pt>
                <c:pt idx="4">
                  <c:v>2527.0347182697792</c:v>
                </c:pt>
                <c:pt idx="5">
                  <c:v>2731.9294251565157</c:v>
                </c:pt>
                <c:pt idx="6">
                  <c:v>2936.8241320432626</c:v>
                </c:pt>
                <c:pt idx="7">
                  <c:v>3244.1661923733673</c:v>
                </c:pt>
                <c:pt idx="8">
                  <c:v>3585.6573705179312</c:v>
                </c:pt>
                <c:pt idx="9">
                  <c:v>3671.0301650540696</c:v>
                </c:pt>
                <c:pt idx="10">
                  <c:v>3671.0301650540696</c:v>
                </c:pt>
                <c:pt idx="11">
                  <c:v>3414.9117814456463</c:v>
                </c:pt>
                <c:pt idx="12">
                  <c:v>3073.4206033010814</c:v>
                </c:pt>
                <c:pt idx="13">
                  <c:v>2834.3767785998862</c:v>
                </c:pt>
                <c:pt idx="14">
                  <c:v>2595.3329538986945</c:v>
                </c:pt>
                <c:pt idx="15">
                  <c:v>2390.4382470119517</c:v>
                </c:pt>
                <c:pt idx="16">
                  <c:v>2170.1764371087083</c:v>
                </c:pt>
                <c:pt idx="17">
                  <c:v>1837.6494023904361</c:v>
                </c:pt>
                <c:pt idx="18">
                  <c:v>1715.1394422310725</c:v>
                </c:pt>
                <c:pt idx="19">
                  <c:v>1662.635173591349</c:v>
                </c:pt>
                <c:pt idx="20">
                  <c:v>1715.1394422310725</c:v>
                </c:pt>
                <c:pt idx="21">
                  <c:v>1802.646556630621</c:v>
                </c:pt>
                <c:pt idx="22">
                  <c:v>1802.646556630621</c:v>
                </c:pt>
                <c:pt idx="23">
                  <c:v>1802.646556630621</c:v>
                </c:pt>
                <c:pt idx="24">
                  <c:v>1837.6494023904361</c:v>
                </c:pt>
                <c:pt idx="25">
                  <c:v>1837.6494023904361</c:v>
                </c:pt>
                <c:pt idx="26">
                  <c:v>1965.4097894137763</c:v>
                </c:pt>
                <c:pt idx="27">
                  <c:v>1965.4097894137763</c:v>
                </c:pt>
                <c:pt idx="28">
                  <c:v>2025</c:v>
                </c:pt>
                <c:pt idx="29">
                  <c:v>2150</c:v>
                </c:pt>
                <c:pt idx="30">
                  <c:v>2205.4638588503162</c:v>
                </c:pt>
                <c:pt idx="31">
                  <c:v>2276.6078542970968</c:v>
                </c:pt>
                <c:pt idx="32" formatCode="#,##0">
                  <c:v>2400</c:v>
                </c:pt>
                <c:pt idx="33" formatCode="#,##0">
                  <c:v>2450</c:v>
                </c:pt>
                <c:pt idx="34">
                  <c:v>2500</c:v>
                </c:pt>
                <c:pt idx="35">
                  <c:v>2600</c:v>
                </c:pt>
                <c:pt idx="36">
                  <c:v>2650</c:v>
                </c:pt>
                <c:pt idx="37" formatCode="General">
                  <c:v>2700</c:v>
                </c:pt>
              </c:numCache>
            </c:numRef>
          </c:val>
          <c:smooth val="0"/>
        </c:ser>
        <c:ser>
          <c:idx val="3"/>
          <c:order val="3"/>
          <c:tx>
            <c:strRef>
              <c:f>'dziv.cena JP'!$E$1</c:f>
              <c:strCache>
                <c:ptCount val="1"/>
                <c:pt idx="0">
                  <c:v>JP Vecrīgas tuvumā</c:v>
                </c:pt>
              </c:strCache>
            </c:strRef>
          </c:tx>
          <c:spPr>
            <a:ln w="38100">
              <a:solidFill>
                <a:schemeClr val="tx2"/>
              </a:solidFill>
              <a:prstDash val="solid"/>
            </a:ln>
          </c:spPr>
          <c:marker>
            <c:symbol val="none"/>
          </c:marker>
          <c:cat>
            <c:strRef>
              <c:f>'dziv.cena JP'!$A$2:$A$39</c:f>
              <c:strCache>
                <c:ptCount val="38"/>
                <c:pt idx="0">
                  <c:v>2005-I</c:v>
                </c:pt>
                <c:pt idx="1">
                  <c:v>2005-II</c:v>
                </c:pt>
                <c:pt idx="2">
                  <c:v>2005-III</c:v>
                </c:pt>
                <c:pt idx="3">
                  <c:v>2005-IV</c:v>
                </c:pt>
                <c:pt idx="4">
                  <c:v>2006-I</c:v>
                </c:pt>
                <c:pt idx="5">
                  <c:v>2006-II</c:v>
                </c:pt>
                <c:pt idx="6">
                  <c:v>2006-III</c:v>
                </c:pt>
                <c:pt idx="7">
                  <c:v>2006-IV</c:v>
                </c:pt>
                <c:pt idx="8">
                  <c:v>2007-I</c:v>
                </c:pt>
                <c:pt idx="9">
                  <c:v>2007-II</c:v>
                </c:pt>
                <c:pt idx="10">
                  <c:v>2007-III</c:v>
                </c:pt>
                <c:pt idx="11">
                  <c:v>2007-IV</c:v>
                </c:pt>
                <c:pt idx="12">
                  <c:v>2008-I</c:v>
                </c:pt>
                <c:pt idx="13">
                  <c:v>2008-II</c:v>
                </c:pt>
                <c:pt idx="14">
                  <c:v>2008-III</c:v>
                </c:pt>
                <c:pt idx="15">
                  <c:v>2008-IV</c:v>
                </c:pt>
                <c:pt idx="16">
                  <c:v>2009-I</c:v>
                </c:pt>
                <c:pt idx="17">
                  <c:v>2009-II</c:v>
                </c:pt>
                <c:pt idx="18">
                  <c:v>2009-III</c:v>
                </c:pt>
                <c:pt idx="19">
                  <c:v>2009-IV</c:v>
                </c:pt>
                <c:pt idx="20">
                  <c:v>2010-I</c:v>
                </c:pt>
                <c:pt idx="21">
                  <c:v>2010-II</c:v>
                </c:pt>
                <c:pt idx="22">
                  <c:v>2010-III</c:v>
                </c:pt>
                <c:pt idx="23">
                  <c:v>2010-IV</c:v>
                </c:pt>
                <c:pt idx="24">
                  <c:v>2011-I</c:v>
                </c:pt>
                <c:pt idx="25">
                  <c:v>2011-II</c:v>
                </c:pt>
                <c:pt idx="26">
                  <c:v>2011-III</c:v>
                </c:pt>
                <c:pt idx="27">
                  <c:v>2011-IV</c:v>
                </c:pt>
                <c:pt idx="28">
                  <c:v>2012-I</c:v>
                </c:pt>
                <c:pt idx="29">
                  <c:v>2012-II</c:v>
                </c:pt>
                <c:pt idx="30">
                  <c:v>2012-III</c:v>
                </c:pt>
                <c:pt idx="31">
                  <c:v>2012-IV</c:v>
                </c:pt>
                <c:pt idx="32">
                  <c:v>2013-I</c:v>
                </c:pt>
                <c:pt idx="33">
                  <c:v>2013-II</c:v>
                </c:pt>
                <c:pt idx="34">
                  <c:v>2013-III</c:v>
                </c:pt>
                <c:pt idx="35">
                  <c:v>2013-IV</c:v>
                </c:pt>
                <c:pt idx="36">
                  <c:v>2014-I</c:v>
                </c:pt>
                <c:pt idx="37">
                  <c:v>2014-II</c:v>
                </c:pt>
              </c:strCache>
            </c:strRef>
          </c:cat>
          <c:val>
            <c:numRef>
              <c:f>'dziv.cena JP'!$E$2:$E$39</c:f>
              <c:numCache>
                <c:formatCode>General</c:formatCode>
                <c:ptCount val="38"/>
                <c:pt idx="2" formatCode="0">
                  <c:v>3201.4797951052942</c:v>
                </c:pt>
                <c:pt idx="3" formatCode="0">
                  <c:v>3325.9817871371656</c:v>
                </c:pt>
                <c:pt idx="4" formatCode="0">
                  <c:v>3557.1997723392183</c:v>
                </c:pt>
                <c:pt idx="5" formatCode="0">
                  <c:v>3735.0597609561755</c:v>
                </c:pt>
                <c:pt idx="6" formatCode="0">
                  <c:v>3948.4917472965349</c:v>
                </c:pt>
                <c:pt idx="7" formatCode="0">
                  <c:v>4090.7797381900969</c:v>
                </c:pt>
                <c:pt idx="8" formatCode="0">
                  <c:v>4268.6397268070614</c:v>
                </c:pt>
                <c:pt idx="9" formatCode="0">
                  <c:v>4446.49971542401</c:v>
                </c:pt>
                <c:pt idx="10" formatCode="0">
                  <c:v>4357.5697211155457</c:v>
                </c:pt>
                <c:pt idx="11" formatCode="0">
                  <c:v>3912.9197495731401</c:v>
                </c:pt>
                <c:pt idx="12" formatCode="0">
                  <c:v>3592.7717700626067</c:v>
                </c:pt>
                <c:pt idx="13" formatCode="0">
                  <c:v>3237.0517928286872</c:v>
                </c:pt>
                <c:pt idx="14" formatCode="0">
                  <c:v>2988.0478087649362</c:v>
                </c:pt>
                <c:pt idx="15" formatCode="0">
                  <c:v>2756.8298235628913</c:v>
                </c:pt>
                <c:pt idx="16" formatCode="0">
                  <c:v>2561.1838360842362</c:v>
                </c:pt>
                <c:pt idx="17" formatCode="0">
                  <c:v>2464.4280022766079</c:v>
                </c:pt>
                <c:pt idx="18" formatCode="0">
                  <c:v>2312.1798520204902</c:v>
                </c:pt>
                <c:pt idx="19" formatCode="0">
                  <c:v>2340.6374501992032</c:v>
                </c:pt>
                <c:pt idx="20" formatCode="0">
                  <c:v>2416.0500853727945</c:v>
                </c:pt>
                <c:pt idx="21" formatCode="0">
                  <c:v>2451.6220830961847</c:v>
                </c:pt>
                <c:pt idx="22" formatCode="0">
                  <c:v>2591.0643141718842</c:v>
                </c:pt>
                <c:pt idx="23" formatCode="0">
                  <c:v>2687.8201479795166</c:v>
                </c:pt>
                <c:pt idx="24" formatCode="0">
                  <c:v>2736.1980648833242</c:v>
                </c:pt>
                <c:pt idx="25" formatCode="0">
                  <c:v>2988.0478087649362</c:v>
                </c:pt>
                <c:pt idx="26" formatCode="0">
                  <c:v>3180.1365964712613</c:v>
                </c:pt>
                <c:pt idx="27" formatCode="0">
                  <c:v>3414.9117814456463</c:v>
                </c:pt>
                <c:pt idx="28" formatCode="0">
                  <c:v>3529</c:v>
                </c:pt>
                <c:pt idx="29" formatCode="0">
                  <c:v>3690</c:v>
                </c:pt>
                <c:pt idx="30" formatCode="0">
                  <c:v>3841.7757541263518</c:v>
                </c:pt>
                <c:pt idx="31" formatCode="0">
                  <c:v>3912.9197495731401</c:v>
                </c:pt>
                <c:pt idx="32" formatCode="#,##0">
                  <c:v>4100</c:v>
                </c:pt>
                <c:pt idx="33" formatCode="#,##0">
                  <c:v>4150</c:v>
                </c:pt>
                <c:pt idx="34" formatCode="0">
                  <c:v>4200</c:v>
                </c:pt>
                <c:pt idx="35" formatCode="0">
                  <c:v>4200</c:v>
                </c:pt>
                <c:pt idx="36" formatCode="0">
                  <c:v>4250</c:v>
                </c:pt>
                <c:pt idx="37">
                  <c:v>4250</c:v>
                </c:pt>
              </c:numCache>
            </c:numRef>
          </c:val>
          <c:smooth val="0"/>
        </c:ser>
        <c:dLbls>
          <c:showLegendKey val="0"/>
          <c:showVal val="0"/>
          <c:showCatName val="0"/>
          <c:showSerName val="0"/>
          <c:showPercent val="0"/>
          <c:showBubbleSize val="0"/>
        </c:dLbls>
        <c:smooth val="0"/>
        <c:axId val="156815016"/>
        <c:axId val="158447104"/>
      </c:lineChart>
      <c:catAx>
        <c:axId val="156815016"/>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lgn="ctr">
              <a:defRPr/>
            </a:pPr>
            <a:endParaRPr lang="lv-LV"/>
          </a:p>
        </c:txPr>
        <c:crossAx val="158447104"/>
        <c:crosses val="autoZero"/>
        <c:auto val="1"/>
        <c:lblAlgn val="ctr"/>
        <c:lblOffset val="100"/>
        <c:tickLblSkip val="2"/>
        <c:tickMarkSkip val="1"/>
        <c:noMultiLvlLbl val="0"/>
      </c:catAx>
      <c:valAx>
        <c:axId val="158447104"/>
        <c:scaling>
          <c:orientation val="minMax"/>
        </c:scaling>
        <c:delete val="0"/>
        <c:axPos val="l"/>
        <c:majorGridlines>
          <c:spPr>
            <a:ln w="3175">
              <a:solidFill>
                <a:srgbClr val="000000"/>
              </a:solidFill>
              <a:prstDash val="solid"/>
            </a:ln>
          </c:spPr>
        </c:majorGridlines>
        <c:title>
          <c:tx>
            <c:rich>
              <a:bodyPr/>
              <a:lstStyle/>
              <a:p>
                <a:pPr>
                  <a:defRPr/>
                </a:pPr>
                <a:r>
                  <a:rPr lang="lv-LV"/>
                  <a:t>EUR/kv.m</a:t>
                </a:r>
              </a:p>
            </c:rich>
          </c:tx>
          <c:layout>
            <c:manualLayout>
              <c:xMode val="edge"/>
              <c:yMode val="edge"/>
              <c:x val="4.1076590396043793E-3"/>
              <c:y val="0.12284892549350868"/>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a:pPr>
            <a:endParaRPr lang="lv-LV"/>
          </a:p>
        </c:txPr>
        <c:crossAx val="156815016"/>
        <c:crosses val="autoZero"/>
        <c:crossBetween val="between"/>
      </c:valAx>
      <c:spPr>
        <a:solidFill>
          <a:srgbClr val="FFFFFF"/>
        </a:solidFill>
        <a:ln w="3175">
          <a:solidFill>
            <a:srgbClr val="000000"/>
          </a:solidFill>
          <a:prstDash val="solid"/>
        </a:ln>
      </c:spPr>
    </c:plotArea>
    <c:legend>
      <c:legendPos val="r"/>
      <c:layout>
        <c:manualLayout>
          <c:xMode val="edge"/>
          <c:yMode val="edge"/>
          <c:x val="0.18299376640419973"/>
          <c:y val="0.88312563605579075"/>
          <c:w val="0.81438320209973769"/>
          <c:h val="0.11396486358745386"/>
        </c:manualLayout>
      </c:layout>
      <c:overlay val="0"/>
      <c:spPr>
        <a:solidFill>
          <a:srgbClr val="FFFFFF"/>
        </a:solidFill>
        <a:ln w="25400">
          <a:noFill/>
        </a:ln>
      </c:spPr>
      <c:txPr>
        <a:bodyPr/>
        <a:lstStyle/>
        <a:p>
          <a:pPr algn="ctr" rtl="0">
            <a:defRPr sz="1000"/>
          </a:pPr>
          <a:endParaRPr lang="lv-LV"/>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lv-LV"/>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Lbls>
            <c:dLbl>
              <c:idx val="0"/>
              <c:layout>
                <c:manualLayout>
                  <c:x val="-3.4931997136721606E-2"/>
                  <c:y val="6.5640840696439655E-3"/>
                </c:manualLayout>
              </c:layou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1.2097298246641099E-2"/>
                  <c:y val="5.6144751817527308E-3"/>
                </c:manualLayout>
              </c:layou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4.4873303476470644E-2"/>
                  <c:y val="-2.7079646017699209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1.5515151515151549E-3"/>
                  <c:y val="3.2222956863216551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3.9500644237652115E-2"/>
                  <c:y val="2.9498525073746312E-3"/>
                </c:manualLayout>
              </c:layou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1"/>
            <c:showSerName val="0"/>
            <c:showPercent val="0"/>
            <c:showBubbleSize val="0"/>
            <c:showLeaderLines val="1"/>
            <c:extLst>
              <c:ext xmlns:c15="http://schemas.microsoft.com/office/drawing/2012/chart" uri="{CE6537A1-D6FC-4f65-9D91-7224C49458BB}">
                <c15:layout/>
              </c:ext>
            </c:extLst>
          </c:dLbls>
          <c:cat>
            <c:strRef>
              <c:f>Sheet1!$A$2:$A$7</c:f>
              <c:strCache>
                <c:ptCount val="6"/>
                <c:pt idx="0">
                  <c:v>2014</c:v>
                </c:pt>
                <c:pt idx="1">
                  <c:v>2013</c:v>
                </c:pt>
                <c:pt idx="2">
                  <c:v>2012</c:v>
                </c:pt>
                <c:pt idx="3">
                  <c:v>2011</c:v>
                </c:pt>
                <c:pt idx="4">
                  <c:v>2010</c:v>
                </c:pt>
                <c:pt idx="5">
                  <c:v>vecāki par 2010</c:v>
                </c:pt>
              </c:strCache>
            </c:strRef>
          </c:cat>
          <c:val>
            <c:numRef>
              <c:f>Sheet1!$B$2:$B$7</c:f>
              <c:numCache>
                <c:formatCode>General</c:formatCode>
                <c:ptCount val="6"/>
                <c:pt idx="0">
                  <c:v>105</c:v>
                </c:pt>
                <c:pt idx="1">
                  <c:v>186</c:v>
                </c:pt>
                <c:pt idx="2">
                  <c:v>105</c:v>
                </c:pt>
                <c:pt idx="3">
                  <c:v>61</c:v>
                </c:pt>
                <c:pt idx="4">
                  <c:v>38</c:v>
                </c:pt>
                <c:pt idx="5">
                  <c:v>83</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0.40278</cdr:y>
    </cdr:from>
    <cdr:to>
      <cdr:x>1</cdr:x>
      <cdr:y>0.40278</cdr:y>
    </cdr:to>
    <cdr:cxnSp macro="">
      <cdr:nvCxnSpPr>
        <cdr:cNvPr id="2" name="Straight Connector 1"/>
        <cdr:cNvCxnSpPr/>
      </cdr:nvCxnSpPr>
      <cdr:spPr>
        <a:xfrm xmlns:a="http://schemas.openxmlformats.org/drawingml/2006/main" flipV="1">
          <a:off x="0" y="1104900"/>
          <a:ext cx="3143250" cy="0"/>
        </a:xfrm>
        <a:prstGeom xmlns:a="http://schemas.openxmlformats.org/drawingml/2006/main" prst="line">
          <a:avLst/>
        </a:prstGeom>
        <a:ln xmlns:a="http://schemas.openxmlformats.org/drawingml/2006/main" w="15875"/>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961EF-07B6-4D0B-961A-BCA6DC4C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5196</Words>
  <Characters>35960</Characters>
  <Application>Microsoft Office Word</Application>
  <DocSecurity>0</DocSecurity>
  <Lines>922</Lines>
  <Paragraphs>428</Paragraphs>
  <ScaleCrop>false</ScaleCrop>
  <HeadingPairs>
    <vt:vector size="2" baseType="variant">
      <vt:variant>
        <vt:lpstr>Title</vt:lpstr>
      </vt:variant>
      <vt:variant>
        <vt:i4>1</vt:i4>
      </vt:variant>
    </vt:vector>
  </HeadingPairs>
  <TitlesOfParts>
    <vt:vector size="1" baseType="lpstr">
      <vt:lpstr>Informatīvais ziņojums par Imigrācijas likuma 23.panta pirmās daļas 3., 28., 29. un 30.punktā paredzēto noteikumu īstenošanas gaitu un rezultātiem</vt:lpstr>
    </vt:vector>
  </TitlesOfParts>
  <Manager>Iekšlietu ministrija</Manager>
  <Company>PMLP</Company>
  <LinksUpToDate>false</LinksUpToDate>
  <CharactersWithSpaces>40728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Imigrācijas likuma 23.panta pirmās daļas 3., 28., 29. un 30.punktā paredzēto noteikumu īstenošanas gaitu un rezultātiem</dc:title>
  <dc:subject>Informatīvais ziņojums</dc:subject>
  <dc:creator>Ilze Briede</dc:creator>
  <dc:description>ilze.briede@pmlp.gov.lv tālr. 67219564; fakss 67829825</dc:description>
  <cp:lastModifiedBy>Aiva Urbāne</cp:lastModifiedBy>
  <cp:revision>4</cp:revision>
  <cp:lastPrinted>2014-09-10T16:10:00Z</cp:lastPrinted>
  <dcterms:created xsi:type="dcterms:W3CDTF">2014-09-12T07:46:00Z</dcterms:created>
  <dcterms:modified xsi:type="dcterms:W3CDTF">2014-09-12T10:49:00Z</dcterms:modified>
</cp:coreProperties>
</file>