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A4" w:rsidRPr="009366A4" w:rsidRDefault="009366A4" w:rsidP="009366A4">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9366A4">
        <w:rPr>
          <w:rFonts w:ascii="Times New Roman" w:eastAsia="Times New Roman" w:hAnsi="Times New Roman" w:cs="Times New Roman"/>
          <w:b/>
          <w:bCs/>
          <w:sz w:val="28"/>
          <w:szCs w:val="28"/>
          <w:lang w:eastAsia="lv-LV"/>
        </w:rPr>
        <w:t>Ministru kabineta noteikumu projekta „Grozījum</w:t>
      </w:r>
      <w:r w:rsidR="0075327B">
        <w:rPr>
          <w:rFonts w:ascii="Times New Roman" w:eastAsia="Times New Roman" w:hAnsi="Times New Roman" w:cs="Times New Roman"/>
          <w:b/>
          <w:bCs/>
          <w:sz w:val="28"/>
          <w:szCs w:val="28"/>
          <w:lang w:eastAsia="lv-LV"/>
        </w:rPr>
        <w:t>s</w:t>
      </w:r>
      <w:r w:rsidRPr="009366A4">
        <w:rPr>
          <w:rFonts w:ascii="Times New Roman" w:eastAsia="Times New Roman" w:hAnsi="Times New Roman" w:cs="Times New Roman"/>
          <w:b/>
          <w:bCs/>
          <w:sz w:val="28"/>
          <w:szCs w:val="28"/>
          <w:lang w:eastAsia="lv-LV"/>
        </w:rPr>
        <w:t xml:space="preserve"> Ministru kabineta 2013.gada 10.septembra noteikumos Nr.789 „</w:t>
      </w:r>
      <w:r w:rsidRPr="009366A4">
        <w:rPr>
          <w:rFonts w:ascii="Times New Roman" w:hAnsi="Times New Roman" w:cs="Times New Roman"/>
          <w:b/>
          <w:bCs/>
          <w:sz w:val="28"/>
          <w:szCs w:val="28"/>
          <w:shd w:val="clear" w:color="auto" w:fill="FFFFFF"/>
        </w:rPr>
        <w:t>Izglītības kvalitātes valsts dienesta maksas pakalpojumu cenrādis</w:t>
      </w:r>
      <w:r w:rsidRPr="009366A4">
        <w:rPr>
          <w:rFonts w:ascii="Times New Roman" w:eastAsia="Times New Roman" w:hAnsi="Times New Roman" w:cs="Times New Roman"/>
          <w:b/>
          <w:bCs/>
          <w:sz w:val="28"/>
          <w:szCs w:val="28"/>
          <w:lang w:eastAsia="lv-LV"/>
        </w:rPr>
        <w:t>””</w:t>
      </w:r>
    </w:p>
    <w:p w:rsidR="009366A4" w:rsidRPr="009366A4" w:rsidRDefault="009366A4" w:rsidP="009366A4">
      <w:pPr>
        <w:shd w:val="clear" w:color="auto" w:fill="FFFFFF"/>
        <w:spacing w:after="0" w:line="240" w:lineRule="auto"/>
        <w:jc w:val="center"/>
        <w:rPr>
          <w:rFonts w:ascii="Times New Roman" w:eastAsia="Times New Roman" w:hAnsi="Times New Roman" w:cs="Times New Roman"/>
          <w:b/>
          <w:bCs/>
          <w:sz w:val="28"/>
          <w:szCs w:val="28"/>
          <w:lang w:eastAsia="lv-LV"/>
        </w:rPr>
      </w:pPr>
      <w:r w:rsidRPr="009366A4">
        <w:rPr>
          <w:rFonts w:ascii="Times New Roman" w:eastAsia="Times New Roman" w:hAnsi="Times New Roman" w:cs="Times New Roman"/>
          <w:b/>
          <w:bCs/>
          <w:sz w:val="28"/>
          <w:szCs w:val="28"/>
          <w:lang w:eastAsia="lv-LV"/>
        </w:rPr>
        <w:t>sākotnējās ietekmes novērtējuma ziņojums (anotācija)</w:t>
      </w:r>
    </w:p>
    <w:p w:rsidR="009366A4" w:rsidRPr="009366A4" w:rsidRDefault="009366A4" w:rsidP="009366A4">
      <w:pPr>
        <w:shd w:val="clear" w:color="auto" w:fill="FFFFFF"/>
        <w:spacing w:after="0" w:line="240" w:lineRule="auto"/>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9366A4" w:rsidRPr="009366A4" w:rsidTr="009366A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366A4">
              <w:rPr>
                <w:rFonts w:ascii="Times New Roman" w:eastAsia="Times New Roman" w:hAnsi="Times New Roman" w:cs="Times New Roman"/>
                <w:b/>
                <w:bCs/>
                <w:sz w:val="28"/>
                <w:szCs w:val="28"/>
                <w:lang w:eastAsia="lv-LV"/>
              </w:rPr>
              <w:t>I. Tiesību akta projekta izstrādes nepieciešamība</w:t>
            </w:r>
          </w:p>
        </w:tc>
      </w:tr>
      <w:tr w:rsidR="009366A4" w:rsidRPr="009366A4" w:rsidTr="009366A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061A78" w:rsidRDefault="00061A78" w:rsidP="00EC3AA5">
            <w:pPr>
              <w:pStyle w:val="tv213"/>
              <w:numPr>
                <w:ilvl w:val="0"/>
                <w:numId w:val="1"/>
              </w:numPr>
              <w:shd w:val="clear" w:color="auto" w:fill="FFFFFF"/>
              <w:spacing w:before="0" w:beforeAutospacing="0" w:after="0" w:afterAutospacing="0" w:line="293" w:lineRule="atLeast"/>
              <w:jc w:val="both"/>
              <w:rPr>
                <w:bCs/>
                <w:sz w:val="28"/>
                <w:szCs w:val="28"/>
              </w:rPr>
            </w:pPr>
            <w:r w:rsidRPr="00061A78">
              <w:rPr>
                <w:bCs/>
                <w:sz w:val="28"/>
                <w:szCs w:val="28"/>
              </w:rPr>
              <w:t>Likum</w:t>
            </w:r>
            <w:r>
              <w:rPr>
                <w:bCs/>
                <w:sz w:val="28"/>
                <w:szCs w:val="28"/>
              </w:rPr>
              <w:t>a</w:t>
            </w:r>
            <w:r w:rsidRPr="00061A78">
              <w:rPr>
                <w:bCs/>
                <w:sz w:val="28"/>
                <w:szCs w:val="28"/>
              </w:rPr>
              <w:t xml:space="preserve"> par budžetu un finanšu vadību</w:t>
            </w:r>
            <w:r>
              <w:rPr>
                <w:bCs/>
                <w:sz w:val="28"/>
                <w:szCs w:val="28"/>
              </w:rPr>
              <w:t xml:space="preserve"> 5.panta devītā daļa;</w:t>
            </w:r>
          </w:p>
          <w:p w:rsidR="0018185D" w:rsidRPr="00EC3AA5" w:rsidRDefault="00061A78" w:rsidP="001C34FE">
            <w:pPr>
              <w:pStyle w:val="tv213"/>
              <w:numPr>
                <w:ilvl w:val="0"/>
                <w:numId w:val="1"/>
              </w:numPr>
              <w:shd w:val="clear" w:color="auto" w:fill="FFFFFF"/>
              <w:spacing w:before="0" w:beforeAutospacing="0" w:after="0" w:afterAutospacing="0" w:line="293" w:lineRule="atLeast"/>
              <w:jc w:val="both"/>
              <w:rPr>
                <w:bCs/>
                <w:sz w:val="28"/>
                <w:szCs w:val="28"/>
              </w:rPr>
            </w:pPr>
            <w:r w:rsidRPr="00055816">
              <w:rPr>
                <w:sz w:val="28"/>
                <w:szCs w:val="28"/>
              </w:rPr>
              <w:t xml:space="preserve">Ministru kabineta </w:t>
            </w:r>
            <w:r>
              <w:rPr>
                <w:sz w:val="28"/>
                <w:szCs w:val="28"/>
              </w:rPr>
              <w:t>2014.gada 15.aprīļa</w:t>
            </w:r>
            <w:r w:rsidRPr="00055816">
              <w:rPr>
                <w:sz w:val="28"/>
                <w:szCs w:val="28"/>
              </w:rPr>
              <w:t xml:space="preserve"> noteikum</w:t>
            </w:r>
            <w:r w:rsidR="00EC3AA5">
              <w:rPr>
                <w:sz w:val="28"/>
                <w:szCs w:val="28"/>
              </w:rPr>
              <w:t>u</w:t>
            </w:r>
            <w:r w:rsidRPr="00055816">
              <w:rPr>
                <w:sz w:val="28"/>
                <w:szCs w:val="28"/>
              </w:rPr>
              <w:t xml:space="preserve"> Nr.195 „Kārtība, kādā tiek izvērtēts, vai atļauja strādāt </w:t>
            </w:r>
            <w:r w:rsidRPr="0018185D">
              <w:rPr>
                <w:sz w:val="28"/>
                <w:szCs w:val="28"/>
              </w:rPr>
              <w:t>par pedagogu personai, kas bijusi sodīta par tīšu kriminālpārkāpumu vai mazāk smagu noziegumu,</w:t>
            </w:r>
            <w:r w:rsidR="001C34FE">
              <w:t xml:space="preserve"> </w:t>
            </w:r>
            <w:r w:rsidR="001C34FE" w:rsidRPr="001C34FE">
              <w:rPr>
                <w:sz w:val="28"/>
                <w:szCs w:val="28"/>
              </w:rPr>
              <w:t>ja sodāmība ir dzēsta vai noņemta</w:t>
            </w:r>
            <w:r w:rsidR="001C34FE">
              <w:rPr>
                <w:sz w:val="28"/>
                <w:szCs w:val="28"/>
              </w:rPr>
              <w:t>,</w:t>
            </w:r>
            <w:r w:rsidRPr="0018185D">
              <w:rPr>
                <w:sz w:val="28"/>
                <w:szCs w:val="28"/>
              </w:rPr>
              <w:t xml:space="preserve"> nekaitēs izglītojamo interesēm”</w:t>
            </w:r>
            <w:r>
              <w:rPr>
                <w:sz w:val="28"/>
                <w:szCs w:val="28"/>
              </w:rPr>
              <w:t xml:space="preserve"> (turpmāk – MK noteikumi Nr.195)</w:t>
            </w:r>
            <w:r w:rsidR="00EC3AA5">
              <w:rPr>
                <w:sz w:val="28"/>
                <w:szCs w:val="28"/>
              </w:rPr>
              <w:t xml:space="preserve"> 3.punkts.</w:t>
            </w:r>
            <w:r>
              <w:rPr>
                <w:sz w:val="28"/>
                <w:szCs w:val="28"/>
              </w:rPr>
              <w:t xml:space="preserve"> </w:t>
            </w:r>
          </w:p>
        </w:tc>
      </w:tr>
      <w:tr w:rsidR="009366A4" w:rsidRPr="009366A4" w:rsidTr="009366A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366A4" w:rsidRPr="00061A78" w:rsidRDefault="00061A78" w:rsidP="00A05673">
            <w:pPr>
              <w:spacing w:after="0" w:line="240" w:lineRule="auto"/>
              <w:jc w:val="both"/>
              <w:rPr>
                <w:rFonts w:ascii="Times New Roman" w:eastAsia="Times New Roman" w:hAnsi="Times New Roman" w:cs="Times New Roman"/>
                <w:sz w:val="28"/>
                <w:szCs w:val="28"/>
                <w:lang w:eastAsia="lv-LV"/>
              </w:rPr>
            </w:pPr>
            <w:r w:rsidRPr="00061A78">
              <w:rPr>
                <w:rFonts w:ascii="Times New Roman" w:eastAsia="Times New Roman" w:hAnsi="Times New Roman" w:cs="Times New Roman"/>
                <w:sz w:val="28"/>
                <w:szCs w:val="28"/>
                <w:lang w:eastAsia="lv-LV"/>
              </w:rPr>
              <w:t xml:space="preserve">Izglītības likuma 50.panta 1.punktā no 2012.gada 1.oktobra noteikts, ka par pedagogu nedrīkst strādāt persona, kas sodīta par tīša noziedzīga nodarījuma izdarīšanu (neatkarīgi no sodāmības dzēšanas vai noņemšanas), izņemot gadījumu, kad pēc sodāmības dzēšanas vai noņemšanas Ministru kabineta noteikta institūcija, izvērtējusi, vai tas nekaitē izglītojamo interesēm, ir atļāvusi strādāt par pedagogu personai, kas bijusi sodīta par tīšu kriminālpārkāpumu vai mazāk smagu noziegumu. Ministru kabinets nosaka kārtību, kādā tiek izvērtēts, vai atļauja šādai personai strādāt par pedagogu nekaitēs izglītojamo interesēm. </w:t>
            </w:r>
            <w:r w:rsidR="00C96ED9">
              <w:rPr>
                <w:rFonts w:ascii="Times New Roman" w:eastAsia="Times New Roman" w:hAnsi="Times New Roman" w:cs="Times New Roman"/>
                <w:sz w:val="28"/>
                <w:szCs w:val="28"/>
                <w:lang w:eastAsia="lv-LV"/>
              </w:rPr>
              <w:t>Savukārt a</w:t>
            </w:r>
            <w:r w:rsidR="00C96ED9" w:rsidRPr="00C96ED9">
              <w:rPr>
                <w:rFonts w:ascii="Times New Roman" w:eastAsia="Times New Roman" w:hAnsi="Times New Roman" w:cs="Times New Roman"/>
                <w:sz w:val="28"/>
                <w:szCs w:val="28"/>
                <w:lang w:eastAsia="lv-LV"/>
              </w:rPr>
              <w:t>r Latvijas Republikas Ministru kabineta komitejas lēmumu (2014.gada 10.februāra sēdes protokols Nr.6) noteikts, ka iesnieguma izvērtēšana, vai atļauja strādāt par pedagogu personai, kas bijusi sodīta par tīšu kriminālpārkāpumu vai mazāk smagu noziegumu, nekaitēs izglītojamo interesēm, jāparedz kā maksas pakalpojums.</w:t>
            </w:r>
            <w:r w:rsidR="00C96ED9">
              <w:rPr>
                <w:rFonts w:ascii="Times New Roman" w:eastAsia="Times New Roman" w:hAnsi="Times New Roman" w:cs="Times New Roman"/>
                <w:sz w:val="28"/>
                <w:szCs w:val="28"/>
                <w:lang w:eastAsia="lv-LV"/>
              </w:rPr>
              <w:t xml:space="preserve"> </w:t>
            </w:r>
            <w:r w:rsidRPr="00061A78">
              <w:rPr>
                <w:rFonts w:ascii="Times New Roman" w:eastAsia="Times New Roman" w:hAnsi="Times New Roman" w:cs="Times New Roman"/>
                <w:sz w:val="28"/>
                <w:szCs w:val="28"/>
                <w:lang w:eastAsia="lv-LV"/>
              </w:rPr>
              <w:t xml:space="preserve">Ievērojot minēto, 2014.gada 15.aprīlī ir pieņemti </w:t>
            </w:r>
            <w:r>
              <w:rPr>
                <w:rFonts w:ascii="Times New Roman" w:eastAsia="Times New Roman" w:hAnsi="Times New Roman" w:cs="Times New Roman"/>
                <w:sz w:val="28"/>
                <w:szCs w:val="28"/>
                <w:lang w:eastAsia="lv-LV"/>
              </w:rPr>
              <w:t>MK</w:t>
            </w:r>
            <w:r w:rsidRPr="00061A78">
              <w:rPr>
                <w:rFonts w:ascii="Times New Roman" w:eastAsia="Times New Roman" w:hAnsi="Times New Roman" w:cs="Times New Roman"/>
                <w:sz w:val="28"/>
                <w:szCs w:val="28"/>
                <w:lang w:eastAsia="lv-LV"/>
              </w:rPr>
              <w:t xml:space="preserve"> noteikumi Nr.195, kas stājas spēkā 2015.gada 1.janvārī</w:t>
            </w:r>
            <w:r w:rsidR="00C96ED9">
              <w:rPr>
                <w:rFonts w:ascii="Times New Roman" w:eastAsia="Times New Roman" w:hAnsi="Times New Roman" w:cs="Times New Roman"/>
                <w:sz w:val="28"/>
                <w:szCs w:val="28"/>
                <w:lang w:eastAsia="lv-LV"/>
              </w:rPr>
              <w:t>.</w:t>
            </w:r>
            <w:r w:rsidRPr="00061A78">
              <w:rPr>
                <w:rFonts w:ascii="Times New Roman" w:eastAsia="Times New Roman" w:hAnsi="Times New Roman" w:cs="Times New Roman"/>
                <w:sz w:val="28"/>
                <w:szCs w:val="28"/>
                <w:lang w:eastAsia="lv-LV"/>
              </w:rPr>
              <w:t xml:space="preserve"> </w:t>
            </w:r>
            <w:r w:rsidR="00C96ED9">
              <w:rPr>
                <w:rFonts w:ascii="Times New Roman" w:eastAsia="Times New Roman" w:hAnsi="Times New Roman" w:cs="Times New Roman"/>
                <w:sz w:val="28"/>
                <w:szCs w:val="28"/>
                <w:lang w:eastAsia="lv-LV"/>
              </w:rPr>
              <w:t xml:space="preserve">MK noteikumu </w:t>
            </w:r>
            <w:r w:rsidR="00C96ED9">
              <w:rPr>
                <w:rFonts w:ascii="Times New Roman" w:eastAsia="Times New Roman" w:hAnsi="Times New Roman" w:cs="Times New Roman"/>
                <w:sz w:val="28"/>
                <w:szCs w:val="28"/>
                <w:lang w:eastAsia="lv-LV"/>
              </w:rPr>
              <w:lastRenderedPageBreak/>
              <w:t>Nr.195</w:t>
            </w:r>
            <w:r w:rsidRPr="00061A78">
              <w:rPr>
                <w:rFonts w:ascii="Times New Roman" w:eastAsia="Times New Roman" w:hAnsi="Times New Roman" w:cs="Times New Roman"/>
                <w:sz w:val="28"/>
                <w:szCs w:val="28"/>
                <w:lang w:eastAsia="lv-LV"/>
              </w:rPr>
              <w:t xml:space="preserve"> 2.punkt</w:t>
            </w:r>
            <w:r w:rsidR="00C96ED9">
              <w:rPr>
                <w:rFonts w:ascii="Times New Roman" w:eastAsia="Times New Roman" w:hAnsi="Times New Roman" w:cs="Times New Roman"/>
                <w:sz w:val="28"/>
                <w:szCs w:val="28"/>
                <w:lang w:eastAsia="lv-LV"/>
              </w:rPr>
              <w:t>s paredz</w:t>
            </w:r>
            <w:r w:rsidRPr="00061A78">
              <w:rPr>
                <w:rFonts w:ascii="Times New Roman" w:eastAsia="Times New Roman" w:hAnsi="Times New Roman" w:cs="Times New Roman"/>
                <w:sz w:val="28"/>
                <w:szCs w:val="28"/>
                <w:lang w:eastAsia="lv-LV"/>
              </w:rPr>
              <w:t xml:space="preserve"> Izglītības kvalitātes valsts dienestam (turpmāk – kvalitātes dienests) funkciju: </w:t>
            </w:r>
            <w:r w:rsidRPr="00EC3AA5">
              <w:rPr>
                <w:rFonts w:ascii="Times New Roman" w:eastAsia="Times New Roman" w:hAnsi="Times New Roman" w:cs="Times New Roman"/>
                <w:i/>
                <w:sz w:val="28"/>
                <w:szCs w:val="28"/>
                <w:lang w:eastAsia="lv-LV"/>
              </w:rPr>
              <w:t>izvērtēt, vai atļauja strādāt par pedagogu personai, kas bijusi sodīta par tīšu kriminālpārkāpumu vai mazāk smagu noziegumu,</w:t>
            </w:r>
            <w:r w:rsidR="001C34FE">
              <w:t xml:space="preserve"> </w:t>
            </w:r>
            <w:r w:rsidR="001C34FE" w:rsidRPr="001C34FE">
              <w:rPr>
                <w:rFonts w:ascii="Times New Roman" w:eastAsia="Times New Roman" w:hAnsi="Times New Roman" w:cs="Times New Roman"/>
                <w:i/>
                <w:sz w:val="28"/>
                <w:szCs w:val="28"/>
                <w:lang w:eastAsia="lv-LV"/>
              </w:rPr>
              <w:t>ja sodāmība ir dzēsta vai noņemta</w:t>
            </w:r>
            <w:r w:rsidR="001C34FE">
              <w:rPr>
                <w:rFonts w:ascii="Times New Roman" w:eastAsia="Times New Roman" w:hAnsi="Times New Roman" w:cs="Times New Roman"/>
                <w:i/>
                <w:sz w:val="28"/>
                <w:szCs w:val="28"/>
                <w:lang w:eastAsia="lv-LV"/>
              </w:rPr>
              <w:t>,</w:t>
            </w:r>
            <w:r w:rsidRPr="00EC3AA5">
              <w:rPr>
                <w:rFonts w:ascii="Times New Roman" w:eastAsia="Times New Roman" w:hAnsi="Times New Roman" w:cs="Times New Roman"/>
                <w:i/>
                <w:sz w:val="28"/>
                <w:szCs w:val="28"/>
                <w:lang w:eastAsia="lv-LV"/>
              </w:rPr>
              <w:t xml:space="preserve"> nekaitēs izglītojamo interesēm un pieņemt lēmumu par minētās atļaujas izsniegšanu, atteikumu izsniegt atļauju vai atļaujas anulēšanu</w:t>
            </w:r>
            <w:r w:rsidR="00C96ED9">
              <w:rPr>
                <w:rFonts w:ascii="Times New Roman" w:eastAsia="Times New Roman" w:hAnsi="Times New Roman" w:cs="Times New Roman"/>
                <w:sz w:val="28"/>
                <w:szCs w:val="28"/>
                <w:lang w:eastAsia="lv-LV"/>
              </w:rPr>
              <w:t>,</w:t>
            </w:r>
            <w:r w:rsidRPr="00061A78">
              <w:rPr>
                <w:rFonts w:ascii="Times New Roman" w:eastAsia="Times New Roman" w:hAnsi="Times New Roman" w:cs="Times New Roman"/>
                <w:sz w:val="28"/>
                <w:szCs w:val="28"/>
                <w:lang w:eastAsia="lv-LV"/>
              </w:rPr>
              <w:t xml:space="preserve"> </w:t>
            </w:r>
            <w:r w:rsidR="00C96ED9">
              <w:rPr>
                <w:rFonts w:ascii="Times New Roman" w:eastAsia="Times New Roman" w:hAnsi="Times New Roman" w:cs="Times New Roman"/>
                <w:sz w:val="28"/>
                <w:szCs w:val="28"/>
                <w:lang w:eastAsia="lv-LV"/>
              </w:rPr>
              <w:t>v</w:t>
            </w:r>
            <w:r w:rsidRPr="00061A78">
              <w:rPr>
                <w:rFonts w:ascii="Times New Roman" w:eastAsia="Times New Roman" w:hAnsi="Times New Roman" w:cs="Times New Roman"/>
                <w:sz w:val="28"/>
                <w:szCs w:val="28"/>
                <w:lang w:eastAsia="lv-LV"/>
              </w:rPr>
              <w:t>ienlaikus</w:t>
            </w:r>
            <w:r w:rsidR="00C96ED9">
              <w:rPr>
                <w:rFonts w:ascii="Times New Roman" w:eastAsia="Times New Roman" w:hAnsi="Times New Roman" w:cs="Times New Roman"/>
                <w:sz w:val="28"/>
                <w:szCs w:val="28"/>
                <w:lang w:eastAsia="lv-LV"/>
              </w:rPr>
              <w:t xml:space="preserve"> MK noteikumu Nr.195</w:t>
            </w:r>
            <w:r w:rsidR="001C34FE">
              <w:rPr>
                <w:rFonts w:ascii="Times New Roman" w:eastAsia="Times New Roman" w:hAnsi="Times New Roman" w:cs="Times New Roman"/>
                <w:sz w:val="28"/>
                <w:szCs w:val="28"/>
                <w:lang w:eastAsia="lv-LV"/>
              </w:rPr>
              <w:t xml:space="preserve"> 3.punkts</w:t>
            </w:r>
            <w:r w:rsidRPr="00061A78">
              <w:rPr>
                <w:rFonts w:ascii="Times New Roman" w:eastAsia="Times New Roman" w:hAnsi="Times New Roman" w:cs="Times New Roman"/>
                <w:sz w:val="28"/>
                <w:szCs w:val="28"/>
                <w:lang w:eastAsia="lv-LV"/>
              </w:rPr>
              <w:t xml:space="preserve"> no</w:t>
            </w:r>
            <w:r w:rsidR="00C96ED9">
              <w:rPr>
                <w:rFonts w:ascii="Times New Roman" w:eastAsia="Times New Roman" w:hAnsi="Times New Roman" w:cs="Times New Roman"/>
                <w:sz w:val="28"/>
                <w:szCs w:val="28"/>
                <w:lang w:eastAsia="lv-LV"/>
              </w:rPr>
              <w:t>sak</w:t>
            </w:r>
            <w:r w:rsidR="001C34FE">
              <w:rPr>
                <w:rFonts w:ascii="Times New Roman" w:eastAsia="Times New Roman" w:hAnsi="Times New Roman" w:cs="Times New Roman"/>
                <w:sz w:val="28"/>
                <w:szCs w:val="28"/>
                <w:lang w:eastAsia="lv-LV"/>
              </w:rPr>
              <w:t>a</w:t>
            </w:r>
            <w:r w:rsidRPr="00061A78">
              <w:rPr>
                <w:rFonts w:ascii="Times New Roman" w:eastAsia="Times New Roman" w:hAnsi="Times New Roman" w:cs="Times New Roman"/>
                <w:sz w:val="28"/>
                <w:szCs w:val="28"/>
                <w:lang w:eastAsia="lv-LV"/>
              </w:rPr>
              <w:t>, ka iesnieguma izvērtēšana ir maksas pakalpojums. Ievērojot minēto, ir izstrādāts Ministru kabineta noteikumu projekts „Grozījums Ministru kabineta 2013.gada 10.septembra noteikumos Nr.789 „Izglītības kvalitātes valsts dienesta maksas pakalpojumu cenrādis”” (turpmāk – noteikumu projekts), iekļ</w:t>
            </w:r>
            <w:r>
              <w:rPr>
                <w:rFonts w:ascii="Times New Roman" w:eastAsia="Times New Roman" w:hAnsi="Times New Roman" w:cs="Times New Roman"/>
                <w:sz w:val="28"/>
                <w:szCs w:val="28"/>
                <w:lang w:eastAsia="lv-LV"/>
              </w:rPr>
              <w:t xml:space="preserve">aujot minēto maksas pakalpojumu </w:t>
            </w:r>
            <w:r w:rsidR="001C706A">
              <w:rPr>
                <w:rFonts w:ascii="Times New Roman" w:eastAsia="Times New Roman" w:hAnsi="Times New Roman" w:cs="Times New Roman"/>
                <w:sz w:val="28"/>
                <w:szCs w:val="28"/>
                <w:lang w:eastAsia="lv-LV"/>
              </w:rPr>
              <w:t xml:space="preserve">– </w:t>
            </w:r>
            <w:r w:rsidR="001C706A" w:rsidRPr="00E15EF3">
              <w:rPr>
                <w:rFonts w:ascii="Times New Roman" w:hAnsi="Times New Roman" w:cs="Times New Roman"/>
                <w:i/>
                <w:sz w:val="28"/>
                <w:szCs w:val="28"/>
                <w:shd w:val="clear" w:color="auto" w:fill="FFFFFF"/>
              </w:rPr>
              <w:t>iesnieguma izvērtēšana, vai atļau</w:t>
            </w:r>
            <w:r w:rsidR="008867CA">
              <w:rPr>
                <w:rFonts w:ascii="Times New Roman" w:hAnsi="Times New Roman" w:cs="Times New Roman"/>
                <w:i/>
                <w:sz w:val="28"/>
                <w:szCs w:val="28"/>
                <w:shd w:val="clear" w:color="auto" w:fill="FFFFFF"/>
              </w:rPr>
              <w:t>ja</w:t>
            </w:r>
            <w:r w:rsidR="001C706A" w:rsidRPr="00E15EF3">
              <w:rPr>
                <w:rFonts w:ascii="Times New Roman" w:hAnsi="Times New Roman" w:cs="Times New Roman"/>
                <w:i/>
                <w:sz w:val="28"/>
                <w:szCs w:val="28"/>
                <w:shd w:val="clear" w:color="auto" w:fill="FFFFFF"/>
              </w:rPr>
              <w:t xml:space="preserve"> strādāt par pedagogu personai, kas bijusi sodīta par tīšu kriminālpārkāpumu vai mazāk smagu noziegumu, </w:t>
            </w:r>
            <w:r w:rsidR="001C34FE" w:rsidRPr="001C34FE">
              <w:rPr>
                <w:rFonts w:ascii="Times New Roman" w:hAnsi="Times New Roman" w:cs="Times New Roman"/>
                <w:i/>
                <w:sz w:val="28"/>
                <w:szCs w:val="28"/>
                <w:shd w:val="clear" w:color="auto" w:fill="FFFFFF"/>
              </w:rPr>
              <w:t>ja sodāmība ir dzēsta vai noņemta</w:t>
            </w:r>
            <w:r w:rsidR="001C34FE">
              <w:rPr>
                <w:rFonts w:ascii="Times New Roman" w:hAnsi="Times New Roman" w:cs="Times New Roman"/>
                <w:i/>
                <w:sz w:val="28"/>
                <w:szCs w:val="28"/>
                <w:shd w:val="clear" w:color="auto" w:fill="FFFFFF"/>
              </w:rPr>
              <w:t xml:space="preserve">, </w:t>
            </w:r>
            <w:r w:rsidR="001C706A" w:rsidRPr="00E15EF3">
              <w:rPr>
                <w:rFonts w:ascii="Times New Roman" w:hAnsi="Times New Roman" w:cs="Times New Roman"/>
                <w:i/>
                <w:sz w:val="28"/>
                <w:szCs w:val="28"/>
                <w:shd w:val="clear" w:color="auto" w:fill="FFFFFF"/>
              </w:rPr>
              <w:t>nekaitēs izglītojamo interesēm</w:t>
            </w:r>
            <w:r w:rsidR="00D369DB">
              <w:rPr>
                <w:rFonts w:ascii="Times New Roman" w:hAnsi="Times New Roman" w:cs="Times New Roman"/>
                <w:sz w:val="28"/>
                <w:szCs w:val="28"/>
                <w:shd w:val="clear" w:color="auto" w:fill="FFFFFF"/>
              </w:rPr>
              <w:t xml:space="preserve"> (</w:t>
            </w:r>
            <w:r w:rsidR="00EC3AA5">
              <w:rPr>
                <w:rFonts w:ascii="Times New Roman" w:hAnsi="Times New Roman" w:cs="Times New Roman"/>
                <w:sz w:val="28"/>
                <w:szCs w:val="28"/>
                <w:shd w:val="clear" w:color="auto" w:fill="FFFFFF"/>
              </w:rPr>
              <w:t>maksas apmērs</w:t>
            </w:r>
            <w:r w:rsidR="00D369DB">
              <w:rPr>
                <w:rFonts w:ascii="Times New Roman" w:hAnsi="Times New Roman" w:cs="Times New Roman"/>
                <w:sz w:val="28"/>
                <w:szCs w:val="28"/>
                <w:shd w:val="clear" w:color="auto" w:fill="FFFFFF"/>
              </w:rPr>
              <w:t xml:space="preserve"> – </w:t>
            </w:r>
            <w:r w:rsidR="00A05673">
              <w:rPr>
                <w:rFonts w:ascii="Times New Roman" w:hAnsi="Times New Roman" w:cs="Times New Roman"/>
                <w:sz w:val="28"/>
                <w:szCs w:val="28"/>
                <w:shd w:val="clear" w:color="auto" w:fill="FFFFFF"/>
              </w:rPr>
              <w:t>6</w:t>
            </w:r>
            <w:r w:rsidR="00014C6E">
              <w:rPr>
                <w:rFonts w:ascii="Times New Roman" w:hAnsi="Times New Roman" w:cs="Times New Roman"/>
                <w:sz w:val="28"/>
                <w:szCs w:val="28"/>
                <w:shd w:val="clear" w:color="auto" w:fill="FFFFFF"/>
              </w:rPr>
              <w:t>9,</w:t>
            </w:r>
            <w:r w:rsidR="00A05673">
              <w:rPr>
                <w:rFonts w:ascii="Times New Roman" w:hAnsi="Times New Roman" w:cs="Times New Roman"/>
                <w:sz w:val="28"/>
                <w:szCs w:val="28"/>
                <w:shd w:val="clear" w:color="auto" w:fill="FFFFFF"/>
              </w:rPr>
              <w:t>60</w:t>
            </w:r>
            <w:r w:rsidR="00D369DB">
              <w:rPr>
                <w:rFonts w:ascii="Times New Roman" w:hAnsi="Times New Roman" w:cs="Times New Roman"/>
                <w:sz w:val="28"/>
                <w:szCs w:val="28"/>
                <w:shd w:val="clear" w:color="auto" w:fill="FFFFFF"/>
              </w:rPr>
              <w:t xml:space="preserve"> </w:t>
            </w:r>
            <w:proofErr w:type="spellStart"/>
            <w:r w:rsidR="00D369DB" w:rsidRPr="00D369DB">
              <w:rPr>
                <w:rFonts w:ascii="Times New Roman" w:hAnsi="Times New Roman" w:cs="Times New Roman"/>
                <w:i/>
                <w:sz w:val="28"/>
                <w:szCs w:val="28"/>
                <w:shd w:val="clear" w:color="auto" w:fill="FFFFFF"/>
              </w:rPr>
              <w:t>euro</w:t>
            </w:r>
            <w:proofErr w:type="spellEnd"/>
            <w:r w:rsidR="00D369DB" w:rsidRPr="00D369DB">
              <w:rPr>
                <w:rFonts w:ascii="Times New Roman" w:hAnsi="Times New Roman" w:cs="Times New Roman"/>
                <w:sz w:val="28"/>
                <w:szCs w:val="28"/>
                <w:shd w:val="clear" w:color="auto" w:fill="FFFFFF"/>
              </w:rPr>
              <w:t>)</w:t>
            </w:r>
            <w:r w:rsidR="00D369DB">
              <w:rPr>
                <w:rFonts w:ascii="Times New Roman" w:hAnsi="Times New Roman" w:cs="Times New Roman"/>
                <w:sz w:val="28"/>
                <w:szCs w:val="28"/>
                <w:shd w:val="clear" w:color="auto" w:fill="FFFFFF"/>
              </w:rPr>
              <w:t xml:space="preserve">. </w:t>
            </w:r>
            <w:r w:rsidR="001C706A">
              <w:rPr>
                <w:rFonts w:ascii="Times New Roman" w:eastAsia="Times New Roman" w:hAnsi="Times New Roman" w:cs="Times New Roman"/>
                <w:sz w:val="28"/>
                <w:szCs w:val="28"/>
                <w:lang w:eastAsia="lv-LV"/>
              </w:rPr>
              <w:t xml:space="preserve"> </w:t>
            </w:r>
            <w:r w:rsidR="00C96ED9">
              <w:rPr>
                <w:rFonts w:ascii="Times New Roman" w:eastAsia="Times New Roman" w:hAnsi="Times New Roman" w:cs="Times New Roman"/>
                <w:sz w:val="28"/>
                <w:szCs w:val="28"/>
                <w:lang w:eastAsia="lv-LV"/>
              </w:rPr>
              <w:t xml:space="preserve">MK </w:t>
            </w:r>
            <w:r w:rsidR="00173263">
              <w:rPr>
                <w:rFonts w:ascii="Times New Roman" w:eastAsia="Times New Roman" w:hAnsi="Times New Roman" w:cs="Times New Roman"/>
                <w:sz w:val="28"/>
                <w:szCs w:val="28"/>
                <w:lang w:eastAsia="lv-LV"/>
              </w:rPr>
              <w:t xml:space="preserve">noteikumi Nr.195 stājas spēkā 2015.gada 1.janvārī, </w:t>
            </w:r>
            <w:r w:rsidR="00C96ED9">
              <w:rPr>
                <w:rFonts w:ascii="Times New Roman" w:eastAsia="Times New Roman" w:hAnsi="Times New Roman" w:cs="Times New Roman"/>
                <w:sz w:val="28"/>
                <w:szCs w:val="28"/>
                <w:lang w:eastAsia="lv-LV"/>
              </w:rPr>
              <w:t xml:space="preserve">līdz ar to </w:t>
            </w:r>
            <w:r w:rsidR="00173263">
              <w:rPr>
                <w:rFonts w:ascii="Times New Roman" w:eastAsia="Times New Roman" w:hAnsi="Times New Roman" w:cs="Times New Roman"/>
                <w:sz w:val="28"/>
                <w:szCs w:val="28"/>
                <w:lang w:eastAsia="lv-LV"/>
              </w:rPr>
              <w:t>arī šis</w:t>
            </w:r>
            <w:r w:rsidR="008B4EFC" w:rsidRPr="00ED640C">
              <w:rPr>
                <w:rFonts w:ascii="Times New Roman" w:hAnsi="Times New Roman" w:cs="Times New Roman"/>
                <w:sz w:val="28"/>
                <w:szCs w:val="28"/>
              </w:rPr>
              <w:t xml:space="preserve"> noteikum</w:t>
            </w:r>
            <w:r w:rsidR="00C64994" w:rsidRPr="00ED640C">
              <w:rPr>
                <w:rFonts w:ascii="Times New Roman" w:hAnsi="Times New Roman" w:cs="Times New Roman"/>
                <w:sz w:val="28"/>
                <w:szCs w:val="28"/>
              </w:rPr>
              <w:t>u projekts</w:t>
            </w:r>
            <w:r w:rsidR="008B4EFC" w:rsidRPr="00ED640C">
              <w:rPr>
                <w:rFonts w:ascii="Times New Roman" w:hAnsi="Times New Roman" w:cs="Times New Roman"/>
                <w:sz w:val="28"/>
                <w:szCs w:val="28"/>
              </w:rPr>
              <w:t xml:space="preserve"> stāsies spēkā</w:t>
            </w:r>
            <w:r w:rsidR="00173263">
              <w:rPr>
                <w:rFonts w:ascii="Times New Roman" w:hAnsi="Times New Roman" w:cs="Times New Roman"/>
                <w:sz w:val="28"/>
                <w:szCs w:val="28"/>
              </w:rPr>
              <w:t xml:space="preserve"> </w:t>
            </w:r>
            <w:r w:rsidR="008B4EFC" w:rsidRPr="00ED640C">
              <w:rPr>
                <w:rFonts w:ascii="Times New Roman" w:hAnsi="Times New Roman" w:cs="Times New Roman"/>
                <w:sz w:val="28"/>
                <w:szCs w:val="28"/>
              </w:rPr>
              <w:t>2015.gada 1.janvār</w:t>
            </w:r>
            <w:r w:rsidR="0031798B">
              <w:rPr>
                <w:rFonts w:ascii="Times New Roman" w:hAnsi="Times New Roman" w:cs="Times New Roman"/>
                <w:sz w:val="28"/>
                <w:szCs w:val="28"/>
              </w:rPr>
              <w:t>ī</w:t>
            </w:r>
            <w:r w:rsidR="008B4EFC" w:rsidRPr="00ED640C">
              <w:rPr>
                <w:rFonts w:ascii="Times New Roman" w:hAnsi="Times New Roman" w:cs="Times New Roman"/>
                <w:sz w:val="28"/>
                <w:szCs w:val="28"/>
              </w:rPr>
              <w:t>.</w:t>
            </w:r>
          </w:p>
        </w:tc>
      </w:tr>
      <w:tr w:rsidR="009366A4" w:rsidRPr="009366A4" w:rsidTr="009366A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9366A4" w:rsidRPr="009366A4" w:rsidRDefault="00E15EF3" w:rsidP="009366A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Noteikumu projekts šo jomu neskar. </w:t>
            </w:r>
          </w:p>
        </w:tc>
      </w:tr>
      <w:tr w:rsidR="009366A4" w:rsidRPr="009366A4" w:rsidTr="00D75B63">
        <w:trPr>
          <w:trHeight w:val="648"/>
        </w:trPr>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E15EF3">
            <w:pPr>
              <w:spacing w:before="100" w:beforeAutospacing="1" w:after="100" w:afterAutospacing="1" w:line="293" w:lineRule="atLeast"/>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Nav</w:t>
            </w:r>
            <w:r w:rsidR="00E15EF3">
              <w:rPr>
                <w:rFonts w:ascii="Times New Roman" w:eastAsia="Times New Roman" w:hAnsi="Times New Roman" w:cs="Times New Roman"/>
                <w:sz w:val="28"/>
                <w:szCs w:val="28"/>
                <w:lang w:eastAsia="lv-LV"/>
              </w:rPr>
              <w:t>.</w:t>
            </w:r>
          </w:p>
        </w:tc>
      </w:tr>
    </w:tbl>
    <w:p w:rsidR="008338D9" w:rsidRDefault="008338D9" w:rsidP="00D426C1">
      <w:pPr>
        <w:spacing w:after="0" w:line="360" w:lineRule="auto"/>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9366A4" w:rsidRPr="009366A4" w:rsidTr="009366A4">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366A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366A4" w:rsidRPr="009366A4" w:rsidTr="009366A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 xml:space="preserve">Sabiedrības </w:t>
            </w:r>
            <w:proofErr w:type="spellStart"/>
            <w:r w:rsidRPr="009366A4">
              <w:rPr>
                <w:rFonts w:ascii="Times New Roman" w:eastAsia="Times New Roman" w:hAnsi="Times New Roman" w:cs="Times New Roman"/>
                <w:sz w:val="28"/>
                <w:szCs w:val="28"/>
                <w:lang w:eastAsia="lv-LV"/>
              </w:rPr>
              <w:t>mērķgrupas</w:t>
            </w:r>
            <w:proofErr w:type="spellEnd"/>
            <w:r w:rsidRPr="009366A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9366A4" w:rsidRPr="009366A4" w:rsidRDefault="00E15EF3" w:rsidP="00C72FC6">
            <w:pPr>
              <w:spacing w:after="0" w:line="240" w:lineRule="auto"/>
              <w:jc w:val="both"/>
              <w:rPr>
                <w:rFonts w:ascii="Times New Roman" w:eastAsia="Times New Roman" w:hAnsi="Times New Roman" w:cs="Times New Roman"/>
                <w:sz w:val="28"/>
                <w:szCs w:val="28"/>
                <w:lang w:eastAsia="lv-LV"/>
              </w:rPr>
            </w:pPr>
            <w:r w:rsidRPr="00E15EF3">
              <w:rPr>
                <w:rFonts w:ascii="Times New Roman" w:eastAsia="Times New Roman" w:hAnsi="Times New Roman" w:cs="Times New Roman"/>
                <w:sz w:val="28"/>
                <w:szCs w:val="28"/>
                <w:lang w:eastAsia="lv-LV"/>
              </w:rPr>
              <w:t xml:space="preserve">Noteikumu projekts attiecināms uz personām, kas sodītas par tīšu kriminālpārkāpumu vai mazāk smagu noziegumu, ja sodāmība ir dzēsta vai noņemta, un kuras vēlas strādāt par pedagogu, kā arī uz </w:t>
            </w:r>
            <w:r w:rsidR="00C72FC6">
              <w:rPr>
                <w:rFonts w:ascii="Times New Roman" w:eastAsia="Times New Roman" w:hAnsi="Times New Roman" w:cs="Times New Roman"/>
                <w:sz w:val="28"/>
                <w:szCs w:val="28"/>
                <w:lang w:eastAsia="lv-LV"/>
              </w:rPr>
              <w:t xml:space="preserve">izglītības iestāžu vadītājiem, pedagogiem un </w:t>
            </w:r>
            <w:r w:rsidRPr="00E15EF3">
              <w:rPr>
                <w:rFonts w:ascii="Times New Roman" w:eastAsia="Times New Roman" w:hAnsi="Times New Roman" w:cs="Times New Roman"/>
                <w:sz w:val="28"/>
                <w:szCs w:val="28"/>
                <w:lang w:eastAsia="lv-LV"/>
              </w:rPr>
              <w:t>izglītojamajiem, ar kuriem attiecīgā persona strādās.</w:t>
            </w:r>
            <w:r>
              <w:rPr>
                <w:rFonts w:ascii="Times New Roman" w:eastAsia="Times New Roman" w:hAnsi="Times New Roman" w:cs="Times New Roman"/>
                <w:sz w:val="28"/>
                <w:szCs w:val="28"/>
                <w:lang w:eastAsia="lv-LV"/>
              </w:rPr>
              <w:t xml:space="preserve"> </w:t>
            </w:r>
          </w:p>
        </w:tc>
      </w:tr>
      <w:tr w:rsidR="009366A4" w:rsidRPr="009366A4" w:rsidTr="009366A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BA7C17" w:rsidRDefault="00BA7C17" w:rsidP="00173263">
            <w:pPr>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lv-LV"/>
              </w:rPr>
              <w:t xml:space="preserve">Noteikumu projekts, ievērojot </w:t>
            </w:r>
            <w:r w:rsidR="00E3385A" w:rsidRPr="00E3385A">
              <w:rPr>
                <w:rFonts w:ascii="Times New Roman" w:eastAsia="Times New Roman" w:hAnsi="Times New Roman" w:cs="Times New Roman"/>
                <w:sz w:val="28"/>
                <w:szCs w:val="28"/>
                <w:lang w:eastAsia="lv-LV"/>
              </w:rPr>
              <w:t>MK noteikum</w:t>
            </w:r>
            <w:r w:rsidR="00173263">
              <w:rPr>
                <w:rFonts w:ascii="Times New Roman" w:eastAsia="Times New Roman" w:hAnsi="Times New Roman" w:cs="Times New Roman"/>
                <w:sz w:val="28"/>
                <w:szCs w:val="28"/>
                <w:lang w:eastAsia="lv-LV"/>
              </w:rPr>
              <w:t>u</w:t>
            </w:r>
            <w:r w:rsidR="00E3385A" w:rsidRPr="00E3385A">
              <w:rPr>
                <w:rFonts w:ascii="Times New Roman" w:eastAsia="Times New Roman" w:hAnsi="Times New Roman" w:cs="Times New Roman"/>
                <w:sz w:val="28"/>
                <w:szCs w:val="28"/>
                <w:lang w:eastAsia="lv-LV"/>
              </w:rPr>
              <w:t xml:space="preserve"> Nr.195</w:t>
            </w:r>
            <w:r w:rsidR="00173263">
              <w:rPr>
                <w:rFonts w:ascii="Times New Roman" w:eastAsia="Times New Roman" w:hAnsi="Times New Roman" w:cs="Times New Roman"/>
                <w:sz w:val="28"/>
                <w:szCs w:val="28"/>
                <w:lang w:eastAsia="lv-LV"/>
              </w:rPr>
              <w:t xml:space="preserve"> 3.punktā</w:t>
            </w:r>
            <w:r w:rsidR="00D12581">
              <w:rPr>
                <w:rFonts w:ascii="Times New Roman" w:eastAsia="Times New Roman" w:hAnsi="Times New Roman" w:cs="Times New Roman"/>
                <w:sz w:val="28"/>
                <w:szCs w:val="28"/>
                <w:lang w:eastAsia="lv-LV"/>
              </w:rPr>
              <w:t xml:space="preserve"> noteikt</w:t>
            </w:r>
            <w:r>
              <w:rPr>
                <w:rFonts w:ascii="Times New Roman" w:eastAsia="Times New Roman" w:hAnsi="Times New Roman" w:cs="Times New Roman"/>
                <w:sz w:val="28"/>
                <w:szCs w:val="28"/>
                <w:lang w:eastAsia="lv-LV"/>
              </w:rPr>
              <w:t>o, paredz, ka</w:t>
            </w:r>
            <w:r w:rsidR="00D12581">
              <w:rPr>
                <w:rFonts w:ascii="Times New Roman" w:eastAsia="Times New Roman" w:hAnsi="Times New Roman" w:cs="Times New Roman"/>
                <w:sz w:val="28"/>
                <w:szCs w:val="28"/>
                <w:lang w:eastAsia="lv-LV"/>
              </w:rPr>
              <w:t xml:space="preserve"> </w:t>
            </w:r>
            <w:r w:rsidR="00D12581" w:rsidRPr="00E15EF3">
              <w:rPr>
                <w:rFonts w:ascii="Times New Roman" w:hAnsi="Times New Roman" w:cs="Times New Roman"/>
                <w:i/>
                <w:sz w:val="28"/>
                <w:szCs w:val="28"/>
                <w:shd w:val="clear" w:color="auto" w:fill="FFFFFF"/>
              </w:rPr>
              <w:t>iesnieguma izvērtēšana, vai atļau</w:t>
            </w:r>
            <w:r w:rsidR="00976B5D">
              <w:rPr>
                <w:rFonts w:ascii="Times New Roman" w:hAnsi="Times New Roman" w:cs="Times New Roman"/>
                <w:i/>
                <w:sz w:val="28"/>
                <w:szCs w:val="28"/>
                <w:shd w:val="clear" w:color="auto" w:fill="FFFFFF"/>
              </w:rPr>
              <w:t>ja</w:t>
            </w:r>
            <w:r w:rsidR="00D12581" w:rsidRPr="00E15EF3">
              <w:rPr>
                <w:rFonts w:ascii="Times New Roman" w:hAnsi="Times New Roman" w:cs="Times New Roman"/>
                <w:i/>
                <w:sz w:val="28"/>
                <w:szCs w:val="28"/>
                <w:shd w:val="clear" w:color="auto" w:fill="FFFFFF"/>
              </w:rPr>
              <w:t xml:space="preserve"> strādāt par pedagogu personai, kas bijusi sodīta par tīšu kriminālpārkāpumu vai mazāk smagu noziegumu, </w:t>
            </w:r>
            <w:r w:rsidR="001C34FE" w:rsidRPr="001C34FE">
              <w:rPr>
                <w:rFonts w:ascii="Times New Roman" w:hAnsi="Times New Roman" w:cs="Times New Roman"/>
                <w:i/>
                <w:sz w:val="28"/>
                <w:szCs w:val="28"/>
                <w:shd w:val="clear" w:color="auto" w:fill="FFFFFF"/>
              </w:rPr>
              <w:t>ja sodāmība ir dzēsta vai noņemta</w:t>
            </w:r>
            <w:r w:rsidR="001C34FE">
              <w:rPr>
                <w:rFonts w:ascii="Times New Roman" w:hAnsi="Times New Roman" w:cs="Times New Roman"/>
                <w:i/>
                <w:sz w:val="28"/>
                <w:szCs w:val="28"/>
                <w:shd w:val="clear" w:color="auto" w:fill="FFFFFF"/>
              </w:rPr>
              <w:t xml:space="preserve">, </w:t>
            </w:r>
            <w:r w:rsidR="00D12581" w:rsidRPr="00E15EF3">
              <w:rPr>
                <w:rFonts w:ascii="Times New Roman" w:hAnsi="Times New Roman" w:cs="Times New Roman"/>
                <w:i/>
                <w:sz w:val="28"/>
                <w:szCs w:val="28"/>
                <w:shd w:val="clear" w:color="auto" w:fill="FFFFFF"/>
              </w:rPr>
              <w:t>nekaitēs izglītojamo interesēm</w:t>
            </w:r>
            <w:r w:rsidR="00D12581">
              <w:rPr>
                <w:rFonts w:ascii="Times New Roman" w:hAnsi="Times New Roman" w:cs="Times New Roman"/>
                <w:sz w:val="28"/>
                <w:szCs w:val="28"/>
                <w:shd w:val="clear" w:color="auto" w:fill="FFFFFF"/>
              </w:rPr>
              <w:t>, ir maksas pakalpojums.</w:t>
            </w:r>
          </w:p>
          <w:p w:rsidR="009366A4" w:rsidRPr="00BA7C17" w:rsidRDefault="00BA7C17" w:rsidP="00A05673">
            <w:pPr>
              <w:spacing w:after="0" w:line="240" w:lineRule="auto"/>
              <w:jc w:val="both"/>
              <w:rPr>
                <w:rFonts w:ascii="Times New Roman" w:hAnsi="Times New Roman" w:cs="Times New Roman"/>
                <w:b/>
                <w:sz w:val="28"/>
                <w:szCs w:val="28"/>
                <w:shd w:val="clear" w:color="auto" w:fill="FFFFFF"/>
              </w:rPr>
            </w:pPr>
            <w:r>
              <w:rPr>
                <w:rFonts w:ascii="Times New Roman" w:eastAsia="Times New Roman" w:hAnsi="Times New Roman" w:cs="Times New Roman"/>
                <w:sz w:val="28"/>
                <w:szCs w:val="28"/>
                <w:lang w:eastAsia="lv-LV"/>
              </w:rPr>
              <w:t>Līdz ar to p</w:t>
            </w:r>
            <w:r w:rsidRPr="001F3958">
              <w:rPr>
                <w:rFonts w:ascii="Times New Roman" w:eastAsia="Times New Roman" w:hAnsi="Times New Roman" w:cs="Times New Roman"/>
                <w:sz w:val="28"/>
                <w:szCs w:val="28"/>
                <w:lang w:eastAsia="lv-LV"/>
              </w:rPr>
              <w:t>ersona</w:t>
            </w:r>
            <w:r>
              <w:rPr>
                <w:rFonts w:ascii="Times New Roman" w:eastAsia="Times New Roman" w:hAnsi="Times New Roman" w:cs="Times New Roman"/>
                <w:sz w:val="28"/>
                <w:szCs w:val="28"/>
                <w:lang w:eastAsia="lv-LV"/>
              </w:rPr>
              <w:t>i</w:t>
            </w:r>
            <w:r w:rsidRPr="001F3958">
              <w:rPr>
                <w:rFonts w:ascii="Times New Roman" w:eastAsia="Times New Roman" w:hAnsi="Times New Roman" w:cs="Times New Roman"/>
                <w:sz w:val="28"/>
                <w:szCs w:val="28"/>
                <w:lang w:eastAsia="lv-LV"/>
              </w:rPr>
              <w:t>,  kas sodīta par tīšu kriminālpārkāpumu vai mazāk smagu noziegumu</w:t>
            </w:r>
            <w:r>
              <w:rPr>
                <w:rFonts w:ascii="Times New Roman" w:eastAsia="Times New Roman" w:hAnsi="Times New Roman" w:cs="Times New Roman"/>
                <w:sz w:val="28"/>
                <w:szCs w:val="28"/>
                <w:lang w:eastAsia="lv-LV"/>
              </w:rPr>
              <w:t>,</w:t>
            </w:r>
            <w:r w:rsidR="001C34FE">
              <w:t xml:space="preserve">  </w:t>
            </w:r>
            <w:r w:rsidR="001C34FE" w:rsidRPr="001C34FE">
              <w:rPr>
                <w:rFonts w:ascii="Times New Roman" w:eastAsia="Times New Roman" w:hAnsi="Times New Roman" w:cs="Times New Roman"/>
                <w:sz w:val="28"/>
                <w:szCs w:val="28"/>
                <w:lang w:eastAsia="lv-LV"/>
              </w:rPr>
              <w:t>ja sodāmība ir dzēsta vai noņemta</w:t>
            </w:r>
            <w:r w:rsidR="001C34F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šīs atļaujas saņemšana radīs izmaksas </w:t>
            </w:r>
            <w:r w:rsidR="00A05673">
              <w:rPr>
                <w:rFonts w:ascii="Times New Roman" w:eastAsia="Times New Roman" w:hAnsi="Times New Roman" w:cs="Times New Roman"/>
                <w:sz w:val="28"/>
                <w:szCs w:val="28"/>
                <w:lang w:eastAsia="lv-LV"/>
              </w:rPr>
              <w:t>6</w:t>
            </w:r>
            <w:r w:rsidR="00014C6E">
              <w:rPr>
                <w:rFonts w:ascii="Times New Roman" w:eastAsia="Times New Roman" w:hAnsi="Times New Roman" w:cs="Times New Roman"/>
                <w:sz w:val="28"/>
                <w:szCs w:val="28"/>
                <w:lang w:eastAsia="lv-LV"/>
              </w:rPr>
              <w:t>9,</w:t>
            </w:r>
            <w:r w:rsidR="00A05673">
              <w:rPr>
                <w:rFonts w:ascii="Times New Roman" w:eastAsia="Times New Roman" w:hAnsi="Times New Roman" w:cs="Times New Roman"/>
                <w:sz w:val="28"/>
                <w:szCs w:val="28"/>
                <w:lang w:eastAsia="lv-LV"/>
              </w:rPr>
              <w:t>60</w:t>
            </w:r>
            <w:r w:rsidRPr="00BA7C17">
              <w:rPr>
                <w:rFonts w:ascii="Times New Roman" w:eastAsia="Times New Roman" w:hAnsi="Times New Roman" w:cs="Times New Roman"/>
                <w:sz w:val="28"/>
                <w:szCs w:val="28"/>
                <w:lang w:eastAsia="lv-LV"/>
              </w:rPr>
              <w:t xml:space="preserve"> </w:t>
            </w:r>
            <w:proofErr w:type="spellStart"/>
            <w:r w:rsidRPr="00BA7C17">
              <w:rPr>
                <w:rFonts w:ascii="Times New Roman" w:eastAsia="Times New Roman" w:hAnsi="Times New Roman" w:cs="Times New Roman"/>
                <w:i/>
                <w:sz w:val="28"/>
                <w:szCs w:val="28"/>
                <w:lang w:eastAsia="lv-LV"/>
              </w:rPr>
              <w:t>euro</w:t>
            </w:r>
            <w:proofErr w:type="spellEnd"/>
            <w:r w:rsidRPr="00BA7C17">
              <w:rPr>
                <w:rFonts w:ascii="Times New Roman" w:eastAsia="Times New Roman" w:hAnsi="Times New Roman" w:cs="Times New Roman"/>
                <w:sz w:val="28"/>
                <w:szCs w:val="28"/>
                <w:lang w:eastAsia="lv-LV"/>
              </w:rPr>
              <w:t xml:space="preserve"> apmērā</w:t>
            </w:r>
            <w:r>
              <w:rPr>
                <w:rFonts w:ascii="Times New Roman" w:eastAsia="Times New Roman" w:hAnsi="Times New Roman" w:cs="Times New Roman"/>
                <w:sz w:val="28"/>
                <w:szCs w:val="28"/>
                <w:lang w:eastAsia="lv-LV"/>
              </w:rPr>
              <w:t>.</w:t>
            </w:r>
            <w:r w:rsidRPr="00BA7C17">
              <w:rPr>
                <w:rFonts w:ascii="Times New Roman" w:hAnsi="Times New Roman" w:cs="Times New Roman"/>
                <w:b/>
                <w:sz w:val="28"/>
                <w:szCs w:val="28"/>
                <w:shd w:val="clear" w:color="auto" w:fill="FFFFFF"/>
              </w:rPr>
              <w:t xml:space="preserve"> </w:t>
            </w:r>
          </w:p>
        </w:tc>
      </w:tr>
      <w:tr w:rsidR="009366A4" w:rsidRPr="009366A4" w:rsidTr="00D12581">
        <w:trPr>
          <w:trHeight w:val="969"/>
        </w:trPr>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366A4" w:rsidRPr="009366A4" w:rsidRDefault="001F3958" w:rsidP="001F3958">
            <w:pPr>
              <w:spacing w:after="0" w:line="240" w:lineRule="auto"/>
              <w:rPr>
                <w:rFonts w:ascii="Times New Roman" w:eastAsia="Times New Roman" w:hAnsi="Times New Roman" w:cs="Times New Roman"/>
                <w:sz w:val="28"/>
                <w:szCs w:val="28"/>
                <w:lang w:eastAsia="lv-LV"/>
              </w:rPr>
            </w:pPr>
            <w:r w:rsidRPr="001F3958">
              <w:rPr>
                <w:rFonts w:ascii="Times New Roman" w:eastAsia="Times New Roman" w:hAnsi="Times New Roman" w:cs="Times New Roman"/>
                <w:sz w:val="28"/>
                <w:szCs w:val="28"/>
                <w:lang w:eastAsia="lv-LV"/>
              </w:rPr>
              <w:t>No</w:t>
            </w:r>
            <w:r>
              <w:rPr>
                <w:rFonts w:ascii="Times New Roman" w:eastAsia="Times New Roman" w:hAnsi="Times New Roman" w:cs="Times New Roman"/>
                <w:sz w:val="28"/>
                <w:szCs w:val="28"/>
                <w:lang w:eastAsia="lv-LV"/>
              </w:rPr>
              <w:t>teikumu projekts šo jomu neskar.</w:t>
            </w:r>
          </w:p>
        </w:tc>
      </w:tr>
      <w:tr w:rsidR="009366A4" w:rsidRPr="009366A4" w:rsidTr="009366A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366A4" w:rsidRPr="009366A4" w:rsidRDefault="00D12581" w:rsidP="001F3958">
            <w:pPr>
              <w:spacing w:before="100" w:beforeAutospacing="1" w:after="100" w:afterAutospacing="1"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9366A4" w:rsidRDefault="009366A4" w:rsidP="00D426C1">
      <w:pPr>
        <w:shd w:val="clear" w:color="auto" w:fill="FFFFFF"/>
        <w:spacing w:after="0" w:line="360" w:lineRule="auto"/>
        <w:ind w:firstLine="301"/>
        <w:rPr>
          <w:rFonts w:ascii="Times New Roman" w:eastAsia="Times New Roman" w:hAnsi="Times New Roman" w:cs="Times New Roman"/>
          <w:sz w:val="28"/>
          <w:szCs w:val="28"/>
          <w:lang w:eastAsia="lv-LV"/>
        </w:rPr>
      </w:pPr>
    </w:p>
    <w:tbl>
      <w:tblPr>
        <w:tblW w:w="8632"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196"/>
        <w:gridCol w:w="1305"/>
        <w:gridCol w:w="1391"/>
        <w:gridCol w:w="1391"/>
        <w:gridCol w:w="1391"/>
      </w:tblGrid>
      <w:tr w:rsidR="00C87150" w:rsidRPr="00652B10" w:rsidTr="004D58F8">
        <w:trPr>
          <w:trHeight w:val="652"/>
          <w:jc w:val="center"/>
        </w:trPr>
        <w:tc>
          <w:tcPr>
            <w:tcW w:w="8632" w:type="dxa"/>
            <w:gridSpan w:val="6"/>
          </w:tcPr>
          <w:p w:rsidR="00C87150" w:rsidRPr="00652B10" w:rsidRDefault="00C87150" w:rsidP="00D75B63">
            <w:pPr>
              <w:pStyle w:val="naisnod"/>
              <w:spacing w:before="0" w:beforeAutospacing="0" w:after="0" w:afterAutospacing="0"/>
              <w:jc w:val="center"/>
              <w:rPr>
                <w:b/>
                <w:i/>
                <w:sz w:val="28"/>
                <w:szCs w:val="28"/>
                <w:lang w:eastAsia="en-GB"/>
              </w:rPr>
            </w:pPr>
            <w:r w:rsidRPr="00652B10">
              <w:rPr>
                <w:b/>
                <w:sz w:val="26"/>
                <w:szCs w:val="26"/>
              </w:rPr>
              <w:br w:type="page"/>
            </w:r>
            <w:r w:rsidRPr="00652B10">
              <w:rPr>
                <w:b/>
                <w:sz w:val="28"/>
                <w:szCs w:val="28"/>
                <w:lang w:eastAsia="en-GB"/>
              </w:rPr>
              <w:t>III. Tiesību  akta projekta ietekme uz valsts budžetu un pašvaldību budžetiem</w:t>
            </w:r>
          </w:p>
        </w:tc>
      </w:tr>
      <w:tr w:rsidR="00C87150" w:rsidRPr="00652B10" w:rsidTr="001A0569">
        <w:trPr>
          <w:jc w:val="center"/>
        </w:trPr>
        <w:tc>
          <w:tcPr>
            <w:tcW w:w="2148" w:type="dxa"/>
            <w:vMerge w:val="restart"/>
            <w:vAlign w:val="center"/>
          </w:tcPr>
          <w:p w:rsidR="00C87150" w:rsidRPr="00652B10" w:rsidRDefault="00C87150" w:rsidP="00D75B63">
            <w:pPr>
              <w:pStyle w:val="naisf"/>
              <w:spacing w:before="0" w:after="0"/>
              <w:ind w:firstLine="0"/>
              <w:jc w:val="center"/>
              <w:rPr>
                <w:b/>
                <w:sz w:val="28"/>
                <w:szCs w:val="28"/>
                <w:lang w:eastAsia="en-GB"/>
              </w:rPr>
            </w:pPr>
            <w:r w:rsidRPr="00652B10">
              <w:rPr>
                <w:b/>
                <w:sz w:val="28"/>
                <w:szCs w:val="28"/>
                <w:lang w:eastAsia="en-GB"/>
              </w:rPr>
              <w:t>Rādītāji</w:t>
            </w:r>
          </w:p>
        </w:tc>
        <w:tc>
          <w:tcPr>
            <w:tcW w:w="2311" w:type="dxa"/>
            <w:gridSpan w:val="2"/>
            <w:vMerge w:val="restart"/>
            <w:vAlign w:val="center"/>
          </w:tcPr>
          <w:p w:rsidR="00C87150" w:rsidRPr="00652B10" w:rsidRDefault="00C87150" w:rsidP="00D75B63">
            <w:pPr>
              <w:pStyle w:val="naisf"/>
              <w:spacing w:before="0" w:after="0"/>
              <w:ind w:firstLine="0"/>
              <w:jc w:val="center"/>
              <w:rPr>
                <w:b/>
                <w:sz w:val="28"/>
                <w:szCs w:val="28"/>
                <w:lang w:eastAsia="en-GB"/>
              </w:rPr>
            </w:pPr>
            <w:r w:rsidRPr="00652B10">
              <w:rPr>
                <w:b/>
                <w:sz w:val="28"/>
                <w:szCs w:val="28"/>
                <w:lang w:eastAsia="en-GB"/>
              </w:rPr>
              <w:t>2014.gads</w:t>
            </w:r>
          </w:p>
        </w:tc>
        <w:tc>
          <w:tcPr>
            <w:tcW w:w="4173" w:type="dxa"/>
            <w:gridSpan w:val="3"/>
            <w:vAlign w:val="center"/>
          </w:tcPr>
          <w:p w:rsidR="00C87150" w:rsidRPr="00652B10" w:rsidRDefault="00A839E2" w:rsidP="00D75B63">
            <w:pPr>
              <w:pStyle w:val="naisf"/>
              <w:spacing w:before="0" w:after="0"/>
              <w:ind w:firstLine="0"/>
              <w:jc w:val="center"/>
              <w:rPr>
                <w:b/>
                <w:i/>
                <w:sz w:val="28"/>
                <w:szCs w:val="28"/>
                <w:lang w:eastAsia="en-GB"/>
              </w:rPr>
            </w:pPr>
            <w:r>
              <w:rPr>
                <w:sz w:val="28"/>
                <w:szCs w:val="28"/>
                <w:lang w:eastAsia="en-GB"/>
              </w:rPr>
              <w:t>Turpmākie trīs gadi (</w:t>
            </w:r>
            <w:proofErr w:type="spellStart"/>
            <w:r w:rsidR="00C87150" w:rsidRPr="00652B10">
              <w:rPr>
                <w:i/>
                <w:sz w:val="28"/>
                <w:szCs w:val="28"/>
                <w:lang w:eastAsia="en-GB"/>
              </w:rPr>
              <w:t>euro</w:t>
            </w:r>
            <w:proofErr w:type="spellEnd"/>
            <w:r w:rsidR="00C87150" w:rsidRPr="00652B10">
              <w:rPr>
                <w:sz w:val="28"/>
                <w:szCs w:val="28"/>
                <w:lang w:eastAsia="en-GB"/>
              </w:rPr>
              <w:t>)</w:t>
            </w:r>
          </w:p>
        </w:tc>
      </w:tr>
      <w:tr w:rsidR="00C87150" w:rsidRPr="00652B10" w:rsidTr="001A0569">
        <w:trPr>
          <w:jc w:val="center"/>
        </w:trPr>
        <w:tc>
          <w:tcPr>
            <w:tcW w:w="2148" w:type="dxa"/>
            <w:vMerge/>
            <w:vAlign w:val="center"/>
          </w:tcPr>
          <w:p w:rsidR="00C87150" w:rsidRPr="00652B10" w:rsidRDefault="00C87150" w:rsidP="00D75B63">
            <w:pPr>
              <w:spacing w:after="0" w:line="240" w:lineRule="auto"/>
              <w:rPr>
                <w:rFonts w:ascii="Times New Roman" w:hAnsi="Times New Roman" w:cs="Times New Roman"/>
                <w:b/>
                <w:sz w:val="28"/>
                <w:szCs w:val="28"/>
                <w:lang w:eastAsia="en-GB"/>
              </w:rPr>
            </w:pPr>
          </w:p>
        </w:tc>
        <w:tc>
          <w:tcPr>
            <w:tcW w:w="2311" w:type="dxa"/>
            <w:gridSpan w:val="2"/>
            <w:vMerge/>
            <w:vAlign w:val="center"/>
          </w:tcPr>
          <w:p w:rsidR="00C87150" w:rsidRPr="00652B10" w:rsidRDefault="00C87150" w:rsidP="00D75B63">
            <w:pPr>
              <w:spacing w:after="0" w:line="240" w:lineRule="auto"/>
              <w:rPr>
                <w:rFonts w:ascii="Times New Roman" w:hAnsi="Times New Roman" w:cs="Times New Roman"/>
                <w:b/>
                <w:sz w:val="28"/>
                <w:szCs w:val="28"/>
                <w:lang w:eastAsia="en-GB"/>
              </w:rPr>
            </w:pPr>
          </w:p>
        </w:tc>
        <w:tc>
          <w:tcPr>
            <w:tcW w:w="1391" w:type="dxa"/>
            <w:vAlign w:val="center"/>
          </w:tcPr>
          <w:p w:rsidR="00C87150" w:rsidRPr="00652B10" w:rsidRDefault="00C87150" w:rsidP="00D75B63">
            <w:pPr>
              <w:pStyle w:val="naisf"/>
              <w:spacing w:before="0" w:after="0"/>
              <w:ind w:firstLine="0"/>
              <w:jc w:val="center"/>
              <w:rPr>
                <w:b/>
                <w:i/>
                <w:sz w:val="28"/>
                <w:szCs w:val="28"/>
                <w:lang w:eastAsia="en-GB"/>
              </w:rPr>
            </w:pPr>
            <w:r w:rsidRPr="00652B10">
              <w:rPr>
                <w:b/>
                <w:sz w:val="28"/>
                <w:szCs w:val="28"/>
                <w:lang w:eastAsia="en-GB"/>
              </w:rPr>
              <w:t>2015.gads</w:t>
            </w:r>
          </w:p>
        </w:tc>
        <w:tc>
          <w:tcPr>
            <w:tcW w:w="1391" w:type="dxa"/>
            <w:vAlign w:val="center"/>
          </w:tcPr>
          <w:p w:rsidR="00C87150" w:rsidRPr="00652B10" w:rsidRDefault="00C87150" w:rsidP="00D75B63">
            <w:pPr>
              <w:pStyle w:val="naisf"/>
              <w:spacing w:before="0" w:after="0"/>
              <w:ind w:firstLine="0"/>
              <w:jc w:val="center"/>
              <w:rPr>
                <w:b/>
                <w:i/>
                <w:sz w:val="28"/>
                <w:szCs w:val="28"/>
                <w:lang w:eastAsia="en-GB"/>
              </w:rPr>
            </w:pPr>
            <w:r w:rsidRPr="00652B10">
              <w:rPr>
                <w:b/>
                <w:sz w:val="28"/>
                <w:szCs w:val="28"/>
                <w:lang w:eastAsia="en-GB"/>
              </w:rPr>
              <w:t>2016.gads</w:t>
            </w:r>
          </w:p>
        </w:tc>
        <w:tc>
          <w:tcPr>
            <w:tcW w:w="1391" w:type="dxa"/>
            <w:vAlign w:val="center"/>
          </w:tcPr>
          <w:p w:rsidR="00C87150" w:rsidRPr="00652B10" w:rsidRDefault="00C87150" w:rsidP="00D75B63">
            <w:pPr>
              <w:pStyle w:val="naisf"/>
              <w:spacing w:before="0" w:after="0"/>
              <w:ind w:firstLine="0"/>
              <w:jc w:val="center"/>
              <w:rPr>
                <w:b/>
                <w:i/>
                <w:sz w:val="28"/>
                <w:szCs w:val="28"/>
                <w:lang w:eastAsia="en-GB"/>
              </w:rPr>
            </w:pPr>
            <w:r w:rsidRPr="00652B10">
              <w:rPr>
                <w:b/>
                <w:sz w:val="28"/>
                <w:szCs w:val="28"/>
                <w:lang w:eastAsia="en-GB"/>
              </w:rPr>
              <w:t>2017.gads</w:t>
            </w:r>
          </w:p>
        </w:tc>
      </w:tr>
      <w:tr w:rsidR="00C87150" w:rsidRPr="00652B10" w:rsidTr="001A0569">
        <w:trPr>
          <w:jc w:val="center"/>
        </w:trPr>
        <w:tc>
          <w:tcPr>
            <w:tcW w:w="2148" w:type="dxa"/>
            <w:vMerge/>
            <w:vAlign w:val="center"/>
          </w:tcPr>
          <w:p w:rsidR="00C87150" w:rsidRPr="00652B10" w:rsidRDefault="00C87150" w:rsidP="00D75B63">
            <w:pPr>
              <w:spacing w:after="0" w:line="240" w:lineRule="auto"/>
              <w:rPr>
                <w:rFonts w:ascii="Times New Roman" w:hAnsi="Times New Roman" w:cs="Times New Roman"/>
                <w:b/>
                <w:sz w:val="28"/>
                <w:szCs w:val="28"/>
                <w:lang w:eastAsia="en-GB"/>
              </w:rPr>
            </w:pPr>
          </w:p>
        </w:tc>
        <w:tc>
          <w:tcPr>
            <w:tcW w:w="1006" w:type="dxa"/>
            <w:vAlign w:val="center"/>
          </w:tcPr>
          <w:p w:rsidR="00C87150" w:rsidRPr="00652B10" w:rsidRDefault="00C87150" w:rsidP="00D75B63">
            <w:pPr>
              <w:pStyle w:val="naisf"/>
              <w:spacing w:before="0" w:after="0"/>
              <w:ind w:firstLine="0"/>
              <w:jc w:val="center"/>
              <w:rPr>
                <w:b/>
                <w:i/>
                <w:sz w:val="28"/>
                <w:szCs w:val="28"/>
                <w:lang w:eastAsia="en-GB"/>
              </w:rPr>
            </w:pPr>
            <w:r w:rsidRPr="00652B10">
              <w:rPr>
                <w:sz w:val="28"/>
                <w:szCs w:val="28"/>
                <w:lang w:eastAsia="en-GB"/>
              </w:rPr>
              <w:t>Saskaņā ar valsts budžetu kārtējam gadam</w:t>
            </w:r>
          </w:p>
        </w:tc>
        <w:tc>
          <w:tcPr>
            <w:tcW w:w="1305" w:type="dxa"/>
            <w:vAlign w:val="center"/>
          </w:tcPr>
          <w:p w:rsidR="00C87150" w:rsidRPr="00652B10" w:rsidRDefault="00C87150" w:rsidP="00D75B63">
            <w:pPr>
              <w:pStyle w:val="naisf"/>
              <w:spacing w:before="0" w:after="0"/>
              <w:ind w:firstLine="0"/>
              <w:jc w:val="center"/>
              <w:rPr>
                <w:b/>
                <w:i/>
                <w:sz w:val="28"/>
                <w:szCs w:val="28"/>
                <w:lang w:eastAsia="en-GB"/>
              </w:rPr>
            </w:pPr>
            <w:r w:rsidRPr="00652B10">
              <w:rPr>
                <w:sz w:val="28"/>
                <w:szCs w:val="28"/>
                <w:lang w:eastAsia="en-GB"/>
              </w:rPr>
              <w:t>Izmaiņas kārtējā gadā, salīdzinot ar budžetu kārtējam gadam</w:t>
            </w:r>
          </w:p>
        </w:tc>
        <w:tc>
          <w:tcPr>
            <w:tcW w:w="1391" w:type="dxa"/>
            <w:vAlign w:val="center"/>
          </w:tcPr>
          <w:p w:rsidR="00C87150" w:rsidRPr="00652B10" w:rsidRDefault="00C87150" w:rsidP="00D75B63">
            <w:pPr>
              <w:pStyle w:val="naisf"/>
              <w:spacing w:before="0" w:after="0"/>
              <w:ind w:firstLine="0"/>
              <w:jc w:val="center"/>
              <w:rPr>
                <w:b/>
                <w:i/>
                <w:sz w:val="28"/>
                <w:szCs w:val="28"/>
                <w:lang w:eastAsia="en-GB"/>
              </w:rPr>
            </w:pPr>
            <w:r w:rsidRPr="00652B10">
              <w:rPr>
                <w:sz w:val="28"/>
                <w:szCs w:val="28"/>
                <w:lang w:eastAsia="en-GB"/>
              </w:rPr>
              <w:t>Izmaiņas, salīdzinot ar kārtējo 2014.gadu</w:t>
            </w:r>
          </w:p>
        </w:tc>
        <w:tc>
          <w:tcPr>
            <w:tcW w:w="1391" w:type="dxa"/>
            <w:vAlign w:val="center"/>
          </w:tcPr>
          <w:p w:rsidR="00C87150" w:rsidRPr="00652B10" w:rsidRDefault="00C87150" w:rsidP="00D75B63">
            <w:pPr>
              <w:pStyle w:val="naisf"/>
              <w:spacing w:before="0" w:after="0"/>
              <w:ind w:firstLine="0"/>
              <w:jc w:val="center"/>
              <w:rPr>
                <w:b/>
                <w:i/>
                <w:sz w:val="28"/>
                <w:szCs w:val="28"/>
                <w:lang w:eastAsia="en-GB"/>
              </w:rPr>
            </w:pPr>
            <w:r w:rsidRPr="00652B10">
              <w:rPr>
                <w:sz w:val="28"/>
                <w:szCs w:val="28"/>
                <w:lang w:eastAsia="en-GB"/>
              </w:rPr>
              <w:t>Izmaiņas, salīdzinot ar kārtējo 2014.gadu</w:t>
            </w:r>
          </w:p>
        </w:tc>
        <w:tc>
          <w:tcPr>
            <w:tcW w:w="1391" w:type="dxa"/>
            <w:vAlign w:val="center"/>
          </w:tcPr>
          <w:p w:rsidR="00C87150" w:rsidRPr="00652B10" w:rsidRDefault="00C87150" w:rsidP="00D75B63">
            <w:pPr>
              <w:pStyle w:val="naisf"/>
              <w:spacing w:before="0" w:after="0"/>
              <w:ind w:firstLine="0"/>
              <w:jc w:val="center"/>
              <w:rPr>
                <w:b/>
                <w:i/>
                <w:sz w:val="28"/>
                <w:szCs w:val="28"/>
                <w:lang w:eastAsia="en-GB"/>
              </w:rPr>
            </w:pPr>
            <w:r w:rsidRPr="00652B10">
              <w:rPr>
                <w:sz w:val="28"/>
                <w:szCs w:val="28"/>
                <w:lang w:eastAsia="en-GB"/>
              </w:rPr>
              <w:t>Izmaiņas, salīdzinot ar kārtējo 2014.gadu</w:t>
            </w:r>
          </w:p>
        </w:tc>
      </w:tr>
      <w:tr w:rsidR="00C87150" w:rsidRPr="00652B10" w:rsidTr="001A0569">
        <w:trPr>
          <w:jc w:val="center"/>
        </w:trPr>
        <w:tc>
          <w:tcPr>
            <w:tcW w:w="2148" w:type="dxa"/>
            <w:vAlign w:val="center"/>
          </w:tcPr>
          <w:p w:rsidR="00C87150" w:rsidRPr="00652B10" w:rsidRDefault="00C87150" w:rsidP="00D75B63">
            <w:pPr>
              <w:pStyle w:val="naisf"/>
              <w:spacing w:before="0" w:after="0"/>
              <w:ind w:firstLine="0"/>
              <w:jc w:val="center"/>
              <w:rPr>
                <w:bCs/>
                <w:sz w:val="28"/>
                <w:szCs w:val="28"/>
                <w:lang w:eastAsia="en-GB"/>
              </w:rPr>
            </w:pPr>
            <w:r w:rsidRPr="00652B10">
              <w:rPr>
                <w:bCs/>
                <w:sz w:val="28"/>
                <w:szCs w:val="28"/>
                <w:lang w:eastAsia="en-GB"/>
              </w:rPr>
              <w:t>1</w:t>
            </w:r>
          </w:p>
        </w:tc>
        <w:tc>
          <w:tcPr>
            <w:tcW w:w="1006" w:type="dxa"/>
            <w:vAlign w:val="center"/>
          </w:tcPr>
          <w:p w:rsidR="00C87150" w:rsidRPr="00652B10" w:rsidRDefault="00C87150" w:rsidP="00D75B63">
            <w:pPr>
              <w:pStyle w:val="naisf"/>
              <w:spacing w:before="0" w:after="0"/>
              <w:ind w:firstLine="0"/>
              <w:jc w:val="center"/>
              <w:rPr>
                <w:bCs/>
                <w:sz w:val="26"/>
                <w:szCs w:val="26"/>
                <w:lang w:eastAsia="en-GB"/>
              </w:rPr>
            </w:pPr>
            <w:r w:rsidRPr="00652B10">
              <w:rPr>
                <w:bCs/>
                <w:sz w:val="26"/>
                <w:szCs w:val="26"/>
                <w:lang w:eastAsia="en-GB"/>
              </w:rPr>
              <w:t>2</w:t>
            </w:r>
          </w:p>
        </w:tc>
        <w:tc>
          <w:tcPr>
            <w:tcW w:w="1305" w:type="dxa"/>
            <w:vAlign w:val="center"/>
          </w:tcPr>
          <w:p w:rsidR="00C87150" w:rsidRPr="00652B10" w:rsidRDefault="00C87150" w:rsidP="00D75B63">
            <w:pPr>
              <w:pStyle w:val="naisf"/>
              <w:spacing w:before="0" w:after="0"/>
              <w:ind w:firstLine="0"/>
              <w:jc w:val="center"/>
              <w:rPr>
                <w:bCs/>
                <w:sz w:val="26"/>
                <w:szCs w:val="26"/>
                <w:lang w:eastAsia="en-GB"/>
              </w:rPr>
            </w:pPr>
            <w:r w:rsidRPr="00652B10">
              <w:rPr>
                <w:bCs/>
                <w:sz w:val="26"/>
                <w:szCs w:val="26"/>
                <w:lang w:eastAsia="en-GB"/>
              </w:rPr>
              <w:t>3</w:t>
            </w:r>
          </w:p>
        </w:tc>
        <w:tc>
          <w:tcPr>
            <w:tcW w:w="1391" w:type="dxa"/>
            <w:vAlign w:val="center"/>
          </w:tcPr>
          <w:p w:rsidR="00C87150" w:rsidRPr="00652B10" w:rsidRDefault="00C87150" w:rsidP="00D75B63">
            <w:pPr>
              <w:pStyle w:val="naisf"/>
              <w:spacing w:before="0" w:after="0"/>
              <w:ind w:firstLine="0"/>
              <w:jc w:val="center"/>
              <w:rPr>
                <w:bCs/>
                <w:sz w:val="26"/>
                <w:szCs w:val="26"/>
                <w:lang w:eastAsia="en-GB"/>
              </w:rPr>
            </w:pPr>
            <w:r w:rsidRPr="00652B10">
              <w:rPr>
                <w:bCs/>
                <w:sz w:val="26"/>
                <w:szCs w:val="26"/>
                <w:lang w:eastAsia="en-GB"/>
              </w:rPr>
              <w:t>4</w:t>
            </w:r>
          </w:p>
        </w:tc>
        <w:tc>
          <w:tcPr>
            <w:tcW w:w="1391" w:type="dxa"/>
            <w:vAlign w:val="center"/>
          </w:tcPr>
          <w:p w:rsidR="00C87150" w:rsidRPr="00652B10" w:rsidRDefault="00C87150" w:rsidP="00D75B63">
            <w:pPr>
              <w:pStyle w:val="naisf"/>
              <w:spacing w:before="0" w:after="0"/>
              <w:ind w:firstLine="0"/>
              <w:jc w:val="center"/>
              <w:rPr>
                <w:bCs/>
                <w:sz w:val="26"/>
                <w:szCs w:val="26"/>
                <w:lang w:eastAsia="en-GB"/>
              </w:rPr>
            </w:pPr>
            <w:r w:rsidRPr="00652B10">
              <w:rPr>
                <w:bCs/>
                <w:sz w:val="26"/>
                <w:szCs w:val="26"/>
                <w:lang w:eastAsia="en-GB"/>
              </w:rPr>
              <w:t>5</w:t>
            </w:r>
          </w:p>
        </w:tc>
        <w:tc>
          <w:tcPr>
            <w:tcW w:w="1391" w:type="dxa"/>
            <w:vAlign w:val="center"/>
          </w:tcPr>
          <w:p w:rsidR="00C87150" w:rsidRPr="00652B10" w:rsidRDefault="00C87150" w:rsidP="00D75B63">
            <w:pPr>
              <w:pStyle w:val="naisf"/>
              <w:spacing w:before="0" w:after="0"/>
              <w:ind w:firstLine="0"/>
              <w:jc w:val="center"/>
              <w:rPr>
                <w:bCs/>
                <w:sz w:val="26"/>
                <w:szCs w:val="26"/>
                <w:lang w:eastAsia="en-GB"/>
              </w:rPr>
            </w:pPr>
            <w:r w:rsidRPr="00652B10">
              <w:rPr>
                <w:bCs/>
                <w:sz w:val="26"/>
                <w:szCs w:val="26"/>
                <w:lang w:eastAsia="en-GB"/>
              </w:rPr>
              <w:t>6</w:t>
            </w:r>
          </w:p>
        </w:tc>
      </w:tr>
      <w:tr w:rsidR="00C87150" w:rsidRPr="00652B10" w:rsidTr="001A0569">
        <w:trPr>
          <w:jc w:val="center"/>
        </w:trPr>
        <w:tc>
          <w:tcPr>
            <w:tcW w:w="2148" w:type="dxa"/>
          </w:tcPr>
          <w:p w:rsidR="00C87150" w:rsidRPr="00652B10" w:rsidRDefault="00C87150" w:rsidP="00D75B63">
            <w:pPr>
              <w:pStyle w:val="naisf"/>
              <w:spacing w:before="0" w:after="0"/>
              <w:ind w:firstLine="0"/>
              <w:jc w:val="left"/>
              <w:rPr>
                <w:i/>
                <w:sz w:val="28"/>
                <w:szCs w:val="28"/>
                <w:lang w:eastAsia="en-GB"/>
              </w:rPr>
            </w:pPr>
            <w:r w:rsidRPr="00652B10">
              <w:rPr>
                <w:sz w:val="28"/>
                <w:szCs w:val="28"/>
                <w:lang w:eastAsia="en-GB"/>
              </w:rPr>
              <w:t>1. Budžeta ieņēmumi:</w:t>
            </w:r>
          </w:p>
        </w:tc>
        <w:tc>
          <w:tcPr>
            <w:tcW w:w="1006" w:type="dxa"/>
          </w:tcPr>
          <w:p w:rsidR="00C87150" w:rsidRPr="004D58F8" w:rsidRDefault="004D58F8" w:rsidP="004D58F8">
            <w:pPr>
              <w:pStyle w:val="naisf"/>
              <w:spacing w:before="0" w:after="0"/>
              <w:ind w:firstLine="0"/>
              <w:jc w:val="center"/>
              <w:rPr>
                <w:b/>
                <w:i/>
                <w:sz w:val="26"/>
                <w:szCs w:val="26"/>
                <w:lang w:eastAsia="en-GB"/>
              </w:rPr>
            </w:pPr>
            <w:r>
              <w:rPr>
                <w:b/>
                <w:i/>
                <w:sz w:val="26"/>
                <w:szCs w:val="26"/>
                <w:lang w:eastAsia="en-GB"/>
              </w:rPr>
              <w:t>0</w:t>
            </w:r>
          </w:p>
        </w:tc>
        <w:tc>
          <w:tcPr>
            <w:tcW w:w="1305" w:type="dxa"/>
          </w:tcPr>
          <w:p w:rsidR="00C87150" w:rsidRPr="004D58F8" w:rsidRDefault="00C87150" w:rsidP="004D58F8">
            <w:pPr>
              <w:pStyle w:val="naisf"/>
              <w:spacing w:before="0" w:after="0"/>
              <w:ind w:firstLine="0"/>
              <w:jc w:val="center"/>
              <w:rPr>
                <w:b/>
                <w:i/>
                <w:sz w:val="26"/>
                <w:szCs w:val="26"/>
                <w:lang w:eastAsia="en-GB"/>
              </w:rPr>
            </w:pPr>
            <w:r w:rsidRPr="004D58F8">
              <w:rPr>
                <w:b/>
                <w:i/>
                <w:sz w:val="26"/>
                <w:szCs w:val="26"/>
                <w:lang w:eastAsia="en-GB"/>
              </w:rPr>
              <w:t>0</w:t>
            </w:r>
          </w:p>
        </w:tc>
        <w:tc>
          <w:tcPr>
            <w:tcW w:w="1391" w:type="dxa"/>
          </w:tcPr>
          <w:p w:rsidR="00C87150" w:rsidRPr="004D58F8" w:rsidRDefault="00D51C75" w:rsidP="00D51C75">
            <w:pPr>
              <w:pStyle w:val="naisf"/>
              <w:spacing w:before="0" w:after="0"/>
              <w:ind w:firstLine="0"/>
              <w:jc w:val="center"/>
              <w:rPr>
                <w:b/>
                <w:i/>
                <w:sz w:val="26"/>
                <w:szCs w:val="26"/>
                <w:lang w:eastAsia="en-GB"/>
              </w:rPr>
            </w:pPr>
            <w:r>
              <w:rPr>
                <w:b/>
                <w:i/>
                <w:sz w:val="26"/>
                <w:szCs w:val="26"/>
                <w:lang w:eastAsia="en-GB"/>
              </w:rPr>
              <w:t>3</w:t>
            </w:r>
            <w:r w:rsidR="00A720D6">
              <w:rPr>
                <w:b/>
                <w:i/>
                <w:sz w:val="26"/>
                <w:szCs w:val="26"/>
                <w:lang w:eastAsia="en-GB"/>
              </w:rPr>
              <w:t>480</w:t>
            </w:r>
          </w:p>
        </w:tc>
        <w:tc>
          <w:tcPr>
            <w:tcW w:w="1391" w:type="dxa"/>
          </w:tcPr>
          <w:p w:rsidR="00C87150" w:rsidRPr="004D58F8" w:rsidRDefault="00D51C75" w:rsidP="00A720D6">
            <w:pPr>
              <w:pStyle w:val="naisf"/>
              <w:spacing w:before="0" w:after="0"/>
              <w:ind w:firstLine="0"/>
              <w:jc w:val="center"/>
              <w:rPr>
                <w:b/>
                <w:i/>
                <w:sz w:val="26"/>
                <w:szCs w:val="26"/>
                <w:lang w:eastAsia="en-GB"/>
              </w:rPr>
            </w:pPr>
            <w:r>
              <w:rPr>
                <w:b/>
                <w:i/>
                <w:sz w:val="26"/>
                <w:szCs w:val="26"/>
                <w:lang w:eastAsia="en-GB"/>
              </w:rPr>
              <w:t>3</w:t>
            </w:r>
            <w:r w:rsidR="006C1638">
              <w:rPr>
                <w:b/>
                <w:i/>
                <w:sz w:val="26"/>
                <w:szCs w:val="26"/>
                <w:lang w:eastAsia="en-GB"/>
              </w:rPr>
              <w:t>4</w:t>
            </w:r>
            <w:r w:rsidR="00A720D6">
              <w:rPr>
                <w:b/>
                <w:i/>
                <w:sz w:val="26"/>
                <w:szCs w:val="26"/>
                <w:lang w:eastAsia="en-GB"/>
              </w:rPr>
              <w:t>80</w:t>
            </w:r>
          </w:p>
        </w:tc>
        <w:tc>
          <w:tcPr>
            <w:tcW w:w="1391" w:type="dxa"/>
          </w:tcPr>
          <w:p w:rsidR="00C87150" w:rsidRPr="004D58F8" w:rsidRDefault="00D51C75" w:rsidP="006C1638">
            <w:pPr>
              <w:pStyle w:val="naisf"/>
              <w:spacing w:before="0" w:after="0"/>
              <w:ind w:firstLine="0"/>
              <w:jc w:val="center"/>
              <w:rPr>
                <w:b/>
                <w:i/>
                <w:sz w:val="26"/>
                <w:szCs w:val="26"/>
                <w:lang w:eastAsia="en-GB"/>
              </w:rPr>
            </w:pPr>
            <w:r>
              <w:rPr>
                <w:b/>
                <w:i/>
                <w:sz w:val="26"/>
                <w:szCs w:val="26"/>
                <w:lang w:eastAsia="en-GB"/>
              </w:rPr>
              <w:t>3</w:t>
            </w:r>
            <w:r w:rsidR="00A720D6">
              <w:rPr>
                <w:b/>
                <w:i/>
                <w:sz w:val="26"/>
                <w:szCs w:val="26"/>
                <w:lang w:eastAsia="en-GB"/>
              </w:rPr>
              <w:t>480</w:t>
            </w:r>
          </w:p>
        </w:tc>
      </w:tr>
      <w:tr w:rsidR="00C87150" w:rsidRPr="00652B10" w:rsidTr="001A0569">
        <w:trPr>
          <w:jc w:val="center"/>
        </w:trPr>
        <w:tc>
          <w:tcPr>
            <w:tcW w:w="2148" w:type="dxa"/>
          </w:tcPr>
          <w:p w:rsidR="00C87150" w:rsidRPr="00652B10" w:rsidRDefault="00C87150" w:rsidP="00D75B63">
            <w:pPr>
              <w:pStyle w:val="naisf"/>
              <w:spacing w:before="0" w:after="0"/>
              <w:ind w:firstLine="0"/>
              <w:jc w:val="left"/>
              <w:rPr>
                <w:i/>
                <w:sz w:val="28"/>
                <w:szCs w:val="28"/>
                <w:lang w:eastAsia="en-GB"/>
              </w:rPr>
            </w:pPr>
            <w:r w:rsidRPr="00652B10">
              <w:rPr>
                <w:sz w:val="28"/>
                <w:szCs w:val="28"/>
                <w:lang w:eastAsia="en-GB"/>
              </w:rPr>
              <w:t>1.1. valsts pamatbudžets, tai skaitā ieņēmumi no maksas pakalpojumiem un citi pašu ieņēmumi</w:t>
            </w:r>
          </w:p>
        </w:tc>
        <w:tc>
          <w:tcPr>
            <w:tcW w:w="1006" w:type="dxa"/>
          </w:tcPr>
          <w:p w:rsidR="00C87150" w:rsidRPr="004D58F8" w:rsidRDefault="004D58F8" w:rsidP="004D58F8">
            <w:pPr>
              <w:pStyle w:val="naisf"/>
              <w:spacing w:before="0" w:after="0"/>
              <w:ind w:firstLine="0"/>
              <w:jc w:val="center"/>
              <w:rPr>
                <w:sz w:val="26"/>
                <w:szCs w:val="26"/>
                <w:lang w:eastAsia="en-GB"/>
              </w:rPr>
            </w:pPr>
            <w:r w:rsidRPr="004D58F8">
              <w:rPr>
                <w:sz w:val="26"/>
                <w:szCs w:val="26"/>
                <w:lang w:eastAsia="en-GB"/>
              </w:rPr>
              <w:t>0</w:t>
            </w:r>
          </w:p>
        </w:tc>
        <w:tc>
          <w:tcPr>
            <w:tcW w:w="1305" w:type="dxa"/>
          </w:tcPr>
          <w:p w:rsidR="00C87150" w:rsidRPr="004D58F8" w:rsidRDefault="00C87150" w:rsidP="004D58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C87150" w:rsidRPr="004D58F8" w:rsidRDefault="00D51C75" w:rsidP="006C1638">
            <w:pPr>
              <w:pStyle w:val="naisf"/>
              <w:spacing w:before="0" w:after="0"/>
              <w:ind w:firstLine="0"/>
              <w:jc w:val="center"/>
              <w:rPr>
                <w:sz w:val="26"/>
                <w:szCs w:val="26"/>
                <w:lang w:eastAsia="en-GB"/>
              </w:rPr>
            </w:pPr>
            <w:r>
              <w:rPr>
                <w:sz w:val="26"/>
                <w:szCs w:val="26"/>
                <w:lang w:eastAsia="en-GB"/>
              </w:rPr>
              <w:t>3</w:t>
            </w:r>
            <w:r w:rsidR="00A720D6">
              <w:rPr>
                <w:sz w:val="26"/>
                <w:szCs w:val="26"/>
                <w:lang w:eastAsia="en-GB"/>
              </w:rPr>
              <w:t>480</w:t>
            </w:r>
          </w:p>
        </w:tc>
        <w:tc>
          <w:tcPr>
            <w:tcW w:w="1391" w:type="dxa"/>
          </w:tcPr>
          <w:p w:rsidR="00C87150" w:rsidRPr="004D58F8" w:rsidRDefault="00D51C75" w:rsidP="004D58F8">
            <w:pPr>
              <w:pStyle w:val="naisf"/>
              <w:spacing w:before="0" w:after="0"/>
              <w:ind w:firstLine="0"/>
              <w:jc w:val="center"/>
              <w:rPr>
                <w:sz w:val="26"/>
                <w:szCs w:val="26"/>
                <w:lang w:eastAsia="en-GB"/>
              </w:rPr>
            </w:pPr>
            <w:r>
              <w:rPr>
                <w:sz w:val="26"/>
                <w:szCs w:val="26"/>
                <w:lang w:eastAsia="en-GB"/>
              </w:rPr>
              <w:t>3</w:t>
            </w:r>
            <w:r w:rsidR="00A720D6">
              <w:rPr>
                <w:sz w:val="26"/>
                <w:szCs w:val="26"/>
                <w:lang w:eastAsia="en-GB"/>
              </w:rPr>
              <w:t>480</w:t>
            </w:r>
          </w:p>
        </w:tc>
        <w:tc>
          <w:tcPr>
            <w:tcW w:w="1391" w:type="dxa"/>
          </w:tcPr>
          <w:p w:rsidR="00C87150" w:rsidRPr="004D58F8" w:rsidRDefault="00D51C75" w:rsidP="004D58F8">
            <w:pPr>
              <w:pStyle w:val="naisf"/>
              <w:spacing w:before="0" w:after="0"/>
              <w:ind w:firstLine="0"/>
              <w:jc w:val="center"/>
              <w:rPr>
                <w:sz w:val="26"/>
                <w:szCs w:val="26"/>
                <w:lang w:eastAsia="en-GB"/>
              </w:rPr>
            </w:pPr>
            <w:r>
              <w:rPr>
                <w:sz w:val="26"/>
                <w:szCs w:val="26"/>
                <w:lang w:eastAsia="en-GB"/>
              </w:rPr>
              <w:t>3</w:t>
            </w:r>
            <w:r w:rsidR="00A720D6">
              <w:rPr>
                <w:sz w:val="26"/>
                <w:szCs w:val="26"/>
                <w:lang w:eastAsia="en-GB"/>
              </w:rPr>
              <w:t>480</w:t>
            </w:r>
          </w:p>
        </w:tc>
      </w:tr>
      <w:tr w:rsidR="004D58F8" w:rsidRPr="00652B10" w:rsidTr="001A0569">
        <w:trPr>
          <w:jc w:val="center"/>
        </w:trPr>
        <w:tc>
          <w:tcPr>
            <w:tcW w:w="2148" w:type="dxa"/>
          </w:tcPr>
          <w:p w:rsidR="004D58F8" w:rsidRPr="00652B10" w:rsidRDefault="004D58F8" w:rsidP="00D75B63">
            <w:pPr>
              <w:pStyle w:val="naisf"/>
              <w:spacing w:before="0" w:after="0"/>
              <w:ind w:firstLine="0"/>
              <w:jc w:val="left"/>
              <w:rPr>
                <w:i/>
                <w:sz w:val="28"/>
                <w:szCs w:val="28"/>
                <w:lang w:eastAsia="en-GB"/>
              </w:rPr>
            </w:pPr>
            <w:r w:rsidRPr="00652B10">
              <w:rPr>
                <w:sz w:val="28"/>
                <w:szCs w:val="28"/>
                <w:lang w:eastAsia="en-GB"/>
              </w:rPr>
              <w:lastRenderedPageBreak/>
              <w:t>1.2. valsts speciālais budžets</w:t>
            </w:r>
          </w:p>
        </w:tc>
        <w:tc>
          <w:tcPr>
            <w:tcW w:w="1006"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05"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r>
      <w:tr w:rsidR="004D58F8" w:rsidRPr="00652B10" w:rsidTr="001A0569">
        <w:trPr>
          <w:jc w:val="center"/>
        </w:trPr>
        <w:tc>
          <w:tcPr>
            <w:tcW w:w="2148" w:type="dxa"/>
          </w:tcPr>
          <w:p w:rsidR="004D58F8" w:rsidRPr="00652B10" w:rsidRDefault="004D58F8" w:rsidP="00D75B63">
            <w:pPr>
              <w:pStyle w:val="naisf"/>
              <w:spacing w:before="0" w:after="0"/>
              <w:ind w:firstLine="0"/>
              <w:jc w:val="left"/>
              <w:rPr>
                <w:i/>
                <w:sz w:val="28"/>
                <w:szCs w:val="28"/>
                <w:lang w:eastAsia="en-GB"/>
              </w:rPr>
            </w:pPr>
            <w:r w:rsidRPr="00652B10">
              <w:rPr>
                <w:sz w:val="28"/>
                <w:szCs w:val="28"/>
                <w:lang w:eastAsia="en-GB"/>
              </w:rPr>
              <w:t>1.3. pašvaldību budžets</w:t>
            </w:r>
          </w:p>
        </w:tc>
        <w:tc>
          <w:tcPr>
            <w:tcW w:w="1006"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05"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r>
      <w:tr w:rsidR="004D58F8" w:rsidRPr="00652B10" w:rsidTr="001A0569">
        <w:trPr>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2. Budžeta izdevumi:</w:t>
            </w:r>
          </w:p>
        </w:tc>
        <w:tc>
          <w:tcPr>
            <w:tcW w:w="1006" w:type="dxa"/>
          </w:tcPr>
          <w:p w:rsidR="004D58F8" w:rsidRPr="004D58F8" w:rsidRDefault="004D58F8" w:rsidP="001F64F8">
            <w:pPr>
              <w:pStyle w:val="naisf"/>
              <w:spacing w:before="0" w:after="0"/>
              <w:ind w:firstLine="0"/>
              <w:jc w:val="center"/>
              <w:rPr>
                <w:b/>
                <w:i/>
                <w:sz w:val="26"/>
                <w:szCs w:val="26"/>
                <w:lang w:eastAsia="en-GB"/>
              </w:rPr>
            </w:pPr>
            <w:r>
              <w:rPr>
                <w:b/>
                <w:i/>
                <w:sz w:val="26"/>
                <w:szCs w:val="26"/>
                <w:lang w:eastAsia="en-GB"/>
              </w:rPr>
              <w:t>0</w:t>
            </w:r>
          </w:p>
        </w:tc>
        <w:tc>
          <w:tcPr>
            <w:tcW w:w="1305" w:type="dxa"/>
          </w:tcPr>
          <w:p w:rsidR="004D58F8" w:rsidRPr="004D58F8" w:rsidRDefault="004D58F8" w:rsidP="001F64F8">
            <w:pPr>
              <w:pStyle w:val="naisf"/>
              <w:spacing w:before="0" w:after="0"/>
              <w:ind w:firstLine="0"/>
              <w:jc w:val="center"/>
              <w:rPr>
                <w:b/>
                <w:i/>
                <w:sz w:val="26"/>
                <w:szCs w:val="26"/>
                <w:lang w:eastAsia="en-GB"/>
              </w:rPr>
            </w:pPr>
            <w:r w:rsidRPr="004D58F8">
              <w:rPr>
                <w:b/>
                <w:i/>
                <w:sz w:val="26"/>
                <w:szCs w:val="26"/>
                <w:lang w:eastAsia="en-GB"/>
              </w:rPr>
              <w:t>0</w:t>
            </w:r>
          </w:p>
        </w:tc>
        <w:tc>
          <w:tcPr>
            <w:tcW w:w="1391" w:type="dxa"/>
          </w:tcPr>
          <w:p w:rsidR="004D58F8" w:rsidRPr="004D58F8" w:rsidRDefault="00D51C75" w:rsidP="00A720D6">
            <w:pPr>
              <w:pStyle w:val="naisf"/>
              <w:spacing w:before="0" w:after="0"/>
              <w:ind w:firstLine="0"/>
              <w:jc w:val="center"/>
              <w:rPr>
                <w:b/>
                <w:i/>
                <w:sz w:val="26"/>
                <w:szCs w:val="26"/>
                <w:lang w:eastAsia="en-GB"/>
              </w:rPr>
            </w:pPr>
            <w:r>
              <w:rPr>
                <w:b/>
                <w:i/>
                <w:sz w:val="26"/>
                <w:szCs w:val="26"/>
                <w:lang w:eastAsia="en-GB"/>
              </w:rPr>
              <w:t>3</w:t>
            </w:r>
            <w:r w:rsidR="00A720D6">
              <w:rPr>
                <w:b/>
                <w:i/>
                <w:sz w:val="26"/>
                <w:szCs w:val="26"/>
                <w:lang w:eastAsia="en-GB"/>
              </w:rPr>
              <w:t>480</w:t>
            </w:r>
          </w:p>
        </w:tc>
        <w:tc>
          <w:tcPr>
            <w:tcW w:w="1391" w:type="dxa"/>
          </w:tcPr>
          <w:p w:rsidR="004D58F8" w:rsidRPr="004D58F8" w:rsidRDefault="00D51C75" w:rsidP="00A720D6">
            <w:pPr>
              <w:pStyle w:val="naisf"/>
              <w:spacing w:before="0" w:after="0"/>
              <w:ind w:firstLine="0"/>
              <w:jc w:val="center"/>
              <w:rPr>
                <w:b/>
                <w:i/>
                <w:sz w:val="26"/>
                <w:szCs w:val="26"/>
                <w:lang w:eastAsia="en-GB"/>
              </w:rPr>
            </w:pPr>
            <w:r>
              <w:rPr>
                <w:b/>
                <w:i/>
                <w:sz w:val="26"/>
                <w:szCs w:val="26"/>
                <w:lang w:eastAsia="en-GB"/>
              </w:rPr>
              <w:t>3</w:t>
            </w:r>
            <w:r w:rsidR="006C1638">
              <w:rPr>
                <w:b/>
                <w:i/>
                <w:sz w:val="26"/>
                <w:szCs w:val="26"/>
                <w:lang w:eastAsia="en-GB"/>
              </w:rPr>
              <w:t>4</w:t>
            </w:r>
            <w:r w:rsidR="00A720D6">
              <w:rPr>
                <w:b/>
                <w:i/>
                <w:sz w:val="26"/>
                <w:szCs w:val="26"/>
                <w:lang w:eastAsia="en-GB"/>
              </w:rPr>
              <w:t>80</w:t>
            </w:r>
          </w:p>
        </w:tc>
        <w:tc>
          <w:tcPr>
            <w:tcW w:w="1391" w:type="dxa"/>
          </w:tcPr>
          <w:p w:rsidR="004D58F8" w:rsidRPr="004D58F8" w:rsidRDefault="00D51C75" w:rsidP="00A720D6">
            <w:pPr>
              <w:pStyle w:val="naisf"/>
              <w:spacing w:before="0" w:after="0"/>
              <w:ind w:firstLine="0"/>
              <w:jc w:val="center"/>
              <w:rPr>
                <w:b/>
                <w:i/>
                <w:sz w:val="26"/>
                <w:szCs w:val="26"/>
                <w:lang w:eastAsia="en-GB"/>
              </w:rPr>
            </w:pPr>
            <w:r>
              <w:rPr>
                <w:b/>
                <w:i/>
                <w:sz w:val="26"/>
                <w:szCs w:val="26"/>
                <w:lang w:eastAsia="en-GB"/>
              </w:rPr>
              <w:t>3</w:t>
            </w:r>
            <w:r w:rsidR="006C1638">
              <w:rPr>
                <w:b/>
                <w:i/>
                <w:sz w:val="26"/>
                <w:szCs w:val="26"/>
                <w:lang w:eastAsia="en-GB"/>
              </w:rPr>
              <w:t>4</w:t>
            </w:r>
            <w:r w:rsidR="00A720D6">
              <w:rPr>
                <w:b/>
                <w:i/>
                <w:sz w:val="26"/>
                <w:szCs w:val="26"/>
                <w:lang w:eastAsia="en-GB"/>
              </w:rPr>
              <w:t>80</w:t>
            </w:r>
          </w:p>
        </w:tc>
      </w:tr>
      <w:tr w:rsidR="004D58F8" w:rsidRPr="00652B10" w:rsidTr="001A0569">
        <w:trPr>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2.1. valsts pamatbudžets</w:t>
            </w:r>
          </w:p>
        </w:tc>
        <w:tc>
          <w:tcPr>
            <w:tcW w:w="1006"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05"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D51C75" w:rsidP="00A720D6">
            <w:pPr>
              <w:pStyle w:val="naisf"/>
              <w:spacing w:before="0" w:after="0"/>
              <w:ind w:firstLine="0"/>
              <w:jc w:val="center"/>
              <w:rPr>
                <w:sz w:val="26"/>
                <w:szCs w:val="26"/>
                <w:lang w:eastAsia="en-GB"/>
              </w:rPr>
            </w:pPr>
            <w:r>
              <w:rPr>
                <w:sz w:val="26"/>
                <w:szCs w:val="26"/>
                <w:lang w:eastAsia="en-GB"/>
              </w:rPr>
              <w:t>3</w:t>
            </w:r>
            <w:r w:rsidR="006C1638">
              <w:rPr>
                <w:sz w:val="26"/>
                <w:szCs w:val="26"/>
                <w:lang w:eastAsia="en-GB"/>
              </w:rPr>
              <w:t>4</w:t>
            </w:r>
            <w:r w:rsidR="00A720D6">
              <w:rPr>
                <w:sz w:val="26"/>
                <w:szCs w:val="26"/>
                <w:lang w:eastAsia="en-GB"/>
              </w:rPr>
              <w:t>80</w:t>
            </w:r>
          </w:p>
        </w:tc>
        <w:tc>
          <w:tcPr>
            <w:tcW w:w="1391" w:type="dxa"/>
          </w:tcPr>
          <w:p w:rsidR="004D58F8" w:rsidRPr="004D58F8" w:rsidRDefault="00D51C75" w:rsidP="001F64F8">
            <w:pPr>
              <w:pStyle w:val="naisf"/>
              <w:spacing w:before="0" w:after="0"/>
              <w:ind w:firstLine="0"/>
              <w:jc w:val="center"/>
              <w:rPr>
                <w:sz w:val="26"/>
                <w:szCs w:val="26"/>
                <w:lang w:eastAsia="en-GB"/>
              </w:rPr>
            </w:pPr>
            <w:r>
              <w:rPr>
                <w:sz w:val="26"/>
                <w:szCs w:val="26"/>
                <w:lang w:eastAsia="en-GB"/>
              </w:rPr>
              <w:t>3</w:t>
            </w:r>
            <w:r w:rsidR="00A720D6">
              <w:rPr>
                <w:sz w:val="26"/>
                <w:szCs w:val="26"/>
                <w:lang w:eastAsia="en-GB"/>
              </w:rPr>
              <w:t>480</w:t>
            </w:r>
          </w:p>
        </w:tc>
        <w:tc>
          <w:tcPr>
            <w:tcW w:w="1391" w:type="dxa"/>
          </w:tcPr>
          <w:p w:rsidR="004D58F8" w:rsidRPr="004D58F8" w:rsidRDefault="00D51C75" w:rsidP="001F64F8">
            <w:pPr>
              <w:pStyle w:val="naisf"/>
              <w:spacing w:before="0" w:after="0"/>
              <w:ind w:firstLine="0"/>
              <w:jc w:val="center"/>
              <w:rPr>
                <w:sz w:val="26"/>
                <w:szCs w:val="26"/>
                <w:lang w:eastAsia="en-GB"/>
              </w:rPr>
            </w:pPr>
            <w:r>
              <w:rPr>
                <w:sz w:val="26"/>
                <w:szCs w:val="26"/>
                <w:lang w:eastAsia="en-GB"/>
              </w:rPr>
              <w:t>3</w:t>
            </w:r>
            <w:r w:rsidR="00A720D6">
              <w:rPr>
                <w:sz w:val="26"/>
                <w:szCs w:val="26"/>
                <w:lang w:eastAsia="en-GB"/>
              </w:rPr>
              <w:t>480</w:t>
            </w:r>
          </w:p>
        </w:tc>
      </w:tr>
      <w:tr w:rsidR="004D58F8" w:rsidRPr="00652B10" w:rsidTr="001A0569">
        <w:trPr>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2.2. valsts speciālais budžets</w:t>
            </w:r>
          </w:p>
        </w:tc>
        <w:tc>
          <w:tcPr>
            <w:tcW w:w="1006"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05"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r>
      <w:tr w:rsidR="004D58F8" w:rsidRPr="00652B10" w:rsidTr="001A0569">
        <w:trPr>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 xml:space="preserve">2.3. pašvaldību budžets </w:t>
            </w:r>
          </w:p>
        </w:tc>
        <w:tc>
          <w:tcPr>
            <w:tcW w:w="1006"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05"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r>
      <w:tr w:rsidR="004D58F8" w:rsidRPr="00652B10" w:rsidTr="001A0569">
        <w:trPr>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3. Finansiālā ietekme:</w:t>
            </w:r>
          </w:p>
        </w:tc>
        <w:tc>
          <w:tcPr>
            <w:tcW w:w="1006" w:type="dxa"/>
          </w:tcPr>
          <w:p w:rsidR="004D58F8" w:rsidRPr="004D58F8" w:rsidRDefault="004D58F8" w:rsidP="001F64F8">
            <w:pPr>
              <w:pStyle w:val="naisf"/>
              <w:spacing w:before="0" w:after="0"/>
              <w:ind w:firstLine="0"/>
              <w:jc w:val="center"/>
              <w:rPr>
                <w:b/>
                <w:i/>
                <w:sz w:val="26"/>
                <w:szCs w:val="26"/>
                <w:lang w:eastAsia="en-GB"/>
              </w:rPr>
            </w:pPr>
            <w:r>
              <w:rPr>
                <w:b/>
                <w:i/>
                <w:sz w:val="26"/>
                <w:szCs w:val="26"/>
                <w:lang w:eastAsia="en-GB"/>
              </w:rPr>
              <w:t>0</w:t>
            </w:r>
          </w:p>
        </w:tc>
        <w:tc>
          <w:tcPr>
            <w:tcW w:w="1305" w:type="dxa"/>
          </w:tcPr>
          <w:p w:rsidR="004D58F8" w:rsidRPr="004D58F8" w:rsidRDefault="004D58F8" w:rsidP="001F64F8">
            <w:pPr>
              <w:pStyle w:val="naisf"/>
              <w:spacing w:before="0" w:after="0"/>
              <w:ind w:firstLine="0"/>
              <w:jc w:val="center"/>
              <w:rPr>
                <w:b/>
                <w:i/>
                <w:sz w:val="26"/>
                <w:szCs w:val="26"/>
                <w:lang w:eastAsia="en-GB"/>
              </w:rPr>
            </w:pPr>
            <w:r w:rsidRPr="004D58F8">
              <w:rPr>
                <w:b/>
                <w:i/>
                <w:sz w:val="26"/>
                <w:szCs w:val="26"/>
                <w:lang w:eastAsia="en-GB"/>
              </w:rPr>
              <w:t>0</w:t>
            </w:r>
          </w:p>
        </w:tc>
        <w:tc>
          <w:tcPr>
            <w:tcW w:w="1391" w:type="dxa"/>
          </w:tcPr>
          <w:p w:rsidR="004D58F8" w:rsidRPr="004D58F8" w:rsidRDefault="004D58F8" w:rsidP="001F64F8">
            <w:pPr>
              <w:pStyle w:val="naisf"/>
              <w:spacing w:before="0" w:after="0"/>
              <w:ind w:firstLine="0"/>
              <w:jc w:val="center"/>
              <w:rPr>
                <w:b/>
                <w:i/>
                <w:sz w:val="26"/>
                <w:szCs w:val="26"/>
                <w:lang w:eastAsia="en-GB"/>
              </w:rPr>
            </w:pPr>
            <w:r>
              <w:rPr>
                <w:b/>
                <w:i/>
                <w:sz w:val="26"/>
                <w:szCs w:val="26"/>
                <w:lang w:eastAsia="en-GB"/>
              </w:rPr>
              <w:t>0</w:t>
            </w:r>
          </w:p>
        </w:tc>
        <w:tc>
          <w:tcPr>
            <w:tcW w:w="1391" w:type="dxa"/>
          </w:tcPr>
          <w:p w:rsidR="004D58F8" w:rsidRPr="004D58F8" w:rsidRDefault="004D58F8" w:rsidP="001F64F8">
            <w:pPr>
              <w:pStyle w:val="naisf"/>
              <w:spacing w:before="0" w:after="0"/>
              <w:ind w:firstLine="0"/>
              <w:jc w:val="center"/>
              <w:rPr>
                <w:b/>
                <w:i/>
                <w:sz w:val="26"/>
                <w:szCs w:val="26"/>
                <w:lang w:eastAsia="en-GB"/>
              </w:rPr>
            </w:pPr>
            <w:r>
              <w:rPr>
                <w:b/>
                <w:i/>
                <w:sz w:val="26"/>
                <w:szCs w:val="26"/>
                <w:lang w:eastAsia="en-GB"/>
              </w:rPr>
              <w:t>0</w:t>
            </w:r>
          </w:p>
        </w:tc>
        <w:tc>
          <w:tcPr>
            <w:tcW w:w="1391" w:type="dxa"/>
          </w:tcPr>
          <w:p w:rsidR="004D58F8" w:rsidRPr="004D58F8" w:rsidRDefault="004D58F8" w:rsidP="001F64F8">
            <w:pPr>
              <w:pStyle w:val="naisf"/>
              <w:spacing w:before="0" w:after="0"/>
              <w:ind w:firstLine="0"/>
              <w:jc w:val="center"/>
              <w:rPr>
                <w:b/>
                <w:i/>
                <w:sz w:val="26"/>
                <w:szCs w:val="26"/>
                <w:lang w:eastAsia="en-GB"/>
              </w:rPr>
            </w:pPr>
            <w:r>
              <w:rPr>
                <w:b/>
                <w:i/>
                <w:sz w:val="26"/>
                <w:szCs w:val="26"/>
                <w:lang w:eastAsia="en-GB"/>
              </w:rPr>
              <w:t>0</w:t>
            </w:r>
          </w:p>
        </w:tc>
      </w:tr>
      <w:tr w:rsidR="004D58F8" w:rsidRPr="00652B10" w:rsidTr="001A0569">
        <w:trPr>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3.1. valsts pamatbudžets</w:t>
            </w:r>
          </w:p>
        </w:tc>
        <w:tc>
          <w:tcPr>
            <w:tcW w:w="1006"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05"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r>
      <w:tr w:rsidR="004D58F8" w:rsidRPr="00652B10" w:rsidTr="001A0569">
        <w:trPr>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3.2. speciālais budžets</w:t>
            </w:r>
          </w:p>
        </w:tc>
        <w:tc>
          <w:tcPr>
            <w:tcW w:w="1006"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05"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r>
      <w:tr w:rsidR="004D58F8" w:rsidRPr="00652B10" w:rsidTr="001A0569">
        <w:trPr>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 xml:space="preserve">3.3. pašvaldību budžets </w:t>
            </w:r>
          </w:p>
        </w:tc>
        <w:tc>
          <w:tcPr>
            <w:tcW w:w="1006"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05"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r>
      <w:tr w:rsidR="004D58F8" w:rsidRPr="00652B10" w:rsidTr="001A0569">
        <w:trPr>
          <w:jc w:val="center"/>
        </w:trPr>
        <w:tc>
          <w:tcPr>
            <w:tcW w:w="2148" w:type="dxa"/>
            <w:vMerge w:val="restart"/>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4. Finanšu līdzekļi papildu izde</w:t>
            </w:r>
            <w:r w:rsidRPr="00652B10">
              <w:rPr>
                <w:rFonts w:ascii="Times New Roman" w:hAnsi="Times New Roman" w:cs="Times New Roman"/>
                <w:sz w:val="28"/>
                <w:szCs w:val="28"/>
              </w:rPr>
              <w:softHyphen/>
              <w:t>vumu finansēšanai (kompensējošu izdevumu samazinājumu norāda ar "+" zīmi)</w:t>
            </w:r>
          </w:p>
        </w:tc>
        <w:tc>
          <w:tcPr>
            <w:tcW w:w="1006" w:type="dxa"/>
            <w:vMerge w:val="restart"/>
          </w:tcPr>
          <w:p w:rsidR="004D58F8" w:rsidRPr="00652B10" w:rsidRDefault="004D58F8" w:rsidP="00D75B63">
            <w:pPr>
              <w:pStyle w:val="naisf"/>
              <w:spacing w:before="0" w:after="0"/>
              <w:ind w:firstLine="0"/>
              <w:jc w:val="center"/>
              <w:rPr>
                <w:i/>
                <w:sz w:val="26"/>
                <w:szCs w:val="26"/>
                <w:lang w:eastAsia="en-GB"/>
              </w:rPr>
            </w:pPr>
            <w:r w:rsidRPr="00652B10">
              <w:rPr>
                <w:sz w:val="26"/>
                <w:szCs w:val="26"/>
                <w:lang w:eastAsia="en-GB"/>
              </w:rPr>
              <w:t>X</w:t>
            </w:r>
          </w:p>
        </w:tc>
        <w:tc>
          <w:tcPr>
            <w:tcW w:w="1305" w:type="dxa"/>
          </w:tcPr>
          <w:p w:rsidR="004D58F8" w:rsidRPr="004D58F8" w:rsidRDefault="004D58F8" w:rsidP="001F64F8">
            <w:pPr>
              <w:pStyle w:val="naisf"/>
              <w:spacing w:before="0" w:after="0"/>
              <w:ind w:firstLine="0"/>
              <w:jc w:val="center"/>
              <w:rPr>
                <w:b/>
                <w:i/>
                <w:sz w:val="26"/>
                <w:szCs w:val="26"/>
                <w:lang w:eastAsia="en-GB"/>
              </w:rPr>
            </w:pPr>
            <w:r w:rsidRPr="004D58F8">
              <w:rPr>
                <w:b/>
                <w:i/>
                <w:sz w:val="26"/>
                <w:szCs w:val="26"/>
                <w:lang w:eastAsia="en-GB"/>
              </w:rPr>
              <w:t>0</w:t>
            </w:r>
          </w:p>
        </w:tc>
        <w:tc>
          <w:tcPr>
            <w:tcW w:w="1391" w:type="dxa"/>
          </w:tcPr>
          <w:p w:rsidR="004D58F8" w:rsidRPr="004D58F8" w:rsidRDefault="004D58F8" w:rsidP="001F64F8">
            <w:pPr>
              <w:pStyle w:val="naisf"/>
              <w:spacing w:before="0" w:after="0"/>
              <w:ind w:firstLine="0"/>
              <w:jc w:val="center"/>
              <w:rPr>
                <w:b/>
                <w:i/>
                <w:sz w:val="26"/>
                <w:szCs w:val="26"/>
                <w:lang w:eastAsia="en-GB"/>
              </w:rPr>
            </w:pPr>
            <w:r>
              <w:rPr>
                <w:b/>
                <w:i/>
                <w:sz w:val="26"/>
                <w:szCs w:val="26"/>
                <w:lang w:eastAsia="en-GB"/>
              </w:rPr>
              <w:t>0</w:t>
            </w:r>
          </w:p>
        </w:tc>
        <w:tc>
          <w:tcPr>
            <w:tcW w:w="1391" w:type="dxa"/>
          </w:tcPr>
          <w:p w:rsidR="004D58F8" w:rsidRPr="004D58F8" w:rsidRDefault="004D58F8" w:rsidP="001F64F8">
            <w:pPr>
              <w:pStyle w:val="naisf"/>
              <w:spacing w:before="0" w:after="0"/>
              <w:ind w:firstLine="0"/>
              <w:jc w:val="center"/>
              <w:rPr>
                <w:b/>
                <w:i/>
                <w:sz w:val="26"/>
                <w:szCs w:val="26"/>
                <w:lang w:eastAsia="en-GB"/>
              </w:rPr>
            </w:pPr>
            <w:r>
              <w:rPr>
                <w:b/>
                <w:i/>
                <w:sz w:val="26"/>
                <w:szCs w:val="26"/>
                <w:lang w:eastAsia="en-GB"/>
              </w:rPr>
              <w:t>0</w:t>
            </w:r>
          </w:p>
        </w:tc>
        <w:tc>
          <w:tcPr>
            <w:tcW w:w="1391" w:type="dxa"/>
          </w:tcPr>
          <w:p w:rsidR="004D58F8" w:rsidRPr="004D58F8" w:rsidRDefault="004D58F8" w:rsidP="001F64F8">
            <w:pPr>
              <w:pStyle w:val="naisf"/>
              <w:spacing w:before="0" w:after="0"/>
              <w:ind w:firstLine="0"/>
              <w:jc w:val="center"/>
              <w:rPr>
                <w:b/>
                <w:i/>
                <w:sz w:val="26"/>
                <w:szCs w:val="26"/>
                <w:lang w:eastAsia="en-GB"/>
              </w:rPr>
            </w:pPr>
            <w:r>
              <w:rPr>
                <w:b/>
                <w:i/>
                <w:sz w:val="26"/>
                <w:szCs w:val="26"/>
                <w:lang w:eastAsia="en-GB"/>
              </w:rPr>
              <w:t>0</w:t>
            </w:r>
          </w:p>
        </w:tc>
      </w:tr>
      <w:tr w:rsidR="004D58F8" w:rsidRPr="00652B10" w:rsidTr="001A0569">
        <w:trPr>
          <w:jc w:val="center"/>
        </w:trPr>
        <w:tc>
          <w:tcPr>
            <w:tcW w:w="2148" w:type="dxa"/>
            <w:vMerge/>
            <w:vAlign w:val="center"/>
          </w:tcPr>
          <w:p w:rsidR="004D58F8" w:rsidRPr="00652B10" w:rsidRDefault="004D58F8" w:rsidP="00D75B63">
            <w:pPr>
              <w:spacing w:after="0" w:line="240" w:lineRule="auto"/>
              <w:rPr>
                <w:rFonts w:ascii="Times New Roman" w:hAnsi="Times New Roman" w:cs="Times New Roman"/>
                <w:sz w:val="28"/>
                <w:szCs w:val="28"/>
              </w:rPr>
            </w:pPr>
          </w:p>
        </w:tc>
        <w:tc>
          <w:tcPr>
            <w:tcW w:w="1006" w:type="dxa"/>
            <w:vMerge/>
            <w:vAlign w:val="center"/>
          </w:tcPr>
          <w:p w:rsidR="004D58F8" w:rsidRPr="00652B10" w:rsidRDefault="004D58F8" w:rsidP="00D75B63">
            <w:pPr>
              <w:spacing w:after="0" w:line="240" w:lineRule="auto"/>
              <w:rPr>
                <w:rFonts w:ascii="Times New Roman" w:hAnsi="Times New Roman" w:cs="Times New Roman"/>
                <w:i/>
                <w:sz w:val="26"/>
                <w:szCs w:val="26"/>
                <w:lang w:eastAsia="en-GB"/>
              </w:rPr>
            </w:pPr>
          </w:p>
        </w:tc>
        <w:tc>
          <w:tcPr>
            <w:tcW w:w="1305"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r>
      <w:tr w:rsidR="004D58F8" w:rsidRPr="00652B10" w:rsidTr="001A0569">
        <w:trPr>
          <w:jc w:val="center"/>
        </w:trPr>
        <w:tc>
          <w:tcPr>
            <w:tcW w:w="2148" w:type="dxa"/>
            <w:vMerge/>
            <w:vAlign w:val="center"/>
          </w:tcPr>
          <w:p w:rsidR="004D58F8" w:rsidRPr="00652B10" w:rsidRDefault="004D58F8" w:rsidP="00D75B63">
            <w:pPr>
              <w:spacing w:after="0" w:line="240" w:lineRule="auto"/>
              <w:rPr>
                <w:rFonts w:ascii="Times New Roman" w:hAnsi="Times New Roman" w:cs="Times New Roman"/>
                <w:sz w:val="28"/>
                <w:szCs w:val="28"/>
              </w:rPr>
            </w:pPr>
          </w:p>
        </w:tc>
        <w:tc>
          <w:tcPr>
            <w:tcW w:w="1006" w:type="dxa"/>
            <w:vMerge/>
            <w:vAlign w:val="center"/>
          </w:tcPr>
          <w:p w:rsidR="004D58F8" w:rsidRPr="00652B10" w:rsidRDefault="004D58F8" w:rsidP="00D75B63">
            <w:pPr>
              <w:spacing w:after="0" w:line="240" w:lineRule="auto"/>
              <w:rPr>
                <w:rFonts w:ascii="Times New Roman" w:hAnsi="Times New Roman" w:cs="Times New Roman"/>
                <w:i/>
                <w:sz w:val="26"/>
                <w:szCs w:val="26"/>
                <w:lang w:eastAsia="en-GB"/>
              </w:rPr>
            </w:pPr>
          </w:p>
        </w:tc>
        <w:tc>
          <w:tcPr>
            <w:tcW w:w="1305"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r>
      <w:tr w:rsidR="004D58F8" w:rsidRPr="00652B10" w:rsidTr="001A0569">
        <w:trPr>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5. Precizēta finansiālā ietekme:</w:t>
            </w:r>
          </w:p>
        </w:tc>
        <w:tc>
          <w:tcPr>
            <w:tcW w:w="1006" w:type="dxa"/>
            <w:vMerge w:val="restart"/>
          </w:tcPr>
          <w:p w:rsidR="004D58F8" w:rsidRPr="00652B10" w:rsidRDefault="004D58F8" w:rsidP="00D75B63">
            <w:pPr>
              <w:pStyle w:val="naisf"/>
              <w:spacing w:before="0" w:after="0"/>
              <w:ind w:firstLine="0"/>
              <w:jc w:val="center"/>
              <w:rPr>
                <w:i/>
                <w:sz w:val="26"/>
                <w:szCs w:val="26"/>
                <w:lang w:eastAsia="en-GB"/>
              </w:rPr>
            </w:pPr>
            <w:r w:rsidRPr="00652B10">
              <w:rPr>
                <w:sz w:val="26"/>
                <w:szCs w:val="26"/>
                <w:lang w:eastAsia="en-GB"/>
              </w:rPr>
              <w:t>X</w:t>
            </w:r>
          </w:p>
        </w:tc>
        <w:tc>
          <w:tcPr>
            <w:tcW w:w="1305" w:type="dxa"/>
          </w:tcPr>
          <w:p w:rsidR="004D58F8" w:rsidRPr="004D58F8" w:rsidRDefault="004D58F8" w:rsidP="001F64F8">
            <w:pPr>
              <w:pStyle w:val="naisf"/>
              <w:spacing w:before="0" w:after="0"/>
              <w:ind w:firstLine="0"/>
              <w:jc w:val="center"/>
              <w:rPr>
                <w:b/>
                <w:i/>
                <w:sz w:val="26"/>
                <w:szCs w:val="26"/>
                <w:lang w:eastAsia="en-GB"/>
              </w:rPr>
            </w:pPr>
            <w:r w:rsidRPr="004D58F8">
              <w:rPr>
                <w:b/>
                <w:i/>
                <w:sz w:val="26"/>
                <w:szCs w:val="26"/>
                <w:lang w:eastAsia="en-GB"/>
              </w:rPr>
              <w:t>0</w:t>
            </w:r>
          </w:p>
        </w:tc>
        <w:tc>
          <w:tcPr>
            <w:tcW w:w="1391" w:type="dxa"/>
          </w:tcPr>
          <w:p w:rsidR="004D58F8" w:rsidRPr="004D58F8" w:rsidRDefault="004D58F8" w:rsidP="001F64F8">
            <w:pPr>
              <w:pStyle w:val="naisf"/>
              <w:spacing w:before="0" w:after="0"/>
              <w:ind w:firstLine="0"/>
              <w:jc w:val="center"/>
              <w:rPr>
                <w:b/>
                <w:i/>
                <w:sz w:val="26"/>
                <w:szCs w:val="26"/>
                <w:lang w:eastAsia="en-GB"/>
              </w:rPr>
            </w:pPr>
            <w:r>
              <w:rPr>
                <w:b/>
                <w:i/>
                <w:sz w:val="26"/>
                <w:szCs w:val="26"/>
                <w:lang w:eastAsia="en-GB"/>
              </w:rPr>
              <w:t>0</w:t>
            </w:r>
          </w:p>
        </w:tc>
        <w:tc>
          <w:tcPr>
            <w:tcW w:w="1391" w:type="dxa"/>
          </w:tcPr>
          <w:p w:rsidR="004D58F8" w:rsidRPr="004D58F8" w:rsidRDefault="004D58F8" w:rsidP="001F64F8">
            <w:pPr>
              <w:pStyle w:val="naisf"/>
              <w:spacing w:before="0" w:after="0"/>
              <w:ind w:firstLine="0"/>
              <w:jc w:val="center"/>
              <w:rPr>
                <w:b/>
                <w:i/>
                <w:sz w:val="26"/>
                <w:szCs w:val="26"/>
                <w:lang w:eastAsia="en-GB"/>
              </w:rPr>
            </w:pPr>
            <w:r>
              <w:rPr>
                <w:b/>
                <w:i/>
                <w:sz w:val="26"/>
                <w:szCs w:val="26"/>
                <w:lang w:eastAsia="en-GB"/>
              </w:rPr>
              <w:t>0</w:t>
            </w:r>
          </w:p>
        </w:tc>
        <w:tc>
          <w:tcPr>
            <w:tcW w:w="1391" w:type="dxa"/>
          </w:tcPr>
          <w:p w:rsidR="004D58F8" w:rsidRPr="004D58F8" w:rsidRDefault="004D58F8" w:rsidP="001F64F8">
            <w:pPr>
              <w:pStyle w:val="naisf"/>
              <w:spacing w:before="0" w:after="0"/>
              <w:ind w:firstLine="0"/>
              <w:jc w:val="center"/>
              <w:rPr>
                <w:b/>
                <w:i/>
                <w:sz w:val="26"/>
                <w:szCs w:val="26"/>
                <w:lang w:eastAsia="en-GB"/>
              </w:rPr>
            </w:pPr>
            <w:r>
              <w:rPr>
                <w:b/>
                <w:i/>
                <w:sz w:val="26"/>
                <w:szCs w:val="26"/>
                <w:lang w:eastAsia="en-GB"/>
              </w:rPr>
              <w:t>0</w:t>
            </w:r>
          </w:p>
        </w:tc>
      </w:tr>
      <w:tr w:rsidR="004D58F8" w:rsidRPr="00652B10" w:rsidTr="001A0569">
        <w:trPr>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5.1. valsts pamatbudžets</w:t>
            </w:r>
          </w:p>
        </w:tc>
        <w:tc>
          <w:tcPr>
            <w:tcW w:w="1006" w:type="dxa"/>
            <w:vMerge/>
            <w:vAlign w:val="center"/>
          </w:tcPr>
          <w:p w:rsidR="004D58F8" w:rsidRPr="00652B10" w:rsidRDefault="004D58F8" w:rsidP="00D75B63">
            <w:pPr>
              <w:spacing w:after="0" w:line="240" w:lineRule="auto"/>
              <w:rPr>
                <w:rFonts w:ascii="Times New Roman" w:hAnsi="Times New Roman" w:cs="Times New Roman"/>
                <w:i/>
                <w:sz w:val="26"/>
                <w:szCs w:val="26"/>
                <w:lang w:eastAsia="en-GB"/>
              </w:rPr>
            </w:pPr>
          </w:p>
        </w:tc>
        <w:tc>
          <w:tcPr>
            <w:tcW w:w="1305"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r>
      <w:tr w:rsidR="004D58F8" w:rsidRPr="00652B10" w:rsidTr="001A0569">
        <w:trPr>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5.2. speciālais budžets</w:t>
            </w:r>
          </w:p>
        </w:tc>
        <w:tc>
          <w:tcPr>
            <w:tcW w:w="1006" w:type="dxa"/>
            <w:vMerge/>
            <w:vAlign w:val="center"/>
          </w:tcPr>
          <w:p w:rsidR="004D58F8" w:rsidRPr="00652B10" w:rsidRDefault="004D58F8" w:rsidP="00D75B63">
            <w:pPr>
              <w:spacing w:after="0" w:line="240" w:lineRule="auto"/>
              <w:rPr>
                <w:rFonts w:ascii="Times New Roman" w:hAnsi="Times New Roman" w:cs="Times New Roman"/>
                <w:i/>
                <w:sz w:val="26"/>
                <w:szCs w:val="26"/>
                <w:lang w:eastAsia="en-GB"/>
              </w:rPr>
            </w:pPr>
          </w:p>
        </w:tc>
        <w:tc>
          <w:tcPr>
            <w:tcW w:w="1305"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r>
      <w:tr w:rsidR="004D58F8" w:rsidRPr="00652B10" w:rsidTr="001A0569">
        <w:trPr>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 xml:space="preserve">5.3. pašvaldību budžets </w:t>
            </w:r>
          </w:p>
        </w:tc>
        <w:tc>
          <w:tcPr>
            <w:tcW w:w="1006" w:type="dxa"/>
            <w:vMerge/>
            <w:vAlign w:val="center"/>
          </w:tcPr>
          <w:p w:rsidR="004D58F8" w:rsidRPr="00652B10" w:rsidRDefault="004D58F8" w:rsidP="00D75B63">
            <w:pPr>
              <w:spacing w:after="0" w:line="240" w:lineRule="auto"/>
              <w:rPr>
                <w:rFonts w:ascii="Times New Roman" w:hAnsi="Times New Roman" w:cs="Times New Roman"/>
                <w:i/>
                <w:sz w:val="26"/>
                <w:szCs w:val="26"/>
                <w:lang w:eastAsia="en-GB"/>
              </w:rPr>
            </w:pPr>
          </w:p>
        </w:tc>
        <w:tc>
          <w:tcPr>
            <w:tcW w:w="1305"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c>
          <w:tcPr>
            <w:tcW w:w="1391" w:type="dxa"/>
          </w:tcPr>
          <w:p w:rsidR="004D58F8" w:rsidRPr="004D58F8" w:rsidRDefault="004D58F8" w:rsidP="001F64F8">
            <w:pPr>
              <w:pStyle w:val="naisf"/>
              <w:spacing w:before="0" w:after="0"/>
              <w:ind w:firstLine="0"/>
              <w:jc w:val="center"/>
              <w:rPr>
                <w:sz w:val="26"/>
                <w:szCs w:val="26"/>
                <w:lang w:eastAsia="en-GB"/>
              </w:rPr>
            </w:pPr>
            <w:r w:rsidRPr="004D58F8">
              <w:rPr>
                <w:sz w:val="26"/>
                <w:szCs w:val="26"/>
                <w:lang w:eastAsia="en-GB"/>
              </w:rPr>
              <w:t>0</w:t>
            </w:r>
          </w:p>
        </w:tc>
      </w:tr>
      <w:tr w:rsidR="004D58F8" w:rsidRPr="00652B10" w:rsidTr="001A0569">
        <w:trPr>
          <w:jc w:val="center"/>
        </w:trPr>
        <w:tc>
          <w:tcPr>
            <w:tcW w:w="2148" w:type="dxa"/>
          </w:tcPr>
          <w:p w:rsidR="004D58F8" w:rsidRPr="00652B10" w:rsidRDefault="004D58F8" w:rsidP="007F0FA8">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6.</w:t>
            </w:r>
            <w:r w:rsidR="007F0FA8">
              <w:rPr>
                <w:rFonts w:ascii="Times New Roman" w:hAnsi="Times New Roman" w:cs="Times New Roman"/>
                <w:sz w:val="28"/>
                <w:szCs w:val="28"/>
              </w:rPr>
              <w:t xml:space="preserve"> </w:t>
            </w:r>
            <w:r w:rsidRPr="00652B10">
              <w:rPr>
                <w:rFonts w:ascii="Times New Roman" w:hAnsi="Times New Roman" w:cs="Times New Roman"/>
                <w:sz w:val="28"/>
                <w:szCs w:val="28"/>
              </w:rPr>
              <w:t xml:space="preserve">Detalizēts ieņēmumu un </w:t>
            </w:r>
            <w:r w:rsidRPr="00652B10">
              <w:rPr>
                <w:rFonts w:ascii="Times New Roman" w:hAnsi="Times New Roman" w:cs="Times New Roman"/>
                <w:sz w:val="28"/>
                <w:szCs w:val="28"/>
              </w:rPr>
              <w:lastRenderedPageBreak/>
              <w:t>izdevu</w:t>
            </w:r>
            <w:r w:rsidRPr="00652B10">
              <w:rPr>
                <w:rFonts w:ascii="Times New Roman" w:hAnsi="Times New Roman" w:cs="Times New Roman"/>
                <w:sz w:val="28"/>
                <w:szCs w:val="28"/>
              </w:rPr>
              <w:softHyphen/>
              <w:t>mu aprēķins (ja nepieciešams, detalizētu ieņēmumu un izdevumu aprēķinu var pievienot anotācijas pielikumā):</w:t>
            </w:r>
          </w:p>
        </w:tc>
        <w:tc>
          <w:tcPr>
            <w:tcW w:w="6484" w:type="dxa"/>
            <w:gridSpan w:val="5"/>
            <w:vMerge w:val="restart"/>
          </w:tcPr>
          <w:p w:rsidR="004D58F8" w:rsidRDefault="004D58F8" w:rsidP="00D75B63">
            <w:pPr>
              <w:pStyle w:val="naisf"/>
              <w:spacing w:before="0" w:after="0"/>
              <w:ind w:firstLine="452"/>
              <w:rPr>
                <w:sz w:val="26"/>
                <w:szCs w:val="26"/>
                <w:lang w:eastAsia="en-GB"/>
              </w:rPr>
            </w:pPr>
          </w:p>
          <w:p w:rsidR="00727BBA" w:rsidRDefault="00727BBA" w:rsidP="00D75B63">
            <w:pPr>
              <w:pStyle w:val="naisf"/>
              <w:spacing w:before="0" w:after="0"/>
              <w:ind w:firstLine="452"/>
              <w:rPr>
                <w:sz w:val="26"/>
                <w:szCs w:val="26"/>
                <w:lang w:eastAsia="en-GB"/>
              </w:rPr>
            </w:pPr>
          </w:p>
          <w:p w:rsidR="00556307" w:rsidRPr="001E5450" w:rsidRDefault="00556307" w:rsidP="00556307">
            <w:pPr>
              <w:spacing w:after="0" w:line="240" w:lineRule="auto"/>
              <w:jc w:val="both"/>
              <w:rPr>
                <w:rFonts w:ascii="Times New Roman" w:hAnsi="Times New Roman" w:cs="Times New Roman"/>
                <w:sz w:val="28"/>
                <w:szCs w:val="28"/>
                <w:lang w:eastAsia="en-GB"/>
              </w:rPr>
            </w:pPr>
            <w:r w:rsidRPr="003D700F">
              <w:rPr>
                <w:rFonts w:ascii="Times New Roman" w:hAnsi="Times New Roman" w:cs="Times New Roman"/>
                <w:sz w:val="28"/>
                <w:szCs w:val="28"/>
                <w:lang w:eastAsia="en-GB"/>
              </w:rPr>
              <w:lastRenderedPageBreak/>
              <w:t xml:space="preserve">Viena iesnieguma (lietas) izskatīšana – 69.60 </w:t>
            </w:r>
            <w:proofErr w:type="spellStart"/>
            <w:r w:rsidRPr="001E5450">
              <w:rPr>
                <w:rFonts w:ascii="Times New Roman" w:hAnsi="Times New Roman" w:cs="Times New Roman"/>
                <w:i/>
                <w:sz w:val="28"/>
                <w:szCs w:val="28"/>
                <w:lang w:eastAsia="en-GB"/>
              </w:rPr>
              <w:t>euro</w:t>
            </w:r>
            <w:proofErr w:type="spellEnd"/>
            <w:r>
              <w:rPr>
                <w:rFonts w:ascii="Times New Roman" w:hAnsi="Times New Roman" w:cs="Times New Roman"/>
                <w:sz w:val="28"/>
                <w:szCs w:val="28"/>
                <w:lang w:eastAsia="en-GB"/>
              </w:rPr>
              <w:t xml:space="preserve">. </w:t>
            </w:r>
            <w:r w:rsidRPr="001E5450">
              <w:rPr>
                <w:rFonts w:ascii="Times New Roman" w:hAnsi="Times New Roman" w:cs="Times New Roman"/>
                <w:sz w:val="28"/>
                <w:szCs w:val="28"/>
                <w:lang w:eastAsia="en-GB"/>
              </w:rPr>
              <w:t>Gadā plānotas apmēram 50 lietu izskatīšanas (iesniegumu izvērtēšanas), līdz ar to gada s</w:t>
            </w:r>
            <w:r>
              <w:rPr>
                <w:rFonts w:ascii="Times New Roman" w:hAnsi="Times New Roman" w:cs="Times New Roman"/>
                <w:sz w:val="28"/>
                <w:szCs w:val="28"/>
                <w:lang w:eastAsia="en-GB"/>
              </w:rPr>
              <w:t>umma veidojas</w:t>
            </w:r>
            <w:r w:rsidRPr="001E5450">
              <w:rPr>
                <w:rFonts w:ascii="Times New Roman" w:hAnsi="Times New Roman" w:cs="Times New Roman"/>
                <w:sz w:val="28"/>
                <w:szCs w:val="28"/>
                <w:lang w:eastAsia="en-GB"/>
              </w:rPr>
              <w:t xml:space="preserve">: 50*69.60 = 3480 </w:t>
            </w:r>
            <w:proofErr w:type="spellStart"/>
            <w:r w:rsidRPr="001E5450">
              <w:rPr>
                <w:rFonts w:ascii="Times New Roman" w:hAnsi="Times New Roman" w:cs="Times New Roman"/>
                <w:i/>
                <w:sz w:val="28"/>
                <w:szCs w:val="28"/>
                <w:lang w:eastAsia="en-GB"/>
              </w:rPr>
              <w:t>euro</w:t>
            </w:r>
            <w:proofErr w:type="spellEnd"/>
            <w:r>
              <w:rPr>
                <w:rFonts w:ascii="Times New Roman" w:hAnsi="Times New Roman" w:cs="Times New Roman"/>
                <w:sz w:val="28"/>
                <w:szCs w:val="28"/>
                <w:lang w:eastAsia="en-GB"/>
              </w:rPr>
              <w:t>.</w:t>
            </w:r>
            <w:r w:rsidR="00960071">
              <w:rPr>
                <w:rFonts w:ascii="Times New Roman" w:hAnsi="Times New Roman" w:cs="Times New Roman"/>
                <w:sz w:val="28"/>
                <w:szCs w:val="28"/>
                <w:lang w:eastAsia="en-GB"/>
              </w:rPr>
              <w:t xml:space="preserve"> </w:t>
            </w:r>
            <w:r w:rsidR="004B091D">
              <w:rPr>
                <w:rFonts w:ascii="Times New Roman" w:hAnsi="Times New Roman" w:cs="Times New Roman"/>
                <w:sz w:val="28"/>
                <w:szCs w:val="28"/>
                <w:lang w:eastAsia="en-GB"/>
              </w:rPr>
              <w:t xml:space="preserve">Iesniegumu izvērtēšanu </w:t>
            </w:r>
            <w:r w:rsidR="00960071">
              <w:rPr>
                <w:rFonts w:ascii="Times New Roman" w:hAnsi="Times New Roman" w:cs="Times New Roman"/>
                <w:sz w:val="28"/>
                <w:szCs w:val="28"/>
                <w:lang w:eastAsia="en-GB"/>
              </w:rPr>
              <w:t>nodrošinās kvalitātes dienests.</w:t>
            </w:r>
          </w:p>
          <w:p w:rsidR="00556307" w:rsidRDefault="00556307" w:rsidP="001E5450">
            <w:pPr>
              <w:spacing w:after="0" w:line="240" w:lineRule="auto"/>
              <w:jc w:val="both"/>
              <w:rPr>
                <w:rFonts w:ascii="Times New Roman" w:hAnsi="Times New Roman" w:cs="Times New Roman"/>
                <w:sz w:val="28"/>
                <w:szCs w:val="28"/>
                <w:lang w:eastAsia="en-GB"/>
              </w:rPr>
            </w:pPr>
            <w:r w:rsidRPr="00556307">
              <w:rPr>
                <w:rFonts w:ascii="Times New Roman" w:hAnsi="Times New Roman" w:cs="Times New Roman"/>
                <w:sz w:val="28"/>
                <w:szCs w:val="28"/>
                <w:lang w:eastAsia="en-GB"/>
              </w:rPr>
              <w:t xml:space="preserve">Ieņēmumi no sniegtajiem pakalpojumiem un ar to sniegšanu saistītie izdevumi tiek plānoti budžeta </w:t>
            </w:r>
            <w:r w:rsidR="00A35F4A">
              <w:rPr>
                <w:rFonts w:ascii="Times New Roman" w:hAnsi="Times New Roman" w:cs="Times New Roman"/>
                <w:sz w:val="28"/>
                <w:szCs w:val="28"/>
                <w:lang w:eastAsia="en-GB"/>
              </w:rPr>
              <w:t xml:space="preserve">programmas „Padotības iestādes un to pasākumi” </w:t>
            </w:r>
            <w:r w:rsidRPr="00556307">
              <w:rPr>
                <w:rFonts w:ascii="Times New Roman" w:hAnsi="Times New Roman" w:cs="Times New Roman"/>
                <w:sz w:val="28"/>
                <w:szCs w:val="28"/>
                <w:lang w:eastAsia="en-GB"/>
              </w:rPr>
              <w:t xml:space="preserve">apakšprogrammā </w:t>
            </w:r>
            <w:r>
              <w:rPr>
                <w:rFonts w:ascii="Times New Roman" w:hAnsi="Times New Roman" w:cs="Times New Roman"/>
                <w:sz w:val="28"/>
                <w:szCs w:val="28"/>
                <w:lang w:eastAsia="en-GB"/>
              </w:rPr>
              <w:t>42</w:t>
            </w:r>
            <w:r w:rsidRPr="00556307">
              <w:rPr>
                <w:rFonts w:ascii="Times New Roman" w:hAnsi="Times New Roman" w:cs="Times New Roman"/>
                <w:sz w:val="28"/>
                <w:szCs w:val="28"/>
                <w:lang w:eastAsia="en-GB"/>
              </w:rPr>
              <w:t>.01.00 „</w:t>
            </w:r>
            <w:r>
              <w:rPr>
                <w:rFonts w:ascii="Times New Roman" w:hAnsi="Times New Roman" w:cs="Times New Roman"/>
                <w:sz w:val="28"/>
                <w:szCs w:val="28"/>
                <w:lang w:eastAsia="en-GB"/>
              </w:rPr>
              <w:t>Iestāžu darbības nodrošināšana</w:t>
            </w:r>
            <w:r w:rsidRPr="00556307">
              <w:rPr>
                <w:rFonts w:ascii="Times New Roman" w:hAnsi="Times New Roman" w:cs="Times New Roman"/>
                <w:sz w:val="28"/>
                <w:szCs w:val="28"/>
                <w:lang w:eastAsia="en-GB"/>
              </w:rPr>
              <w:t>” un tiks izlietoti izdevumu, kas saistīti ar maksas pakalpojum</w:t>
            </w:r>
            <w:r w:rsidR="00A35F4A">
              <w:rPr>
                <w:rFonts w:ascii="Times New Roman" w:hAnsi="Times New Roman" w:cs="Times New Roman"/>
                <w:sz w:val="28"/>
                <w:szCs w:val="28"/>
                <w:lang w:eastAsia="en-GB"/>
              </w:rPr>
              <w:t>a</w:t>
            </w:r>
            <w:r w:rsidRPr="00556307">
              <w:rPr>
                <w:rFonts w:ascii="Times New Roman" w:hAnsi="Times New Roman" w:cs="Times New Roman"/>
                <w:sz w:val="28"/>
                <w:szCs w:val="28"/>
                <w:lang w:eastAsia="en-GB"/>
              </w:rPr>
              <w:t xml:space="preserve"> sniegšanu, segšanai.</w:t>
            </w:r>
          </w:p>
          <w:p w:rsidR="009368B6" w:rsidRPr="009368B6" w:rsidRDefault="009368B6" w:rsidP="009368B6">
            <w:pPr>
              <w:spacing w:after="0" w:line="240" w:lineRule="auto"/>
              <w:jc w:val="both"/>
              <w:rPr>
                <w:rFonts w:ascii="Times New Roman" w:hAnsi="Times New Roman" w:cs="Times New Roman"/>
                <w:sz w:val="28"/>
                <w:szCs w:val="28"/>
                <w:lang w:eastAsia="en-GB"/>
              </w:rPr>
            </w:pPr>
            <w:r w:rsidRPr="009368B6">
              <w:rPr>
                <w:rFonts w:ascii="Times New Roman" w:hAnsi="Times New Roman" w:cs="Times New Roman"/>
                <w:sz w:val="28"/>
                <w:szCs w:val="28"/>
                <w:lang w:eastAsia="en-GB"/>
              </w:rPr>
              <w:t>Detalizēts maksas pakalpojuma izcenojuma aprēķins pievienots noteikumu projekta sākotnējās ietekmes novērtējuma ziņojuma (anotācijas) pielikumā.</w:t>
            </w:r>
          </w:p>
        </w:tc>
      </w:tr>
      <w:tr w:rsidR="004D58F8" w:rsidRPr="00652B10" w:rsidTr="001A0569">
        <w:trPr>
          <w:jc w:val="center"/>
        </w:trPr>
        <w:tc>
          <w:tcPr>
            <w:tcW w:w="2148" w:type="dxa"/>
          </w:tcPr>
          <w:p w:rsidR="004D58F8" w:rsidRPr="00652B10" w:rsidRDefault="004D58F8" w:rsidP="007F0FA8">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lastRenderedPageBreak/>
              <w:t>6.1.</w:t>
            </w:r>
            <w:r w:rsidR="007F0FA8">
              <w:rPr>
                <w:rFonts w:ascii="Times New Roman" w:hAnsi="Times New Roman" w:cs="Times New Roman"/>
                <w:sz w:val="28"/>
                <w:szCs w:val="28"/>
              </w:rPr>
              <w:t xml:space="preserve"> </w:t>
            </w:r>
            <w:r w:rsidRPr="00652B10">
              <w:rPr>
                <w:rFonts w:ascii="Times New Roman" w:hAnsi="Times New Roman" w:cs="Times New Roman"/>
                <w:sz w:val="28"/>
                <w:szCs w:val="28"/>
              </w:rPr>
              <w:t>detalizēts ieņēmumu aprēķins</w:t>
            </w:r>
          </w:p>
        </w:tc>
        <w:tc>
          <w:tcPr>
            <w:tcW w:w="6484" w:type="dxa"/>
            <w:gridSpan w:val="5"/>
            <w:vMerge/>
            <w:vAlign w:val="center"/>
          </w:tcPr>
          <w:p w:rsidR="004D58F8" w:rsidRPr="00652B10" w:rsidRDefault="004D58F8" w:rsidP="00D75B63">
            <w:pPr>
              <w:spacing w:after="0" w:line="240" w:lineRule="auto"/>
              <w:rPr>
                <w:rFonts w:ascii="Times New Roman" w:hAnsi="Times New Roman" w:cs="Times New Roman"/>
                <w:sz w:val="26"/>
                <w:szCs w:val="26"/>
                <w:lang w:eastAsia="en-GB"/>
              </w:rPr>
            </w:pPr>
          </w:p>
        </w:tc>
      </w:tr>
      <w:tr w:rsidR="004D58F8" w:rsidRPr="00652B10" w:rsidTr="003D700F">
        <w:trPr>
          <w:trHeight w:val="1041"/>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6.2. detalizēts izdevumu aprēķins</w:t>
            </w:r>
          </w:p>
        </w:tc>
        <w:tc>
          <w:tcPr>
            <w:tcW w:w="6484" w:type="dxa"/>
            <w:gridSpan w:val="5"/>
            <w:vMerge/>
            <w:vAlign w:val="center"/>
          </w:tcPr>
          <w:p w:rsidR="004D58F8" w:rsidRPr="00652B10" w:rsidRDefault="004D58F8" w:rsidP="00D75B63">
            <w:pPr>
              <w:spacing w:after="0" w:line="240" w:lineRule="auto"/>
              <w:rPr>
                <w:rFonts w:ascii="Times New Roman" w:hAnsi="Times New Roman" w:cs="Times New Roman"/>
                <w:sz w:val="26"/>
                <w:szCs w:val="26"/>
                <w:lang w:eastAsia="en-GB"/>
              </w:rPr>
            </w:pPr>
          </w:p>
        </w:tc>
      </w:tr>
      <w:tr w:rsidR="004D58F8" w:rsidRPr="00652B10" w:rsidTr="001A0569">
        <w:trPr>
          <w:trHeight w:val="814"/>
          <w:jc w:val="center"/>
        </w:trPr>
        <w:tc>
          <w:tcPr>
            <w:tcW w:w="2148" w:type="dxa"/>
          </w:tcPr>
          <w:p w:rsidR="004D58F8" w:rsidRPr="00652B10" w:rsidRDefault="004D58F8" w:rsidP="00D75B63">
            <w:pPr>
              <w:spacing w:after="0" w:line="240" w:lineRule="auto"/>
              <w:rPr>
                <w:rFonts w:ascii="Times New Roman" w:hAnsi="Times New Roman" w:cs="Times New Roman"/>
                <w:sz w:val="28"/>
                <w:szCs w:val="28"/>
              </w:rPr>
            </w:pPr>
            <w:r w:rsidRPr="00652B10">
              <w:rPr>
                <w:rFonts w:ascii="Times New Roman" w:hAnsi="Times New Roman" w:cs="Times New Roman"/>
                <w:sz w:val="28"/>
                <w:szCs w:val="28"/>
              </w:rPr>
              <w:t>7. Cita informācija</w:t>
            </w:r>
          </w:p>
        </w:tc>
        <w:tc>
          <w:tcPr>
            <w:tcW w:w="6484" w:type="dxa"/>
            <w:gridSpan w:val="5"/>
          </w:tcPr>
          <w:p w:rsidR="00A30A88" w:rsidRPr="00A30A88" w:rsidRDefault="00A30A88" w:rsidP="00A30A88">
            <w:pPr>
              <w:pStyle w:val="NormalWeb"/>
              <w:spacing w:before="0" w:beforeAutospacing="0" w:after="0" w:afterAutospacing="0"/>
              <w:jc w:val="both"/>
              <w:rPr>
                <w:rFonts w:eastAsiaTheme="minorHAnsi"/>
                <w:sz w:val="28"/>
                <w:szCs w:val="28"/>
                <w:lang w:eastAsia="en-US"/>
              </w:rPr>
            </w:pPr>
            <w:r w:rsidRPr="00A30A88">
              <w:rPr>
                <w:rFonts w:eastAsiaTheme="minorHAnsi"/>
                <w:sz w:val="28"/>
                <w:szCs w:val="28"/>
                <w:lang w:eastAsia="en-US"/>
              </w:rPr>
              <w:t xml:space="preserve">Pievienotās vērtības nodokļa likuma 3.panta 8.punkts noteic, ka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w:t>
            </w:r>
          </w:p>
          <w:p w:rsidR="00A30A88" w:rsidRPr="00A30A88" w:rsidRDefault="00A30A88" w:rsidP="00A30A88">
            <w:pPr>
              <w:pStyle w:val="NormalWeb"/>
              <w:spacing w:before="0" w:beforeAutospacing="0" w:after="0" w:afterAutospacing="0"/>
              <w:jc w:val="both"/>
              <w:rPr>
                <w:rFonts w:eastAsiaTheme="minorHAnsi"/>
                <w:sz w:val="28"/>
                <w:szCs w:val="28"/>
                <w:lang w:eastAsia="en-US"/>
              </w:rPr>
            </w:pPr>
            <w:r w:rsidRPr="00A30A88">
              <w:rPr>
                <w:rFonts w:eastAsiaTheme="minorHAnsi"/>
                <w:sz w:val="28"/>
                <w:szCs w:val="28"/>
                <w:lang w:eastAsia="en-US"/>
              </w:rPr>
              <w:t xml:space="preserve">Ievērojot MK noteikumu Nr.195 2.punktā noteikto deleģējumu kvalitātes dienestam </w:t>
            </w:r>
            <w:r w:rsidRPr="00A30A88">
              <w:rPr>
                <w:rFonts w:eastAsiaTheme="minorHAnsi"/>
                <w:i/>
                <w:sz w:val="28"/>
                <w:szCs w:val="28"/>
                <w:lang w:eastAsia="en-US"/>
              </w:rPr>
              <w:t>izvērtēt, vai atļauja strādāt par pedagogu personai, kas bijusi sodīta par tīšu kriminālpārkāpumu vai mazāk smagu noziegumu, ja sodāmība ir dzēsta vai noņemta, nekaitēs izglītojamo interesēm</w:t>
            </w:r>
            <w:r w:rsidRPr="00A30A88">
              <w:rPr>
                <w:rFonts w:eastAsiaTheme="minorHAnsi"/>
                <w:sz w:val="28"/>
                <w:szCs w:val="28"/>
                <w:lang w:eastAsia="en-US"/>
              </w:rPr>
              <w:t>, kas ir maksas pakalpojums, šis pakalpojums tiek sniegts valsts pārvaldes funkciju un uzdevumu ietvaros. Līdz ar to attiecībā uz minētā pakalpojuma īstenošanu pievienotās vērtības nodoklis saskaņā ar Pievienotās vērtības nodokļa likuma 3.panta 8.punktā noteikto nav piemērojams.</w:t>
            </w:r>
          </w:p>
          <w:p w:rsidR="004D58F8" w:rsidRPr="00ED640C" w:rsidRDefault="00A30A88" w:rsidP="00A30A88">
            <w:pPr>
              <w:pStyle w:val="NormalWeb"/>
              <w:spacing w:before="0" w:beforeAutospacing="0" w:after="0" w:afterAutospacing="0"/>
              <w:jc w:val="both"/>
              <w:rPr>
                <w:b/>
                <w:color w:val="FF0000"/>
                <w:sz w:val="28"/>
                <w:szCs w:val="28"/>
              </w:rPr>
            </w:pPr>
            <w:r w:rsidRPr="00A30A88">
              <w:rPr>
                <w:rFonts w:eastAsiaTheme="minorHAnsi"/>
                <w:sz w:val="28"/>
                <w:szCs w:val="28"/>
                <w:lang w:eastAsia="en-US"/>
              </w:rPr>
              <w:t>Minētais maksas pakalpojums ietvers kancelejas izdevumus, informācijas apmaiņas izdevumus, telpu nomas un uzturēšanas izmaksas, kā arī atalgojumu par komisijas sekretāra darbu.</w:t>
            </w:r>
          </w:p>
        </w:tc>
      </w:tr>
    </w:tbl>
    <w:p w:rsidR="009366A4" w:rsidRDefault="009366A4" w:rsidP="00D426C1">
      <w:pPr>
        <w:shd w:val="clear" w:color="auto" w:fill="FFFFFF"/>
        <w:spacing w:after="0" w:line="360" w:lineRule="auto"/>
        <w:ind w:firstLine="301"/>
        <w:rPr>
          <w:rFonts w:ascii="Times New Roman" w:eastAsia="Times New Roman" w:hAnsi="Times New Roman" w:cs="Times New Roman"/>
          <w:sz w:val="28"/>
          <w:szCs w:val="28"/>
          <w:lang w:eastAsia="lv-LV"/>
        </w:rPr>
      </w:pPr>
    </w:p>
    <w:p w:rsidR="003D700F" w:rsidRDefault="003D700F" w:rsidP="00D426C1">
      <w:pPr>
        <w:shd w:val="clear" w:color="auto" w:fill="FFFFFF"/>
        <w:spacing w:after="0" w:line="360" w:lineRule="auto"/>
        <w:ind w:firstLine="301"/>
        <w:rPr>
          <w:rFonts w:ascii="Times New Roman" w:eastAsia="Times New Roman" w:hAnsi="Times New Roman" w:cs="Times New Roman"/>
          <w:sz w:val="28"/>
          <w:szCs w:val="28"/>
          <w:lang w:eastAsia="lv-LV"/>
        </w:rPr>
      </w:pPr>
    </w:p>
    <w:tbl>
      <w:tblPr>
        <w:tblW w:w="5000"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6"/>
        <w:gridCol w:w="5522"/>
      </w:tblGrid>
      <w:tr w:rsidR="009366A4" w:rsidRPr="009366A4" w:rsidTr="006B25EA">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366A4">
              <w:rPr>
                <w:rFonts w:ascii="Times New Roman" w:eastAsia="Times New Roman" w:hAnsi="Times New Roman" w:cs="Times New Roman"/>
                <w:b/>
                <w:bCs/>
                <w:sz w:val="28"/>
                <w:szCs w:val="28"/>
                <w:lang w:eastAsia="lv-LV"/>
              </w:rPr>
              <w:lastRenderedPageBreak/>
              <w:t>IV. Tiesību akta projekta ietekme uz spēkā esošo tiesību normu sistēmu</w:t>
            </w:r>
          </w:p>
        </w:tc>
      </w:tr>
      <w:tr w:rsidR="00874122" w:rsidRPr="00874122" w:rsidTr="006B25EA">
        <w:trPr>
          <w:trHeight w:val="1884"/>
        </w:trPr>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9366A4" w:rsidRPr="009366A4" w:rsidRDefault="00D12581" w:rsidP="008351CD">
            <w:pPr>
              <w:spacing w:after="0" w:line="240" w:lineRule="auto"/>
              <w:jc w:val="both"/>
              <w:rPr>
                <w:rFonts w:ascii="Times New Roman" w:eastAsia="Times New Roman" w:hAnsi="Times New Roman" w:cs="Times New Roman"/>
                <w:sz w:val="28"/>
                <w:szCs w:val="28"/>
                <w:lang w:eastAsia="lv-LV"/>
              </w:rPr>
            </w:pPr>
            <w:r w:rsidRPr="00874122">
              <w:rPr>
                <w:rFonts w:ascii="Times New Roman" w:eastAsia="Times New Roman" w:hAnsi="Times New Roman" w:cs="Times New Roman"/>
                <w:sz w:val="28"/>
                <w:szCs w:val="28"/>
                <w:lang w:eastAsia="lv-LV"/>
              </w:rPr>
              <w:t xml:space="preserve">Ņemot vērā to, ka atbilstoši </w:t>
            </w:r>
            <w:r w:rsidRPr="00874122">
              <w:rPr>
                <w:rFonts w:ascii="Times New Roman" w:hAnsi="Times New Roman" w:cs="Times New Roman"/>
                <w:bCs/>
                <w:sz w:val="28"/>
                <w:szCs w:val="28"/>
              </w:rPr>
              <w:t xml:space="preserve">Izglītības likuma 50.panta 1.punktā noteiktajam </w:t>
            </w:r>
            <w:r w:rsidR="00E3385A" w:rsidRPr="00E3385A">
              <w:rPr>
                <w:rFonts w:ascii="Times New Roman" w:hAnsi="Times New Roman" w:cs="Times New Roman"/>
                <w:bCs/>
                <w:sz w:val="28"/>
                <w:szCs w:val="28"/>
              </w:rPr>
              <w:t>MK noteikum</w:t>
            </w:r>
            <w:r w:rsidR="008351CD">
              <w:rPr>
                <w:rFonts w:ascii="Times New Roman" w:hAnsi="Times New Roman" w:cs="Times New Roman"/>
                <w:bCs/>
                <w:sz w:val="28"/>
                <w:szCs w:val="28"/>
              </w:rPr>
              <w:t xml:space="preserve">i </w:t>
            </w:r>
            <w:r w:rsidR="00E3385A" w:rsidRPr="00E3385A">
              <w:rPr>
                <w:rFonts w:ascii="Times New Roman" w:hAnsi="Times New Roman" w:cs="Times New Roman"/>
                <w:bCs/>
                <w:sz w:val="28"/>
                <w:szCs w:val="28"/>
              </w:rPr>
              <w:t>Nr.195</w:t>
            </w:r>
            <w:r w:rsidRPr="00E3385A">
              <w:rPr>
                <w:rFonts w:ascii="Times New Roman" w:hAnsi="Times New Roman" w:cs="Times New Roman"/>
                <w:bCs/>
                <w:sz w:val="28"/>
                <w:szCs w:val="28"/>
              </w:rPr>
              <w:t xml:space="preserve"> </w:t>
            </w:r>
            <w:r w:rsidR="008351CD">
              <w:rPr>
                <w:rFonts w:ascii="Times New Roman" w:hAnsi="Times New Roman" w:cs="Times New Roman"/>
                <w:bCs/>
                <w:sz w:val="28"/>
                <w:szCs w:val="28"/>
              </w:rPr>
              <w:t xml:space="preserve">2.punktā </w:t>
            </w:r>
            <w:r w:rsidRPr="00E3385A">
              <w:rPr>
                <w:rFonts w:ascii="Times New Roman" w:hAnsi="Times New Roman" w:cs="Times New Roman"/>
                <w:bCs/>
                <w:sz w:val="28"/>
                <w:szCs w:val="28"/>
              </w:rPr>
              <w:t>pa</w:t>
            </w:r>
            <w:r w:rsidRPr="00874122">
              <w:rPr>
                <w:rFonts w:ascii="Times New Roman" w:hAnsi="Times New Roman" w:cs="Times New Roman"/>
                <w:sz w:val="28"/>
                <w:szCs w:val="28"/>
              </w:rPr>
              <w:t xml:space="preserve">redz jaunu funkciju kvalitātes dienestam, </w:t>
            </w:r>
            <w:r w:rsidR="00874122" w:rsidRPr="00874122">
              <w:rPr>
                <w:rFonts w:ascii="Times New Roman" w:hAnsi="Times New Roman" w:cs="Times New Roman"/>
                <w:sz w:val="28"/>
                <w:szCs w:val="28"/>
              </w:rPr>
              <w:t xml:space="preserve">proti, </w:t>
            </w:r>
            <w:r w:rsidR="00874122" w:rsidRPr="00874122">
              <w:rPr>
                <w:rFonts w:ascii="Times New Roman" w:hAnsi="Times New Roman" w:cs="Times New Roman"/>
                <w:i/>
                <w:sz w:val="28"/>
                <w:szCs w:val="28"/>
                <w:shd w:val="clear" w:color="auto" w:fill="FFFFFF"/>
              </w:rPr>
              <w:t>izvērtēt, vai atļau</w:t>
            </w:r>
            <w:r w:rsidR="00C72FC6">
              <w:rPr>
                <w:rFonts w:ascii="Times New Roman" w:hAnsi="Times New Roman" w:cs="Times New Roman"/>
                <w:i/>
                <w:sz w:val="28"/>
                <w:szCs w:val="28"/>
                <w:shd w:val="clear" w:color="auto" w:fill="FFFFFF"/>
              </w:rPr>
              <w:t>ja</w:t>
            </w:r>
            <w:r w:rsidR="00874122" w:rsidRPr="00874122">
              <w:rPr>
                <w:rFonts w:ascii="Times New Roman" w:hAnsi="Times New Roman" w:cs="Times New Roman"/>
                <w:i/>
                <w:sz w:val="28"/>
                <w:szCs w:val="28"/>
                <w:shd w:val="clear" w:color="auto" w:fill="FFFFFF"/>
              </w:rPr>
              <w:t xml:space="preserve"> strādāt par pedagogu personai, kas bijusi sodīta par tīšu kriminālpārkāpumu vai mazāk smagu noziegumu,</w:t>
            </w:r>
            <w:r w:rsidR="001C34FE">
              <w:t xml:space="preserve"> </w:t>
            </w:r>
            <w:r w:rsidR="001C34FE" w:rsidRPr="001C34FE">
              <w:rPr>
                <w:rFonts w:ascii="Times New Roman" w:hAnsi="Times New Roman" w:cs="Times New Roman"/>
                <w:i/>
                <w:sz w:val="28"/>
                <w:szCs w:val="28"/>
                <w:shd w:val="clear" w:color="auto" w:fill="FFFFFF"/>
              </w:rPr>
              <w:t>ja sodāmība ir dzēsta vai noņemta</w:t>
            </w:r>
            <w:r w:rsidR="001C34FE">
              <w:rPr>
                <w:rFonts w:ascii="Times New Roman" w:hAnsi="Times New Roman" w:cs="Times New Roman"/>
                <w:i/>
                <w:sz w:val="28"/>
                <w:szCs w:val="28"/>
                <w:shd w:val="clear" w:color="auto" w:fill="FFFFFF"/>
              </w:rPr>
              <w:t>,</w:t>
            </w:r>
            <w:r w:rsidR="00874122" w:rsidRPr="00874122">
              <w:rPr>
                <w:rFonts w:ascii="Times New Roman" w:hAnsi="Times New Roman" w:cs="Times New Roman"/>
                <w:i/>
                <w:sz w:val="28"/>
                <w:szCs w:val="28"/>
                <w:shd w:val="clear" w:color="auto" w:fill="FFFFFF"/>
              </w:rPr>
              <w:t xml:space="preserve"> nekaitēs izglītojamo interesēm </w:t>
            </w:r>
            <w:r w:rsidR="00874122" w:rsidRPr="00874122">
              <w:rPr>
                <w:rFonts w:ascii="Times New Roman" w:hAnsi="Times New Roman" w:cs="Times New Roman"/>
                <w:sz w:val="28"/>
                <w:szCs w:val="28"/>
                <w:shd w:val="clear" w:color="auto" w:fill="FFFFFF"/>
              </w:rPr>
              <w:t>un</w:t>
            </w:r>
            <w:r w:rsidR="00874122" w:rsidRPr="00874122">
              <w:rPr>
                <w:rFonts w:ascii="Times New Roman" w:hAnsi="Times New Roman" w:cs="Times New Roman"/>
                <w:i/>
                <w:sz w:val="28"/>
                <w:szCs w:val="28"/>
                <w:shd w:val="clear" w:color="auto" w:fill="FFFFFF"/>
              </w:rPr>
              <w:t xml:space="preserve">  </w:t>
            </w:r>
            <w:r w:rsidR="00874122" w:rsidRPr="00874122">
              <w:rPr>
                <w:rFonts w:ascii="Times New Roman" w:hAnsi="Times New Roman" w:cs="Times New Roman"/>
                <w:sz w:val="28"/>
                <w:szCs w:val="28"/>
              </w:rPr>
              <w:t xml:space="preserve"> pieņemt lēmumu par minētās atļaujas izsniegšanu, atteikumu izsniegt atļauju </w:t>
            </w:r>
            <w:r w:rsidR="00C72FC6">
              <w:rPr>
                <w:rFonts w:ascii="Times New Roman" w:hAnsi="Times New Roman" w:cs="Times New Roman"/>
                <w:sz w:val="28"/>
                <w:szCs w:val="28"/>
              </w:rPr>
              <w:t>vai</w:t>
            </w:r>
            <w:r w:rsidR="00874122" w:rsidRPr="00874122">
              <w:rPr>
                <w:rFonts w:ascii="Times New Roman" w:hAnsi="Times New Roman" w:cs="Times New Roman"/>
                <w:sz w:val="28"/>
                <w:szCs w:val="28"/>
              </w:rPr>
              <w:t xml:space="preserve"> atļaujas anulēšanu</w:t>
            </w:r>
            <w:r w:rsidR="00874122">
              <w:rPr>
                <w:rFonts w:ascii="Times New Roman" w:hAnsi="Times New Roman" w:cs="Times New Roman"/>
                <w:sz w:val="28"/>
                <w:szCs w:val="28"/>
              </w:rPr>
              <w:t>, tad nepieciešams veikt arī attiecīgus grozījumu</w:t>
            </w:r>
            <w:r w:rsidR="00E3385A">
              <w:rPr>
                <w:rFonts w:ascii="Times New Roman" w:hAnsi="Times New Roman" w:cs="Times New Roman"/>
                <w:sz w:val="28"/>
                <w:szCs w:val="28"/>
              </w:rPr>
              <w:t>s</w:t>
            </w:r>
            <w:r w:rsidR="00874122">
              <w:rPr>
                <w:rFonts w:ascii="Times New Roman" w:hAnsi="Times New Roman" w:cs="Times New Roman"/>
                <w:sz w:val="28"/>
                <w:szCs w:val="28"/>
              </w:rPr>
              <w:t xml:space="preserve"> Ministru kabineta </w:t>
            </w:r>
            <w:r w:rsidR="00874122" w:rsidRPr="00874122">
              <w:rPr>
                <w:rFonts w:ascii="Times New Roman" w:hAnsi="Times New Roman" w:cs="Times New Roman"/>
                <w:sz w:val="28"/>
                <w:szCs w:val="28"/>
              </w:rPr>
              <w:t xml:space="preserve">2013.gada 23.aprīļa </w:t>
            </w:r>
            <w:r w:rsidR="00874122">
              <w:rPr>
                <w:rFonts w:ascii="Times New Roman" w:hAnsi="Times New Roman" w:cs="Times New Roman"/>
                <w:sz w:val="28"/>
                <w:szCs w:val="28"/>
              </w:rPr>
              <w:t>noteikumos Nr.225 „Izglītības kvalitātes valsts dienest</w:t>
            </w:r>
            <w:r w:rsidR="00021B37">
              <w:rPr>
                <w:rFonts w:ascii="Times New Roman" w:hAnsi="Times New Roman" w:cs="Times New Roman"/>
                <w:sz w:val="28"/>
                <w:szCs w:val="28"/>
              </w:rPr>
              <w:t>a nolikums</w:t>
            </w:r>
            <w:r w:rsidR="00874122">
              <w:rPr>
                <w:rFonts w:ascii="Times New Roman" w:hAnsi="Times New Roman" w:cs="Times New Roman"/>
                <w:sz w:val="28"/>
                <w:szCs w:val="28"/>
              </w:rPr>
              <w:t>”, iekļaujot minēto funkciju.</w:t>
            </w:r>
          </w:p>
        </w:tc>
      </w:tr>
      <w:tr w:rsidR="009366A4" w:rsidRPr="009366A4" w:rsidTr="006B25EA">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874122">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I</w:t>
            </w:r>
            <w:r w:rsidR="00874122">
              <w:rPr>
                <w:rFonts w:ascii="Times New Roman" w:eastAsia="Times New Roman" w:hAnsi="Times New Roman" w:cs="Times New Roman"/>
                <w:sz w:val="28"/>
                <w:szCs w:val="28"/>
                <w:lang w:eastAsia="lv-LV"/>
              </w:rPr>
              <w:t>zglītības kvalitātes valsts dienests.</w:t>
            </w:r>
          </w:p>
        </w:tc>
      </w:tr>
      <w:tr w:rsidR="009366A4" w:rsidRPr="009366A4" w:rsidTr="006B25EA">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8F7416">
            <w:pPr>
              <w:spacing w:before="100" w:beforeAutospacing="1" w:after="100" w:afterAutospacing="1" w:line="293" w:lineRule="atLeast"/>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Nav</w:t>
            </w:r>
            <w:r w:rsidR="00874122">
              <w:rPr>
                <w:rFonts w:ascii="Times New Roman" w:eastAsia="Times New Roman" w:hAnsi="Times New Roman" w:cs="Times New Roman"/>
                <w:sz w:val="28"/>
                <w:szCs w:val="28"/>
                <w:lang w:eastAsia="lv-LV"/>
              </w:rPr>
              <w:t>.</w:t>
            </w:r>
            <w:r w:rsidR="00E22C8A">
              <w:rPr>
                <w:rFonts w:ascii="Times New Roman" w:eastAsia="Times New Roman" w:hAnsi="Times New Roman" w:cs="Times New Roman"/>
                <w:sz w:val="28"/>
                <w:szCs w:val="28"/>
                <w:lang w:eastAsia="lv-LV"/>
              </w:rPr>
              <w:t xml:space="preserve"> </w:t>
            </w:r>
          </w:p>
        </w:tc>
      </w:tr>
    </w:tbl>
    <w:p w:rsidR="009366A4" w:rsidRPr="009366A4" w:rsidRDefault="009366A4" w:rsidP="00D426C1">
      <w:pPr>
        <w:shd w:val="clear" w:color="auto" w:fill="FFFFFF"/>
        <w:spacing w:after="0" w:line="36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9366A4" w:rsidRPr="009366A4" w:rsidTr="009366A4">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366A4">
              <w:rPr>
                <w:rFonts w:ascii="Times New Roman" w:eastAsia="Times New Roman" w:hAnsi="Times New Roman" w:cs="Times New Roman"/>
                <w:b/>
                <w:bCs/>
                <w:sz w:val="28"/>
                <w:szCs w:val="28"/>
                <w:lang w:eastAsia="lv-LV"/>
              </w:rPr>
              <w:t>VI. Sabiedrības līdzdalība un komunikācijas aktivitātes</w:t>
            </w:r>
          </w:p>
        </w:tc>
      </w:tr>
      <w:tr w:rsidR="005748C4" w:rsidRPr="009366A4" w:rsidTr="006D3600">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5748C4" w:rsidRPr="009366A4" w:rsidRDefault="005748C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5748C4" w:rsidRPr="009366A4" w:rsidRDefault="005748C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vMerge w:val="restart"/>
            <w:tcBorders>
              <w:top w:val="outset" w:sz="6" w:space="0" w:color="414142"/>
              <w:left w:val="outset" w:sz="6" w:space="0" w:color="414142"/>
              <w:right w:val="outset" w:sz="6" w:space="0" w:color="414142"/>
            </w:tcBorders>
          </w:tcPr>
          <w:p w:rsidR="005748C4" w:rsidRPr="009366A4" w:rsidRDefault="005748C4" w:rsidP="000C6F7B">
            <w:pPr>
              <w:spacing w:after="0" w:line="240" w:lineRule="auto"/>
              <w:jc w:val="both"/>
              <w:rPr>
                <w:rFonts w:ascii="Times New Roman" w:eastAsia="Times New Roman" w:hAnsi="Times New Roman" w:cs="Times New Roman"/>
                <w:sz w:val="28"/>
                <w:szCs w:val="28"/>
                <w:lang w:eastAsia="lv-LV"/>
              </w:rPr>
            </w:pPr>
            <w:r w:rsidRPr="000C6F7B">
              <w:rPr>
                <w:rFonts w:ascii="Times New Roman" w:eastAsia="Times New Roman" w:hAnsi="Times New Roman" w:cs="Times New Roman"/>
                <w:sz w:val="28"/>
                <w:szCs w:val="28"/>
                <w:lang w:eastAsia="lv-LV"/>
              </w:rPr>
              <w:t>2014.gada maijā, jūnijā, augustā un septembrī notika republikas pilsētu un novadu izglītības pārvalžu vadītāju un izglītības speciālistu, kā arī pedagogu sanāksmes un konferences, kurus organizēja pašvaldības vai Izglītības un zinātnes ministrija, informējot par aktualitātēm izglītībā, tostarp noteikumiem par iepriekš sodīto pedagogu izvērtēšanu un plānoto maksu. 2014.gada 22.augustā kvalitātes dienesta tīmekļa vietnē ir ievietota informācija par aktualitātēm jaunajā mācību gadā, t.sk. par kvalitātes dienesta jauno funkciju saistībā ar sodīto pedagogu izvērtēšanu. Savukārt 2014.gada 3.novembrī kvalitātes dienesta tīmekļa vietnē</w:t>
            </w:r>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www.ikvd.gov.lv</w:t>
            </w:r>
            <w:proofErr w:type="spellEnd"/>
            <w:r>
              <w:rPr>
                <w:rFonts w:ascii="Times New Roman" w:eastAsia="Times New Roman" w:hAnsi="Times New Roman" w:cs="Times New Roman"/>
                <w:sz w:val="28"/>
                <w:szCs w:val="28"/>
                <w:lang w:eastAsia="lv-LV"/>
              </w:rPr>
              <w:t>)</w:t>
            </w:r>
            <w:r w:rsidRPr="000C6F7B">
              <w:rPr>
                <w:rFonts w:ascii="Times New Roman" w:eastAsia="Times New Roman" w:hAnsi="Times New Roman" w:cs="Times New Roman"/>
                <w:sz w:val="28"/>
                <w:szCs w:val="28"/>
                <w:lang w:eastAsia="lv-LV"/>
              </w:rPr>
              <w:t xml:space="preserve"> ir ievietota informācija par izstrādāto noteikumu projektu.</w:t>
            </w:r>
            <w:r>
              <w:rPr>
                <w:rFonts w:ascii="Times New Roman" w:eastAsia="Times New Roman" w:hAnsi="Times New Roman" w:cs="Times New Roman"/>
                <w:sz w:val="28"/>
                <w:szCs w:val="28"/>
                <w:lang w:eastAsia="lv-LV"/>
              </w:rPr>
              <w:t xml:space="preserve"> Par tīmekļa vietnē ievietoto noteikumu projektu sabiedrības viedoklis nav saņemts. </w:t>
            </w:r>
          </w:p>
        </w:tc>
      </w:tr>
      <w:tr w:rsidR="005748C4" w:rsidRPr="009366A4" w:rsidTr="006D3600">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5748C4" w:rsidRPr="009366A4" w:rsidRDefault="005748C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5748C4" w:rsidRPr="000C6F7B" w:rsidRDefault="005748C4" w:rsidP="009366A4">
            <w:pPr>
              <w:spacing w:after="0" w:line="240" w:lineRule="auto"/>
              <w:rPr>
                <w:rFonts w:ascii="Times New Roman" w:eastAsia="Times New Roman" w:hAnsi="Times New Roman" w:cs="Times New Roman"/>
                <w:sz w:val="28"/>
                <w:szCs w:val="28"/>
                <w:lang w:eastAsia="lv-LV"/>
              </w:rPr>
            </w:pPr>
            <w:r w:rsidRPr="000C6F7B">
              <w:rPr>
                <w:rFonts w:ascii="Times New Roman" w:eastAsia="Times New Roman" w:hAnsi="Times New Roman" w:cs="Times New Roman"/>
                <w:sz w:val="28"/>
                <w:szCs w:val="28"/>
                <w:lang w:eastAsia="lv-LV"/>
              </w:rPr>
              <w:t>Sabiedrības līdzdalība projekta izstrādē</w:t>
            </w:r>
          </w:p>
        </w:tc>
        <w:tc>
          <w:tcPr>
            <w:tcW w:w="3250" w:type="pct"/>
            <w:vMerge/>
            <w:tcBorders>
              <w:left w:val="outset" w:sz="6" w:space="0" w:color="414142"/>
              <w:right w:val="outset" w:sz="6" w:space="0" w:color="414142"/>
            </w:tcBorders>
          </w:tcPr>
          <w:p w:rsidR="005748C4" w:rsidRPr="000C6F7B" w:rsidRDefault="005748C4" w:rsidP="000C6F7B">
            <w:pPr>
              <w:spacing w:after="0" w:line="240" w:lineRule="auto"/>
              <w:jc w:val="both"/>
              <w:rPr>
                <w:rFonts w:ascii="Times New Roman" w:eastAsia="Times New Roman" w:hAnsi="Times New Roman" w:cs="Times New Roman"/>
                <w:sz w:val="28"/>
                <w:szCs w:val="28"/>
                <w:lang w:eastAsia="lv-LV"/>
              </w:rPr>
            </w:pPr>
          </w:p>
        </w:tc>
      </w:tr>
      <w:tr w:rsidR="005748C4" w:rsidRPr="009366A4" w:rsidTr="00EC3C1D">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5748C4" w:rsidRPr="009366A4" w:rsidRDefault="005748C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5748C4" w:rsidRPr="009366A4" w:rsidRDefault="005748C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Sabiedrības līdzdalības rezultāti</w:t>
            </w:r>
          </w:p>
        </w:tc>
        <w:tc>
          <w:tcPr>
            <w:tcW w:w="3250" w:type="pct"/>
            <w:vMerge/>
            <w:tcBorders>
              <w:left w:val="outset" w:sz="6" w:space="0" w:color="414142"/>
              <w:bottom w:val="outset" w:sz="6" w:space="0" w:color="414142"/>
              <w:right w:val="outset" w:sz="6" w:space="0" w:color="414142"/>
            </w:tcBorders>
          </w:tcPr>
          <w:p w:rsidR="005748C4" w:rsidRPr="009366A4" w:rsidRDefault="005748C4" w:rsidP="009366A4">
            <w:pPr>
              <w:spacing w:after="0" w:line="240" w:lineRule="auto"/>
              <w:rPr>
                <w:rFonts w:ascii="Times New Roman" w:eastAsia="Times New Roman" w:hAnsi="Times New Roman" w:cs="Times New Roman"/>
                <w:sz w:val="28"/>
                <w:szCs w:val="28"/>
                <w:lang w:eastAsia="lv-LV"/>
              </w:rPr>
            </w:pPr>
          </w:p>
        </w:tc>
      </w:tr>
      <w:tr w:rsidR="009366A4" w:rsidRPr="009366A4" w:rsidTr="009366A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F7416" w:rsidRPr="008F7416" w:rsidRDefault="00E3385A" w:rsidP="008F7416">
            <w:pPr>
              <w:spacing w:before="100" w:beforeAutospacing="1" w:after="100" w:afterAutospacing="1" w:line="293" w:lineRule="atLeast"/>
              <w:jc w:val="both"/>
              <w:rPr>
                <w:rFonts w:ascii="Times New Roman" w:hAnsi="Times New Roman" w:cs="Times New Roman"/>
                <w:sz w:val="28"/>
                <w:szCs w:val="28"/>
              </w:rPr>
            </w:pPr>
            <w:r w:rsidRPr="00C87150">
              <w:rPr>
                <w:rFonts w:ascii="Times New Roman" w:hAnsi="Times New Roman" w:cs="Times New Roman"/>
                <w:sz w:val="28"/>
                <w:szCs w:val="28"/>
              </w:rPr>
              <w:t xml:space="preserve">Sabiedrības līdzdalība un komunikācijas aktivitātes ir veiktas MK noteikumu Nr.195 </w:t>
            </w:r>
            <w:r w:rsidRPr="00C87150">
              <w:rPr>
                <w:rFonts w:ascii="Times New Roman" w:hAnsi="Times New Roman" w:cs="Times New Roman"/>
                <w:sz w:val="28"/>
                <w:szCs w:val="28"/>
              </w:rPr>
              <w:lastRenderedPageBreak/>
              <w:t>projekta izstrādes ietvaros</w:t>
            </w:r>
            <w:r w:rsidR="00ED7DF8" w:rsidRPr="00C87150">
              <w:rPr>
                <w:rFonts w:ascii="Times New Roman" w:hAnsi="Times New Roman" w:cs="Times New Roman"/>
                <w:sz w:val="28"/>
                <w:szCs w:val="28"/>
              </w:rPr>
              <w:t>, informējot novadu un republikas pilsētu izglītības pār</w:t>
            </w:r>
            <w:r w:rsidR="00C87150" w:rsidRPr="00C87150">
              <w:rPr>
                <w:rFonts w:ascii="Times New Roman" w:hAnsi="Times New Roman" w:cs="Times New Roman"/>
                <w:sz w:val="28"/>
                <w:szCs w:val="28"/>
              </w:rPr>
              <w:t>valdes un izglītības speciālistus</w:t>
            </w:r>
            <w:r w:rsidR="00ED7DF8" w:rsidRPr="00C87150">
              <w:rPr>
                <w:rFonts w:ascii="Times New Roman" w:hAnsi="Times New Roman" w:cs="Times New Roman"/>
                <w:sz w:val="28"/>
                <w:szCs w:val="28"/>
              </w:rPr>
              <w:t xml:space="preserve"> nozares speciālistu san</w:t>
            </w:r>
            <w:r w:rsidR="00ED7DF8" w:rsidRPr="001A0569">
              <w:rPr>
                <w:rFonts w:ascii="Times New Roman" w:hAnsi="Times New Roman" w:cs="Times New Roman"/>
                <w:sz w:val="28"/>
                <w:szCs w:val="28"/>
              </w:rPr>
              <w:t>āksmēs</w:t>
            </w:r>
            <w:r w:rsidR="00C87150" w:rsidRPr="001A0569">
              <w:rPr>
                <w:rFonts w:ascii="Times New Roman" w:hAnsi="Times New Roman" w:cs="Times New Roman"/>
                <w:sz w:val="28"/>
                <w:szCs w:val="28"/>
              </w:rPr>
              <w:t xml:space="preserve">, </w:t>
            </w:r>
            <w:r w:rsidR="00C72FC6" w:rsidRPr="001A0569">
              <w:rPr>
                <w:rFonts w:ascii="Times New Roman" w:hAnsi="Times New Roman" w:cs="Times New Roman"/>
                <w:sz w:val="28"/>
                <w:szCs w:val="28"/>
              </w:rPr>
              <w:t xml:space="preserve">kā arī izglītības iestādes un nevalstiskās organizācijas.  Vienlaikus </w:t>
            </w:r>
            <w:r w:rsidR="00C87150" w:rsidRPr="001A0569">
              <w:rPr>
                <w:rFonts w:ascii="Times New Roman" w:hAnsi="Times New Roman" w:cs="Times New Roman"/>
                <w:sz w:val="28"/>
                <w:szCs w:val="28"/>
              </w:rPr>
              <w:t>tika organizētas konsultācijas ar Saeimas Juridisko biroju</w:t>
            </w:r>
            <w:r w:rsidR="00ED7DF8" w:rsidRPr="001A0569">
              <w:rPr>
                <w:rFonts w:ascii="Times New Roman" w:hAnsi="Times New Roman" w:cs="Times New Roman"/>
                <w:sz w:val="28"/>
                <w:szCs w:val="28"/>
              </w:rPr>
              <w:t>.</w:t>
            </w:r>
            <w:r w:rsidR="00ED640C" w:rsidRPr="001A0569">
              <w:rPr>
                <w:rFonts w:ascii="Times New Roman" w:hAnsi="Times New Roman" w:cs="Times New Roman"/>
                <w:sz w:val="28"/>
                <w:szCs w:val="28"/>
              </w:rPr>
              <w:t xml:space="preserve"> </w:t>
            </w:r>
          </w:p>
        </w:tc>
      </w:tr>
    </w:tbl>
    <w:p w:rsidR="006461D9" w:rsidRPr="006461D9" w:rsidRDefault="006461D9" w:rsidP="006461D9">
      <w:pPr>
        <w:rPr>
          <w:rFonts w:ascii="Times New Roman" w:hAnsi="Times New Roman" w:cs="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9366A4" w:rsidRPr="009366A4" w:rsidTr="009366A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366A4">
              <w:rPr>
                <w:rFonts w:ascii="Times New Roman" w:eastAsia="Times New Roman" w:hAnsi="Times New Roman" w:cs="Times New Roman"/>
                <w:b/>
                <w:bCs/>
                <w:sz w:val="28"/>
                <w:szCs w:val="28"/>
                <w:lang w:eastAsia="lv-LV"/>
              </w:rPr>
              <w:t>VII. Tiesību akta projekta izpildes nodrošināšana un tās ietekme uz institūcijām</w:t>
            </w:r>
          </w:p>
        </w:tc>
      </w:tr>
      <w:tr w:rsidR="009366A4" w:rsidRPr="009366A4" w:rsidTr="009366A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366A4" w:rsidRPr="009366A4" w:rsidRDefault="00445A1A" w:rsidP="009366A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kvalitātes valsts dienests</w:t>
            </w:r>
            <w:r w:rsidR="00C00906">
              <w:rPr>
                <w:rFonts w:ascii="Times New Roman" w:eastAsia="Times New Roman" w:hAnsi="Times New Roman" w:cs="Times New Roman"/>
                <w:sz w:val="28"/>
                <w:szCs w:val="28"/>
                <w:lang w:eastAsia="lv-LV"/>
              </w:rPr>
              <w:t>.</w:t>
            </w:r>
          </w:p>
        </w:tc>
      </w:tr>
      <w:tr w:rsidR="009366A4" w:rsidRPr="009366A4" w:rsidTr="009366A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Projekta izpildes ietekme uz pārvaldes funkcijām un institucionālo struktūru.</w:t>
            </w:r>
          </w:p>
          <w:p w:rsidR="009366A4" w:rsidRPr="009366A4" w:rsidRDefault="009366A4" w:rsidP="009366A4">
            <w:pPr>
              <w:spacing w:before="100" w:beforeAutospacing="1" w:after="100" w:afterAutospacing="1" w:line="293" w:lineRule="atLeast"/>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F656B" w:rsidRPr="000C6F7B" w:rsidRDefault="00445A1A" w:rsidP="00C00906">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lv-LV"/>
              </w:rPr>
              <w:t xml:space="preserve">Noteikumu projekts kopsakarā ar </w:t>
            </w:r>
            <w:r w:rsidRPr="00874122">
              <w:rPr>
                <w:rFonts w:ascii="Times New Roman" w:hAnsi="Times New Roman" w:cs="Times New Roman"/>
                <w:bCs/>
                <w:sz w:val="28"/>
                <w:szCs w:val="28"/>
              </w:rPr>
              <w:t>Izglītības likuma 50.panta 1.punktā noteikt</w:t>
            </w:r>
            <w:r>
              <w:rPr>
                <w:rFonts w:ascii="Times New Roman" w:hAnsi="Times New Roman" w:cs="Times New Roman"/>
                <w:bCs/>
                <w:sz w:val="28"/>
                <w:szCs w:val="28"/>
              </w:rPr>
              <w:t xml:space="preserve">o, </w:t>
            </w:r>
            <w:r w:rsidRPr="00E3385A">
              <w:rPr>
                <w:rFonts w:ascii="Times New Roman" w:eastAsia="Times New Roman" w:hAnsi="Times New Roman" w:cs="Times New Roman"/>
                <w:sz w:val="28"/>
                <w:szCs w:val="28"/>
                <w:lang w:eastAsia="lv-LV"/>
              </w:rPr>
              <w:t xml:space="preserve">kā arī saskaņā ar </w:t>
            </w:r>
            <w:r w:rsidR="00E3385A" w:rsidRPr="00E3385A">
              <w:rPr>
                <w:rFonts w:ascii="Times New Roman" w:eastAsia="Times New Roman" w:hAnsi="Times New Roman" w:cs="Times New Roman"/>
                <w:sz w:val="28"/>
                <w:szCs w:val="28"/>
                <w:lang w:eastAsia="lv-LV"/>
              </w:rPr>
              <w:t>MK noteikumos Nr.195</w:t>
            </w:r>
            <w:r w:rsidRPr="00E3385A">
              <w:rPr>
                <w:rFonts w:ascii="Times New Roman" w:eastAsia="Times New Roman" w:hAnsi="Times New Roman" w:cs="Times New Roman"/>
                <w:sz w:val="28"/>
                <w:szCs w:val="28"/>
                <w:lang w:eastAsia="lv-LV"/>
              </w:rPr>
              <w:t xml:space="preserve"> noteikto </w:t>
            </w:r>
            <w:r w:rsidR="00E3385A" w:rsidRPr="00E3385A">
              <w:rPr>
                <w:rFonts w:ascii="Times New Roman" w:eastAsia="Times New Roman" w:hAnsi="Times New Roman" w:cs="Times New Roman"/>
                <w:sz w:val="28"/>
                <w:szCs w:val="28"/>
                <w:lang w:eastAsia="lv-LV"/>
              </w:rPr>
              <w:t xml:space="preserve">kvalitātes dienestam </w:t>
            </w:r>
            <w:r w:rsidRPr="00E3385A">
              <w:rPr>
                <w:rFonts w:ascii="Times New Roman" w:eastAsia="Times New Roman" w:hAnsi="Times New Roman" w:cs="Times New Roman"/>
                <w:sz w:val="28"/>
                <w:szCs w:val="28"/>
                <w:lang w:eastAsia="lv-LV"/>
              </w:rPr>
              <w:t>paredz jaunu funkciju</w:t>
            </w:r>
            <w:r w:rsidRPr="00874122">
              <w:rPr>
                <w:rFonts w:ascii="Times New Roman" w:hAnsi="Times New Roman" w:cs="Times New Roman"/>
                <w:sz w:val="28"/>
                <w:szCs w:val="28"/>
              </w:rPr>
              <w:t xml:space="preserve">, proti, </w:t>
            </w:r>
            <w:r w:rsidRPr="00874122">
              <w:rPr>
                <w:rFonts w:ascii="Times New Roman" w:hAnsi="Times New Roman" w:cs="Times New Roman"/>
                <w:i/>
                <w:sz w:val="28"/>
                <w:szCs w:val="28"/>
                <w:shd w:val="clear" w:color="auto" w:fill="FFFFFF"/>
              </w:rPr>
              <w:t>izvērtēt, vai atļau</w:t>
            </w:r>
            <w:r w:rsidR="00C72FC6">
              <w:rPr>
                <w:rFonts w:ascii="Times New Roman" w:hAnsi="Times New Roman" w:cs="Times New Roman"/>
                <w:i/>
                <w:sz w:val="28"/>
                <w:szCs w:val="28"/>
                <w:shd w:val="clear" w:color="auto" w:fill="FFFFFF"/>
              </w:rPr>
              <w:t>ja</w:t>
            </w:r>
            <w:r w:rsidRPr="00874122">
              <w:rPr>
                <w:rFonts w:ascii="Times New Roman" w:hAnsi="Times New Roman" w:cs="Times New Roman"/>
                <w:i/>
                <w:sz w:val="28"/>
                <w:szCs w:val="28"/>
                <w:shd w:val="clear" w:color="auto" w:fill="FFFFFF"/>
              </w:rPr>
              <w:t xml:space="preserve"> strādāt par pedagogu personai, kas bijusi sodīta par tīšu kriminālpārkāpumu vai mazāk smagu noziegumu,</w:t>
            </w:r>
            <w:r w:rsidR="001C34FE">
              <w:rPr>
                <w:rFonts w:ascii="Times New Roman" w:hAnsi="Times New Roman" w:cs="Times New Roman"/>
                <w:i/>
                <w:sz w:val="28"/>
                <w:szCs w:val="28"/>
                <w:shd w:val="clear" w:color="auto" w:fill="FFFFFF"/>
              </w:rPr>
              <w:t xml:space="preserve"> </w:t>
            </w:r>
            <w:r w:rsidR="001C34FE" w:rsidRPr="001C34FE">
              <w:rPr>
                <w:rFonts w:ascii="Times New Roman" w:hAnsi="Times New Roman" w:cs="Times New Roman"/>
                <w:i/>
                <w:sz w:val="28"/>
                <w:szCs w:val="28"/>
                <w:shd w:val="clear" w:color="auto" w:fill="FFFFFF"/>
              </w:rPr>
              <w:t>ja sodāmība ir dzēsta vai noņemta</w:t>
            </w:r>
            <w:r w:rsidR="001C34FE">
              <w:rPr>
                <w:rFonts w:ascii="Times New Roman" w:hAnsi="Times New Roman" w:cs="Times New Roman"/>
                <w:i/>
                <w:sz w:val="28"/>
                <w:szCs w:val="28"/>
                <w:shd w:val="clear" w:color="auto" w:fill="FFFFFF"/>
              </w:rPr>
              <w:t>,</w:t>
            </w:r>
            <w:r w:rsidRPr="00874122">
              <w:rPr>
                <w:rFonts w:ascii="Times New Roman" w:hAnsi="Times New Roman" w:cs="Times New Roman"/>
                <w:i/>
                <w:sz w:val="28"/>
                <w:szCs w:val="28"/>
                <w:shd w:val="clear" w:color="auto" w:fill="FFFFFF"/>
              </w:rPr>
              <w:t xml:space="preserve"> nekaitēs izglītojamo interesēm </w:t>
            </w:r>
            <w:r w:rsidRPr="00874122">
              <w:rPr>
                <w:rFonts w:ascii="Times New Roman" w:hAnsi="Times New Roman" w:cs="Times New Roman"/>
                <w:sz w:val="28"/>
                <w:szCs w:val="28"/>
                <w:shd w:val="clear" w:color="auto" w:fill="FFFFFF"/>
              </w:rPr>
              <w:t>un</w:t>
            </w:r>
            <w:r w:rsidRPr="00874122">
              <w:rPr>
                <w:rFonts w:ascii="Times New Roman" w:hAnsi="Times New Roman" w:cs="Times New Roman"/>
                <w:sz w:val="28"/>
                <w:szCs w:val="28"/>
              </w:rPr>
              <w:t xml:space="preserve"> pieņemt lēmumu par minētās atļaujas izsniegšanu, atteikumu </w:t>
            </w:r>
            <w:r w:rsidRPr="00EC293C">
              <w:rPr>
                <w:rFonts w:ascii="Times New Roman" w:hAnsi="Times New Roman" w:cs="Times New Roman"/>
                <w:bCs/>
                <w:sz w:val="28"/>
                <w:szCs w:val="28"/>
              </w:rPr>
              <w:t xml:space="preserve">izsniegt atļauju </w:t>
            </w:r>
            <w:r w:rsidR="00C72FC6" w:rsidRPr="00EC293C">
              <w:rPr>
                <w:rFonts w:ascii="Times New Roman" w:hAnsi="Times New Roman" w:cs="Times New Roman"/>
                <w:bCs/>
                <w:sz w:val="28"/>
                <w:szCs w:val="28"/>
              </w:rPr>
              <w:t>vai</w:t>
            </w:r>
            <w:r w:rsidRPr="00EC293C">
              <w:rPr>
                <w:rFonts w:ascii="Times New Roman" w:hAnsi="Times New Roman" w:cs="Times New Roman"/>
                <w:bCs/>
                <w:sz w:val="28"/>
                <w:szCs w:val="28"/>
              </w:rPr>
              <w:t xml:space="preserve"> atļaujas anulēšanu.</w:t>
            </w:r>
            <w:r w:rsidR="009F656B">
              <w:rPr>
                <w:rFonts w:ascii="Times New Roman" w:hAnsi="Times New Roman" w:cs="Times New Roman"/>
                <w:bCs/>
                <w:sz w:val="28"/>
                <w:szCs w:val="28"/>
              </w:rPr>
              <w:t xml:space="preserve"> </w:t>
            </w:r>
            <w:r w:rsidR="009F656B" w:rsidRPr="000C6F7B">
              <w:rPr>
                <w:rFonts w:ascii="Times New Roman" w:hAnsi="Times New Roman" w:cs="Times New Roman"/>
                <w:bCs/>
                <w:sz w:val="28"/>
                <w:szCs w:val="28"/>
              </w:rPr>
              <w:t xml:space="preserve">Tātad paplašinās kvalitātes dienesta funkcijas, </w:t>
            </w:r>
            <w:r w:rsidR="005A755E" w:rsidRPr="000C6F7B">
              <w:rPr>
                <w:rFonts w:ascii="Times New Roman" w:hAnsi="Times New Roman" w:cs="Times New Roman"/>
                <w:bCs/>
                <w:sz w:val="28"/>
                <w:szCs w:val="28"/>
              </w:rPr>
              <w:t xml:space="preserve">taču šīs funkcijas izpildei </w:t>
            </w:r>
            <w:r w:rsidR="009F656B" w:rsidRPr="000C6F7B">
              <w:rPr>
                <w:rFonts w:ascii="Times New Roman" w:hAnsi="Times New Roman" w:cs="Times New Roman"/>
                <w:bCs/>
                <w:sz w:val="28"/>
                <w:szCs w:val="28"/>
              </w:rPr>
              <w:t xml:space="preserve"> </w:t>
            </w:r>
            <w:r w:rsidR="005A755E" w:rsidRPr="000C6F7B">
              <w:rPr>
                <w:rFonts w:ascii="Times New Roman" w:hAnsi="Times New Roman" w:cs="Times New Roman"/>
                <w:bCs/>
                <w:sz w:val="28"/>
                <w:szCs w:val="28"/>
              </w:rPr>
              <w:t>kvalitātes dienests izmantos esošo</w:t>
            </w:r>
            <w:r w:rsidR="009F656B" w:rsidRPr="000C6F7B">
              <w:rPr>
                <w:rFonts w:ascii="Times New Roman" w:hAnsi="Times New Roman" w:cs="Times New Roman"/>
                <w:bCs/>
                <w:sz w:val="28"/>
                <w:szCs w:val="28"/>
              </w:rPr>
              <w:t>s cilvēkresursus</w:t>
            </w:r>
            <w:r w:rsidR="005A755E" w:rsidRPr="000C6F7B">
              <w:rPr>
                <w:rFonts w:ascii="Times New Roman" w:hAnsi="Times New Roman" w:cs="Times New Roman"/>
                <w:bCs/>
                <w:sz w:val="28"/>
                <w:szCs w:val="28"/>
              </w:rPr>
              <w:t>, līdz ar to jauni personālresursi nebūs nepieciešami</w:t>
            </w:r>
            <w:r w:rsidR="009F656B" w:rsidRPr="000C6F7B">
              <w:rPr>
                <w:rFonts w:ascii="Times New Roman" w:hAnsi="Times New Roman" w:cs="Times New Roman"/>
                <w:bCs/>
                <w:sz w:val="28"/>
                <w:szCs w:val="28"/>
              </w:rPr>
              <w:t>.</w:t>
            </w:r>
          </w:p>
          <w:p w:rsidR="00C00906" w:rsidRPr="009366A4" w:rsidRDefault="00EC293C" w:rsidP="00C00906">
            <w:pPr>
              <w:spacing w:after="0" w:line="240" w:lineRule="auto"/>
              <w:jc w:val="both"/>
              <w:rPr>
                <w:rFonts w:ascii="Times New Roman" w:eastAsia="Times New Roman" w:hAnsi="Times New Roman" w:cs="Times New Roman"/>
                <w:sz w:val="28"/>
                <w:szCs w:val="28"/>
                <w:lang w:eastAsia="lv-LV"/>
              </w:rPr>
            </w:pPr>
            <w:r w:rsidRPr="00EC293C">
              <w:rPr>
                <w:rFonts w:ascii="Times New Roman" w:hAnsi="Times New Roman" w:cs="Times New Roman"/>
                <w:bCs/>
                <w:sz w:val="28"/>
                <w:szCs w:val="28"/>
              </w:rPr>
              <w:t>Jaunu institūciju izveide, esošu institūciju likvidācija vai reorganizācija nav nepieciešama.</w:t>
            </w:r>
          </w:p>
        </w:tc>
      </w:tr>
      <w:tr w:rsidR="009366A4" w:rsidRPr="009366A4" w:rsidTr="009366A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366A4" w:rsidRPr="009366A4" w:rsidRDefault="00C00906" w:rsidP="009366A4">
            <w:pPr>
              <w:spacing w:before="100" w:beforeAutospacing="1" w:after="100" w:afterAutospacing="1" w:line="293" w:lineRule="atLeas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1B6C71" w:rsidRPr="00C00906" w:rsidRDefault="001B6C71" w:rsidP="00C00906">
      <w:pPr>
        <w:spacing w:after="0" w:line="240" w:lineRule="auto"/>
        <w:rPr>
          <w:rFonts w:ascii="Times New Roman" w:hAnsi="Times New Roman" w:cs="Times New Roman"/>
          <w:sz w:val="28"/>
          <w:szCs w:val="28"/>
        </w:rPr>
      </w:pPr>
    </w:p>
    <w:p w:rsidR="00C00906" w:rsidRPr="00A22719" w:rsidRDefault="00C00906" w:rsidP="00C00906">
      <w:pPr>
        <w:spacing w:after="0" w:line="240" w:lineRule="auto"/>
        <w:rPr>
          <w:rFonts w:ascii="Times New Roman" w:hAnsi="Times New Roman" w:cs="Times New Roman"/>
          <w:i/>
          <w:sz w:val="28"/>
          <w:szCs w:val="28"/>
        </w:rPr>
      </w:pPr>
      <w:r w:rsidRPr="00A22719">
        <w:rPr>
          <w:rFonts w:ascii="Times New Roman" w:hAnsi="Times New Roman" w:cs="Times New Roman"/>
          <w:i/>
          <w:sz w:val="28"/>
          <w:szCs w:val="28"/>
        </w:rPr>
        <w:t xml:space="preserve">Anotācijas V sadaļa – </w:t>
      </w:r>
      <w:r w:rsidR="00287EB0">
        <w:rPr>
          <w:rFonts w:ascii="Times New Roman" w:hAnsi="Times New Roman" w:cs="Times New Roman"/>
          <w:i/>
          <w:sz w:val="28"/>
          <w:szCs w:val="28"/>
        </w:rPr>
        <w:t xml:space="preserve">noteikumu </w:t>
      </w:r>
      <w:r w:rsidRPr="00A22719">
        <w:rPr>
          <w:rFonts w:ascii="Times New Roman" w:hAnsi="Times New Roman" w:cs="Times New Roman"/>
          <w:i/>
          <w:sz w:val="28"/>
          <w:szCs w:val="28"/>
        </w:rPr>
        <w:t>projekts š</w:t>
      </w:r>
      <w:r w:rsidR="00ED7DF8">
        <w:rPr>
          <w:rFonts w:ascii="Times New Roman" w:hAnsi="Times New Roman" w:cs="Times New Roman"/>
          <w:i/>
          <w:sz w:val="28"/>
          <w:szCs w:val="28"/>
        </w:rPr>
        <w:t>o</w:t>
      </w:r>
      <w:r w:rsidRPr="00A22719">
        <w:rPr>
          <w:rFonts w:ascii="Times New Roman" w:hAnsi="Times New Roman" w:cs="Times New Roman"/>
          <w:i/>
          <w:sz w:val="28"/>
          <w:szCs w:val="28"/>
        </w:rPr>
        <w:t xml:space="preserve"> jom</w:t>
      </w:r>
      <w:r w:rsidR="00ED7DF8">
        <w:rPr>
          <w:rFonts w:ascii="Times New Roman" w:hAnsi="Times New Roman" w:cs="Times New Roman"/>
          <w:i/>
          <w:sz w:val="28"/>
          <w:szCs w:val="28"/>
        </w:rPr>
        <w:t>u</w:t>
      </w:r>
      <w:r w:rsidRPr="00A22719">
        <w:rPr>
          <w:rFonts w:ascii="Times New Roman" w:hAnsi="Times New Roman" w:cs="Times New Roman"/>
          <w:i/>
          <w:sz w:val="28"/>
          <w:szCs w:val="28"/>
        </w:rPr>
        <w:t xml:space="preserve"> neskar.</w:t>
      </w:r>
    </w:p>
    <w:p w:rsidR="00AE5943" w:rsidRDefault="00AE5943" w:rsidP="00AE5943">
      <w:pPr>
        <w:spacing w:after="0" w:line="240" w:lineRule="auto"/>
        <w:rPr>
          <w:rFonts w:ascii="Times New Roman" w:hAnsi="Times New Roman" w:cs="Times New Roman"/>
          <w:sz w:val="28"/>
          <w:szCs w:val="28"/>
        </w:rPr>
      </w:pPr>
    </w:p>
    <w:p w:rsidR="00F34F8D" w:rsidRDefault="00F34F8D" w:rsidP="00AE5943">
      <w:pPr>
        <w:spacing w:after="0" w:line="240" w:lineRule="auto"/>
        <w:rPr>
          <w:rFonts w:ascii="Times New Roman" w:hAnsi="Times New Roman" w:cs="Times New Roman"/>
          <w:sz w:val="28"/>
          <w:szCs w:val="28"/>
        </w:rPr>
      </w:pPr>
    </w:p>
    <w:p w:rsidR="00AE5943" w:rsidRPr="00AE5943" w:rsidRDefault="00AE5943" w:rsidP="00AE5943">
      <w:pPr>
        <w:tabs>
          <w:tab w:val="left" w:pos="7230"/>
        </w:tabs>
        <w:spacing w:after="0" w:line="240" w:lineRule="auto"/>
        <w:jc w:val="both"/>
        <w:rPr>
          <w:rFonts w:ascii="Times New Roman" w:hAnsi="Times New Roman" w:cs="Times New Roman"/>
          <w:sz w:val="28"/>
          <w:szCs w:val="28"/>
        </w:rPr>
      </w:pPr>
      <w:r w:rsidRPr="00AE5943">
        <w:rPr>
          <w:rFonts w:ascii="Times New Roman" w:hAnsi="Times New Roman" w:cs="Times New Roman"/>
          <w:sz w:val="28"/>
          <w:szCs w:val="28"/>
        </w:rPr>
        <w:t xml:space="preserve">Izglītības un </w:t>
      </w:r>
      <w:r>
        <w:rPr>
          <w:rFonts w:ascii="Times New Roman" w:hAnsi="Times New Roman" w:cs="Times New Roman"/>
          <w:sz w:val="28"/>
          <w:szCs w:val="28"/>
        </w:rPr>
        <w:t xml:space="preserve">zinātnes ministre                                                      </w:t>
      </w:r>
      <w:r w:rsidR="002C3652">
        <w:rPr>
          <w:rFonts w:ascii="Times New Roman" w:hAnsi="Times New Roman" w:cs="Times New Roman"/>
          <w:sz w:val="28"/>
          <w:szCs w:val="28"/>
        </w:rPr>
        <w:t>M.Seile</w:t>
      </w:r>
    </w:p>
    <w:p w:rsidR="00A30A88" w:rsidRDefault="00A30A88" w:rsidP="00AE5943">
      <w:pPr>
        <w:pStyle w:val="Title"/>
        <w:jc w:val="both"/>
        <w:rPr>
          <w:b w:val="0"/>
          <w:sz w:val="28"/>
          <w:szCs w:val="28"/>
          <w:lang w:val="lv-LV"/>
        </w:rPr>
      </w:pPr>
    </w:p>
    <w:p w:rsidR="005748C4" w:rsidRPr="005748C4" w:rsidRDefault="005748C4" w:rsidP="00AE5943">
      <w:pPr>
        <w:pStyle w:val="Title"/>
        <w:jc w:val="both"/>
        <w:rPr>
          <w:b w:val="0"/>
          <w:sz w:val="28"/>
          <w:szCs w:val="28"/>
          <w:lang w:val="lv-LV"/>
        </w:rPr>
      </w:pPr>
    </w:p>
    <w:p w:rsidR="00A30A88" w:rsidRDefault="00A30A88" w:rsidP="00AE5943">
      <w:pPr>
        <w:pStyle w:val="Title"/>
        <w:jc w:val="both"/>
        <w:rPr>
          <w:b w:val="0"/>
          <w:sz w:val="28"/>
          <w:szCs w:val="28"/>
        </w:rPr>
      </w:pPr>
    </w:p>
    <w:p w:rsidR="00AE5943" w:rsidRPr="00AE5943" w:rsidRDefault="00AE5943" w:rsidP="00AE5943">
      <w:pPr>
        <w:pStyle w:val="Title"/>
        <w:jc w:val="both"/>
        <w:rPr>
          <w:b w:val="0"/>
          <w:sz w:val="28"/>
          <w:szCs w:val="28"/>
        </w:rPr>
      </w:pPr>
      <w:r w:rsidRPr="00AE5943">
        <w:rPr>
          <w:b w:val="0"/>
          <w:sz w:val="28"/>
          <w:szCs w:val="28"/>
        </w:rPr>
        <w:lastRenderedPageBreak/>
        <w:t>Vīza:</w:t>
      </w:r>
    </w:p>
    <w:p w:rsidR="00AE5943" w:rsidRPr="008B4EFC" w:rsidRDefault="00AE5943" w:rsidP="00AE5943">
      <w:pPr>
        <w:pStyle w:val="Title"/>
        <w:tabs>
          <w:tab w:val="left" w:pos="7230"/>
        </w:tabs>
        <w:jc w:val="both"/>
        <w:rPr>
          <w:b w:val="0"/>
          <w:sz w:val="28"/>
          <w:szCs w:val="28"/>
        </w:rPr>
      </w:pPr>
      <w:r>
        <w:rPr>
          <w:b w:val="0"/>
          <w:sz w:val="28"/>
          <w:szCs w:val="28"/>
        </w:rPr>
        <w:t xml:space="preserve">Valsts sekretāre                                                                             </w:t>
      </w:r>
      <w:r w:rsidRPr="00AE5943">
        <w:rPr>
          <w:b w:val="0"/>
          <w:sz w:val="28"/>
          <w:szCs w:val="28"/>
        </w:rPr>
        <w:t>S.Liepiņa</w:t>
      </w:r>
    </w:p>
    <w:p w:rsidR="00AE5943" w:rsidRDefault="00AE5943" w:rsidP="00AE5943">
      <w:pPr>
        <w:spacing w:after="0" w:line="240" w:lineRule="auto"/>
        <w:jc w:val="both"/>
        <w:rPr>
          <w:rFonts w:ascii="Times New Roman" w:hAnsi="Times New Roman" w:cs="Times New Roman"/>
          <w:sz w:val="28"/>
          <w:szCs w:val="28"/>
        </w:rPr>
      </w:pPr>
    </w:p>
    <w:p w:rsidR="006461D9" w:rsidRDefault="006461D9" w:rsidP="00AE5943">
      <w:pPr>
        <w:spacing w:after="0" w:line="240" w:lineRule="auto"/>
        <w:jc w:val="both"/>
        <w:rPr>
          <w:rFonts w:ascii="Times New Roman" w:hAnsi="Times New Roman" w:cs="Times New Roman"/>
          <w:sz w:val="28"/>
          <w:szCs w:val="28"/>
        </w:rPr>
      </w:pPr>
    </w:p>
    <w:p w:rsidR="00AE5943" w:rsidRPr="00AE5943" w:rsidRDefault="000D7582" w:rsidP="00AE5943">
      <w:pPr>
        <w:spacing w:after="0" w:line="240" w:lineRule="auto"/>
        <w:jc w:val="both"/>
        <w:rPr>
          <w:rFonts w:ascii="Times New Roman" w:hAnsi="Times New Roman" w:cs="Times New Roman"/>
          <w:sz w:val="20"/>
          <w:szCs w:val="20"/>
        </w:rPr>
      </w:pPr>
      <w:r w:rsidRPr="00AE5943">
        <w:rPr>
          <w:rFonts w:ascii="Times New Roman" w:hAnsi="Times New Roman" w:cs="Times New Roman"/>
          <w:sz w:val="20"/>
          <w:szCs w:val="20"/>
        </w:rPr>
        <w:fldChar w:fldCharType="begin"/>
      </w:r>
      <w:r w:rsidR="00AE5943" w:rsidRPr="00AE5943">
        <w:rPr>
          <w:rFonts w:ascii="Times New Roman" w:hAnsi="Times New Roman" w:cs="Times New Roman"/>
          <w:sz w:val="20"/>
          <w:szCs w:val="20"/>
        </w:rPr>
        <w:instrText xml:space="preserve"> DATE  \@ "dd.MM.yyyy HH:mm"  \* MERGEFORMAT </w:instrText>
      </w:r>
      <w:r w:rsidRPr="00AE5943">
        <w:rPr>
          <w:rFonts w:ascii="Times New Roman" w:hAnsi="Times New Roman" w:cs="Times New Roman"/>
          <w:sz w:val="20"/>
          <w:szCs w:val="20"/>
        </w:rPr>
        <w:fldChar w:fldCharType="separate"/>
      </w:r>
      <w:r w:rsidR="00DC6903">
        <w:rPr>
          <w:rFonts w:ascii="Times New Roman" w:hAnsi="Times New Roman" w:cs="Times New Roman"/>
          <w:noProof/>
          <w:sz w:val="20"/>
          <w:szCs w:val="20"/>
        </w:rPr>
        <w:t>25.11.2014 11:30</w:t>
      </w:r>
      <w:r w:rsidRPr="00AE5943">
        <w:rPr>
          <w:rFonts w:ascii="Times New Roman" w:hAnsi="Times New Roman" w:cs="Times New Roman"/>
          <w:sz w:val="20"/>
          <w:szCs w:val="20"/>
        </w:rPr>
        <w:fldChar w:fldCharType="end"/>
      </w:r>
      <w:bookmarkStart w:id="0" w:name="_GoBack"/>
      <w:bookmarkEnd w:id="0"/>
    </w:p>
    <w:p w:rsidR="00AE5943" w:rsidRPr="00947F65" w:rsidRDefault="00EE29A1" w:rsidP="00AE5943">
      <w:pPr>
        <w:pStyle w:val="Title"/>
        <w:jc w:val="both"/>
        <w:rPr>
          <w:b w:val="0"/>
          <w:sz w:val="20"/>
          <w:lang w:val="lv-LV"/>
        </w:rPr>
      </w:pPr>
      <w:r w:rsidRPr="0026581D">
        <w:rPr>
          <w:b w:val="0"/>
          <w:sz w:val="20"/>
        </w:rPr>
        <w:t>1</w:t>
      </w:r>
      <w:r w:rsidR="003D700F">
        <w:rPr>
          <w:b w:val="0"/>
          <w:sz w:val="20"/>
          <w:lang w:val="lv-LV"/>
        </w:rPr>
        <w:t>4</w:t>
      </w:r>
      <w:r w:rsidR="005748C4">
        <w:rPr>
          <w:b w:val="0"/>
          <w:sz w:val="20"/>
          <w:lang w:val="lv-LV"/>
        </w:rPr>
        <w:t>46</w:t>
      </w:r>
    </w:p>
    <w:p w:rsidR="00AE5943" w:rsidRPr="00AE5943" w:rsidRDefault="00AE5943" w:rsidP="00AE5943">
      <w:pPr>
        <w:spacing w:after="0" w:line="240" w:lineRule="auto"/>
        <w:jc w:val="both"/>
        <w:rPr>
          <w:rFonts w:ascii="Times New Roman" w:hAnsi="Times New Roman" w:cs="Times New Roman"/>
          <w:sz w:val="20"/>
          <w:szCs w:val="20"/>
        </w:rPr>
      </w:pPr>
      <w:r w:rsidRPr="00AE5943">
        <w:rPr>
          <w:rFonts w:ascii="Times New Roman" w:hAnsi="Times New Roman" w:cs="Times New Roman"/>
          <w:sz w:val="20"/>
          <w:szCs w:val="20"/>
        </w:rPr>
        <w:t xml:space="preserve">I.Juhņēviča </w:t>
      </w:r>
    </w:p>
    <w:p w:rsidR="00AE5943" w:rsidRPr="00AE5943" w:rsidRDefault="00AE5943" w:rsidP="00AE5943">
      <w:pPr>
        <w:spacing w:after="0" w:line="240" w:lineRule="auto"/>
        <w:jc w:val="both"/>
        <w:rPr>
          <w:rFonts w:ascii="Times New Roman" w:hAnsi="Times New Roman" w:cs="Times New Roman"/>
          <w:sz w:val="20"/>
          <w:szCs w:val="20"/>
        </w:rPr>
      </w:pPr>
      <w:r w:rsidRPr="00AE5943">
        <w:rPr>
          <w:rFonts w:ascii="Times New Roman" w:hAnsi="Times New Roman" w:cs="Times New Roman"/>
          <w:sz w:val="20"/>
          <w:szCs w:val="20"/>
        </w:rPr>
        <w:t xml:space="preserve">67358078; </w:t>
      </w:r>
      <w:hyperlink r:id="rId9" w:history="1">
        <w:r w:rsidRPr="00AE5943">
          <w:rPr>
            <w:rFonts w:ascii="Times New Roman" w:hAnsi="Times New Roman" w:cs="Times New Roman"/>
            <w:sz w:val="20"/>
            <w:szCs w:val="20"/>
          </w:rPr>
          <w:t>Inita.Juhnevica@ikvd.gov.lv</w:t>
        </w:r>
      </w:hyperlink>
      <w:r w:rsidRPr="00AE5943">
        <w:rPr>
          <w:rFonts w:ascii="Times New Roman" w:hAnsi="Times New Roman" w:cs="Times New Roman"/>
          <w:sz w:val="20"/>
          <w:szCs w:val="20"/>
        </w:rPr>
        <w:t xml:space="preserve"> </w:t>
      </w:r>
    </w:p>
    <w:p w:rsidR="00AE5943" w:rsidRPr="00AE5943" w:rsidRDefault="00AE5943" w:rsidP="00AE5943">
      <w:pPr>
        <w:tabs>
          <w:tab w:val="left" w:pos="6663"/>
        </w:tabs>
        <w:spacing w:after="0" w:line="240" w:lineRule="auto"/>
        <w:jc w:val="both"/>
        <w:rPr>
          <w:rFonts w:ascii="Times New Roman" w:hAnsi="Times New Roman" w:cs="Times New Roman"/>
          <w:sz w:val="20"/>
          <w:szCs w:val="20"/>
        </w:rPr>
      </w:pPr>
      <w:proofErr w:type="spellStart"/>
      <w:r w:rsidRPr="00AE5943">
        <w:rPr>
          <w:rFonts w:ascii="Times New Roman" w:hAnsi="Times New Roman" w:cs="Times New Roman"/>
          <w:sz w:val="20"/>
          <w:szCs w:val="20"/>
        </w:rPr>
        <w:t>I.J.Mihailovs</w:t>
      </w:r>
      <w:proofErr w:type="spellEnd"/>
    </w:p>
    <w:p w:rsidR="00AE5943" w:rsidRPr="00AE5943" w:rsidRDefault="00AE5943" w:rsidP="00AE5943">
      <w:pPr>
        <w:tabs>
          <w:tab w:val="left" w:pos="6663"/>
        </w:tabs>
        <w:spacing w:after="0" w:line="240" w:lineRule="auto"/>
        <w:jc w:val="both"/>
        <w:rPr>
          <w:rFonts w:ascii="Times New Roman" w:hAnsi="Times New Roman" w:cs="Times New Roman"/>
          <w:sz w:val="20"/>
          <w:szCs w:val="20"/>
        </w:rPr>
      </w:pPr>
      <w:r w:rsidRPr="00AE5943">
        <w:rPr>
          <w:rFonts w:ascii="Times New Roman" w:hAnsi="Times New Roman" w:cs="Times New Roman"/>
          <w:sz w:val="20"/>
          <w:szCs w:val="20"/>
        </w:rPr>
        <w:t xml:space="preserve">67507833; </w:t>
      </w:r>
      <w:hyperlink r:id="rId10" w:history="1">
        <w:r w:rsidR="00C26367" w:rsidRPr="00C26367">
          <w:rPr>
            <w:rStyle w:val="Hyperlink"/>
            <w:rFonts w:ascii="Times New Roman" w:hAnsi="Times New Roman" w:cs="Times New Roman"/>
            <w:color w:val="auto"/>
            <w:sz w:val="20"/>
            <w:szCs w:val="20"/>
            <w:u w:val="none"/>
          </w:rPr>
          <w:t>Janis.Mihailovs@ikvd.gov.lv</w:t>
        </w:r>
      </w:hyperlink>
      <w:r w:rsidRPr="00AE5943">
        <w:rPr>
          <w:rFonts w:ascii="Times New Roman" w:hAnsi="Times New Roman" w:cs="Times New Roman"/>
          <w:sz w:val="20"/>
          <w:szCs w:val="20"/>
        </w:rPr>
        <w:t xml:space="preserve"> </w:t>
      </w:r>
    </w:p>
    <w:p w:rsidR="006461D9" w:rsidRDefault="00AE5943" w:rsidP="00AE5943">
      <w:pPr>
        <w:spacing w:after="0" w:line="240" w:lineRule="auto"/>
        <w:jc w:val="both"/>
        <w:rPr>
          <w:rFonts w:ascii="Times New Roman" w:hAnsi="Times New Roman" w:cs="Times New Roman"/>
          <w:sz w:val="20"/>
          <w:szCs w:val="20"/>
        </w:rPr>
      </w:pPr>
      <w:r w:rsidRPr="00AE5943">
        <w:rPr>
          <w:rFonts w:ascii="Times New Roman" w:hAnsi="Times New Roman" w:cs="Times New Roman"/>
          <w:sz w:val="20"/>
          <w:szCs w:val="20"/>
        </w:rPr>
        <w:t>A.Lasmane</w:t>
      </w:r>
    </w:p>
    <w:p w:rsidR="00AE5943" w:rsidRPr="00AE5943" w:rsidRDefault="00AE5943" w:rsidP="00AE5943">
      <w:pPr>
        <w:spacing w:after="0" w:line="240" w:lineRule="auto"/>
        <w:jc w:val="both"/>
        <w:rPr>
          <w:rFonts w:ascii="Times New Roman" w:hAnsi="Times New Roman" w:cs="Times New Roman"/>
          <w:sz w:val="20"/>
          <w:szCs w:val="20"/>
        </w:rPr>
      </w:pPr>
      <w:r w:rsidRPr="00AE5943">
        <w:rPr>
          <w:rFonts w:ascii="Times New Roman" w:hAnsi="Times New Roman" w:cs="Times New Roman"/>
          <w:sz w:val="20"/>
          <w:szCs w:val="20"/>
        </w:rPr>
        <w:t xml:space="preserve">67367202; </w:t>
      </w:r>
      <w:hyperlink r:id="rId11" w:history="1">
        <w:r w:rsidRPr="00AE5943">
          <w:rPr>
            <w:rFonts w:ascii="Times New Roman" w:hAnsi="Times New Roman" w:cs="Times New Roman"/>
            <w:sz w:val="20"/>
            <w:szCs w:val="20"/>
          </w:rPr>
          <w:t>Agnese.Lasmane@ikvd.gov.lv</w:t>
        </w:r>
      </w:hyperlink>
    </w:p>
    <w:p w:rsidR="00AE5943" w:rsidRPr="00AE5943" w:rsidRDefault="00AE5943" w:rsidP="00AE5943">
      <w:pPr>
        <w:spacing w:after="0" w:line="240" w:lineRule="auto"/>
        <w:jc w:val="both"/>
        <w:rPr>
          <w:rFonts w:ascii="Times New Roman" w:hAnsi="Times New Roman" w:cs="Times New Roman"/>
          <w:sz w:val="20"/>
          <w:szCs w:val="20"/>
        </w:rPr>
      </w:pPr>
      <w:r w:rsidRPr="00AE5943">
        <w:rPr>
          <w:rFonts w:ascii="Times New Roman" w:hAnsi="Times New Roman" w:cs="Times New Roman"/>
          <w:sz w:val="20"/>
          <w:szCs w:val="20"/>
        </w:rPr>
        <w:t>I.Sniedziņa</w:t>
      </w:r>
    </w:p>
    <w:p w:rsidR="00EE29A1" w:rsidRPr="006461D9" w:rsidRDefault="00AE5943" w:rsidP="006461D9">
      <w:pPr>
        <w:spacing w:after="0" w:line="240" w:lineRule="auto"/>
        <w:jc w:val="both"/>
        <w:rPr>
          <w:rFonts w:ascii="Times New Roman" w:hAnsi="Times New Roman" w:cs="Times New Roman"/>
          <w:sz w:val="20"/>
          <w:szCs w:val="20"/>
        </w:rPr>
      </w:pPr>
      <w:r w:rsidRPr="00AE5943">
        <w:rPr>
          <w:rFonts w:ascii="Times New Roman" w:hAnsi="Times New Roman" w:cs="Times New Roman"/>
          <w:sz w:val="20"/>
          <w:szCs w:val="20"/>
        </w:rPr>
        <w:t>67969466; Ieva.Sniedzina@ikvd.gov.lv</w:t>
      </w:r>
    </w:p>
    <w:sectPr w:rsidR="00EE29A1" w:rsidRPr="006461D9" w:rsidSect="006461D9">
      <w:headerReference w:type="default" r:id="rId12"/>
      <w:footerReference w:type="default" r:id="rId13"/>
      <w:footerReference w:type="first" r:id="rId14"/>
      <w:pgSz w:w="11906" w:h="16838"/>
      <w:pgMar w:top="1440" w:right="1800" w:bottom="1276" w:left="1800" w:header="708" w:footer="6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63" w:rsidRDefault="00885F63" w:rsidP="00ED7DF8">
      <w:pPr>
        <w:spacing w:after="0" w:line="240" w:lineRule="auto"/>
      </w:pPr>
      <w:r>
        <w:separator/>
      </w:r>
    </w:p>
  </w:endnote>
  <w:endnote w:type="continuationSeparator" w:id="0">
    <w:p w:rsidR="00885F63" w:rsidRDefault="00885F63" w:rsidP="00ED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63" w:rsidRPr="00D75B63" w:rsidRDefault="00D75B63" w:rsidP="00D75B63">
    <w:pPr>
      <w:shd w:val="clear" w:color="auto" w:fill="FFFFFF"/>
      <w:spacing w:after="0" w:line="240" w:lineRule="auto"/>
      <w:jc w:val="both"/>
      <w:outlineLvl w:val="2"/>
      <w:rPr>
        <w:rFonts w:ascii="Times New Roman" w:eastAsia="Times New Roman" w:hAnsi="Times New Roman" w:cs="Times New Roman"/>
        <w:bCs/>
        <w:sz w:val="20"/>
        <w:szCs w:val="20"/>
        <w:lang w:eastAsia="lv-LV"/>
      </w:rPr>
    </w:pPr>
    <w:r w:rsidRPr="00D75B63">
      <w:rPr>
        <w:rFonts w:ascii="Times New Roman" w:hAnsi="Times New Roman" w:cs="Times New Roman"/>
        <w:sz w:val="20"/>
        <w:szCs w:val="20"/>
      </w:rPr>
      <w:t>IKVDanot_</w:t>
    </w:r>
    <w:r w:rsidR="009C6878">
      <w:rPr>
        <w:rFonts w:ascii="Times New Roman" w:hAnsi="Times New Roman" w:cs="Times New Roman"/>
        <w:sz w:val="20"/>
        <w:szCs w:val="20"/>
      </w:rPr>
      <w:t>25</w:t>
    </w:r>
    <w:r w:rsidR="00D7118A">
      <w:rPr>
        <w:rFonts w:ascii="Times New Roman" w:hAnsi="Times New Roman" w:cs="Times New Roman"/>
        <w:sz w:val="20"/>
        <w:szCs w:val="20"/>
      </w:rPr>
      <w:t>11</w:t>
    </w:r>
    <w:r w:rsidRPr="00D75B63">
      <w:rPr>
        <w:rFonts w:ascii="Times New Roman" w:hAnsi="Times New Roman" w:cs="Times New Roman"/>
        <w:sz w:val="20"/>
        <w:szCs w:val="20"/>
      </w:rPr>
      <w:t>14_cenradis</w:t>
    </w:r>
    <w:r w:rsidR="009C6878">
      <w:rPr>
        <w:rFonts w:ascii="Times New Roman" w:hAnsi="Times New Roman" w:cs="Times New Roman"/>
        <w:sz w:val="20"/>
        <w:szCs w:val="20"/>
      </w:rPr>
      <w:t xml:space="preserve"> 949</w:t>
    </w:r>
    <w:r w:rsidRPr="00D75B63">
      <w:rPr>
        <w:rFonts w:ascii="Times New Roman" w:hAnsi="Times New Roman" w:cs="Times New Roman"/>
        <w:sz w:val="20"/>
        <w:szCs w:val="20"/>
      </w:rPr>
      <w:t xml:space="preserve">; Ministru kabineta noteikumu projekta </w:t>
    </w:r>
    <w:r w:rsidRPr="00D75B63">
      <w:rPr>
        <w:rFonts w:ascii="Times New Roman" w:eastAsia="Times New Roman" w:hAnsi="Times New Roman" w:cs="Times New Roman"/>
        <w:bCs/>
        <w:sz w:val="20"/>
        <w:szCs w:val="20"/>
        <w:lang w:eastAsia="lv-LV"/>
      </w:rPr>
      <w:t>„Grozījums Ministru kabineta 2013.gada 10.septembra noteikumos Nr.789 „</w:t>
    </w:r>
    <w:r w:rsidRPr="00D75B63">
      <w:rPr>
        <w:rFonts w:ascii="Times New Roman" w:hAnsi="Times New Roman" w:cs="Times New Roman"/>
        <w:bCs/>
        <w:sz w:val="20"/>
        <w:szCs w:val="20"/>
        <w:shd w:val="clear" w:color="auto" w:fill="FFFFFF"/>
      </w:rPr>
      <w:t>Izglītības kvalitātes valsts dienesta maksas pakalpojumu cenrādis</w:t>
    </w:r>
    <w:r w:rsidRPr="00D75B63">
      <w:rPr>
        <w:rFonts w:ascii="Times New Roman" w:eastAsia="Times New Roman" w:hAnsi="Times New Roman" w:cs="Times New Roman"/>
        <w:bCs/>
        <w:sz w:val="20"/>
        <w:szCs w:val="20"/>
        <w:lang w:eastAsia="lv-LV"/>
      </w:rPr>
      <w:t>”” sākotnējās ietekmes novērtējuma ziņojums (anotācija)</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63" w:rsidRPr="00D75B63" w:rsidRDefault="00D75B63" w:rsidP="00D75B63">
    <w:pPr>
      <w:shd w:val="clear" w:color="auto" w:fill="FFFFFF"/>
      <w:spacing w:after="0" w:line="240" w:lineRule="auto"/>
      <w:jc w:val="both"/>
      <w:outlineLvl w:val="2"/>
      <w:rPr>
        <w:rFonts w:ascii="Times New Roman" w:eastAsia="Times New Roman" w:hAnsi="Times New Roman" w:cs="Times New Roman"/>
        <w:bCs/>
        <w:sz w:val="20"/>
        <w:szCs w:val="20"/>
        <w:lang w:eastAsia="lv-LV"/>
      </w:rPr>
    </w:pPr>
    <w:r w:rsidRPr="00D75B63">
      <w:rPr>
        <w:rFonts w:ascii="Times New Roman" w:hAnsi="Times New Roman" w:cs="Times New Roman"/>
        <w:sz w:val="20"/>
        <w:szCs w:val="20"/>
      </w:rPr>
      <w:t>IKVDanot_</w:t>
    </w:r>
    <w:r w:rsidR="009C6878">
      <w:rPr>
        <w:rFonts w:ascii="Times New Roman" w:hAnsi="Times New Roman" w:cs="Times New Roman"/>
        <w:sz w:val="20"/>
        <w:szCs w:val="20"/>
      </w:rPr>
      <w:t>25</w:t>
    </w:r>
    <w:r w:rsidR="00D7118A">
      <w:rPr>
        <w:rFonts w:ascii="Times New Roman" w:hAnsi="Times New Roman" w:cs="Times New Roman"/>
        <w:sz w:val="20"/>
        <w:szCs w:val="20"/>
      </w:rPr>
      <w:t>11</w:t>
    </w:r>
    <w:r w:rsidR="008351CD">
      <w:rPr>
        <w:rFonts w:ascii="Times New Roman" w:hAnsi="Times New Roman" w:cs="Times New Roman"/>
        <w:sz w:val="20"/>
        <w:szCs w:val="20"/>
      </w:rPr>
      <w:t>14</w:t>
    </w:r>
    <w:r w:rsidRPr="00D75B63">
      <w:rPr>
        <w:rFonts w:ascii="Times New Roman" w:hAnsi="Times New Roman" w:cs="Times New Roman"/>
        <w:sz w:val="20"/>
        <w:szCs w:val="20"/>
      </w:rPr>
      <w:t>_cenradis</w:t>
    </w:r>
    <w:r w:rsidR="009C6878">
      <w:rPr>
        <w:rFonts w:ascii="Times New Roman" w:hAnsi="Times New Roman" w:cs="Times New Roman"/>
        <w:sz w:val="20"/>
        <w:szCs w:val="20"/>
      </w:rPr>
      <w:t xml:space="preserve"> 949</w:t>
    </w:r>
    <w:r w:rsidRPr="00D75B63">
      <w:rPr>
        <w:rFonts w:ascii="Times New Roman" w:hAnsi="Times New Roman" w:cs="Times New Roman"/>
        <w:sz w:val="20"/>
        <w:szCs w:val="20"/>
      </w:rPr>
      <w:t xml:space="preserve">; Ministru kabineta noteikumu projekta </w:t>
    </w:r>
    <w:r w:rsidRPr="00D75B63">
      <w:rPr>
        <w:rFonts w:ascii="Times New Roman" w:eastAsia="Times New Roman" w:hAnsi="Times New Roman" w:cs="Times New Roman"/>
        <w:bCs/>
        <w:sz w:val="20"/>
        <w:szCs w:val="20"/>
        <w:lang w:eastAsia="lv-LV"/>
      </w:rPr>
      <w:t>„Grozījums Ministru kabineta 2013.gada 10.septembra noteikumos Nr.789 „</w:t>
    </w:r>
    <w:r w:rsidRPr="00D75B63">
      <w:rPr>
        <w:rFonts w:ascii="Times New Roman" w:hAnsi="Times New Roman" w:cs="Times New Roman"/>
        <w:bCs/>
        <w:sz w:val="20"/>
        <w:szCs w:val="20"/>
        <w:shd w:val="clear" w:color="auto" w:fill="FFFFFF"/>
      </w:rPr>
      <w:t>Izglītības kvalitātes valsts dienesta maksas pakalpojumu cenrādis</w:t>
    </w:r>
    <w:r w:rsidRPr="00D75B63">
      <w:rPr>
        <w:rFonts w:ascii="Times New Roman" w:eastAsia="Times New Roman" w:hAnsi="Times New Roman" w:cs="Times New Roman"/>
        <w:bCs/>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63" w:rsidRDefault="00885F63" w:rsidP="00ED7DF8">
      <w:pPr>
        <w:spacing w:after="0" w:line="240" w:lineRule="auto"/>
      </w:pPr>
      <w:r>
        <w:separator/>
      </w:r>
    </w:p>
  </w:footnote>
  <w:footnote w:type="continuationSeparator" w:id="0">
    <w:p w:rsidR="00885F63" w:rsidRDefault="00885F63" w:rsidP="00ED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75684"/>
      <w:docPartObj>
        <w:docPartGallery w:val="Page Numbers (Top of Page)"/>
        <w:docPartUnique/>
      </w:docPartObj>
    </w:sdtPr>
    <w:sdtEndPr>
      <w:rPr>
        <w:rFonts w:ascii="Times New Roman" w:hAnsi="Times New Roman" w:cs="Times New Roman"/>
        <w:noProof/>
        <w:sz w:val="24"/>
        <w:szCs w:val="24"/>
      </w:rPr>
    </w:sdtEndPr>
    <w:sdtContent>
      <w:p w:rsidR="00ED7DF8" w:rsidRPr="00ED7DF8" w:rsidRDefault="000D7582">
        <w:pPr>
          <w:pStyle w:val="Header"/>
          <w:jc w:val="center"/>
          <w:rPr>
            <w:rFonts w:ascii="Times New Roman" w:hAnsi="Times New Roman" w:cs="Times New Roman"/>
            <w:sz w:val="24"/>
            <w:szCs w:val="24"/>
          </w:rPr>
        </w:pPr>
        <w:r w:rsidRPr="00ED7DF8">
          <w:rPr>
            <w:rFonts w:ascii="Times New Roman" w:hAnsi="Times New Roman" w:cs="Times New Roman"/>
            <w:sz w:val="24"/>
            <w:szCs w:val="24"/>
          </w:rPr>
          <w:fldChar w:fldCharType="begin"/>
        </w:r>
        <w:r w:rsidR="00ED7DF8" w:rsidRPr="00ED7DF8">
          <w:rPr>
            <w:rFonts w:ascii="Times New Roman" w:hAnsi="Times New Roman" w:cs="Times New Roman"/>
            <w:sz w:val="24"/>
            <w:szCs w:val="24"/>
          </w:rPr>
          <w:instrText xml:space="preserve"> PAGE   \* MERGEFORMAT </w:instrText>
        </w:r>
        <w:r w:rsidRPr="00ED7DF8">
          <w:rPr>
            <w:rFonts w:ascii="Times New Roman" w:hAnsi="Times New Roman" w:cs="Times New Roman"/>
            <w:sz w:val="24"/>
            <w:szCs w:val="24"/>
          </w:rPr>
          <w:fldChar w:fldCharType="separate"/>
        </w:r>
        <w:r w:rsidR="00DC6903">
          <w:rPr>
            <w:rFonts w:ascii="Times New Roman" w:hAnsi="Times New Roman" w:cs="Times New Roman"/>
            <w:noProof/>
            <w:sz w:val="24"/>
            <w:szCs w:val="24"/>
          </w:rPr>
          <w:t>8</w:t>
        </w:r>
        <w:r w:rsidRPr="00ED7DF8">
          <w:rPr>
            <w:rFonts w:ascii="Times New Roman" w:hAnsi="Times New Roman" w:cs="Times New Roman"/>
            <w:noProof/>
            <w:sz w:val="24"/>
            <w:szCs w:val="24"/>
          </w:rPr>
          <w:fldChar w:fldCharType="end"/>
        </w:r>
      </w:p>
    </w:sdtContent>
  </w:sdt>
  <w:p w:rsidR="00ED7DF8" w:rsidRDefault="00ED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B25D3"/>
    <w:multiLevelType w:val="hybridMultilevel"/>
    <w:tmpl w:val="A99079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A4"/>
    <w:rsid w:val="00014C6E"/>
    <w:rsid w:val="00021B37"/>
    <w:rsid w:val="000360BE"/>
    <w:rsid w:val="000504E9"/>
    <w:rsid w:val="00054822"/>
    <w:rsid w:val="00055816"/>
    <w:rsid w:val="00061A78"/>
    <w:rsid w:val="000A3A33"/>
    <w:rsid w:val="000C563C"/>
    <w:rsid w:val="000C6F7B"/>
    <w:rsid w:val="000D0FAB"/>
    <w:rsid w:val="000D4C48"/>
    <w:rsid w:val="000D7582"/>
    <w:rsid w:val="00101380"/>
    <w:rsid w:val="001037A4"/>
    <w:rsid w:val="001126DC"/>
    <w:rsid w:val="00173263"/>
    <w:rsid w:val="0018185D"/>
    <w:rsid w:val="001846CD"/>
    <w:rsid w:val="00184C53"/>
    <w:rsid w:val="001860A2"/>
    <w:rsid w:val="001A0569"/>
    <w:rsid w:val="001A0889"/>
    <w:rsid w:val="001B6C71"/>
    <w:rsid w:val="001C34FE"/>
    <w:rsid w:val="001C706A"/>
    <w:rsid w:val="001D1B7D"/>
    <w:rsid w:val="001E5450"/>
    <w:rsid w:val="001F0CF3"/>
    <w:rsid w:val="001F3958"/>
    <w:rsid w:val="002036D2"/>
    <w:rsid w:val="00213763"/>
    <w:rsid w:val="00253ED7"/>
    <w:rsid w:val="0026581D"/>
    <w:rsid w:val="002747BD"/>
    <w:rsid w:val="00287EB0"/>
    <w:rsid w:val="002B5FED"/>
    <w:rsid w:val="002C3652"/>
    <w:rsid w:val="002C67CD"/>
    <w:rsid w:val="002D072A"/>
    <w:rsid w:val="002F251E"/>
    <w:rsid w:val="003111C4"/>
    <w:rsid w:val="0031798B"/>
    <w:rsid w:val="00331734"/>
    <w:rsid w:val="0036026E"/>
    <w:rsid w:val="00377226"/>
    <w:rsid w:val="003914E8"/>
    <w:rsid w:val="003954F0"/>
    <w:rsid w:val="003A423C"/>
    <w:rsid w:val="003A62D6"/>
    <w:rsid w:val="003D700F"/>
    <w:rsid w:val="003E4724"/>
    <w:rsid w:val="004207B8"/>
    <w:rsid w:val="0042578C"/>
    <w:rsid w:val="00445A1A"/>
    <w:rsid w:val="0045257E"/>
    <w:rsid w:val="00453FF3"/>
    <w:rsid w:val="0045538E"/>
    <w:rsid w:val="00495557"/>
    <w:rsid w:val="004B091D"/>
    <w:rsid w:val="004D58F8"/>
    <w:rsid w:val="004F4826"/>
    <w:rsid w:val="00505079"/>
    <w:rsid w:val="00505EC1"/>
    <w:rsid w:val="00511A47"/>
    <w:rsid w:val="00546D4D"/>
    <w:rsid w:val="00546FEA"/>
    <w:rsid w:val="0055461D"/>
    <w:rsid w:val="00556307"/>
    <w:rsid w:val="005748C4"/>
    <w:rsid w:val="00577F5A"/>
    <w:rsid w:val="00580692"/>
    <w:rsid w:val="005A61B2"/>
    <w:rsid w:val="005A755E"/>
    <w:rsid w:val="005B301B"/>
    <w:rsid w:val="005D0743"/>
    <w:rsid w:val="005E3D96"/>
    <w:rsid w:val="005E43AA"/>
    <w:rsid w:val="005F7427"/>
    <w:rsid w:val="00605140"/>
    <w:rsid w:val="006273F9"/>
    <w:rsid w:val="00630EE5"/>
    <w:rsid w:val="006461D9"/>
    <w:rsid w:val="00652B10"/>
    <w:rsid w:val="00673322"/>
    <w:rsid w:val="00687C9C"/>
    <w:rsid w:val="006B25EA"/>
    <w:rsid w:val="006C1638"/>
    <w:rsid w:val="006C41B0"/>
    <w:rsid w:val="006E17B7"/>
    <w:rsid w:val="006F6284"/>
    <w:rsid w:val="0072141C"/>
    <w:rsid w:val="00727BBA"/>
    <w:rsid w:val="00732395"/>
    <w:rsid w:val="0073542A"/>
    <w:rsid w:val="0075327B"/>
    <w:rsid w:val="00753F5B"/>
    <w:rsid w:val="007C2FB3"/>
    <w:rsid w:val="007E10AC"/>
    <w:rsid w:val="007F0FA8"/>
    <w:rsid w:val="007F6EEF"/>
    <w:rsid w:val="00824609"/>
    <w:rsid w:val="008259CF"/>
    <w:rsid w:val="008338D9"/>
    <w:rsid w:val="008351CD"/>
    <w:rsid w:val="00862EB0"/>
    <w:rsid w:val="00867456"/>
    <w:rsid w:val="00874122"/>
    <w:rsid w:val="008778F6"/>
    <w:rsid w:val="00885F63"/>
    <w:rsid w:val="008867CA"/>
    <w:rsid w:val="00892317"/>
    <w:rsid w:val="008B4EFC"/>
    <w:rsid w:val="008F7416"/>
    <w:rsid w:val="009041F8"/>
    <w:rsid w:val="009057E6"/>
    <w:rsid w:val="00923655"/>
    <w:rsid w:val="009366A4"/>
    <w:rsid w:val="009368B6"/>
    <w:rsid w:val="00936C64"/>
    <w:rsid w:val="009460D8"/>
    <w:rsid w:val="00947F65"/>
    <w:rsid w:val="00954A64"/>
    <w:rsid w:val="00960071"/>
    <w:rsid w:val="00966C18"/>
    <w:rsid w:val="00976B5D"/>
    <w:rsid w:val="00981DDE"/>
    <w:rsid w:val="009B7553"/>
    <w:rsid w:val="009C0BB0"/>
    <w:rsid w:val="009C6878"/>
    <w:rsid w:val="009E2663"/>
    <w:rsid w:val="009F656B"/>
    <w:rsid w:val="00A05673"/>
    <w:rsid w:val="00A22719"/>
    <w:rsid w:val="00A23B31"/>
    <w:rsid w:val="00A30A88"/>
    <w:rsid w:val="00A35F4A"/>
    <w:rsid w:val="00A549B1"/>
    <w:rsid w:val="00A642FC"/>
    <w:rsid w:val="00A720D6"/>
    <w:rsid w:val="00A761E2"/>
    <w:rsid w:val="00A7724C"/>
    <w:rsid w:val="00A839E2"/>
    <w:rsid w:val="00AB5D8E"/>
    <w:rsid w:val="00AB6744"/>
    <w:rsid w:val="00AE0D2A"/>
    <w:rsid w:val="00AE4972"/>
    <w:rsid w:val="00AE5943"/>
    <w:rsid w:val="00B25C90"/>
    <w:rsid w:val="00B30F79"/>
    <w:rsid w:val="00B54D9E"/>
    <w:rsid w:val="00B71EFD"/>
    <w:rsid w:val="00B77FC9"/>
    <w:rsid w:val="00B9075B"/>
    <w:rsid w:val="00B92F91"/>
    <w:rsid w:val="00B9417D"/>
    <w:rsid w:val="00B97D8D"/>
    <w:rsid w:val="00BA7C17"/>
    <w:rsid w:val="00BB260D"/>
    <w:rsid w:val="00BC770E"/>
    <w:rsid w:val="00C00906"/>
    <w:rsid w:val="00C1290E"/>
    <w:rsid w:val="00C26367"/>
    <w:rsid w:val="00C43AA1"/>
    <w:rsid w:val="00C516E9"/>
    <w:rsid w:val="00C565A9"/>
    <w:rsid w:val="00C60163"/>
    <w:rsid w:val="00C64994"/>
    <w:rsid w:val="00C65ECB"/>
    <w:rsid w:val="00C72FC6"/>
    <w:rsid w:val="00C77D72"/>
    <w:rsid w:val="00C80380"/>
    <w:rsid w:val="00C8161B"/>
    <w:rsid w:val="00C87150"/>
    <w:rsid w:val="00C96ED9"/>
    <w:rsid w:val="00CF7D12"/>
    <w:rsid w:val="00D12581"/>
    <w:rsid w:val="00D17D51"/>
    <w:rsid w:val="00D369DB"/>
    <w:rsid w:val="00D426C1"/>
    <w:rsid w:val="00D444B6"/>
    <w:rsid w:val="00D51C75"/>
    <w:rsid w:val="00D7118A"/>
    <w:rsid w:val="00D75B63"/>
    <w:rsid w:val="00DA0D18"/>
    <w:rsid w:val="00DC6903"/>
    <w:rsid w:val="00E15EF3"/>
    <w:rsid w:val="00E22C8A"/>
    <w:rsid w:val="00E3385A"/>
    <w:rsid w:val="00E35D84"/>
    <w:rsid w:val="00E37AA8"/>
    <w:rsid w:val="00E710E5"/>
    <w:rsid w:val="00E76792"/>
    <w:rsid w:val="00E93AAF"/>
    <w:rsid w:val="00EC293C"/>
    <w:rsid w:val="00EC3AA5"/>
    <w:rsid w:val="00ED640C"/>
    <w:rsid w:val="00ED7DF8"/>
    <w:rsid w:val="00EE29A1"/>
    <w:rsid w:val="00EE4AE5"/>
    <w:rsid w:val="00F34F8D"/>
    <w:rsid w:val="00F41DD2"/>
    <w:rsid w:val="00F80BE8"/>
    <w:rsid w:val="00FB3DEC"/>
    <w:rsid w:val="00FB4F5A"/>
    <w:rsid w:val="00FB675C"/>
    <w:rsid w:val="00FC7698"/>
    <w:rsid w:val="00FE6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66A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366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366A4"/>
  </w:style>
  <w:style w:type="character" w:styleId="Hyperlink">
    <w:name w:val="Hyperlink"/>
    <w:basedOn w:val="DefaultParagraphFont"/>
    <w:uiPriority w:val="99"/>
    <w:unhideWhenUsed/>
    <w:rsid w:val="009366A4"/>
    <w:rPr>
      <w:color w:val="0000FF"/>
      <w:u w:val="single"/>
    </w:rPr>
  </w:style>
  <w:style w:type="paragraph" w:customStyle="1" w:styleId="tvhtml">
    <w:name w:val="tv_html"/>
    <w:basedOn w:val="Normal"/>
    <w:rsid w:val="009366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9366A4"/>
    <w:rPr>
      <w:rFonts w:ascii="Times New Roman" w:eastAsia="Times New Roman" w:hAnsi="Times New Roman" w:cs="Times New Roman"/>
      <w:b/>
      <w:bCs/>
      <w:sz w:val="27"/>
      <w:szCs w:val="27"/>
      <w:lang w:eastAsia="lv-LV"/>
    </w:rPr>
  </w:style>
  <w:style w:type="paragraph" w:customStyle="1" w:styleId="tv213">
    <w:name w:val="tv213"/>
    <w:basedOn w:val="Normal"/>
    <w:rsid w:val="001818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AE5943"/>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AE5943"/>
    <w:rPr>
      <w:rFonts w:ascii="Times New Roman" w:eastAsia="Times New Roman" w:hAnsi="Times New Roman" w:cs="Times New Roman"/>
      <w:b/>
      <w:sz w:val="24"/>
      <w:szCs w:val="20"/>
      <w:lang w:val="x-none" w:eastAsia="x-none"/>
    </w:rPr>
  </w:style>
  <w:style w:type="paragraph" w:styleId="BalloonText">
    <w:name w:val="Balloon Text"/>
    <w:basedOn w:val="Normal"/>
    <w:link w:val="BalloonTextChar"/>
    <w:uiPriority w:val="99"/>
    <w:semiHidden/>
    <w:unhideWhenUsed/>
    <w:rsid w:val="00AE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43"/>
    <w:rPr>
      <w:rFonts w:ascii="Tahoma" w:hAnsi="Tahoma" w:cs="Tahoma"/>
      <w:sz w:val="16"/>
      <w:szCs w:val="16"/>
    </w:rPr>
  </w:style>
  <w:style w:type="paragraph" w:styleId="Header">
    <w:name w:val="header"/>
    <w:basedOn w:val="Normal"/>
    <w:link w:val="HeaderChar"/>
    <w:uiPriority w:val="99"/>
    <w:unhideWhenUsed/>
    <w:rsid w:val="00ED7D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7DF8"/>
  </w:style>
  <w:style w:type="paragraph" w:styleId="Footer">
    <w:name w:val="footer"/>
    <w:basedOn w:val="Normal"/>
    <w:link w:val="FooterChar"/>
    <w:uiPriority w:val="99"/>
    <w:unhideWhenUsed/>
    <w:rsid w:val="00ED7D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7DF8"/>
  </w:style>
  <w:style w:type="paragraph" w:customStyle="1" w:styleId="naisf">
    <w:name w:val="naisf"/>
    <w:basedOn w:val="Normal"/>
    <w:uiPriority w:val="99"/>
    <w:rsid w:val="00C8715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C87150"/>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customStyle="1" w:styleId="naisc">
    <w:name w:val="naisc"/>
    <w:basedOn w:val="Normal"/>
    <w:rsid w:val="00D75B63"/>
    <w:pPr>
      <w:spacing w:before="450" w:after="300" w:line="240" w:lineRule="auto"/>
      <w:jc w:val="center"/>
    </w:pPr>
    <w:rPr>
      <w:rFonts w:ascii="Times New Roman" w:eastAsia="Times New Roman" w:hAnsi="Times New Roman" w:cs="Times New Roman"/>
      <w:sz w:val="26"/>
      <w:szCs w:val="26"/>
      <w:lang w:eastAsia="lv-LV"/>
    </w:rPr>
  </w:style>
  <w:style w:type="paragraph" w:styleId="NormalWeb">
    <w:name w:val="Normal (Web)"/>
    <w:basedOn w:val="Normal"/>
    <w:uiPriority w:val="99"/>
    <w:unhideWhenUsed/>
    <w:rsid w:val="00652B1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66A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366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366A4"/>
  </w:style>
  <w:style w:type="character" w:styleId="Hyperlink">
    <w:name w:val="Hyperlink"/>
    <w:basedOn w:val="DefaultParagraphFont"/>
    <w:uiPriority w:val="99"/>
    <w:unhideWhenUsed/>
    <w:rsid w:val="009366A4"/>
    <w:rPr>
      <w:color w:val="0000FF"/>
      <w:u w:val="single"/>
    </w:rPr>
  </w:style>
  <w:style w:type="paragraph" w:customStyle="1" w:styleId="tvhtml">
    <w:name w:val="tv_html"/>
    <w:basedOn w:val="Normal"/>
    <w:rsid w:val="009366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9366A4"/>
    <w:rPr>
      <w:rFonts w:ascii="Times New Roman" w:eastAsia="Times New Roman" w:hAnsi="Times New Roman" w:cs="Times New Roman"/>
      <w:b/>
      <w:bCs/>
      <w:sz w:val="27"/>
      <w:szCs w:val="27"/>
      <w:lang w:eastAsia="lv-LV"/>
    </w:rPr>
  </w:style>
  <w:style w:type="paragraph" w:customStyle="1" w:styleId="tv213">
    <w:name w:val="tv213"/>
    <w:basedOn w:val="Normal"/>
    <w:rsid w:val="001818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AE5943"/>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AE5943"/>
    <w:rPr>
      <w:rFonts w:ascii="Times New Roman" w:eastAsia="Times New Roman" w:hAnsi="Times New Roman" w:cs="Times New Roman"/>
      <w:b/>
      <w:sz w:val="24"/>
      <w:szCs w:val="20"/>
      <w:lang w:val="x-none" w:eastAsia="x-none"/>
    </w:rPr>
  </w:style>
  <w:style w:type="paragraph" w:styleId="BalloonText">
    <w:name w:val="Balloon Text"/>
    <w:basedOn w:val="Normal"/>
    <w:link w:val="BalloonTextChar"/>
    <w:uiPriority w:val="99"/>
    <w:semiHidden/>
    <w:unhideWhenUsed/>
    <w:rsid w:val="00AE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43"/>
    <w:rPr>
      <w:rFonts w:ascii="Tahoma" w:hAnsi="Tahoma" w:cs="Tahoma"/>
      <w:sz w:val="16"/>
      <w:szCs w:val="16"/>
    </w:rPr>
  </w:style>
  <w:style w:type="paragraph" w:styleId="Header">
    <w:name w:val="header"/>
    <w:basedOn w:val="Normal"/>
    <w:link w:val="HeaderChar"/>
    <w:uiPriority w:val="99"/>
    <w:unhideWhenUsed/>
    <w:rsid w:val="00ED7D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7DF8"/>
  </w:style>
  <w:style w:type="paragraph" w:styleId="Footer">
    <w:name w:val="footer"/>
    <w:basedOn w:val="Normal"/>
    <w:link w:val="FooterChar"/>
    <w:uiPriority w:val="99"/>
    <w:unhideWhenUsed/>
    <w:rsid w:val="00ED7D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7DF8"/>
  </w:style>
  <w:style w:type="paragraph" w:customStyle="1" w:styleId="naisf">
    <w:name w:val="naisf"/>
    <w:basedOn w:val="Normal"/>
    <w:uiPriority w:val="99"/>
    <w:rsid w:val="00C8715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C87150"/>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customStyle="1" w:styleId="naisc">
    <w:name w:val="naisc"/>
    <w:basedOn w:val="Normal"/>
    <w:rsid w:val="00D75B63"/>
    <w:pPr>
      <w:spacing w:before="450" w:after="300" w:line="240" w:lineRule="auto"/>
      <w:jc w:val="center"/>
    </w:pPr>
    <w:rPr>
      <w:rFonts w:ascii="Times New Roman" w:eastAsia="Times New Roman" w:hAnsi="Times New Roman" w:cs="Times New Roman"/>
      <w:sz w:val="26"/>
      <w:szCs w:val="26"/>
      <w:lang w:eastAsia="lv-LV"/>
    </w:rPr>
  </w:style>
  <w:style w:type="paragraph" w:styleId="NormalWeb">
    <w:name w:val="Normal (Web)"/>
    <w:basedOn w:val="Normal"/>
    <w:uiPriority w:val="99"/>
    <w:unhideWhenUsed/>
    <w:rsid w:val="00652B1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629">
      <w:bodyDiv w:val="1"/>
      <w:marLeft w:val="0"/>
      <w:marRight w:val="0"/>
      <w:marTop w:val="0"/>
      <w:marBottom w:val="0"/>
      <w:divBdr>
        <w:top w:val="none" w:sz="0" w:space="0" w:color="auto"/>
        <w:left w:val="none" w:sz="0" w:space="0" w:color="auto"/>
        <w:bottom w:val="none" w:sz="0" w:space="0" w:color="auto"/>
        <w:right w:val="none" w:sz="0" w:space="0" w:color="auto"/>
      </w:divBdr>
    </w:div>
    <w:div w:id="390151416">
      <w:bodyDiv w:val="1"/>
      <w:marLeft w:val="0"/>
      <w:marRight w:val="0"/>
      <w:marTop w:val="0"/>
      <w:marBottom w:val="0"/>
      <w:divBdr>
        <w:top w:val="none" w:sz="0" w:space="0" w:color="auto"/>
        <w:left w:val="none" w:sz="0" w:space="0" w:color="auto"/>
        <w:bottom w:val="none" w:sz="0" w:space="0" w:color="auto"/>
        <w:right w:val="none" w:sz="0" w:space="0" w:color="auto"/>
      </w:divBdr>
    </w:div>
    <w:div w:id="935092086">
      <w:bodyDiv w:val="1"/>
      <w:marLeft w:val="0"/>
      <w:marRight w:val="0"/>
      <w:marTop w:val="0"/>
      <w:marBottom w:val="0"/>
      <w:divBdr>
        <w:top w:val="none" w:sz="0" w:space="0" w:color="auto"/>
        <w:left w:val="none" w:sz="0" w:space="0" w:color="auto"/>
        <w:bottom w:val="none" w:sz="0" w:space="0" w:color="auto"/>
        <w:right w:val="none" w:sz="0" w:space="0" w:color="auto"/>
      </w:divBdr>
    </w:div>
    <w:div w:id="1252158384">
      <w:bodyDiv w:val="1"/>
      <w:marLeft w:val="0"/>
      <w:marRight w:val="0"/>
      <w:marTop w:val="0"/>
      <w:marBottom w:val="0"/>
      <w:divBdr>
        <w:top w:val="none" w:sz="0" w:space="0" w:color="auto"/>
        <w:left w:val="none" w:sz="0" w:space="0" w:color="auto"/>
        <w:bottom w:val="none" w:sz="0" w:space="0" w:color="auto"/>
        <w:right w:val="none" w:sz="0" w:space="0" w:color="auto"/>
      </w:divBdr>
    </w:div>
    <w:div w:id="1574242122">
      <w:bodyDiv w:val="1"/>
      <w:marLeft w:val="0"/>
      <w:marRight w:val="0"/>
      <w:marTop w:val="0"/>
      <w:marBottom w:val="0"/>
      <w:divBdr>
        <w:top w:val="none" w:sz="0" w:space="0" w:color="auto"/>
        <w:left w:val="none" w:sz="0" w:space="0" w:color="auto"/>
        <w:bottom w:val="none" w:sz="0" w:space="0" w:color="auto"/>
        <w:right w:val="none" w:sz="0" w:space="0" w:color="auto"/>
      </w:divBdr>
    </w:div>
    <w:div w:id="1731616456">
      <w:bodyDiv w:val="1"/>
      <w:marLeft w:val="0"/>
      <w:marRight w:val="0"/>
      <w:marTop w:val="0"/>
      <w:marBottom w:val="0"/>
      <w:divBdr>
        <w:top w:val="none" w:sz="0" w:space="0" w:color="auto"/>
        <w:left w:val="none" w:sz="0" w:space="0" w:color="auto"/>
        <w:bottom w:val="none" w:sz="0" w:space="0" w:color="auto"/>
        <w:right w:val="none" w:sz="0" w:space="0" w:color="auto"/>
      </w:divBdr>
      <w:divsChild>
        <w:div w:id="599409792">
          <w:marLeft w:val="0"/>
          <w:marRight w:val="0"/>
          <w:marTop w:val="400"/>
          <w:marBottom w:val="0"/>
          <w:divBdr>
            <w:top w:val="none" w:sz="0" w:space="0" w:color="auto"/>
            <w:left w:val="none" w:sz="0" w:space="0" w:color="auto"/>
            <w:bottom w:val="none" w:sz="0" w:space="0" w:color="auto"/>
            <w:right w:val="none" w:sz="0" w:space="0" w:color="auto"/>
          </w:divBdr>
        </w:div>
        <w:div w:id="21036469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ese.Lasmane@ikvd.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nis.Mihailovs@ikvd.gov.lv" TargetMode="External"/><Relationship Id="rId4" Type="http://schemas.microsoft.com/office/2007/relationships/stylesWithEffects" Target="stylesWithEffects.xml"/><Relationship Id="rId9" Type="http://schemas.openxmlformats.org/officeDocument/2006/relationships/hyperlink" Target="mailto:Inita.Juhnevica@ik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EF4D-AF80-4B5A-B68A-0278C0D2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7375</Words>
  <Characters>4204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26</cp:revision>
  <cp:lastPrinted>2014-04-22T09:54:00Z</cp:lastPrinted>
  <dcterms:created xsi:type="dcterms:W3CDTF">2014-11-04T12:19:00Z</dcterms:created>
  <dcterms:modified xsi:type="dcterms:W3CDTF">2014-11-25T09:30:00Z</dcterms:modified>
</cp:coreProperties>
</file>