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73" w:rsidRPr="00C341AB" w:rsidRDefault="00EF7EFD" w:rsidP="00AB6473">
      <w:pPr>
        <w:jc w:val="center"/>
        <w:rPr>
          <w:b/>
          <w:sz w:val="26"/>
          <w:szCs w:val="26"/>
        </w:rPr>
      </w:pPr>
      <w:r w:rsidRPr="00C341AB">
        <w:rPr>
          <w:b/>
          <w:sz w:val="26"/>
          <w:szCs w:val="26"/>
        </w:rPr>
        <w:t>Ministru kabineta noteikumu projekta „Grozījums Ministru kabineta 2012.gada 3.janvāra noteikumos Nr.26 „Noteikumi par kārtību, kādā piešķiramas naudas balvas par izciliem sasniegumiem sportā, un naudas balvu apmēru”” sākotnējās ietekmes novērtējuma ziņojums (anotācija)</w:t>
      </w:r>
    </w:p>
    <w:p w:rsidR="00EF7EFD" w:rsidRPr="00A94035" w:rsidRDefault="00EF7EFD" w:rsidP="00AB6473">
      <w:pPr>
        <w:jc w:val="center"/>
        <w:rPr>
          <w:b/>
          <w:bCs/>
          <w:sz w:val="25"/>
          <w:szCs w:val="25"/>
        </w:rPr>
      </w:pPr>
    </w:p>
    <w:tbl>
      <w:tblPr>
        <w:tblW w:w="5494" w:type="pct"/>
        <w:tblInd w:w="-4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40"/>
        <w:gridCol w:w="6653"/>
      </w:tblGrid>
      <w:tr w:rsidR="001A3929" w:rsidRPr="00A94035" w:rsidTr="004B0F8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A3929" w:rsidRPr="00A94035" w:rsidRDefault="001A3929" w:rsidP="00335772">
            <w:pPr>
              <w:ind w:firstLine="300"/>
              <w:jc w:val="center"/>
              <w:rPr>
                <w:b/>
                <w:bCs/>
                <w:sz w:val="25"/>
                <w:szCs w:val="25"/>
              </w:rPr>
            </w:pPr>
            <w:r w:rsidRPr="00A94035">
              <w:rPr>
                <w:b/>
                <w:bCs/>
                <w:sz w:val="25"/>
                <w:szCs w:val="25"/>
              </w:rPr>
              <w:t>I. Tiesību akta projekta izstrādes nepieciešamība</w:t>
            </w:r>
          </w:p>
        </w:tc>
      </w:tr>
      <w:tr w:rsidR="001A3929" w:rsidRPr="00A94035" w:rsidTr="004B0F8A">
        <w:trPr>
          <w:trHeight w:val="405"/>
        </w:trPr>
        <w:tc>
          <w:tcPr>
            <w:tcW w:w="230"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1A3929">
            <w:pPr>
              <w:jc w:val="center"/>
              <w:rPr>
                <w:sz w:val="25"/>
                <w:szCs w:val="25"/>
              </w:rPr>
            </w:pPr>
            <w:r w:rsidRPr="00A94035">
              <w:rPr>
                <w:sz w:val="25"/>
                <w:szCs w:val="25"/>
              </w:rPr>
              <w:t>1.</w:t>
            </w:r>
          </w:p>
        </w:tc>
        <w:tc>
          <w:tcPr>
            <w:tcW w:w="1427"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91"/>
              <w:rPr>
                <w:sz w:val="25"/>
                <w:szCs w:val="25"/>
              </w:rPr>
            </w:pPr>
            <w:r w:rsidRPr="00A94035">
              <w:rPr>
                <w:sz w:val="25"/>
                <w:szCs w:val="25"/>
              </w:rPr>
              <w:t>Pamatojums</w:t>
            </w:r>
          </w:p>
        </w:tc>
        <w:tc>
          <w:tcPr>
            <w:tcW w:w="3343" w:type="pct"/>
            <w:tcBorders>
              <w:top w:val="outset" w:sz="6" w:space="0" w:color="414142"/>
              <w:left w:val="outset" w:sz="6" w:space="0" w:color="414142"/>
              <w:bottom w:val="outset" w:sz="6" w:space="0" w:color="414142"/>
              <w:right w:val="outset" w:sz="6" w:space="0" w:color="414142"/>
            </w:tcBorders>
            <w:hideMark/>
          </w:tcPr>
          <w:p w:rsidR="00411F78" w:rsidRPr="00A94035" w:rsidRDefault="00411F78" w:rsidP="004658EE">
            <w:pPr>
              <w:ind w:left="109" w:right="118"/>
              <w:jc w:val="both"/>
              <w:rPr>
                <w:sz w:val="25"/>
                <w:szCs w:val="25"/>
              </w:rPr>
            </w:pPr>
            <w:r w:rsidRPr="00A94035">
              <w:rPr>
                <w:sz w:val="25"/>
                <w:szCs w:val="25"/>
              </w:rPr>
              <w:t xml:space="preserve">(1) </w:t>
            </w:r>
            <w:r w:rsidR="004658EE" w:rsidRPr="00A94035">
              <w:rPr>
                <w:sz w:val="25"/>
                <w:szCs w:val="25"/>
              </w:rPr>
              <w:t>Nepieciešamība noteikt, ka par sasniegumiem olimpiskajās spēlēs naudas balva</w:t>
            </w:r>
            <w:r w:rsidR="00CF1C88" w:rsidRPr="00A94035">
              <w:rPr>
                <w:sz w:val="25"/>
                <w:szCs w:val="25"/>
              </w:rPr>
              <w:t xml:space="preserve"> par izciliem sasniegumiem sportā (turpmāk </w:t>
            </w:r>
            <w:r w:rsidR="00C341AB">
              <w:rPr>
                <w:sz w:val="25"/>
                <w:szCs w:val="25"/>
              </w:rPr>
              <w:t xml:space="preserve">arī </w:t>
            </w:r>
            <w:r w:rsidR="00CF1C88" w:rsidRPr="00A94035">
              <w:rPr>
                <w:sz w:val="25"/>
                <w:szCs w:val="25"/>
              </w:rPr>
              <w:t>– naudas balva)</w:t>
            </w:r>
            <w:r w:rsidR="004658EE" w:rsidRPr="00A94035">
              <w:rPr>
                <w:sz w:val="25"/>
                <w:szCs w:val="25"/>
              </w:rPr>
              <w:t xml:space="preserve"> var tikt piešķirta par katru no sasniegumiem</w:t>
            </w:r>
            <w:r w:rsidR="00CF1C88" w:rsidRPr="00A94035">
              <w:rPr>
                <w:sz w:val="25"/>
                <w:szCs w:val="25"/>
              </w:rPr>
              <w:t>.</w:t>
            </w:r>
          </w:p>
          <w:p w:rsidR="001A3929" w:rsidRPr="00A94035" w:rsidRDefault="00411F78" w:rsidP="004658EE">
            <w:pPr>
              <w:ind w:left="109" w:right="118"/>
              <w:jc w:val="both"/>
              <w:rPr>
                <w:rFonts w:eastAsia="Calibri"/>
                <w:sz w:val="25"/>
                <w:szCs w:val="25"/>
              </w:rPr>
            </w:pPr>
            <w:r w:rsidRPr="00A94035">
              <w:rPr>
                <w:sz w:val="25"/>
                <w:szCs w:val="25"/>
              </w:rPr>
              <w:t>(2</w:t>
            </w:r>
            <w:r w:rsidR="00CA5488" w:rsidRPr="00A94035">
              <w:rPr>
                <w:sz w:val="25"/>
                <w:szCs w:val="25"/>
              </w:rPr>
              <w:t xml:space="preserve">) Latvijas Nacionālās sporta padomes </w:t>
            </w:r>
            <w:r w:rsidR="00CA5488" w:rsidRPr="00A94035">
              <w:rPr>
                <w:rFonts w:eastAsia="Calibri"/>
                <w:sz w:val="25"/>
                <w:szCs w:val="25"/>
              </w:rPr>
              <w:t>201</w:t>
            </w:r>
            <w:r w:rsidR="007A2A1E" w:rsidRPr="00A94035">
              <w:rPr>
                <w:rFonts w:eastAsia="Calibri"/>
                <w:sz w:val="25"/>
                <w:szCs w:val="25"/>
              </w:rPr>
              <w:t>4</w:t>
            </w:r>
            <w:r w:rsidR="00CA5488" w:rsidRPr="00A94035">
              <w:rPr>
                <w:rFonts w:eastAsia="Calibri"/>
                <w:sz w:val="25"/>
                <w:szCs w:val="25"/>
              </w:rPr>
              <w:t xml:space="preserve">.gada </w:t>
            </w:r>
            <w:r w:rsidR="007A2A1E" w:rsidRPr="00A94035">
              <w:rPr>
                <w:rFonts w:eastAsia="Calibri"/>
                <w:sz w:val="25"/>
                <w:szCs w:val="25"/>
              </w:rPr>
              <w:t>5</w:t>
            </w:r>
            <w:r w:rsidR="00CA5488" w:rsidRPr="00A94035">
              <w:rPr>
                <w:rFonts w:eastAsia="Calibri"/>
                <w:sz w:val="25"/>
                <w:szCs w:val="25"/>
              </w:rPr>
              <w:t>.</w:t>
            </w:r>
            <w:r w:rsidR="007A2A1E" w:rsidRPr="00A94035">
              <w:rPr>
                <w:rFonts w:eastAsia="Calibri"/>
                <w:sz w:val="25"/>
                <w:szCs w:val="25"/>
              </w:rPr>
              <w:t>marta</w:t>
            </w:r>
            <w:r w:rsidR="00CA5488" w:rsidRPr="00A94035">
              <w:rPr>
                <w:rFonts w:eastAsia="Calibri"/>
                <w:sz w:val="25"/>
                <w:szCs w:val="25"/>
              </w:rPr>
              <w:t xml:space="preserve"> sēdē nolemtais</w:t>
            </w:r>
            <w:r w:rsidR="00EA1D6E">
              <w:rPr>
                <w:rFonts w:eastAsia="Calibri"/>
                <w:sz w:val="25"/>
                <w:szCs w:val="25"/>
              </w:rPr>
              <w:t xml:space="preserve"> (prot.</w:t>
            </w:r>
            <w:r w:rsidR="00CA5488" w:rsidRPr="00A94035">
              <w:rPr>
                <w:rFonts w:eastAsia="Calibri"/>
                <w:sz w:val="25"/>
                <w:szCs w:val="25"/>
              </w:rPr>
              <w:t>Nr.</w:t>
            </w:r>
            <w:r w:rsidRPr="00A94035">
              <w:rPr>
                <w:rFonts w:eastAsia="Calibri"/>
                <w:sz w:val="25"/>
                <w:szCs w:val="25"/>
              </w:rPr>
              <w:t>1</w:t>
            </w:r>
            <w:r w:rsidR="00CA5488" w:rsidRPr="00A94035">
              <w:rPr>
                <w:rFonts w:eastAsia="Calibri"/>
                <w:sz w:val="25"/>
                <w:szCs w:val="25"/>
              </w:rPr>
              <w:t xml:space="preserve"> </w:t>
            </w:r>
            <w:r w:rsidRPr="00A94035">
              <w:rPr>
                <w:rFonts w:eastAsia="Calibri"/>
                <w:sz w:val="25"/>
                <w:szCs w:val="25"/>
              </w:rPr>
              <w:t>4</w:t>
            </w:r>
            <w:r w:rsidR="00CA5488" w:rsidRPr="00A94035">
              <w:rPr>
                <w:rFonts w:eastAsia="Calibri"/>
                <w:sz w:val="25"/>
                <w:szCs w:val="25"/>
              </w:rPr>
              <w:t>.§</w:t>
            </w:r>
            <w:r w:rsidR="00B72703" w:rsidRPr="00A94035">
              <w:rPr>
                <w:rFonts w:eastAsia="Calibri"/>
                <w:sz w:val="25"/>
                <w:szCs w:val="25"/>
              </w:rPr>
              <w:t>)</w:t>
            </w:r>
            <w:r w:rsidR="00CA5488" w:rsidRPr="00A94035">
              <w:rPr>
                <w:rFonts w:eastAsia="Calibri"/>
                <w:sz w:val="25"/>
                <w:szCs w:val="25"/>
              </w:rPr>
              <w:t xml:space="preserve">. </w:t>
            </w:r>
          </w:p>
          <w:p w:rsidR="00CA5488" w:rsidRPr="00A94035" w:rsidRDefault="00411F78" w:rsidP="004658EE">
            <w:pPr>
              <w:ind w:left="109" w:right="118"/>
              <w:jc w:val="both"/>
              <w:rPr>
                <w:sz w:val="25"/>
                <w:szCs w:val="25"/>
              </w:rPr>
            </w:pPr>
            <w:r w:rsidRPr="00A94035">
              <w:rPr>
                <w:rFonts w:eastAsia="Calibri"/>
                <w:sz w:val="25"/>
                <w:szCs w:val="25"/>
              </w:rPr>
              <w:t>(</w:t>
            </w:r>
            <w:r w:rsidR="00CA5488" w:rsidRPr="00A94035">
              <w:rPr>
                <w:rFonts w:eastAsia="Calibri"/>
                <w:sz w:val="25"/>
                <w:szCs w:val="25"/>
              </w:rPr>
              <w:t>3) Sporta likuma 14.panta otrā daļa</w:t>
            </w:r>
            <w:r w:rsidR="00C7179F">
              <w:rPr>
                <w:rFonts w:eastAsia="Calibri"/>
                <w:sz w:val="25"/>
                <w:szCs w:val="25"/>
              </w:rPr>
              <w:t>.</w:t>
            </w:r>
          </w:p>
        </w:tc>
      </w:tr>
      <w:tr w:rsidR="001A3929" w:rsidRPr="00A94035" w:rsidTr="004B0F8A">
        <w:trPr>
          <w:trHeight w:val="465"/>
        </w:trPr>
        <w:tc>
          <w:tcPr>
            <w:tcW w:w="230"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1A3929">
            <w:pPr>
              <w:jc w:val="center"/>
              <w:rPr>
                <w:sz w:val="25"/>
                <w:szCs w:val="25"/>
              </w:rPr>
            </w:pPr>
            <w:r w:rsidRPr="00A94035">
              <w:rPr>
                <w:sz w:val="25"/>
                <w:szCs w:val="25"/>
              </w:rPr>
              <w:t>2.</w:t>
            </w:r>
          </w:p>
        </w:tc>
        <w:tc>
          <w:tcPr>
            <w:tcW w:w="1427"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91"/>
              <w:rPr>
                <w:sz w:val="25"/>
                <w:szCs w:val="25"/>
              </w:rPr>
            </w:pPr>
            <w:r w:rsidRPr="00A94035">
              <w:rPr>
                <w:sz w:val="25"/>
                <w:szCs w:val="25"/>
              </w:rPr>
              <w:t>Pašreizējā situācija un problēmas, kuru risināšanai tiesību akta projekts izstrādāts, tiesiskā regulējuma mērķis un būtība</w:t>
            </w:r>
          </w:p>
        </w:tc>
        <w:tc>
          <w:tcPr>
            <w:tcW w:w="3343" w:type="pct"/>
            <w:tcBorders>
              <w:top w:val="outset" w:sz="6" w:space="0" w:color="414142"/>
              <w:left w:val="outset" w:sz="6" w:space="0" w:color="414142"/>
              <w:bottom w:val="outset" w:sz="6" w:space="0" w:color="414142"/>
              <w:right w:val="outset" w:sz="6" w:space="0" w:color="414142"/>
            </w:tcBorders>
            <w:hideMark/>
          </w:tcPr>
          <w:p w:rsidR="00A94035" w:rsidRDefault="00A94035" w:rsidP="00A94035">
            <w:pPr>
              <w:ind w:left="70" w:right="142"/>
              <w:jc w:val="both"/>
              <w:rPr>
                <w:bCs/>
                <w:sz w:val="25"/>
                <w:szCs w:val="25"/>
              </w:rPr>
            </w:pPr>
            <w:r w:rsidRPr="00A94035">
              <w:rPr>
                <w:bCs/>
                <w:sz w:val="25"/>
                <w:szCs w:val="25"/>
              </w:rPr>
              <w:t>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14.panta otro daļu kārtību, kādā piešķiramas naudas balvas par izciliem sasniegumiem sportā, un naudas balvu apmēru nosaka Ministru kabinets. Minētā kārtība ir noteikta Ministru kabineta 2012.gada 3.janvāra noteikumos Nr.26 „Noteikumi par kārtību, kādā piešķiramas naudas balvas par izciliem sasniegumiem sportā, un naudas balvu apmēru” (turpmāk – Noteikumi).</w:t>
            </w:r>
          </w:p>
          <w:p w:rsidR="004525FE" w:rsidRDefault="004525FE" w:rsidP="00A94035">
            <w:pPr>
              <w:ind w:left="70" w:right="142"/>
              <w:jc w:val="both"/>
              <w:rPr>
                <w:bCs/>
                <w:sz w:val="25"/>
                <w:szCs w:val="25"/>
              </w:rPr>
            </w:pPr>
          </w:p>
          <w:p w:rsidR="003D28D3" w:rsidRDefault="004525FE" w:rsidP="00A94035">
            <w:pPr>
              <w:ind w:left="70" w:right="142"/>
              <w:jc w:val="both"/>
              <w:rPr>
                <w:bCs/>
                <w:sz w:val="25"/>
                <w:szCs w:val="25"/>
              </w:rPr>
            </w:pPr>
            <w:r>
              <w:rPr>
                <w:bCs/>
                <w:sz w:val="25"/>
                <w:szCs w:val="25"/>
              </w:rPr>
              <w:t>Izstrādājot Noteikumus, tajos tika iekļaut</w:t>
            </w:r>
            <w:r w:rsidR="00173673">
              <w:rPr>
                <w:bCs/>
                <w:sz w:val="25"/>
                <w:szCs w:val="25"/>
              </w:rPr>
              <w:t>s</w:t>
            </w:r>
            <w:r>
              <w:rPr>
                <w:bCs/>
                <w:sz w:val="25"/>
                <w:szCs w:val="25"/>
              </w:rPr>
              <w:t xml:space="preserve"> </w:t>
            </w:r>
            <w:r w:rsidR="00452432" w:rsidRPr="004525FE">
              <w:rPr>
                <w:bCs/>
                <w:sz w:val="25"/>
                <w:szCs w:val="25"/>
              </w:rPr>
              <w:t>valsts ekonomisk</w:t>
            </w:r>
            <w:r w:rsidR="00452432">
              <w:rPr>
                <w:bCs/>
                <w:sz w:val="25"/>
                <w:szCs w:val="25"/>
              </w:rPr>
              <w:t xml:space="preserve">ās un finanšu krīzes laikā ieviestais </w:t>
            </w:r>
            <w:r w:rsidR="00173673">
              <w:rPr>
                <w:bCs/>
                <w:sz w:val="25"/>
                <w:szCs w:val="25"/>
              </w:rPr>
              <w:t>ierobežojums (</w:t>
            </w:r>
            <w:r w:rsidR="00F8651B">
              <w:rPr>
                <w:bCs/>
                <w:sz w:val="25"/>
                <w:szCs w:val="25"/>
              </w:rPr>
              <w:t xml:space="preserve">ieviests </w:t>
            </w:r>
            <w:r w:rsidR="00173673">
              <w:rPr>
                <w:bCs/>
                <w:sz w:val="25"/>
                <w:szCs w:val="25"/>
              </w:rPr>
              <w:t>ar Ministru kabineta 2008.gada 22.decembra noteikumu Nr.1088 „</w:t>
            </w:r>
            <w:r w:rsidR="00173673" w:rsidRPr="00173673">
              <w:rPr>
                <w:bCs/>
                <w:sz w:val="25"/>
                <w:szCs w:val="25"/>
              </w:rPr>
              <w:t>Grozījumi Ministru kabineta 2005.gad</w:t>
            </w:r>
            <w:r w:rsidR="00173673">
              <w:rPr>
                <w:bCs/>
                <w:sz w:val="25"/>
                <w:szCs w:val="25"/>
              </w:rPr>
              <w:t>a 25.oktobra noteikumos Nr.787 „</w:t>
            </w:r>
            <w:r w:rsidR="00173673" w:rsidRPr="00173673">
              <w:rPr>
                <w:bCs/>
                <w:sz w:val="25"/>
                <w:szCs w:val="25"/>
              </w:rPr>
              <w:t>Noteikumi par kārtību, kādā piešķiramas naudas balvas par izciliem sasniegumiem</w:t>
            </w:r>
            <w:r w:rsidR="00173673">
              <w:rPr>
                <w:bCs/>
                <w:sz w:val="25"/>
                <w:szCs w:val="25"/>
              </w:rPr>
              <w:t xml:space="preserve"> sportā, un naudas balvu apmēru”” 1.3.apakšpunktu) [šobrīd </w:t>
            </w:r>
            <w:r w:rsidR="003D28D3">
              <w:rPr>
                <w:bCs/>
                <w:sz w:val="25"/>
                <w:szCs w:val="25"/>
              </w:rPr>
              <w:t>Noteikumu 4.pun</w:t>
            </w:r>
            <w:r w:rsidR="00173673">
              <w:rPr>
                <w:bCs/>
                <w:sz w:val="25"/>
                <w:szCs w:val="25"/>
              </w:rPr>
              <w:t>k</w:t>
            </w:r>
            <w:r w:rsidR="003D28D3">
              <w:rPr>
                <w:bCs/>
                <w:sz w:val="25"/>
                <w:szCs w:val="25"/>
              </w:rPr>
              <w:t>ts</w:t>
            </w:r>
            <w:r w:rsidR="00173673">
              <w:rPr>
                <w:bCs/>
                <w:sz w:val="25"/>
                <w:szCs w:val="25"/>
              </w:rPr>
              <w:t>]</w:t>
            </w:r>
            <w:r>
              <w:rPr>
                <w:bCs/>
                <w:sz w:val="25"/>
                <w:szCs w:val="25"/>
              </w:rPr>
              <w:t xml:space="preserve">, ka </w:t>
            </w:r>
            <w:r w:rsidR="003D28D3">
              <w:rPr>
                <w:bCs/>
                <w:sz w:val="25"/>
                <w:szCs w:val="25"/>
              </w:rPr>
              <w:t xml:space="preserve">gadījumā, ja </w:t>
            </w:r>
            <w:r w:rsidR="003D28D3" w:rsidRPr="003D28D3">
              <w:rPr>
                <w:bCs/>
                <w:sz w:val="25"/>
                <w:szCs w:val="25"/>
              </w:rPr>
              <w:t>sportistam individuālajos sporta veidos, komandu sporta spēļu nacionālajai izlasei vai komandu sporta spēļu valsts izlasei kalendāra gadā ir vairāki sasnieg</w:t>
            </w:r>
            <w:r w:rsidR="003D28D3">
              <w:rPr>
                <w:bCs/>
                <w:sz w:val="25"/>
                <w:szCs w:val="25"/>
              </w:rPr>
              <w:t>umi, par kuriem saskaņā ar N</w:t>
            </w:r>
            <w:r w:rsidR="003D28D3" w:rsidRPr="003D28D3">
              <w:rPr>
                <w:bCs/>
                <w:sz w:val="25"/>
                <w:szCs w:val="25"/>
              </w:rPr>
              <w:t xml:space="preserve">oteikumiem var tikt piešķirta naudas balva, naudas balvu sportistam, viņa treneriem, sportistu apkalpojošiem sporta darbiniekiem, tai skaitā sporta ārstiem, apkalpojošam personālam un attiecīgajai sporta federācijai, piešķir tikai par to sasniegumu, par kuru </w:t>
            </w:r>
            <w:r w:rsidR="00173673">
              <w:rPr>
                <w:bCs/>
                <w:sz w:val="25"/>
                <w:szCs w:val="25"/>
              </w:rPr>
              <w:t>N</w:t>
            </w:r>
            <w:r w:rsidR="003D28D3" w:rsidRPr="003D28D3">
              <w:rPr>
                <w:bCs/>
                <w:sz w:val="25"/>
                <w:szCs w:val="25"/>
              </w:rPr>
              <w:t>oteikumos noteik</w:t>
            </w:r>
            <w:r w:rsidR="00173673">
              <w:rPr>
                <w:bCs/>
                <w:sz w:val="25"/>
                <w:szCs w:val="25"/>
              </w:rPr>
              <w:t xml:space="preserve">ts lielāks naudas balvas apmērs; </w:t>
            </w:r>
            <w:r w:rsidR="003D28D3">
              <w:rPr>
                <w:bCs/>
                <w:sz w:val="25"/>
                <w:szCs w:val="25"/>
              </w:rPr>
              <w:t>gadījumā, j</w:t>
            </w:r>
            <w:r w:rsidR="003D28D3" w:rsidRPr="003D28D3">
              <w:rPr>
                <w:bCs/>
                <w:sz w:val="25"/>
                <w:szCs w:val="25"/>
              </w:rPr>
              <w:t>a naudas balvas apmērs ir vienāds, naudas balvu piešķir tikai par vienu sasniegumu.</w:t>
            </w:r>
          </w:p>
          <w:p w:rsidR="00452432" w:rsidRDefault="00452432" w:rsidP="00A94035">
            <w:pPr>
              <w:ind w:left="70" w:right="142"/>
              <w:jc w:val="both"/>
              <w:rPr>
                <w:bCs/>
                <w:sz w:val="25"/>
                <w:szCs w:val="25"/>
              </w:rPr>
            </w:pPr>
          </w:p>
          <w:p w:rsidR="001A3929" w:rsidRPr="00A94035" w:rsidRDefault="00607055" w:rsidP="00BB18FE">
            <w:pPr>
              <w:ind w:left="70" w:right="142"/>
              <w:jc w:val="both"/>
              <w:rPr>
                <w:sz w:val="25"/>
                <w:szCs w:val="25"/>
              </w:rPr>
            </w:pPr>
            <w:r>
              <w:rPr>
                <w:bCs/>
                <w:sz w:val="25"/>
                <w:szCs w:val="25"/>
              </w:rPr>
              <w:t>XXII</w:t>
            </w:r>
            <w:r w:rsidR="009609F4" w:rsidRPr="009609F4">
              <w:rPr>
                <w:bCs/>
                <w:sz w:val="25"/>
                <w:szCs w:val="25"/>
              </w:rPr>
              <w:t xml:space="preserve"> Ziemas Olimpiskajās spēlēs Sočos </w:t>
            </w:r>
            <w:r w:rsidR="00094C98">
              <w:rPr>
                <w:bCs/>
                <w:sz w:val="25"/>
                <w:szCs w:val="25"/>
              </w:rPr>
              <w:t xml:space="preserve">(Krievija) </w:t>
            </w:r>
            <w:r w:rsidR="009609F4" w:rsidRPr="009609F4">
              <w:rPr>
                <w:bCs/>
                <w:sz w:val="25"/>
                <w:szCs w:val="25"/>
              </w:rPr>
              <w:t xml:space="preserve">pirmo reizi vienu olimpisko spēļu laikā Latvijas sportisti izcīnīja vairākus sasniegumus, par kuriem </w:t>
            </w:r>
            <w:r w:rsidR="00094C98">
              <w:rPr>
                <w:bCs/>
                <w:sz w:val="25"/>
                <w:szCs w:val="25"/>
              </w:rPr>
              <w:t xml:space="preserve">saskaņā ar Noteikumiem </w:t>
            </w:r>
            <w:r w:rsidR="009609F4" w:rsidRPr="009609F4">
              <w:rPr>
                <w:bCs/>
                <w:sz w:val="25"/>
                <w:szCs w:val="25"/>
              </w:rPr>
              <w:t xml:space="preserve">var tikt </w:t>
            </w:r>
            <w:r w:rsidR="009609F4" w:rsidRPr="009609F4">
              <w:rPr>
                <w:bCs/>
                <w:sz w:val="25"/>
                <w:szCs w:val="25"/>
              </w:rPr>
              <w:lastRenderedPageBreak/>
              <w:t xml:space="preserve">piešķirta naudas balva – </w:t>
            </w:r>
            <w:r w:rsidR="00094C98">
              <w:rPr>
                <w:bCs/>
                <w:sz w:val="25"/>
                <w:szCs w:val="25"/>
              </w:rPr>
              <w:t>Andris Šics un Juris</w:t>
            </w:r>
            <w:r w:rsidR="009609F4" w:rsidRPr="009609F4">
              <w:rPr>
                <w:bCs/>
                <w:sz w:val="25"/>
                <w:szCs w:val="25"/>
              </w:rPr>
              <w:t xml:space="preserve"> Šic</w:t>
            </w:r>
            <w:r w:rsidR="00094C98">
              <w:rPr>
                <w:bCs/>
                <w:sz w:val="25"/>
                <w:szCs w:val="25"/>
              </w:rPr>
              <w:t>s</w:t>
            </w:r>
            <w:r w:rsidR="009609F4" w:rsidRPr="009609F4">
              <w:rPr>
                <w:bCs/>
                <w:sz w:val="25"/>
                <w:szCs w:val="25"/>
              </w:rPr>
              <w:t xml:space="preserve"> </w:t>
            </w:r>
            <w:r w:rsidR="0089079A">
              <w:rPr>
                <w:bCs/>
                <w:sz w:val="25"/>
                <w:szCs w:val="25"/>
              </w:rPr>
              <w:t xml:space="preserve">izcīnīja </w:t>
            </w:r>
            <w:r w:rsidR="00094C98">
              <w:rPr>
                <w:bCs/>
                <w:sz w:val="25"/>
                <w:szCs w:val="25"/>
              </w:rPr>
              <w:t>treš</w:t>
            </w:r>
            <w:r w:rsidR="0089079A">
              <w:rPr>
                <w:bCs/>
                <w:sz w:val="25"/>
                <w:szCs w:val="25"/>
              </w:rPr>
              <w:t>o</w:t>
            </w:r>
            <w:r w:rsidR="00094C98">
              <w:rPr>
                <w:bCs/>
                <w:sz w:val="25"/>
                <w:szCs w:val="25"/>
              </w:rPr>
              <w:t xml:space="preserve"> viet</w:t>
            </w:r>
            <w:r w:rsidR="0089079A">
              <w:rPr>
                <w:bCs/>
                <w:sz w:val="25"/>
                <w:szCs w:val="25"/>
              </w:rPr>
              <w:t>u</w:t>
            </w:r>
            <w:r w:rsidR="00094C98">
              <w:rPr>
                <w:bCs/>
                <w:sz w:val="25"/>
                <w:szCs w:val="25"/>
              </w:rPr>
              <w:t xml:space="preserve"> </w:t>
            </w:r>
            <w:r w:rsidR="009609F4" w:rsidRPr="009609F4">
              <w:rPr>
                <w:bCs/>
                <w:sz w:val="25"/>
                <w:szCs w:val="25"/>
              </w:rPr>
              <w:t xml:space="preserve">kamaniņu </w:t>
            </w:r>
            <w:r w:rsidR="00094C98">
              <w:rPr>
                <w:bCs/>
                <w:sz w:val="25"/>
                <w:szCs w:val="25"/>
              </w:rPr>
              <w:t xml:space="preserve">divniekā un kamaniņu </w:t>
            </w:r>
            <w:r w:rsidR="009609F4" w:rsidRPr="009609F4">
              <w:rPr>
                <w:bCs/>
                <w:sz w:val="25"/>
                <w:szCs w:val="25"/>
              </w:rPr>
              <w:t>komandu stafetē</w:t>
            </w:r>
            <w:r w:rsidR="00094C98">
              <w:rPr>
                <w:bCs/>
                <w:sz w:val="25"/>
                <w:szCs w:val="25"/>
              </w:rPr>
              <w:t xml:space="preserve">, </w:t>
            </w:r>
            <w:r w:rsidR="0089079A">
              <w:rPr>
                <w:bCs/>
                <w:sz w:val="25"/>
                <w:szCs w:val="25"/>
              </w:rPr>
              <w:t xml:space="preserve">savukārt </w:t>
            </w:r>
            <w:r w:rsidR="009609F4" w:rsidRPr="009609F4">
              <w:rPr>
                <w:bCs/>
                <w:sz w:val="25"/>
                <w:szCs w:val="25"/>
              </w:rPr>
              <w:t>Oskars Melbārdis un Daumants Dreiškens</w:t>
            </w:r>
            <w:r w:rsidR="0089079A">
              <w:rPr>
                <w:bCs/>
                <w:sz w:val="25"/>
                <w:szCs w:val="25"/>
              </w:rPr>
              <w:t xml:space="preserve"> izcīnīja otro </w:t>
            </w:r>
            <w:r w:rsidR="00094C98">
              <w:rPr>
                <w:bCs/>
                <w:sz w:val="25"/>
                <w:szCs w:val="25"/>
              </w:rPr>
              <w:t>viet</w:t>
            </w:r>
            <w:r w:rsidR="0089079A">
              <w:rPr>
                <w:bCs/>
                <w:sz w:val="25"/>
                <w:szCs w:val="25"/>
              </w:rPr>
              <w:t>u</w:t>
            </w:r>
            <w:r w:rsidR="00094C98">
              <w:rPr>
                <w:bCs/>
                <w:sz w:val="25"/>
                <w:szCs w:val="25"/>
              </w:rPr>
              <w:t xml:space="preserve"> bobslejā divniekiem un piekt</w:t>
            </w:r>
            <w:r w:rsidR="0089079A">
              <w:rPr>
                <w:bCs/>
                <w:sz w:val="25"/>
                <w:szCs w:val="25"/>
              </w:rPr>
              <w:t>o</w:t>
            </w:r>
            <w:r w:rsidR="00094C98">
              <w:rPr>
                <w:bCs/>
                <w:sz w:val="25"/>
                <w:szCs w:val="25"/>
              </w:rPr>
              <w:t xml:space="preserve"> viet</w:t>
            </w:r>
            <w:r w:rsidR="0089079A">
              <w:rPr>
                <w:bCs/>
                <w:sz w:val="25"/>
                <w:szCs w:val="25"/>
              </w:rPr>
              <w:t>u</w:t>
            </w:r>
            <w:r w:rsidR="00094C98">
              <w:rPr>
                <w:bCs/>
                <w:sz w:val="25"/>
                <w:szCs w:val="25"/>
              </w:rPr>
              <w:t xml:space="preserve"> bobslejā četriniekiem</w:t>
            </w:r>
            <w:r w:rsidR="009609F4" w:rsidRPr="009609F4">
              <w:rPr>
                <w:bCs/>
                <w:sz w:val="25"/>
                <w:szCs w:val="25"/>
              </w:rPr>
              <w:t xml:space="preserve">. </w:t>
            </w:r>
            <w:r w:rsidR="007D751A">
              <w:rPr>
                <w:bCs/>
                <w:sz w:val="25"/>
                <w:szCs w:val="25"/>
              </w:rPr>
              <w:t xml:space="preserve">Olimpiskās spēles ir četrgades nozīmīgākās sporta sacensības un sasniegumi tajās tiek vērtēti visaugstāk. </w:t>
            </w:r>
            <w:r w:rsidR="009609F4" w:rsidRPr="009609F4">
              <w:rPr>
                <w:bCs/>
                <w:sz w:val="25"/>
                <w:szCs w:val="25"/>
              </w:rPr>
              <w:t xml:space="preserve">Ņemot vērā šo situāciju, </w:t>
            </w:r>
            <w:r w:rsidR="00094C98">
              <w:rPr>
                <w:bCs/>
                <w:sz w:val="25"/>
                <w:szCs w:val="25"/>
              </w:rPr>
              <w:t xml:space="preserve">Izglītības un zinātnes ministrija kā par sporta nozari atbildīgā ministrija ierosina </w:t>
            </w:r>
            <w:r w:rsidR="009609F4" w:rsidRPr="009609F4">
              <w:rPr>
                <w:bCs/>
                <w:sz w:val="25"/>
                <w:szCs w:val="25"/>
              </w:rPr>
              <w:t xml:space="preserve">grozīt </w:t>
            </w:r>
            <w:r w:rsidR="00094C98">
              <w:rPr>
                <w:bCs/>
                <w:sz w:val="25"/>
                <w:szCs w:val="25"/>
              </w:rPr>
              <w:t>Noteikumus</w:t>
            </w:r>
            <w:r w:rsidR="00861F07">
              <w:rPr>
                <w:bCs/>
                <w:sz w:val="25"/>
                <w:szCs w:val="25"/>
              </w:rPr>
              <w:t xml:space="preserve"> un </w:t>
            </w:r>
            <w:r w:rsidR="009609F4" w:rsidRPr="009609F4">
              <w:rPr>
                <w:bCs/>
                <w:sz w:val="25"/>
                <w:szCs w:val="25"/>
              </w:rPr>
              <w:t xml:space="preserve">noteikt, ka </w:t>
            </w:r>
            <w:r w:rsidR="00861F07" w:rsidRPr="00861F07">
              <w:rPr>
                <w:bCs/>
                <w:sz w:val="25"/>
                <w:szCs w:val="25"/>
              </w:rPr>
              <w:t xml:space="preserve">minētais ierobežojums neattiecas uz gadījumu, kad sportists individuālajos sporta veidos vairākus sasniegumus ir izcīnījis olimpiskajās spēlēs. </w:t>
            </w:r>
            <w:r w:rsidR="003C56E4">
              <w:rPr>
                <w:bCs/>
                <w:sz w:val="25"/>
                <w:szCs w:val="25"/>
              </w:rPr>
              <w:t xml:space="preserve">Tādejādi par sasniegumiem olimpiskajās spēlēs </w:t>
            </w:r>
            <w:r w:rsidR="00861F07" w:rsidRPr="00861F07">
              <w:rPr>
                <w:bCs/>
                <w:sz w:val="25"/>
                <w:szCs w:val="25"/>
              </w:rPr>
              <w:t xml:space="preserve">naudas balva sportistam, viņa treneriem, sportistu apkalpojošiem sporta darbiniekiem, tai skaitā sporta ārstiem, apkalpojošam personālam un attiecīgajai sporta federācijai </w:t>
            </w:r>
            <w:r w:rsidR="003C56E4">
              <w:rPr>
                <w:bCs/>
                <w:sz w:val="25"/>
                <w:szCs w:val="25"/>
              </w:rPr>
              <w:t xml:space="preserve">varēs tikt </w:t>
            </w:r>
            <w:r w:rsidR="00861F07" w:rsidRPr="00861F07">
              <w:rPr>
                <w:bCs/>
                <w:sz w:val="25"/>
                <w:szCs w:val="25"/>
              </w:rPr>
              <w:t>piešķirta par katru no sasniegumiem</w:t>
            </w:r>
            <w:r w:rsidR="003C56E4">
              <w:rPr>
                <w:bCs/>
                <w:sz w:val="25"/>
                <w:szCs w:val="25"/>
              </w:rPr>
              <w:t>.</w:t>
            </w:r>
            <w:r w:rsidR="00C7179F">
              <w:rPr>
                <w:bCs/>
                <w:sz w:val="25"/>
                <w:szCs w:val="25"/>
              </w:rPr>
              <w:t xml:space="preserve"> </w:t>
            </w:r>
            <w:r w:rsidR="003C56E4">
              <w:rPr>
                <w:bCs/>
                <w:sz w:val="25"/>
                <w:szCs w:val="25"/>
              </w:rPr>
              <w:t>Ņemot vērā to, ka Noteikumi satur procesuālās normas, kuras reglament</w:t>
            </w:r>
            <w:r w:rsidR="004F4369">
              <w:rPr>
                <w:bCs/>
                <w:sz w:val="25"/>
                <w:szCs w:val="25"/>
              </w:rPr>
              <w:t xml:space="preserve">ē </w:t>
            </w:r>
            <w:r w:rsidR="003C56E4">
              <w:rPr>
                <w:bCs/>
                <w:sz w:val="25"/>
                <w:szCs w:val="25"/>
              </w:rPr>
              <w:t>naudas balv</w:t>
            </w:r>
            <w:r w:rsidR="00BB18FE">
              <w:rPr>
                <w:bCs/>
                <w:sz w:val="25"/>
                <w:szCs w:val="25"/>
              </w:rPr>
              <w:t>u</w:t>
            </w:r>
            <w:bookmarkStart w:id="0" w:name="_GoBack"/>
            <w:bookmarkEnd w:id="0"/>
            <w:r w:rsidR="003C56E4">
              <w:rPr>
                <w:bCs/>
                <w:sz w:val="25"/>
                <w:szCs w:val="25"/>
              </w:rPr>
              <w:t xml:space="preserve"> piešķiršanas kārtību, jaunā </w:t>
            </w:r>
            <w:r w:rsidR="00C342EE">
              <w:rPr>
                <w:bCs/>
                <w:sz w:val="25"/>
                <w:szCs w:val="25"/>
              </w:rPr>
              <w:t xml:space="preserve">kārtība </w:t>
            </w:r>
            <w:r w:rsidR="00F118F0">
              <w:rPr>
                <w:bCs/>
                <w:sz w:val="25"/>
                <w:szCs w:val="25"/>
              </w:rPr>
              <w:t>varēs tikt</w:t>
            </w:r>
            <w:r w:rsidR="003C56E4" w:rsidRPr="009609F4">
              <w:rPr>
                <w:bCs/>
                <w:sz w:val="25"/>
                <w:szCs w:val="25"/>
              </w:rPr>
              <w:t xml:space="preserve"> attiecināta arī uz sportistu sasniegumiem</w:t>
            </w:r>
            <w:r w:rsidR="003C56E4">
              <w:rPr>
                <w:bCs/>
                <w:sz w:val="25"/>
                <w:szCs w:val="25"/>
              </w:rPr>
              <w:t xml:space="preserve"> </w:t>
            </w:r>
            <w:r>
              <w:rPr>
                <w:bCs/>
                <w:sz w:val="25"/>
                <w:szCs w:val="25"/>
              </w:rPr>
              <w:t>XXII</w:t>
            </w:r>
            <w:r w:rsidRPr="009609F4">
              <w:rPr>
                <w:bCs/>
                <w:sz w:val="25"/>
                <w:szCs w:val="25"/>
              </w:rPr>
              <w:t xml:space="preserve"> </w:t>
            </w:r>
            <w:r w:rsidR="003C56E4" w:rsidRPr="003C56E4">
              <w:rPr>
                <w:bCs/>
                <w:sz w:val="25"/>
                <w:szCs w:val="25"/>
              </w:rPr>
              <w:t>Ziemas Olimpiskajās spēlēs Sočos (Krievija)</w:t>
            </w:r>
            <w:r w:rsidR="003C56E4">
              <w:rPr>
                <w:bCs/>
                <w:sz w:val="25"/>
                <w:szCs w:val="25"/>
              </w:rPr>
              <w:t>.</w:t>
            </w:r>
          </w:p>
        </w:tc>
      </w:tr>
      <w:tr w:rsidR="001A3929" w:rsidRPr="00A94035" w:rsidTr="004B0F8A">
        <w:trPr>
          <w:trHeight w:val="465"/>
        </w:trPr>
        <w:tc>
          <w:tcPr>
            <w:tcW w:w="230"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1A3929">
            <w:pPr>
              <w:jc w:val="center"/>
              <w:rPr>
                <w:sz w:val="25"/>
                <w:szCs w:val="25"/>
              </w:rPr>
            </w:pPr>
            <w:r w:rsidRPr="00A94035">
              <w:rPr>
                <w:sz w:val="25"/>
                <w:szCs w:val="25"/>
              </w:rPr>
              <w:lastRenderedPageBreak/>
              <w:t>3.</w:t>
            </w:r>
          </w:p>
        </w:tc>
        <w:tc>
          <w:tcPr>
            <w:tcW w:w="1427"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91"/>
              <w:rPr>
                <w:sz w:val="25"/>
                <w:szCs w:val="25"/>
              </w:rPr>
            </w:pPr>
            <w:r w:rsidRPr="00A94035">
              <w:rPr>
                <w:sz w:val="25"/>
                <w:szCs w:val="25"/>
              </w:rPr>
              <w:t>Projekta izstrādē iesaistītās institūcijas</w:t>
            </w:r>
          </w:p>
        </w:tc>
        <w:tc>
          <w:tcPr>
            <w:tcW w:w="3343"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CD1988">
            <w:pPr>
              <w:ind w:left="109" w:right="118"/>
              <w:jc w:val="both"/>
              <w:rPr>
                <w:sz w:val="25"/>
                <w:szCs w:val="25"/>
              </w:rPr>
            </w:pPr>
            <w:r w:rsidRPr="00A94035">
              <w:rPr>
                <w:sz w:val="25"/>
                <w:szCs w:val="25"/>
              </w:rPr>
              <w:t xml:space="preserve">Noteikumu projektu izstrādāja </w:t>
            </w:r>
            <w:r w:rsidR="00CD1988">
              <w:rPr>
                <w:sz w:val="25"/>
                <w:szCs w:val="25"/>
              </w:rPr>
              <w:t>Izglītības un zinātnes ministrija.</w:t>
            </w:r>
            <w:r w:rsidR="00CD1988">
              <w:rPr>
                <w:bCs/>
                <w:sz w:val="25"/>
                <w:szCs w:val="25"/>
              </w:rPr>
              <w:t xml:space="preserve"> Noteikumu projekts ir atbalstīts </w:t>
            </w:r>
            <w:r w:rsidR="00CD1988" w:rsidRPr="00C7179F">
              <w:rPr>
                <w:bCs/>
                <w:sz w:val="25"/>
                <w:szCs w:val="25"/>
              </w:rPr>
              <w:t xml:space="preserve">Latvijas Nacionālās sporta padomes 2014.gada 5.marta sēdē </w:t>
            </w:r>
            <w:r w:rsidR="00EA1D6E">
              <w:rPr>
                <w:bCs/>
                <w:sz w:val="25"/>
                <w:szCs w:val="25"/>
              </w:rPr>
              <w:t>(prot.</w:t>
            </w:r>
            <w:r w:rsidR="00CD1988" w:rsidRPr="00C7179F">
              <w:rPr>
                <w:bCs/>
                <w:sz w:val="25"/>
                <w:szCs w:val="25"/>
              </w:rPr>
              <w:t>Nr.1 4.§, 4.1.apakšpunkts).</w:t>
            </w:r>
          </w:p>
        </w:tc>
      </w:tr>
      <w:tr w:rsidR="001A3929" w:rsidRPr="00A94035" w:rsidTr="004B0F8A">
        <w:tc>
          <w:tcPr>
            <w:tcW w:w="230"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1A3929">
            <w:pPr>
              <w:jc w:val="center"/>
              <w:rPr>
                <w:sz w:val="25"/>
                <w:szCs w:val="25"/>
              </w:rPr>
            </w:pPr>
            <w:r w:rsidRPr="00A94035">
              <w:rPr>
                <w:sz w:val="25"/>
                <w:szCs w:val="25"/>
              </w:rPr>
              <w:t>4.</w:t>
            </w:r>
          </w:p>
        </w:tc>
        <w:tc>
          <w:tcPr>
            <w:tcW w:w="1427"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91"/>
              <w:rPr>
                <w:sz w:val="25"/>
                <w:szCs w:val="25"/>
              </w:rPr>
            </w:pPr>
            <w:r w:rsidRPr="00A94035">
              <w:rPr>
                <w:sz w:val="25"/>
                <w:szCs w:val="25"/>
              </w:rPr>
              <w:t>Cita informācija</w:t>
            </w:r>
          </w:p>
        </w:tc>
        <w:tc>
          <w:tcPr>
            <w:tcW w:w="3343" w:type="pct"/>
            <w:tcBorders>
              <w:top w:val="outset" w:sz="6" w:space="0" w:color="414142"/>
              <w:left w:val="outset" w:sz="6" w:space="0" w:color="414142"/>
              <w:bottom w:val="outset" w:sz="6" w:space="0" w:color="414142"/>
              <w:right w:val="outset" w:sz="6" w:space="0" w:color="414142"/>
            </w:tcBorders>
            <w:hideMark/>
          </w:tcPr>
          <w:p w:rsidR="001A3929" w:rsidRPr="00A94035" w:rsidRDefault="00547905" w:rsidP="00547905">
            <w:pPr>
              <w:ind w:left="109" w:right="118"/>
              <w:jc w:val="both"/>
              <w:rPr>
                <w:sz w:val="25"/>
                <w:szCs w:val="25"/>
              </w:rPr>
            </w:pPr>
            <w:r w:rsidRPr="00547905">
              <w:rPr>
                <w:sz w:val="25"/>
                <w:szCs w:val="25"/>
              </w:rPr>
              <w:t>Rīkojuma projekts tiešā veidā attiecas uz tūrisma, sporta un brīvā laika politiku.</w:t>
            </w:r>
          </w:p>
        </w:tc>
      </w:tr>
    </w:tbl>
    <w:p w:rsidR="001A3929" w:rsidRPr="00A94035" w:rsidRDefault="001A3929" w:rsidP="001A3929">
      <w:pPr>
        <w:rPr>
          <w:sz w:val="25"/>
          <w:szCs w:val="25"/>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60"/>
        <w:gridCol w:w="1394"/>
        <w:gridCol w:w="1189"/>
        <w:gridCol w:w="1194"/>
        <w:gridCol w:w="1189"/>
      </w:tblGrid>
      <w:tr w:rsidR="001A3929" w:rsidRPr="00A94035" w:rsidTr="00A94035">
        <w:trPr>
          <w:trHeight w:val="361"/>
          <w:jc w:val="center"/>
        </w:trPr>
        <w:tc>
          <w:tcPr>
            <w:tcW w:w="9923" w:type="dxa"/>
            <w:gridSpan w:val="6"/>
            <w:vAlign w:val="center"/>
          </w:tcPr>
          <w:p w:rsidR="001A3929" w:rsidRPr="00A94035" w:rsidRDefault="001A3929" w:rsidP="00335772">
            <w:pPr>
              <w:jc w:val="center"/>
              <w:rPr>
                <w:b/>
                <w:i/>
                <w:sz w:val="25"/>
                <w:szCs w:val="25"/>
              </w:rPr>
            </w:pPr>
            <w:r w:rsidRPr="00A94035">
              <w:rPr>
                <w:sz w:val="25"/>
                <w:szCs w:val="25"/>
              </w:rPr>
              <w:br w:type="page"/>
            </w:r>
            <w:r w:rsidRPr="00A94035">
              <w:rPr>
                <w:b/>
                <w:sz w:val="25"/>
                <w:szCs w:val="25"/>
              </w:rPr>
              <w:t>III. Tiesību akta projekta ietekme uz valsts budžetu un pašvaldību budžetiem</w:t>
            </w:r>
          </w:p>
        </w:tc>
      </w:tr>
      <w:tr w:rsidR="001A3929" w:rsidRPr="00A94035" w:rsidTr="00A94035">
        <w:trPr>
          <w:jc w:val="center"/>
        </w:trPr>
        <w:tc>
          <w:tcPr>
            <w:tcW w:w="3397" w:type="dxa"/>
            <w:vMerge w:val="restart"/>
            <w:vAlign w:val="center"/>
          </w:tcPr>
          <w:p w:rsidR="001A3929" w:rsidRPr="00A94035" w:rsidRDefault="001A3929" w:rsidP="00335772">
            <w:pPr>
              <w:jc w:val="center"/>
              <w:rPr>
                <w:b/>
                <w:sz w:val="25"/>
                <w:szCs w:val="25"/>
              </w:rPr>
            </w:pPr>
            <w:r w:rsidRPr="00A94035">
              <w:rPr>
                <w:b/>
                <w:sz w:val="25"/>
                <w:szCs w:val="25"/>
              </w:rPr>
              <w:t>Rādītāji</w:t>
            </w:r>
          </w:p>
        </w:tc>
        <w:tc>
          <w:tcPr>
            <w:tcW w:w="2954" w:type="dxa"/>
            <w:gridSpan w:val="2"/>
            <w:vMerge w:val="restart"/>
            <w:vAlign w:val="center"/>
          </w:tcPr>
          <w:p w:rsidR="001A3929" w:rsidRPr="00A94035" w:rsidRDefault="001A3929" w:rsidP="00335772">
            <w:pPr>
              <w:jc w:val="center"/>
              <w:rPr>
                <w:b/>
                <w:sz w:val="25"/>
                <w:szCs w:val="25"/>
              </w:rPr>
            </w:pPr>
            <w:r w:rsidRPr="00A94035">
              <w:rPr>
                <w:b/>
                <w:sz w:val="25"/>
                <w:szCs w:val="25"/>
              </w:rPr>
              <w:t>2014</w:t>
            </w:r>
          </w:p>
        </w:tc>
        <w:tc>
          <w:tcPr>
            <w:tcW w:w="3572" w:type="dxa"/>
            <w:gridSpan w:val="3"/>
            <w:vAlign w:val="center"/>
          </w:tcPr>
          <w:p w:rsidR="001A3929" w:rsidRPr="00A94035" w:rsidRDefault="001A3929" w:rsidP="00335772">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1A3929" w:rsidRPr="00A94035" w:rsidTr="00A94035">
        <w:trPr>
          <w:jc w:val="center"/>
        </w:trPr>
        <w:tc>
          <w:tcPr>
            <w:tcW w:w="3397" w:type="dxa"/>
            <w:vMerge/>
            <w:vAlign w:val="center"/>
          </w:tcPr>
          <w:p w:rsidR="001A3929" w:rsidRPr="00A94035" w:rsidRDefault="001A3929" w:rsidP="00335772">
            <w:pPr>
              <w:jc w:val="center"/>
              <w:rPr>
                <w:b/>
                <w:i/>
                <w:sz w:val="25"/>
                <w:szCs w:val="25"/>
              </w:rPr>
            </w:pPr>
          </w:p>
        </w:tc>
        <w:tc>
          <w:tcPr>
            <w:tcW w:w="2954" w:type="dxa"/>
            <w:gridSpan w:val="2"/>
            <w:vMerge/>
            <w:vAlign w:val="center"/>
          </w:tcPr>
          <w:p w:rsidR="001A3929" w:rsidRPr="00A94035" w:rsidRDefault="001A3929" w:rsidP="00335772">
            <w:pPr>
              <w:jc w:val="center"/>
              <w:rPr>
                <w:b/>
                <w:i/>
                <w:sz w:val="25"/>
                <w:szCs w:val="25"/>
              </w:rPr>
            </w:pPr>
          </w:p>
        </w:tc>
        <w:tc>
          <w:tcPr>
            <w:tcW w:w="1189" w:type="dxa"/>
            <w:vAlign w:val="center"/>
          </w:tcPr>
          <w:p w:rsidR="001A3929" w:rsidRPr="00A94035" w:rsidRDefault="001A3929" w:rsidP="00335772">
            <w:pPr>
              <w:jc w:val="center"/>
              <w:rPr>
                <w:b/>
                <w:i/>
                <w:sz w:val="25"/>
                <w:szCs w:val="25"/>
              </w:rPr>
            </w:pPr>
            <w:r w:rsidRPr="00A94035">
              <w:rPr>
                <w:b/>
                <w:bCs/>
                <w:sz w:val="25"/>
                <w:szCs w:val="25"/>
              </w:rPr>
              <w:t>2015</w:t>
            </w:r>
          </w:p>
        </w:tc>
        <w:tc>
          <w:tcPr>
            <w:tcW w:w="1194" w:type="dxa"/>
            <w:vAlign w:val="center"/>
          </w:tcPr>
          <w:p w:rsidR="001A3929" w:rsidRPr="00A94035" w:rsidRDefault="001A3929" w:rsidP="00335772">
            <w:pPr>
              <w:jc w:val="center"/>
              <w:rPr>
                <w:b/>
                <w:i/>
                <w:sz w:val="25"/>
                <w:szCs w:val="25"/>
              </w:rPr>
            </w:pPr>
            <w:r w:rsidRPr="00A94035">
              <w:rPr>
                <w:b/>
                <w:bCs/>
                <w:sz w:val="25"/>
                <w:szCs w:val="25"/>
              </w:rPr>
              <w:t>2016</w:t>
            </w:r>
          </w:p>
        </w:tc>
        <w:tc>
          <w:tcPr>
            <w:tcW w:w="1189" w:type="dxa"/>
            <w:vAlign w:val="center"/>
          </w:tcPr>
          <w:p w:rsidR="001A3929" w:rsidRPr="00A94035" w:rsidRDefault="001A3929" w:rsidP="00335772">
            <w:pPr>
              <w:jc w:val="center"/>
              <w:rPr>
                <w:b/>
                <w:i/>
                <w:sz w:val="25"/>
                <w:szCs w:val="25"/>
              </w:rPr>
            </w:pPr>
            <w:r w:rsidRPr="00A94035">
              <w:rPr>
                <w:b/>
                <w:bCs/>
                <w:sz w:val="25"/>
                <w:szCs w:val="25"/>
              </w:rPr>
              <w:t>2017</w:t>
            </w:r>
          </w:p>
        </w:tc>
      </w:tr>
      <w:tr w:rsidR="00A94035" w:rsidRPr="00A94035" w:rsidTr="00A94035">
        <w:trPr>
          <w:jc w:val="center"/>
        </w:trPr>
        <w:tc>
          <w:tcPr>
            <w:tcW w:w="3397" w:type="dxa"/>
            <w:vMerge/>
            <w:vAlign w:val="center"/>
          </w:tcPr>
          <w:p w:rsidR="001A3929" w:rsidRPr="00A94035" w:rsidRDefault="001A3929" w:rsidP="00335772">
            <w:pPr>
              <w:jc w:val="center"/>
              <w:rPr>
                <w:b/>
                <w:i/>
                <w:sz w:val="25"/>
                <w:szCs w:val="25"/>
              </w:rPr>
            </w:pPr>
          </w:p>
        </w:tc>
        <w:tc>
          <w:tcPr>
            <w:tcW w:w="1560" w:type="dxa"/>
            <w:vAlign w:val="center"/>
          </w:tcPr>
          <w:p w:rsidR="001A3929" w:rsidRPr="00A94035" w:rsidRDefault="001A3929" w:rsidP="00335772">
            <w:pPr>
              <w:jc w:val="center"/>
              <w:rPr>
                <w:b/>
                <w:i/>
                <w:sz w:val="25"/>
                <w:szCs w:val="25"/>
              </w:rPr>
            </w:pPr>
            <w:r w:rsidRPr="00A94035">
              <w:rPr>
                <w:sz w:val="25"/>
                <w:szCs w:val="25"/>
              </w:rPr>
              <w:t>saskaņā ar valsts budžetu kārtējam gadam</w:t>
            </w:r>
          </w:p>
        </w:tc>
        <w:tc>
          <w:tcPr>
            <w:tcW w:w="1394" w:type="dxa"/>
            <w:vAlign w:val="center"/>
          </w:tcPr>
          <w:p w:rsidR="001A3929" w:rsidRPr="00A94035" w:rsidRDefault="001A3929" w:rsidP="00335772">
            <w:pPr>
              <w:jc w:val="center"/>
              <w:rPr>
                <w:b/>
                <w:i/>
                <w:sz w:val="25"/>
                <w:szCs w:val="25"/>
              </w:rPr>
            </w:pPr>
            <w:r w:rsidRPr="00A94035">
              <w:rPr>
                <w:sz w:val="25"/>
                <w:szCs w:val="25"/>
              </w:rPr>
              <w:t>izmaiņas kārtējā gadā, salīdzinot ar budžetu kārtējam gadam</w:t>
            </w:r>
          </w:p>
        </w:tc>
        <w:tc>
          <w:tcPr>
            <w:tcW w:w="1189" w:type="dxa"/>
            <w:vAlign w:val="center"/>
          </w:tcPr>
          <w:p w:rsidR="001A3929" w:rsidRPr="00A94035" w:rsidRDefault="001A3929" w:rsidP="00335772">
            <w:pPr>
              <w:jc w:val="center"/>
              <w:rPr>
                <w:b/>
                <w:i/>
                <w:sz w:val="25"/>
                <w:szCs w:val="25"/>
              </w:rPr>
            </w:pPr>
            <w:r w:rsidRPr="00A94035">
              <w:rPr>
                <w:sz w:val="25"/>
                <w:szCs w:val="25"/>
              </w:rPr>
              <w:t>izmaiņas, salīdzinot ar kārtējo  gadu</w:t>
            </w:r>
          </w:p>
        </w:tc>
        <w:tc>
          <w:tcPr>
            <w:tcW w:w="1194" w:type="dxa"/>
            <w:vAlign w:val="center"/>
          </w:tcPr>
          <w:p w:rsidR="001A3929" w:rsidRPr="00A94035" w:rsidRDefault="001A3929" w:rsidP="00335772">
            <w:pPr>
              <w:jc w:val="center"/>
              <w:rPr>
                <w:b/>
                <w:i/>
                <w:sz w:val="25"/>
                <w:szCs w:val="25"/>
              </w:rPr>
            </w:pPr>
            <w:r w:rsidRPr="00A94035">
              <w:rPr>
                <w:sz w:val="25"/>
                <w:szCs w:val="25"/>
              </w:rPr>
              <w:t>izmaiņas, salīdzinot ar kārtējo  gadu</w:t>
            </w:r>
          </w:p>
        </w:tc>
        <w:tc>
          <w:tcPr>
            <w:tcW w:w="1189" w:type="dxa"/>
            <w:vAlign w:val="center"/>
          </w:tcPr>
          <w:p w:rsidR="001A3929" w:rsidRPr="00A94035" w:rsidRDefault="001A3929" w:rsidP="00335772">
            <w:pPr>
              <w:jc w:val="center"/>
              <w:rPr>
                <w:b/>
                <w:i/>
                <w:sz w:val="25"/>
                <w:szCs w:val="25"/>
              </w:rPr>
            </w:pPr>
            <w:r w:rsidRPr="00A94035">
              <w:rPr>
                <w:sz w:val="25"/>
                <w:szCs w:val="25"/>
              </w:rPr>
              <w:t>izmaiņas, salīdzinot ar kārtējo  gadu</w:t>
            </w:r>
          </w:p>
        </w:tc>
      </w:tr>
      <w:tr w:rsidR="00A94035" w:rsidRPr="00A94035" w:rsidTr="00A94035">
        <w:trPr>
          <w:jc w:val="center"/>
        </w:trPr>
        <w:tc>
          <w:tcPr>
            <w:tcW w:w="3397" w:type="dxa"/>
            <w:vAlign w:val="center"/>
          </w:tcPr>
          <w:p w:rsidR="001A3929" w:rsidRPr="00A94035" w:rsidRDefault="001A3929" w:rsidP="00335772">
            <w:pPr>
              <w:jc w:val="center"/>
              <w:rPr>
                <w:bCs/>
                <w:sz w:val="25"/>
                <w:szCs w:val="25"/>
              </w:rPr>
            </w:pPr>
            <w:r w:rsidRPr="00A94035">
              <w:rPr>
                <w:bCs/>
                <w:sz w:val="25"/>
                <w:szCs w:val="25"/>
              </w:rPr>
              <w:t>1</w:t>
            </w:r>
          </w:p>
        </w:tc>
        <w:tc>
          <w:tcPr>
            <w:tcW w:w="1560" w:type="dxa"/>
            <w:vAlign w:val="center"/>
          </w:tcPr>
          <w:p w:rsidR="001A3929" w:rsidRPr="00A94035" w:rsidRDefault="001A3929" w:rsidP="00335772">
            <w:pPr>
              <w:jc w:val="center"/>
              <w:rPr>
                <w:bCs/>
                <w:sz w:val="25"/>
                <w:szCs w:val="25"/>
              </w:rPr>
            </w:pPr>
            <w:r w:rsidRPr="00A94035">
              <w:rPr>
                <w:bCs/>
                <w:sz w:val="25"/>
                <w:szCs w:val="25"/>
              </w:rPr>
              <w:t>2</w:t>
            </w:r>
          </w:p>
        </w:tc>
        <w:tc>
          <w:tcPr>
            <w:tcW w:w="1394" w:type="dxa"/>
            <w:vAlign w:val="center"/>
          </w:tcPr>
          <w:p w:rsidR="001A3929" w:rsidRPr="00A94035" w:rsidRDefault="001A3929" w:rsidP="00335772">
            <w:pPr>
              <w:jc w:val="center"/>
              <w:rPr>
                <w:bCs/>
                <w:sz w:val="25"/>
                <w:szCs w:val="25"/>
              </w:rPr>
            </w:pPr>
            <w:r w:rsidRPr="00A94035">
              <w:rPr>
                <w:bCs/>
                <w:sz w:val="25"/>
                <w:szCs w:val="25"/>
              </w:rPr>
              <w:t>3</w:t>
            </w:r>
          </w:p>
        </w:tc>
        <w:tc>
          <w:tcPr>
            <w:tcW w:w="1189" w:type="dxa"/>
            <w:vAlign w:val="center"/>
          </w:tcPr>
          <w:p w:rsidR="001A3929" w:rsidRPr="00A94035" w:rsidRDefault="001A3929" w:rsidP="00335772">
            <w:pPr>
              <w:jc w:val="center"/>
              <w:rPr>
                <w:bCs/>
                <w:sz w:val="25"/>
                <w:szCs w:val="25"/>
              </w:rPr>
            </w:pPr>
            <w:r w:rsidRPr="00A94035">
              <w:rPr>
                <w:bCs/>
                <w:sz w:val="25"/>
                <w:szCs w:val="25"/>
              </w:rPr>
              <w:t>4</w:t>
            </w:r>
          </w:p>
        </w:tc>
        <w:tc>
          <w:tcPr>
            <w:tcW w:w="1194" w:type="dxa"/>
            <w:vAlign w:val="center"/>
          </w:tcPr>
          <w:p w:rsidR="001A3929" w:rsidRPr="00A94035" w:rsidRDefault="001A3929" w:rsidP="00335772">
            <w:pPr>
              <w:jc w:val="center"/>
              <w:rPr>
                <w:bCs/>
                <w:sz w:val="25"/>
                <w:szCs w:val="25"/>
              </w:rPr>
            </w:pPr>
            <w:r w:rsidRPr="00A94035">
              <w:rPr>
                <w:bCs/>
                <w:sz w:val="25"/>
                <w:szCs w:val="25"/>
              </w:rPr>
              <w:t>5</w:t>
            </w:r>
          </w:p>
        </w:tc>
        <w:tc>
          <w:tcPr>
            <w:tcW w:w="1189" w:type="dxa"/>
            <w:vAlign w:val="center"/>
          </w:tcPr>
          <w:p w:rsidR="001A3929" w:rsidRPr="00A94035" w:rsidRDefault="001A3929" w:rsidP="00335772">
            <w:pPr>
              <w:jc w:val="center"/>
              <w:rPr>
                <w:bCs/>
                <w:sz w:val="25"/>
                <w:szCs w:val="25"/>
              </w:rPr>
            </w:pPr>
            <w:r w:rsidRPr="00A94035">
              <w:rPr>
                <w:bCs/>
                <w:sz w:val="25"/>
                <w:szCs w:val="25"/>
              </w:rPr>
              <w:t>6</w:t>
            </w:r>
          </w:p>
        </w:tc>
      </w:tr>
      <w:tr w:rsidR="00A94035" w:rsidRPr="00A94035" w:rsidTr="00A94035">
        <w:trPr>
          <w:jc w:val="center"/>
        </w:trPr>
        <w:tc>
          <w:tcPr>
            <w:tcW w:w="3397" w:type="dxa"/>
          </w:tcPr>
          <w:p w:rsidR="001A3929" w:rsidRPr="00A94035" w:rsidRDefault="001A3929" w:rsidP="00335772">
            <w:pPr>
              <w:rPr>
                <w:i/>
                <w:sz w:val="25"/>
                <w:szCs w:val="25"/>
              </w:rPr>
            </w:pPr>
            <w:r w:rsidRPr="00A94035">
              <w:rPr>
                <w:sz w:val="25"/>
                <w:szCs w:val="25"/>
              </w:rPr>
              <w:t>1. Budžeta ieņēmumi:</w:t>
            </w:r>
          </w:p>
        </w:tc>
        <w:tc>
          <w:tcPr>
            <w:tcW w:w="1560" w:type="dxa"/>
          </w:tcPr>
          <w:p w:rsidR="001A3929" w:rsidRPr="00A94035" w:rsidRDefault="001A3929" w:rsidP="00335772">
            <w:pPr>
              <w:jc w:val="center"/>
              <w:rPr>
                <w:sz w:val="25"/>
                <w:szCs w:val="25"/>
              </w:rPr>
            </w:pPr>
            <w:r w:rsidRPr="00A94035">
              <w:rPr>
                <w:sz w:val="25"/>
                <w:szCs w:val="25"/>
              </w:rPr>
              <w:t>0</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i/>
                <w:sz w:val="25"/>
                <w:szCs w:val="25"/>
              </w:rPr>
            </w:pPr>
            <w:r w:rsidRPr="00A94035">
              <w:rPr>
                <w:sz w:val="25"/>
                <w:szCs w:val="25"/>
              </w:rPr>
              <w:t>1.1. valsts pamatbudžets, tai skaitā ieņēmumi no maksas pakalpojumiem un citi pašu ieņēmumi</w:t>
            </w:r>
          </w:p>
        </w:tc>
        <w:tc>
          <w:tcPr>
            <w:tcW w:w="1560" w:type="dxa"/>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i/>
                <w:sz w:val="25"/>
                <w:szCs w:val="25"/>
              </w:rPr>
            </w:pPr>
            <w:r w:rsidRPr="00A94035">
              <w:rPr>
                <w:sz w:val="25"/>
                <w:szCs w:val="25"/>
              </w:rPr>
              <w:t>1.2. valsts speciālais budžets</w:t>
            </w:r>
          </w:p>
        </w:tc>
        <w:tc>
          <w:tcPr>
            <w:tcW w:w="1560" w:type="dxa"/>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i/>
                <w:sz w:val="25"/>
                <w:szCs w:val="25"/>
              </w:rPr>
            </w:pPr>
            <w:r w:rsidRPr="00A94035">
              <w:rPr>
                <w:sz w:val="25"/>
                <w:szCs w:val="25"/>
              </w:rPr>
              <w:t>1.3. pašvaldību budžets</w:t>
            </w:r>
          </w:p>
        </w:tc>
        <w:tc>
          <w:tcPr>
            <w:tcW w:w="1560" w:type="dxa"/>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2. Budžeta izdevumi:</w:t>
            </w:r>
          </w:p>
        </w:tc>
        <w:tc>
          <w:tcPr>
            <w:tcW w:w="1560" w:type="dxa"/>
          </w:tcPr>
          <w:p w:rsidR="001A3929" w:rsidRPr="00A94035" w:rsidRDefault="001A3929" w:rsidP="00335772">
            <w:pPr>
              <w:jc w:val="center"/>
              <w:rPr>
                <w:sz w:val="25"/>
                <w:szCs w:val="25"/>
              </w:rPr>
            </w:pPr>
            <w:r w:rsidRPr="00A94035">
              <w:rPr>
                <w:sz w:val="25"/>
                <w:szCs w:val="25"/>
              </w:rPr>
              <w:t>0</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4A1F66" w:rsidP="00335772">
            <w:pPr>
              <w:jc w:val="center"/>
              <w:rPr>
                <w:sz w:val="25"/>
                <w:szCs w:val="25"/>
              </w:rPr>
            </w:pPr>
            <w:r>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2.1. valsts pamatbudžets</w:t>
            </w:r>
          </w:p>
        </w:tc>
        <w:tc>
          <w:tcPr>
            <w:tcW w:w="1560" w:type="dxa"/>
          </w:tcPr>
          <w:p w:rsidR="001A3929" w:rsidRPr="00A94035" w:rsidRDefault="001A3929" w:rsidP="00335772">
            <w:pPr>
              <w:jc w:val="center"/>
              <w:rPr>
                <w:sz w:val="25"/>
                <w:szCs w:val="25"/>
              </w:rPr>
            </w:pPr>
            <w:r w:rsidRPr="00A94035">
              <w:rPr>
                <w:sz w:val="25"/>
                <w:szCs w:val="25"/>
              </w:rPr>
              <w:t>0</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4A1F66" w:rsidP="00335772">
            <w:pPr>
              <w:jc w:val="center"/>
              <w:rPr>
                <w:sz w:val="25"/>
                <w:szCs w:val="25"/>
              </w:rPr>
            </w:pPr>
            <w:r>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lastRenderedPageBreak/>
              <w:t>2.2. valsts speciālais budžets</w:t>
            </w:r>
          </w:p>
        </w:tc>
        <w:tc>
          <w:tcPr>
            <w:tcW w:w="1560" w:type="dxa"/>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 xml:space="preserve">2.3. pašvaldību budžets </w:t>
            </w:r>
          </w:p>
        </w:tc>
        <w:tc>
          <w:tcPr>
            <w:tcW w:w="1560" w:type="dxa"/>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3. Finansiālā ietekme:</w:t>
            </w:r>
          </w:p>
        </w:tc>
        <w:tc>
          <w:tcPr>
            <w:tcW w:w="1560" w:type="dxa"/>
            <w:shd w:val="clear" w:color="auto" w:fill="auto"/>
            <w:vAlign w:val="center"/>
          </w:tcPr>
          <w:p w:rsidR="001A3929" w:rsidRPr="00A94035" w:rsidRDefault="001A3929" w:rsidP="00335772">
            <w:pPr>
              <w:jc w:val="center"/>
              <w:rPr>
                <w:sz w:val="25"/>
                <w:szCs w:val="25"/>
              </w:rPr>
            </w:pPr>
            <w:r w:rsidRPr="00A94035">
              <w:rPr>
                <w:sz w:val="25"/>
                <w:szCs w:val="25"/>
              </w:rPr>
              <w:t>0</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4A1F66" w:rsidP="00335772">
            <w:pPr>
              <w:jc w:val="center"/>
              <w:rPr>
                <w:sz w:val="25"/>
                <w:szCs w:val="25"/>
              </w:rPr>
            </w:pPr>
            <w:r>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3.1. valsts pamatbudžets</w:t>
            </w:r>
          </w:p>
        </w:tc>
        <w:tc>
          <w:tcPr>
            <w:tcW w:w="1560" w:type="dxa"/>
            <w:shd w:val="clear" w:color="auto" w:fill="auto"/>
          </w:tcPr>
          <w:p w:rsidR="001A3929" w:rsidRPr="00A94035" w:rsidRDefault="001A3929" w:rsidP="00335772">
            <w:pPr>
              <w:jc w:val="center"/>
              <w:rPr>
                <w:sz w:val="25"/>
                <w:szCs w:val="25"/>
              </w:rPr>
            </w:pPr>
            <w:r w:rsidRPr="00A94035">
              <w:rPr>
                <w:sz w:val="25"/>
                <w:szCs w:val="25"/>
              </w:rPr>
              <w:t>0</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4A1F66" w:rsidP="00335772">
            <w:pPr>
              <w:jc w:val="center"/>
              <w:rPr>
                <w:sz w:val="25"/>
                <w:szCs w:val="25"/>
              </w:rPr>
            </w:pPr>
            <w:r>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3.2. speciālais budžets</w:t>
            </w:r>
          </w:p>
        </w:tc>
        <w:tc>
          <w:tcPr>
            <w:tcW w:w="1560" w:type="dxa"/>
            <w:shd w:val="clear" w:color="auto" w:fill="auto"/>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 xml:space="preserve">3.3. pašvaldību budžets </w:t>
            </w:r>
          </w:p>
        </w:tc>
        <w:tc>
          <w:tcPr>
            <w:tcW w:w="1560" w:type="dxa"/>
            <w:shd w:val="clear" w:color="auto" w:fill="auto"/>
          </w:tcPr>
          <w:p w:rsidR="001A3929" w:rsidRPr="00A94035" w:rsidRDefault="001A3929" w:rsidP="00335772">
            <w:pPr>
              <w:jc w:val="center"/>
              <w:rPr>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vMerge w:val="restart"/>
          </w:tcPr>
          <w:p w:rsidR="001A3929" w:rsidRPr="00A94035" w:rsidRDefault="001A3929" w:rsidP="00335772">
            <w:pPr>
              <w:rPr>
                <w:rFonts w:eastAsia="Calibri"/>
                <w:sz w:val="25"/>
                <w:szCs w:val="25"/>
              </w:rPr>
            </w:pPr>
            <w:r w:rsidRPr="00A94035">
              <w:rPr>
                <w:rFonts w:eastAsia="Calibri"/>
                <w:sz w:val="25"/>
                <w:szCs w:val="25"/>
              </w:rPr>
              <w:t>4. Finanšu līdzekļi papildu izdevumu finansēšanai (kompensējošu izdevumu samazinājumu norāda ar "+" zīmi)</w:t>
            </w:r>
          </w:p>
        </w:tc>
        <w:tc>
          <w:tcPr>
            <w:tcW w:w="1560" w:type="dxa"/>
            <w:vMerge w:val="restart"/>
          </w:tcPr>
          <w:p w:rsidR="001A3929" w:rsidRPr="00A94035" w:rsidRDefault="001A3929" w:rsidP="00335772">
            <w:pPr>
              <w:jc w:val="center"/>
              <w:rPr>
                <w:i/>
                <w:sz w:val="25"/>
                <w:szCs w:val="25"/>
              </w:rPr>
            </w:pPr>
            <w:r w:rsidRPr="00A94035">
              <w:rPr>
                <w:sz w:val="25"/>
                <w:szCs w:val="25"/>
              </w:rPr>
              <w:t>X</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vMerge/>
          </w:tcPr>
          <w:p w:rsidR="001A3929" w:rsidRPr="00A94035" w:rsidRDefault="001A3929" w:rsidP="00335772">
            <w:pPr>
              <w:rPr>
                <w:rFonts w:eastAsia="Calibri"/>
                <w:sz w:val="25"/>
                <w:szCs w:val="25"/>
              </w:rPr>
            </w:pPr>
          </w:p>
        </w:tc>
        <w:tc>
          <w:tcPr>
            <w:tcW w:w="1560" w:type="dxa"/>
            <w:vMerge/>
          </w:tcPr>
          <w:p w:rsidR="001A3929" w:rsidRPr="00A94035" w:rsidRDefault="001A3929" w:rsidP="00335772">
            <w:pPr>
              <w:jc w:val="center"/>
              <w:rPr>
                <w:i/>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vMerge/>
          </w:tcPr>
          <w:p w:rsidR="001A3929" w:rsidRPr="00A94035" w:rsidRDefault="001A3929" w:rsidP="00335772">
            <w:pPr>
              <w:rPr>
                <w:rFonts w:eastAsia="Calibri"/>
                <w:sz w:val="25"/>
                <w:szCs w:val="25"/>
              </w:rPr>
            </w:pPr>
          </w:p>
        </w:tc>
        <w:tc>
          <w:tcPr>
            <w:tcW w:w="1560" w:type="dxa"/>
            <w:vMerge/>
          </w:tcPr>
          <w:p w:rsidR="001A3929" w:rsidRPr="00A94035" w:rsidRDefault="001A3929" w:rsidP="00335772">
            <w:pPr>
              <w:jc w:val="center"/>
              <w:rPr>
                <w:i/>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5. Precizēta finansiālā ietekme:</w:t>
            </w:r>
          </w:p>
        </w:tc>
        <w:tc>
          <w:tcPr>
            <w:tcW w:w="1560" w:type="dxa"/>
            <w:vMerge w:val="restart"/>
          </w:tcPr>
          <w:p w:rsidR="001A3929" w:rsidRPr="00A94035" w:rsidRDefault="001A3929" w:rsidP="00335772">
            <w:pPr>
              <w:jc w:val="center"/>
              <w:rPr>
                <w:i/>
                <w:sz w:val="25"/>
                <w:szCs w:val="25"/>
              </w:rPr>
            </w:pPr>
            <w:r w:rsidRPr="00A94035">
              <w:rPr>
                <w:sz w:val="25"/>
                <w:szCs w:val="25"/>
              </w:rPr>
              <w:t>X</w:t>
            </w: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4A1F66" w:rsidP="00335772">
            <w:pPr>
              <w:jc w:val="center"/>
              <w:rPr>
                <w:sz w:val="25"/>
                <w:szCs w:val="25"/>
              </w:rPr>
            </w:pPr>
            <w:r>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5.1. valsts pamatbudžets</w:t>
            </w:r>
          </w:p>
        </w:tc>
        <w:tc>
          <w:tcPr>
            <w:tcW w:w="1560" w:type="dxa"/>
            <w:vMerge/>
            <w:vAlign w:val="center"/>
          </w:tcPr>
          <w:p w:rsidR="001A3929" w:rsidRPr="00A94035" w:rsidRDefault="001A3929" w:rsidP="00335772">
            <w:pPr>
              <w:jc w:val="center"/>
              <w:rPr>
                <w:i/>
                <w:sz w:val="25"/>
                <w:szCs w:val="25"/>
              </w:rPr>
            </w:pPr>
          </w:p>
        </w:tc>
        <w:tc>
          <w:tcPr>
            <w:tcW w:w="13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4A1F66" w:rsidP="00335772">
            <w:pPr>
              <w:jc w:val="center"/>
              <w:rPr>
                <w:sz w:val="25"/>
                <w:szCs w:val="25"/>
              </w:rPr>
            </w:pPr>
            <w:r>
              <w:rPr>
                <w:sz w:val="25"/>
                <w:szCs w:val="25"/>
              </w:rPr>
              <w:t>0</w:t>
            </w:r>
          </w:p>
        </w:tc>
        <w:tc>
          <w:tcPr>
            <w:tcW w:w="1194" w:type="dxa"/>
          </w:tcPr>
          <w:p w:rsidR="001A3929" w:rsidRPr="00A94035" w:rsidRDefault="001A3929" w:rsidP="00335772">
            <w:pPr>
              <w:jc w:val="center"/>
              <w:rPr>
                <w:sz w:val="25"/>
                <w:szCs w:val="25"/>
              </w:rPr>
            </w:pPr>
            <w:r w:rsidRPr="00A94035">
              <w:rPr>
                <w:sz w:val="25"/>
                <w:szCs w:val="25"/>
              </w:rPr>
              <w:t>0</w:t>
            </w:r>
          </w:p>
        </w:tc>
        <w:tc>
          <w:tcPr>
            <w:tcW w:w="1189" w:type="dxa"/>
          </w:tcPr>
          <w:p w:rsidR="001A3929" w:rsidRPr="00A94035" w:rsidRDefault="001A3929" w:rsidP="00335772">
            <w:pPr>
              <w:jc w:val="center"/>
              <w:rPr>
                <w:sz w:val="25"/>
                <w:szCs w:val="25"/>
              </w:rPr>
            </w:pPr>
            <w:r w:rsidRPr="00A94035">
              <w:rPr>
                <w:sz w:val="25"/>
                <w:szCs w:val="25"/>
              </w:rPr>
              <w:t>0</w:t>
            </w: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5.2. speciālais budžets</w:t>
            </w:r>
          </w:p>
        </w:tc>
        <w:tc>
          <w:tcPr>
            <w:tcW w:w="1560" w:type="dxa"/>
            <w:vMerge/>
            <w:vAlign w:val="center"/>
          </w:tcPr>
          <w:p w:rsidR="001A3929" w:rsidRPr="00A94035" w:rsidRDefault="001A3929" w:rsidP="00335772">
            <w:pPr>
              <w:jc w:val="center"/>
              <w:rPr>
                <w:i/>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A94035"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 xml:space="preserve">5.3. pašvaldību budžets </w:t>
            </w:r>
          </w:p>
        </w:tc>
        <w:tc>
          <w:tcPr>
            <w:tcW w:w="1560" w:type="dxa"/>
            <w:vMerge/>
            <w:vAlign w:val="center"/>
          </w:tcPr>
          <w:p w:rsidR="001A3929" w:rsidRPr="00A94035" w:rsidRDefault="001A3929" w:rsidP="00335772">
            <w:pPr>
              <w:jc w:val="center"/>
              <w:rPr>
                <w:i/>
                <w:sz w:val="25"/>
                <w:szCs w:val="25"/>
              </w:rPr>
            </w:pPr>
          </w:p>
        </w:tc>
        <w:tc>
          <w:tcPr>
            <w:tcW w:w="13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c>
          <w:tcPr>
            <w:tcW w:w="1194" w:type="dxa"/>
          </w:tcPr>
          <w:p w:rsidR="001A3929" w:rsidRPr="00A94035" w:rsidRDefault="001A3929" w:rsidP="00335772">
            <w:pPr>
              <w:jc w:val="center"/>
              <w:rPr>
                <w:sz w:val="25"/>
                <w:szCs w:val="25"/>
              </w:rPr>
            </w:pPr>
          </w:p>
        </w:tc>
        <w:tc>
          <w:tcPr>
            <w:tcW w:w="1189" w:type="dxa"/>
          </w:tcPr>
          <w:p w:rsidR="001A3929" w:rsidRPr="00A94035" w:rsidRDefault="001A3929" w:rsidP="00335772">
            <w:pPr>
              <w:jc w:val="center"/>
              <w:rPr>
                <w:sz w:val="25"/>
                <w:szCs w:val="25"/>
              </w:rPr>
            </w:pPr>
          </w:p>
        </w:tc>
      </w:tr>
      <w:tr w:rsidR="001A3929" w:rsidRPr="00A94035" w:rsidTr="00667D37">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6. Detalizēts ieņēmumu un izdevumu aprēķins (ja nepie</w:t>
            </w:r>
            <w:r w:rsidRPr="00A94035">
              <w:rPr>
                <w:rFonts w:eastAsia="Calibri"/>
                <w:sz w:val="25"/>
                <w:szCs w:val="25"/>
              </w:rPr>
              <w:softHyphen/>
              <w:t>ciešams, detalizētu ieņēmumu un izdevumu aprēķinu var pie</w:t>
            </w:r>
            <w:r w:rsidRPr="00A94035">
              <w:rPr>
                <w:rFonts w:eastAsia="Calibri"/>
                <w:sz w:val="25"/>
                <w:szCs w:val="25"/>
              </w:rPr>
              <w:softHyphen/>
              <w:t>vienot anotācijas pielikumā):</w:t>
            </w:r>
          </w:p>
        </w:tc>
        <w:tc>
          <w:tcPr>
            <w:tcW w:w="6526" w:type="dxa"/>
            <w:gridSpan w:val="5"/>
            <w:vMerge w:val="restart"/>
            <w:shd w:val="clear" w:color="auto" w:fill="auto"/>
          </w:tcPr>
          <w:p w:rsidR="001A3929" w:rsidRPr="00A94035" w:rsidRDefault="00667D37" w:rsidP="00667D37">
            <w:pPr>
              <w:rPr>
                <w:sz w:val="25"/>
                <w:szCs w:val="25"/>
              </w:rPr>
            </w:pPr>
            <w:r>
              <w:rPr>
                <w:sz w:val="25"/>
                <w:szCs w:val="25"/>
              </w:rPr>
              <w:t>Nav.</w:t>
            </w:r>
          </w:p>
        </w:tc>
      </w:tr>
      <w:tr w:rsidR="001A3929"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6.1. detalizēts ieņēmumu aprēķins</w:t>
            </w:r>
          </w:p>
        </w:tc>
        <w:tc>
          <w:tcPr>
            <w:tcW w:w="6526" w:type="dxa"/>
            <w:gridSpan w:val="5"/>
            <w:vMerge/>
            <w:shd w:val="clear" w:color="auto" w:fill="auto"/>
          </w:tcPr>
          <w:p w:rsidR="001A3929" w:rsidRPr="00A94035" w:rsidRDefault="001A3929" w:rsidP="00335772">
            <w:pPr>
              <w:rPr>
                <w:b/>
                <w:i/>
                <w:sz w:val="25"/>
                <w:szCs w:val="25"/>
              </w:rPr>
            </w:pPr>
          </w:p>
        </w:tc>
      </w:tr>
      <w:tr w:rsidR="001A3929" w:rsidRPr="00A94035" w:rsidTr="00A94035">
        <w:trPr>
          <w:jc w:val="center"/>
        </w:trPr>
        <w:tc>
          <w:tcPr>
            <w:tcW w:w="3397" w:type="dxa"/>
          </w:tcPr>
          <w:p w:rsidR="001A3929" w:rsidRPr="00A94035" w:rsidRDefault="001A3929" w:rsidP="00335772">
            <w:pPr>
              <w:rPr>
                <w:rFonts w:eastAsia="Calibri"/>
                <w:sz w:val="25"/>
                <w:szCs w:val="25"/>
              </w:rPr>
            </w:pPr>
            <w:r w:rsidRPr="00A94035">
              <w:rPr>
                <w:rFonts w:eastAsia="Calibri"/>
                <w:sz w:val="25"/>
                <w:szCs w:val="25"/>
              </w:rPr>
              <w:t>6.2. detalizēts izdevumu aprēķins</w:t>
            </w:r>
          </w:p>
        </w:tc>
        <w:tc>
          <w:tcPr>
            <w:tcW w:w="6526" w:type="dxa"/>
            <w:gridSpan w:val="5"/>
            <w:vMerge/>
            <w:shd w:val="clear" w:color="auto" w:fill="auto"/>
          </w:tcPr>
          <w:p w:rsidR="001A3929" w:rsidRPr="00A94035" w:rsidRDefault="001A3929" w:rsidP="00335772">
            <w:pPr>
              <w:rPr>
                <w:b/>
                <w:i/>
                <w:sz w:val="25"/>
                <w:szCs w:val="25"/>
              </w:rPr>
            </w:pPr>
          </w:p>
        </w:tc>
      </w:tr>
      <w:tr w:rsidR="00667D37" w:rsidRPr="00A94035" w:rsidTr="00886FFB">
        <w:trPr>
          <w:trHeight w:val="556"/>
          <w:jc w:val="center"/>
        </w:trPr>
        <w:tc>
          <w:tcPr>
            <w:tcW w:w="3397" w:type="dxa"/>
          </w:tcPr>
          <w:p w:rsidR="00667D37" w:rsidRPr="00A94035" w:rsidRDefault="00667D37" w:rsidP="00667D37">
            <w:pPr>
              <w:rPr>
                <w:rFonts w:eastAsia="Calibri"/>
                <w:sz w:val="25"/>
                <w:szCs w:val="25"/>
              </w:rPr>
            </w:pPr>
            <w:r w:rsidRPr="00A94035">
              <w:rPr>
                <w:rFonts w:eastAsia="Calibri"/>
                <w:sz w:val="25"/>
                <w:szCs w:val="25"/>
              </w:rPr>
              <w:t>7. Cita informācija</w:t>
            </w:r>
          </w:p>
        </w:tc>
        <w:tc>
          <w:tcPr>
            <w:tcW w:w="6526" w:type="dxa"/>
            <w:gridSpan w:val="5"/>
            <w:shd w:val="clear" w:color="auto" w:fill="auto"/>
            <w:vAlign w:val="center"/>
          </w:tcPr>
          <w:p w:rsidR="00667D37" w:rsidRDefault="00667D37" w:rsidP="00667D37">
            <w:pPr>
              <w:jc w:val="both"/>
              <w:rPr>
                <w:sz w:val="25"/>
                <w:szCs w:val="25"/>
              </w:rPr>
            </w:pPr>
            <w:r>
              <w:rPr>
                <w:sz w:val="25"/>
                <w:szCs w:val="25"/>
              </w:rPr>
              <w:tab/>
              <w:t>Saskaņā ar Noteikumu 27.punktu n</w:t>
            </w:r>
            <w:r w:rsidRPr="0040114F">
              <w:rPr>
                <w:sz w:val="25"/>
                <w:szCs w:val="25"/>
              </w:rPr>
              <w:t xml:space="preserve">audas balvu izmaksai izmantojami Izglītības un zinātnes ministrijas apakšprogrammai </w:t>
            </w:r>
            <w:r>
              <w:rPr>
                <w:sz w:val="25"/>
                <w:szCs w:val="25"/>
              </w:rPr>
              <w:t>„</w:t>
            </w:r>
            <w:r w:rsidRPr="0040114F">
              <w:rPr>
                <w:sz w:val="25"/>
                <w:szCs w:val="25"/>
              </w:rPr>
              <w:t>Balvas par izciliem sasniegu</w:t>
            </w:r>
            <w:r>
              <w:rPr>
                <w:sz w:val="25"/>
                <w:szCs w:val="25"/>
              </w:rPr>
              <w:t>miem sportā”</w:t>
            </w:r>
            <w:r w:rsidRPr="0040114F">
              <w:rPr>
                <w:sz w:val="25"/>
                <w:szCs w:val="25"/>
              </w:rPr>
              <w:t xml:space="preserve"> paredzētie valsts budžeta līdzekļi un citi valsts budžeta līdzekļi, ja par to pieņemts attiecīgs lēmums atbilstoši Likumam par budžetu un finanšu vadību.</w:t>
            </w:r>
          </w:p>
          <w:p w:rsidR="00667D37" w:rsidRPr="00A94035" w:rsidRDefault="00667D37" w:rsidP="00EA1D6E">
            <w:pPr>
              <w:jc w:val="both"/>
              <w:rPr>
                <w:sz w:val="25"/>
                <w:szCs w:val="25"/>
              </w:rPr>
            </w:pPr>
            <w:r>
              <w:rPr>
                <w:sz w:val="25"/>
                <w:szCs w:val="25"/>
              </w:rPr>
              <w:tab/>
            </w:r>
            <w:r w:rsidRPr="00A94035">
              <w:rPr>
                <w:sz w:val="25"/>
                <w:szCs w:val="25"/>
              </w:rPr>
              <w:t xml:space="preserve">Latvijas Nacionālās sporta padomes </w:t>
            </w:r>
            <w:r w:rsidRPr="00A94035">
              <w:rPr>
                <w:rFonts w:eastAsia="Calibri"/>
                <w:sz w:val="25"/>
                <w:szCs w:val="25"/>
              </w:rPr>
              <w:t>2014.gada 5.marta</w:t>
            </w:r>
            <w:r>
              <w:rPr>
                <w:rFonts w:eastAsia="Calibri"/>
                <w:sz w:val="25"/>
                <w:szCs w:val="25"/>
              </w:rPr>
              <w:t xml:space="preserve"> sēdē, izskatot jautājumu par </w:t>
            </w:r>
            <w:r w:rsidRPr="00D71544">
              <w:rPr>
                <w:rFonts w:eastAsia="Calibri"/>
                <w:sz w:val="25"/>
                <w:szCs w:val="25"/>
              </w:rPr>
              <w:t>naudas balvu piešķiršanu par izciliem sasniegumiem XXII Ziemas olimpiskajās spēlēs Sočos (Krievija)</w:t>
            </w:r>
            <w:r>
              <w:rPr>
                <w:rFonts w:eastAsia="Calibri"/>
                <w:sz w:val="25"/>
                <w:szCs w:val="25"/>
              </w:rPr>
              <w:t xml:space="preserve">, Ministru kabinetam tika izteikts priekšlikums </w:t>
            </w:r>
            <w:r w:rsidRPr="00A94035">
              <w:rPr>
                <w:rFonts w:eastAsia="Calibri"/>
                <w:sz w:val="25"/>
                <w:szCs w:val="25"/>
              </w:rPr>
              <w:t xml:space="preserve">(prot.Nr.1 </w:t>
            </w:r>
            <w:r>
              <w:rPr>
                <w:rFonts w:eastAsia="Calibri"/>
                <w:sz w:val="25"/>
                <w:szCs w:val="25"/>
              </w:rPr>
              <w:t>5</w:t>
            </w:r>
            <w:r w:rsidRPr="00A94035">
              <w:rPr>
                <w:rFonts w:eastAsia="Calibri"/>
                <w:sz w:val="25"/>
                <w:szCs w:val="25"/>
              </w:rPr>
              <w:t xml:space="preserve">.§, </w:t>
            </w:r>
            <w:r>
              <w:rPr>
                <w:rFonts w:eastAsia="Calibri"/>
                <w:sz w:val="25"/>
                <w:szCs w:val="25"/>
              </w:rPr>
              <w:t>5</w:t>
            </w:r>
            <w:r w:rsidRPr="00A94035">
              <w:rPr>
                <w:rFonts w:eastAsia="Calibri"/>
                <w:sz w:val="25"/>
                <w:szCs w:val="25"/>
              </w:rPr>
              <w:t>.</w:t>
            </w:r>
            <w:r>
              <w:rPr>
                <w:rFonts w:eastAsia="Calibri"/>
                <w:sz w:val="25"/>
                <w:szCs w:val="25"/>
              </w:rPr>
              <w:t>2</w:t>
            </w:r>
            <w:r w:rsidRPr="00A94035">
              <w:rPr>
                <w:rFonts w:eastAsia="Calibri"/>
                <w:sz w:val="25"/>
                <w:szCs w:val="25"/>
              </w:rPr>
              <w:t>.apakšpunkts)</w:t>
            </w:r>
            <w:r>
              <w:rPr>
                <w:rFonts w:eastAsia="Calibri"/>
                <w:sz w:val="25"/>
                <w:szCs w:val="25"/>
              </w:rPr>
              <w:t xml:space="preserve"> piešķirt naudas balvas par katru no A.Šica, J.Šica, O.Melbārža un D.Dreiškena sasniegumiem. Tādejādi Noteikumu projektam ir netieša ietekme uz iepriekšminēto naudas balvu izmaksai nepieciešamajiem valsts budžeta līdzekļiem (naudas balvas galvenokārt plānots izmaksāt no 2014.gada </w:t>
            </w:r>
            <w:r w:rsidRPr="001403CB">
              <w:rPr>
                <w:rFonts w:eastAsia="Calibri"/>
                <w:sz w:val="25"/>
                <w:szCs w:val="25"/>
              </w:rPr>
              <w:t>valsts budžeta programmas 02.00.00 „Līd</w:t>
            </w:r>
            <w:r>
              <w:rPr>
                <w:rFonts w:eastAsia="Calibri"/>
                <w:sz w:val="25"/>
                <w:szCs w:val="25"/>
              </w:rPr>
              <w:t>zekļi neparedzētiem gadījumiem”). Gadījumā, ja A.Šicam un J.Šicam, viņu treneriem</w:t>
            </w:r>
            <w:r w:rsidRPr="00861F07">
              <w:rPr>
                <w:bCs/>
                <w:sz w:val="25"/>
                <w:szCs w:val="25"/>
              </w:rPr>
              <w:t xml:space="preserve">, apkalpojošiem sporta darbiniekiem, tai skaitā sporta ārstiem, apkalpojošam personālam un </w:t>
            </w:r>
            <w:r>
              <w:rPr>
                <w:bCs/>
                <w:sz w:val="25"/>
                <w:szCs w:val="25"/>
              </w:rPr>
              <w:t xml:space="preserve">biedrībai „Latvijas Kamaniņu sporta federācija” naudas balvu piešķirtu tikai par trešo vietu </w:t>
            </w:r>
            <w:r w:rsidRPr="009609F4">
              <w:rPr>
                <w:bCs/>
                <w:sz w:val="25"/>
                <w:szCs w:val="25"/>
              </w:rPr>
              <w:t>kamaniņu komandu stafetē</w:t>
            </w:r>
            <w:r>
              <w:rPr>
                <w:bCs/>
                <w:sz w:val="25"/>
                <w:szCs w:val="25"/>
              </w:rPr>
              <w:t xml:space="preserve">, savukārt O.Melbārdim un D.Dreiškenam, </w:t>
            </w:r>
            <w:r>
              <w:rPr>
                <w:rFonts w:eastAsia="Calibri"/>
                <w:sz w:val="25"/>
                <w:szCs w:val="25"/>
              </w:rPr>
              <w:t>viņu treneriem</w:t>
            </w:r>
            <w:r w:rsidRPr="00861F07">
              <w:rPr>
                <w:bCs/>
                <w:sz w:val="25"/>
                <w:szCs w:val="25"/>
              </w:rPr>
              <w:t xml:space="preserve">, apkalpojošiem sporta </w:t>
            </w:r>
            <w:r w:rsidRPr="00861F07">
              <w:rPr>
                <w:bCs/>
                <w:sz w:val="25"/>
                <w:szCs w:val="25"/>
              </w:rPr>
              <w:lastRenderedPageBreak/>
              <w:t xml:space="preserve">darbiniekiem, tai skaitā sporta ārstiem, </w:t>
            </w:r>
            <w:r>
              <w:rPr>
                <w:bCs/>
                <w:sz w:val="25"/>
                <w:szCs w:val="25"/>
              </w:rPr>
              <w:t xml:space="preserve">un </w:t>
            </w:r>
            <w:r w:rsidRPr="00861F07">
              <w:rPr>
                <w:bCs/>
                <w:sz w:val="25"/>
                <w:szCs w:val="25"/>
              </w:rPr>
              <w:t>apkalpojošam personālam</w:t>
            </w:r>
            <w:r>
              <w:rPr>
                <w:bCs/>
                <w:sz w:val="25"/>
                <w:szCs w:val="25"/>
              </w:rPr>
              <w:t xml:space="preserve"> </w:t>
            </w:r>
            <w:r w:rsidR="00DC04CF">
              <w:rPr>
                <w:bCs/>
                <w:sz w:val="25"/>
                <w:szCs w:val="25"/>
              </w:rPr>
              <w:t xml:space="preserve">naudas balvu </w:t>
            </w:r>
            <w:r>
              <w:rPr>
                <w:bCs/>
                <w:sz w:val="25"/>
                <w:szCs w:val="25"/>
              </w:rPr>
              <w:t xml:space="preserve">piešķirtu tikai par otro vietu bobslejā divniekiem, tad provizoriskais naudas balvu izmaksai nepieciešamais </w:t>
            </w:r>
            <w:r w:rsidR="00C36283">
              <w:rPr>
                <w:bCs/>
                <w:sz w:val="25"/>
                <w:szCs w:val="25"/>
              </w:rPr>
              <w:t xml:space="preserve">valsts budžeta </w:t>
            </w:r>
            <w:r>
              <w:rPr>
                <w:bCs/>
                <w:sz w:val="25"/>
                <w:szCs w:val="25"/>
              </w:rPr>
              <w:t xml:space="preserve">līdzekļu apmērs samazinātos par </w:t>
            </w:r>
            <w:r w:rsidRPr="00ED0378">
              <w:rPr>
                <w:bCs/>
                <w:sz w:val="25"/>
                <w:szCs w:val="25"/>
              </w:rPr>
              <w:t>238</w:t>
            </w:r>
            <w:r>
              <w:rPr>
                <w:bCs/>
                <w:sz w:val="25"/>
                <w:szCs w:val="25"/>
              </w:rPr>
              <w:t>`</w:t>
            </w:r>
            <w:r w:rsidRPr="00ED0378">
              <w:rPr>
                <w:bCs/>
                <w:sz w:val="25"/>
                <w:szCs w:val="25"/>
              </w:rPr>
              <w:t>679</w:t>
            </w:r>
            <w:r>
              <w:rPr>
                <w:bCs/>
                <w:sz w:val="25"/>
                <w:szCs w:val="25"/>
              </w:rPr>
              <w:t xml:space="preserve"> </w:t>
            </w:r>
            <w:r w:rsidRPr="00ED0378">
              <w:rPr>
                <w:bCs/>
                <w:i/>
                <w:sz w:val="25"/>
                <w:szCs w:val="25"/>
              </w:rPr>
              <w:t>euro</w:t>
            </w:r>
            <w:r>
              <w:rPr>
                <w:bCs/>
                <w:sz w:val="25"/>
                <w:szCs w:val="25"/>
              </w:rPr>
              <w:t xml:space="preserve"> (</w:t>
            </w:r>
            <w:r w:rsidRPr="00ED0378">
              <w:rPr>
                <w:bCs/>
                <w:sz w:val="25"/>
                <w:szCs w:val="25"/>
              </w:rPr>
              <w:t xml:space="preserve">tai skaitā </w:t>
            </w:r>
            <w:r>
              <w:rPr>
                <w:bCs/>
                <w:sz w:val="25"/>
                <w:szCs w:val="25"/>
              </w:rPr>
              <w:t xml:space="preserve">46`326 </w:t>
            </w:r>
            <w:r w:rsidRPr="00ED0378">
              <w:rPr>
                <w:bCs/>
                <w:i/>
                <w:sz w:val="25"/>
                <w:szCs w:val="25"/>
              </w:rPr>
              <w:t>euro</w:t>
            </w:r>
            <w:r>
              <w:rPr>
                <w:bCs/>
                <w:sz w:val="25"/>
                <w:szCs w:val="25"/>
              </w:rPr>
              <w:t xml:space="preserve"> </w:t>
            </w:r>
            <w:r w:rsidRPr="00ED0378">
              <w:rPr>
                <w:bCs/>
                <w:sz w:val="25"/>
                <w:szCs w:val="25"/>
              </w:rPr>
              <w:t>nodokļu samaksai</w:t>
            </w:r>
            <w:r>
              <w:rPr>
                <w:bCs/>
                <w:sz w:val="25"/>
                <w:szCs w:val="25"/>
              </w:rPr>
              <w:t>).</w:t>
            </w:r>
            <w:r w:rsidRPr="00A94035">
              <w:rPr>
                <w:sz w:val="25"/>
                <w:szCs w:val="25"/>
              </w:rPr>
              <w:t xml:space="preserve"> </w:t>
            </w:r>
          </w:p>
        </w:tc>
      </w:tr>
    </w:tbl>
    <w:p w:rsidR="001A3929" w:rsidRPr="00A94035" w:rsidRDefault="001A3929" w:rsidP="001A3929">
      <w:pPr>
        <w:rPr>
          <w:sz w:val="25"/>
          <w:szCs w:val="25"/>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717"/>
        <w:gridCol w:w="6758"/>
      </w:tblGrid>
      <w:tr w:rsidR="001A3929" w:rsidRPr="00A94035" w:rsidTr="00A9403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A3929" w:rsidRPr="00A94035" w:rsidRDefault="001A3929" w:rsidP="00335772">
            <w:pPr>
              <w:ind w:firstLine="300"/>
              <w:jc w:val="center"/>
              <w:rPr>
                <w:b/>
                <w:bCs/>
                <w:sz w:val="25"/>
                <w:szCs w:val="25"/>
              </w:rPr>
            </w:pPr>
            <w:r w:rsidRPr="00A94035">
              <w:rPr>
                <w:b/>
                <w:bCs/>
                <w:sz w:val="25"/>
                <w:szCs w:val="25"/>
              </w:rPr>
              <w:t>VI. Sabiedrības līdzdalība un komunikācijas aktivitātes</w:t>
            </w:r>
          </w:p>
        </w:tc>
      </w:tr>
      <w:tr w:rsidR="001A3929" w:rsidRPr="00A94035" w:rsidTr="00A94035">
        <w:trPr>
          <w:trHeight w:val="540"/>
        </w:trPr>
        <w:tc>
          <w:tcPr>
            <w:tcW w:w="226"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D246DB">
            <w:pPr>
              <w:jc w:val="center"/>
              <w:rPr>
                <w:sz w:val="25"/>
                <w:szCs w:val="25"/>
              </w:rPr>
            </w:pPr>
            <w:r w:rsidRPr="00A94035">
              <w:rPr>
                <w:sz w:val="25"/>
                <w:szCs w:val="25"/>
              </w:rPr>
              <w:t>1.</w:t>
            </w:r>
          </w:p>
        </w:tc>
        <w:tc>
          <w:tcPr>
            <w:tcW w:w="1369"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77" w:right="170"/>
              <w:rPr>
                <w:sz w:val="25"/>
                <w:szCs w:val="25"/>
              </w:rPr>
            </w:pPr>
            <w:r w:rsidRPr="00A94035">
              <w:rPr>
                <w:sz w:val="25"/>
                <w:szCs w:val="25"/>
              </w:rPr>
              <w:t>Plānotās sabiedrības līdzdalības un komunikācijas aktivitātes saistībā ar projektu</w:t>
            </w:r>
          </w:p>
        </w:tc>
        <w:tc>
          <w:tcPr>
            <w:tcW w:w="3405"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327432">
            <w:pPr>
              <w:ind w:left="54" w:right="102"/>
              <w:jc w:val="both"/>
              <w:rPr>
                <w:sz w:val="25"/>
                <w:szCs w:val="25"/>
              </w:rPr>
            </w:pPr>
            <w:r w:rsidRPr="00A94035">
              <w:rPr>
                <w:sz w:val="25"/>
                <w:szCs w:val="25"/>
              </w:rPr>
              <w:t xml:space="preserve">Par </w:t>
            </w:r>
            <w:r w:rsidR="00327432">
              <w:rPr>
                <w:sz w:val="25"/>
                <w:szCs w:val="25"/>
              </w:rPr>
              <w:t xml:space="preserve">Noteikumu projekta izstrādes uzsākšanu sabiedrība tika informēta ar plašsaziņas līdzekļu starpniecību 2014.gada 25.februārī. Par izstrādāto Noteikumu projektu sabiedrība tika informēta arī </w:t>
            </w:r>
            <w:r w:rsidR="00903F0B">
              <w:rPr>
                <w:sz w:val="25"/>
                <w:szCs w:val="25"/>
              </w:rPr>
              <w:t xml:space="preserve">pirms un </w:t>
            </w:r>
            <w:r w:rsidR="00327432">
              <w:rPr>
                <w:sz w:val="25"/>
                <w:szCs w:val="25"/>
              </w:rPr>
              <w:t>pēc Latvijas Nacionālās sporta padomes 2014.g</w:t>
            </w:r>
            <w:r w:rsidR="00903F0B">
              <w:rPr>
                <w:sz w:val="25"/>
                <w:szCs w:val="25"/>
              </w:rPr>
              <w:t>a</w:t>
            </w:r>
            <w:r w:rsidR="00327432">
              <w:rPr>
                <w:sz w:val="25"/>
                <w:szCs w:val="25"/>
              </w:rPr>
              <w:t>da 5.marta sēdes.</w:t>
            </w:r>
          </w:p>
        </w:tc>
      </w:tr>
      <w:tr w:rsidR="001A3929" w:rsidRPr="00A94035" w:rsidTr="00A94035">
        <w:trPr>
          <w:trHeight w:val="330"/>
        </w:trPr>
        <w:tc>
          <w:tcPr>
            <w:tcW w:w="226"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D246DB">
            <w:pPr>
              <w:jc w:val="center"/>
              <w:rPr>
                <w:sz w:val="25"/>
                <w:szCs w:val="25"/>
              </w:rPr>
            </w:pPr>
            <w:r w:rsidRPr="00A94035">
              <w:rPr>
                <w:sz w:val="25"/>
                <w:szCs w:val="25"/>
              </w:rPr>
              <w:t>2.</w:t>
            </w:r>
          </w:p>
        </w:tc>
        <w:tc>
          <w:tcPr>
            <w:tcW w:w="1369"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77" w:right="170"/>
              <w:rPr>
                <w:sz w:val="25"/>
                <w:szCs w:val="25"/>
              </w:rPr>
            </w:pPr>
            <w:r w:rsidRPr="00A94035">
              <w:rPr>
                <w:sz w:val="25"/>
                <w:szCs w:val="25"/>
              </w:rPr>
              <w:t>Sabiedrības līdzdalība projekta izstrādē</w:t>
            </w:r>
          </w:p>
        </w:tc>
        <w:tc>
          <w:tcPr>
            <w:tcW w:w="3405" w:type="pct"/>
            <w:tcBorders>
              <w:top w:val="outset" w:sz="6" w:space="0" w:color="414142"/>
              <w:left w:val="outset" w:sz="6" w:space="0" w:color="414142"/>
              <w:bottom w:val="outset" w:sz="6" w:space="0" w:color="414142"/>
              <w:right w:val="outset" w:sz="6" w:space="0" w:color="414142"/>
            </w:tcBorders>
            <w:hideMark/>
          </w:tcPr>
          <w:p w:rsidR="001A3929" w:rsidRPr="00A94035" w:rsidRDefault="00327432" w:rsidP="0004575B">
            <w:pPr>
              <w:ind w:left="54" w:right="102"/>
              <w:jc w:val="both"/>
              <w:rPr>
                <w:sz w:val="25"/>
                <w:szCs w:val="25"/>
              </w:rPr>
            </w:pPr>
            <w:r>
              <w:rPr>
                <w:sz w:val="25"/>
                <w:szCs w:val="25"/>
              </w:rPr>
              <w:t xml:space="preserve">Noteikumu projekta apspriešanas laikā Latvijas Nacionālās sporta padomes 2014.gada 5.marta sēdē piedalījās biedrības „Latvijas Olimpiskā komiteja”, biedrības „Latvijas Sporta federāciju padome”, biedrības „Latvijas Paralimpiskā komiteja”, </w:t>
            </w:r>
            <w:r w:rsidR="0004575B" w:rsidRPr="0004575B">
              <w:rPr>
                <w:sz w:val="25"/>
                <w:szCs w:val="25"/>
              </w:rPr>
              <w:t>biedrības „Latvijas Pašvaldību savienība”</w:t>
            </w:r>
            <w:r w:rsidR="0004575B">
              <w:rPr>
                <w:sz w:val="25"/>
                <w:szCs w:val="25"/>
              </w:rPr>
              <w:t xml:space="preserve">, </w:t>
            </w:r>
            <w:r w:rsidR="0004575B" w:rsidRPr="0004575B">
              <w:rPr>
                <w:sz w:val="25"/>
                <w:szCs w:val="25"/>
              </w:rPr>
              <w:t>biedrības „Latvijas Augstsk</w:t>
            </w:r>
            <w:r w:rsidR="0004575B">
              <w:rPr>
                <w:sz w:val="25"/>
                <w:szCs w:val="25"/>
              </w:rPr>
              <w:t xml:space="preserve">olu sporta savienība”, </w:t>
            </w:r>
            <w:r w:rsidR="0004575B" w:rsidRPr="0004575B">
              <w:rPr>
                <w:sz w:val="25"/>
                <w:szCs w:val="25"/>
              </w:rPr>
              <w:t>biedrības „Latvijas Sporta izglī</w:t>
            </w:r>
            <w:r w:rsidR="0004575B">
              <w:rPr>
                <w:sz w:val="25"/>
                <w:szCs w:val="25"/>
              </w:rPr>
              <w:t xml:space="preserve">tības iestāžu direktoru padome”, </w:t>
            </w:r>
            <w:r w:rsidR="0004575B" w:rsidRPr="0004575B">
              <w:rPr>
                <w:sz w:val="25"/>
                <w:szCs w:val="25"/>
              </w:rPr>
              <w:t>biedrības „Latvijas Sporta veterānu</w:t>
            </w:r>
            <w:r w:rsidR="0004575B">
              <w:rPr>
                <w:sz w:val="25"/>
                <w:szCs w:val="25"/>
              </w:rPr>
              <w:t xml:space="preserve"> – senioru savienība” un </w:t>
            </w:r>
            <w:r w:rsidR="0004575B" w:rsidRPr="0004575B">
              <w:rPr>
                <w:sz w:val="25"/>
                <w:szCs w:val="25"/>
              </w:rPr>
              <w:t xml:space="preserve">biedrības „Latvijas Tautas sporta asociācija” </w:t>
            </w:r>
            <w:r w:rsidR="0004575B">
              <w:rPr>
                <w:sz w:val="25"/>
                <w:szCs w:val="25"/>
              </w:rPr>
              <w:t>pārstāvji.</w:t>
            </w:r>
          </w:p>
        </w:tc>
      </w:tr>
      <w:tr w:rsidR="001A3929" w:rsidRPr="00A94035" w:rsidTr="00A94035">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D246DB">
            <w:pPr>
              <w:jc w:val="center"/>
              <w:rPr>
                <w:sz w:val="25"/>
                <w:szCs w:val="25"/>
              </w:rPr>
            </w:pPr>
            <w:r w:rsidRPr="00A94035">
              <w:rPr>
                <w:sz w:val="25"/>
                <w:szCs w:val="25"/>
              </w:rPr>
              <w:t>3.</w:t>
            </w:r>
          </w:p>
        </w:tc>
        <w:tc>
          <w:tcPr>
            <w:tcW w:w="1369"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77" w:right="170"/>
              <w:rPr>
                <w:sz w:val="25"/>
                <w:szCs w:val="25"/>
              </w:rPr>
            </w:pPr>
            <w:r w:rsidRPr="00A94035">
              <w:rPr>
                <w:sz w:val="25"/>
                <w:szCs w:val="25"/>
              </w:rPr>
              <w:t>Sabiedrības līdzdalības rezultāti</w:t>
            </w:r>
          </w:p>
        </w:tc>
        <w:tc>
          <w:tcPr>
            <w:tcW w:w="3405" w:type="pct"/>
            <w:tcBorders>
              <w:top w:val="outset" w:sz="6" w:space="0" w:color="414142"/>
              <w:left w:val="outset" w:sz="6" w:space="0" w:color="414142"/>
              <w:bottom w:val="outset" w:sz="6" w:space="0" w:color="414142"/>
              <w:right w:val="outset" w:sz="6" w:space="0" w:color="414142"/>
            </w:tcBorders>
            <w:hideMark/>
          </w:tcPr>
          <w:p w:rsidR="001A3929" w:rsidRPr="00A94035" w:rsidRDefault="00327432" w:rsidP="00EA1D6E">
            <w:pPr>
              <w:ind w:left="54" w:right="102"/>
              <w:jc w:val="both"/>
              <w:rPr>
                <w:sz w:val="25"/>
                <w:szCs w:val="25"/>
              </w:rPr>
            </w:pPr>
            <w:r>
              <w:rPr>
                <w:bCs/>
                <w:sz w:val="25"/>
                <w:szCs w:val="25"/>
              </w:rPr>
              <w:t xml:space="preserve">Noteikumu projekts ir atbalstīts </w:t>
            </w:r>
            <w:r w:rsidRPr="00C7179F">
              <w:rPr>
                <w:bCs/>
                <w:sz w:val="25"/>
                <w:szCs w:val="25"/>
              </w:rPr>
              <w:t>Latvijas Nacionālās sporta padomes 2014.gada 5.marta sēdē (prot.Nr.1 4.§, 4.1.apakšpunkts).</w:t>
            </w:r>
          </w:p>
        </w:tc>
      </w:tr>
      <w:tr w:rsidR="001A3929" w:rsidRPr="00A94035" w:rsidTr="00A94035">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D246DB">
            <w:pPr>
              <w:jc w:val="center"/>
              <w:rPr>
                <w:sz w:val="25"/>
                <w:szCs w:val="25"/>
              </w:rPr>
            </w:pPr>
            <w:r w:rsidRPr="00A94035">
              <w:rPr>
                <w:sz w:val="25"/>
                <w:szCs w:val="25"/>
              </w:rPr>
              <w:t>4.</w:t>
            </w:r>
          </w:p>
        </w:tc>
        <w:tc>
          <w:tcPr>
            <w:tcW w:w="1369"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77" w:right="170"/>
              <w:rPr>
                <w:sz w:val="25"/>
                <w:szCs w:val="25"/>
              </w:rPr>
            </w:pPr>
            <w:r w:rsidRPr="00A94035">
              <w:rPr>
                <w:sz w:val="25"/>
                <w:szCs w:val="25"/>
              </w:rPr>
              <w:t>Cita informācija</w:t>
            </w:r>
          </w:p>
        </w:tc>
        <w:tc>
          <w:tcPr>
            <w:tcW w:w="3405" w:type="pct"/>
            <w:tcBorders>
              <w:top w:val="outset" w:sz="6" w:space="0" w:color="414142"/>
              <w:left w:val="outset" w:sz="6" w:space="0" w:color="414142"/>
              <w:bottom w:val="outset" w:sz="6" w:space="0" w:color="414142"/>
              <w:right w:val="outset" w:sz="6" w:space="0" w:color="414142"/>
            </w:tcBorders>
            <w:hideMark/>
          </w:tcPr>
          <w:p w:rsidR="001A3929" w:rsidRPr="00A94035" w:rsidRDefault="001A3929" w:rsidP="004658EE">
            <w:pPr>
              <w:ind w:left="54" w:right="102"/>
              <w:rPr>
                <w:sz w:val="25"/>
                <w:szCs w:val="25"/>
              </w:rPr>
            </w:pPr>
            <w:r w:rsidRPr="00A94035">
              <w:rPr>
                <w:sz w:val="25"/>
                <w:szCs w:val="25"/>
              </w:rPr>
              <w:t>Nav</w:t>
            </w:r>
          </w:p>
        </w:tc>
      </w:tr>
    </w:tbl>
    <w:p w:rsidR="008A690E" w:rsidRDefault="008A690E" w:rsidP="004A1F66">
      <w:pPr>
        <w:ind w:firstLine="709"/>
        <w:rPr>
          <w:i/>
          <w:iCs/>
          <w:sz w:val="25"/>
          <w:szCs w:val="25"/>
        </w:rPr>
      </w:pPr>
    </w:p>
    <w:p w:rsidR="004A1F66" w:rsidRPr="004A1F66" w:rsidRDefault="004A1F66" w:rsidP="004A1F66">
      <w:pPr>
        <w:ind w:firstLine="709"/>
        <w:rPr>
          <w:i/>
          <w:iCs/>
          <w:sz w:val="25"/>
          <w:szCs w:val="25"/>
        </w:rPr>
      </w:pPr>
      <w:r w:rsidRPr="004A1F66">
        <w:rPr>
          <w:i/>
          <w:iCs/>
          <w:sz w:val="25"/>
          <w:szCs w:val="25"/>
        </w:rPr>
        <w:t>Anotācijas II, IV, V un VI</w:t>
      </w:r>
      <w:r w:rsidR="008A690E">
        <w:rPr>
          <w:i/>
          <w:iCs/>
          <w:sz w:val="25"/>
          <w:szCs w:val="25"/>
        </w:rPr>
        <w:t>I</w:t>
      </w:r>
      <w:r w:rsidRPr="004A1F66">
        <w:rPr>
          <w:i/>
          <w:iCs/>
          <w:sz w:val="25"/>
          <w:szCs w:val="25"/>
        </w:rPr>
        <w:t xml:space="preserve"> sadaļa – </w:t>
      </w:r>
      <w:r w:rsidR="008A690E">
        <w:rPr>
          <w:i/>
          <w:iCs/>
          <w:sz w:val="25"/>
          <w:szCs w:val="25"/>
        </w:rPr>
        <w:t xml:space="preserve">Noteikumu </w:t>
      </w:r>
      <w:r w:rsidRPr="004A1F66">
        <w:rPr>
          <w:i/>
          <w:iCs/>
          <w:sz w:val="25"/>
          <w:szCs w:val="25"/>
        </w:rPr>
        <w:t>projekts šīs jomas neskar.</w:t>
      </w:r>
    </w:p>
    <w:p w:rsidR="004A1F66" w:rsidRPr="00A94035" w:rsidRDefault="004A1F66" w:rsidP="001A3929">
      <w:pPr>
        <w:rPr>
          <w:sz w:val="25"/>
          <w:szCs w:val="25"/>
        </w:rPr>
      </w:pPr>
    </w:p>
    <w:p w:rsidR="001A3929" w:rsidRPr="001A3929" w:rsidRDefault="001A3929" w:rsidP="00EF7EFD">
      <w:pPr>
        <w:ind w:firstLine="709"/>
        <w:jc w:val="both"/>
        <w:rPr>
          <w:sz w:val="25"/>
          <w:szCs w:val="25"/>
        </w:rPr>
      </w:pPr>
    </w:p>
    <w:p w:rsidR="00EF7EFD" w:rsidRPr="001A3929" w:rsidRDefault="00EF7EFD" w:rsidP="00EF7EFD">
      <w:pPr>
        <w:ind w:firstLine="709"/>
        <w:jc w:val="both"/>
        <w:rPr>
          <w:sz w:val="25"/>
          <w:szCs w:val="25"/>
        </w:rPr>
      </w:pPr>
      <w:r w:rsidRPr="001A3929">
        <w:rPr>
          <w:sz w:val="25"/>
          <w:szCs w:val="25"/>
        </w:rPr>
        <w:t>Izglītības un zinātnes ministre</w:t>
      </w:r>
      <w:r w:rsidRPr="001A3929">
        <w:rPr>
          <w:sz w:val="25"/>
          <w:szCs w:val="25"/>
        </w:rPr>
        <w:tab/>
      </w:r>
      <w:r w:rsidRPr="001A3929">
        <w:rPr>
          <w:sz w:val="25"/>
          <w:szCs w:val="25"/>
        </w:rPr>
        <w:tab/>
      </w:r>
      <w:r w:rsidRPr="001A3929">
        <w:rPr>
          <w:sz w:val="25"/>
          <w:szCs w:val="25"/>
        </w:rPr>
        <w:tab/>
      </w:r>
      <w:r w:rsidRPr="001A3929">
        <w:rPr>
          <w:sz w:val="25"/>
          <w:szCs w:val="25"/>
        </w:rPr>
        <w:tab/>
        <w:t xml:space="preserve">   Ina Druviete</w:t>
      </w:r>
    </w:p>
    <w:p w:rsidR="00EF7EFD" w:rsidRPr="001A3929" w:rsidRDefault="00EF7EFD" w:rsidP="00EF7EFD">
      <w:pPr>
        <w:ind w:firstLine="709"/>
        <w:jc w:val="both"/>
        <w:rPr>
          <w:sz w:val="25"/>
          <w:szCs w:val="25"/>
        </w:rPr>
      </w:pPr>
    </w:p>
    <w:p w:rsidR="00EF7EFD" w:rsidRPr="001A3929" w:rsidRDefault="00EF7EFD" w:rsidP="00EF7EFD">
      <w:pPr>
        <w:ind w:firstLine="709"/>
        <w:jc w:val="both"/>
        <w:rPr>
          <w:sz w:val="25"/>
          <w:szCs w:val="25"/>
        </w:rPr>
      </w:pPr>
    </w:p>
    <w:p w:rsidR="00EF7EFD" w:rsidRPr="001A3929" w:rsidRDefault="00EF7EFD" w:rsidP="00EF7EFD">
      <w:pPr>
        <w:ind w:left="709"/>
        <w:rPr>
          <w:sz w:val="25"/>
          <w:szCs w:val="25"/>
        </w:rPr>
      </w:pPr>
      <w:r w:rsidRPr="001A3929">
        <w:rPr>
          <w:sz w:val="25"/>
          <w:szCs w:val="25"/>
        </w:rPr>
        <w:t>Vizē:</w:t>
      </w:r>
    </w:p>
    <w:p w:rsidR="00EF7EFD" w:rsidRPr="001A3929" w:rsidRDefault="00EF7EFD" w:rsidP="00EF7EFD">
      <w:pPr>
        <w:ind w:left="709"/>
        <w:rPr>
          <w:sz w:val="25"/>
          <w:szCs w:val="25"/>
        </w:rPr>
      </w:pPr>
      <w:r w:rsidRPr="001A3929">
        <w:rPr>
          <w:sz w:val="25"/>
          <w:szCs w:val="25"/>
        </w:rPr>
        <w:t>Valsts sekretāre</w:t>
      </w:r>
      <w:r w:rsidRPr="001A3929">
        <w:rPr>
          <w:sz w:val="25"/>
          <w:szCs w:val="25"/>
        </w:rPr>
        <w:tab/>
      </w:r>
      <w:r w:rsidRPr="001A3929">
        <w:rPr>
          <w:sz w:val="25"/>
          <w:szCs w:val="25"/>
        </w:rPr>
        <w:tab/>
      </w:r>
      <w:r w:rsidRPr="001A3929">
        <w:rPr>
          <w:sz w:val="25"/>
          <w:szCs w:val="25"/>
        </w:rPr>
        <w:tab/>
      </w:r>
      <w:r w:rsidRPr="001A3929">
        <w:rPr>
          <w:sz w:val="25"/>
          <w:szCs w:val="25"/>
        </w:rPr>
        <w:tab/>
      </w:r>
      <w:r w:rsidRPr="001A3929">
        <w:rPr>
          <w:sz w:val="25"/>
          <w:szCs w:val="25"/>
        </w:rPr>
        <w:tab/>
      </w:r>
      <w:r w:rsidRPr="001A3929">
        <w:rPr>
          <w:sz w:val="25"/>
          <w:szCs w:val="25"/>
        </w:rPr>
        <w:tab/>
        <w:t xml:space="preserve">   Sanda Liepiņa</w:t>
      </w:r>
    </w:p>
    <w:p w:rsidR="00EF7EFD" w:rsidRPr="008B4C61" w:rsidRDefault="00EF7EFD" w:rsidP="00EF7EFD"/>
    <w:p w:rsidR="00EF7EFD" w:rsidRDefault="00EF7EFD" w:rsidP="00EF7EFD">
      <w:pPr>
        <w:ind w:left="720"/>
      </w:pPr>
    </w:p>
    <w:p w:rsidR="0009767A" w:rsidRDefault="0009767A" w:rsidP="00EF7EFD">
      <w:pPr>
        <w:ind w:left="720"/>
      </w:pPr>
    </w:p>
    <w:p w:rsidR="00EF7EFD" w:rsidRDefault="00EF7EFD" w:rsidP="00EF7EFD">
      <w:pPr>
        <w:ind w:left="720"/>
      </w:pPr>
    </w:p>
    <w:p w:rsidR="00EF7EFD" w:rsidRDefault="00EF7EFD" w:rsidP="00EF7EFD">
      <w:pPr>
        <w:ind w:left="720"/>
      </w:pPr>
    </w:p>
    <w:p w:rsidR="00EF7EFD" w:rsidRPr="00540F11" w:rsidRDefault="00EF7EFD" w:rsidP="00EF7EFD">
      <w:pPr>
        <w:ind w:left="720"/>
        <w:rPr>
          <w:sz w:val="22"/>
          <w:szCs w:val="22"/>
        </w:rPr>
      </w:pPr>
      <w:r w:rsidRPr="00540F11">
        <w:rPr>
          <w:sz w:val="22"/>
          <w:szCs w:val="22"/>
        </w:rPr>
        <w:t>0</w:t>
      </w:r>
      <w:r w:rsidR="00CA754F" w:rsidRPr="00540F11">
        <w:rPr>
          <w:sz w:val="22"/>
          <w:szCs w:val="22"/>
        </w:rPr>
        <w:t>6</w:t>
      </w:r>
      <w:r w:rsidRPr="00540F11">
        <w:rPr>
          <w:sz w:val="22"/>
          <w:szCs w:val="22"/>
        </w:rPr>
        <w:t xml:space="preserve">.03.2014. </w:t>
      </w:r>
      <w:r w:rsidR="007C2F47">
        <w:rPr>
          <w:sz w:val="22"/>
          <w:szCs w:val="22"/>
        </w:rPr>
        <w:t>10</w:t>
      </w:r>
      <w:r w:rsidRPr="00540F11">
        <w:rPr>
          <w:sz w:val="22"/>
          <w:szCs w:val="22"/>
        </w:rPr>
        <w:t>:</w:t>
      </w:r>
      <w:r w:rsidR="007C2F47">
        <w:rPr>
          <w:sz w:val="22"/>
          <w:szCs w:val="22"/>
        </w:rPr>
        <w:t>26</w:t>
      </w:r>
    </w:p>
    <w:p w:rsidR="00EF7EFD" w:rsidRPr="00540F11" w:rsidRDefault="00547905" w:rsidP="00EF7EFD">
      <w:pPr>
        <w:ind w:left="720"/>
        <w:rPr>
          <w:sz w:val="22"/>
          <w:szCs w:val="22"/>
        </w:rPr>
      </w:pPr>
      <w:r>
        <w:rPr>
          <w:sz w:val="22"/>
          <w:szCs w:val="22"/>
        </w:rPr>
        <w:t>1066</w:t>
      </w:r>
    </w:p>
    <w:p w:rsidR="00EF7EFD" w:rsidRPr="00540F11" w:rsidRDefault="00EF7EFD" w:rsidP="00EF7EFD">
      <w:pPr>
        <w:ind w:left="720"/>
        <w:rPr>
          <w:sz w:val="22"/>
          <w:szCs w:val="22"/>
        </w:rPr>
      </w:pPr>
      <w:r w:rsidRPr="00540F11">
        <w:rPr>
          <w:sz w:val="22"/>
          <w:szCs w:val="22"/>
        </w:rPr>
        <w:t>Izglītības un zinātnes ministrijas</w:t>
      </w:r>
    </w:p>
    <w:p w:rsidR="00EF7EFD" w:rsidRPr="00540F11" w:rsidRDefault="00EF7EFD" w:rsidP="00EF7EFD">
      <w:pPr>
        <w:ind w:left="720"/>
        <w:rPr>
          <w:sz w:val="22"/>
          <w:szCs w:val="22"/>
        </w:rPr>
      </w:pPr>
      <w:r w:rsidRPr="00540F11">
        <w:rPr>
          <w:sz w:val="22"/>
          <w:szCs w:val="22"/>
        </w:rPr>
        <w:t>Sporta departamenta</w:t>
      </w:r>
    </w:p>
    <w:p w:rsidR="00EF7EFD" w:rsidRPr="00540F11" w:rsidRDefault="00EF7EFD" w:rsidP="00EF7EFD">
      <w:pPr>
        <w:ind w:left="720"/>
        <w:rPr>
          <w:sz w:val="22"/>
          <w:szCs w:val="22"/>
        </w:rPr>
      </w:pPr>
      <w:r w:rsidRPr="00540F11">
        <w:rPr>
          <w:sz w:val="22"/>
          <w:szCs w:val="22"/>
        </w:rPr>
        <w:t>direktora vietnieks E.Severs</w:t>
      </w:r>
    </w:p>
    <w:p w:rsidR="0056076A" w:rsidRPr="00540F11" w:rsidRDefault="00EF7EFD" w:rsidP="00CA754F">
      <w:pPr>
        <w:ind w:left="720"/>
        <w:rPr>
          <w:sz w:val="22"/>
          <w:szCs w:val="22"/>
        </w:rPr>
      </w:pPr>
      <w:r w:rsidRPr="00540F11">
        <w:rPr>
          <w:sz w:val="22"/>
          <w:szCs w:val="22"/>
        </w:rPr>
        <w:t>67047935, edgars.severs@izm.gov.lv</w:t>
      </w:r>
    </w:p>
    <w:sectPr w:rsidR="0056076A" w:rsidRPr="00540F11" w:rsidSect="004658E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9B" w:rsidRDefault="0094389B" w:rsidP="006822A5">
      <w:r>
        <w:separator/>
      </w:r>
    </w:p>
  </w:endnote>
  <w:endnote w:type="continuationSeparator" w:id="0">
    <w:p w:rsidR="0094389B" w:rsidRDefault="0094389B" w:rsidP="006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EF7EFD" w:rsidRDefault="00EF7EFD" w:rsidP="00EF7EFD">
    <w:pPr>
      <w:pStyle w:val="Footer"/>
      <w:jc w:val="both"/>
    </w:pPr>
    <w:r w:rsidRPr="00FC79C9">
      <w:rPr>
        <w:sz w:val="22"/>
        <w:szCs w:val="22"/>
      </w:rPr>
      <w:t>IZMAnot_</w:t>
    </w:r>
    <w:r>
      <w:rPr>
        <w:sz w:val="22"/>
        <w:szCs w:val="22"/>
      </w:rPr>
      <w:t>0</w:t>
    </w:r>
    <w:r w:rsidR="00CA754F">
      <w:rPr>
        <w:sz w:val="22"/>
        <w:szCs w:val="22"/>
      </w:rPr>
      <w:t>6</w:t>
    </w:r>
    <w:r>
      <w:rPr>
        <w:sz w:val="22"/>
        <w:szCs w:val="22"/>
      </w:rPr>
      <w:t>0314_sports</w:t>
    </w:r>
    <w:r w:rsidRPr="00603F1B">
      <w:rPr>
        <w:sz w:val="22"/>
        <w:szCs w:val="22"/>
      </w:rPr>
      <w:t xml:space="preserve">; </w:t>
    </w:r>
    <w:r w:rsidRPr="00EF7EFD">
      <w:rPr>
        <w:sz w:val="22"/>
        <w:szCs w:val="22"/>
      </w:rPr>
      <w:t>Ministru kabineta noteikumu projekt</w:t>
    </w:r>
    <w:r>
      <w:rPr>
        <w:sz w:val="22"/>
        <w:szCs w:val="22"/>
      </w:rPr>
      <w:t>a</w:t>
    </w:r>
    <w:r w:rsidRPr="00EF7EFD">
      <w:rPr>
        <w:sz w:val="22"/>
        <w:szCs w:val="22"/>
      </w:rPr>
      <w:t xml:space="preserve"> „Grozījums Ministru kabineta 2012.gada 3.janvāra noteikumos Nr.26 „Noteikumi par kārtību, kādā piešķiramas naudas balvas par izciliem sasniegumiem sportā, un naudas balvu apmēru””</w:t>
    </w:r>
    <w:r>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Pr="00FC79C9" w:rsidRDefault="00FE4C7A" w:rsidP="006822A5">
    <w:pPr>
      <w:pStyle w:val="Footer"/>
      <w:jc w:val="both"/>
      <w:rPr>
        <w:sz w:val="22"/>
        <w:szCs w:val="22"/>
      </w:rPr>
    </w:pPr>
    <w:r w:rsidRPr="00FC79C9">
      <w:rPr>
        <w:sz w:val="22"/>
        <w:szCs w:val="22"/>
      </w:rPr>
      <w:t>IZMAnot_</w:t>
    </w:r>
    <w:r w:rsidR="00EF7EFD">
      <w:rPr>
        <w:sz w:val="22"/>
        <w:szCs w:val="22"/>
      </w:rPr>
      <w:t>0</w:t>
    </w:r>
    <w:r w:rsidR="00CA754F">
      <w:rPr>
        <w:sz w:val="22"/>
        <w:szCs w:val="22"/>
      </w:rPr>
      <w:t>6</w:t>
    </w:r>
    <w:r w:rsidR="00EF7EFD">
      <w:rPr>
        <w:sz w:val="22"/>
        <w:szCs w:val="22"/>
      </w:rPr>
      <w:t>0314</w:t>
    </w:r>
    <w:r>
      <w:rPr>
        <w:sz w:val="22"/>
        <w:szCs w:val="22"/>
      </w:rPr>
      <w:t>_</w:t>
    </w:r>
    <w:r w:rsidR="00EF7EFD">
      <w:rPr>
        <w:sz w:val="22"/>
        <w:szCs w:val="22"/>
      </w:rPr>
      <w:t>sports</w:t>
    </w:r>
    <w:r w:rsidRPr="00603F1B">
      <w:rPr>
        <w:sz w:val="22"/>
        <w:szCs w:val="22"/>
      </w:rPr>
      <w:t xml:space="preserve">; </w:t>
    </w:r>
    <w:r w:rsidR="00EF7EFD" w:rsidRPr="00EF7EFD">
      <w:rPr>
        <w:sz w:val="22"/>
        <w:szCs w:val="22"/>
      </w:rPr>
      <w:t>Ministru kabineta noteikumu projekt</w:t>
    </w:r>
    <w:r w:rsidR="00EF7EFD">
      <w:rPr>
        <w:sz w:val="22"/>
        <w:szCs w:val="22"/>
      </w:rPr>
      <w:t>a</w:t>
    </w:r>
    <w:r w:rsidR="00EF7EFD" w:rsidRPr="00EF7EFD">
      <w:rPr>
        <w:sz w:val="22"/>
        <w:szCs w:val="22"/>
      </w:rPr>
      <w:t xml:space="preserve"> „Grozījums Ministru kabineta 2012.gada 3.janvāra noteikumos Nr.26 „Noteikumi par kārtību, kādā piešķiramas naudas balvas par izciliem sasniegumiem sportā, un naudas balvu apmēru””</w:t>
    </w:r>
    <w:r>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9B" w:rsidRDefault="0094389B" w:rsidP="006822A5">
      <w:r>
        <w:separator/>
      </w:r>
    </w:p>
  </w:footnote>
  <w:footnote w:type="continuationSeparator" w:id="0">
    <w:p w:rsidR="0094389B" w:rsidRDefault="0094389B" w:rsidP="00682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C7A" w:rsidRDefault="00FE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7A" w:rsidRDefault="00FE4C7A" w:rsidP="00356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8FE">
      <w:rPr>
        <w:rStyle w:val="PageNumber"/>
        <w:noProof/>
      </w:rPr>
      <w:t>4</w:t>
    </w:r>
    <w:r>
      <w:rPr>
        <w:rStyle w:val="PageNumber"/>
      </w:rPr>
      <w:fldChar w:fldCharType="end"/>
    </w:r>
  </w:p>
  <w:p w:rsidR="00FE4C7A" w:rsidRDefault="00FE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73"/>
    <w:rsid w:val="00006619"/>
    <w:rsid w:val="00015A7F"/>
    <w:rsid w:val="0004575B"/>
    <w:rsid w:val="000811C7"/>
    <w:rsid w:val="00086EBE"/>
    <w:rsid w:val="0009339F"/>
    <w:rsid w:val="00094C98"/>
    <w:rsid w:val="0009767A"/>
    <w:rsid w:val="000D63F2"/>
    <w:rsid w:val="000F754A"/>
    <w:rsid w:val="00100574"/>
    <w:rsid w:val="00107570"/>
    <w:rsid w:val="00133D5A"/>
    <w:rsid w:val="00135C18"/>
    <w:rsid w:val="001403CB"/>
    <w:rsid w:val="00143F21"/>
    <w:rsid w:val="00173673"/>
    <w:rsid w:val="00185CE9"/>
    <w:rsid w:val="00187B5A"/>
    <w:rsid w:val="001A3929"/>
    <w:rsid w:val="001B31CC"/>
    <w:rsid w:val="001D2E0D"/>
    <w:rsid w:val="001D6067"/>
    <w:rsid w:val="001F4770"/>
    <w:rsid w:val="00213DC2"/>
    <w:rsid w:val="00220CAD"/>
    <w:rsid w:val="002344A3"/>
    <w:rsid w:val="00235B42"/>
    <w:rsid w:val="00241AD5"/>
    <w:rsid w:val="00241CA9"/>
    <w:rsid w:val="002450BF"/>
    <w:rsid w:val="002679EE"/>
    <w:rsid w:val="00285F2B"/>
    <w:rsid w:val="002A1A07"/>
    <w:rsid w:val="002A580A"/>
    <w:rsid w:val="002C3601"/>
    <w:rsid w:val="002C5DEB"/>
    <w:rsid w:val="002E2D36"/>
    <w:rsid w:val="002F0F8C"/>
    <w:rsid w:val="0030334C"/>
    <w:rsid w:val="00304839"/>
    <w:rsid w:val="00304D35"/>
    <w:rsid w:val="00307D9B"/>
    <w:rsid w:val="00320915"/>
    <w:rsid w:val="0032245E"/>
    <w:rsid w:val="00325478"/>
    <w:rsid w:val="00327432"/>
    <w:rsid w:val="00344A59"/>
    <w:rsid w:val="00352225"/>
    <w:rsid w:val="00356AA7"/>
    <w:rsid w:val="00360DA6"/>
    <w:rsid w:val="00362B5D"/>
    <w:rsid w:val="00380095"/>
    <w:rsid w:val="00383069"/>
    <w:rsid w:val="003865B7"/>
    <w:rsid w:val="003B2F01"/>
    <w:rsid w:val="003B6174"/>
    <w:rsid w:val="003B7C21"/>
    <w:rsid w:val="003C0E40"/>
    <w:rsid w:val="003C56E4"/>
    <w:rsid w:val="003D26F8"/>
    <w:rsid w:val="003D28D3"/>
    <w:rsid w:val="003F0684"/>
    <w:rsid w:val="0040114F"/>
    <w:rsid w:val="00411F78"/>
    <w:rsid w:val="00435589"/>
    <w:rsid w:val="004407F1"/>
    <w:rsid w:val="00452432"/>
    <w:rsid w:val="004525FE"/>
    <w:rsid w:val="004658EE"/>
    <w:rsid w:val="004719E2"/>
    <w:rsid w:val="0047586A"/>
    <w:rsid w:val="0047646B"/>
    <w:rsid w:val="004819C2"/>
    <w:rsid w:val="00481B6C"/>
    <w:rsid w:val="00487182"/>
    <w:rsid w:val="004A1F66"/>
    <w:rsid w:val="004B0F8A"/>
    <w:rsid w:val="004B1A1F"/>
    <w:rsid w:val="004B7478"/>
    <w:rsid w:val="004C1698"/>
    <w:rsid w:val="004C2F87"/>
    <w:rsid w:val="004E3322"/>
    <w:rsid w:val="004E374E"/>
    <w:rsid w:val="004F3826"/>
    <w:rsid w:val="004F4369"/>
    <w:rsid w:val="004F7A14"/>
    <w:rsid w:val="00516FE2"/>
    <w:rsid w:val="00540E1E"/>
    <w:rsid w:val="00540F11"/>
    <w:rsid w:val="00547905"/>
    <w:rsid w:val="0056076A"/>
    <w:rsid w:val="005656AA"/>
    <w:rsid w:val="005C625C"/>
    <w:rsid w:val="005F289F"/>
    <w:rsid w:val="006052ED"/>
    <w:rsid w:val="00607055"/>
    <w:rsid w:val="00614C74"/>
    <w:rsid w:val="0061644F"/>
    <w:rsid w:val="00667D0E"/>
    <w:rsid w:val="00667D37"/>
    <w:rsid w:val="006725F9"/>
    <w:rsid w:val="006822A5"/>
    <w:rsid w:val="00691B97"/>
    <w:rsid w:val="00695652"/>
    <w:rsid w:val="006A6482"/>
    <w:rsid w:val="006C357A"/>
    <w:rsid w:val="006F53AC"/>
    <w:rsid w:val="00700465"/>
    <w:rsid w:val="007052B7"/>
    <w:rsid w:val="00710234"/>
    <w:rsid w:val="0072791D"/>
    <w:rsid w:val="00744464"/>
    <w:rsid w:val="007624A9"/>
    <w:rsid w:val="007651C4"/>
    <w:rsid w:val="00776B37"/>
    <w:rsid w:val="007A2A1E"/>
    <w:rsid w:val="007A72C2"/>
    <w:rsid w:val="007B7840"/>
    <w:rsid w:val="007C2F47"/>
    <w:rsid w:val="007C3027"/>
    <w:rsid w:val="007C437A"/>
    <w:rsid w:val="007D1FEA"/>
    <w:rsid w:val="007D751A"/>
    <w:rsid w:val="007E19C0"/>
    <w:rsid w:val="007F0409"/>
    <w:rsid w:val="00800748"/>
    <w:rsid w:val="0081268A"/>
    <w:rsid w:val="008507E5"/>
    <w:rsid w:val="0085645B"/>
    <w:rsid w:val="00861F07"/>
    <w:rsid w:val="00877840"/>
    <w:rsid w:val="00881E44"/>
    <w:rsid w:val="0089079A"/>
    <w:rsid w:val="008A263D"/>
    <w:rsid w:val="008A690E"/>
    <w:rsid w:val="008B305F"/>
    <w:rsid w:val="008B7906"/>
    <w:rsid w:val="008D3256"/>
    <w:rsid w:val="008E296E"/>
    <w:rsid w:val="00903F0B"/>
    <w:rsid w:val="0092717C"/>
    <w:rsid w:val="00932A8F"/>
    <w:rsid w:val="0094389B"/>
    <w:rsid w:val="00950E4D"/>
    <w:rsid w:val="00953022"/>
    <w:rsid w:val="009609F4"/>
    <w:rsid w:val="00993938"/>
    <w:rsid w:val="009A0A6D"/>
    <w:rsid w:val="009A215A"/>
    <w:rsid w:val="009C5309"/>
    <w:rsid w:val="009C7481"/>
    <w:rsid w:val="00A04AC7"/>
    <w:rsid w:val="00A0769A"/>
    <w:rsid w:val="00A11EC9"/>
    <w:rsid w:val="00A2271A"/>
    <w:rsid w:val="00A2725D"/>
    <w:rsid w:val="00A36187"/>
    <w:rsid w:val="00A374D4"/>
    <w:rsid w:val="00A42C22"/>
    <w:rsid w:val="00A448E7"/>
    <w:rsid w:val="00A71411"/>
    <w:rsid w:val="00A94035"/>
    <w:rsid w:val="00A95A51"/>
    <w:rsid w:val="00AB6473"/>
    <w:rsid w:val="00AC4A80"/>
    <w:rsid w:val="00B04B59"/>
    <w:rsid w:val="00B05F6F"/>
    <w:rsid w:val="00B17EC0"/>
    <w:rsid w:val="00B316C8"/>
    <w:rsid w:val="00B65199"/>
    <w:rsid w:val="00B70AC3"/>
    <w:rsid w:val="00B72703"/>
    <w:rsid w:val="00B86E9D"/>
    <w:rsid w:val="00B94BE2"/>
    <w:rsid w:val="00BB18FE"/>
    <w:rsid w:val="00BD289C"/>
    <w:rsid w:val="00BE66F9"/>
    <w:rsid w:val="00C341AB"/>
    <w:rsid w:val="00C342EE"/>
    <w:rsid w:val="00C36283"/>
    <w:rsid w:val="00C41095"/>
    <w:rsid w:val="00C42E7D"/>
    <w:rsid w:val="00C569F2"/>
    <w:rsid w:val="00C7179F"/>
    <w:rsid w:val="00C91119"/>
    <w:rsid w:val="00CA5488"/>
    <w:rsid w:val="00CA754F"/>
    <w:rsid w:val="00CB4968"/>
    <w:rsid w:val="00CD1988"/>
    <w:rsid w:val="00CF1C88"/>
    <w:rsid w:val="00CF7BAF"/>
    <w:rsid w:val="00D246DB"/>
    <w:rsid w:val="00D30F8A"/>
    <w:rsid w:val="00D33568"/>
    <w:rsid w:val="00D34289"/>
    <w:rsid w:val="00D44297"/>
    <w:rsid w:val="00D6691F"/>
    <w:rsid w:val="00D71544"/>
    <w:rsid w:val="00D71B72"/>
    <w:rsid w:val="00D7316C"/>
    <w:rsid w:val="00D873EA"/>
    <w:rsid w:val="00D90308"/>
    <w:rsid w:val="00DB6361"/>
    <w:rsid w:val="00DC04CF"/>
    <w:rsid w:val="00DE123E"/>
    <w:rsid w:val="00DF5511"/>
    <w:rsid w:val="00DF7EF0"/>
    <w:rsid w:val="00E15904"/>
    <w:rsid w:val="00E75C8D"/>
    <w:rsid w:val="00EA1D6E"/>
    <w:rsid w:val="00EA6F01"/>
    <w:rsid w:val="00EB4E25"/>
    <w:rsid w:val="00EC120F"/>
    <w:rsid w:val="00ED0378"/>
    <w:rsid w:val="00EF7EFD"/>
    <w:rsid w:val="00F107AF"/>
    <w:rsid w:val="00F1135D"/>
    <w:rsid w:val="00F118F0"/>
    <w:rsid w:val="00F12BD5"/>
    <w:rsid w:val="00F35675"/>
    <w:rsid w:val="00F45E4B"/>
    <w:rsid w:val="00F70F41"/>
    <w:rsid w:val="00F8651B"/>
    <w:rsid w:val="00FA41B0"/>
    <w:rsid w:val="00FA51CE"/>
    <w:rsid w:val="00FE4C7A"/>
    <w:rsid w:val="00FE5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A88C-AC7C-4688-9335-FCB095F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473"/>
    <w:pPr>
      <w:tabs>
        <w:tab w:val="center" w:pos="4153"/>
        <w:tab w:val="right" w:pos="8306"/>
      </w:tabs>
    </w:pPr>
  </w:style>
  <w:style w:type="character" w:customStyle="1" w:styleId="HeaderChar">
    <w:name w:val="Header Char"/>
    <w:basedOn w:val="DefaultParagraphFont"/>
    <w:link w:val="Header"/>
    <w:rsid w:val="00AB6473"/>
    <w:rPr>
      <w:rFonts w:ascii="Times New Roman" w:eastAsia="Times New Roman" w:hAnsi="Times New Roman" w:cs="Times New Roman"/>
      <w:sz w:val="24"/>
      <w:szCs w:val="24"/>
      <w:lang w:eastAsia="lv-LV"/>
    </w:rPr>
  </w:style>
  <w:style w:type="character" w:styleId="PageNumber">
    <w:name w:val="page number"/>
    <w:basedOn w:val="DefaultParagraphFont"/>
    <w:rsid w:val="00AB6473"/>
  </w:style>
  <w:style w:type="paragraph" w:customStyle="1" w:styleId="naisf">
    <w:name w:val="naisf"/>
    <w:basedOn w:val="Normal"/>
    <w:rsid w:val="00AB6473"/>
    <w:pPr>
      <w:spacing w:before="75" w:after="75"/>
      <w:ind w:firstLine="375"/>
      <w:jc w:val="both"/>
    </w:pPr>
  </w:style>
  <w:style w:type="paragraph" w:customStyle="1" w:styleId="naisnod">
    <w:name w:val="naisnod"/>
    <w:basedOn w:val="Normal"/>
    <w:rsid w:val="00AB6473"/>
    <w:pPr>
      <w:spacing w:before="150" w:after="150"/>
      <w:jc w:val="center"/>
    </w:pPr>
    <w:rPr>
      <w:b/>
      <w:bCs/>
    </w:rPr>
  </w:style>
  <w:style w:type="paragraph" w:customStyle="1" w:styleId="naiskr">
    <w:name w:val="naiskr"/>
    <w:basedOn w:val="Normal"/>
    <w:rsid w:val="00AB6473"/>
    <w:pPr>
      <w:spacing w:before="75" w:after="75"/>
    </w:pPr>
  </w:style>
  <w:style w:type="paragraph" w:styleId="FootnoteText">
    <w:name w:val="footnote text"/>
    <w:basedOn w:val="Normal"/>
    <w:link w:val="FootnoteTextChar"/>
    <w:semiHidden/>
    <w:rsid w:val="00AB6473"/>
    <w:rPr>
      <w:sz w:val="20"/>
      <w:szCs w:val="20"/>
    </w:rPr>
  </w:style>
  <w:style w:type="character" w:customStyle="1" w:styleId="FootnoteTextChar">
    <w:name w:val="Footnote Text Char"/>
    <w:basedOn w:val="DefaultParagraphFont"/>
    <w:link w:val="FootnoteText"/>
    <w:semiHidden/>
    <w:rsid w:val="00AB6473"/>
    <w:rPr>
      <w:rFonts w:ascii="Times New Roman" w:eastAsia="Times New Roman" w:hAnsi="Times New Roman" w:cs="Times New Roman"/>
      <w:sz w:val="20"/>
      <w:szCs w:val="20"/>
      <w:lang w:eastAsia="lv-LV"/>
    </w:rPr>
  </w:style>
  <w:style w:type="paragraph" w:styleId="Footer">
    <w:name w:val="footer"/>
    <w:basedOn w:val="Normal"/>
    <w:link w:val="FooterChar"/>
    <w:rsid w:val="00AB6473"/>
    <w:pPr>
      <w:tabs>
        <w:tab w:val="center" w:pos="4153"/>
        <w:tab w:val="right" w:pos="8306"/>
      </w:tabs>
    </w:pPr>
  </w:style>
  <w:style w:type="character" w:customStyle="1" w:styleId="FooterChar">
    <w:name w:val="Footer Char"/>
    <w:basedOn w:val="DefaultParagraphFont"/>
    <w:link w:val="Footer"/>
    <w:rsid w:val="00AB6473"/>
    <w:rPr>
      <w:rFonts w:ascii="Times New Roman" w:eastAsia="Times New Roman" w:hAnsi="Times New Roman" w:cs="Times New Roman"/>
      <w:sz w:val="24"/>
      <w:szCs w:val="24"/>
      <w:lang w:eastAsia="lv-LV"/>
    </w:rPr>
  </w:style>
  <w:style w:type="paragraph" w:styleId="BodyText">
    <w:name w:val="Body Text"/>
    <w:basedOn w:val="Normal"/>
    <w:link w:val="BodyTextChar"/>
    <w:rsid w:val="00AB6473"/>
    <w:rPr>
      <w:sz w:val="28"/>
      <w:lang w:eastAsia="en-US"/>
    </w:rPr>
  </w:style>
  <w:style w:type="character" w:customStyle="1" w:styleId="BodyTextChar">
    <w:name w:val="Body Text Char"/>
    <w:basedOn w:val="DefaultParagraphFont"/>
    <w:link w:val="BodyText"/>
    <w:rsid w:val="00AB6473"/>
    <w:rPr>
      <w:rFonts w:ascii="Times New Roman" w:eastAsia="Times New Roman" w:hAnsi="Times New Roman" w:cs="Times New Roman"/>
      <w:sz w:val="28"/>
      <w:szCs w:val="24"/>
    </w:rPr>
  </w:style>
  <w:style w:type="paragraph" w:styleId="ListParagraph">
    <w:name w:val="List Paragraph"/>
    <w:basedOn w:val="Normal"/>
    <w:uiPriority w:val="34"/>
    <w:qFormat/>
    <w:rsid w:val="009A215A"/>
    <w:pPr>
      <w:ind w:left="720"/>
      <w:contextualSpacing/>
    </w:pPr>
    <w:rPr>
      <w:lang w:val="en-GB" w:eastAsia="en-US"/>
    </w:rPr>
  </w:style>
  <w:style w:type="paragraph" w:styleId="NormalWeb">
    <w:name w:val="Normal (Web)"/>
    <w:basedOn w:val="Normal"/>
    <w:uiPriority w:val="99"/>
    <w:semiHidden/>
    <w:unhideWhenUsed/>
    <w:rsid w:val="009A215A"/>
    <w:pPr>
      <w:spacing w:before="100" w:beforeAutospacing="1" w:after="100" w:afterAutospacing="1"/>
    </w:pPr>
  </w:style>
  <w:style w:type="paragraph" w:styleId="BalloonText">
    <w:name w:val="Balloon Text"/>
    <w:basedOn w:val="Normal"/>
    <w:link w:val="BalloonTextChar"/>
    <w:uiPriority w:val="99"/>
    <w:semiHidden/>
    <w:unhideWhenUsed/>
    <w:rsid w:val="001F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0"/>
    <w:rPr>
      <w:rFonts w:ascii="Segoe UI" w:eastAsia="Times New Roman" w:hAnsi="Segoe UI" w:cs="Segoe UI"/>
      <w:sz w:val="18"/>
      <w:szCs w:val="18"/>
    </w:rPr>
  </w:style>
  <w:style w:type="paragraph" w:customStyle="1" w:styleId="StyleRight">
    <w:name w:val="Style Right"/>
    <w:basedOn w:val="Normal"/>
    <w:rsid w:val="001A3929"/>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5421</Words>
  <Characters>3090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2012.gada 3.janvāra noteikumos Nr.26 "Noteikumi par kārtību, kādā piešķiramas naudas balvas par izciliem sasniegumiem sportā, un naudas balvu apmēru""</vt:lpstr>
    </vt:vector>
  </TitlesOfParts>
  <Company> Izglītības un zinātnes ministrija, Sporta departaments</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2012.gada 3.janvāra noteikumos Nr.26 "Noteikumi par kārtību, kādā piešķiramas naudas balvas par izciliem sasniegumiem sportā, un naudas balvu apmēru""</dc:title>
  <dc:subject>Sākotnējās ietekmes novērtējuma ziņojums (anotācija)</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74</cp:revision>
  <cp:lastPrinted>2014-01-31T09:00:00Z</cp:lastPrinted>
  <dcterms:created xsi:type="dcterms:W3CDTF">2014-03-05T06:56:00Z</dcterms:created>
  <dcterms:modified xsi:type="dcterms:W3CDTF">2014-03-06T08:27:00Z</dcterms:modified>
</cp:coreProperties>
</file>