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136D87" w:rsidP="005D6B8A">
      <w:pPr>
        <w:jc w:val="center"/>
        <w:rPr>
          <w:b/>
          <w:sz w:val="28"/>
          <w:szCs w:val="28"/>
        </w:rPr>
      </w:pPr>
      <w:bookmarkStart w:id="0" w:name="OLE_LINK3"/>
      <w:bookmarkStart w:id="1" w:name="OLE_LINK4"/>
      <w:bookmarkStart w:id="2" w:name="OLE_LINK1"/>
      <w:r>
        <w:rPr>
          <w:b/>
          <w:sz w:val="28"/>
          <w:szCs w:val="28"/>
        </w:rPr>
        <w:t>M</w:t>
      </w:r>
      <w:r w:rsidR="005D6B8A" w:rsidRPr="009B2F21">
        <w:rPr>
          <w:b/>
          <w:sz w:val="28"/>
          <w:szCs w:val="28"/>
        </w:rPr>
        <w:t>inistru kabineta rīkojuma projekta</w:t>
      </w:r>
    </w:p>
    <w:p w:rsidR="00585B7B" w:rsidRPr="009B2F21" w:rsidRDefault="00DC03E0" w:rsidP="00DC03E0">
      <w:pPr>
        <w:pStyle w:val="BodyText"/>
        <w:jc w:val="center"/>
        <w:rPr>
          <w:b/>
          <w:sz w:val="28"/>
          <w:szCs w:val="28"/>
        </w:rPr>
      </w:pPr>
      <w:r>
        <w:rPr>
          <w:b/>
          <w:sz w:val="28"/>
          <w:szCs w:val="28"/>
        </w:rPr>
        <w:t>“</w:t>
      </w:r>
      <w:r w:rsidR="00A45F8D" w:rsidRPr="00A45F8D">
        <w:rPr>
          <w:b/>
          <w:sz w:val="28"/>
          <w:szCs w:val="28"/>
        </w:rPr>
        <w:t>Par Siguldas sporta kompleksa projekta, Vidzemes Olimpiskā centra attīstības projekta un Liepājas Olimpiskā centra vieglatlētikas manēžas būvniecības projekta īstenošanai 2014.gadā paredzēto valsts budžeta līdzekļu pārdali</w:t>
      </w:r>
      <w:r w:rsidR="00020664">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541"/>
        <w:gridCol w:w="6658"/>
      </w:tblGrid>
      <w:tr w:rsidR="00585B7B" w:rsidRPr="009F1E12" w:rsidTr="00662C4D">
        <w:tc>
          <w:tcPr>
            <w:tcW w:w="10197" w:type="dxa"/>
            <w:gridSpan w:val="3"/>
            <w:vAlign w:val="center"/>
          </w:tcPr>
          <w:bookmarkEnd w:id="0"/>
          <w:bookmarkEnd w:id="1"/>
          <w:bookmarkEnd w:id="2"/>
          <w:p w:rsidR="00585B7B" w:rsidRPr="009F1E12" w:rsidRDefault="00585B7B" w:rsidP="00194A0F">
            <w:pPr>
              <w:pStyle w:val="naisnod"/>
              <w:spacing w:before="0" w:after="0"/>
              <w:rPr>
                <w:sz w:val="25"/>
                <w:szCs w:val="25"/>
              </w:rPr>
            </w:pPr>
            <w:r w:rsidRPr="009F1E12">
              <w:rPr>
                <w:sz w:val="25"/>
                <w:szCs w:val="25"/>
              </w:rPr>
              <w:t>I. Tiesību akta projekta izstrādes nepieciešamība</w:t>
            </w:r>
          </w:p>
        </w:tc>
      </w:tr>
      <w:tr w:rsidR="00585B7B" w:rsidRPr="009F1E12" w:rsidTr="00464CD0">
        <w:trPr>
          <w:trHeight w:val="630"/>
        </w:trPr>
        <w:tc>
          <w:tcPr>
            <w:tcW w:w="998" w:type="dxa"/>
          </w:tcPr>
          <w:p w:rsidR="00585B7B" w:rsidRPr="009F1E12" w:rsidRDefault="00585B7B" w:rsidP="00BD696A">
            <w:pPr>
              <w:pStyle w:val="naiskr"/>
              <w:spacing w:before="0" w:after="0"/>
              <w:jc w:val="center"/>
              <w:rPr>
                <w:sz w:val="25"/>
                <w:szCs w:val="25"/>
              </w:rPr>
            </w:pPr>
            <w:r w:rsidRPr="009F1E12">
              <w:rPr>
                <w:sz w:val="25"/>
                <w:szCs w:val="25"/>
              </w:rPr>
              <w:t>1.</w:t>
            </w:r>
          </w:p>
        </w:tc>
        <w:tc>
          <w:tcPr>
            <w:tcW w:w="2541" w:type="dxa"/>
          </w:tcPr>
          <w:p w:rsidR="00A45F8D" w:rsidRDefault="00585B7B" w:rsidP="00916055">
            <w:pPr>
              <w:pStyle w:val="naiskr"/>
              <w:spacing w:before="0" w:after="0"/>
              <w:ind w:left="141" w:hanging="10"/>
              <w:rPr>
                <w:sz w:val="25"/>
                <w:szCs w:val="25"/>
              </w:rPr>
            </w:pPr>
            <w:r w:rsidRPr="009F1E12">
              <w:rPr>
                <w:sz w:val="25"/>
                <w:szCs w:val="25"/>
              </w:rPr>
              <w:t>Pamatojums</w:t>
            </w:r>
          </w:p>
          <w:p w:rsidR="00A45F8D" w:rsidRPr="00A45F8D" w:rsidRDefault="00A45F8D" w:rsidP="00A45F8D"/>
          <w:p w:rsidR="00A45F8D" w:rsidRPr="00A45F8D" w:rsidRDefault="00A45F8D" w:rsidP="00A45F8D"/>
          <w:p w:rsidR="00A45F8D" w:rsidRDefault="00A45F8D" w:rsidP="00A45F8D"/>
          <w:p w:rsidR="00585B7B" w:rsidRPr="00A45F8D" w:rsidRDefault="00585B7B" w:rsidP="00A45F8D">
            <w:pPr>
              <w:jc w:val="center"/>
            </w:pPr>
          </w:p>
        </w:tc>
        <w:tc>
          <w:tcPr>
            <w:tcW w:w="6658" w:type="dxa"/>
          </w:tcPr>
          <w:p w:rsidR="007C6AEC" w:rsidRPr="00C048B3" w:rsidRDefault="007C6AEC" w:rsidP="007C6AEC">
            <w:pPr>
              <w:pStyle w:val="ListParagraph"/>
              <w:numPr>
                <w:ilvl w:val="0"/>
                <w:numId w:val="9"/>
              </w:numPr>
              <w:ind w:right="127"/>
              <w:jc w:val="both"/>
              <w:rPr>
                <w:sz w:val="25"/>
                <w:szCs w:val="25"/>
              </w:rPr>
            </w:pPr>
            <w:r>
              <w:rPr>
                <w:sz w:val="25"/>
                <w:szCs w:val="25"/>
              </w:rPr>
              <w:t xml:space="preserve">Siguldas novada </w:t>
            </w:r>
            <w:r w:rsidR="00D7328F">
              <w:rPr>
                <w:sz w:val="25"/>
                <w:szCs w:val="25"/>
              </w:rPr>
              <w:t>pašvaldības</w:t>
            </w:r>
            <w:r>
              <w:rPr>
                <w:sz w:val="25"/>
                <w:szCs w:val="25"/>
              </w:rPr>
              <w:t xml:space="preserve">, Valmieras pilsētas </w:t>
            </w:r>
            <w:r w:rsidR="00D7328F">
              <w:rPr>
                <w:sz w:val="25"/>
                <w:szCs w:val="25"/>
              </w:rPr>
              <w:t xml:space="preserve">pašvaldības </w:t>
            </w:r>
            <w:r>
              <w:rPr>
                <w:sz w:val="25"/>
                <w:szCs w:val="25"/>
              </w:rPr>
              <w:t xml:space="preserve">un Liepājas pilsētas </w:t>
            </w:r>
            <w:r w:rsidR="00D7328F">
              <w:rPr>
                <w:sz w:val="25"/>
                <w:szCs w:val="25"/>
              </w:rPr>
              <w:t xml:space="preserve">pašvaldības </w:t>
            </w:r>
            <w:r>
              <w:rPr>
                <w:sz w:val="25"/>
                <w:szCs w:val="25"/>
              </w:rPr>
              <w:t>vēstulēs sniegtā informācija un izteiktie lūgumi.</w:t>
            </w:r>
          </w:p>
          <w:p w:rsidR="00C048B3" w:rsidRPr="00C048B3" w:rsidRDefault="00A45F8D" w:rsidP="00C048B3">
            <w:pPr>
              <w:pStyle w:val="ListParagraph"/>
              <w:numPr>
                <w:ilvl w:val="0"/>
                <w:numId w:val="9"/>
              </w:numPr>
              <w:ind w:right="127"/>
              <w:jc w:val="both"/>
              <w:rPr>
                <w:sz w:val="25"/>
                <w:szCs w:val="25"/>
              </w:rPr>
            </w:pPr>
            <w:r>
              <w:rPr>
                <w:sz w:val="25"/>
                <w:szCs w:val="25"/>
              </w:rPr>
              <w:t>Nepieciešamība nodrošināt piešķirto valsts budžeta līdzekļu izlietošanu atbilstoši tam paredzētam mērķim, kā arī nodrošināt piešķirtā finansējuma izlietojumu līdz 2014.gada 31.decembrim.</w:t>
            </w:r>
          </w:p>
          <w:p w:rsidR="00466E6C" w:rsidRPr="000423AB" w:rsidRDefault="00C048B3" w:rsidP="00A45F8D">
            <w:pPr>
              <w:pStyle w:val="ListParagraph"/>
              <w:numPr>
                <w:ilvl w:val="0"/>
                <w:numId w:val="9"/>
              </w:numPr>
              <w:ind w:right="127"/>
              <w:jc w:val="both"/>
              <w:rPr>
                <w:sz w:val="25"/>
                <w:szCs w:val="25"/>
              </w:rPr>
            </w:pPr>
            <w:r>
              <w:rPr>
                <w:sz w:val="25"/>
                <w:szCs w:val="25"/>
              </w:rPr>
              <w:t>Likuma “</w:t>
            </w:r>
            <w:r w:rsidRPr="00C048B3">
              <w:rPr>
                <w:sz w:val="25"/>
                <w:szCs w:val="25"/>
              </w:rPr>
              <w:t>Par valsts budžetu 201</w:t>
            </w:r>
            <w:r w:rsidR="00A75FB6">
              <w:rPr>
                <w:sz w:val="25"/>
                <w:szCs w:val="25"/>
              </w:rPr>
              <w:t>4</w:t>
            </w:r>
            <w:r w:rsidRPr="00C048B3">
              <w:rPr>
                <w:sz w:val="25"/>
                <w:szCs w:val="25"/>
              </w:rPr>
              <w:t>.gadam” 33.panta 3.punkts.</w:t>
            </w:r>
          </w:p>
        </w:tc>
      </w:tr>
      <w:tr w:rsidR="00585B7B" w:rsidRPr="009F1E12" w:rsidTr="00464CD0">
        <w:trPr>
          <w:trHeight w:val="562"/>
        </w:trPr>
        <w:tc>
          <w:tcPr>
            <w:tcW w:w="998" w:type="dxa"/>
          </w:tcPr>
          <w:p w:rsidR="00585B7B" w:rsidRPr="009F1E12" w:rsidRDefault="00585B7B" w:rsidP="00BD696A">
            <w:pPr>
              <w:pStyle w:val="naiskr"/>
              <w:spacing w:before="0" w:after="0"/>
              <w:jc w:val="center"/>
              <w:rPr>
                <w:sz w:val="25"/>
                <w:szCs w:val="25"/>
              </w:rPr>
            </w:pPr>
            <w:r w:rsidRPr="009F1E12">
              <w:rPr>
                <w:sz w:val="25"/>
                <w:szCs w:val="25"/>
              </w:rPr>
              <w:t>2.</w:t>
            </w:r>
          </w:p>
        </w:tc>
        <w:tc>
          <w:tcPr>
            <w:tcW w:w="2541" w:type="dxa"/>
          </w:tcPr>
          <w:p w:rsidR="00585B7B" w:rsidRPr="009F1E12" w:rsidRDefault="00005A9D" w:rsidP="00916055">
            <w:pPr>
              <w:pStyle w:val="naiskr"/>
              <w:tabs>
                <w:tab w:val="left" w:pos="170"/>
              </w:tabs>
              <w:spacing w:before="0" w:after="0"/>
              <w:ind w:left="141"/>
              <w:rPr>
                <w:sz w:val="25"/>
                <w:szCs w:val="25"/>
              </w:rPr>
            </w:pPr>
            <w:r w:rsidRPr="009F1E12">
              <w:rPr>
                <w:sz w:val="25"/>
                <w:szCs w:val="25"/>
              </w:rPr>
              <w:t>Pašreizējā situācija un problēmas, kuru risināšanai tiesību akta projekts izstrādāts, tiesiskā regulējuma mērķis un būtība</w:t>
            </w:r>
          </w:p>
        </w:tc>
        <w:tc>
          <w:tcPr>
            <w:tcW w:w="6658" w:type="dxa"/>
          </w:tcPr>
          <w:p w:rsidR="00D7328F" w:rsidRDefault="00BC10F5" w:rsidP="00D7328F">
            <w:pPr>
              <w:ind w:left="132" w:right="127"/>
              <w:jc w:val="both"/>
              <w:rPr>
                <w:rFonts w:eastAsia="Times New Roman"/>
                <w:color w:val="000000"/>
                <w:sz w:val="25"/>
                <w:szCs w:val="25"/>
              </w:rPr>
            </w:pPr>
            <w:r>
              <w:rPr>
                <w:rFonts w:eastAsia="Times New Roman"/>
                <w:color w:val="000000"/>
                <w:sz w:val="25"/>
                <w:szCs w:val="25"/>
              </w:rPr>
              <w:tab/>
            </w:r>
            <w:r w:rsidR="00425AF3">
              <w:rPr>
                <w:rFonts w:eastAsia="Times New Roman"/>
                <w:color w:val="000000"/>
                <w:sz w:val="25"/>
                <w:szCs w:val="25"/>
              </w:rPr>
              <w:t xml:space="preserve">Ņemot vērā 2014.gada valsts budžeta izstrādes gaitā pieņemtos lēmumus, </w:t>
            </w:r>
            <w:r w:rsidR="00577C2C">
              <w:rPr>
                <w:rFonts w:eastAsia="Times New Roman"/>
                <w:color w:val="000000"/>
                <w:sz w:val="25"/>
                <w:szCs w:val="25"/>
              </w:rPr>
              <w:t xml:space="preserve">2014.gada Izglītības un zinātnes ministrijas (turpmāk – IZM) </w:t>
            </w:r>
            <w:r w:rsidR="00D7328F">
              <w:rPr>
                <w:rFonts w:eastAsia="Times New Roman"/>
                <w:color w:val="000000"/>
                <w:sz w:val="25"/>
                <w:szCs w:val="25"/>
              </w:rPr>
              <w:t xml:space="preserve">valsts budžeta programmas 09.00.00 “Sports” apakšprogrammā 09.04.00 “Sporta būves” </w:t>
            </w:r>
            <w:r w:rsidR="00D7328F" w:rsidRPr="00D7328F">
              <w:rPr>
                <w:rFonts w:eastAsia="Times New Roman"/>
                <w:color w:val="000000"/>
                <w:sz w:val="25"/>
                <w:szCs w:val="25"/>
              </w:rPr>
              <w:t>Siguldas novada pašvaldībai Siguld</w:t>
            </w:r>
            <w:r w:rsidR="00D7328F">
              <w:rPr>
                <w:rFonts w:eastAsia="Times New Roman"/>
                <w:color w:val="000000"/>
                <w:sz w:val="25"/>
                <w:szCs w:val="25"/>
              </w:rPr>
              <w:t>as sporta kompleksa būvniecībai</w:t>
            </w:r>
            <w:r w:rsidR="0097449F">
              <w:rPr>
                <w:rFonts w:eastAsia="Times New Roman"/>
                <w:color w:val="000000"/>
                <w:sz w:val="25"/>
                <w:szCs w:val="25"/>
              </w:rPr>
              <w:t xml:space="preserve"> (turpmāk arī – Siguldas projekts)</w:t>
            </w:r>
            <w:r w:rsidR="00D7328F">
              <w:rPr>
                <w:rFonts w:eastAsia="Times New Roman"/>
                <w:color w:val="000000"/>
                <w:sz w:val="25"/>
                <w:szCs w:val="25"/>
              </w:rPr>
              <w:t xml:space="preserve"> paredzēti </w:t>
            </w:r>
            <w:r w:rsidR="00D7328F" w:rsidRPr="00D7328F">
              <w:rPr>
                <w:rFonts w:eastAsia="Times New Roman"/>
                <w:color w:val="000000"/>
                <w:sz w:val="25"/>
                <w:szCs w:val="25"/>
              </w:rPr>
              <w:t>1</w:t>
            </w:r>
            <w:r w:rsidR="00D7328F">
              <w:rPr>
                <w:rFonts w:eastAsia="Times New Roman"/>
                <w:color w:val="000000"/>
                <w:sz w:val="25"/>
                <w:szCs w:val="25"/>
              </w:rPr>
              <w:t>`</w:t>
            </w:r>
            <w:r w:rsidR="00D7328F" w:rsidRPr="00D7328F">
              <w:rPr>
                <w:rFonts w:eastAsia="Times New Roman"/>
                <w:color w:val="000000"/>
                <w:sz w:val="25"/>
                <w:szCs w:val="25"/>
              </w:rPr>
              <w:t>465</w:t>
            </w:r>
            <w:r w:rsidR="00D7328F">
              <w:rPr>
                <w:rFonts w:eastAsia="Times New Roman"/>
                <w:color w:val="000000"/>
                <w:sz w:val="25"/>
                <w:szCs w:val="25"/>
              </w:rPr>
              <w:t>`</w:t>
            </w:r>
            <w:r w:rsidR="00D7328F" w:rsidRPr="00D7328F">
              <w:rPr>
                <w:rFonts w:eastAsia="Times New Roman"/>
                <w:color w:val="000000"/>
                <w:sz w:val="25"/>
                <w:szCs w:val="25"/>
              </w:rPr>
              <w:t>600</w:t>
            </w:r>
            <w:r w:rsidR="00D7328F">
              <w:rPr>
                <w:rFonts w:eastAsia="Times New Roman"/>
                <w:color w:val="000000"/>
                <w:sz w:val="25"/>
                <w:szCs w:val="25"/>
              </w:rPr>
              <w:t xml:space="preserve"> </w:t>
            </w:r>
            <w:r w:rsidR="00D7328F" w:rsidRPr="00D7328F">
              <w:rPr>
                <w:rFonts w:eastAsia="Times New Roman"/>
                <w:i/>
                <w:color w:val="000000"/>
                <w:sz w:val="25"/>
                <w:szCs w:val="25"/>
              </w:rPr>
              <w:t>euro</w:t>
            </w:r>
            <w:r w:rsidR="00D7328F">
              <w:rPr>
                <w:rFonts w:eastAsia="Times New Roman"/>
                <w:color w:val="000000"/>
                <w:sz w:val="25"/>
                <w:szCs w:val="25"/>
              </w:rPr>
              <w:t xml:space="preserve">, </w:t>
            </w:r>
            <w:r w:rsidR="00992EB2" w:rsidRPr="00D7328F">
              <w:rPr>
                <w:rFonts w:eastAsia="Times New Roman"/>
                <w:color w:val="000000"/>
                <w:sz w:val="25"/>
                <w:szCs w:val="25"/>
              </w:rPr>
              <w:t xml:space="preserve"> Valmieras pilsētas pašvaldībai Vidzemes Olimpiskā centra Valmierā attīstības projekta īstenošanai</w:t>
            </w:r>
            <w:r w:rsidR="00992EB2">
              <w:rPr>
                <w:rFonts w:eastAsia="Times New Roman"/>
                <w:color w:val="000000"/>
                <w:sz w:val="25"/>
                <w:szCs w:val="25"/>
              </w:rPr>
              <w:t xml:space="preserve"> (turpmāk arī – Valmieras projekts) paredzēti </w:t>
            </w:r>
            <w:r w:rsidR="00992EB2" w:rsidRPr="00D7328F">
              <w:rPr>
                <w:rFonts w:eastAsia="Times New Roman"/>
                <w:color w:val="000000"/>
                <w:sz w:val="25"/>
                <w:szCs w:val="25"/>
              </w:rPr>
              <w:t>1</w:t>
            </w:r>
            <w:r w:rsidR="00992EB2">
              <w:rPr>
                <w:rFonts w:eastAsia="Times New Roman"/>
                <w:color w:val="000000"/>
                <w:sz w:val="25"/>
                <w:szCs w:val="25"/>
              </w:rPr>
              <w:t>`</w:t>
            </w:r>
            <w:r w:rsidR="00992EB2" w:rsidRPr="00D7328F">
              <w:rPr>
                <w:rFonts w:eastAsia="Times New Roman"/>
                <w:color w:val="000000"/>
                <w:sz w:val="25"/>
                <w:szCs w:val="25"/>
              </w:rPr>
              <w:t>696</w:t>
            </w:r>
            <w:r w:rsidR="00992EB2">
              <w:rPr>
                <w:rFonts w:eastAsia="Times New Roman"/>
                <w:color w:val="000000"/>
                <w:sz w:val="25"/>
                <w:szCs w:val="25"/>
              </w:rPr>
              <w:t>`</w:t>
            </w:r>
            <w:r w:rsidR="00992EB2" w:rsidRPr="00D7328F">
              <w:rPr>
                <w:rFonts w:eastAsia="Times New Roman"/>
                <w:color w:val="000000"/>
                <w:sz w:val="25"/>
                <w:szCs w:val="25"/>
              </w:rPr>
              <w:t>445</w:t>
            </w:r>
            <w:r w:rsidR="00992EB2">
              <w:rPr>
                <w:rFonts w:eastAsia="Times New Roman"/>
                <w:color w:val="000000"/>
                <w:sz w:val="25"/>
                <w:szCs w:val="25"/>
              </w:rPr>
              <w:t xml:space="preserve"> </w:t>
            </w:r>
            <w:r w:rsidR="00992EB2" w:rsidRPr="00D7328F">
              <w:rPr>
                <w:rFonts w:eastAsia="Times New Roman"/>
                <w:i/>
                <w:color w:val="000000"/>
                <w:sz w:val="25"/>
                <w:szCs w:val="25"/>
              </w:rPr>
              <w:t>euro</w:t>
            </w:r>
            <w:r w:rsidR="00992EB2">
              <w:rPr>
                <w:rFonts w:eastAsia="Times New Roman"/>
                <w:color w:val="000000"/>
                <w:sz w:val="25"/>
                <w:szCs w:val="25"/>
              </w:rPr>
              <w:t xml:space="preserve">, savukārt </w:t>
            </w:r>
            <w:r w:rsidR="00D7328F" w:rsidRPr="00D7328F">
              <w:rPr>
                <w:rFonts w:eastAsia="Times New Roman"/>
                <w:color w:val="000000"/>
                <w:sz w:val="25"/>
                <w:szCs w:val="25"/>
              </w:rPr>
              <w:t>Liepājas pilsētas pašvaldībai Liepājas Olimpiskā centra vieglatlētikas manēžas būvniecībai (projektēšanas izdevumu segšanai)</w:t>
            </w:r>
            <w:r w:rsidR="00D7328F">
              <w:rPr>
                <w:rFonts w:eastAsia="Times New Roman"/>
                <w:color w:val="000000"/>
                <w:sz w:val="25"/>
                <w:szCs w:val="25"/>
              </w:rPr>
              <w:t xml:space="preserve"> </w:t>
            </w:r>
            <w:r w:rsidR="0097449F">
              <w:rPr>
                <w:rFonts w:eastAsia="Times New Roman"/>
                <w:color w:val="000000"/>
                <w:sz w:val="25"/>
                <w:szCs w:val="25"/>
              </w:rPr>
              <w:t xml:space="preserve">(turpmāk arī – Liepājas projekts) </w:t>
            </w:r>
            <w:r w:rsidR="00D7328F">
              <w:rPr>
                <w:rFonts w:eastAsia="Times New Roman"/>
                <w:color w:val="000000"/>
                <w:sz w:val="25"/>
                <w:szCs w:val="25"/>
              </w:rPr>
              <w:t xml:space="preserve">paredzēti </w:t>
            </w:r>
            <w:r w:rsidR="00D7328F" w:rsidRPr="00D7328F">
              <w:rPr>
                <w:rFonts w:eastAsia="Times New Roman"/>
                <w:color w:val="000000"/>
                <w:sz w:val="25"/>
                <w:szCs w:val="25"/>
              </w:rPr>
              <w:t>200</w:t>
            </w:r>
            <w:r w:rsidR="00D7328F">
              <w:rPr>
                <w:rFonts w:eastAsia="Times New Roman"/>
                <w:color w:val="000000"/>
                <w:sz w:val="25"/>
                <w:szCs w:val="25"/>
              </w:rPr>
              <w:t>`</w:t>
            </w:r>
            <w:r w:rsidR="00D7328F" w:rsidRPr="00D7328F">
              <w:rPr>
                <w:rFonts w:eastAsia="Times New Roman"/>
                <w:color w:val="000000"/>
                <w:sz w:val="25"/>
                <w:szCs w:val="25"/>
              </w:rPr>
              <w:t>000</w:t>
            </w:r>
            <w:r w:rsidR="00D7328F">
              <w:rPr>
                <w:rFonts w:eastAsia="Times New Roman"/>
                <w:color w:val="000000"/>
                <w:sz w:val="25"/>
                <w:szCs w:val="25"/>
              </w:rPr>
              <w:t xml:space="preserve"> </w:t>
            </w:r>
            <w:r w:rsidR="00D7328F" w:rsidRPr="00D7328F">
              <w:rPr>
                <w:rFonts w:eastAsia="Times New Roman"/>
                <w:i/>
                <w:color w:val="000000"/>
                <w:sz w:val="25"/>
                <w:szCs w:val="25"/>
              </w:rPr>
              <w:t>euro</w:t>
            </w:r>
            <w:r w:rsidR="00E84253">
              <w:rPr>
                <w:rFonts w:eastAsia="Times New Roman"/>
                <w:color w:val="000000"/>
                <w:sz w:val="25"/>
                <w:szCs w:val="25"/>
              </w:rPr>
              <w:t>.</w:t>
            </w:r>
          </w:p>
          <w:p w:rsidR="00D7328F" w:rsidRDefault="0097449F" w:rsidP="00EA5091">
            <w:pPr>
              <w:ind w:left="132" w:right="127"/>
              <w:jc w:val="both"/>
              <w:rPr>
                <w:rFonts w:eastAsia="Times New Roman"/>
                <w:color w:val="000000"/>
                <w:sz w:val="25"/>
                <w:szCs w:val="25"/>
              </w:rPr>
            </w:pPr>
            <w:r>
              <w:rPr>
                <w:rFonts w:eastAsia="Times New Roman"/>
                <w:color w:val="000000"/>
                <w:sz w:val="25"/>
                <w:szCs w:val="25"/>
              </w:rPr>
              <w:tab/>
              <w:t>Siguldas novada pašvaldība 2014.gada 22.augusta vēstulē Nr.4-46/1898 informēja IZM, ka publiskā iepirkuma</w:t>
            </w:r>
            <w:r w:rsidR="00E70058">
              <w:rPr>
                <w:rFonts w:eastAsia="Times New Roman"/>
                <w:color w:val="000000"/>
                <w:sz w:val="25"/>
                <w:szCs w:val="25"/>
              </w:rPr>
              <w:t xml:space="preserve"> (Nr.</w:t>
            </w:r>
            <w:r w:rsidR="00E70058" w:rsidRPr="00E70058">
              <w:rPr>
                <w:rFonts w:eastAsia="Times New Roman"/>
                <w:color w:val="000000"/>
                <w:sz w:val="25"/>
                <w:szCs w:val="25"/>
              </w:rPr>
              <w:t>SND 2014/02/AK</w:t>
            </w:r>
            <w:r w:rsidR="00E70058">
              <w:rPr>
                <w:rFonts w:eastAsia="Times New Roman"/>
                <w:color w:val="000000"/>
                <w:sz w:val="25"/>
                <w:szCs w:val="25"/>
              </w:rPr>
              <w:t>)</w:t>
            </w:r>
            <w:r w:rsidR="00E70058" w:rsidRPr="00E70058">
              <w:rPr>
                <w:rFonts w:eastAsia="Times New Roman"/>
                <w:color w:val="000000"/>
                <w:sz w:val="25"/>
                <w:szCs w:val="25"/>
              </w:rPr>
              <w:t xml:space="preserve"> </w:t>
            </w:r>
            <w:r w:rsidR="00483CEA">
              <w:rPr>
                <w:rFonts w:eastAsia="Times New Roman"/>
                <w:color w:val="000000"/>
                <w:sz w:val="25"/>
                <w:szCs w:val="25"/>
              </w:rPr>
              <w:t xml:space="preserve">procedūras </w:t>
            </w:r>
            <w:r>
              <w:rPr>
                <w:rFonts w:eastAsia="Times New Roman"/>
                <w:color w:val="000000"/>
                <w:sz w:val="25"/>
                <w:szCs w:val="25"/>
              </w:rPr>
              <w:t xml:space="preserve">ietvaros, izskatot  ieinteresēto personu jautājumus, iepirkuma nolikumā septiņas reizes tika veikti grozījumi, kā arī četras reizes tikušas iesniegtas sūdzības Iepirkumu uzraudzības birojā, kā rezultātā piedāvājumu atvēršana </w:t>
            </w:r>
            <w:r w:rsidR="00F628B6">
              <w:rPr>
                <w:rFonts w:eastAsia="Times New Roman"/>
                <w:color w:val="000000"/>
                <w:sz w:val="25"/>
                <w:szCs w:val="25"/>
              </w:rPr>
              <w:t xml:space="preserve">bija iespējama </w:t>
            </w:r>
            <w:r>
              <w:rPr>
                <w:rFonts w:eastAsia="Times New Roman"/>
                <w:color w:val="000000"/>
                <w:sz w:val="25"/>
                <w:szCs w:val="25"/>
              </w:rPr>
              <w:t xml:space="preserve">tikai 2014.gada 28.jūlijā. Lai gan piedāvājumus iesniedza septiņi pretendenti, tikai viens no pretendentiem iekļāvās </w:t>
            </w:r>
            <w:r w:rsidR="00E70058">
              <w:rPr>
                <w:rFonts w:eastAsia="Times New Roman"/>
                <w:color w:val="000000"/>
                <w:sz w:val="25"/>
                <w:szCs w:val="25"/>
              </w:rPr>
              <w:t xml:space="preserve">pašvaldības norādītās līgumcenas robežās, turklāt šī pretendenta piedāvājumā tika konstatēti būtiski trūkumi, kuru novēršanai pretendentam būtu krietni jāpalielina piedāvātā līgumcena. Iepriekšminētā rezultātā iepirkuma procedūra 2014.gada 14.augustā tika pārtraukta. </w:t>
            </w:r>
            <w:r w:rsidR="00CE1EC6">
              <w:rPr>
                <w:rFonts w:eastAsia="Times New Roman"/>
                <w:color w:val="000000"/>
                <w:sz w:val="25"/>
                <w:szCs w:val="25"/>
              </w:rPr>
              <w:t xml:space="preserve"> Siguldas novada pašvaldība </w:t>
            </w:r>
            <w:r w:rsidR="00E70058">
              <w:rPr>
                <w:rFonts w:eastAsia="Times New Roman"/>
                <w:color w:val="000000"/>
                <w:sz w:val="25"/>
                <w:szCs w:val="25"/>
              </w:rPr>
              <w:t>nor</w:t>
            </w:r>
            <w:r w:rsidR="00CE1EC6">
              <w:rPr>
                <w:rFonts w:eastAsia="Times New Roman"/>
                <w:color w:val="000000"/>
                <w:sz w:val="25"/>
                <w:szCs w:val="25"/>
              </w:rPr>
              <w:t>āda, ka, lai sniegtu ekonomiski pamatotāko risinājumu būvniecībai un ekspluatācijai, ir nepieciešams papildus laiks un resursi kvalitatīvai iepirkuma dokumentu sagatavošanai, tāpēc jaunu iepirkumu plānots izsludināt 2014.gada oktobr</w:t>
            </w:r>
            <w:r w:rsidR="007C4D1B">
              <w:rPr>
                <w:rFonts w:eastAsia="Times New Roman"/>
                <w:color w:val="000000"/>
                <w:sz w:val="25"/>
                <w:szCs w:val="25"/>
              </w:rPr>
              <w:t>ī</w:t>
            </w:r>
            <w:r w:rsidR="00CE1EC6">
              <w:rPr>
                <w:rFonts w:eastAsia="Times New Roman"/>
                <w:color w:val="000000"/>
                <w:sz w:val="25"/>
                <w:szCs w:val="25"/>
              </w:rPr>
              <w:t>. Ievērojot minēto</w:t>
            </w:r>
            <w:r w:rsidR="009471BB">
              <w:rPr>
                <w:rFonts w:eastAsia="Times New Roman"/>
                <w:color w:val="000000"/>
                <w:sz w:val="25"/>
                <w:szCs w:val="25"/>
              </w:rPr>
              <w:t xml:space="preserve"> un to, ka </w:t>
            </w:r>
            <w:r w:rsidR="00780EDA">
              <w:rPr>
                <w:rFonts w:eastAsia="Times New Roman"/>
                <w:color w:val="000000"/>
                <w:sz w:val="25"/>
                <w:szCs w:val="25"/>
              </w:rPr>
              <w:t>līdz</w:t>
            </w:r>
            <w:r w:rsidR="009471BB">
              <w:rPr>
                <w:rFonts w:eastAsia="Times New Roman"/>
                <w:color w:val="000000"/>
                <w:sz w:val="25"/>
                <w:szCs w:val="25"/>
              </w:rPr>
              <w:t xml:space="preserve"> iepirkuma procedūras pabeigšanai nav iespējama būvdarbu uzsāk</w:t>
            </w:r>
            <w:r w:rsidR="00780EDA">
              <w:rPr>
                <w:rFonts w:eastAsia="Times New Roman"/>
                <w:color w:val="000000"/>
                <w:sz w:val="25"/>
                <w:szCs w:val="25"/>
              </w:rPr>
              <w:t xml:space="preserve">šana un attiecīgi līdz 2014.gada 31.decembrim nav iespējams nodrošināt Siguldas projekta īstenošanai 2014.gadā </w:t>
            </w:r>
            <w:r w:rsidR="00780EDA">
              <w:rPr>
                <w:rFonts w:eastAsia="Times New Roman"/>
                <w:color w:val="000000"/>
                <w:sz w:val="25"/>
                <w:szCs w:val="25"/>
              </w:rPr>
              <w:lastRenderedPageBreak/>
              <w:t xml:space="preserve">piešķirto </w:t>
            </w:r>
            <w:r w:rsidR="009471BB">
              <w:rPr>
                <w:rFonts w:eastAsia="Times New Roman"/>
                <w:color w:val="000000"/>
                <w:sz w:val="25"/>
                <w:szCs w:val="25"/>
              </w:rPr>
              <w:t>līdzek</w:t>
            </w:r>
            <w:r w:rsidR="00780EDA">
              <w:rPr>
                <w:rFonts w:eastAsia="Times New Roman"/>
                <w:color w:val="000000"/>
                <w:sz w:val="25"/>
                <w:szCs w:val="25"/>
              </w:rPr>
              <w:t>ļu apguvi</w:t>
            </w:r>
            <w:r w:rsidR="00CE1EC6">
              <w:rPr>
                <w:rFonts w:eastAsia="Times New Roman"/>
                <w:color w:val="000000"/>
                <w:sz w:val="25"/>
                <w:szCs w:val="25"/>
              </w:rPr>
              <w:t xml:space="preserve">, Siguldas novada pašvaldība lūdz rast iespēju visu </w:t>
            </w:r>
            <w:r w:rsidR="004D76FC">
              <w:rPr>
                <w:rFonts w:eastAsia="Times New Roman"/>
                <w:color w:val="000000"/>
                <w:sz w:val="25"/>
                <w:szCs w:val="25"/>
              </w:rPr>
              <w:t xml:space="preserve">Siguldas projekta īstenošanai </w:t>
            </w:r>
            <w:r w:rsidR="00CE1EC6">
              <w:rPr>
                <w:rFonts w:eastAsia="Times New Roman"/>
                <w:color w:val="000000"/>
                <w:sz w:val="25"/>
                <w:szCs w:val="25"/>
              </w:rPr>
              <w:t xml:space="preserve">plānoto </w:t>
            </w:r>
            <w:r w:rsidR="004D76FC">
              <w:rPr>
                <w:rFonts w:eastAsia="Times New Roman"/>
                <w:color w:val="000000"/>
                <w:sz w:val="25"/>
                <w:szCs w:val="25"/>
              </w:rPr>
              <w:t xml:space="preserve">valsts budžeta </w:t>
            </w:r>
            <w:r w:rsidR="00CE1EC6">
              <w:rPr>
                <w:rFonts w:eastAsia="Times New Roman"/>
                <w:color w:val="000000"/>
                <w:sz w:val="25"/>
                <w:szCs w:val="25"/>
              </w:rPr>
              <w:t xml:space="preserve">finansējumu (2`860`915 </w:t>
            </w:r>
            <w:r w:rsidR="00CE1EC6" w:rsidRPr="00EC680D">
              <w:rPr>
                <w:rFonts w:eastAsia="Times New Roman"/>
                <w:i/>
                <w:color w:val="000000"/>
                <w:sz w:val="25"/>
                <w:szCs w:val="25"/>
              </w:rPr>
              <w:t>euro</w:t>
            </w:r>
            <w:r w:rsidR="00EC680D">
              <w:rPr>
                <w:rFonts w:eastAsia="Times New Roman"/>
                <w:color w:val="000000"/>
                <w:sz w:val="25"/>
                <w:szCs w:val="25"/>
              </w:rPr>
              <w:t xml:space="preserve"> apmērā</w:t>
            </w:r>
            <w:r w:rsidR="00CE1EC6">
              <w:rPr>
                <w:rFonts w:eastAsia="Times New Roman"/>
                <w:color w:val="000000"/>
                <w:sz w:val="25"/>
                <w:szCs w:val="25"/>
              </w:rPr>
              <w:t>) piešķirt 2015.gadā, attiecīgi lūdzot sagatavot un virzīt izskatīšanai Ministru kabinetā jautājumu par Siguldas projekta īstenošanai 2014.gadā paredzēto līdzekļu (1`</w:t>
            </w:r>
            <w:r w:rsidR="00CE1EC6" w:rsidRPr="00D7328F">
              <w:rPr>
                <w:rFonts w:eastAsia="Times New Roman"/>
                <w:color w:val="000000"/>
                <w:sz w:val="25"/>
                <w:szCs w:val="25"/>
              </w:rPr>
              <w:t>465</w:t>
            </w:r>
            <w:r w:rsidR="00CE1EC6">
              <w:rPr>
                <w:rFonts w:eastAsia="Times New Roman"/>
                <w:color w:val="000000"/>
                <w:sz w:val="25"/>
                <w:szCs w:val="25"/>
              </w:rPr>
              <w:t>`</w:t>
            </w:r>
            <w:r w:rsidR="00CE1EC6" w:rsidRPr="00D7328F">
              <w:rPr>
                <w:rFonts w:eastAsia="Times New Roman"/>
                <w:color w:val="000000"/>
                <w:sz w:val="25"/>
                <w:szCs w:val="25"/>
              </w:rPr>
              <w:t>600</w:t>
            </w:r>
            <w:r w:rsidR="00CE1EC6">
              <w:rPr>
                <w:rFonts w:eastAsia="Times New Roman"/>
                <w:color w:val="000000"/>
                <w:sz w:val="25"/>
                <w:szCs w:val="25"/>
              </w:rPr>
              <w:t xml:space="preserve"> </w:t>
            </w:r>
            <w:r w:rsidR="00CE1EC6" w:rsidRPr="00D7328F">
              <w:rPr>
                <w:rFonts w:eastAsia="Times New Roman"/>
                <w:i/>
                <w:color w:val="000000"/>
                <w:sz w:val="25"/>
                <w:szCs w:val="25"/>
              </w:rPr>
              <w:t>euro</w:t>
            </w:r>
            <w:r w:rsidR="00CE1EC6">
              <w:rPr>
                <w:rFonts w:eastAsia="Times New Roman"/>
                <w:color w:val="000000"/>
                <w:sz w:val="25"/>
                <w:szCs w:val="25"/>
              </w:rPr>
              <w:t xml:space="preserve"> apmērā) pārdali.</w:t>
            </w:r>
          </w:p>
          <w:p w:rsidR="004D76FC" w:rsidRDefault="00CE1EC6" w:rsidP="00EA5091">
            <w:pPr>
              <w:ind w:left="132" w:right="127"/>
              <w:jc w:val="both"/>
              <w:rPr>
                <w:rFonts w:eastAsia="Times New Roman"/>
                <w:color w:val="000000"/>
                <w:sz w:val="25"/>
                <w:szCs w:val="25"/>
              </w:rPr>
            </w:pPr>
            <w:r>
              <w:rPr>
                <w:rFonts w:eastAsia="Times New Roman"/>
                <w:color w:val="000000"/>
                <w:sz w:val="25"/>
                <w:szCs w:val="25"/>
              </w:rPr>
              <w:tab/>
            </w:r>
            <w:r w:rsidR="000A55C5">
              <w:rPr>
                <w:rFonts w:eastAsia="Times New Roman"/>
                <w:color w:val="000000"/>
                <w:sz w:val="25"/>
                <w:szCs w:val="25"/>
              </w:rPr>
              <w:t xml:space="preserve">Valmieras pilsētas pašvaldība 2014.gada 26.septembra vēstulē </w:t>
            </w:r>
            <w:r w:rsidR="000A55C5" w:rsidRPr="000A55C5">
              <w:rPr>
                <w:rFonts w:eastAsia="Times New Roman"/>
                <w:color w:val="000000"/>
                <w:sz w:val="25"/>
                <w:szCs w:val="25"/>
              </w:rPr>
              <w:t>Nr.2.-2.1.7./14/1719</w:t>
            </w:r>
            <w:r w:rsidR="000A55C5">
              <w:rPr>
                <w:rFonts w:eastAsia="Times New Roman"/>
                <w:color w:val="000000"/>
                <w:sz w:val="25"/>
                <w:szCs w:val="25"/>
              </w:rPr>
              <w:t xml:space="preserve"> informēja IZM, ka </w:t>
            </w:r>
            <w:r w:rsidR="00483CEA">
              <w:rPr>
                <w:rFonts w:eastAsia="Times New Roman"/>
                <w:color w:val="000000"/>
                <w:sz w:val="25"/>
                <w:szCs w:val="25"/>
              </w:rPr>
              <w:t xml:space="preserve">publiskā iepirkuma </w:t>
            </w:r>
            <w:r w:rsidR="0055535F">
              <w:t xml:space="preserve"> </w:t>
            </w:r>
            <w:r w:rsidR="0055535F" w:rsidRPr="0055535F">
              <w:rPr>
                <w:rFonts w:eastAsia="Times New Roman"/>
                <w:color w:val="000000"/>
                <w:sz w:val="25"/>
                <w:szCs w:val="25"/>
              </w:rPr>
              <w:t>VPP 2013/002AK</w:t>
            </w:r>
            <w:r w:rsidR="0055535F">
              <w:rPr>
                <w:rFonts w:eastAsia="Times New Roman"/>
                <w:color w:val="000000"/>
                <w:sz w:val="25"/>
                <w:szCs w:val="25"/>
              </w:rPr>
              <w:t xml:space="preserve">) </w:t>
            </w:r>
            <w:r w:rsidR="00483CEA">
              <w:rPr>
                <w:rFonts w:eastAsia="Times New Roman"/>
                <w:color w:val="000000"/>
                <w:sz w:val="25"/>
                <w:szCs w:val="25"/>
              </w:rPr>
              <w:t>proce</w:t>
            </w:r>
            <w:r w:rsidR="0055535F">
              <w:rPr>
                <w:rFonts w:eastAsia="Times New Roman"/>
                <w:color w:val="000000"/>
                <w:sz w:val="25"/>
                <w:szCs w:val="25"/>
              </w:rPr>
              <w:t xml:space="preserve">dūras ietvaros izvēlētais pretendents </w:t>
            </w:r>
            <w:r w:rsidR="001F323F">
              <w:t xml:space="preserve">Valmieras projekta ietvaros paredzētā </w:t>
            </w:r>
            <w:r w:rsidR="001F323F" w:rsidRPr="001F323F">
              <w:rPr>
                <w:rFonts w:eastAsia="Times New Roman"/>
                <w:color w:val="000000"/>
                <w:sz w:val="25"/>
                <w:szCs w:val="25"/>
              </w:rPr>
              <w:t>peldbaseina un BMX ri</w:t>
            </w:r>
            <w:r w:rsidR="001F323F">
              <w:rPr>
                <w:rFonts w:eastAsia="Times New Roman"/>
                <w:color w:val="000000"/>
                <w:sz w:val="25"/>
                <w:szCs w:val="25"/>
              </w:rPr>
              <w:t xml:space="preserve">teņbraukšanas trases celtniecības </w:t>
            </w:r>
            <w:r w:rsidR="00483CEA">
              <w:rPr>
                <w:rFonts w:eastAsia="Times New Roman"/>
                <w:color w:val="000000"/>
                <w:sz w:val="25"/>
                <w:szCs w:val="25"/>
              </w:rPr>
              <w:t xml:space="preserve">tehniskā </w:t>
            </w:r>
            <w:r w:rsidR="001F323F">
              <w:rPr>
                <w:rFonts w:eastAsia="Times New Roman"/>
                <w:color w:val="000000"/>
                <w:sz w:val="25"/>
                <w:szCs w:val="25"/>
              </w:rPr>
              <w:t xml:space="preserve">projekta </w:t>
            </w:r>
            <w:r w:rsidR="00FF10E7">
              <w:rPr>
                <w:rFonts w:eastAsia="Times New Roman"/>
                <w:color w:val="000000"/>
                <w:sz w:val="25"/>
                <w:szCs w:val="25"/>
              </w:rPr>
              <w:t>dokument</w:t>
            </w:r>
            <w:r w:rsidR="000C5812">
              <w:rPr>
                <w:rFonts w:eastAsia="Times New Roman"/>
                <w:color w:val="000000"/>
                <w:sz w:val="25"/>
                <w:szCs w:val="25"/>
              </w:rPr>
              <w:t>āciju</w:t>
            </w:r>
            <w:r w:rsidR="00483CEA">
              <w:rPr>
                <w:rFonts w:eastAsia="Times New Roman"/>
                <w:color w:val="000000"/>
                <w:sz w:val="25"/>
                <w:szCs w:val="25"/>
              </w:rPr>
              <w:t xml:space="preserve"> Valmieras pilsētas pašvaldībā </w:t>
            </w:r>
            <w:r w:rsidR="000C5812">
              <w:rPr>
                <w:rFonts w:eastAsia="Times New Roman"/>
                <w:color w:val="000000"/>
                <w:sz w:val="25"/>
                <w:szCs w:val="25"/>
              </w:rPr>
              <w:t xml:space="preserve">iesniedza 2014.gada 5.augustā. </w:t>
            </w:r>
            <w:r w:rsidR="004D76FC" w:rsidRPr="004D76FC">
              <w:rPr>
                <w:rFonts w:eastAsia="Times New Roman"/>
                <w:color w:val="000000"/>
                <w:sz w:val="25"/>
                <w:szCs w:val="25"/>
              </w:rPr>
              <w:t xml:space="preserve">Pēc projekta saņemšanas tika izstrādāta iepirkuma dokumentācija un 2014.gada 12.augustā tika izsludināts atklāts konkurss </w:t>
            </w:r>
            <w:r w:rsidR="004D76FC">
              <w:rPr>
                <w:rFonts w:eastAsia="Times New Roman"/>
                <w:color w:val="000000"/>
                <w:sz w:val="25"/>
                <w:szCs w:val="25"/>
              </w:rPr>
              <w:t>(</w:t>
            </w:r>
            <w:r w:rsidR="004D76FC" w:rsidRPr="004D76FC">
              <w:rPr>
                <w:rFonts w:eastAsia="Times New Roman"/>
                <w:color w:val="000000"/>
                <w:sz w:val="25"/>
                <w:szCs w:val="25"/>
              </w:rPr>
              <w:t>VPP 2014/038AK</w:t>
            </w:r>
            <w:r w:rsidR="004D76FC">
              <w:rPr>
                <w:rFonts w:eastAsia="Times New Roman"/>
                <w:color w:val="000000"/>
                <w:sz w:val="25"/>
                <w:szCs w:val="25"/>
              </w:rPr>
              <w:t>)</w:t>
            </w:r>
            <w:r w:rsidR="004D76FC" w:rsidRPr="004D76FC">
              <w:rPr>
                <w:rFonts w:eastAsia="Times New Roman"/>
                <w:color w:val="000000"/>
                <w:sz w:val="25"/>
                <w:szCs w:val="25"/>
              </w:rPr>
              <w:t xml:space="preserve"> par</w:t>
            </w:r>
            <w:r w:rsidR="004D76FC">
              <w:rPr>
                <w:rFonts w:eastAsia="Times New Roman"/>
                <w:color w:val="000000"/>
                <w:sz w:val="25"/>
                <w:szCs w:val="25"/>
              </w:rPr>
              <w:t xml:space="preserve"> minēto</w:t>
            </w:r>
            <w:r w:rsidR="004D76FC" w:rsidRPr="004D76FC">
              <w:rPr>
                <w:rFonts w:eastAsia="Times New Roman"/>
                <w:color w:val="000000"/>
                <w:sz w:val="25"/>
                <w:szCs w:val="25"/>
              </w:rPr>
              <w:t xml:space="preserve"> sporta būvju celtniecību. Saskaņā ar konkursa nolikumu 2014.gada 27.augustā tika organizēta ieinteresēto piegādātāju sanāksme. Pamatojoties uz ieinteresēto piegādātāju saņemtajiem jautājumiem, 2014.gada 29.augustā tika veikti grozījumi konkursa nolikumā un </w:t>
            </w:r>
            <w:r w:rsidR="009369B1" w:rsidRPr="004D76FC">
              <w:rPr>
                <w:rFonts w:eastAsia="Times New Roman"/>
                <w:color w:val="000000"/>
                <w:sz w:val="25"/>
                <w:szCs w:val="25"/>
              </w:rPr>
              <w:t xml:space="preserve"> līdz 2014.gada 30.septembrim </w:t>
            </w:r>
            <w:r w:rsidR="004D76FC" w:rsidRPr="004D76FC">
              <w:rPr>
                <w:rFonts w:eastAsia="Times New Roman"/>
                <w:color w:val="000000"/>
                <w:sz w:val="25"/>
                <w:szCs w:val="25"/>
              </w:rPr>
              <w:t xml:space="preserve">pagarināts piedāvājumu iesniegšanas termiņš. </w:t>
            </w:r>
            <w:r w:rsidR="004D76FC">
              <w:rPr>
                <w:rFonts w:eastAsia="Times New Roman"/>
                <w:color w:val="000000"/>
                <w:sz w:val="25"/>
                <w:szCs w:val="25"/>
              </w:rPr>
              <w:t xml:space="preserve">2014.gada 19.septembrī Iepirkumu uzraudzības birojā ir iesniegta sūdzība </w:t>
            </w:r>
            <w:r w:rsidR="004D76FC" w:rsidRPr="004D76FC">
              <w:rPr>
                <w:rFonts w:eastAsia="Times New Roman"/>
                <w:color w:val="000000"/>
                <w:sz w:val="25"/>
                <w:szCs w:val="25"/>
              </w:rPr>
              <w:t>attiecībā uz prasībām, kas iekļautas atklāta konkursa nolikumā</w:t>
            </w:r>
            <w:r w:rsidR="004D76FC">
              <w:rPr>
                <w:rFonts w:eastAsia="Times New Roman"/>
                <w:color w:val="000000"/>
                <w:sz w:val="25"/>
                <w:szCs w:val="25"/>
              </w:rPr>
              <w:t xml:space="preserve">, kā rezultātā </w:t>
            </w:r>
            <w:r w:rsidR="004D76FC" w:rsidRPr="004D76FC">
              <w:rPr>
                <w:rFonts w:eastAsia="Times New Roman"/>
                <w:color w:val="000000"/>
                <w:sz w:val="25"/>
                <w:szCs w:val="25"/>
              </w:rPr>
              <w:t>nav iespējams paredzēt plānoto sporta būvju celtniecības darbu uzsākšanas laiku.</w:t>
            </w:r>
            <w:r w:rsidR="004D76FC">
              <w:rPr>
                <w:rFonts w:eastAsia="Times New Roman"/>
                <w:color w:val="000000"/>
                <w:sz w:val="25"/>
                <w:szCs w:val="25"/>
              </w:rPr>
              <w:t xml:space="preserve">  Ievērojot minēto</w:t>
            </w:r>
            <w:r w:rsidR="009369B1">
              <w:rPr>
                <w:rFonts w:eastAsia="Times New Roman"/>
                <w:color w:val="000000"/>
                <w:sz w:val="25"/>
                <w:szCs w:val="25"/>
              </w:rPr>
              <w:t xml:space="preserve">  un to, ka līdz iepirkuma procedūras pabeigšanai nav iespējama būvdarbu uzsākšana un attiecīgi līdz 2014.gada 31.decembrim nav iespējams nodrošināt Valmieras projekta īstenošanai 2014.gadā piešķirto līdzekļu apguvi,</w:t>
            </w:r>
            <w:r w:rsidR="004D76FC">
              <w:rPr>
                <w:rFonts w:eastAsia="Times New Roman"/>
                <w:color w:val="000000"/>
                <w:sz w:val="25"/>
                <w:szCs w:val="25"/>
              </w:rPr>
              <w:t xml:space="preserve"> Valmieras pilsētas pašvaldība lūdz rast iespēju Valmieras projekta īstenošanai 2014.gadā </w:t>
            </w:r>
            <w:r w:rsidR="00992EB2">
              <w:rPr>
                <w:rFonts w:eastAsia="Times New Roman"/>
                <w:color w:val="000000"/>
                <w:sz w:val="25"/>
                <w:szCs w:val="25"/>
              </w:rPr>
              <w:t xml:space="preserve">plānoto </w:t>
            </w:r>
            <w:r w:rsidR="004D76FC">
              <w:rPr>
                <w:rFonts w:eastAsia="Times New Roman"/>
                <w:color w:val="000000"/>
                <w:sz w:val="25"/>
                <w:szCs w:val="25"/>
              </w:rPr>
              <w:t xml:space="preserve">valsts budžeta finansējumu </w:t>
            </w:r>
            <w:r w:rsidR="00EC680D">
              <w:rPr>
                <w:rFonts w:eastAsia="Times New Roman"/>
                <w:color w:val="000000"/>
                <w:sz w:val="25"/>
                <w:szCs w:val="25"/>
              </w:rPr>
              <w:t>(1</w:t>
            </w:r>
            <w:r w:rsidR="00EC680D" w:rsidRPr="00EC680D">
              <w:rPr>
                <w:rFonts w:eastAsia="Times New Roman"/>
                <w:color w:val="000000"/>
                <w:sz w:val="25"/>
                <w:szCs w:val="25"/>
              </w:rPr>
              <w:t xml:space="preserve">`696`445 </w:t>
            </w:r>
            <w:r w:rsidR="00EC680D" w:rsidRPr="00EC680D">
              <w:rPr>
                <w:rFonts w:eastAsia="Times New Roman"/>
                <w:i/>
                <w:color w:val="000000"/>
                <w:sz w:val="25"/>
                <w:szCs w:val="25"/>
              </w:rPr>
              <w:t>euro</w:t>
            </w:r>
            <w:r w:rsidR="00EC680D" w:rsidRPr="00EC680D">
              <w:rPr>
                <w:rFonts w:eastAsia="Times New Roman"/>
                <w:color w:val="000000"/>
                <w:sz w:val="25"/>
                <w:szCs w:val="25"/>
              </w:rPr>
              <w:t xml:space="preserve"> </w:t>
            </w:r>
            <w:r w:rsidR="00EC680D">
              <w:rPr>
                <w:rFonts w:eastAsia="Times New Roman"/>
                <w:color w:val="000000"/>
                <w:sz w:val="25"/>
                <w:szCs w:val="25"/>
              </w:rPr>
              <w:t xml:space="preserve">apmērā) </w:t>
            </w:r>
            <w:r w:rsidR="004D76FC" w:rsidRPr="004D76FC">
              <w:rPr>
                <w:rFonts w:eastAsia="Times New Roman"/>
                <w:color w:val="000000"/>
                <w:sz w:val="25"/>
                <w:szCs w:val="25"/>
              </w:rPr>
              <w:t>piešķirt 2015.gadā</w:t>
            </w:r>
            <w:r w:rsidR="00EC680D">
              <w:rPr>
                <w:rFonts w:eastAsia="Times New Roman"/>
                <w:color w:val="000000"/>
                <w:sz w:val="25"/>
                <w:szCs w:val="25"/>
              </w:rPr>
              <w:t>,  attiecīgi lūdzot sagatavot un virzīt izskatīšanai Ministru kabinetā jautājumu par Valmieras projekta īstenošanai 2014.gadā paredzēto līdzekļu</w:t>
            </w:r>
            <w:r w:rsidR="00E83967">
              <w:rPr>
                <w:rFonts w:eastAsia="Times New Roman"/>
                <w:color w:val="000000"/>
                <w:sz w:val="25"/>
                <w:szCs w:val="25"/>
              </w:rPr>
              <w:t xml:space="preserve"> (1</w:t>
            </w:r>
            <w:r w:rsidR="00E83967" w:rsidRPr="00EC680D">
              <w:rPr>
                <w:rFonts w:eastAsia="Times New Roman"/>
                <w:color w:val="000000"/>
                <w:sz w:val="25"/>
                <w:szCs w:val="25"/>
              </w:rPr>
              <w:t xml:space="preserve">`696`445 </w:t>
            </w:r>
            <w:r w:rsidR="00E83967" w:rsidRPr="00EC680D">
              <w:rPr>
                <w:rFonts w:eastAsia="Times New Roman"/>
                <w:i/>
                <w:color w:val="000000"/>
                <w:sz w:val="25"/>
                <w:szCs w:val="25"/>
              </w:rPr>
              <w:t>euro</w:t>
            </w:r>
            <w:r w:rsidR="00E83967" w:rsidRPr="00EC680D">
              <w:rPr>
                <w:rFonts w:eastAsia="Times New Roman"/>
                <w:color w:val="000000"/>
                <w:sz w:val="25"/>
                <w:szCs w:val="25"/>
              </w:rPr>
              <w:t xml:space="preserve"> </w:t>
            </w:r>
            <w:r w:rsidR="00E83967">
              <w:rPr>
                <w:rFonts w:eastAsia="Times New Roman"/>
                <w:color w:val="000000"/>
                <w:sz w:val="25"/>
                <w:szCs w:val="25"/>
              </w:rPr>
              <w:t xml:space="preserve">apmērā) </w:t>
            </w:r>
            <w:r w:rsidR="00EC680D">
              <w:rPr>
                <w:rFonts w:eastAsia="Times New Roman"/>
                <w:color w:val="000000"/>
                <w:sz w:val="25"/>
                <w:szCs w:val="25"/>
              </w:rPr>
              <w:t>pārdali.</w:t>
            </w:r>
          </w:p>
          <w:p w:rsidR="00B750F8" w:rsidRPr="00B750F8" w:rsidRDefault="00AE5179" w:rsidP="00B750F8">
            <w:pPr>
              <w:ind w:left="132" w:right="127"/>
              <w:jc w:val="both"/>
              <w:rPr>
                <w:rFonts w:eastAsia="Times New Roman"/>
                <w:color w:val="000000"/>
                <w:sz w:val="25"/>
                <w:szCs w:val="25"/>
              </w:rPr>
            </w:pPr>
            <w:r>
              <w:rPr>
                <w:rFonts w:eastAsia="Times New Roman"/>
                <w:color w:val="000000"/>
                <w:sz w:val="25"/>
                <w:szCs w:val="25"/>
              </w:rPr>
              <w:tab/>
              <w:t xml:space="preserve">Liepājas pilsētas pašvaldība 2014.gada 10.septembra vēstulē </w:t>
            </w:r>
            <w:r w:rsidRPr="000A55C5">
              <w:rPr>
                <w:rFonts w:eastAsia="Times New Roman"/>
                <w:color w:val="000000"/>
                <w:sz w:val="25"/>
                <w:szCs w:val="25"/>
              </w:rPr>
              <w:t>Nr.</w:t>
            </w:r>
            <w:r w:rsidRPr="00AE5179">
              <w:rPr>
                <w:rFonts w:eastAsia="Times New Roman"/>
                <w:color w:val="000000"/>
                <w:sz w:val="25"/>
                <w:szCs w:val="25"/>
              </w:rPr>
              <w:t xml:space="preserve">315269/2.1.9/315269 </w:t>
            </w:r>
            <w:r>
              <w:rPr>
                <w:rFonts w:eastAsia="Times New Roman"/>
                <w:color w:val="000000"/>
                <w:sz w:val="25"/>
                <w:szCs w:val="25"/>
              </w:rPr>
              <w:t>informēja IZM, ka</w:t>
            </w:r>
            <w:r w:rsidR="00B750F8">
              <w:rPr>
                <w:rFonts w:eastAsia="Times New Roman"/>
                <w:color w:val="000000"/>
                <w:sz w:val="25"/>
                <w:szCs w:val="25"/>
              </w:rPr>
              <w:t xml:space="preserve"> </w:t>
            </w:r>
            <w:r w:rsidR="00B750F8" w:rsidRPr="00B750F8">
              <w:rPr>
                <w:rFonts w:eastAsia="Times New Roman"/>
                <w:color w:val="000000"/>
                <w:sz w:val="25"/>
                <w:szCs w:val="25"/>
              </w:rPr>
              <w:t xml:space="preserve">Iepirkumu uzraudzības birojs 2014.gada 18.jūlijā </w:t>
            </w:r>
            <w:r w:rsidR="00B750F8">
              <w:rPr>
                <w:rFonts w:eastAsia="Times New Roman"/>
                <w:color w:val="000000"/>
                <w:sz w:val="25"/>
                <w:szCs w:val="25"/>
              </w:rPr>
              <w:t>saskaņoja</w:t>
            </w:r>
            <w:r w:rsidR="00B750F8" w:rsidRPr="00B750F8">
              <w:rPr>
                <w:rFonts w:eastAsia="Times New Roman"/>
                <w:color w:val="000000"/>
                <w:sz w:val="25"/>
                <w:szCs w:val="25"/>
              </w:rPr>
              <w:t xml:space="preserve"> sarunu procedūru ar esošā </w:t>
            </w:r>
            <w:r w:rsidR="00B750F8" w:rsidRPr="00D7328F">
              <w:rPr>
                <w:rFonts w:eastAsia="Times New Roman"/>
                <w:color w:val="000000"/>
                <w:sz w:val="25"/>
                <w:szCs w:val="25"/>
              </w:rPr>
              <w:t xml:space="preserve">Liepājas Olimpiskā centra vieglatlētikas manēžas </w:t>
            </w:r>
            <w:r w:rsidR="00B750F8" w:rsidRPr="00B750F8">
              <w:rPr>
                <w:rFonts w:eastAsia="Times New Roman"/>
                <w:color w:val="000000"/>
                <w:sz w:val="25"/>
                <w:szCs w:val="25"/>
              </w:rPr>
              <w:t>būvprojekta autoru par būvprojekta korekcijām</w:t>
            </w:r>
            <w:r w:rsidR="007F3473">
              <w:rPr>
                <w:rFonts w:eastAsia="Times New Roman"/>
                <w:color w:val="000000"/>
                <w:sz w:val="25"/>
                <w:szCs w:val="25"/>
              </w:rPr>
              <w:t xml:space="preserve">, kā rezultātā sarunu procedūra noslēdzās </w:t>
            </w:r>
            <w:r w:rsidR="00B750F8" w:rsidRPr="00B750F8">
              <w:rPr>
                <w:rFonts w:eastAsia="Times New Roman"/>
                <w:color w:val="000000"/>
                <w:sz w:val="25"/>
                <w:szCs w:val="25"/>
              </w:rPr>
              <w:t xml:space="preserve">2014.gada 27.augustā. </w:t>
            </w:r>
            <w:r w:rsidR="007F3473">
              <w:rPr>
                <w:rFonts w:eastAsia="Times New Roman"/>
                <w:color w:val="000000"/>
                <w:sz w:val="25"/>
                <w:szCs w:val="25"/>
              </w:rPr>
              <w:t>Noslēgtais l</w:t>
            </w:r>
            <w:r w:rsidR="00B750F8" w:rsidRPr="00B750F8">
              <w:rPr>
                <w:rFonts w:eastAsia="Times New Roman"/>
                <w:color w:val="000000"/>
                <w:sz w:val="25"/>
                <w:szCs w:val="25"/>
              </w:rPr>
              <w:t xml:space="preserve">īgums paredz </w:t>
            </w:r>
            <w:r w:rsidR="007F3473">
              <w:rPr>
                <w:rFonts w:eastAsia="Times New Roman"/>
                <w:color w:val="000000"/>
                <w:sz w:val="25"/>
                <w:szCs w:val="25"/>
              </w:rPr>
              <w:t xml:space="preserve">četru mēnešu termiņu projektēšanas darbiem, kā arī paredz </w:t>
            </w:r>
            <w:r w:rsidR="00B750F8" w:rsidRPr="00B750F8">
              <w:rPr>
                <w:rFonts w:eastAsia="Times New Roman"/>
                <w:color w:val="000000"/>
                <w:sz w:val="25"/>
                <w:szCs w:val="25"/>
              </w:rPr>
              <w:t xml:space="preserve">koriģētā būvprojekta saskaņošanu būvvaldē pēc projekta ekspertīzes veikšanas. </w:t>
            </w:r>
            <w:r w:rsidR="007F3473">
              <w:rPr>
                <w:rFonts w:eastAsia="Times New Roman"/>
                <w:color w:val="000000"/>
                <w:sz w:val="25"/>
                <w:szCs w:val="25"/>
              </w:rPr>
              <w:t>Liepājas pilsētas pašvaldība vēstulē norāda, ka p</w:t>
            </w:r>
            <w:r w:rsidR="00B750F8" w:rsidRPr="00B750F8">
              <w:rPr>
                <w:rFonts w:eastAsia="Times New Roman"/>
                <w:color w:val="000000"/>
                <w:sz w:val="25"/>
                <w:szCs w:val="25"/>
              </w:rPr>
              <w:t>rojekta ekspertīz</w:t>
            </w:r>
            <w:r w:rsidR="007F3473">
              <w:rPr>
                <w:rFonts w:eastAsia="Times New Roman"/>
                <w:color w:val="000000"/>
                <w:sz w:val="25"/>
                <w:szCs w:val="25"/>
              </w:rPr>
              <w:t xml:space="preserve">e tiks veikta </w:t>
            </w:r>
            <w:r w:rsidR="00B750F8" w:rsidRPr="00B750F8">
              <w:rPr>
                <w:rFonts w:eastAsia="Times New Roman"/>
                <w:color w:val="000000"/>
                <w:sz w:val="25"/>
                <w:szCs w:val="25"/>
              </w:rPr>
              <w:t xml:space="preserve">uz atsevišķa līguma pamata, izdevumus paredzot segt no piešķirtā finansējuma. Projekta ekspertīze </w:t>
            </w:r>
            <w:r w:rsidR="007F3473">
              <w:rPr>
                <w:rFonts w:eastAsia="Times New Roman"/>
                <w:color w:val="000000"/>
                <w:sz w:val="25"/>
                <w:szCs w:val="25"/>
              </w:rPr>
              <w:t xml:space="preserve">Liepājas pilsētas </w:t>
            </w:r>
            <w:r w:rsidR="00B750F8" w:rsidRPr="00B750F8">
              <w:rPr>
                <w:rFonts w:eastAsia="Times New Roman"/>
                <w:color w:val="000000"/>
                <w:sz w:val="25"/>
                <w:szCs w:val="25"/>
              </w:rPr>
              <w:t>pašvaldības ieskatā ir īpaši būtiska, jo ēka ir sabiedriskas nozīmes publiska ēka un būvkonstrukciju drošības jautājumi ir rūpīgi izvērtējami.</w:t>
            </w:r>
          </w:p>
          <w:p w:rsidR="00B750F8" w:rsidRDefault="007F3473" w:rsidP="007F3473">
            <w:pPr>
              <w:ind w:left="132" w:right="127"/>
              <w:jc w:val="both"/>
              <w:rPr>
                <w:rFonts w:eastAsia="Times New Roman"/>
                <w:color w:val="000000"/>
                <w:sz w:val="25"/>
                <w:szCs w:val="25"/>
              </w:rPr>
            </w:pPr>
            <w:r>
              <w:rPr>
                <w:rFonts w:eastAsia="Times New Roman"/>
                <w:color w:val="000000"/>
                <w:sz w:val="25"/>
                <w:szCs w:val="25"/>
              </w:rPr>
              <w:t>Iepriekšminētā rezultātā p</w:t>
            </w:r>
            <w:r w:rsidR="00B750F8" w:rsidRPr="00B750F8">
              <w:rPr>
                <w:rFonts w:eastAsia="Times New Roman"/>
                <w:color w:val="000000"/>
                <w:sz w:val="25"/>
                <w:szCs w:val="25"/>
              </w:rPr>
              <w:t xml:space="preserve">rojektēšanas līguma noslēgšana bija iespējama tikai </w:t>
            </w:r>
            <w:r>
              <w:rPr>
                <w:rFonts w:eastAsia="Times New Roman"/>
                <w:color w:val="000000"/>
                <w:sz w:val="25"/>
                <w:szCs w:val="25"/>
              </w:rPr>
              <w:t xml:space="preserve">2014.gada </w:t>
            </w:r>
            <w:r w:rsidR="00B750F8" w:rsidRPr="00B750F8">
              <w:rPr>
                <w:rFonts w:eastAsia="Times New Roman"/>
                <w:color w:val="000000"/>
                <w:sz w:val="25"/>
                <w:szCs w:val="25"/>
              </w:rPr>
              <w:t xml:space="preserve">gada otrajā pusē un saskaņā ar plānoto </w:t>
            </w:r>
            <w:r w:rsidR="00B750F8" w:rsidRPr="00B750F8">
              <w:rPr>
                <w:rFonts w:eastAsia="Times New Roman"/>
                <w:color w:val="000000"/>
                <w:sz w:val="25"/>
                <w:szCs w:val="25"/>
              </w:rPr>
              <w:lastRenderedPageBreak/>
              <w:t xml:space="preserve">naudas plūsmas grafiku projektēšanas darbus paredzēts apmaksāt 2014.gadā </w:t>
            </w:r>
            <w:r>
              <w:rPr>
                <w:rFonts w:eastAsia="Times New Roman"/>
                <w:color w:val="000000"/>
                <w:sz w:val="25"/>
                <w:szCs w:val="25"/>
              </w:rPr>
              <w:t xml:space="preserve">122`500 </w:t>
            </w:r>
            <w:r w:rsidRPr="007F3473">
              <w:rPr>
                <w:rFonts w:eastAsia="Times New Roman"/>
                <w:i/>
                <w:color w:val="000000"/>
                <w:sz w:val="25"/>
                <w:szCs w:val="25"/>
              </w:rPr>
              <w:t>euro</w:t>
            </w:r>
            <w:r w:rsidR="00B750F8" w:rsidRPr="00B750F8">
              <w:rPr>
                <w:rFonts w:eastAsia="Times New Roman"/>
                <w:color w:val="000000"/>
                <w:sz w:val="25"/>
                <w:szCs w:val="25"/>
              </w:rPr>
              <w:t xml:space="preserve"> apmērā</w:t>
            </w:r>
            <w:r>
              <w:rPr>
                <w:rFonts w:eastAsia="Times New Roman"/>
                <w:color w:val="000000"/>
                <w:sz w:val="25"/>
                <w:szCs w:val="25"/>
              </w:rPr>
              <w:t xml:space="preserve"> (ieskatot PVN 21%)</w:t>
            </w:r>
            <w:r w:rsidR="00B750F8" w:rsidRPr="00B750F8">
              <w:rPr>
                <w:rFonts w:eastAsia="Times New Roman"/>
                <w:color w:val="000000"/>
                <w:sz w:val="25"/>
                <w:szCs w:val="25"/>
              </w:rPr>
              <w:t xml:space="preserve">, ieskaitot pievienotās vērtības nodokli 21%, </w:t>
            </w:r>
            <w:r>
              <w:rPr>
                <w:rFonts w:eastAsia="Times New Roman"/>
                <w:color w:val="000000"/>
                <w:sz w:val="25"/>
                <w:szCs w:val="25"/>
              </w:rPr>
              <w:t xml:space="preserve">savukārt </w:t>
            </w:r>
            <w:r w:rsidR="00B750F8" w:rsidRPr="00B750F8">
              <w:rPr>
                <w:rFonts w:eastAsia="Times New Roman"/>
                <w:color w:val="000000"/>
                <w:sz w:val="25"/>
                <w:szCs w:val="25"/>
              </w:rPr>
              <w:t>2015.gadā 52</w:t>
            </w:r>
            <w:r>
              <w:rPr>
                <w:rFonts w:eastAsia="Times New Roman"/>
                <w:color w:val="000000"/>
                <w:sz w:val="25"/>
                <w:szCs w:val="25"/>
              </w:rPr>
              <w:t>`</w:t>
            </w:r>
            <w:r w:rsidR="00B750F8" w:rsidRPr="00B750F8">
              <w:rPr>
                <w:rFonts w:eastAsia="Times New Roman"/>
                <w:color w:val="000000"/>
                <w:sz w:val="25"/>
                <w:szCs w:val="25"/>
              </w:rPr>
              <w:t xml:space="preserve">500 </w:t>
            </w:r>
            <w:r w:rsidRPr="007F3473">
              <w:rPr>
                <w:rFonts w:eastAsia="Times New Roman"/>
                <w:i/>
                <w:color w:val="000000"/>
                <w:sz w:val="25"/>
                <w:szCs w:val="25"/>
              </w:rPr>
              <w:t>euro</w:t>
            </w:r>
            <w:r w:rsidR="00B750F8" w:rsidRPr="00B750F8">
              <w:rPr>
                <w:rFonts w:eastAsia="Times New Roman"/>
                <w:color w:val="000000"/>
                <w:sz w:val="25"/>
                <w:szCs w:val="25"/>
              </w:rPr>
              <w:t xml:space="preserve"> apmērā</w:t>
            </w:r>
            <w:r>
              <w:rPr>
                <w:rFonts w:eastAsia="Times New Roman"/>
                <w:color w:val="000000"/>
                <w:sz w:val="25"/>
                <w:szCs w:val="25"/>
              </w:rPr>
              <w:t xml:space="preserve"> (ieskatot PVN 21%). </w:t>
            </w:r>
            <w:r w:rsidR="00B750F8" w:rsidRPr="00B750F8">
              <w:rPr>
                <w:rFonts w:eastAsia="Times New Roman"/>
                <w:color w:val="000000"/>
                <w:sz w:val="25"/>
                <w:szCs w:val="25"/>
              </w:rPr>
              <w:t xml:space="preserve">Projekta ekspertīzi paredzēts apmaksāt pēc tās pabeigšanas 2015.gadā. </w:t>
            </w:r>
            <w:r w:rsidR="009369B1">
              <w:rPr>
                <w:rFonts w:eastAsia="Times New Roman"/>
                <w:color w:val="000000"/>
                <w:sz w:val="25"/>
                <w:szCs w:val="25"/>
              </w:rPr>
              <w:t xml:space="preserve">Ievērojot minēto un to, ka līdz  Liepājas projekta īstenošanai 2014.gadā piešķirto līdzekļu apguvi līdz 2014.gada 31.decembrim ir iespējams nodrošināt tikai daļēji, </w:t>
            </w:r>
            <w:r>
              <w:rPr>
                <w:rFonts w:eastAsia="Times New Roman"/>
                <w:color w:val="000000"/>
                <w:sz w:val="25"/>
                <w:szCs w:val="25"/>
              </w:rPr>
              <w:t>Liepājas pilsētas pašvaldība lūdz rast iespēju daļu no Liepājas projekta īstenošanai 2014.gadā plānotā valsts budžeta finansējuma (77`500</w:t>
            </w:r>
            <w:r w:rsidRPr="00EC680D">
              <w:rPr>
                <w:rFonts w:eastAsia="Times New Roman"/>
                <w:color w:val="000000"/>
                <w:sz w:val="25"/>
                <w:szCs w:val="25"/>
              </w:rPr>
              <w:t xml:space="preserve"> </w:t>
            </w:r>
            <w:r w:rsidRPr="00EC680D">
              <w:rPr>
                <w:rFonts w:eastAsia="Times New Roman"/>
                <w:i/>
                <w:color w:val="000000"/>
                <w:sz w:val="25"/>
                <w:szCs w:val="25"/>
              </w:rPr>
              <w:t>euro</w:t>
            </w:r>
            <w:r w:rsidRPr="00EC680D">
              <w:rPr>
                <w:rFonts w:eastAsia="Times New Roman"/>
                <w:color w:val="000000"/>
                <w:sz w:val="25"/>
                <w:szCs w:val="25"/>
              </w:rPr>
              <w:t xml:space="preserve"> </w:t>
            </w:r>
            <w:r>
              <w:rPr>
                <w:rFonts w:eastAsia="Times New Roman"/>
                <w:color w:val="000000"/>
                <w:sz w:val="25"/>
                <w:szCs w:val="25"/>
              </w:rPr>
              <w:t xml:space="preserve">apmērā) </w:t>
            </w:r>
            <w:r w:rsidRPr="004D76FC">
              <w:rPr>
                <w:rFonts w:eastAsia="Times New Roman"/>
                <w:color w:val="000000"/>
                <w:sz w:val="25"/>
                <w:szCs w:val="25"/>
              </w:rPr>
              <w:t>piešķirt 2015.gadā</w:t>
            </w:r>
            <w:r>
              <w:rPr>
                <w:rFonts w:eastAsia="Times New Roman"/>
                <w:color w:val="000000"/>
                <w:sz w:val="25"/>
                <w:szCs w:val="25"/>
              </w:rPr>
              <w:t xml:space="preserve">,  attiecīgi lūdzot sagatavot un virzīt izskatīšanai Ministru kabinetā jautājumu par Liepājas projekta īstenošanai 2014.gadā paredzēto līdzekļu </w:t>
            </w:r>
            <w:r w:rsidR="00E83967">
              <w:rPr>
                <w:rFonts w:eastAsia="Times New Roman"/>
                <w:color w:val="000000"/>
                <w:sz w:val="25"/>
                <w:szCs w:val="25"/>
              </w:rPr>
              <w:t>(77`500</w:t>
            </w:r>
            <w:r w:rsidR="00E83967" w:rsidRPr="00EC680D">
              <w:rPr>
                <w:rFonts w:eastAsia="Times New Roman"/>
                <w:color w:val="000000"/>
                <w:sz w:val="25"/>
                <w:szCs w:val="25"/>
              </w:rPr>
              <w:t xml:space="preserve"> </w:t>
            </w:r>
            <w:r w:rsidR="00E83967" w:rsidRPr="00EC680D">
              <w:rPr>
                <w:rFonts w:eastAsia="Times New Roman"/>
                <w:i/>
                <w:color w:val="000000"/>
                <w:sz w:val="25"/>
                <w:szCs w:val="25"/>
              </w:rPr>
              <w:t>euro</w:t>
            </w:r>
            <w:r w:rsidR="00E83967" w:rsidRPr="00EC680D">
              <w:rPr>
                <w:rFonts w:eastAsia="Times New Roman"/>
                <w:color w:val="000000"/>
                <w:sz w:val="25"/>
                <w:szCs w:val="25"/>
              </w:rPr>
              <w:t xml:space="preserve"> </w:t>
            </w:r>
            <w:r w:rsidR="00E83967">
              <w:rPr>
                <w:rFonts w:eastAsia="Times New Roman"/>
                <w:color w:val="000000"/>
                <w:sz w:val="25"/>
                <w:szCs w:val="25"/>
              </w:rPr>
              <w:t xml:space="preserve">apmērā) </w:t>
            </w:r>
            <w:r>
              <w:rPr>
                <w:rFonts w:eastAsia="Times New Roman"/>
                <w:color w:val="000000"/>
                <w:sz w:val="25"/>
                <w:szCs w:val="25"/>
              </w:rPr>
              <w:t>pārdali.</w:t>
            </w:r>
          </w:p>
          <w:p w:rsidR="00663E0C" w:rsidRDefault="007F3473" w:rsidP="00663E0C">
            <w:pPr>
              <w:ind w:left="132" w:right="127"/>
              <w:jc w:val="both"/>
              <w:rPr>
                <w:rFonts w:eastAsia="Times New Roman"/>
                <w:color w:val="000000"/>
                <w:sz w:val="25"/>
                <w:szCs w:val="25"/>
              </w:rPr>
            </w:pPr>
            <w:r>
              <w:rPr>
                <w:rFonts w:eastAsia="Times New Roman"/>
                <w:color w:val="000000"/>
                <w:sz w:val="25"/>
                <w:szCs w:val="25"/>
              </w:rPr>
              <w:tab/>
            </w:r>
            <w:r w:rsidR="00433991">
              <w:rPr>
                <w:rFonts w:eastAsia="Times New Roman"/>
                <w:color w:val="000000"/>
                <w:sz w:val="25"/>
                <w:szCs w:val="25"/>
              </w:rPr>
              <w:t xml:space="preserve">IZM kā par sporta nozari atbildīgā ministrija ir izvērtējusi minētos pašvaldību lūgumus un atbalsta </w:t>
            </w:r>
            <w:r w:rsidR="00F57EEA">
              <w:rPr>
                <w:rFonts w:eastAsia="Times New Roman"/>
                <w:color w:val="000000"/>
                <w:sz w:val="25"/>
                <w:szCs w:val="25"/>
              </w:rPr>
              <w:t xml:space="preserve">līdzekļu pārdales veikšanu. </w:t>
            </w:r>
            <w:r w:rsidR="00CF783F">
              <w:rPr>
                <w:rFonts w:eastAsia="Times New Roman"/>
                <w:color w:val="000000"/>
                <w:sz w:val="25"/>
                <w:szCs w:val="25"/>
              </w:rPr>
              <w:t xml:space="preserve">Lai līdzekļu pārdale neradītu negatīvu fiskālu </w:t>
            </w:r>
            <w:r w:rsidR="00FE337A">
              <w:rPr>
                <w:rFonts w:eastAsia="Times New Roman"/>
                <w:color w:val="000000"/>
                <w:sz w:val="25"/>
                <w:szCs w:val="25"/>
              </w:rPr>
              <w:t>ietekmi</w:t>
            </w:r>
            <w:r w:rsidR="00CF783F">
              <w:rPr>
                <w:rFonts w:eastAsia="Times New Roman"/>
                <w:color w:val="000000"/>
                <w:sz w:val="25"/>
                <w:szCs w:val="25"/>
              </w:rPr>
              <w:t xml:space="preserve"> uz 2015.gada valsts budžeta izdevumiem, </w:t>
            </w:r>
            <w:r w:rsidR="00663E0C">
              <w:rPr>
                <w:rFonts w:eastAsia="Times New Roman"/>
                <w:color w:val="000000"/>
                <w:sz w:val="25"/>
                <w:szCs w:val="25"/>
              </w:rPr>
              <w:t xml:space="preserve">kā arī, ņemot vērā </w:t>
            </w:r>
            <w:r w:rsidR="00014921">
              <w:rPr>
                <w:rFonts w:eastAsia="Times New Roman"/>
                <w:color w:val="000000"/>
                <w:sz w:val="25"/>
                <w:szCs w:val="25"/>
              </w:rPr>
              <w:t>ar</w:t>
            </w:r>
            <w:r w:rsidR="00663E0C">
              <w:rPr>
                <w:rFonts w:eastAsia="Times New Roman"/>
                <w:color w:val="000000"/>
                <w:sz w:val="25"/>
                <w:szCs w:val="25"/>
              </w:rPr>
              <w:t xml:space="preserve"> 2014.</w:t>
            </w:r>
            <w:r w:rsidR="00663E0C" w:rsidRPr="00663E0C">
              <w:rPr>
                <w:rFonts w:eastAsia="Times New Roman"/>
                <w:color w:val="000000"/>
                <w:sz w:val="25"/>
                <w:szCs w:val="25"/>
              </w:rPr>
              <w:t>gada 18.august</w:t>
            </w:r>
            <w:r w:rsidR="00663E0C">
              <w:rPr>
                <w:rFonts w:eastAsia="Times New Roman"/>
                <w:color w:val="000000"/>
                <w:sz w:val="25"/>
                <w:szCs w:val="25"/>
              </w:rPr>
              <w:t xml:space="preserve">a rīkojumu </w:t>
            </w:r>
            <w:r w:rsidR="00663E0C" w:rsidRPr="00663E0C">
              <w:rPr>
                <w:rFonts w:eastAsia="Times New Roman"/>
                <w:color w:val="000000"/>
                <w:sz w:val="25"/>
                <w:szCs w:val="25"/>
              </w:rPr>
              <w:t>Nr.430</w:t>
            </w:r>
            <w:r w:rsidR="00663E0C">
              <w:rPr>
                <w:rFonts w:eastAsia="Times New Roman"/>
                <w:color w:val="000000"/>
                <w:sz w:val="25"/>
                <w:szCs w:val="25"/>
              </w:rPr>
              <w:t xml:space="preserve"> “</w:t>
            </w:r>
            <w:r w:rsidR="00663E0C" w:rsidRPr="00663E0C">
              <w:rPr>
                <w:rFonts w:eastAsia="Times New Roman"/>
                <w:color w:val="000000"/>
                <w:sz w:val="25"/>
                <w:szCs w:val="25"/>
              </w:rPr>
              <w:t>Par Murjāņu sporta ģimnāzijas esošo būvju rekonstrukcijas un multifunkcionālas slēgtas sporta manēžas būvniecības projekta īstenošanai 2014. gadā paredzēto valsts budžeta līdzekļu pārdali</w:t>
            </w:r>
            <w:r w:rsidR="00663E0C">
              <w:rPr>
                <w:rFonts w:eastAsia="Times New Roman"/>
                <w:color w:val="000000"/>
                <w:sz w:val="25"/>
                <w:szCs w:val="25"/>
              </w:rPr>
              <w:t xml:space="preserve">” iedibināto praksi, </w:t>
            </w:r>
            <w:r w:rsidR="001C74C8">
              <w:rPr>
                <w:rFonts w:eastAsia="Times New Roman"/>
                <w:color w:val="000000"/>
                <w:sz w:val="25"/>
                <w:szCs w:val="25"/>
              </w:rPr>
              <w:t xml:space="preserve">IZM </w:t>
            </w:r>
            <w:r w:rsidR="00D927E5">
              <w:rPr>
                <w:rFonts w:eastAsia="Times New Roman"/>
                <w:color w:val="000000"/>
                <w:sz w:val="25"/>
                <w:szCs w:val="25"/>
              </w:rPr>
              <w:t xml:space="preserve">rosina veikt līdzekļu (kopā minēto projektu īstenošanai pārdalāmā summa ir </w:t>
            </w:r>
            <w:r w:rsidR="00E321B4" w:rsidRPr="00E321B4">
              <w:rPr>
                <w:rFonts w:eastAsia="Times New Roman"/>
                <w:color w:val="000000"/>
                <w:sz w:val="25"/>
                <w:szCs w:val="25"/>
              </w:rPr>
              <w:t>3</w:t>
            </w:r>
            <w:r w:rsidR="00E321B4">
              <w:rPr>
                <w:rFonts w:eastAsia="Times New Roman"/>
                <w:color w:val="000000"/>
                <w:sz w:val="25"/>
                <w:szCs w:val="25"/>
              </w:rPr>
              <w:t>`</w:t>
            </w:r>
            <w:r w:rsidR="00E321B4" w:rsidRPr="00E321B4">
              <w:rPr>
                <w:rFonts w:eastAsia="Times New Roman"/>
                <w:color w:val="000000"/>
                <w:sz w:val="25"/>
                <w:szCs w:val="25"/>
              </w:rPr>
              <w:t>239</w:t>
            </w:r>
            <w:r w:rsidR="00E321B4">
              <w:rPr>
                <w:rFonts w:eastAsia="Times New Roman"/>
                <w:color w:val="000000"/>
                <w:sz w:val="25"/>
                <w:szCs w:val="25"/>
              </w:rPr>
              <w:t>`</w:t>
            </w:r>
            <w:r w:rsidR="00E321B4" w:rsidRPr="00E321B4">
              <w:rPr>
                <w:rFonts w:eastAsia="Times New Roman"/>
                <w:color w:val="000000"/>
                <w:sz w:val="25"/>
                <w:szCs w:val="25"/>
              </w:rPr>
              <w:t xml:space="preserve">545 </w:t>
            </w:r>
            <w:r w:rsidR="00D927E5" w:rsidRPr="00D927E5">
              <w:rPr>
                <w:rFonts w:eastAsia="Times New Roman"/>
                <w:i/>
                <w:color w:val="000000"/>
                <w:sz w:val="25"/>
                <w:szCs w:val="25"/>
              </w:rPr>
              <w:t>euro</w:t>
            </w:r>
            <w:r w:rsidR="00D927E5">
              <w:rPr>
                <w:rFonts w:eastAsia="Times New Roman"/>
                <w:color w:val="000000"/>
                <w:sz w:val="25"/>
                <w:szCs w:val="25"/>
              </w:rPr>
              <w:t>)</w:t>
            </w:r>
            <w:r w:rsidR="00D927E5" w:rsidRPr="00D927E5">
              <w:rPr>
                <w:rFonts w:eastAsia="Times New Roman"/>
                <w:color w:val="000000"/>
                <w:sz w:val="25"/>
                <w:szCs w:val="25"/>
              </w:rPr>
              <w:t xml:space="preserve"> </w:t>
            </w:r>
            <w:r w:rsidR="00D927E5">
              <w:rPr>
                <w:rFonts w:eastAsia="Times New Roman"/>
                <w:color w:val="000000"/>
                <w:sz w:val="25"/>
                <w:szCs w:val="25"/>
              </w:rPr>
              <w:t xml:space="preserve">pārdali </w:t>
            </w:r>
            <w:r w:rsidR="00D927E5" w:rsidRPr="00D927E5">
              <w:rPr>
                <w:rFonts w:eastAsia="Times New Roman"/>
                <w:color w:val="000000"/>
                <w:sz w:val="25"/>
                <w:szCs w:val="25"/>
              </w:rPr>
              <w:t>biedrības “Latvijas Olimpiskā komiteja” 2015.gadā plānoto valsts galvoto aizdevumu atmaksai</w:t>
            </w:r>
            <w:r w:rsidR="00D927E5">
              <w:rPr>
                <w:rFonts w:eastAsia="Times New Roman"/>
                <w:color w:val="000000"/>
                <w:sz w:val="25"/>
                <w:szCs w:val="25"/>
              </w:rPr>
              <w:t xml:space="preserve"> (IZM 2014.gada valsts budžeta programma 09.00.00 “Sports” apakšprogramma 09.23.00 “</w:t>
            </w:r>
            <w:r w:rsidR="00D927E5" w:rsidRPr="00D927E5">
              <w:rPr>
                <w:rFonts w:eastAsia="Times New Roman"/>
                <w:color w:val="000000"/>
                <w:sz w:val="25"/>
                <w:szCs w:val="25"/>
              </w:rPr>
              <w:t>Valsts ilgtermiņa saistības sportā – dotācija Latvijas Olimpiskajai komitejai (LOK) – va</w:t>
            </w:r>
            <w:r w:rsidR="00D927E5">
              <w:rPr>
                <w:rFonts w:eastAsia="Times New Roman"/>
                <w:color w:val="000000"/>
                <w:sz w:val="25"/>
                <w:szCs w:val="25"/>
              </w:rPr>
              <w:t>lsts galvoto aizdevumu atmaksai”)</w:t>
            </w:r>
            <w:r w:rsidR="00D927E5" w:rsidRPr="00D927E5">
              <w:rPr>
                <w:rFonts w:eastAsia="Times New Roman"/>
                <w:color w:val="000000"/>
                <w:sz w:val="25"/>
                <w:szCs w:val="25"/>
              </w:rPr>
              <w:t>, tādejādi nodrošinot sa</w:t>
            </w:r>
            <w:r w:rsidR="00D927E5">
              <w:rPr>
                <w:rFonts w:eastAsia="Times New Roman"/>
                <w:color w:val="000000"/>
                <w:sz w:val="25"/>
                <w:szCs w:val="25"/>
              </w:rPr>
              <w:t xml:space="preserve">istību daļēju izpildi jau 2014.gadā, savukārt </w:t>
            </w:r>
            <w:r w:rsidR="00D927E5" w:rsidRPr="00D927E5">
              <w:rPr>
                <w:rFonts w:eastAsia="Times New Roman"/>
                <w:color w:val="000000"/>
                <w:sz w:val="25"/>
                <w:szCs w:val="25"/>
              </w:rPr>
              <w:t xml:space="preserve">pārdales rezultātā pieejamos finanšu resursus 2015.gadā novirzīt </w:t>
            </w:r>
            <w:r w:rsidR="00D927E5">
              <w:rPr>
                <w:rFonts w:eastAsia="Times New Roman"/>
                <w:color w:val="000000"/>
                <w:sz w:val="25"/>
                <w:szCs w:val="25"/>
              </w:rPr>
              <w:t xml:space="preserve">minēto projektu īstenošanai pārdalīto līdzekļu apmērā. </w:t>
            </w:r>
          </w:p>
          <w:p w:rsidR="00EA5091" w:rsidRDefault="007F3473" w:rsidP="007F3473">
            <w:pPr>
              <w:ind w:left="132" w:right="127"/>
              <w:jc w:val="both"/>
              <w:rPr>
                <w:rFonts w:eastAsia="Times New Roman"/>
                <w:color w:val="000000"/>
                <w:sz w:val="25"/>
                <w:szCs w:val="25"/>
              </w:rPr>
            </w:pPr>
            <w:r>
              <w:rPr>
                <w:rFonts w:eastAsia="Times New Roman"/>
                <w:color w:val="000000"/>
                <w:sz w:val="25"/>
                <w:szCs w:val="25"/>
              </w:rPr>
              <w:tab/>
            </w:r>
            <w:r w:rsidR="00BC10F5">
              <w:rPr>
                <w:rFonts w:eastAsia="Times New Roman"/>
                <w:color w:val="000000"/>
                <w:sz w:val="25"/>
                <w:szCs w:val="25"/>
              </w:rPr>
              <w:t xml:space="preserve">Saskaņā ar  </w:t>
            </w:r>
            <w:r w:rsidR="006D03B1">
              <w:rPr>
                <w:rFonts w:eastAsia="Times New Roman"/>
                <w:color w:val="000000"/>
                <w:sz w:val="25"/>
                <w:szCs w:val="25"/>
              </w:rPr>
              <w:t>l</w:t>
            </w:r>
            <w:r w:rsidR="00BC10F5">
              <w:rPr>
                <w:rFonts w:eastAsia="Times New Roman"/>
                <w:color w:val="000000"/>
                <w:sz w:val="25"/>
                <w:szCs w:val="25"/>
              </w:rPr>
              <w:t>ikuma “</w:t>
            </w:r>
            <w:r w:rsidR="00BC10F5" w:rsidRPr="00475B54">
              <w:rPr>
                <w:rFonts w:eastAsia="Times New Roman"/>
                <w:color w:val="000000"/>
                <w:sz w:val="25"/>
                <w:szCs w:val="25"/>
              </w:rPr>
              <w:t>Par</w:t>
            </w:r>
            <w:r w:rsidR="00BC10F5">
              <w:rPr>
                <w:rFonts w:eastAsia="Times New Roman"/>
                <w:color w:val="000000"/>
                <w:sz w:val="25"/>
                <w:szCs w:val="25"/>
              </w:rPr>
              <w:t xml:space="preserve"> valsts budžetu 2014</w:t>
            </w:r>
            <w:r w:rsidR="00BC10F5" w:rsidRPr="00475B54">
              <w:rPr>
                <w:rFonts w:eastAsia="Times New Roman"/>
                <w:color w:val="000000"/>
                <w:sz w:val="25"/>
                <w:szCs w:val="25"/>
              </w:rPr>
              <w:t>.gadam” 33.panta 3.punktu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Minētā norma arī nosaka, ka šādu apropriācijas pārdali atļauts veikt, ja Saeimas Budžeta un finanšu (nodokļu) komisija piecu dienu laikā no attiecīgās informācijas saņemšanas nav iebildusi pret apropriācijas pārdali.</w:t>
            </w:r>
          </w:p>
          <w:p w:rsidR="00475B54" w:rsidRPr="00180E6B" w:rsidRDefault="009C72DF" w:rsidP="007F3473">
            <w:pPr>
              <w:ind w:left="132" w:right="127"/>
              <w:jc w:val="both"/>
              <w:rPr>
                <w:rFonts w:eastAsia="Times New Roman"/>
                <w:color w:val="000000"/>
                <w:sz w:val="25"/>
                <w:szCs w:val="25"/>
              </w:rPr>
            </w:pPr>
            <w:r>
              <w:rPr>
                <w:rFonts w:eastAsia="Times New Roman"/>
                <w:color w:val="000000"/>
                <w:sz w:val="25"/>
                <w:szCs w:val="25"/>
              </w:rPr>
              <w:tab/>
              <w:t xml:space="preserve">Ievērojot minēto, </w:t>
            </w:r>
            <w:r w:rsidR="000372DF">
              <w:rPr>
                <w:rFonts w:eastAsia="Times New Roman"/>
                <w:color w:val="000000"/>
                <w:sz w:val="25"/>
                <w:szCs w:val="25"/>
              </w:rPr>
              <w:t>IZM ir izstrādājusi attiecīgu Minis</w:t>
            </w:r>
            <w:r w:rsidR="007F3473">
              <w:rPr>
                <w:rFonts w:eastAsia="Times New Roman"/>
                <w:color w:val="000000"/>
                <w:sz w:val="25"/>
                <w:szCs w:val="25"/>
              </w:rPr>
              <w:t>tru kabineta rīkojuma projektu “</w:t>
            </w:r>
            <w:r w:rsidR="007F3473" w:rsidRPr="007F3473">
              <w:rPr>
                <w:rFonts w:eastAsia="Times New Roman"/>
                <w:color w:val="000000"/>
                <w:sz w:val="25"/>
                <w:szCs w:val="25"/>
              </w:rPr>
              <w:t xml:space="preserve">Par Siguldas sporta kompleksa projekta, Vidzemes Olimpiskā centra attīstības projekta un Liepājas Olimpiskā centra vieglatlētikas manēžas būvniecības </w:t>
            </w:r>
            <w:r w:rsidR="007F3473" w:rsidRPr="007F3473">
              <w:rPr>
                <w:rFonts w:eastAsia="Times New Roman"/>
                <w:color w:val="000000"/>
                <w:sz w:val="25"/>
                <w:szCs w:val="25"/>
              </w:rPr>
              <w:lastRenderedPageBreak/>
              <w:t>projekta īstenošanai 2014.gadā paredzēto valsts budžeta līdzekļu pārdali”</w:t>
            </w:r>
            <w:r w:rsidR="00D927E5">
              <w:rPr>
                <w:rFonts w:eastAsia="Times New Roman"/>
                <w:color w:val="000000"/>
                <w:sz w:val="25"/>
                <w:szCs w:val="25"/>
              </w:rPr>
              <w:t>.</w:t>
            </w:r>
          </w:p>
        </w:tc>
      </w:tr>
      <w:tr w:rsidR="00585B7B" w:rsidRPr="009F1E12" w:rsidTr="00464CD0">
        <w:trPr>
          <w:trHeight w:val="476"/>
        </w:trPr>
        <w:tc>
          <w:tcPr>
            <w:tcW w:w="998" w:type="dxa"/>
          </w:tcPr>
          <w:p w:rsidR="00585B7B" w:rsidRPr="009F1E12" w:rsidRDefault="00005A9D" w:rsidP="00BD696A">
            <w:pPr>
              <w:pStyle w:val="naiskr"/>
              <w:spacing w:before="0" w:after="0"/>
              <w:jc w:val="center"/>
              <w:rPr>
                <w:sz w:val="25"/>
                <w:szCs w:val="25"/>
              </w:rPr>
            </w:pPr>
            <w:r w:rsidRPr="009F1E12">
              <w:rPr>
                <w:sz w:val="25"/>
                <w:szCs w:val="25"/>
              </w:rPr>
              <w:lastRenderedPageBreak/>
              <w:t>3.</w:t>
            </w:r>
          </w:p>
        </w:tc>
        <w:tc>
          <w:tcPr>
            <w:tcW w:w="2541" w:type="dxa"/>
          </w:tcPr>
          <w:p w:rsidR="00585B7B" w:rsidRPr="009F1E12" w:rsidRDefault="00005A9D" w:rsidP="00916055">
            <w:pPr>
              <w:pStyle w:val="naiskr"/>
              <w:spacing w:before="0" w:after="0"/>
              <w:ind w:left="141"/>
              <w:rPr>
                <w:sz w:val="25"/>
                <w:szCs w:val="25"/>
              </w:rPr>
            </w:pPr>
            <w:r w:rsidRPr="009F1E12">
              <w:rPr>
                <w:sz w:val="25"/>
                <w:szCs w:val="25"/>
              </w:rPr>
              <w:t>Projekta izstrādē iesaistītās institūcijas</w:t>
            </w:r>
          </w:p>
        </w:tc>
        <w:tc>
          <w:tcPr>
            <w:tcW w:w="6658" w:type="dxa"/>
          </w:tcPr>
          <w:p w:rsidR="00643E6C" w:rsidRPr="00643E6C" w:rsidRDefault="00DC332F" w:rsidP="002C3C59">
            <w:pPr>
              <w:ind w:left="82" w:right="141"/>
              <w:jc w:val="both"/>
              <w:rPr>
                <w:sz w:val="25"/>
                <w:szCs w:val="25"/>
              </w:rPr>
            </w:pPr>
            <w:r>
              <w:rPr>
                <w:sz w:val="25"/>
                <w:szCs w:val="25"/>
              </w:rPr>
              <w:t>Ministru kabineta rīkojuma projektu izstrādāja IZM</w:t>
            </w:r>
            <w:r w:rsidR="002C3C59">
              <w:rPr>
                <w:sz w:val="25"/>
                <w:szCs w:val="25"/>
              </w:rPr>
              <w:t xml:space="preserve">, konsultējoties ar biedrību “Latvijas Olimpiskā komiteja”, kā arī </w:t>
            </w:r>
            <w:r w:rsidR="002C3C59">
              <w:t xml:space="preserve"> </w:t>
            </w:r>
            <w:r w:rsidR="002C3C59" w:rsidRPr="002C3C59">
              <w:rPr>
                <w:sz w:val="25"/>
                <w:szCs w:val="25"/>
              </w:rPr>
              <w:t>Siguldas novada pašvaldīb</w:t>
            </w:r>
            <w:r w:rsidR="002C3C59">
              <w:rPr>
                <w:sz w:val="25"/>
                <w:szCs w:val="25"/>
              </w:rPr>
              <w:t>u</w:t>
            </w:r>
            <w:r w:rsidR="002C3C59" w:rsidRPr="002C3C59">
              <w:rPr>
                <w:sz w:val="25"/>
                <w:szCs w:val="25"/>
              </w:rPr>
              <w:t>, Valmieras pilsētas pašvaldīb</w:t>
            </w:r>
            <w:r w:rsidR="002C3C59">
              <w:rPr>
                <w:sz w:val="25"/>
                <w:szCs w:val="25"/>
              </w:rPr>
              <w:t>u</w:t>
            </w:r>
            <w:r w:rsidR="002C3C59" w:rsidRPr="002C3C59">
              <w:rPr>
                <w:sz w:val="25"/>
                <w:szCs w:val="25"/>
              </w:rPr>
              <w:t xml:space="preserve"> </w:t>
            </w:r>
            <w:r w:rsidR="002C3C59">
              <w:rPr>
                <w:sz w:val="25"/>
                <w:szCs w:val="25"/>
              </w:rPr>
              <w:t>un Liepājas pilsētas pašvaldību.</w:t>
            </w:r>
            <w:r w:rsidR="002F6EEF">
              <w:rPr>
                <w:sz w:val="25"/>
                <w:szCs w:val="25"/>
              </w:rPr>
              <w:t xml:space="preserve"> </w:t>
            </w:r>
            <w:r w:rsidR="002C3C59">
              <w:rPr>
                <w:sz w:val="25"/>
                <w:szCs w:val="25"/>
              </w:rPr>
              <w:t>P</w:t>
            </w:r>
            <w:r w:rsidR="002F6EEF">
              <w:rPr>
                <w:sz w:val="25"/>
                <w:szCs w:val="25"/>
              </w:rPr>
              <w:t>apildus pasākumi sabiedrības iesaistei nebija nepieciešam</w:t>
            </w:r>
            <w:r w:rsidR="00DF03FB">
              <w:rPr>
                <w:sz w:val="25"/>
                <w:szCs w:val="25"/>
              </w:rPr>
              <w:t>i</w:t>
            </w:r>
            <w:r w:rsidR="002F6EEF">
              <w:rPr>
                <w:sz w:val="25"/>
                <w:szCs w:val="25"/>
              </w:rPr>
              <w:t>.</w:t>
            </w:r>
          </w:p>
        </w:tc>
      </w:tr>
      <w:tr w:rsidR="00585B7B" w:rsidRPr="009F1E12" w:rsidTr="00464CD0">
        <w:tc>
          <w:tcPr>
            <w:tcW w:w="998" w:type="dxa"/>
          </w:tcPr>
          <w:p w:rsidR="00585B7B" w:rsidRPr="009F1E12" w:rsidRDefault="00005A9D" w:rsidP="00BD696A">
            <w:pPr>
              <w:pStyle w:val="naiskr"/>
              <w:spacing w:before="0" w:after="0"/>
              <w:jc w:val="center"/>
              <w:rPr>
                <w:sz w:val="25"/>
                <w:szCs w:val="25"/>
              </w:rPr>
            </w:pPr>
            <w:r w:rsidRPr="009F1E12">
              <w:rPr>
                <w:sz w:val="25"/>
                <w:szCs w:val="25"/>
              </w:rPr>
              <w:t>4</w:t>
            </w:r>
            <w:r w:rsidR="00585B7B" w:rsidRPr="009F1E12">
              <w:rPr>
                <w:sz w:val="25"/>
                <w:szCs w:val="25"/>
              </w:rPr>
              <w:t>.</w:t>
            </w:r>
          </w:p>
        </w:tc>
        <w:tc>
          <w:tcPr>
            <w:tcW w:w="2541" w:type="dxa"/>
          </w:tcPr>
          <w:p w:rsidR="00585B7B" w:rsidRPr="009F1E12" w:rsidRDefault="00585B7B" w:rsidP="00916055">
            <w:pPr>
              <w:pStyle w:val="naiskr"/>
              <w:spacing w:before="0" w:after="0"/>
              <w:ind w:left="141"/>
              <w:rPr>
                <w:sz w:val="25"/>
                <w:szCs w:val="25"/>
              </w:rPr>
            </w:pPr>
            <w:r w:rsidRPr="009F1E12">
              <w:rPr>
                <w:sz w:val="25"/>
                <w:szCs w:val="25"/>
              </w:rPr>
              <w:t>Cita informācija</w:t>
            </w:r>
          </w:p>
        </w:tc>
        <w:tc>
          <w:tcPr>
            <w:tcW w:w="6658" w:type="dxa"/>
          </w:tcPr>
          <w:p w:rsidR="006A26FB" w:rsidRPr="009F1E12" w:rsidRDefault="00291AF4" w:rsidP="002C3C59">
            <w:pPr>
              <w:ind w:left="114" w:right="127"/>
              <w:jc w:val="both"/>
              <w:rPr>
                <w:sz w:val="25"/>
                <w:szCs w:val="25"/>
              </w:rPr>
            </w:pPr>
            <w:r>
              <w:rPr>
                <w:sz w:val="25"/>
                <w:szCs w:val="25"/>
              </w:rPr>
              <w:t>Ministru kabineta r</w:t>
            </w:r>
            <w:r w:rsidR="00E5461A" w:rsidRPr="007C6451">
              <w:rPr>
                <w:sz w:val="25"/>
                <w:szCs w:val="25"/>
              </w:rPr>
              <w:t xml:space="preserve">īkojuma projekts tiešā veidā attiecas uz </w:t>
            </w:r>
            <w:r w:rsidRPr="00291AF4">
              <w:rPr>
                <w:sz w:val="25"/>
                <w:szCs w:val="25"/>
              </w:rPr>
              <w:t xml:space="preserve">tūrisma, sporta un brīvā laika politiku (sporta politiku). Pastarpināti  </w:t>
            </w:r>
            <w:r>
              <w:rPr>
                <w:sz w:val="25"/>
                <w:szCs w:val="25"/>
              </w:rPr>
              <w:t xml:space="preserve"> Ministru kabineta r</w:t>
            </w:r>
            <w:r w:rsidRPr="007C6451">
              <w:rPr>
                <w:sz w:val="25"/>
                <w:szCs w:val="25"/>
              </w:rPr>
              <w:t xml:space="preserve">īkojuma projekts </w:t>
            </w:r>
            <w:r w:rsidRPr="00291AF4">
              <w:rPr>
                <w:sz w:val="25"/>
                <w:szCs w:val="25"/>
              </w:rPr>
              <w:t>attiecas uz budžeta un finanšu politiku.</w:t>
            </w:r>
          </w:p>
        </w:tc>
      </w:tr>
    </w:tbl>
    <w:p w:rsidR="005134ED" w:rsidRDefault="005134ED" w:rsidP="009B774A">
      <w:pPr>
        <w:pStyle w:val="naisf"/>
        <w:tabs>
          <w:tab w:val="left" w:pos="3819"/>
        </w:tabs>
        <w:spacing w:before="0" w:after="0"/>
        <w:ind w:firstLine="0"/>
        <w:rPr>
          <w:sz w:val="26"/>
          <w:szCs w:val="26"/>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1554"/>
        <w:gridCol w:w="1394"/>
        <w:gridCol w:w="1189"/>
        <w:gridCol w:w="1194"/>
        <w:gridCol w:w="1190"/>
      </w:tblGrid>
      <w:tr w:rsidR="009B774A" w:rsidRPr="00A94035" w:rsidTr="009B774A">
        <w:trPr>
          <w:trHeight w:val="361"/>
          <w:jc w:val="center"/>
        </w:trPr>
        <w:tc>
          <w:tcPr>
            <w:tcW w:w="10209" w:type="dxa"/>
            <w:gridSpan w:val="6"/>
            <w:vAlign w:val="center"/>
          </w:tcPr>
          <w:p w:rsidR="009B774A" w:rsidRPr="00A94035" w:rsidRDefault="009B774A" w:rsidP="001A0506">
            <w:pPr>
              <w:jc w:val="center"/>
              <w:rPr>
                <w:b/>
                <w:i/>
                <w:sz w:val="25"/>
                <w:szCs w:val="25"/>
              </w:rPr>
            </w:pPr>
            <w:r>
              <w:rPr>
                <w:sz w:val="26"/>
                <w:szCs w:val="26"/>
              </w:rPr>
              <w:br w:type="page"/>
            </w:r>
            <w:r w:rsidRPr="00A94035">
              <w:rPr>
                <w:sz w:val="25"/>
                <w:szCs w:val="25"/>
              </w:rPr>
              <w:br w:type="page"/>
            </w:r>
            <w:r w:rsidRPr="00A94035">
              <w:rPr>
                <w:b/>
                <w:sz w:val="25"/>
                <w:szCs w:val="25"/>
              </w:rPr>
              <w:t>III. Tiesību akta projekta ietekme uz valsts budžetu un pašvaldību budžetiem</w:t>
            </w:r>
          </w:p>
        </w:tc>
      </w:tr>
      <w:tr w:rsidR="009B774A" w:rsidRPr="00A94035" w:rsidTr="009B774A">
        <w:trPr>
          <w:jc w:val="center"/>
        </w:trPr>
        <w:tc>
          <w:tcPr>
            <w:tcW w:w="3688" w:type="dxa"/>
            <w:vMerge w:val="restart"/>
            <w:vAlign w:val="center"/>
          </w:tcPr>
          <w:p w:rsidR="009B774A" w:rsidRPr="00A94035" w:rsidRDefault="009B774A" w:rsidP="001A0506">
            <w:pPr>
              <w:jc w:val="center"/>
              <w:rPr>
                <w:b/>
                <w:sz w:val="25"/>
                <w:szCs w:val="25"/>
              </w:rPr>
            </w:pPr>
            <w:r w:rsidRPr="00A94035">
              <w:rPr>
                <w:b/>
                <w:sz w:val="25"/>
                <w:szCs w:val="25"/>
              </w:rPr>
              <w:t>Rādītāji</w:t>
            </w:r>
          </w:p>
        </w:tc>
        <w:tc>
          <w:tcPr>
            <w:tcW w:w="2948" w:type="dxa"/>
            <w:gridSpan w:val="2"/>
            <w:vMerge w:val="restart"/>
            <w:vAlign w:val="center"/>
          </w:tcPr>
          <w:p w:rsidR="009B774A" w:rsidRPr="00A94035" w:rsidRDefault="009B774A" w:rsidP="001A0506">
            <w:pPr>
              <w:jc w:val="center"/>
              <w:rPr>
                <w:b/>
                <w:sz w:val="25"/>
                <w:szCs w:val="25"/>
              </w:rPr>
            </w:pPr>
            <w:r w:rsidRPr="00A94035">
              <w:rPr>
                <w:b/>
                <w:sz w:val="25"/>
                <w:szCs w:val="25"/>
              </w:rPr>
              <w:t>2014</w:t>
            </w:r>
          </w:p>
        </w:tc>
        <w:tc>
          <w:tcPr>
            <w:tcW w:w="3573" w:type="dxa"/>
            <w:gridSpan w:val="3"/>
            <w:vAlign w:val="center"/>
          </w:tcPr>
          <w:p w:rsidR="009B774A" w:rsidRPr="00A94035" w:rsidRDefault="009B774A" w:rsidP="001A0506">
            <w:pPr>
              <w:jc w:val="center"/>
              <w:rPr>
                <w:b/>
                <w:i/>
                <w:sz w:val="25"/>
                <w:szCs w:val="25"/>
              </w:rPr>
            </w:pPr>
            <w:r w:rsidRPr="00A94035">
              <w:rPr>
                <w:sz w:val="25"/>
                <w:szCs w:val="25"/>
              </w:rPr>
              <w:t>Turpmākie trīs gadi (</w:t>
            </w:r>
            <w:r w:rsidRPr="00A94035">
              <w:rPr>
                <w:i/>
                <w:sz w:val="25"/>
                <w:szCs w:val="25"/>
              </w:rPr>
              <w:t>euro</w:t>
            </w:r>
            <w:r w:rsidRPr="00A94035">
              <w:rPr>
                <w:sz w:val="25"/>
                <w:szCs w:val="25"/>
              </w:rPr>
              <w:t>)</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2948" w:type="dxa"/>
            <w:gridSpan w:val="2"/>
            <w:vMerge/>
            <w:vAlign w:val="center"/>
          </w:tcPr>
          <w:p w:rsidR="009B774A" w:rsidRPr="00A94035" w:rsidRDefault="009B774A" w:rsidP="001A0506">
            <w:pPr>
              <w:jc w:val="center"/>
              <w:rPr>
                <w:b/>
                <w:i/>
                <w:sz w:val="25"/>
                <w:szCs w:val="25"/>
              </w:rPr>
            </w:pPr>
          </w:p>
        </w:tc>
        <w:tc>
          <w:tcPr>
            <w:tcW w:w="1189" w:type="dxa"/>
            <w:vAlign w:val="center"/>
          </w:tcPr>
          <w:p w:rsidR="009B774A" w:rsidRPr="00A94035" w:rsidRDefault="009B774A" w:rsidP="001A0506">
            <w:pPr>
              <w:jc w:val="center"/>
              <w:rPr>
                <w:b/>
                <w:i/>
                <w:sz w:val="25"/>
                <w:szCs w:val="25"/>
              </w:rPr>
            </w:pPr>
            <w:r w:rsidRPr="00A94035">
              <w:rPr>
                <w:b/>
                <w:bCs/>
                <w:sz w:val="25"/>
                <w:szCs w:val="25"/>
              </w:rPr>
              <w:t>2015</w:t>
            </w:r>
          </w:p>
        </w:tc>
        <w:tc>
          <w:tcPr>
            <w:tcW w:w="1194" w:type="dxa"/>
            <w:vAlign w:val="center"/>
          </w:tcPr>
          <w:p w:rsidR="009B774A" w:rsidRPr="00A94035" w:rsidRDefault="009B774A" w:rsidP="001A0506">
            <w:pPr>
              <w:jc w:val="center"/>
              <w:rPr>
                <w:b/>
                <w:i/>
                <w:sz w:val="25"/>
                <w:szCs w:val="25"/>
              </w:rPr>
            </w:pPr>
            <w:r w:rsidRPr="00A94035">
              <w:rPr>
                <w:b/>
                <w:bCs/>
                <w:sz w:val="25"/>
                <w:szCs w:val="25"/>
              </w:rPr>
              <w:t>2016</w:t>
            </w:r>
          </w:p>
        </w:tc>
        <w:tc>
          <w:tcPr>
            <w:tcW w:w="1190" w:type="dxa"/>
            <w:vAlign w:val="center"/>
          </w:tcPr>
          <w:p w:rsidR="009B774A" w:rsidRPr="00A94035" w:rsidRDefault="009B774A" w:rsidP="001A0506">
            <w:pPr>
              <w:jc w:val="center"/>
              <w:rPr>
                <w:b/>
                <w:i/>
                <w:sz w:val="25"/>
                <w:szCs w:val="25"/>
              </w:rPr>
            </w:pPr>
            <w:r w:rsidRPr="00A94035">
              <w:rPr>
                <w:b/>
                <w:bCs/>
                <w:sz w:val="25"/>
                <w:szCs w:val="25"/>
              </w:rPr>
              <w:t>2017</w:t>
            </w:r>
          </w:p>
        </w:tc>
      </w:tr>
      <w:tr w:rsidR="009B774A" w:rsidRPr="00A94035" w:rsidTr="009B774A">
        <w:trPr>
          <w:jc w:val="center"/>
        </w:trPr>
        <w:tc>
          <w:tcPr>
            <w:tcW w:w="3688" w:type="dxa"/>
            <w:vMerge/>
            <w:vAlign w:val="center"/>
          </w:tcPr>
          <w:p w:rsidR="009B774A" w:rsidRPr="00A94035" w:rsidRDefault="009B774A" w:rsidP="001A0506">
            <w:pPr>
              <w:jc w:val="center"/>
              <w:rPr>
                <w:b/>
                <w:i/>
                <w:sz w:val="25"/>
                <w:szCs w:val="25"/>
              </w:rPr>
            </w:pPr>
          </w:p>
        </w:tc>
        <w:tc>
          <w:tcPr>
            <w:tcW w:w="1554" w:type="dxa"/>
            <w:vAlign w:val="center"/>
          </w:tcPr>
          <w:p w:rsidR="009B774A" w:rsidRPr="00A94035" w:rsidRDefault="009B774A" w:rsidP="001A0506">
            <w:pPr>
              <w:jc w:val="center"/>
              <w:rPr>
                <w:b/>
                <w:i/>
                <w:sz w:val="25"/>
                <w:szCs w:val="25"/>
              </w:rPr>
            </w:pPr>
            <w:r w:rsidRPr="00A94035">
              <w:rPr>
                <w:sz w:val="25"/>
                <w:szCs w:val="25"/>
              </w:rPr>
              <w:t>saskaņā ar valsts budžetu kārtējam gadam</w:t>
            </w:r>
          </w:p>
        </w:tc>
        <w:tc>
          <w:tcPr>
            <w:tcW w:w="1394" w:type="dxa"/>
            <w:vAlign w:val="center"/>
          </w:tcPr>
          <w:p w:rsidR="009B774A" w:rsidRPr="00A94035" w:rsidRDefault="009B774A" w:rsidP="001A0506">
            <w:pPr>
              <w:jc w:val="center"/>
              <w:rPr>
                <w:b/>
                <w:i/>
                <w:sz w:val="25"/>
                <w:szCs w:val="25"/>
              </w:rPr>
            </w:pPr>
            <w:r w:rsidRPr="00A94035">
              <w:rPr>
                <w:sz w:val="25"/>
                <w:szCs w:val="25"/>
              </w:rPr>
              <w:t>izmaiņas kārtējā gadā, salīdzinot ar budžetu kārtējam gadam</w:t>
            </w:r>
          </w:p>
        </w:tc>
        <w:tc>
          <w:tcPr>
            <w:tcW w:w="1189"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4"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c>
          <w:tcPr>
            <w:tcW w:w="1190" w:type="dxa"/>
            <w:vAlign w:val="center"/>
          </w:tcPr>
          <w:p w:rsidR="009B774A" w:rsidRPr="00A94035" w:rsidRDefault="009B774A" w:rsidP="001A0506">
            <w:pPr>
              <w:jc w:val="center"/>
              <w:rPr>
                <w:b/>
                <w:i/>
                <w:sz w:val="25"/>
                <w:szCs w:val="25"/>
              </w:rPr>
            </w:pPr>
            <w:r w:rsidRPr="00A94035">
              <w:rPr>
                <w:sz w:val="25"/>
                <w:szCs w:val="25"/>
              </w:rPr>
              <w:t>izmaiņas, salīdzinot ar kārtējo  gadu</w:t>
            </w:r>
          </w:p>
        </w:tc>
      </w:tr>
      <w:tr w:rsidR="009B774A" w:rsidRPr="00A94035" w:rsidTr="009B774A">
        <w:trPr>
          <w:jc w:val="center"/>
        </w:trPr>
        <w:tc>
          <w:tcPr>
            <w:tcW w:w="3688" w:type="dxa"/>
            <w:vAlign w:val="center"/>
          </w:tcPr>
          <w:p w:rsidR="009B774A" w:rsidRPr="00A94035" w:rsidRDefault="009B774A" w:rsidP="001A0506">
            <w:pPr>
              <w:jc w:val="center"/>
              <w:rPr>
                <w:bCs/>
                <w:sz w:val="25"/>
                <w:szCs w:val="25"/>
              </w:rPr>
            </w:pPr>
            <w:r w:rsidRPr="00A94035">
              <w:rPr>
                <w:bCs/>
                <w:sz w:val="25"/>
                <w:szCs w:val="25"/>
              </w:rPr>
              <w:t>1</w:t>
            </w:r>
          </w:p>
        </w:tc>
        <w:tc>
          <w:tcPr>
            <w:tcW w:w="1554" w:type="dxa"/>
            <w:vAlign w:val="center"/>
          </w:tcPr>
          <w:p w:rsidR="009B774A" w:rsidRPr="00A94035" w:rsidRDefault="009B774A" w:rsidP="001A0506">
            <w:pPr>
              <w:jc w:val="center"/>
              <w:rPr>
                <w:bCs/>
                <w:sz w:val="25"/>
                <w:szCs w:val="25"/>
              </w:rPr>
            </w:pPr>
            <w:r w:rsidRPr="00A94035">
              <w:rPr>
                <w:bCs/>
                <w:sz w:val="25"/>
                <w:szCs w:val="25"/>
              </w:rPr>
              <w:t>2</w:t>
            </w:r>
          </w:p>
        </w:tc>
        <w:tc>
          <w:tcPr>
            <w:tcW w:w="1394" w:type="dxa"/>
            <w:vAlign w:val="center"/>
          </w:tcPr>
          <w:p w:rsidR="009B774A" w:rsidRPr="00A94035" w:rsidRDefault="009B774A" w:rsidP="001A0506">
            <w:pPr>
              <w:jc w:val="center"/>
              <w:rPr>
                <w:bCs/>
                <w:sz w:val="25"/>
                <w:szCs w:val="25"/>
              </w:rPr>
            </w:pPr>
            <w:r w:rsidRPr="00A94035">
              <w:rPr>
                <w:bCs/>
                <w:sz w:val="25"/>
                <w:szCs w:val="25"/>
              </w:rPr>
              <w:t>3</w:t>
            </w:r>
          </w:p>
        </w:tc>
        <w:tc>
          <w:tcPr>
            <w:tcW w:w="1189" w:type="dxa"/>
            <w:vAlign w:val="center"/>
          </w:tcPr>
          <w:p w:rsidR="009B774A" w:rsidRPr="00A94035" w:rsidRDefault="009B774A" w:rsidP="001A0506">
            <w:pPr>
              <w:jc w:val="center"/>
              <w:rPr>
                <w:bCs/>
                <w:sz w:val="25"/>
                <w:szCs w:val="25"/>
              </w:rPr>
            </w:pPr>
            <w:r w:rsidRPr="00A94035">
              <w:rPr>
                <w:bCs/>
                <w:sz w:val="25"/>
                <w:szCs w:val="25"/>
              </w:rPr>
              <w:t>4</w:t>
            </w:r>
          </w:p>
        </w:tc>
        <w:tc>
          <w:tcPr>
            <w:tcW w:w="1194" w:type="dxa"/>
            <w:vAlign w:val="center"/>
          </w:tcPr>
          <w:p w:rsidR="009B774A" w:rsidRPr="00A94035" w:rsidRDefault="009B774A" w:rsidP="001A0506">
            <w:pPr>
              <w:jc w:val="center"/>
              <w:rPr>
                <w:bCs/>
                <w:sz w:val="25"/>
                <w:szCs w:val="25"/>
              </w:rPr>
            </w:pPr>
            <w:r w:rsidRPr="00A94035">
              <w:rPr>
                <w:bCs/>
                <w:sz w:val="25"/>
                <w:szCs w:val="25"/>
              </w:rPr>
              <w:t>5</w:t>
            </w:r>
          </w:p>
        </w:tc>
        <w:tc>
          <w:tcPr>
            <w:tcW w:w="1190" w:type="dxa"/>
            <w:vAlign w:val="center"/>
          </w:tcPr>
          <w:p w:rsidR="009B774A" w:rsidRPr="00A94035" w:rsidRDefault="009B774A" w:rsidP="001A0506">
            <w:pPr>
              <w:jc w:val="center"/>
              <w:rPr>
                <w:bCs/>
                <w:sz w:val="25"/>
                <w:szCs w:val="25"/>
              </w:rPr>
            </w:pPr>
            <w:r w:rsidRPr="00A94035">
              <w:rPr>
                <w:bCs/>
                <w:sz w:val="25"/>
                <w:szCs w:val="25"/>
              </w:rPr>
              <w:t>6</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 Budžeta ieņēmumi:</w:t>
            </w:r>
          </w:p>
        </w:tc>
        <w:tc>
          <w:tcPr>
            <w:tcW w:w="1554" w:type="dxa"/>
          </w:tcPr>
          <w:p w:rsidR="0005209B" w:rsidRPr="00685E09" w:rsidRDefault="004A56AF" w:rsidP="0005209B">
            <w:pPr>
              <w:jc w:val="center"/>
              <w:rPr>
                <w:b/>
                <w:sz w:val="25"/>
                <w:szCs w:val="25"/>
              </w:rPr>
            </w:pPr>
            <w:r>
              <w:rPr>
                <w:b/>
                <w:sz w:val="25"/>
                <w:szCs w:val="25"/>
              </w:rPr>
              <w:t>0</w:t>
            </w:r>
          </w:p>
        </w:tc>
        <w:tc>
          <w:tcPr>
            <w:tcW w:w="1394" w:type="dxa"/>
          </w:tcPr>
          <w:p w:rsidR="0005209B" w:rsidRPr="00685E09" w:rsidRDefault="004A56AF" w:rsidP="007A1337">
            <w:pPr>
              <w:jc w:val="center"/>
              <w:rPr>
                <w:b/>
                <w:sz w:val="25"/>
                <w:szCs w:val="25"/>
              </w:rPr>
            </w:pPr>
            <w:r>
              <w:rPr>
                <w:b/>
                <w:sz w:val="25"/>
                <w:szCs w:val="25"/>
              </w:rPr>
              <w:t>0</w:t>
            </w:r>
          </w:p>
        </w:tc>
        <w:tc>
          <w:tcPr>
            <w:tcW w:w="1189" w:type="dxa"/>
          </w:tcPr>
          <w:p w:rsidR="0005209B" w:rsidRPr="00685E09" w:rsidRDefault="0005209B" w:rsidP="0005209B">
            <w:pPr>
              <w:jc w:val="center"/>
              <w:rPr>
                <w:b/>
                <w:sz w:val="25"/>
                <w:szCs w:val="25"/>
              </w:rPr>
            </w:pPr>
            <w:r w:rsidRPr="00685E09">
              <w:rPr>
                <w:b/>
                <w:sz w:val="25"/>
                <w:szCs w:val="25"/>
              </w:rPr>
              <w:t>0</w:t>
            </w:r>
          </w:p>
        </w:tc>
        <w:tc>
          <w:tcPr>
            <w:tcW w:w="1194" w:type="dxa"/>
          </w:tcPr>
          <w:p w:rsidR="0005209B" w:rsidRPr="00685E09" w:rsidRDefault="0005209B" w:rsidP="0005209B">
            <w:pPr>
              <w:jc w:val="center"/>
              <w:rPr>
                <w:b/>
                <w:sz w:val="25"/>
                <w:szCs w:val="25"/>
              </w:rPr>
            </w:pPr>
            <w:r w:rsidRPr="00685E09">
              <w:rPr>
                <w:b/>
                <w:sz w:val="25"/>
                <w:szCs w:val="25"/>
              </w:rPr>
              <w:t>0</w:t>
            </w:r>
          </w:p>
        </w:tc>
        <w:tc>
          <w:tcPr>
            <w:tcW w:w="1190" w:type="dxa"/>
          </w:tcPr>
          <w:p w:rsidR="0005209B" w:rsidRPr="00685E09" w:rsidRDefault="0005209B" w:rsidP="0005209B">
            <w:pPr>
              <w:jc w:val="center"/>
              <w:rPr>
                <w:b/>
                <w:sz w:val="25"/>
                <w:szCs w:val="25"/>
              </w:rPr>
            </w:pPr>
            <w:r w:rsidRPr="00685E09">
              <w:rPr>
                <w:b/>
                <w:sz w:val="25"/>
                <w:szCs w:val="25"/>
              </w:rPr>
              <w:t>0</w:t>
            </w:r>
          </w:p>
        </w:tc>
      </w:tr>
      <w:tr w:rsidR="0005209B" w:rsidRPr="00A94035" w:rsidTr="009B774A">
        <w:trPr>
          <w:jc w:val="center"/>
        </w:trPr>
        <w:tc>
          <w:tcPr>
            <w:tcW w:w="3688" w:type="dxa"/>
          </w:tcPr>
          <w:p w:rsidR="0005209B" w:rsidRPr="00A94035" w:rsidRDefault="0005209B" w:rsidP="0005209B">
            <w:pPr>
              <w:rPr>
                <w:i/>
                <w:sz w:val="25"/>
                <w:szCs w:val="25"/>
              </w:rPr>
            </w:pPr>
            <w:r w:rsidRPr="00A94035">
              <w:rPr>
                <w:sz w:val="25"/>
                <w:szCs w:val="25"/>
              </w:rPr>
              <w:t>1.1. valsts pamatbudžets, tai skaitā ieņēmumi no maksas pakalpojumiem un citi pašu ieņēmumi</w:t>
            </w:r>
          </w:p>
        </w:tc>
        <w:tc>
          <w:tcPr>
            <w:tcW w:w="1554" w:type="dxa"/>
          </w:tcPr>
          <w:p w:rsidR="0005209B" w:rsidRPr="00685E09" w:rsidRDefault="0005209B" w:rsidP="0005209B">
            <w:pPr>
              <w:jc w:val="center"/>
              <w:rPr>
                <w:i/>
                <w:sz w:val="25"/>
                <w:szCs w:val="25"/>
              </w:rPr>
            </w:pPr>
          </w:p>
        </w:tc>
        <w:tc>
          <w:tcPr>
            <w:tcW w:w="1394" w:type="dxa"/>
          </w:tcPr>
          <w:p w:rsidR="0005209B" w:rsidRPr="00685E09" w:rsidRDefault="0005209B" w:rsidP="0005209B">
            <w:pPr>
              <w:jc w:val="center"/>
              <w:rPr>
                <w:i/>
                <w:sz w:val="25"/>
                <w:szCs w:val="25"/>
              </w:rPr>
            </w:pPr>
          </w:p>
        </w:tc>
        <w:tc>
          <w:tcPr>
            <w:tcW w:w="1189" w:type="dxa"/>
          </w:tcPr>
          <w:p w:rsidR="0005209B" w:rsidRPr="00685E09" w:rsidRDefault="0005209B" w:rsidP="0005209B">
            <w:pPr>
              <w:jc w:val="center"/>
              <w:rPr>
                <w:i/>
                <w:sz w:val="25"/>
                <w:szCs w:val="25"/>
              </w:rPr>
            </w:pPr>
          </w:p>
        </w:tc>
        <w:tc>
          <w:tcPr>
            <w:tcW w:w="1194" w:type="dxa"/>
          </w:tcPr>
          <w:p w:rsidR="0005209B" w:rsidRPr="00685E09" w:rsidRDefault="0005209B" w:rsidP="0005209B">
            <w:pPr>
              <w:jc w:val="center"/>
              <w:rPr>
                <w:i/>
                <w:sz w:val="25"/>
                <w:szCs w:val="25"/>
              </w:rPr>
            </w:pPr>
          </w:p>
        </w:tc>
        <w:tc>
          <w:tcPr>
            <w:tcW w:w="1190" w:type="dxa"/>
          </w:tcPr>
          <w:p w:rsidR="0005209B" w:rsidRPr="00685E09" w:rsidRDefault="0005209B" w:rsidP="0005209B">
            <w:pPr>
              <w:jc w:val="center"/>
              <w:rPr>
                <w:i/>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i/>
                <w:sz w:val="25"/>
                <w:szCs w:val="25"/>
              </w:rPr>
            </w:pPr>
            <w:r w:rsidRPr="00A94035">
              <w:rPr>
                <w:sz w:val="25"/>
                <w:szCs w:val="25"/>
              </w:rPr>
              <w:t>1.3. pašvaldību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 Budžeta izdevumi:</w:t>
            </w:r>
          </w:p>
        </w:tc>
        <w:tc>
          <w:tcPr>
            <w:tcW w:w="1554" w:type="dxa"/>
          </w:tcPr>
          <w:p w:rsidR="007A1337" w:rsidRPr="00685E09" w:rsidRDefault="007A1337" w:rsidP="007A1337">
            <w:pPr>
              <w:jc w:val="center"/>
              <w:rPr>
                <w:b/>
                <w:sz w:val="25"/>
                <w:szCs w:val="25"/>
              </w:rPr>
            </w:pPr>
            <w:r>
              <w:rPr>
                <w:b/>
                <w:sz w:val="25"/>
                <w:szCs w:val="25"/>
              </w:rPr>
              <w:t>0</w:t>
            </w:r>
          </w:p>
        </w:tc>
        <w:tc>
          <w:tcPr>
            <w:tcW w:w="1394" w:type="dxa"/>
          </w:tcPr>
          <w:p w:rsidR="007A1337" w:rsidRPr="00685E09" w:rsidRDefault="007A1337"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7A1337" w:rsidRPr="00A94035" w:rsidTr="009B774A">
        <w:trPr>
          <w:jc w:val="center"/>
        </w:trPr>
        <w:tc>
          <w:tcPr>
            <w:tcW w:w="3688" w:type="dxa"/>
          </w:tcPr>
          <w:p w:rsidR="007A1337" w:rsidRPr="00A94035" w:rsidRDefault="007A1337" w:rsidP="007A1337">
            <w:pPr>
              <w:rPr>
                <w:sz w:val="25"/>
                <w:szCs w:val="25"/>
              </w:rPr>
            </w:pPr>
            <w:r w:rsidRPr="00A94035">
              <w:rPr>
                <w:sz w:val="25"/>
                <w:szCs w:val="25"/>
              </w:rPr>
              <w:t>2.1. valsts pamatbudžets</w:t>
            </w:r>
          </w:p>
        </w:tc>
        <w:tc>
          <w:tcPr>
            <w:tcW w:w="1554" w:type="dxa"/>
          </w:tcPr>
          <w:p w:rsidR="007A1337" w:rsidRPr="00685E09" w:rsidRDefault="007A1337" w:rsidP="007A1337">
            <w:pPr>
              <w:jc w:val="center"/>
              <w:rPr>
                <w:i/>
                <w:sz w:val="25"/>
                <w:szCs w:val="25"/>
              </w:rPr>
            </w:pPr>
            <w:r>
              <w:rPr>
                <w:i/>
                <w:sz w:val="25"/>
                <w:szCs w:val="25"/>
              </w:rPr>
              <w:t>0</w:t>
            </w:r>
          </w:p>
        </w:tc>
        <w:tc>
          <w:tcPr>
            <w:tcW w:w="1394" w:type="dxa"/>
          </w:tcPr>
          <w:p w:rsidR="007A1337" w:rsidRPr="00685E09" w:rsidRDefault="007A1337" w:rsidP="007A1337">
            <w:pPr>
              <w:jc w:val="center"/>
              <w:rPr>
                <w:i/>
                <w:sz w:val="25"/>
                <w:szCs w:val="25"/>
              </w:rPr>
            </w:pPr>
            <w:r>
              <w:rPr>
                <w:i/>
                <w:sz w:val="25"/>
                <w:szCs w:val="25"/>
              </w:rPr>
              <w:t>0</w:t>
            </w:r>
          </w:p>
        </w:tc>
        <w:tc>
          <w:tcPr>
            <w:tcW w:w="1189" w:type="dxa"/>
          </w:tcPr>
          <w:p w:rsidR="007A1337" w:rsidRPr="00685E09" w:rsidRDefault="007A1337" w:rsidP="007A1337">
            <w:pPr>
              <w:jc w:val="center"/>
              <w:rPr>
                <w:i/>
                <w:sz w:val="25"/>
                <w:szCs w:val="25"/>
              </w:rPr>
            </w:pPr>
            <w:r w:rsidRPr="00685E09">
              <w:rPr>
                <w:i/>
                <w:sz w:val="25"/>
                <w:szCs w:val="25"/>
              </w:rPr>
              <w:t>0</w:t>
            </w:r>
          </w:p>
        </w:tc>
        <w:tc>
          <w:tcPr>
            <w:tcW w:w="1194" w:type="dxa"/>
          </w:tcPr>
          <w:p w:rsidR="007A1337" w:rsidRPr="00685E09" w:rsidRDefault="007A1337" w:rsidP="007A1337">
            <w:pPr>
              <w:jc w:val="center"/>
              <w:rPr>
                <w:i/>
                <w:sz w:val="25"/>
                <w:szCs w:val="25"/>
              </w:rPr>
            </w:pPr>
            <w:r w:rsidRPr="00685E09">
              <w:rPr>
                <w:i/>
                <w:sz w:val="25"/>
                <w:szCs w:val="25"/>
              </w:rPr>
              <w:t>0</w:t>
            </w:r>
          </w:p>
        </w:tc>
        <w:tc>
          <w:tcPr>
            <w:tcW w:w="1190" w:type="dxa"/>
          </w:tcPr>
          <w:p w:rsidR="007A1337" w:rsidRPr="00685E09" w:rsidRDefault="007A1337" w:rsidP="007A1337">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2.2. valsts speciālais budžets</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2.3. pašvaldību budžets </w:t>
            </w:r>
          </w:p>
        </w:tc>
        <w:tc>
          <w:tcPr>
            <w:tcW w:w="1554" w:type="dxa"/>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7A1337" w:rsidRPr="00A94035" w:rsidTr="001A0506">
        <w:trPr>
          <w:jc w:val="center"/>
        </w:trPr>
        <w:tc>
          <w:tcPr>
            <w:tcW w:w="3688" w:type="dxa"/>
          </w:tcPr>
          <w:p w:rsidR="007A1337" w:rsidRPr="00A94035" w:rsidRDefault="007A1337" w:rsidP="007A1337">
            <w:pPr>
              <w:rPr>
                <w:sz w:val="25"/>
                <w:szCs w:val="25"/>
              </w:rPr>
            </w:pPr>
            <w:r w:rsidRPr="00A94035">
              <w:rPr>
                <w:sz w:val="25"/>
                <w:szCs w:val="25"/>
              </w:rPr>
              <w:t>3. Finansiālā ietekme:</w:t>
            </w:r>
          </w:p>
        </w:tc>
        <w:tc>
          <w:tcPr>
            <w:tcW w:w="1554" w:type="dxa"/>
            <w:shd w:val="clear" w:color="auto" w:fill="auto"/>
          </w:tcPr>
          <w:p w:rsidR="007A1337" w:rsidRPr="00685E09" w:rsidRDefault="004A56AF" w:rsidP="007A1337">
            <w:pPr>
              <w:jc w:val="center"/>
              <w:rPr>
                <w:b/>
                <w:sz w:val="25"/>
                <w:szCs w:val="25"/>
              </w:rPr>
            </w:pPr>
            <w:r>
              <w:rPr>
                <w:b/>
                <w:sz w:val="25"/>
                <w:szCs w:val="25"/>
              </w:rPr>
              <w:t>0</w:t>
            </w:r>
          </w:p>
        </w:tc>
        <w:tc>
          <w:tcPr>
            <w:tcW w:w="1394" w:type="dxa"/>
          </w:tcPr>
          <w:p w:rsidR="007A1337" w:rsidRPr="00685E09" w:rsidRDefault="004A56AF" w:rsidP="007A1337">
            <w:pPr>
              <w:jc w:val="center"/>
              <w:rPr>
                <w:b/>
                <w:sz w:val="25"/>
                <w:szCs w:val="25"/>
              </w:rPr>
            </w:pPr>
            <w:r>
              <w:rPr>
                <w:b/>
                <w:sz w:val="25"/>
                <w:szCs w:val="25"/>
              </w:rPr>
              <w:t>0</w:t>
            </w:r>
          </w:p>
        </w:tc>
        <w:tc>
          <w:tcPr>
            <w:tcW w:w="1189" w:type="dxa"/>
          </w:tcPr>
          <w:p w:rsidR="007A1337" w:rsidRPr="00685E09" w:rsidRDefault="007A1337" w:rsidP="007A1337">
            <w:pPr>
              <w:jc w:val="center"/>
              <w:rPr>
                <w:b/>
                <w:sz w:val="25"/>
                <w:szCs w:val="25"/>
              </w:rPr>
            </w:pPr>
            <w:r w:rsidRPr="00685E09">
              <w:rPr>
                <w:b/>
                <w:sz w:val="25"/>
                <w:szCs w:val="25"/>
              </w:rPr>
              <w:t>0</w:t>
            </w:r>
          </w:p>
        </w:tc>
        <w:tc>
          <w:tcPr>
            <w:tcW w:w="1194" w:type="dxa"/>
          </w:tcPr>
          <w:p w:rsidR="007A1337" w:rsidRPr="00685E09" w:rsidRDefault="007A1337" w:rsidP="007A1337">
            <w:pPr>
              <w:jc w:val="center"/>
              <w:rPr>
                <w:b/>
                <w:sz w:val="25"/>
                <w:szCs w:val="25"/>
              </w:rPr>
            </w:pPr>
            <w:r w:rsidRPr="00685E09">
              <w:rPr>
                <w:b/>
                <w:sz w:val="25"/>
                <w:szCs w:val="25"/>
              </w:rPr>
              <w:t>0</w:t>
            </w:r>
          </w:p>
        </w:tc>
        <w:tc>
          <w:tcPr>
            <w:tcW w:w="1190" w:type="dxa"/>
          </w:tcPr>
          <w:p w:rsidR="007A1337" w:rsidRPr="00685E09" w:rsidRDefault="007A1337" w:rsidP="007A1337">
            <w:pPr>
              <w:jc w:val="center"/>
              <w:rPr>
                <w:b/>
                <w:sz w:val="25"/>
                <w:szCs w:val="25"/>
              </w:rPr>
            </w:pPr>
            <w:r w:rsidRPr="00685E09">
              <w:rPr>
                <w:b/>
                <w:sz w:val="25"/>
                <w:szCs w:val="25"/>
              </w:rPr>
              <w:t>0</w:t>
            </w:r>
          </w:p>
        </w:tc>
      </w:tr>
      <w:tr w:rsidR="004A56AF" w:rsidRPr="00A94035" w:rsidTr="009B774A">
        <w:trPr>
          <w:jc w:val="center"/>
        </w:trPr>
        <w:tc>
          <w:tcPr>
            <w:tcW w:w="3688" w:type="dxa"/>
          </w:tcPr>
          <w:p w:rsidR="004A56AF" w:rsidRPr="00A94035" w:rsidRDefault="004A56AF" w:rsidP="004A56AF">
            <w:pPr>
              <w:rPr>
                <w:sz w:val="25"/>
                <w:szCs w:val="25"/>
              </w:rPr>
            </w:pPr>
            <w:r w:rsidRPr="00A94035">
              <w:rPr>
                <w:sz w:val="25"/>
                <w:szCs w:val="25"/>
              </w:rPr>
              <w:t>3.1. valsts pamatbudžets</w:t>
            </w:r>
          </w:p>
        </w:tc>
        <w:tc>
          <w:tcPr>
            <w:tcW w:w="1554" w:type="dxa"/>
            <w:shd w:val="clear" w:color="auto" w:fill="auto"/>
          </w:tcPr>
          <w:p w:rsidR="004A56AF" w:rsidRPr="00685E09" w:rsidRDefault="004A56AF" w:rsidP="004A56AF">
            <w:pPr>
              <w:jc w:val="center"/>
              <w:rPr>
                <w:i/>
                <w:sz w:val="25"/>
                <w:szCs w:val="25"/>
              </w:rPr>
            </w:pPr>
            <w:r>
              <w:rPr>
                <w:i/>
                <w:sz w:val="25"/>
                <w:szCs w:val="25"/>
              </w:rPr>
              <w:t>0</w:t>
            </w:r>
          </w:p>
        </w:tc>
        <w:tc>
          <w:tcPr>
            <w:tcW w:w="1394" w:type="dxa"/>
          </w:tcPr>
          <w:p w:rsidR="004A56AF" w:rsidRPr="00685E09" w:rsidRDefault="004A56AF" w:rsidP="004A56AF">
            <w:pPr>
              <w:jc w:val="center"/>
              <w:rPr>
                <w:i/>
                <w:sz w:val="25"/>
                <w:szCs w:val="25"/>
              </w:rPr>
            </w:pPr>
            <w:r>
              <w:rPr>
                <w:i/>
                <w:sz w:val="25"/>
                <w:szCs w:val="25"/>
              </w:rPr>
              <w:t>0</w:t>
            </w:r>
          </w:p>
        </w:tc>
        <w:tc>
          <w:tcPr>
            <w:tcW w:w="1189" w:type="dxa"/>
          </w:tcPr>
          <w:p w:rsidR="004A56AF" w:rsidRPr="00685E09" w:rsidRDefault="004A56AF" w:rsidP="004A56AF">
            <w:pPr>
              <w:jc w:val="center"/>
              <w:rPr>
                <w:i/>
                <w:sz w:val="25"/>
                <w:szCs w:val="25"/>
              </w:rPr>
            </w:pPr>
            <w:r w:rsidRPr="00685E09">
              <w:rPr>
                <w:i/>
                <w:sz w:val="25"/>
                <w:szCs w:val="25"/>
              </w:rPr>
              <w:t>0</w:t>
            </w:r>
          </w:p>
        </w:tc>
        <w:tc>
          <w:tcPr>
            <w:tcW w:w="1194" w:type="dxa"/>
          </w:tcPr>
          <w:p w:rsidR="004A56AF" w:rsidRPr="00685E09" w:rsidRDefault="004A56AF" w:rsidP="004A56AF">
            <w:pPr>
              <w:jc w:val="center"/>
              <w:rPr>
                <w:i/>
                <w:sz w:val="25"/>
                <w:szCs w:val="25"/>
              </w:rPr>
            </w:pPr>
            <w:r w:rsidRPr="00685E09">
              <w:rPr>
                <w:i/>
                <w:sz w:val="25"/>
                <w:szCs w:val="25"/>
              </w:rPr>
              <w:t>0</w:t>
            </w:r>
          </w:p>
        </w:tc>
        <w:tc>
          <w:tcPr>
            <w:tcW w:w="1190" w:type="dxa"/>
          </w:tcPr>
          <w:p w:rsidR="004A56AF" w:rsidRPr="00685E09" w:rsidRDefault="004A56AF" w:rsidP="004A56AF">
            <w:pPr>
              <w:jc w:val="center"/>
              <w:rPr>
                <w:i/>
                <w:sz w:val="25"/>
                <w:szCs w:val="25"/>
              </w:rPr>
            </w:pPr>
            <w:r w:rsidRPr="00685E09">
              <w:rPr>
                <w:i/>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3.2. speciālais budžets</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3.3. pašvaldību budžets </w:t>
            </w:r>
          </w:p>
        </w:tc>
        <w:tc>
          <w:tcPr>
            <w:tcW w:w="1554" w:type="dxa"/>
            <w:shd w:val="clear" w:color="auto" w:fill="auto"/>
          </w:tcPr>
          <w:p w:rsidR="009B774A" w:rsidRPr="00A94035" w:rsidRDefault="009B774A" w:rsidP="001A0506">
            <w:pPr>
              <w:jc w:val="center"/>
              <w:rPr>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val="restart"/>
          </w:tcPr>
          <w:p w:rsidR="009B774A" w:rsidRPr="00A94035" w:rsidRDefault="009B774A" w:rsidP="001A0506">
            <w:pPr>
              <w:rPr>
                <w:sz w:val="25"/>
                <w:szCs w:val="25"/>
              </w:rPr>
            </w:pPr>
            <w:r w:rsidRPr="00A94035">
              <w:rPr>
                <w:sz w:val="25"/>
                <w:szCs w:val="25"/>
              </w:rPr>
              <w:t>4. Finanšu līdzekļi papildu izdevumu finansēšanai (kompensējošu izdevumu samazinājumu norāda ar "+" zīmi)</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7A1337" w:rsidP="001A0506">
            <w:pPr>
              <w:jc w:val="center"/>
              <w:rPr>
                <w:sz w:val="25"/>
                <w:szCs w:val="25"/>
              </w:rPr>
            </w:pPr>
            <w:r>
              <w:rPr>
                <w:sz w:val="25"/>
                <w:szCs w:val="25"/>
              </w:rPr>
              <w:t>0</w:t>
            </w:r>
          </w:p>
        </w:tc>
        <w:tc>
          <w:tcPr>
            <w:tcW w:w="1189" w:type="dxa"/>
          </w:tcPr>
          <w:p w:rsidR="009B774A" w:rsidRPr="00A94035" w:rsidRDefault="009B774A" w:rsidP="001A0506">
            <w:pPr>
              <w:jc w:val="center"/>
              <w:rPr>
                <w:sz w:val="25"/>
                <w:szCs w:val="25"/>
              </w:rPr>
            </w:pPr>
            <w:r w:rsidRPr="00A94035">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vMerge/>
          </w:tcPr>
          <w:p w:rsidR="009B774A" w:rsidRPr="00A94035" w:rsidRDefault="009B774A" w:rsidP="001A0506">
            <w:pPr>
              <w:rPr>
                <w:sz w:val="25"/>
                <w:szCs w:val="25"/>
              </w:rPr>
            </w:pPr>
          </w:p>
        </w:tc>
        <w:tc>
          <w:tcPr>
            <w:tcW w:w="1554" w:type="dxa"/>
            <w:vMerge/>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 Precizēta finansiālā ietekme:</w:t>
            </w:r>
          </w:p>
        </w:tc>
        <w:tc>
          <w:tcPr>
            <w:tcW w:w="1554" w:type="dxa"/>
            <w:vMerge w:val="restart"/>
          </w:tcPr>
          <w:p w:rsidR="009B774A" w:rsidRPr="00A94035" w:rsidRDefault="009B774A" w:rsidP="001A0506">
            <w:pPr>
              <w:jc w:val="center"/>
              <w:rPr>
                <w:i/>
                <w:sz w:val="25"/>
                <w:szCs w:val="25"/>
              </w:rPr>
            </w:pPr>
            <w:r w:rsidRPr="00A94035">
              <w:rPr>
                <w:sz w:val="25"/>
                <w:szCs w:val="25"/>
              </w:rPr>
              <w:t>X</w:t>
            </w: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5.1. valsts pamatbudžets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r w:rsidRPr="00A94035">
              <w:rPr>
                <w:sz w:val="25"/>
                <w:szCs w:val="25"/>
              </w:rPr>
              <w:t>0</w:t>
            </w:r>
          </w:p>
        </w:tc>
        <w:tc>
          <w:tcPr>
            <w:tcW w:w="1189" w:type="dxa"/>
          </w:tcPr>
          <w:p w:rsidR="009B774A" w:rsidRPr="00A94035" w:rsidRDefault="009B774A" w:rsidP="001A0506">
            <w:pPr>
              <w:jc w:val="center"/>
              <w:rPr>
                <w:sz w:val="25"/>
                <w:szCs w:val="25"/>
              </w:rPr>
            </w:pPr>
            <w:r>
              <w:rPr>
                <w:sz w:val="25"/>
                <w:szCs w:val="25"/>
              </w:rPr>
              <w:t>0</w:t>
            </w:r>
          </w:p>
        </w:tc>
        <w:tc>
          <w:tcPr>
            <w:tcW w:w="1194" w:type="dxa"/>
          </w:tcPr>
          <w:p w:rsidR="009B774A" w:rsidRPr="00A94035" w:rsidRDefault="009B774A" w:rsidP="001A0506">
            <w:pPr>
              <w:jc w:val="center"/>
              <w:rPr>
                <w:sz w:val="25"/>
                <w:szCs w:val="25"/>
              </w:rPr>
            </w:pPr>
            <w:r w:rsidRPr="00A94035">
              <w:rPr>
                <w:sz w:val="25"/>
                <w:szCs w:val="25"/>
              </w:rPr>
              <w:t>0</w:t>
            </w:r>
          </w:p>
        </w:tc>
        <w:tc>
          <w:tcPr>
            <w:tcW w:w="1190" w:type="dxa"/>
          </w:tcPr>
          <w:p w:rsidR="009B774A" w:rsidRPr="00A94035" w:rsidRDefault="009B774A" w:rsidP="001A0506">
            <w:pPr>
              <w:jc w:val="center"/>
              <w:rPr>
                <w:sz w:val="25"/>
                <w:szCs w:val="25"/>
              </w:rPr>
            </w:pPr>
            <w:r w:rsidRPr="00A94035">
              <w:rPr>
                <w:sz w:val="25"/>
                <w:szCs w:val="25"/>
              </w:rPr>
              <w:t>0</w:t>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5.2. speciālais budžets</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 xml:space="preserve">5.3. pašvaldību budžets </w:t>
            </w:r>
          </w:p>
        </w:tc>
        <w:tc>
          <w:tcPr>
            <w:tcW w:w="1554" w:type="dxa"/>
            <w:vMerge/>
            <w:vAlign w:val="center"/>
          </w:tcPr>
          <w:p w:rsidR="009B774A" w:rsidRPr="00A94035" w:rsidRDefault="009B774A" w:rsidP="001A0506">
            <w:pPr>
              <w:jc w:val="center"/>
              <w:rPr>
                <w:i/>
                <w:sz w:val="25"/>
                <w:szCs w:val="25"/>
              </w:rPr>
            </w:pPr>
          </w:p>
        </w:tc>
        <w:tc>
          <w:tcPr>
            <w:tcW w:w="1394" w:type="dxa"/>
          </w:tcPr>
          <w:p w:rsidR="009B774A" w:rsidRPr="00A94035" w:rsidRDefault="009B774A" w:rsidP="001A0506">
            <w:pPr>
              <w:jc w:val="center"/>
              <w:rPr>
                <w:sz w:val="25"/>
                <w:szCs w:val="25"/>
              </w:rPr>
            </w:pPr>
          </w:p>
        </w:tc>
        <w:tc>
          <w:tcPr>
            <w:tcW w:w="1189" w:type="dxa"/>
          </w:tcPr>
          <w:p w:rsidR="009B774A" w:rsidRPr="00A94035" w:rsidRDefault="009B774A" w:rsidP="001A0506">
            <w:pPr>
              <w:jc w:val="center"/>
              <w:rPr>
                <w:sz w:val="25"/>
                <w:szCs w:val="25"/>
              </w:rPr>
            </w:pPr>
          </w:p>
        </w:tc>
        <w:tc>
          <w:tcPr>
            <w:tcW w:w="1194" w:type="dxa"/>
          </w:tcPr>
          <w:p w:rsidR="009B774A" w:rsidRPr="00A94035" w:rsidRDefault="009B774A" w:rsidP="001A0506">
            <w:pPr>
              <w:jc w:val="center"/>
              <w:rPr>
                <w:sz w:val="25"/>
                <w:szCs w:val="25"/>
              </w:rPr>
            </w:pPr>
          </w:p>
        </w:tc>
        <w:tc>
          <w:tcPr>
            <w:tcW w:w="1190" w:type="dxa"/>
          </w:tcPr>
          <w:p w:rsidR="009B774A" w:rsidRPr="00A94035" w:rsidRDefault="009B774A" w:rsidP="001A0506">
            <w:pPr>
              <w:jc w:val="center"/>
              <w:rPr>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 Detalizēts ieņēmumu un izdevumu aprēķins (ja nepie</w:t>
            </w:r>
            <w:r w:rsidRPr="00A94035">
              <w:rPr>
                <w:sz w:val="25"/>
                <w:szCs w:val="25"/>
              </w:rPr>
              <w:softHyphen/>
              <w:t xml:space="preserve">ciešams, detalizētu ieņēmumu un </w:t>
            </w:r>
            <w:r w:rsidRPr="00A94035">
              <w:rPr>
                <w:sz w:val="25"/>
                <w:szCs w:val="25"/>
              </w:rPr>
              <w:lastRenderedPageBreak/>
              <w:t>izdevumu aprēķinu var pie</w:t>
            </w:r>
            <w:r w:rsidRPr="00A94035">
              <w:rPr>
                <w:sz w:val="25"/>
                <w:szCs w:val="25"/>
              </w:rPr>
              <w:softHyphen/>
              <w:t>vienot anotācijas pielikumā):</w:t>
            </w:r>
          </w:p>
        </w:tc>
        <w:tc>
          <w:tcPr>
            <w:tcW w:w="6521" w:type="dxa"/>
            <w:gridSpan w:val="5"/>
            <w:vMerge w:val="restart"/>
            <w:shd w:val="clear" w:color="auto" w:fill="auto"/>
          </w:tcPr>
          <w:p w:rsidR="005134ED" w:rsidRDefault="00F26D46" w:rsidP="002C3C59">
            <w:pPr>
              <w:jc w:val="both"/>
              <w:rPr>
                <w:sz w:val="25"/>
                <w:szCs w:val="25"/>
              </w:rPr>
            </w:pPr>
            <w:r>
              <w:rPr>
                <w:sz w:val="25"/>
                <w:szCs w:val="25"/>
              </w:rPr>
              <w:lastRenderedPageBreak/>
              <w:tab/>
            </w:r>
            <w:r w:rsidR="00D90152" w:rsidRPr="00D90152">
              <w:rPr>
                <w:sz w:val="25"/>
                <w:szCs w:val="25"/>
              </w:rPr>
              <w:t>Izdevumi 2014.gada valsts budžeta programmas 09.00.00 “Sports” apakšprogrammā</w:t>
            </w:r>
            <w:r w:rsidR="002C3C59">
              <w:rPr>
                <w:sz w:val="25"/>
                <w:szCs w:val="25"/>
              </w:rPr>
              <w:t xml:space="preserve"> 09.04.00 “Sporta būves” </w:t>
            </w:r>
            <w:r w:rsidR="002C3C59">
              <w:rPr>
                <w:rFonts w:eastAsia="Times New Roman"/>
                <w:color w:val="000000"/>
                <w:sz w:val="25"/>
                <w:szCs w:val="25"/>
              </w:rPr>
              <w:t xml:space="preserve">par </w:t>
            </w:r>
            <w:r w:rsidR="00E321B4" w:rsidRPr="00E321B4">
              <w:rPr>
                <w:rFonts w:eastAsia="Times New Roman"/>
                <w:color w:val="000000"/>
                <w:sz w:val="25"/>
                <w:szCs w:val="25"/>
              </w:rPr>
              <w:t>3</w:t>
            </w:r>
            <w:r w:rsidR="00E321B4">
              <w:rPr>
                <w:rFonts w:eastAsia="Times New Roman"/>
                <w:color w:val="000000"/>
                <w:sz w:val="25"/>
                <w:szCs w:val="25"/>
              </w:rPr>
              <w:t>`</w:t>
            </w:r>
            <w:r w:rsidR="00E321B4" w:rsidRPr="00E321B4">
              <w:rPr>
                <w:rFonts w:eastAsia="Times New Roman"/>
                <w:color w:val="000000"/>
                <w:sz w:val="25"/>
                <w:szCs w:val="25"/>
              </w:rPr>
              <w:t>239</w:t>
            </w:r>
            <w:r w:rsidR="00E321B4">
              <w:rPr>
                <w:rFonts w:eastAsia="Times New Roman"/>
                <w:color w:val="000000"/>
                <w:sz w:val="25"/>
                <w:szCs w:val="25"/>
              </w:rPr>
              <w:t>`</w:t>
            </w:r>
            <w:r w:rsidR="00E321B4" w:rsidRPr="00E321B4">
              <w:rPr>
                <w:rFonts w:eastAsia="Times New Roman"/>
                <w:color w:val="000000"/>
                <w:sz w:val="25"/>
                <w:szCs w:val="25"/>
              </w:rPr>
              <w:t xml:space="preserve">545 </w:t>
            </w:r>
            <w:r w:rsidR="002C3C59" w:rsidRPr="002C3C59">
              <w:rPr>
                <w:rFonts w:eastAsia="Times New Roman"/>
                <w:i/>
                <w:color w:val="000000"/>
                <w:sz w:val="25"/>
                <w:szCs w:val="25"/>
              </w:rPr>
              <w:t>euro</w:t>
            </w:r>
            <w:r w:rsidR="002C3C59">
              <w:rPr>
                <w:rFonts w:eastAsia="Times New Roman"/>
                <w:color w:val="000000"/>
                <w:sz w:val="25"/>
                <w:szCs w:val="25"/>
              </w:rPr>
              <w:t xml:space="preserve"> samazināsies</w:t>
            </w:r>
            <w:r w:rsidR="002C3C59" w:rsidRPr="00D90152">
              <w:rPr>
                <w:sz w:val="25"/>
                <w:szCs w:val="25"/>
              </w:rPr>
              <w:t xml:space="preserve">, </w:t>
            </w:r>
            <w:r w:rsidR="002C3C59">
              <w:rPr>
                <w:sz w:val="25"/>
                <w:szCs w:val="25"/>
              </w:rPr>
              <w:t xml:space="preserve">bet </w:t>
            </w:r>
            <w:r w:rsidR="002C3C59" w:rsidRPr="00D90152">
              <w:rPr>
                <w:sz w:val="25"/>
                <w:szCs w:val="25"/>
              </w:rPr>
              <w:t>attiecīgi</w:t>
            </w:r>
            <w:r w:rsidR="002C3C59">
              <w:rPr>
                <w:rFonts w:eastAsia="Times New Roman"/>
                <w:color w:val="000000"/>
                <w:sz w:val="25"/>
                <w:szCs w:val="25"/>
              </w:rPr>
              <w:t xml:space="preserve"> par </w:t>
            </w:r>
            <w:r w:rsidR="00E321B4" w:rsidRPr="00E321B4">
              <w:rPr>
                <w:rFonts w:eastAsia="Times New Roman"/>
                <w:color w:val="000000"/>
                <w:sz w:val="25"/>
                <w:szCs w:val="25"/>
              </w:rPr>
              <w:t>3</w:t>
            </w:r>
            <w:r w:rsidR="00E321B4">
              <w:rPr>
                <w:rFonts w:eastAsia="Times New Roman"/>
                <w:color w:val="000000"/>
                <w:sz w:val="25"/>
                <w:szCs w:val="25"/>
              </w:rPr>
              <w:t>`</w:t>
            </w:r>
            <w:r w:rsidR="00E321B4" w:rsidRPr="00E321B4">
              <w:rPr>
                <w:rFonts w:eastAsia="Times New Roman"/>
                <w:color w:val="000000"/>
                <w:sz w:val="25"/>
                <w:szCs w:val="25"/>
              </w:rPr>
              <w:t>239</w:t>
            </w:r>
            <w:r w:rsidR="00E321B4">
              <w:rPr>
                <w:rFonts w:eastAsia="Times New Roman"/>
                <w:color w:val="000000"/>
                <w:sz w:val="25"/>
                <w:szCs w:val="25"/>
              </w:rPr>
              <w:t>`</w:t>
            </w:r>
            <w:r w:rsidR="00E321B4" w:rsidRPr="00E321B4">
              <w:rPr>
                <w:rFonts w:eastAsia="Times New Roman"/>
                <w:color w:val="000000"/>
                <w:sz w:val="25"/>
                <w:szCs w:val="25"/>
              </w:rPr>
              <w:t xml:space="preserve">545 </w:t>
            </w:r>
            <w:r w:rsidR="002C3C59" w:rsidRPr="002C3C59">
              <w:rPr>
                <w:rFonts w:eastAsia="Times New Roman"/>
                <w:i/>
                <w:color w:val="000000"/>
                <w:sz w:val="25"/>
                <w:szCs w:val="25"/>
              </w:rPr>
              <w:lastRenderedPageBreak/>
              <w:t>euro</w:t>
            </w:r>
            <w:r w:rsidR="002C3C59" w:rsidRPr="00D90152">
              <w:rPr>
                <w:sz w:val="25"/>
                <w:szCs w:val="25"/>
              </w:rPr>
              <w:t xml:space="preserve"> palielināsies 2014.gada valsts budžeta programmas 09.00.00 “Sports” apakšprogrammā</w:t>
            </w:r>
            <w:r w:rsidR="002C3C59">
              <w:rPr>
                <w:sz w:val="25"/>
                <w:szCs w:val="25"/>
              </w:rPr>
              <w:t xml:space="preserve"> </w:t>
            </w:r>
            <w:r w:rsidR="002C3C59">
              <w:rPr>
                <w:rFonts w:eastAsia="Times New Roman"/>
                <w:color w:val="000000"/>
                <w:sz w:val="25"/>
                <w:szCs w:val="25"/>
              </w:rPr>
              <w:t>09.23.00 “</w:t>
            </w:r>
            <w:r w:rsidR="002C3C59" w:rsidRPr="00D927E5">
              <w:rPr>
                <w:rFonts w:eastAsia="Times New Roman"/>
                <w:color w:val="000000"/>
                <w:sz w:val="25"/>
                <w:szCs w:val="25"/>
              </w:rPr>
              <w:t>Valsts ilgtermiņa saistības sportā – dotācija Latvijas Olimpiskajai komitejai (LOK) – va</w:t>
            </w:r>
            <w:r w:rsidR="002C3C59">
              <w:rPr>
                <w:rFonts w:eastAsia="Times New Roman"/>
                <w:color w:val="000000"/>
                <w:sz w:val="25"/>
                <w:szCs w:val="25"/>
              </w:rPr>
              <w:t xml:space="preserve">lsts galvoto aizdevumu atmaksai” </w:t>
            </w:r>
            <w:r w:rsidR="00D90152" w:rsidRPr="00D90152">
              <w:rPr>
                <w:sz w:val="25"/>
                <w:szCs w:val="25"/>
              </w:rPr>
              <w:t>paredzētie līdzekļi.</w:t>
            </w:r>
          </w:p>
          <w:p w:rsidR="00F26D46" w:rsidRPr="00D90152" w:rsidRDefault="00F26D46" w:rsidP="00F26D46">
            <w:pPr>
              <w:jc w:val="both"/>
              <w:rPr>
                <w:sz w:val="25"/>
                <w:szCs w:val="25"/>
              </w:rPr>
            </w:pPr>
            <w:r>
              <w:rPr>
                <w:sz w:val="25"/>
                <w:szCs w:val="25"/>
              </w:rPr>
              <w:tab/>
            </w:r>
            <w:r w:rsidRPr="00D90152">
              <w:rPr>
                <w:sz w:val="25"/>
                <w:szCs w:val="25"/>
              </w:rPr>
              <w:t>Izdevumi 201</w:t>
            </w:r>
            <w:r>
              <w:rPr>
                <w:sz w:val="25"/>
                <w:szCs w:val="25"/>
              </w:rPr>
              <w:t>5</w:t>
            </w:r>
            <w:r w:rsidRPr="00D90152">
              <w:rPr>
                <w:sz w:val="25"/>
                <w:szCs w:val="25"/>
              </w:rPr>
              <w:t>.gada valsts budžeta programmas 09.00.00 “Sports” apakšprogrammā</w:t>
            </w:r>
            <w:r>
              <w:rPr>
                <w:sz w:val="25"/>
                <w:szCs w:val="25"/>
              </w:rPr>
              <w:t xml:space="preserve"> </w:t>
            </w:r>
            <w:r>
              <w:rPr>
                <w:rFonts w:eastAsia="Times New Roman"/>
                <w:color w:val="000000"/>
                <w:sz w:val="25"/>
                <w:szCs w:val="25"/>
              </w:rPr>
              <w:t>09.23.00 “</w:t>
            </w:r>
            <w:r w:rsidRPr="00D927E5">
              <w:rPr>
                <w:rFonts w:eastAsia="Times New Roman"/>
                <w:color w:val="000000"/>
                <w:sz w:val="25"/>
                <w:szCs w:val="25"/>
              </w:rPr>
              <w:t>Valsts ilgtermiņa saistības sportā – dotācija Latvijas Olimpiskajai komitejai (LOK) – va</w:t>
            </w:r>
            <w:r>
              <w:rPr>
                <w:rFonts w:eastAsia="Times New Roman"/>
                <w:color w:val="000000"/>
                <w:sz w:val="25"/>
                <w:szCs w:val="25"/>
              </w:rPr>
              <w:t xml:space="preserve">lsts galvoto aizdevumu atmaksai” par </w:t>
            </w:r>
            <w:r w:rsidR="00E321B4" w:rsidRPr="00E321B4">
              <w:rPr>
                <w:rFonts w:eastAsia="Times New Roman"/>
                <w:color w:val="000000"/>
                <w:sz w:val="25"/>
                <w:szCs w:val="25"/>
              </w:rPr>
              <w:t>3</w:t>
            </w:r>
            <w:r w:rsidR="00E321B4">
              <w:rPr>
                <w:rFonts w:eastAsia="Times New Roman"/>
                <w:color w:val="000000"/>
                <w:sz w:val="25"/>
                <w:szCs w:val="25"/>
              </w:rPr>
              <w:t>`</w:t>
            </w:r>
            <w:r w:rsidR="00E321B4" w:rsidRPr="00E321B4">
              <w:rPr>
                <w:rFonts w:eastAsia="Times New Roman"/>
                <w:color w:val="000000"/>
                <w:sz w:val="25"/>
                <w:szCs w:val="25"/>
              </w:rPr>
              <w:t>239</w:t>
            </w:r>
            <w:r w:rsidR="00E321B4">
              <w:rPr>
                <w:rFonts w:eastAsia="Times New Roman"/>
                <w:color w:val="000000"/>
                <w:sz w:val="25"/>
                <w:szCs w:val="25"/>
              </w:rPr>
              <w:t>`</w:t>
            </w:r>
            <w:r w:rsidR="00E321B4" w:rsidRPr="00E321B4">
              <w:rPr>
                <w:rFonts w:eastAsia="Times New Roman"/>
                <w:color w:val="000000"/>
                <w:sz w:val="25"/>
                <w:szCs w:val="25"/>
              </w:rPr>
              <w:t xml:space="preserve">545 </w:t>
            </w:r>
            <w:r w:rsidRPr="002C3C59">
              <w:rPr>
                <w:rFonts w:eastAsia="Times New Roman"/>
                <w:i/>
                <w:color w:val="000000"/>
                <w:sz w:val="25"/>
                <w:szCs w:val="25"/>
              </w:rPr>
              <w:t>euro</w:t>
            </w:r>
            <w:r>
              <w:rPr>
                <w:rFonts w:eastAsia="Times New Roman"/>
                <w:color w:val="000000"/>
                <w:sz w:val="25"/>
                <w:szCs w:val="25"/>
              </w:rPr>
              <w:t xml:space="preserve"> samazināsies, </w:t>
            </w:r>
            <w:r>
              <w:rPr>
                <w:sz w:val="25"/>
                <w:szCs w:val="25"/>
              </w:rPr>
              <w:t xml:space="preserve">bet </w:t>
            </w:r>
            <w:r w:rsidRPr="00D90152">
              <w:rPr>
                <w:sz w:val="25"/>
                <w:szCs w:val="25"/>
              </w:rPr>
              <w:t>attiecīgi</w:t>
            </w:r>
            <w:r>
              <w:rPr>
                <w:rFonts w:eastAsia="Times New Roman"/>
                <w:color w:val="000000"/>
                <w:sz w:val="25"/>
                <w:szCs w:val="25"/>
              </w:rPr>
              <w:t xml:space="preserve"> par </w:t>
            </w:r>
            <w:r w:rsidR="00E321B4" w:rsidRPr="00E321B4">
              <w:rPr>
                <w:rFonts w:eastAsia="Times New Roman"/>
                <w:color w:val="000000"/>
                <w:sz w:val="25"/>
                <w:szCs w:val="25"/>
              </w:rPr>
              <w:t>3</w:t>
            </w:r>
            <w:r w:rsidR="00E321B4">
              <w:rPr>
                <w:rFonts w:eastAsia="Times New Roman"/>
                <w:color w:val="000000"/>
                <w:sz w:val="25"/>
                <w:szCs w:val="25"/>
              </w:rPr>
              <w:t>`</w:t>
            </w:r>
            <w:r w:rsidR="00E321B4" w:rsidRPr="00E321B4">
              <w:rPr>
                <w:rFonts w:eastAsia="Times New Roman"/>
                <w:color w:val="000000"/>
                <w:sz w:val="25"/>
                <w:szCs w:val="25"/>
              </w:rPr>
              <w:t>239</w:t>
            </w:r>
            <w:r w:rsidR="00E321B4">
              <w:rPr>
                <w:rFonts w:eastAsia="Times New Roman"/>
                <w:color w:val="000000"/>
                <w:sz w:val="25"/>
                <w:szCs w:val="25"/>
              </w:rPr>
              <w:t>`</w:t>
            </w:r>
            <w:r w:rsidR="00E321B4" w:rsidRPr="00E321B4">
              <w:rPr>
                <w:rFonts w:eastAsia="Times New Roman"/>
                <w:color w:val="000000"/>
                <w:sz w:val="25"/>
                <w:szCs w:val="25"/>
              </w:rPr>
              <w:t xml:space="preserve">545 </w:t>
            </w:r>
            <w:r w:rsidRPr="002C3C59">
              <w:rPr>
                <w:rFonts w:eastAsia="Times New Roman"/>
                <w:i/>
                <w:color w:val="000000"/>
                <w:sz w:val="25"/>
                <w:szCs w:val="25"/>
              </w:rPr>
              <w:t>euro</w:t>
            </w:r>
            <w:r w:rsidRPr="00D90152">
              <w:rPr>
                <w:sz w:val="25"/>
                <w:szCs w:val="25"/>
              </w:rPr>
              <w:t xml:space="preserve"> </w:t>
            </w:r>
            <w:r>
              <w:rPr>
                <w:sz w:val="25"/>
                <w:szCs w:val="25"/>
              </w:rPr>
              <w:t xml:space="preserve">palielināsies </w:t>
            </w:r>
            <w:r w:rsidRPr="00D90152">
              <w:rPr>
                <w:sz w:val="25"/>
                <w:szCs w:val="25"/>
              </w:rPr>
              <w:t>201</w:t>
            </w:r>
            <w:r>
              <w:rPr>
                <w:sz w:val="25"/>
                <w:szCs w:val="25"/>
              </w:rPr>
              <w:t>5</w:t>
            </w:r>
            <w:r w:rsidRPr="00D90152">
              <w:rPr>
                <w:sz w:val="25"/>
                <w:szCs w:val="25"/>
              </w:rPr>
              <w:t>.gada valsts budžeta programmas 09.00.00 “Sports” apakšprogrammā</w:t>
            </w:r>
            <w:r>
              <w:rPr>
                <w:sz w:val="25"/>
                <w:szCs w:val="25"/>
              </w:rPr>
              <w:t xml:space="preserve"> 09.04.00 “Sporta būves” </w:t>
            </w:r>
            <w:r w:rsidRPr="00D90152">
              <w:rPr>
                <w:sz w:val="25"/>
                <w:szCs w:val="25"/>
              </w:rPr>
              <w:t>paredzētie līdzekļi.</w:t>
            </w:r>
            <w:r>
              <w:rPr>
                <w:sz w:val="25"/>
                <w:szCs w:val="25"/>
              </w:rPr>
              <w:t xml:space="preserve"> Attiecīgu priekšlikumu Finanšu ministrijā IZM iesniegts </w:t>
            </w:r>
            <w:r w:rsidRPr="00F26D46">
              <w:rPr>
                <w:sz w:val="25"/>
                <w:szCs w:val="25"/>
              </w:rPr>
              <w:t>likumprojekta “Par valsts budžetu 2015.gadam” un likumprojekta “Par vidēja termiņa budžeta ietvaru 2015., 2016. un 2017.gadam” sagatavošanas laikā</w:t>
            </w:r>
            <w:r>
              <w:rPr>
                <w:sz w:val="25"/>
                <w:szCs w:val="25"/>
              </w:rPr>
              <w:t>.</w:t>
            </w:r>
            <w:r>
              <w:rPr>
                <w:sz w:val="25"/>
                <w:szCs w:val="25"/>
              </w:rPr>
              <w:tab/>
            </w:r>
            <w:r>
              <w:rPr>
                <w:sz w:val="25"/>
                <w:szCs w:val="25"/>
              </w:rPr>
              <w:tab/>
            </w: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lastRenderedPageBreak/>
              <w:t>6.1. detalizēts ieņēmumu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9B774A">
        <w:trPr>
          <w:jc w:val="center"/>
        </w:trPr>
        <w:tc>
          <w:tcPr>
            <w:tcW w:w="3688" w:type="dxa"/>
          </w:tcPr>
          <w:p w:rsidR="009B774A" w:rsidRPr="00A94035" w:rsidRDefault="009B774A" w:rsidP="001A0506">
            <w:pPr>
              <w:rPr>
                <w:sz w:val="25"/>
                <w:szCs w:val="25"/>
              </w:rPr>
            </w:pPr>
            <w:r w:rsidRPr="00A94035">
              <w:rPr>
                <w:sz w:val="25"/>
                <w:szCs w:val="25"/>
              </w:rPr>
              <w:t>6.2. detalizēts izdevumu aprēķins</w:t>
            </w:r>
          </w:p>
        </w:tc>
        <w:tc>
          <w:tcPr>
            <w:tcW w:w="6521" w:type="dxa"/>
            <w:gridSpan w:val="5"/>
            <w:vMerge/>
            <w:shd w:val="clear" w:color="auto" w:fill="auto"/>
          </w:tcPr>
          <w:p w:rsidR="009B774A" w:rsidRPr="00A94035" w:rsidRDefault="009B774A" w:rsidP="001A0506">
            <w:pPr>
              <w:rPr>
                <w:b/>
                <w:i/>
                <w:sz w:val="25"/>
                <w:szCs w:val="25"/>
              </w:rPr>
            </w:pPr>
          </w:p>
        </w:tc>
      </w:tr>
      <w:tr w:rsidR="009B774A" w:rsidRPr="00A94035" w:rsidTr="0012249E">
        <w:trPr>
          <w:trHeight w:val="399"/>
          <w:jc w:val="center"/>
        </w:trPr>
        <w:tc>
          <w:tcPr>
            <w:tcW w:w="3688" w:type="dxa"/>
          </w:tcPr>
          <w:p w:rsidR="009B774A" w:rsidRPr="00A94035" w:rsidRDefault="009B774A" w:rsidP="001A0506">
            <w:pPr>
              <w:rPr>
                <w:sz w:val="25"/>
                <w:szCs w:val="25"/>
              </w:rPr>
            </w:pPr>
            <w:r w:rsidRPr="00A94035">
              <w:rPr>
                <w:sz w:val="25"/>
                <w:szCs w:val="25"/>
              </w:rPr>
              <w:t>7. Cita informācija</w:t>
            </w:r>
          </w:p>
        </w:tc>
        <w:tc>
          <w:tcPr>
            <w:tcW w:w="6521" w:type="dxa"/>
            <w:gridSpan w:val="5"/>
            <w:shd w:val="clear" w:color="auto" w:fill="auto"/>
          </w:tcPr>
          <w:p w:rsidR="00F26D46" w:rsidRDefault="00F26D46" w:rsidP="00D26C8A">
            <w:pPr>
              <w:jc w:val="both"/>
              <w:rPr>
                <w:sz w:val="25"/>
                <w:szCs w:val="25"/>
              </w:rPr>
            </w:pPr>
            <w:r>
              <w:rPr>
                <w:sz w:val="25"/>
                <w:szCs w:val="25"/>
              </w:rPr>
              <w:tab/>
              <w:t xml:space="preserve">Ņemot vērā to, ka Siguldas projekta </w:t>
            </w:r>
            <w:r w:rsidRPr="00F26D46">
              <w:rPr>
                <w:sz w:val="25"/>
                <w:szCs w:val="25"/>
              </w:rPr>
              <w:t xml:space="preserve">īstenošanai 2014.gadā paredzēto līdzekļu pārdale ir saistīta ar izmaiņām šim projektam 2014.gadā paredzētajās valsts budžeta ilgtermiņa saistībās, </w:t>
            </w:r>
            <w:r>
              <w:rPr>
                <w:sz w:val="25"/>
                <w:szCs w:val="25"/>
              </w:rPr>
              <w:t xml:space="preserve">vienotā paketē ar šo Ministru kabineta rīkojuma projektu tiek virzīts arī </w:t>
            </w:r>
            <w:r w:rsidRPr="00F26D46">
              <w:rPr>
                <w:sz w:val="25"/>
                <w:szCs w:val="25"/>
              </w:rPr>
              <w:t>Ministru kabineta rīkojuma projekt</w:t>
            </w:r>
            <w:r>
              <w:rPr>
                <w:sz w:val="25"/>
                <w:szCs w:val="25"/>
              </w:rPr>
              <w:t>s “</w:t>
            </w:r>
            <w:r w:rsidRPr="00F26D46">
              <w:rPr>
                <w:sz w:val="25"/>
                <w:szCs w:val="25"/>
              </w:rPr>
              <w:t>Grozījums Ministru kabineta 2013.gada 4.novembra rīkojumā Nr.522 “Par Latvijas Nacionālā valsts sporta centra “Mežaparks” un Tenisa centra “Lielupe” rekonstrukcijas projektiem paredzēto valsts budžeta ilgtermiņa saistību pārdali</w:t>
            </w:r>
            <w:r>
              <w:rPr>
                <w:sz w:val="25"/>
                <w:szCs w:val="25"/>
              </w:rPr>
              <w:t>””.</w:t>
            </w:r>
          </w:p>
          <w:p w:rsidR="00F26D46" w:rsidRPr="00C63403" w:rsidRDefault="00F26D46" w:rsidP="0030652B">
            <w:pPr>
              <w:jc w:val="both"/>
              <w:rPr>
                <w:sz w:val="25"/>
                <w:szCs w:val="25"/>
              </w:rPr>
            </w:pPr>
            <w:r>
              <w:rPr>
                <w:sz w:val="25"/>
                <w:szCs w:val="25"/>
              </w:rPr>
              <w:tab/>
            </w:r>
            <w:r w:rsidR="00D26C8A" w:rsidRPr="00D26C8A">
              <w:rPr>
                <w:sz w:val="25"/>
                <w:szCs w:val="25"/>
              </w:rPr>
              <w:t xml:space="preserve">Pēc </w:t>
            </w:r>
            <w:r w:rsidR="00D26C8A">
              <w:rPr>
                <w:sz w:val="25"/>
                <w:szCs w:val="25"/>
              </w:rPr>
              <w:t xml:space="preserve">Ministru kabineta rīkojuma </w:t>
            </w:r>
            <w:r w:rsidR="00D26C8A" w:rsidRPr="00D26C8A">
              <w:rPr>
                <w:sz w:val="25"/>
                <w:szCs w:val="25"/>
              </w:rPr>
              <w:t xml:space="preserve">projekta pieņemšanas </w:t>
            </w:r>
            <w:r w:rsidR="00D26C8A">
              <w:rPr>
                <w:sz w:val="25"/>
                <w:szCs w:val="25"/>
              </w:rPr>
              <w:t>IZM</w:t>
            </w:r>
            <w:r w:rsidR="00D26C8A" w:rsidRPr="00D26C8A">
              <w:rPr>
                <w:sz w:val="25"/>
                <w:szCs w:val="25"/>
              </w:rPr>
              <w:t xml:space="preserve"> normatīvajos aktos noteiktā kārtībā sagatavos un iesniegs Finanšu ministrijā pieprasījumu valsts</w:t>
            </w:r>
            <w:r>
              <w:rPr>
                <w:sz w:val="25"/>
                <w:szCs w:val="25"/>
              </w:rPr>
              <w:t xml:space="preserve"> budžeta apropriācijas pārdalei, kā arī iesniegs </w:t>
            </w:r>
            <w:r w:rsidR="0030652B">
              <w:rPr>
                <w:sz w:val="25"/>
                <w:szCs w:val="25"/>
              </w:rPr>
              <w:t xml:space="preserve">pieprasījumu </w:t>
            </w:r>
            <w:r>
              <w:rPr>
                <w:sz w:val="25"/>
                <w:szCs w:val="25"/>
              </w:rPr>
              <w:t>v</w:t>
            </w:r>
            <w:r w:rsidRPr="00F26D46">
              <w:rPr>
                <w:sz w:val="25"/>
                <w:szCs w:val="25"/>
              </w:rPr>
              <w:t>alsts pamatbudž</w:t>
            </w:r>
            <w:r w:rsidR="0030652B">
              <w:rPr>
                <w:sz w:val="25"/>
                <w:szCs w:val="25"/>
              </w:rPr>
              <w:t>eta ilgtermiņa saistību izmaiņām</w:t>
            </w:r>
            <w:r w:rsidRPr="00F26D46">
              <w:rPr>
                <w:sz w:val="25"/>
                <w:szCs w:val="25"/>
              </w:rPr>
              <w:t xml:space="preserve"> starp programmām un apakšprogrammām</w:t>
            </w:r>
            <w:r>
              <w:rPr>
                <w:sz w:val="25"/>
                <w:szCs w:val="25"/>
              </w:rPr>
              <w:t>.</w:t>
            </w:r>
          </w:p>
        </w:tc>
      </w:tr>
    </w:tbl>
    <w:p w:rsidR="009B774A" w:rsidRDefault="009B774A" w:rsidP="009B774A">
      <w:pPr>
        <w:pStyle w:val="naisf"/>
        <w:tabs>
          <w:tab w:val="left" w:pos="3819"/>
        </w:tabs>
        <w:spacing w:before="0" w:after="0"/>
        <w:ind w:firstLine="0"/>
        <w:rPr>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6F5778">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9D2B33" w:rsidRPr="00C13B05" w:rsidRDefault="009D2B33"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005A9D">
        <w:rPr>
          <w:sz w:val="26"/>
          <w:szCs w:val="26"/>
        </w:rPr>
        <w:t>I</w:t>
      </w:r>
      <w:r w:rsidR="002F3C73">
        <w:rPr>
          <w:sz w:val="26"/>
          <w:szCs w:val="26"/>
        </w:rPr>
        <w:t xml:space="preserve">na </w:t>
      </w:r>
      <w:r w:rsidR="00005A9D">
        <w:rPr>
          <w:sz w:val="26"/>
          <w:szCs w:val="26"/>
        </w:rPr>
        <w:t>Druviete</w:t>
      </w:r>
    </w:p>
    <w:p w:rsidR="00585B7B" w:rsidRPr="00D10407" w:rsidRDefault="00585B7B" w:rsidP="00D96FCD">
      <w:pPr>
        <w:rPr>
          <w:sz w:val="26"/>
          <w:szCs w:val="26"/>
        </w:rPr>
      </w:pPr>
    </w:p>
    <w:p w:rsidR="004560F5" w:rsidRPr="00D10407" w:rsidRDefault="004560F5" w:rsidP="00D96FCD">
      <w:pPr>
        <w:rPr>
          <w:sz w:val="26"/>
          <w:szCs w:val="26"/>
        </w:rPr>
      </w:pPr>
    </w:p>
    <w:p w:rsidR="00803311" w:rsidRDefault="00803311" w:rsidP="00D10407">
      <w:pPr>
        <w:ind w:firstLine="720"/>
        <w:jc w:val="both"/>
        <w:rPr>
          <w:sz w:val="26"/>
          <w:szCs w:val="26"/>
        </w:rPr>
      </w:pPr>
      <w:r>
        <w:rPr>
          <w:sz w:val="26"/>
          <w:szCs w:val="26"/>
        </w:rPr>
        <w:t>Vizē:</w:t>
      </w:r>
    </w:p>
    <w:p w:rsidR="00D10407" w:rsidRPr="00D10407" w:rsidRDefault="00F26D46" w:rsidP="00D10407">
      <w:pPr>
        <w:ind w:firstLine="720"/>
        <w:jc w:val="both"/>
        <w:rPr>
          <w:sz w:val="26"/>
          <w:szCs w:val="26"/>
        </w:rPr>
      </w:pPr>
      <w:r>
        <w:rPr>
          <w:sz w:val="26"/>
          <w:szCs w:val="26"/>
        </w:rPr>
        <w:t>Valsts sekretāre</w:t>
      </w:r>
      <w:r w:rsidR="00D10407" w:rsidRPr="00D10407">
        <w:rPr>
          <w:sz w:val="26"/>
          <w:szCs w:val="26"/>
        </w:rPr>
        <w:tab/>
      </w:r>
      <w:r w:rsidR="00D10407" w:rsidRPr="00D10407">
        <w:rPr>
          <w:sz w:val="26"/>
          <w:szCs w:val="26"/>
        </w:rPr>
        <w:tab/>
      </w:r>
      <w:r w:rsidR="00D10407" w:rsidRPr="00D10407">
        <w:rPr>
          <w:sz w:val="26"/>
          <w:szCs w:val="26"/>
        </w:rPr>
        <w:tab/>
      </w:r>
      <w:r w:rsidR="00D10407" w:rsidRPr="00D10407">
        <w:rPr>
          <w:sz w:val="26"/>
          <w:szCs w:val="26"/>
        </w:rPr>
        <w:tab/>
      </w:r>
      <w:r w:rsidR="00D10407" w:rsidRPr="00D10407">
        <w:rPr>
          <w:sz w:val="26"/>
          <w:szCs w:val="26"/>
        </w:rPr>
        <w:tab/>
      </w:r>
      <w:r w:rsidR="00D10407" w:rsidRPr="00D10407">
        <w:rPr>
          <w:sz w:val="26"/>
          <w:szCs w:val="26"/>
        </w:rPr>
        <w:tab/>
        <w:t xml:space="preserve">     </w:t>
      </w:r>
      <w:r w:rsidR="00D10407">
        <w:rPr>
          <w:sz w:val="26"/>
          <w:szCs w:val="26"/>
        </w:rPr>
        <w:tab/>
      </w:r>
      <w:r>
        <w:rPr>
          <w:sz w:val="26"/>
          <w:szCs w:val="26"/>
        </w:rPr>
        <w:t>Sanda Liepiņa</w:t>
      </w:r>
    </w:p>
    <w:p w:rsidR="00C451CB" w:rsidRPr="00D10407" w:rsidRDefault="00C451CB" w:rsidP="00D96FCD">
      <w:pPr>
        <w:jc w:val="both"/>
        <w:rPr>
          <w:sz w:val="26"/>
          <w:szCs w:val="26"/>
        </w:rPr>
      </w:pPr>
    </w:p>
    <w:p w:rsidR="00D13904" w:rsidRDefault="00D13904" w:rsidP="002F3C73">
      <w:pPr>
        <w:ind w:left="720"/>
        <w:rPr>
          <w:sz w:val="22"/>
          <w:szCs w:val="22"/>
        </w:rPr>
      </w:pPr>
    </w:p>
    <w:p w:rsidR="002F3C73" w:rsidRPr="002F3C73" w:rsidRDefault="00A15BFD" w:rsidP="002F3C73">
      <w:pPr>
        <w:ind w:left="720"/>
        <w:rPr>
          <w:sz w:val="22"/>
          <w:szCs w:val="22"/>
        </w:rPr>
      </w:pPr>
      <w:r>
        <w:rPr>
          <w:sz w:val="22"/>
          <w:szCs w:val="22"/>
        </w:rPr>
        <w:t>16</w:t>
      </w:r>
      <w:r w:rsidR="0053293C">
        <w:rPr>
          <w:sz w:val="22"/>
          <w:szCs w:val="22"/>
        </w:rPr>
        <w:t>.</w:t>
      </w:r>
      <w:r w:rsidR="00F26D46">
        <w:rPr>
          <w:sz w:val="22"/>
          <w:szCs w:val="22"/>
        </w:rPr>
        <w:t>10</w:t>
      </w:r>
      <w:r w:rsidR="0053293C">
        <w:rPr>
          <w:sz w:val="22"/>
          <w:szCs w:val="22"/>
        </w:rPr>
        <w:t xml:space="preserve">.2014. </w:t>
      </w:r>
      <w:r w:rsidR="00D10407">
        <w:rPr>
          <w:sz w:val="22"/>
          <w:szCs w:val="22"/>
        </w:rPr>
        <w:t>1</w:t>
      </w:r>
      <w:r w:rsidR="00CA4151">
        <w:rPr>
          <w:sz w:val="22"/>
          <w:szCs w:val="22"/>
        </w:rPr>
        <w:t>2</w:t>
      </w:r>
      <w:r w:rsidR="00C602CC">
        <w:rPr>
          <w:sz w:val="22"/>
          <w:szCs w:val="22"/>
        </w:rPr>
        <w:t>:</w:t>
      </w:r>
      <w:r w:rsidR="00A41AA2">
        <w:rPr>
          <w:sz w:val="22"/>
          <w:szCs w:val="22"/>
        </w:rPr>
        <w:t>55</w:t>
      </w:r>
      <w:bookmarkStart w:id="3" w:name="_GoBack"/>
      <w:bookmarkEnd w:id="3"/>
    </w:p>
    <w:p w:rsidR="002F3C73" w:rsidRPr="002F3C73" w:rsidRDefault="00C9657E" w:rsidP="002F3C73">
      <w:pPr>
        <w:ind w:left="720"/>
        <w:rPr>
          <w:sz w:val="22"/>
          <w:szCs w:val="22"/>
        </w:rPr>
      </w:pPr>
      <w:r>
        <w:rPr>
          <w:sz w:val="22"/>
          <w:szCs w:val="22"/>
        </w:rPr>
        <w:t>1522</w:t>
      </w:r>
    </w:p>
    <w:p w:rsidR="002F3C73" w:rsidRPr="002F3C73" w:rsidRDefault="002F3C73" w:rsidP="002F3C73">
      <w:pPr>
        <w:ind w:left="720"/>
        <w:rPr>
          <w:sz w:val="22"/>
          <w:szCs w:val="22"/>
        </w:rPr>
      </w:pPr>
      <w:r w:rsidRPr="002F3C73">
        <w:rPr>
          <w:sz w:val="22"/>
          <w:szCs w:val="22"/>
        </w:rPr>
        <w:t>Izglītības un zinātnes ministrijas</w:t>
      </w:r>
    </w:p>
    <w:p w:rsidR="00C9657E" w:rsidRDefault="00C9657E" w:rsidP="002F3C73">
      <w:pPr>
        <w:ind w:left="720"/>
        <w:rPr>
          <w:sz w:val="22"/>
          <w:szCs w:val="22"/>
        </w:rPr>
      </w:pPr>
      <w:r>
        <w:rPr>
          <w:sz w:val="22"/>
          <w:szCs w:val="22"/>
        </w:rPr>
        <w:t xml:space="preserve">valsts sekretāra vietnieks – </w:t>
      </w:r>
    </w:p>
    <w:p w:rsidR="002F3C73" w:rsidRPr="002F3C73" w:rsidRDefault="002F3C73" w:rsidP="002F3C73">
      <w:pPr>
        <w:ind w:left="720"/>
        <w:rPr>
          <w:sz w:val="22"/>
          <w:szCs w:val="22"/>
        </w:rPr>
      </w:pPr>
      <w:r w:rsidRPr="002F3C73">
        <w:rPr>
          <w:sz w:val="22"/>
          <w:szCs w:val="22"/>
        </w:rPr>
        <w:t>Sporta departamenta</w:t>
      </w:r>
      <w:r w:rsidR="00C9657E">
        <w:rPr>
          <w:sz w:val="22"/>
          <w:szCs w:val="22"/>
        </w:rPr>
        <w:t xml:space="preserve"> </w:t>
      </w:r>
      <w:r w:rsidRPr="002F3C73">
        <w:rPr>
          <w:sz w:val="22"/>
          <w:szCs w:val="22"/>
        </w:rPr>
        <w:t>direktor</w:t>
      </w:r>
      <w:r w:rsidR="00C9657E">
        <w:rPr>
          <w:sz w:val="22"/>
          <w:szCs w:val="22"/>
        </w:rPr>
        <w:t>s</w:t>
      </w:r>
      <w:r w:rsidRPr="002F3C73">
        <w:rPr>
          <w:sz w:val="22"/>
          <w:szCs w:val="22"/>
        </w:rPr>
        <w:t xml:space="preserve"> E.Severs</w:t>
      </w:r>
    </w:p>
    <w:p w:rsidR="00763103" w:rsidRPr="00763103" w:rsidRDefault="002F3C73" w:rsidP="00B87192">
      <w:pPr>
        <w:ind w:left="720"/>
        <w:rPr>
          <w:sz w:val="22"/>
          <w:szCs w:val="22"/>
        </w:rPr>
      </w:pPr>
      <w:r w:rsidRPr="002F3C73">
        <w:rPr>
          <w:sz w:val="22"/>
          <w:szCs w:val="22"/>
        </w:rPr>
        <w:t>67047935, edgars.severs@izm.gov.lv</w:t>
      </w:r>
    </w:p>
    <w:sectPr w:rsidR="00763103" w:rsidRPr="00763103" w:rsidSect="00D13904">
      <w:headerReference w:type="default" r:id="rId8"/>
      <w:footerReference w:type="default" r:id="rId9"/>
      <w:footerReference w:type="first" r:id="rId10"/>
      <w:pgSz w:w="11906" w:h="16838" w:code="9"/>
      <w:pgMar w:top="993" w:right="1134" w:bottom="1134" w:left="1701" w:header="426" w:footer="3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38" w:rsidRDefault="00DC4338" w:rsidP="00123E9B">
      <w:r>
        <w:separator/>
      </w:r>
    </w:p>
  </w:endnote>
  <w:endnote w:type="continuationSeparator" w:id="0">
    <w:p w:rsidR="00DC4338" w:rsidRDefault="00DC433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A45F8D" w:rsidRDefault="00A45F8D" w:rsidP="00A45F8D">
    <w:pPr>
      <w:ind w:left="-567" w:right="-568"/>
      <w:jc w:val="both"/>
    </w:pPr>
    <w:r>
      <w:rPr>
        <w:sz w:val="22"/>
        <w:szCs w:val="22"/>
      </w:rPr>
      <w:t>IZMAnot_</w:t>
    </w:r>
    <w:r w:rsidR="00A15BFD">
      <w:rPr>
        <w:sz w:val="22"/>
        <w:szCs w:val="22"/>
      </w:rPr>
      <w:t>16</w:t>
    </w:r>
    <w:r>
      <w:rPr>
        <w:sz w:val="22"/>
        <w:szCs w:val="22"/>
      </w:rPr>
      <w:t>1014_pardale</w:t>
    </w:r>
    <w:r w:rsidRPr="004816F6">
      <w:rPr>
        <w:sz w:val="22"/>
        <w:szCs w:val="22"/>
      </w:rPr>
      <w:t xml:space="preserve">; Ministru kabineta rīkojuma projekta </w:t>
    </w:r>
    <w:r>
      <w:rPr>
        <w:sz w:val="22"/>
        <w:szCs w:val="22"/>
      </w:rPr>
      <w:t>“</w:t>
    </w:r>
    <w:r w:rsidRPr="00A45F8D">
      <w:rPr>
        <w:sz w:val="22"/>
        <w:szCs w:val="22"/>
      </w:rPr>
      <w:t>Par Siguldas sporta kompleksa projekta, Vidzemes Olimpiskā centra attīstības projekta un Liepājas Olimpiskā centra vieglatlētikas manēžas būvniecības projekta īstenošanai 2014.gadā paredzēto valsts budžeta līdzekļu pārdali</w:t>
    </w:r>
    <w:r w:rsidRPr="004816F6">
      <w:rPr>
        <w:sz w:val="22"/>
        <w:szCs w:val="22"/>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A17D77">
    <w:pPr>
      <w:ind w:left="-567" w:right="-568"/>
      <w:jc w:val="both"/>
      <w:rPr>
        <w:sz w:val="22"/>
        <w:szCs w:val="22"/>
      </w:rPr>
    </w:pPr>
    <w:r>
      <w:rPr>
        <w:sz w:val="22"/>
        <w:szCs w:val="22"/>
      </w:rPr>
      <w:t>IZMAnot_</w:t>
    </w:r>
    <w:r w:rsidR="00A41AA2">
      <w:rPr>
        <w:sz w:val="22"/>
        <w:szCs w:val="22"/>
      </w:rPr>
      <w:t>16</w:t>
    </w:r>
    <w:r w:rsidR="00A45F8D">
      <w:rPr>
        <w:sz w:val="22"/>
        <w:szCs w:val="22"/>
      </w:rPr>
      <w:t>10</w:t>
    </w:r>
    <w:r w:rsidR="00A17D77">
      <w:rPr>
        <w:sz w:val="22"/>
        <w:szCs w:val="22"/>
      </w:rPr>
      <w:t>14</w:t>
    </w:r>
    <w:r>
      <w:rPr>
        <w:sz w:val="22"/>
        <w:szCs w:val="22"/>
      </w:rPr>
      <w:t>_</w:t>
    </w:r>
    <w:r w:rsidR="00A17D77">
      <w:rPr>
        <w:sz w:val="22"/>
        <w:szCs w:val="22"/>
      </w:rPr>
      <w:t>pardale</w:t>
    </w:r>
    <w:r w:rsidRPr="004816F6">
      <w:rPr>
        <w:sz w:val="22"/>
        <w:szCs w:val="22"/>
      </w:rPr>
      <w:t xml:space="preserve">; Ministru kabineta rīkojuma projekta </w:t>
    </w:r>
    <w:r>
      <w:rPr>
        <w:sz w:val="22"/>
        <w:szCs w:val="22"/>
      </w:rPr>
      <w:t>“</w:t>
    </w:r>
    <w:r w:rsidR="00A45F8D" w:rsidRPr="00A45F8D">
      <w:rPr>
        <w:sz w:val="22"/>
        <w:szCs w:val="22"/>
      </w:rPr>
      <w:t>Par Siguldas sporta kompleksa projekta, Vidzemes Olimpiskā centra attīstības projekta un Liepājas Olimpiskā centra vieglatlētikas manēžas būvniecības projekta īstenošanai 2014.gadā paredzēto valsts budžeta līdzekļu pārdali</w:t>
    </w:r>
    <w:r w:rsidRPr="004816F6">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38" w:rsidRDefault="00DC4338" w:rsidP="00123E9B">
      <w:r>
        <w:separator/>
      </w:r>
    </w:p>
  </w:footnote>
  <w:footnote w:type="continuationSeparator" w:id="0">
    <w:p w:rsidR="00DC4338" w:rsidRDefault="00DC433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A41AA2">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
    <w:nsid w:val="228920EE"/>
    <w:multiLevelType w:val="hybridMultilevel"/>
    <w:tmpl w:val="1618D7AE"/>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5">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6">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7">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8">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4"/>
  </w:num>
  <w:num w:numId="2">
    <w:abstractNumId w:val="8"/>
  </w:num>
  <w:num w:numId="3">
    <w:abstractNumId w:val="7"/>
  </w:num>
  <w:num w:numId="4">
    <w:abstractNumId w:val="10"/>
  </w:num>
  <w:num w:numId="5">
    <w:abstractNumId w:val="5"/>
  </w:num>
  <w:num w:numId="6">
    <w:abstractNumId w:val="6"/>
  </w:num>
  <w:num w:numId="7">
    <w:abstractNumId w:val="1"/>
  </w:num>
  <w:num w:numId="8">
    <w:abstractNumId w:val="0"/>
  </w:num>
  <w:num w:numId="9">
    <w:abstractNumId w:val="3"/>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921"/>
    <w:rsid w:val="00014BD0"/>
    <w:rsid w:val="00020664"/>
    <w:rsid w:val="0002179F"/>
    <w:rsid w:val="000219F0"/>
    <w:rsid w:val="00027346"/>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F6"/>
    <w:rsid w:val="00080CC1"/>
    <w:rsid w:val="00081477"/>
    <w:rsid w:val="00081CE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55C5"/>
    <w:rsid w:val="000A671B"/>
    <w:rsid w:val="000B0DC4"/>
    <w:rsid w:val="000B3147"/>
    <w:rsid w:val="000B3B3C"/>
    <w:rsid w:val="000B3EC8"/>
    <w:rsid w:val="000B3FF6"/>
    <w:rsid w:val="000B51C9"/>
    <w:rsid w:val="000B62CA"/>
    <w:rsid w:val="000C0BAF"/>
    <w:rsid w:val="000C136C"/>
    <w:rsid w:val="000C1819"/>
    <w:rsid w:val="000C1B3D"/>
    <w:rsid w:val="000C1D23"/>
    <w:rsid w:val="000C36BE"/>
    <w:rsid w:val="000C5812"/>
    <w:rsid w:val="000C63F4"/>
    <w:rsid w:val="000D003C"/>
    <w:rsid w:val="000D00F8"/>
    <w:rsid w:val="000D6486"/>
    <w:rsid w:val="000E058D"/>
    <w:rsid w:val="000E0815"/>
    <w:rsid w:val="000E2489"/>
    <w:rsid w:val="000E3B94"/>
    <w:rsid w:val="000E4A2A"/>
    <w:rsid w:val="000E5FDF"/>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123A"/>
    <w:rsid w:val="00121DF2"/>
    <w:rsid w:val="0012249E"/>
    <w:rsid w:val="00122521"/>
    <w:rsid w:val="00123E9B"/>
    <w:rsid w:val="0012448A"/>
    <w:rsid w:val="0012704D"/>
    <w:rsid w:val="0012791B"/>
    <w:rsid w:val="00131850"/>
    <w:rsid w:val="00131A15"/>
    <w:rsid w:val="00132473"/>
    <w:rsid w:val="00132C2C"/>
    <w:rsid w:val="00132D10"/>
    <w:rsid w:val="00134CEC"/>
    <w:rsid w:val="001350A6"/>
    <w:rsid w:val="00135577"/>
    <w:rsid w:val="00136D87"/>
    <w:rsid w:val="001376F8"/>
    <w:rsid w:val="00137FAC"/>
    <w:rsid w:val="001413A9"/>
    <w:rsid w:val="00143747"/>
    <w:rsid w:val="00147CBF"/>
    <w:rsid w:val="00147D9A"/>
    <w:rsid w:val="00150D62"/>
    <w:rsid w:val="00152C87"/>
    <w:rsid w:val="00156760"/>
    <w:rsid w:val="00157F12"/>
    <w:rsid w:val="00161261"/>
    <w:rsid w:val="0016142A"/>
    <w:rsid w:val="00162670"/>
    <w:rsid w:val="00164E6E"/>
    <w:rsid w:val="001673FC"/>
    <w:rsid w:val="00172A25"/>
    <w:rsid w:val="0017384A"/>
    <w:rsid w:val="00174AEB"/>
    <w:rsid w:val="00175071"/>
    <w:rsid w:val="00180E6B"/>
    <w:rsid w:val="00181D00"/>
    <w:rsid w:val="001824F8"/>
    <w:rsid w:val="001828B2"/>
    <w:rsid w:val="0018329D"/>
    <w:rsid w:val="001838EC"/>
    <w:rsid w:val="00184814"/>
    <w:rsid w:val="00186DF5"/>
    <w:rsid w:val="001904B3"/>
    <w:rsid w:val="00193178"/>
    <w:rsid w:val="00194724"/>
    <w:rsid w:val="00194A0F"/>
    <w:rsid w:val="001A0506"/>
    <w:rsid w:val="001A142F"/>
    <w:rsid w:val="001A290D"/>
    <w:rsid w:val="001A2EC1"/>
    <w:rsid w:val="001A31E1"/>
    <w:rsid w:val="001A3434"/>
    <w:rsid w:val="001A34F0"/>
    <w:rsid w:val="001A351A"/>
    <w:rsid w:val="001A3FE6"/>
    <w:rsid w:val="001A4D52"/>
    <w:rsid w:val="001A6E9C"/>
    <w:rsid w:val="001B1189"/>
    <w:rsid w:val="001B15B5"/>
    <w:rsid w:val="001B32BB"/>
    <w:rsid w:val="001B34BA"/>
    <w:rsid w:val="001B548E"/>
    <w:rsid w:val="001B657F"/>
    <w:rsid w:val="001C15CD"/>
    <w:rsid w:val="001C20B9"/>
    <w:rsid w:val="001C2FDE"/>
    <w:rsid w:val="001C403D"/>
    <w:rsid w:val="001C4BA3"/>
    <w:rsid w:val="001C5FC4"/>
    <w:rsid w:val="001C60B1"/>
    <w:rsid w:val="001C74C8"/>
    <w:rsid w:val="001C77E5"/>
    <w:rsid w:val="001D0913"/>
    <w:rsid w:val="001D17EA"/>
    <w:rsid w:val="001D1F6A"/>
    <w:rsid w:val="001D3147"/>
    <w:rsid w:val="001D4A15"/>
    <w:rsid w:val="001D7C74"/>
    <w:rsid w:val="001E600B"/>
    <w:rsid w:val="001E6E40"/>
    <w:rsid w:val="001E72D6"/>
    <w:rsid w:val="001F04C7"/>
    <w:rsid w:val="001F0A3C"/>
    <w:rsid w:val="001F23A6"/>
    <w:rsid w:val="001F2EBF"/>
    <w:rsid w:val="001F323F"/>
    <w:rsid w:val="001F373F"/>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6884"/>
    <w:rsid w:val="00237289"/>
    <w:rsid w:val="00237D13"/>
    <w:rsid w:val="00241061"/>
    <w:rsid w:val="00244807"/>
    <w:rsid w:val="00246B67"/>
    <w:rsid w:val="00246FEA"/>
    <w:rsid w:val="0025085A"/>
    <w:rsid w:val="00250A27"/>
    <w:rsid w:val="00250F03"/>
    <w:rsid w:val="002512F8"/>
    <w:rsid w:val="0025457B"/>
    <w:rsid w:val="0025458A"/>
    <w:rsid w:val="0025500E"/>
    <w:rsid w:val="002553DA"/>
    <w:rsid w:val="00255BAD"/>
    <w:rsid w:val="00257B3B"/>
    <w:rsid w:val="002637C0"/>
    <w:rsid w:val="002654EE"/>
    <w:rsid w:val="00266356"/>
    <w:rsid w:val="00270E39"/>
    <w:rsid w:val="00272248"/>
    <w:rsid w:val="00273D63"/>
    <w:rsid w:val="002744DD"/>
    <w:rsid w:val="00274E8A"/>
    <w:rsid w:val="002761F4"/>
    <w:rsid w:val="002819CC"/>
    <w:rsid w:val="00283DB6"/>
    <w:rsid w:val="0028791A"/>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946"/>
    <w:rsid w:val="002C2590"/>
    <w:rsid w:val="002C2C3F"/>
    <w:rsid w:val="002C3C59"/>
    <w:rsid w:val="002C50CA"/>
    <w:rsid w:val="002C602F"/>
    <w:rsid w:val="002C7C2B"/>
    <w:rsid w:val="002D465A"/>
    <w:rsid w:val="002D4F98"/>
    <w:rsid w:val="002D50D6"/>
    <w:rsid w:val="002D5DA0"/>
    <w:rsid w:val="002D77A9"/>
    <w:rsid w:val="002E011D"/>
    <w:rsid w:val="002E0B47"/>
    <w:rsid w:val="002E0BB9"/>
    <w:rsid w:val="002E40BB"/>
    <w:rsid w:val="002E6A3D"/>
    <w:rsid w:val="002E742C"/>
    <w:rsid w:val="002F120E"/>
    <w:rsid w:val="002F25B0"/>
    <w:rsid w:val="002F3C73"/>
    <w:rsid w:val="002F4472"/>
    <w:rsid w:val="002F5953"/>
    <w:rsid w:val="002F5EAC"/>
    <w:rsid w:val="002F6EEF"/>
    <w:rsid w:val="002F72C0"/>
    <w:rsid w:val="003014C2"/>
    <w:rsid w:val="003028DB"/>
    <w:rsid w:val="00304F79"/>
    <w:rsid w:val="0030652B"/>
    <w:rsid w:val="00307A0E"/>
    <w:rsid w:val="00312022"/>
    <w:rsid w:val="0031385F"/>
    <w:rsid w:val="0031483B"/>
    <w:rsid w:val="00314876"/>
    <w:rsid w:val="00317B29"/>
    <w:rsid w:val="003202C1"/>
    <w:rsid w:val="00326649"/>
    <w:rsid w:val="003268E2"/>
    <w:rsid w:val="00326D04"/>
    <w:rsid w:val="00326FFD"/>
    <w:rsid w:val="00331B78"/>
    <w:rsid w:val="00332AD8"/>
    <w:rsid w:val="00335F59"/>
    <w:rsid w:val="00341757"/>
    <w:rsid w:val="003418C3"/>
    <w:rsid w:val="003435FA"/>
    <w:rsid w:val="003445A2"/>
    <w:rsid w:val="003478B4"/>
    <w:rsid w:val="00350D8D"/>
    <w:rsid w:val="00351AA0"/>
    <w:rsid w:val="00352F47"/>
    <w:rsid w:val="0035463A"/>
    <w:rsid w:val="00357A2C"/>
    <w:rsid w:val="003608F0"/>
    <w:rsid w:val="003620CD"/>
    <w:rsid w:val="00363F09"/>
    <w:rsid w:val="00364A83"/>
    <w:rsid w:val="00367957"/>
    <w:rsid w:val="003705EF"/>
    <w:rsid w:val="003719EC"/>
    <w:rsid w:val="00376CEF"/>
    <w:rsid w:val="003773F8"/>
    <w:rsid w:val="00381A75"/>
    <w:rsid w:val="00383F46"/>
    <w:rsid w:val="00386F10"/>
    <w:rsid w:val="003900A2"/>
    <w:rsid w:val="003905CA"/>
    <w:rsid w:val="003906FF"/>
    <w:rsid w:val="00393529"/>
    <w:rsid w:val="00394B4A"/>
    <w:rsid w:val="003950EC"/>
    <w:rsid w:val="00397AA4"/>
    <w:rsid w:val="003A0426"/>
    <w:rsid w:val="003A0BA4"/>
    <w:rsid w:val="003A193D"/>
    <w:rsid w:val="003A1A94"/>
    <w:rsid w:val="003A657F"/>
    <w:rsid w:val="003A6F5B"/>
    <w:rsid w:val="003B05AB"/>
    <w:rsid w:val="003B0922"/>
    <w:rsid w:val="003B0E4C"/>
    <w:rsid w:val="003B1A4F"/>
    <w:rsid w:val="003B2B5A"/>
    <w:rsid w:val="003B4005"/>
    <w:rsid w:val="003B465C"/>
    <w:rsid w:val="003B5F90"/>
    <w:rsid w:val="003B6D50"/>
    <w:rsid w:val="003C2496"/>
    <w:rsid w:val="003C691E"/>
    <w:rsid w:val="003D01AF"/>
    <w:rsid w:val="003D13A9"/>
    <w:rsid w:val="003D4908"/>
    <w:rsid w:val="003D5890"/>
    <w:rsid w:val="003D7335"/>
    <w:rsid w:val="003E40B5"/>
    <w:rsid w:val="003E4A67"/>
    <w:rsid w:val="003E4DD8"/>
    <w:rsid w:val="003E6E62"/>
    <w:rsid w:val="003F1F82"/>
    <w:rsid w:val="003F2A27"/>
    <w:rsid w:val="003F43C8"/>
    <w:rsid w:val="003F5CC4"/>
    <w:rsid w:val="003F67DE"/>
    <w:rsid w:val="003F75A6"/>
    <w:rsid w:val="003F786B"/>
    <w:rsid w:val="004020E4"/>
    <w:rsid w:val="00403794"/>
    <w:rsid w:val="0040414A"/>
    <w:rsid w:val="00404DD8"/>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25AF3"/>
    <w:rsid w:val="004310C7"/>
    <w:rsid w:val="004331E9"/>
    <w:rsid w:val="00433991"/>
    <w:rsid w:val="00443FE3"/>
    <w:rsid w:val="00444226"/>
    <w:rsid w:val="00445D8F"/>
    <w:rsid w:val="004475CC"/>
    <w:rsid w:val="00450BED"/>
    <w:rsid w:val="00451063"/>
    <w:rsid w:val="004513C2"/>
    <w:rsid w:val="00451ABA"/>
    <w:rsid w:val="00452EA1"/>
    <w:rsid w:val="00453435"/>
    <w:rsid w:val="00454E29"/>
    <w:rsid w:val="004560F5"/>
    <w:rsid w:val="004569F4"/>
    <w:rsid w:val="00456BC1"/>
    <w:rsid w:val="00463FD8"/>
    <w:rsid w:val="00464CD0"/>
    <w:rsid w:val="00466E6C"/>
    <w:rsid w:val="00467FEB"/>
    <w:rsid w:val="00472637"/>
    <w:rsid w:val="0047336E"/>
    <w:rsid w:val="00474099"/>
    <w:rsid w:val="004751CD"/>
    <w:rsid w:val="00475B54"/>
    <w:rsid w:val="004763AC"/>
    <w:rsid w:val="00476508"/>
    <w:rsid w:val="004800CF"/>
    <w:rsid w:val="004804CE"/>
    <w:rsid w:val="00480A79"/>
    <w:rsid w:val="004816F6"/>
    <w:rsid w:val="00481F9B"/>
    <w:rsid w:val="004821A5"/>
    <w:rsid w:val="00482B4C"/>
    <w:rsid w:val="00482F3D"/>
    <w:rsid w:val="0048376B"/>
    <w:rsid w:val="00483CEA"/>
    <w:rsid w:val="00486A8A"/>
    <w:rsid w:val="004925F7"/>
    <w:rsid w:val="004940B7"/>
    <w:rsid w:val="0049673D"/>
    <w:rsid w:val="00496E04"/>
    <w:rsid w:val="004A1976"/>
    <w:rsid w:val="004A1F56"/>
    <w:rsid w:val="004A2074"/>
    <w:rsid w:val="004A2665"/>
    <w:rsid w:val="004A56AF"/>
    <w:rsid w:val="004A5933"/>
    <w:rsid w:val="004A6A93"/>
    <w:rsid w:val="004A6E2E"/>
    <w:rsid w:val="004B0033"/>
    <w:rsid w:val="004B0198"/>
    <w:rsid w:val="004B3DE6"/>
    <w:rsid w:val="004B550F"/>
    <w:rsid w:val="004B617C"/>
    <w:rsid w:val="004B7C13"/>
    <w:rsid w:val="004C164B"/>
    <w:rsid w:val="004C3E95"/>
    <w:rsid w:val="004C673C"/>
    <w:rsid w:val="004C6E14"/>
    <w:rsid w:val="004C7662"/>
    <w:rsid w:val="004D202D"/>
    <w:rsid w:val="004D3922"/>
    <w:rsid w:val="004D40E3"/>
    <w:rsid w:val="004D5BFB"/>
    <w:rsid w:val="004D6A71"/>
    <w:rsid w:val="004D76FC"/>
    <w:rsid w:val="004E0F6A"/>
    <w:rsid w:val="004E12FF"/>
    <w:rsid w:val="004E4B60"/>
    <w:rsid w:val="004E607D"/>
    <w:rsid w:val="004F14C5"/>
    <w:rsid w:val="004F3806"/>
    <w:rsid w:val="004F3D0D"/>
    <w:rsid w:val="004F788C"/>
    <w:rsid w:val="00503618"/>
    <w:rsid w:val="00504DBF"/>
    <w:rsid w:val="00506F79"/>
    <w:rsid w:val="005134ED"/>
    <w:rsid w:val="00514C25"/>
    <w:rsid w:val="005161C9"/>
    <w:rsid w:val="00516733"/>
    <w:rsid w:val="0052372C"/>
    <w:rsid w:val="00524879"/>
    <w:rsid w:val="0052503E"/>
    <w:rsid w:val="00526BBC"/>
    <w:rsid w:val="005303DD"/>
    <w:rsid w:val="005306CD"/>
    <w:rsid w:val="00530EBE"/>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535F"/>
    <w:rsid w:val="005562DC"/>
    <w:rsid w:val="005575F5"/>
    <w:rsid w:val="00557E2F"/>
    <w:rsid w:val="00560101"/>
    <w:rsid w:val="005637B7"/>
    <w:rsid w:val="00564A7F"/>
    <w:rsid w:val="00565777"/>
    <w:rsid w:val="00570755"/>
    <w:rsid w:val="005714B2"/>
    <w:rsid w:val="00572892"/>
    <w:rsid w:val="00573C60"/>
    <w:rsid w:val="0057494E"/>
    <w:rsid w:val="005764B1"/>
    <w:rsid w:val="00577C2C"/>
    <w:rsid w:val="00581213"/>
    <w:rsid w:val="00581302"/>
    <w:rsid w:val="00585B7B"/>
    <w:rsid w:val="00587C74"/>
    <w:rsid w:val="00590DD0"/>
    <w:rsid w:val="00591268"/>
    <w:rsid w:val="0059354C"/>
    <w:rsid w:val="00593973"/>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B2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B61"/>
    <w:rsid w:val="005D6B8A"/>
    <w:rsid w:val="005E40D9"/>
    <w:rsid w:val="005E4159"/>
    <w:rsid w:val="005E4DF4"/>
    <w:rsid w:val="005F22A7"/>
    <w:rsid w:val="005F3AA1"/>
    <w:rsid w:val="005F6A42"/>
    <w:rsid w:val="00600E72"/>
    <w:rsid w:val="0060231D"/>
    <w:rsid w:val="00604944"/>
    <w:rsid w:val="00605A33"/>
    <w:rsid w:val="00606918"/>
    <w:rsid w:val="006107D6"/>
    <w:rsid w:val="0061090E"/>
    <w:rsid w:val="00615FD8"/>
    <w:rsid w:val="00616477"/>
    <w:rsid w:val="00617D7A"/>
    <w:rsid w:val="00620CAE"/>
    <w:rsid w:val="006213D4"/>
    <w:rsid w:val="0062334B"/>
    <w:rsid w:val="006234D3"/>
    <w:rsid w:val="00624591"/>
    <w:rsid w:val="00625948"/>
    <w:rsid w:val="00625AC4"/>
    <w:rsid w:val="00626634"/>
    <w:rsid w:val="006316C2"/>
    <w:rsid w:val="00631D5F"/>
    <w:rsid w:val="00632290"/>
    <w:rsid w:val="006324A3"/>
    <w:rsid w:val="00633098"/>
    <w:rsid w:val="006337E8"/>
    <w:rsid w:val="0063777A"/>
    <w:rsid w:val="00640C60"/>
    <w:rsid w:val="00642ABF"/>
    <w:rsid w:val="00643E6C"/>
    <w:rsid w:val="00645536"/>
    <w:rsid w:val="0064591A"/>
    <w:rsid w:val="00653952"/>
    <w:rsid w:val="00653B95"/>
    <w:rsid w:val="00654274"/>
    <w:rsid w:val="0065692E"/>
    <w:rsid w:val="00662C4D"/>
    <w:rsid w:val="00663E0C"/>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3071"/>
    <w:rsid w:val="00693E2C"/>
    <w:rsid w:val="00694526"/>
    <w:rsid w:val="00694574"/>
    <w:rsid w:val="00696EF6"/>
    <w:rsid w:val="00697E73"/>
    <w:rsid w:val="006A20B2"/>
    <w:rsid w:val="006A26FB"/>
    <w:rsid w:val="006A3F8B"/>
    <w:rsid w:val="006A5B29"/>
    <w:rsid w:val="006A792B"/>
    <w:rsid w:val="006A7A10"/>
    <w:rsid w:val="006A7BBB"/>
    <w:rsid w:val="006B0031"/>
    <w:rsid w:val="006B01F8"/>
    <w:rsid w:val="006B1546"/>
    <w:rsid w:val="006B2095"/>
    <w:rsid w:val="006B232C"/>
    <w:rsid w:val="006B25C7"/>
    <w:rsid w:val="006B5FDC"/>
    <w:rsid w:val="006B76EE"/>
    <w:rsid w:val="006C1D18"/>
    <w:rsid w:val="006D03B1"/>
    <w:rsid w:val="006D531B"/>
    <w:rsid w:val="006D5A81"/>
    <w:rsid w:val="006D6BB4"/>
    <w:rsid w:val="006D759A"/>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23D"/>
    <w:rsid w:val="00774453"/>
    <w:rsid w:val="00775647"/>
    <w:rsid w:val="00776830"/>
    <w:rsid w:val="00776B8D"/>
    <w:rsid w:val="00776EE1"/>
    <w:rsid w:val="00780EDA"/>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8A0"/>
    <w:rsid w:val="007A70F7"/>
    <w:rsid w:val="007A7D3A"/>
    <w:rsid w:val="007A7E67"/>
    <w:rsid w:val="007B1544"/>
    <w:rsid w:val="007B1F8F"/>
    <w:rsid w:val="007B25D4"/>
    <w:rsid w:val="007B3D22"/>
    <w:rsid w:val="007B47C2"/>
    <w:rsid w:val="007C05FF"/>
    <w:rsid w:val="007C0F2C"/>
    <w:rsid w:val="007C221B"/>
    <w:rsid w:val="007C231C"/>
    <w:rsid w:val="007C34AD"/>
    <w:rsid w:val="007C4848"/>
    <w:rsid w:val="007C49C6"/>
    <w:rsid w:val="007C4D1B"/>
    <w:rsid w:val="007C5877"/>
    <w:rsid w:val="007C590D"/>
    <w:rsid w:val="007C5E55"/>
    <w:rsid w:val="007C6451"/>
    <w:rsid w:val="007C6AEC"/>
    <w:rsid w:val="007E2464"/>
    <w:rsid w:val="007E36FC"/>
    <w:rsid w:val="007E6314"/>
    <w:rsid w:val="007E7F9D"/>
    <w:rsid w:val="007F0A35"/>
    <w:rsid w:val="007F1F1C"/>
    <w:rsid w:val="007F3473"/>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43FF"/>
    <w:rsid w:val="00830DCA"/>
    <w:rsid w:val="00831A72"/>
    <w:rsid w:val="00832B1D"/>
    <w:rsid w:val="00833325"/>
    <w:rsid w:val="00833D7A"/>
    <w:rsid w:val="00834B1C"/>
    <w:rsid w:val="0083519C"/>
    <w:rsid w:val="008367F4"/>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80012"/>
    <w:rsid w:val="00882419"/>
    <w:rsid w:val="0088273C"/>
    <w:rsid w:val="00884A65"/>
    <w:rsid w:val="00887353"/>
    <w:rsid w:val="0089266F"/>
    <w:rsid w:val="00892CEB"/>
    <w:rsid w:val="00892DC2"/>
    <w:rsid w:val="0089323C"/>
    <w:rsid w:val="00893CD2"/>
    <w:rsid w:val="008A17E9"/>
    <w:rsid w:val="008A60A4"/>
    <w:rsid w:val="008B2279"/>
    <w:rsid w:val="008B27BF"/>
    <w:rsid w:val="008B50AE"/>
    <w:rsid w:val="008B53EA"/>
    <w:rsid w:val="008B55F4"/>
    <w:rsid w:val="008C06F7"/>
    <w:rsid w:val="008C28CD"/>
    <w:rsid w:val="008C63E6"/>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403C"/>
    <w:rsid w:val="008E4101"/>
    <w:rsid w:val="008E4715"/>
    <w:rsid w:val="008F0F03"/>
    <w:rsid w:val="008F11A3"/>
    <w:rsid w:val="008F1895"/>
    <w:rsid w:val="008F240C"/>
    <w:rsid w:val="008F245F"/>
    <w:rsid w:val="008F5CF2"/>
    <w:rsid w:val="008F62DB"/>
    <w:rsid w:val="008F643F"/>
    <w:rsid w:val="00901B63"/>
    <w:rsid w:val="00902EBE"/>
    <w:rsid w:val="00903206"/>
    <w:rsid w:val="009063BF"/>
    <w:rsid w:val="00907E6F"/>
    <w:rsid w:val="00910FB5"/>
    <w:rsid w:val="0091172F"/>
    <w:rsid w:val="009122A7"/>
    <w:rsid w:val="00913388"/>
    <w:rsid w:val="009146B5"/>
    <w:rsid w:val="00916055"/>
    <w:rsid w:val="0091656C"/>
    <w:rsid w:val="009179FA"/>
    <w:rsid w:val="0092093A"/>
    <w:rsid w:val="00920AFE"/>
    <w:rsid w:val="009212E2"/>
    <w:rsid w:val="00921F54"/>
    <w:rsid w:val="00923486"/>
    <w:rsid w:val="009254BE"/>
    <w:rsid w:val="00930905"/>
    <w:rsid w:val="009321E2"/>
    <w:rsid w:val="009343C2"/>
    <w:rsid w:val="00935F6C"/>
    <w:rsid w:val="009369B1"/>
    <w:rsid w:val="009414A1"/>
    <w:rsid w:val="00942D3A"/>
    <w:rsid w:val="00943700"/>
    <w:rsid w:val="00943C3C"/>
    <w:rsid w:val="00944333"/>
    <w:rsid w:val="00944E24"/>
    <w:rsid w:val="009471BB"/>
    <w:rsid w:val="00947832"/>
    <w:rsid w:val="00951967"/>
    <w:rsid w:val="0095432B"/>
    <w:rsid w:val="0095616A"/>
    <w:rsid w:val="00956847"/>
    <w:rsid w:val="00957BFE"/>
    <w:rsid w:val="00961924"/>
    <w:rsid w:val="0096294C"/>
    <w:rsid w:val="009629C7"/>
    <w:rsid w:val="00962C97"/>
    <w:rsid w:val="009631D8"/>
    <w:rsid w:val="00964D71"/>
    <w:rsid w:val="009667F8"/>
    <w:rsid w:val="00967D62"/>
    <w:rsid w:val="00970D16"/>
    <w:rsid w:val="0097449F"/>
    <w:rsid w:val="00976CDB"/>
    <w:rsid w:val="009848C9"/>
    <w:rsid w:val="009849CF"/>
    <w:rsid w:val="009879C2"/>
    <w:rsid w:val="00987CF4"/>
    <w:rsid w:val="00991790"/>
    <w:rsid w:val="00992EB2"/>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5244"/>
    <w:rsid w:val="009F5B27"/>
    <w:rsid w:val="009F641D"/>
    <w:rsid w:val="009F65C9"/>
    <w:rsid w:val="009F6AC7"/>
    <w:rsid w:val="00A07D34"/>
    <w:rsid w:val="00A10BB0"/>
    <w:rsid w:val="00A13034"/>
    <w:rsid w:val="00A1339D"/>
    <w:rsid w:val="00A13445"/>
    <w:rsid w:val="00A13CB9"/>
    <w:rsid w:val="00A15252"/>
    <w:rsid w:val="00A15BFD"/>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1AA2"/>
    <w:rsid w:val="00A43A10"/>
    <w:rsid w:val="00A43A41"/>
    <w:rsid w:val="00A444EC"/>
    <w:rsid w:val="00A45BBB"/>
    <w:rsid w:val="00A45F8D"/>
    <w:rsid w:val="00A46C40"/>
    <w:rsid w:val="00A51F07"/>
    <w:rsid w:val="00A524B8"/>
    <w:rsid w:val="00A562C5"/>
    <w:rsid w:val="00A5709C"/>
    <w:rsid w:val="00A57753"/>
    <w:rsid w:val="00A62569"/>
    <w:rsid w:val="00A631A3"/>
    <w:rsid w:val="00A64217"/>
    <w:rsid w:val="00A6630D"/>
    <w:rsid w:val="00A7205F"/>
    <w:rsid w:val="00A720FA"/>
    <w:rsid w:val="00A7341A"/>
    <w:rsid w:val="00A739AB"/>
    <w:rsid w:val="00A75FB6"/>
    <w:rsid w:val="00A81A75"/>
    <w:rsid w:val="00A820BD"/>
    <w:rsid w:val="00A8540A"/>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24B"/>
    <w:rsid w:val="00AD02C1"/>
    <w:rsid w:val="00AD1E01"/>
    <w:rsid w:val="00AD32CE"/>
    <w:rsid w:val="00AD4674"/>
    <w:rsid w:val="00AD4F07"/>
    <w:rsid w:val="00AD584F"/>
    <w:rsid w:val="00AE3049"/>
    <w:rsid w:val="00AE38F5"/>
    <w:rsid w:val="00AE4B54"/>
    <w:rsid w:val="00AE5179"/>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425E"/>
    <w:rsid w:val="00B244D4"/>
    <w:rsid w:val="00B25F1D"/>
    <w:rsid w:val="00B2782A"/>
    <w:rsid w:val="00B324F4"/>
    <w:rsid w:val="00B336D8"/>
    <w:rsid w:val="00B34BFA"/>
    <w:rsid w:val="00B356A4"/>
    <w:rsid w:val="00B411EC"/>
    <w:rsid w:val="00B41C0A"/>
    <w:rsid w:val="00B429CA"/>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4628"/>
    <w:rsid w:val="00B750F8"/>
    <w:rsid w:val="00B760A2"/>
    <w:rsid w:val="00B77651"/>
    <w:rsid w:val="00B80C47"/>
    <w:rsid w:val="00B81322"/>
    <w:rsid w:val="00B857B3"/>
    <w:rsid w:val="00B862CD"/>
    <w:rsid w:val="00B86487"/>
    <w:rsid w:val="00B87192"/>
    <w:rsid w:val="00B92E1A"/>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D54"/>
    <w:rsid w:val="00BE70E1"/>
    <w:rsid w:val="00BF0939"/>
    <w:rsid w:val="00BF0C10"/>
    <w:rsid w:val="00BF1719"/>
    <w:rsid w:val="00BF29D7"/>
    <w:rsid w:val="00BF4049"/>
    <w:rsid w:val="00BF482E"/>
    <w:rsid w:val="00BF48DB"/>
    <w:rsid w:val="00BF4B8B"/>
    <w:rsid w:val="00BF5486"/>
    <w:rsid w:val="00BF6FE8"/>
    <w:rsid w:val="00BF7C57"/>
    <w:rsid w:val="00C01EB4"/>
    <w:rsid w:val="00C03731"/>
    <w:rsid w:val="00C03839"/>
    <w:rsid w:val="00C048B3"/>
    <w:rsid w:val="00C06955"/>
    <w:rsid w:val="00C11016"/>
    <w:rsid w:val="00C13B05"/>
    <w:rsid w:val="00C1447B"/>
    <w:rsid w:val="00C17CB6"/>
    <w:rsid w:val="00C221FB"/>
    <w:rsid w:val="00C23CCC"/>
    <w:rsid w:val="00C24859"/>
    <w:rsid w:val="00C25CDA"/>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1DC"/>
    <w:rsid w:val="00C57261"/>
    <w:rsid w:val="00C57732"/>
    <w:rsid w:val="00C60214"/>
    <w:rsid w:val="00C602CC"/>
    <w:rsid w:val="00C62163"/>
    <w:rsid w:val="00C63403"/>
    <w:rsid w:val="00C6402C"/>
    <w:rsid w:val="00C64EA4"/>
    <w:rsid w:val="00C65610"/>
    <w:rsid w:val="00C7220E"/>
    <w:rsid w:val="00C758FD"/>
    <w:rsid w:val="00C762E2"/>
    <w:rsid w:val="00C77DF4"/>
    <w:rsid w:val="00C8314D"/>
    <w:rsid w:val="00C84C2B"/>
    <w:rsid w:val="00C85CD7"/>
    <w:rsid w:val="00C85EE2"/>
    <w:rsid w:val="00C879A4"/>
    <w:rsid w:val="00C87AEC"/>
    <w:rsid w:val="00C92FD7"/>
    <w:rsid w:val="00C93F04"/>
    <w:rsid w:val="00C94CAC"/>
    <w:rsid w:val="00C9657E"/>
    <w:rsid w:val="00C9721C"/>
    <w:rsid w:val="00C979E0"/>
    <w:rsid w:val="00CA2964"/>
    <w:rsid w:val="00CA2CEA"/>
    <w:rsid w:val="00CA4151"/>
    <w:rsid w:val="00CA41C9"/>
    <w:rsid w:val="00CA636D"/>
    <w:rsid w:val="00CA6985"/>
    <w:rsid w:val="00CA7F67"/>
    <w:rsid w:val="00CB15EC"/>
    <w:rsid w:val="00CB483C"/>
    <w:rsid w:val="00CB5545"/>
    <w:rsid w:val="00CB5F57"/>
    <w:rsid w:val="00CB6605"/>
    <w:rsid w:val="00CB7A72"/>
    <w:rsid w:val="00CC0D14"/>
    <w:rsid w:val="00CC3E80"/>
    <w:rsid w:val="00CC49D6"/>
    <w:rsid w:val="00CC5FD9"/>
    <w:rsid w:val="00CC7F63"/>
    <w:rsid w:val="00CD39F8"/>
    <w:rsid w:val="00CD5672"/>
    <w:rsid w:val="00CD7C93"/>
    <w:rsid w:val="00CE0B01"/>
    <w:rsid w:val="00CE133F"/>
    <w:rsid w:val="00CE1EC6"/>
    <w:rsid w:val="00CE2B81"/>
    <w:rsid w:val="00CE7BB7"/>
    <w:rsid w:val="00CF04D1"/>
    <w:rsid w:val="00CF16AE"/>
    <w:rsid w:val="00CF4589"/>
    <w:rsid w:val="00CF465D"/>
    <w:rsid w:val="00CF60BA"/>
    <w:rsid w:val="00CF6E4E"/>
    <w:rsid w:val="00CF7601"/>
    <w:rsid w:val="00CF783F"/>
    <w:rsid w:val="00CF7C34"/>
    <w:rsid w:val="00D013B9"/>
    <w:rsid w:val="00D03946"/>
    <w:rsid w:val="00D03E58"/>
    <w:rsid w:val="00D048D2"/>
    <w:rsid w:val="00D0513F"/>
    <w:rsid w:val="00D06790"/>
    <w:rsid w:val="00D10407"/>
    <w:rsid w:val="00D13904"/>
    <w:rsid w:val="00D142B6"/>
    <w:rsid w:val="00D152FB"/>
    <w:rsid w:val="00D20F65"/>
    <w:rsid w:val="00D215ED"/>
    <w:rsid w:val="00D24CBA"/>
    <w:rsid w:val="00D26C8A"/>
    <w:rsid w:val="00D30434"/>
    <w:rsid w:val="00D312C9"/>
    <w:rsid w:val="00D31A61"/>
    <w:rsid w:val="00D323CD"/>
    <w:rsid w:val="00D32A64"/>
    <w:rsid w:val="00D33C6F"/>
    <w:rsid w:val="00D3445B"/>
    <w:rsid w:val="00D34CD2"/>
    <w:rsid w:val="00D35AF6"/>
    <w:rsid w:val="00D361DC"/>
    <w:rsid w:val="00D364D3"/>
    <w:rsid w:val="00D4125D"/>
    <w:rsid w:val="00D43C39"/>
    <w:rsid w:val="00D506B1"/>
    <w:rsid w:val="00D50C0B"/>
    <w:rsid w:val="00D51380"/>
    <w:rsid w:val="00D51DE2"/>
    <w:rsid w:val="00D551F2"/>
    <w:rsid w:val="00D61A7B"/>
    <w:rsid w:val="00D64091"/>
    <w:rsid w:val="00D714BA"/>
    <w:rsid w:val="00D7328F"/>
    <w:rsid w:val="00D7505B"/>
    <w:rsid w:val="00D75260"/>
    <w:rsid w:val="00D75B70"/>
    <w:rsid w:val="00D804C5"/>
    <w:rsid w:val="00D820D1"/>
    <w:rsid w:val="00D82401"/>
    <w:rsid w:val="00D82AE2"/>
    <w:rsid w:val="00D84EAF"/>
    <w:rsid w:val="00D850A4"/>
    <w:rsid w:val="00D856AD"/>
    <w:rsid w:val="00D85715"/>
    <w:rsid w:val="00D90152"/>
    <w:rsid w:val="00D927E5"/>
    <w:rsid w:val="00D934BA"/>
    <w:rsid w:val="00D93950"/>
    <w:rsid w:val="00D96230"/>
    <w:rsid w:val="00D96853"/>
    <w:rsid w:val="00D96FCD"/>
    <w:rsid w:val="00D978F5"/>
    <w:rsid w:val="00D978FE"/>
    <w:rsid w:val="00DA20D6"/>
    <w:rsid w:val="00DA2B2B"/>
    <w:rsid w:val="00DA30DA"/>
    <w:rsid w:val="00DA77B4"/>
    <w:rsid w:val="00DA7BE4"/>
    <w:rsid w:val="00DB16B2"/>
    <w:rsid w:val="00DB2BB1"/>
    <w:rsid w:val="00DB6BB3"/>
    <w:rsid w:val="00DB7AA7"/>
    <w:rsid w:val="00DC03E0"/>
    <w:rsid w:val="00DC11F3"/>
    <w:rsid w:val="00DC332F"/>
    <w:rsid w:val="00DC4338"/>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44D5"/>
    <w:rsid w:val="00DF4AB3"/>
    <w:rsid w:val="00DF5003"/>
    <w:rsid w:val="00DF5249"/>
    <w:rsid w:val="00DF5932"/>
    <w:rsid w:val="00E0777F"/>
    <w:rsid w:val="00E10EA9"/>
    <w:rsid w:val="00E110EE"/>
    <w:rsid w:val="00E1136E"/>
    <w:rsid w:val="00E1182B"/>
    <w:rsid w:val="00E167E0"/>
    <w:rsid w:val="00E16A35"/>
    <w:rsid w:val="00E16D38"/>
    <w:rsid w:val="00E216EA"/>
    <w:rsid w:val="00E21B4B"/>
    <w:rsid w:val="00E25793"/>
    <w:rsid w:val="00E27C4D"/>
    <w:rsid w:val="00E27F1F"/>
    <w:rsid w:val="00E30761"/>
    <w:rsid w:val="00E316B0"/>
    <w:rsid w:val="00E321B4"/>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0058"/>
    <w:rsid w:val="00E71979"/>
    <w:rsid w:val="00E72113"/>
    <w:rsid w:val="00E724B9"/>
    <w:rsid w:val="00E73AE3"/>
    <w:rsid w:val="00E754E7"/>
    <w:rsid w:val="00E75C2F"/>
    <w:rsid w:val="00E80F7A"/>
    <w:rsid w:val="00E81CA7"/>
    <w:rsid w:val="00E82C4E"/>
    <w:rsid w:val="00E83297"/>
    <w:rsid w:val="00E83967"/>
    <w:rsid w:val="00E84253"/>
    <w:rsid w:val="00E86C41"/>
    <w:rsid w:val="00E87358"/>
    <w:rsid w:val="00E87BDA"/>
    <w:rsid w:val="00E91DF4"/>
    <w:rsid w:val="00E938DF"/>
    <w:rsid w:val="00E949E7"/>
    <w:rsid w:val="00E96C77"/>
    <w:rsid w:val="00E973B3"/>
    <w:rsid w:val="00EA1844"/>
    <w:rsid w:val="00EA246E"/>
    <w:rsid w:val="00EA2658"/>
    <w:rsid w:val="00EA4AC5"/>
    <w:rsid w:val="00EA5091"/>
    <w:rsid w:val="00EA709C"/>
    <w:rsid w:val="00EB0611"/>
    <w:rsid w:val="00EB0F52"/>
    <w:rsid w:val="00EB16CB"/>
    <w:rsid w:val="00EB1899"/>
    <w:rsid w:val="00EB3208"/>
    <w:rsid w:val="00EB7D72"/>
    <w:rsid w:val="00EC0598"/>
    <w:rsid w:val="00EC0869"/>
    <w:rsid w:val="00EC44B4"/>
    <w:rsid w:val="00EC680D"/>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4AFB"/>
    <w:rsid w:val="00F26D46"/>
    <w:rsid w:val="00F30399"/>
    <w:rsid w:val="00F326C8"/>
    <w:rsid w:val="00F328BF"/>
    <w:rsid w:val="00F350CF"/>
    <w:rsid w:val="00F350F6"/>
    <w:rsid w:val="00F42718"/>
    <w:rsid w:val="00F4276E"/>
    <w:rsid w:val="00F432AB"/>
    <w:rsid w:val="00F43A06"/>
    <w:rsid w:val="00F44355"/>
    <w:rsid w:val="00F4465A"/>
    <w:rsid w:val="00F458C8"/>
    <w:rsid w:val="00F45C61"/>
    <w:rsid w:val="00F463E3"/>
    <w:rsid w:val="00F47AD8"/>
    <w:rsid w:val="00F52A24"/>
    <w:rsid w:val="00F535A5"/>
    <w:rsid w:val="00F5649E"/>
    <w:rsid w:val="00F57B67"/>
    <w:rsid w:val="00F57EEA"/>
    <w:rsid w:val="00F6047E"/>
    <w:rsid w:val="00F628B6"/>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C8C"/>
    <w:rsid w:val="00FA2563"/>
    <w:rsid w:val="00FA3C12"/>
    <w:rsid w:val="00FA3EA3"/>
    <w:rsid w:val="00FA4D9F"/>
    <w:rsid w:val="00FA5D27"/>
    <w:rsid w:val="00FA6CFA"/>
    <w:rsid w:val="00FB0A94"/>
    <w:rsid w:val="00FB1C5D"/>
    <w:rsid w:val="00FB4613"/>
    <w:rsid w:val="00FB4C81"/>
    <w:rsid w:val="00FB6841"/>
    <w:rsid w:val="00FC1724"/>
    <w:rsid w:val="00FC6855"/>
    <w:rsid w:val="00FC73D9"/>
    <w:rsid w:val="00FC7A5E"/>
    <w:rsid w:val="00FD1F87"/>
    <w:rsid w:val="00FD35D0"/>
    <w:rsid w:val="00FD681B"/>
    <w:rsid w:val="00FD7331"/>
    <w:rsid w:val="00FE0E03"/>
    <w:rsid w:val="00FE337A"/>
    <w:rsid w:val="00FE3414"/>
    <w:rsid w:val="00FE3673"/>
    <w:rsid w:val="00FF049C"/>
    <w:rsid w:val="00FF10E7"/>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2B2E-6DE6-4CDD-8511-D4FE436F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8153</Words>
  <Characters>4648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Siguldas sporta kompleksa projekta, Vidzemes Olimpiskā centra attīstības projekta un Liepājas Olimpiskā centra vieglatlētikas manēžas būvniecības projekta īstenošanai 2014.gadā paredzēto valsts budžeta līdzekļu pār</vt:lpstr>
    </vt:vector>
  </TitlesOfParts>
  <Company>Izglītības un zinātnes ministrija, Sporta departaments</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Siguldas sporta kompleksa projekta, Vidzemes Olimpiskā centra attīstības projekta un Liepājas Olimpiskā centra vieglatlētikas manēžas būvniecības projekta īstenošanai 2014.gadā paredzēto valsts budžeta līdzekļu pārdali"</dc:title>
  <dc:subject>Sākotnējās ietekmes novērtējuma ziņojums (anotācija)</dc:subject>
  <dc:creator>Edgars Severs</dc:creator>
  <cp:keywords/>
  <dc:description>Izglītības un zinātnes ministrijas valsts sekretāra vietnieks – _x000d_
Sporta departamenta direktors E.Severs_x000d_
67047935, edgars.severs@izm.gov.lv</dc:description>
  <cp:lastModifiedBy>Edgars Severs</cp:lastModifiedBy>
  <cp:revision>93</cp:revision>
  <cp:lastPrinted>2012-05-15T10:00:00Z</cp:lastPrinted>
  <dcterms:created xsi:type="dcterms:W3CDTF">2014-07-27T22:10:00Z</dcterms:created>
  <dcterms:modified xsi:type="dcterms:W3CDTF">2014-10-16T09:55:00Z</dcterms:modified>
</cp:coreProperties>
</file>