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DA09DA" w:rsidRDefault="00A33B4B" w:rsidP="00377C40">
      <w:pPr>
        <w:ind w:firstLine="720"/>
        <w:jc w:val="center"/>
        <w:rPr>
          <w:rFonts w:ascii="Times New Roman" w:eastAsia="Times New Roman" w:hAnsi="Times New Roman" w:cs="Times New Roman"/>
          <w:b/>
          <w:bCs/>
          <w:sz w:val="26"/>
          <w:szCs w:val="26"/>
          <w:lang w:eastAsia="lv-LV"/>
        </w:rPr>
      </w:pPr>
      <w:bookmarkStart w:id="0" w:name="OLE_LINK8"/>
      <w:bookmarkStart w:id="1" w:name="OLE_LINK9"/>
      <w:r w:rsidRPr="00DA09DA">
        <w:rPr>
          <w:rFonts w:ascii="Times New Roman" w:eastAsia="Times New Roman" w:hAnsi="Times New Roman" w:cs="Times New Roman"/>
          <w:b/>
          <w:bCs/>
          <w:sz w:val="26"/>
          <w:szCs w:val="26"/>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377C40" w:rsidRPr="00DA09DA">
        <w:rPr>
          <w:rFonts w:ascii="Times New Roman" w:eastAsia="Times New Roman" w:hAnsi="Times New Roman" w:cs="Times New Roman"/>
          <w:b/>
          <w:bCs/>
          <w:sz w:val="26"/>
          <w:szCs w:val="26"/>
          <w:lang w:eastAsia="lv-LV"/>
        </w:rPr>
        <w:t xml:space="preserve">"Grozījumi </w:t>
      </w:r>
      <w:bookmarkEnd w:id="2"/>
      <w:bookmarkEnd w:id="3"/>
      <w:bookmarkEnd w:id="4"/>
      <w:r w:rsidR="00377C40" w:rsidRPr="00DA09DA">
        <w:rPr>
          <w:rFonts w:ascii="Times New Roman" w:eastAsia="Times New Roman" w:hAnsi="Times New Roman" w:cs="Times New Roman"/>
          <w:b/>
          <w:bCs/>
          <w:sz w:val="26"/>
          <w:szCs w:val="26"/>
          <w:lang w:eastAsia="lv-LV"/>
        </w:rPr>
        <w:t>Ministru kabineta 2010.gada 19.oktobra noteikumos Nr.987 "Noteikumi par darbības programmas "Uzņēmējdarbība un inovācijas" papildinājuma 2.1.1.3.1.apakšaktivitātes "Zinātnes infrastruktūras attīstība" pirmo projektu iesniegumu atlases kārtu"</w:t>
      </w:r>
      <w:r w:rsidR="00C65EDD" w:rsidRPr="00DA09DA">
        <w:rPr>
          <w:rFonts w:ascii="Times New Roman" w:eastAsia="Times New Roman" w:hAnsi="Times New Roman" w:cs="Times New Roman"/>
          <w:sz w:val="26"/>
          <w:szCs w:val="26"/>
          <w:lang w:eastAsia="lv-LV"/>
        </w:rPr>
        <w:t>"</w:t>
      </w:r>
      <w:r w:rsidR="0091269C" w:rsidRPr="00DA09DA">
        <w:rPr>
          <w:rFonts w:ascii="Times New Roman" w:hAnsi="Times New Roman" w:cs="Times New Roman"/>
          <w:b/>
          <w:sz w:val="26"/>
          <w:szCs w:val="26"/>
        </w:rPr>
        <w:t xml:space="preserve"> </w:t>
      </w:r>
      <w:bookmarkEnd w:id="5"/>
      <w:bookmarkEnd w:id="6"/>
      <w:bookmarkEnd w:id="7"/>
      <w:bookmarkEnd w:id="8"/>
      <w:r w:rsidRPr="00DA09DA">
        <w:rPr>
          <w:rFonts w:ascii="Times New Roman" w:eastAsia="Times New Roman" w:hAnsi="Times New Roman" w:cs="Times New Roman"/>
          <w:b/>
          <w:bCs/>
          <w:sz w:val="26"/>
          <w:szCs w:val="26"/>
          <w:lang w:eastAsia="lv-LV"/>
        </w:rPr>
        <w:t xml:space="preserve">projekta </w:t>
      </w:r>
      <w:r w:rsidR="004D15A9" w:rsidRPr="00DA09DA">
        <w:rPr>
          <w:rFonts w:ascii="Times New Roman" w:eastAsia="Times New Roman" w:hAnsi="Times New Roman" w:cs="Times New Roman"/>
          <w:b/>
          <w:bCs/>
          <w:sz w:val="26"/>
          <w:szCs w:val="26"/>
          <w:lang w:eastAsia="lv-LV"/>
        </w:rPr>
        <w:t>sākotnējās ietekmes novērtējuma ziņojums (anotācija)</w:t>
      </w:r>
    </w:p>
    <w:bookmarkEnd w:id="0"/>
    <w:bookmarkEnd w:id="1"/>
    <w:p w:rsidR="00DA596D" w:rsidRPr="00DA09DA" w:rsidRDefault="00DA596D"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42"/>
        <w:gridCol w:w="2834"/>
        <w:gridCol w:w="5841"/>
      </w:tblGrid>
      <w:tr w:rsidR="00533730" w:rsidRPr="00DA09DA" w:rsidTr="009F0632">
        <w:trPr>
          <w:trHeight w:val="405"/>
        </w:trPr>
        <w:tc>
          <w:tcPr>
            <w:tcW w:w="9131" w:type="dxa"/>
            <w:gridSpan w:val="4"/>
            <w:tcBorders>
              <w:top w:val="outset" w:sz="6" w:space="0" w:color="414142"/>
              <w:left w:val="outset" w:sz="6" w:space="0" w:color="414142"/>
              <w:bottom w:val="outset" w:sz="6" w:space="0" w:color="414142"/>
              <w:right w:val="outset" w:sz="6" w:space="0" w:color="414142"/>
            </w:tcBorders>
            <w:vAlign w:val="center"/>
            <w:hideMark/>
          </w:tcPr>
          <w:p w:rsidR="004D15A9" w:rsidRPr="00DA09D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DA09DA">
              <w:rPr>
                <w:rFonts w:ascii="Times New Roman" w:eastAsia="Times New Roman" w:hAnsi="Times New Roman" w:cs="Times New Roman"/>
                <w:b/>
                <w:bCs/>
                <w:sz w:val="26"/>
                <w:szCs w:val="26"/>
                <w:lang w:eastAsia="lv-LV"/>
              </w:rPr>
              <w:t>I. Tiesību akta projekta izstrādes nepieciešamība</w:t>
            </w:r>
          </w:p>
        </w:tc>
      </w:tr>
      <w:tr w:rsidR="00533730" w:rsidRPr="00DA09DA" w:rsidTr="00574A62">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DA09DA" w:rsidRDefault="00261D29" w:rsidP="00E51C7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Ministru kabineta noteikumu </w:t>
            </w:r>
            <w:r w:rsidR="00377C40" w:rsidRPr="00DA09DA">
              <w:rPr>
                <w:rFonts w:ascii="Times New Roman" w:eastAsia="Times New Roman" w:hAnsi="Times New Roman" w:cs="Times New Roman"/>
                <w:sz w:val="26"/>
                <w:szCs w:val="26"/>
                <w:lang w:eastAsia="lv-LV"/>
              </w:rPr>
              <w:t>"Grozījumi Ministru kabineta 2010.gada 19.oktobra noteikumos Nr.987 "Noteikumi par darbības programmas "Uzņēmējdarbība un inovācijas" papildinājuma 2.1.1.3.1.apakšaktivitātes "Zinātnes infrastruktūras attīstība" pirmo projektu iesniegumu atlases kārtu"</w:t>
            </w:r>
            <w:r w:rsidR="00C65EDD" w:rsidRPr="00DA09DA">
              <w:rPr>
                <w:rFonts w:ascii="Times New Roman" w:eastAsia="Times New Roman" w:hAnsi="Times New Roman" w:cs="Times New Roman"/>
                <w:sz w:val="26"/>
                <w:szCs w:val="26"/>
                <w:lang w:eastAsia="lv-LV"/>
              </w:rPr>
              <w:t>"</w:t>
            </w:r>
            <w:r w:rsidRPr="00DA09DA">
              <w:rPr>
                <w:rFonts w:ascii="Times New Roman" w:eastAsia="Times New Roman" w:hAnsi="Times New Roman" w:cs="Times New Roman"/>
                <w:sz w:val="26"/>
                <w:szCs w:val="26"/>
                <w:lang w:eastAsia="lv-LV"/>
              </w:rPr>
              <w:t xml:space="preserve"> </w:t>
            </w:r>
            <w:r w:rsidR="0060326C" w:rsidRPr="00DA09DA">
              <w:rPr>
                <w:rFonts w:ascii="Times New Roman" w:eastAsia="Times New Roman" w:hAnsi="Times New Roman" w:cs="Times New Roman"/>
                <w:sz w:val="26"/>
                <w:szCs w:val="26"/>
                <w:lang w:eastAsia="lv-LV"/>
              </w:rPr>
              <w:t>projekts (turpmāk – noteikumu projekts) sagatavots saskaņā ar</w:t>
            </w:r>
            <w:r w:rsidR="00E51C7E" w:rsidRPr="00DA09DA">
              <w:rPr>
                <w:rFonts w:ascii="Times New Roman" w:eastAsia="Times New Roman" w:hAnsi="Times New Roman" w:cs="Times New Roman"/>
                <w:sz w:val="26"/>
                <w:szCs w:val="26"/>
                <w:lang w:eastAsia="lv-LV"/>
              </w:rPr>
              <w:t xml:space="preserve"> </w:t>
            </w:r>
            <w:r w:rsidR="0060326C" w:rsidRPr="00DA09DA">
              <w:rPr>
                <w:rFonts w:ascii="Times New Roman" w:eastAsia="Times New Roman" w:hAnsi="Times New Roman" w:cs="Times New Roman"/>
                <w:sz w:val="26"/>
                <w:szCs w:val="26"/>
                <w:lang w:eastAsia="lv-LV"/>
              </w:rPr>
              <w:t>Eiropas Savienības</w:t>
            </w:r>
            <w:r w:rsidR="00DD0D1E" w:rsidRPr="00DA09DA">
              <w:rPr>
                <w:rFonts w:ascii="Times New Roman" w:eastAsia="Times New Roman" w:hAnsi="Times New Roman" w:cs="Times New Roman"/>
                <w:sz w:val="26"/>
                <w:szCs w:val="26"/>
                <w:lang w:eastAsia="lv-LV"/>
              </w:rPr>
              <w:t xml:space="preserve"> </w:t>
            </w:r>
            <w:r w:rsidR="0060326C" w:rsidRPr="00DA09DA">
              <w:rPr>
                <w:rFonts w:ascii="Times New Roman" w:eastAsia="Times New Roman" w:hAnsi="Times New Roman" w:cs="Times New Roman"/>
                <w:sz w:val="26"/>
                <w:szCs w:val="26"/>
                <w:lang w:eastAsia="lv-LV"/>
              </w:rPr>
              <w:t>struktūrfondu un Kohēzijas fonda vadības likuma 18.panta 10.punktu</w:t>
            </w:r>
            <w:r w:rsidR="00E51C7E" w:rsidRPr="00DA09DA">
              <w:rPr>
                <w:rFonts w:ascii="Times New Roman" w:eastAsia="Times New Roman" w:hAnsi="Times New Roman" w:cs="Times New Roman"/>
                <w:sz w:val="26"/>
                <w:szCs w:val="26"/>
                <w:lang w:eastAsia="lv-LV"/>
              </w:rPr>
              <w:t>.</w:t>
            </w:r>
          </w:p>
        </w:tc>
      </w:tr>
      <w:tr w:rsidR="00533730" w:rsidRPr="00DA09DA"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304B7F" w:rsidRPr="00DA09DA" w:rsidRDefault="00B85DF5"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1. </w:t>
            </w:r>
            <w:r w:rsidR="009A3669" w:rsidRPr="00DA09DA">
              <w:rPr>
                <w:rFonts w:ascii="Times New Roman" w:eastAsia="Times New Roman" w:hAnsi="Times New Roman" w:cs="Times New Roman"/>
                <w:sz w:val="26"/>
                <w:szCs w:val="26"/>
                <w:lang w:eastAsia="lv-LV"/>
              </w:rPr>
              <w:t>Atbilstoši</w:t>
            </w:r>
            <w:r w:rsidR="004705E0" w:rsidRPr="00DA09DA">
              <w:rPr>
                <w:rFonts w:ascii="Times New Roman" w:eastAsia="Times New Roman" w:hAnsi="Times New Roman" w:cs="Times New Roman"/>
                <w:sz w:val="26"/>
                <w:szCs w:val="26"/>
                <w:lang w:eastAsia="lv-LV"/>
              </w:rPr>
              <w:t xml:space="preserve"> </w:t>
            </w:r>
            <w:r w:rsidR="00860730" w:rsidRPr="00DA09DA">
              <w:rPr>
                <w:rFonts w:ascii="Times New Roman" w:eastAsia="Times New Roman" w:hAnsi="Times New Roman" w:cs="Times New Roman"/>
                <w:sz w:val="26"/>
                <w:szCs w:val="26"/>
                <w:lang w:eastAsia="lv-LV"/>
              </w:rPr>
              <w:t>Ministru kabineta 2010.gada 19.oktobra noteikum</w:t>
            </w:r>
            <w:r w:rsidR="00927CC6" w:rsidRPr="00DA09DA">
              <w:rPr>
                <w:rFonts w:ascii="Times New Roman" w:eastAsia="Times New Roman" w:hAnsi="Times New Roman" w:cs="Times New Roman"/>
                <w:sz w:val="26"/>
                <w:szCs w:val="26"/>
                <w:lang w:eastAsia="lv-LV"/>
              </w:rPr>
              <w:t>i</w:t>
            </w:r>
            <w:r w:rsidR="004705E0" w:rsidRPr="00DA09DA">
              <w:rPr>
                <w:rFonts w:ascii="Times New Roman" w:eastAsia="Times New Roman" w:hAnsi="Times New Roman" w:cs="Times New Roman"/>
                <w:sz w:val="26"/>
                <w:szCs w:val="26"/>
                <w:lang w:eastAsia="lv-LV"/>
              </w:rPr>
              <w:t>em</w:t>
            </w:r>
            <w:r w:rsidR="00860730" w:rsidRPr="00DA09DA">
              <w:rPr>
                <w:rFonts w:ascii="Times New Roman" w:eastAsia="Times New Roman" w:hAnsi="Times New Roman" w:cs="Times New Roman"/>
                <w:sz w:val="26"/>
                <w:szCs w:val="26"/>
                <w:lang w:eastAsia="lv-LV"/>
              </w:rPr>
              <w:t xml:space="preserve"> Nr.987 „</w:t>
            </w:r>
            <w:r w:rsidR="00A53A55" w:rsidRPr="00DA09DA">
              <w:rPr>
                <w:rFonts w:ascii="Times New Roman" w:eastAsia="Times New Roman" w:hAnsi="Times New Roman" w:cs="Times New Roman"/>
                <w:sz w:val="26"/>
                <w:szCs w:val="26"/>
                <w:lang w:eastAsia="lv-LV"/>
              </w:rPr>
              <w:t>Noteikum</w:t>
            </w:r>
            <w:r w:rsidR="00860730" w:rsidRPr="00DA09DA">
              <w:rPr>
                <w:rFonts w:ascii="Times New Roman" w:eastAsia="Times New Roman" w:hAnsi="Times New Roman" w:cs="Times New Roman"/>
                <w:sz w:val="26"/>
                <w:szCs w:val="26"/>
                <w:lang w:eastAsia="lv-LV"/>
              </w:rPr>
              <w:t>i</w:t>
            </w:r>
            <w:r w:rsidR="00A53A55" w:rsidRPr="00DA09DA">
              <w:rPr>
                <w:rFonts w:ascii="Times New Roman" w:eastAsia="Times New Roman" w:hAnsi="Times New Roman" w:cs="Times New Roman"/>
                <w:sz w:val="26"/>
                <w:szCs w:val="26"/>
                <w:lang w:eastAsia="lv-LV"/>
              </w:rPr>
              <w:t xml:space="preserve"> par darbības programmas "Uzņēmējdarbība un inovācijas" papildinājuma 2.1.1.3.1.apakšaktivitātes "Zinātnes infrastruktūras attīstība" pirmo projektu iesniegumu atlases kārtu"</w:t>
            </w:r>
            <w:r w:rsidR="009D5B7A" w:rsidRPr="00DA09DA">
              <w:rPr>
                <w:rFonts w:ascii="Times New Roman" w:eastAsia="Times New Roman" w:hAnsi="Times New Roman" w:cs="Times New Roman"/>
                <w:sz w:val="26"/>
                <w:szCs w:val="26"/>
                <w:lang w:eastAsia="lv-LV"/>
              </w:rPr>
              <w:t xml:space="preserve"> </w:t>
            </w:r>
            <w:r w:rsidR="00AC3F42" w:rsidRPr="00DA09DA">
              <w:rPr>
                <w:rFonts w:ascii="Times New Roman" w:eastAsia="Times New Roman" w:hAnsi="Times New Roman" w:cs="Times New Roman"/>
                <w:sz w:val="26"/>
                <w:szCs w:val="26"/>
                <w:lang w:eastAsia="lv-LV"/>
              </w:rPr>
              <w:t>(turpmāk – noteikumi Nr.</w:t>
            </w:r>
            <w:r w:rsidR="00A53A55" w:rsidRPr="00DA09DA">
              <w:rPr>
                <w:rFonts w:ascii="Times New Roman" w:eastAsia="Times New Roman" w:hAnsi="Times New Roman" w:cs="Times New Roman"/>
                <w:sz w:val="26"/>
                <w:szCs w:val="26"/>
                <w:lang w:eastAsia="lv-LV"/>
              </w:rPr>
              <w:t>987</w:t>
            </w:r>
            <w:r w:rsidR="00AC3F42" w:rsidRPr="00DA09DA">
              <w:rPr>
                <w:rFonts w:ascii="Times New Roman" w:eastAsia="Times New Roman" w:hAnsi="Times New Roman" w:cs="Times New Roman"/>
                <w:sz w:val="26"/>
                <w:szCs w:val="26"/>
                <w:lang w:eastAsia="lv-LV"/>
              </w:rPr>
              <w:t xml:space="preserve">) </w:t>
            </w:r>
            <w:r w:rsidR="00932018" w:rsidRPr="00DA09DA">
              <w:rPr>
                <w:rFonts w:ascii="Times New Roman" w:eastAsia="Times New Roman" w:hAnsi="Times New Roman" w:cs="Times New Roman"/>
                <w:sz w:val="26"/>
                <w:szCs w:val="26"/>
                <w:lang w:eastAsia="lv-LV"/>
              </w:rPr>
              <w:t>k</w:t>
            </w:r>
            <w:r w:rsidR="00927CC6" w:rsidRPr="00DA09DA">
              <w:rPr>
                <w:rFonts w:ascii="Times New Roman" w:eastAsia="Times New Roman" w:hAnsi="Times New Roman" w:cs="Times New Roman"/>
                <w:sz w:val="26"/>
                <w:szCs w:val="26"/>
                <w:lang w:eastAsia="lv-LV"/>
              </w:rPr>
              <w:t>ombinēta atbalsta veida projektu īstenošanai Eiropas Reģionālās attīstības fonda (turpmāk – ERAF) finansējumu piešķir saskaņā ar</w:t>
            </w:r>
            <w:r w:rsidR="000C7A15" w:rsidRPr="00DA09DA">
              <w:rPr>
                <w:rFonts w:ascii="Times New Roman" w:eastAsia="Times New Roman" w:hAnsi="Times New Roman" w:cs="Times New Roman"/>
                <w:sz w:val="26"/>
                <w:szCs w:val="26"/>
                <w:lang w:eastAsia="lv-LV"/>
              </w:rPr>
              <w:t xml:space="preserve"> šā</w:t>
            </w:r>
            <w:r w:rsidR="003274CD" w:rsidRPr="00DA09DA">
              <w:rPr>
                <w:rFonts w:ascii="Times New Roman" w:eastAsia="Times New Roman" w:hAnsi="Times New Roman" w:cs="Times New Roman"/>
                <w:sz w:val="26"/>
                <w:szCs w:val="26"/>
                <w:lang w:eastAsia="lv-LV"/>
              </w:rPr>
              <w:t>diem normatīviem aktiem, kurus piemēro līdz 2014.gada 30.jūnijam</w:t>
            </w:r>
            <w:r w:rsidR="00304B7F" w:rsidRPr="00DA09DA">
              <w:rPr>
                <w:rFonts w:ascii="Times New Roman" w:eastAsia="Times New Roman" w:hAnsi="Times New Roman" w:cs="Times New Roman"/>
                <w:sz w:val="26"/>
                <w:szCs w:val="26"/>
                <w:lang w:eastAsia="lv-LV"/>
              </w:rPr>
              <w:t>:</w:t>
            </w:r>
          </w:p>
          <w:p w:rsidR="00C40571" w:rsidRPr="00DA09DA" w:rsidRDefault="00C40571"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w:t>
            </w:r>
            <w:r w:rsidR="00927CC6" w:rsidRPr="00DA09DA">
              <w:rPr>
                <w:rFonts w:ascii="Times New Roman" w:eastAsia="Times New Roman" w:hAnsi="Times New Roman" w:cs="Times New Roman"/>
                <w:sz w:val="26"/>
                <w:szCs w:val="26"/>
                <w:lang w:eastAsia="lv-LV"/>
              </w:rPr>
              <w:t>Komisijas 2006.gada 15.decembra Regulu (EK) Nr.</w:t>
            </w:r>
            <w:hyperlink r:id="rId7" w:tgtFrame="_blank" w:history="1">
              <w:r w:rsidR="00927CC6" w:rsidRPr="00DA09DA">
                <w:rPr>
                  <w:rFonts w:ascii="Times New Roman" w:eastAsia="Times New Roman" w:hAnsi="Times New Roman" w:cs="Times New Roman"/>
                  <w:sz w:val="26"/>
                  <w:szCs w:val="26"/>
                  <w:lang w:eastAsia="lv-LV"/>
                </w:rPr>
                <w:t>1998/2006</w:t>
              </w:r>
            </w:hyperlink>
            <w:r w:rsidR="00927CC6" w:rsidRPr="00DA09DA">
              <w:rPr>
                <w:rFonts w:ascii="Times New Roman" w:eastAsia="Times New Roman" w:hAnsi="Times New Roman" w:cs="Times New Roman"/>
                <w:sz w:val="26"/>
                <w:szCs w:val="26"/>
                <w:lang w:eastAsia="lv-LV"/>
              </w:rPr>
              <w:t xml:space="preserve"> par Līguma 87. un 88.panta piemērošanu </w:t>
            </w:r>
            <w:r w:rsidR="00927CC6" w:rsidRPr="00DA09DA">
              <w:rPr>
                <w:rFonts w:ascii="Times New Roman" w:eastAsia="Times New Roman" w:hAnsi="Times New Roman" w:cs="Times New Roman"/>
                <w:i/>
                <w:sz w:val="26"/>
                <w:szCs w:val="26"/>
                <w:lang w:eastAsia="lv-LV"/>
              </w:rPr>
              <w:t>de minimis</w:t>
            </w:r>
            <w:r w:rsidR="00927CC6" w:rsidRPr="00DA09DA">
              <w:rPr>
                <w:rFonts w:ascii="Times New Roman" w:eastAsia="Times New Roman" w:hAnsi="Times New Roman" w:cs="Times New Roman"/>
                <w:sz w:val="26"/>
                <w:szCs w:val="26"/>
                <w:lang w:eastAsia="lv-LV"/>
              </w:rPr>
              <w:t xml:space="preserve"> atbalstam (Eiropas Savienības Oficiālais Vēstnesis, 2006.gada 28.decembris, Nr. L 379/5) (turpmāk –</w:t>
            </w:r>
            <w:r w:rsidR="00D61524" w:rsidRPr="00DA09DA">
              <w:rPr>
                <w:rFonts w:ascii="Times New Roman" w:eastAsia="Times New Roman" w:hAnsi="Times New Roman" w:cs="Times New Roman"/>
                <w:sz w:val="26"/>
                <w:szCs w:val="26"/>
                <w:lang w:eastAsia="lv-LV"/>
              </w:rPr>
              <w:t xml:space="preserve"> R</w:t>
            </w:r>
            <w:r w:rsidR="00927CC6" w:rsidRPr="00DA09DA">
              <w:rPr>
                <w:rFonts w:ascii="Times New Roman" w:eastAsia="Times New Roman" w:hAnsi="Times New Roman" w:cs="Times New Roman"/>
                <w:sz w:val="26"/>
                <w:szCs w:val="26"/>
                <w:lang w:eastAsia="lv-LV"/>
              </w:rPr>
              <w:t>egula Nr.</w:t>
            </w:r>
            <w:hyperlink r:id="rId8" w:tgtFrame="_blank" w:history="1">
              <w:r w:rsidR="00927CC6" w:rsidRPr="00DA09DA">
                <w:rPr>
                  <w:rFonts w:ascii="Times New Roman" w:eastAsia="Times New Roman" w:hAnsi="Times New Roman" w:cs="Times New Roman"/>
                  <w:sz w:val="26"/>
                  <w:szCs w:val="26"/>
                  <w:lang w:eastAsia="lv-LV"/>
                </w:rPr>
                <w:t>1998/2006</w:t>
              </w:r>
            </w:hyperlink>
            <w:r w:rsidR="00927CC6" w:rsidRPr="00DA09DA">
              <w:rPr>
                <w:rFonts w:ascii="Times New Roman" w:eastAsia="Times New Roman" w:hAnsi="Times New Roman" w:cs="Times New Roman"/>
                <w:sz w:val="26"/>
                <w:szCs w:val="26"/>
                <w:lang w:eastAsia="lv-LV"/>
              </w:rPr>
              <w:t>)</w:t>
            </w:r>
            <w:r w:rsidR="00023F93" w:rsidRPr="00DA09DA">
              <w:rPr>
                <w:rFonts w:ascii="Times New Roman" w:eastAsia="Times New Roman" w:hAnsi="Times New Roman" w:cs="Times New Roman"/>
                <w:sz w:val="26"/>
                <w:szCs w:val="26"/>
                <w:lang w:eastAsia="lv-LV"/>
              </w:rPr>
              <w:t xml:space="preserve"> vai </w:t>
            </w:r>
          </w:p>
          <w:p w:rsidR="003274CD" w:rsidRPr="00DA09DA" w:rsidRDefault="00C40571"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w:t>
            </w:r>
            <w:r w:rsidR="00023F93" w:rsidRPr="00DA09DA">
              <w:rPr>
                <w:rFonts w:ascii="Times New Roman" w:eastAsia="Times New Roman" w:hAnsi="Times New Roman" w:cs="Times New Roman"/>
                <w:sz w:val="26"/>
                <w:szCs w:val="26"/>
                <w:lang w:eastAsia="lv-LV"/>
              </w:rPr>
              <w:t xml:space="preserve">Komisijas 2008.gada 6.augusta Regulu (EK) Nr. </w:t>
            </w:r>
            <w:hyperlink r:id="rId9" w:tgtFrame="_blank" w:history="1">
              <w:r w:rsidR="00023F93" w:rsidRPr="00DA09DA">
                <w:rPr>
                  <w:rFonts w:ascii="Times New Roman" w:eastAsia="Times New Roman" w:hAnsi="Times New Roman" w:cs="Times New Roman"/>
                  <w:sz w:val="26"/>
                  <w:szCs w:val="26"/>
                  <w:lang w:eastAsia="lv-LV"/>
                </w:rPr>
                <w:t>800/2008</w:t>
              </w:r>
            </w:hyperlink>
            <w:r w:rsidR="00023F93" w:rsidRPr="00DA09DA">
              <w:rPr>
                <w:rFonts w:ascii="Times New Roman" w:eastAsia="Times New Roman" w:hAnsi="Times New Roman" w:cs="Times New Roman"/>
                <w:sz w:val="26"/>
                <w:szCs w:val="26"/>
                <w:lang w:eastAsia="lv-LV"/>
              </w:rPr>
              <w:t>, kas atzīst noteiktas atbalsta kategorijas par saderīgām ar kopējo tirgu, piemērojot Līguma 87. un 88.pantu (vispārējā grupu atbrīvojuma regula) (Eiropas Savienības Oficiālais Vēstnesis, 2008.gada 9.augusts, Nr. L 214/3)</w:t>
            </w:r>
            <w:r w:rsidR="00B73250" w:rsidRPr="00DA09DA">
              <w:rPr>
                <w:rFonts w:ascii="Times New Roman" w:eastAsia="Times New Roman" w:hAnsi="Times New Roman" w:cs="Times New Roman"/>
                <w:sz w:val="26"/>
                <w:szCs w:val="26"/>
                <w:lang w:eastAsia="lv-LV"/>
              </w:rPr>
              <w:t xml:space="preserve"> (turpmāk – Regula Nr.</w:t>
            </w:r>
            <w:hyperlink r:id="rId10" w:tgtFrame="_blank" w:history="1">
              <w:r w:rsidR="00B73250" w:rsidRPr="00DA09DA">
                <w:rPr>
                  <w:rFonts w:ascii="Times New Roman" w:eastAsia="Times New Roman" w:hAnsi="Times New Roman" w:cs="Times New Roman"/>
                  <w:sz w:val="26"/>
                  <w:szCs w:val="26"/>
                  <w:lang w:eastAsia="lv-LV"/>
                </w:rPr>
                <w:t>800/200</w:t>
              </w:r>
            </w:hyperlink>
            <w:r w:rsidR="00B73250" w:rsidRPr="00DA09DA">
              <w:rPr>
                <w:rFonts w:ascii="Times New Roman" w:eastAsia="Times New Roman" w:hAnsi="Times New Roman" w:cs="Times New Roman"/>
                <w:sz w:val="26"/>
                <w:szCs w:val="26"/>
                <w:lang w:eastAsia="lv-LV"/>
              </w:rPr>
              <w:t>8)</w:t>
            </w:r>
            <w:r w:rsidR="00023F93" w:rsidRPr="00DA09DA">
              <w:rPr>
                <w:rFonts w:ascii="Times New Roman" w:eastAsia="Times New Roman" w:hAnsi="Times New Roman" w:cs="Times New Roman"/>
                <w:sz w:val="26"/>
                <w:szCs w:val="26"/>
                <w:lang w:eastAsia="lv-LV"/>
              </w:rPr>
              <w:t>.</w:t>
            </w:r>
            <w:r w:rsidR="00AB7DC7" w:rsidRPr="00DA09DA">
              <w:rPr>
                <w:rFonts w:ascii="Times New Roman" w:eastAsia="Times New Roman" w:hAnsi="Times New Roman" w:cs="Times New Roman"/>
                <w:sz w:val="26"/>
                <w:szCs w:val="26"/>
                <w:lang w:eastAsia="lv-LV"/>
              </w:rPr>
              <w:t xml:space="preserve"> </w:t>
            </w:r>
          </w:p>
          <w:p w:rsidR="003A4302" w:rsidRPr="00DA09DA" w:rsidRDefault="00733D9A"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Savukārt n</w:t>
            </w:r>
            <w:r w:rsidR="00EC18A0" w:rsidRPr="00DA09DA">
              <w:rPr>
                <w:rFonts w:ascii="Times New Roman" w:eastAsia="Times New Roman" w:hAnsi="Times New Roman" w:cs="Times New Roman"/>
                <w:sz w:val="26"/>
                <w:szCs w:val="26"/>
                <w:lang w:eastAsia="lv-LV"/>
              </w:rPr>
              <w:t>o</w:t>
            </w:r>
            <w:r w:rsidR="00FA6F5D" w:rsidRPr="00DA09DA">
              <w:rPr>
                <w:rFonts w:ascii="Times New Roman" w:eastAsia="Times New Roman" w:hAnsi="Times New Roman" w:cs="Times New Roman"/>
                <w:sz w:val="26"/>
                <w:szCs w:val="26"/>
                <w:lang w:eastAsia="lv-LV"/>
              </w:rPr>
              <w:t xml:space="preserve"> 2014. gada 1.</w:t>
            </w:r>
            <w:r w:rsidR="003A4302" w:rsidRPr="00DA09DA">
              <w:rPr>
                <w:rFonts w:ascii="Times New Roman" w:eastAsia="Times New Roman" w:hAnsi="Times New Roman" w:cs="Times New Roman"/>
                <w:sz w:val="26"/>
                <w:szCs w:val="26"/>
                <w:lang w:eastAsia="lv-LV"/>
              </w:rPr>
              <w:t xml:space="preserve">jūlija </w:t>
            </w:r>
            <w:r w:rsidR="003274CD" w:rsidRPr="00DA09DA">
              <w:rPr>
                <w:rFonts w:ascii="Times New Roman" w:eastAsia="Times New Roman" w:hAnsi="Times New Roman" w:cs="Times New Roman"/>
                <w:sz w:val="26"/>
                <w:szCs w:val="26"/>
                <w:lang w:eastAsia="lv-LV"/>
              </w:rPr>
              <w:t>ir jā</w:t>
            </w:r>
            <w:r w:rsidR="003A4302" w:rsidRPr="00DA09DA">
              <w:rPr>
                <w:rFonts w:ascii="Times New Roman" w:eastAsia="Times New Roman" w:hAnsi="Times New Roman" w:cs="Times New Roman"/>
                <w:sz w:val="26"/>
                <w:szCs w:val="26"/>
                <w:lang w:eastAsia="lv-LV"/>
              </w:rPr>
              <w:t>piemēro:</w:t>
            </w:r>
          </w:p>
          <w:p w:rsidR="007F69D9" w:rsidRPr="00DA09DA" w:rsidRDefault="007F69D9"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w:t>
            </w:r>
            <w:r w:rsidR="009F3AA3" w:rsidRPr="00DA09DA">
              <w:rPr>
                <w:rFonts w:ascii="Times New Roman" w:eastAsia="Times New Roman" w:hAnsi="Times New Roman" w:cs="Times New Roman"/>
                <w:sz w:val="26"/>
                <w:szCs w:val="26"/>
                <w:lang w:eastAsia="lv-LV"/>
              </w:rPr>
              <w:t>Komisijas 2013.gada 18.decembra Regula (ES) Nr</w:t>
            </w:r>
            <w:r w:rsidR="005F053F" w:rsidRPr="00DA09DA">
              <w:rPr>
                <w:rFonts w:ascii="Times New Roman" w:eastAsia="Times New Roman" w:hAnsi="Times New Roman" w:cs="Times New Roman"/>
                <w:sz w:val="26"/>
                <w:szCs w:val="26"/>
                <w:lang w:eastAsia="lv-LV"/>
              </w:rPr>
              <w:t>.1</w:t>
            </w:r>
            <w:r w:rsidR="009F3AA3" w:rsidRPr="00DA09DA">
              <w:rPr>
                <w:rFonts w:ascii="Times New Roman" w:eastAsia="Times New Roman" w:hAnsi="Times New Roman" w:cs="Times New Roman"/>
                <w:sz w:val="26"/>
                <w:szCs w:val="26"/>
                <w:lang w:eastAsia="lv-LV"/>
              </w:rPr>
              <w:t xml:space="preserve">407/2013 par Līguma par Eiropas Savienības </w:t>
            </w:r>
            <w:r w:rsidR="009F3AA3" w:rsidRPr="00DA09DA">
              <w:rPr>
                <w:rFonts w:ascii="Times New Roman" w:eastAsia="Times New Roman" w:hAnsi="Times New Roman" w:cs="Times New Roman"/>
                <w:sz w:val="26"/>
                <w:szCs w:val="26"/>
                <w:lang w:eastAsia="lv-LV"/>
              </w:rPr>
              <w:lastRenderedPageBreak/>
              <w:t xml:space="preserve">darbību 107. un 108. panta piemērošanu </w:t>
            </w:r>
            <w:r w:rsidR="009F3AA3" w:rsidRPr="00DA09DA">
              <w:rPr>
                <w:rFonts w:ascii="Times New Roman" w:eastAsia="Times New Roman" w:hAnsi="Times New Roman" w:cs="Times New Roman"/>
                <w:i/>
                <w:sz w:val="26"/>
                <w:szCs w:val="26"/>
                <w:lang w:eastAsia="lv-LV"/>
              </w:rPr>
              <w:t>de minimis</w:t>
            </w:r>
            <w:r w:rsidR="009F3AA3" w:rsidRPr="00DA09DA">
              <w:rPr>
                <w:rFonts w:ascii="Times New Roman" w:eastAsia="Times New Roman" w:hAnsi="Times New Roman" w:cs="Times New Roman"/>
                <w:sz w:val="26"/>
                <w:szCs w:val="26"/>
                <w:lang w:eastAsia="lv-LV"/>
              </w:rPr>
              <w:t xml:space="preserve"> atbalstam (Eiropas Savienības Oficiālais Vēstnesis, 2013.gada 24.decembris, Nr. L 352/1) (turpmāk – Regula Nr.</w:t>
            </w:r>
            <w:r w:rsidR="005F053F" w:rsidRPr="00DA09DA">
              <w:rPr>
                <w:rFonts w:ascii="Times New Roman" w:eastAsia="Times New Roman" w:hAnsi="Times New Roman" w:cs="Times New Roman"/>
                <w:sz w:val="26"/>
                <w:szCs w:val="26"/>
                <w:lang w:eastAsia="lv-LV"/>
              </w:rPr>
              <w:t>1</w:t>
            </w:r>
            <w:r w:rsidR="004049E0" w:rsidRPr="00DA09DA">
              <w:rPr>
                <w:rFonts w:ascii="Times New Roman" w:eastAsia="Times New Roman" w:hAnsi="Times New Roman" w:cs="Times New Roman"/>
                <w:sz w:val="26"/>
                <w:szCs w:val="26"/>
                <w:lang w:eastAsia="lv-LV"/>
              </w:rPr>
              <w:t>407/2013)</w:t>
            </w:r>
            <w:r w:rsidR="00BE2F53" w:rsidRPr="00DA09DA">
              <w:rPr>
                <w:rFonts w:ascii="Times New Roman" w:eastAsia="Times New Roman" w:hAnsi="Times New Roman" w:cs="Times New Roman"/>
                <w:sz w:val="26"/>
                <w:szCs w:val="26"/>
                <w:lang w:eastAsia="lv-LV"/>
              </w:rPr>
              <w:t>;</w:t>
            </w:r>
            <w:r w:rsidRPr="00DA09DA">
              <w:rPr>
                <w:rFonts w:ascii="Times New Roman" w:eastAsia="Times New Roman" w:hAnsi="Times New Roman" w:cs="Times New Roman"/>
                <w:sz w:val="26"/>
                <w:szCs w:val="26"/>
                <w:lang w:eastAsia="lv-LV"/>
              </w:rPr>
              <w:t xml:space="preserve"> </w:t>
            </w:r>
            <w:r w:rsidR="00733D9A" w:rsidRPr="00DA09DA">
              <w:rPr>
                <w:rFonts w:ascii="Times New Roman" w:eastAsia="Times New Roman" w:hAnsi="Times New Roman" w:cs="Times New Roman"/>
                <w:sz w:val="26"/>
                <w:szCs w:val="26"/>
                <w:lang w:eastAsia="lv-LV"/>
              </w:rPr>
              <w:t>vai</w:t>
            </w:r>
            <w:r w:rsidRPr="00DA09DA">
              <w:rPr>
                <w:rFonts w:ascii="Times New Roman" w:eastAsia="Times New Roman" w:hAnsi="Times New Roman" w:cs="Times New Roman"/>
                <w:sz w:val="26"/>
                <w:szCs w:val="26"/>
                <w:lang w:eastAsia="lv-LV"/>
              </w:rPr>
              <w:t xml:space="preserve"> </w:t>
            </w:r>
          </w:p>
          <w:p w:rsidR="00A369C3" w:rsidRPr="00DA09DA" w:rsidRDefault="007F69D9" w:rsidP="00D40D3A">
            <w:pPr>
              <w:spacing w:before="10" w:after="0" w:line="240" w:lineRule="auto"/>
              <w:ind w:left="113" w:right="113"/>
              <w:jc w:val="both"/>
              <w:rPr>
                <w:rFonts w:ascii="Times New Roman" w:hAnsi="Times New Roman" w:cs="Times New Roman"/>
                <w:sz w:val="26"/>
                <w:szCs w:val="26"/>
              </w:rPr>
            </w:pPr>
            <w:r w:rsidRPr="00DA09DA">
              <w:rPr>
                <w:rFonts w:ascii="Times New Roman" w:eastAsia="Times New Roman" w:hAnsi="Times New Roman" w:cs="Times New Roman"/>
                <w:sz w:val="26"/>
                <w:szCs w:val="26"/>
                <w:lang w:eastAsia="lv-LV"/>
              </w:rPr>
              <w:t>– </w:t>
            </w:r>
            <w:r w:rsidR="003C1840" w:rsidRPr="00DA09DA">
              <w:rPr>
                <w:rFonts w:ascii="Times New Roman" w:eastAsia="Times New Roman" w:hAnsi="Times New Roman" w:cs="Times New Roman"/>
                <w:sz w:val="26"/>
                <w:szCs w:val="26"/>
                <w:lang w:eastAsia="lv-LV"/>
              </w:rPr>
              <w:t>Komisijas</w:t>
            </w:r>
            <w:r w:rsidR="001B023B" w:rsidRPr="00DA09DA">
              <w:rPr>
                <w:rFonts w:ascii="Times New Roman" w:hAnsi="Times New Roman" w:cs="Times New Roman"/>
                <w:sz w:val="26"/>
                <w:szCs w:val="26"/>
                <w:lang w:eastAsia="lv-LV"/>
              </w:rPr>
              <w:t xml:space="preserve"> </w:t>
            </w:r>
            <w:r w:rsidR="00C7419D" w:rsidRPr="00DA09DA">
              <w:rPr>
                <w:rFonts w:ascii="Times New Roman" w:eastAsia="Times New Roman" w:hAnsi="Times New Roman" w:cs="Times New Roman"/>
                <w:sz w:val="26"/>
                <w:szCs w:val="26"/>
                <w:lang w:eastAsia="lv-LV"/>
              </w:rPr>
              <w:t>201</w:t>
            </w:r>
            <w:r w:rsidR="006E3A9E" w:rsidRPr="00DA09DA">
              <w:rPr>
                <w:rFonts w:ascii="Times New Roman" w:eastAsia="Times New Roman" w:hAnsi="Times New Roman" w:cs="Times New Roman"/>
                <w:sz w:val="26"/>
                <w:szCs w:val="26"/>
                <w:lang w:eastAsia="lv-LV"/>
              </w:rPr>
              <w:t>4</w:t>
            </w:r>
            <w:r w:rsidR="00C7419D" w:rsidRPr="00DA09DA">
              <w:rPr>
                <w:rFonts w:ascii="Times New Roman" w:eastAsia="Times New Roman" w:hAnsi="Times New Roman" w:cs="Times New Roman"/>
                <w:sz w:val="26"/>
                <w:szCs w:val="26"/>
                <w:lang w:eastAsia="lv-LV"/>
              </w:rPr>
              <w:t xml:space="preserve">.gada </w:t>
            </w:r>
            <w:r w:rsidR="00D526DF" w:rsidRPr="00DA09DA">
              <w:rPr>
                <w:rFonts w:ascii="Times New Roman" w:eastAsia="Times New Roman" w:hAnsi="Times New Roman" w:cs="Times New Roman"/>
                <w:sz w:val="26"/>
                <w:szCs w:val="26"/>
                <w:lang w:eastAsia="lv-LV"/>
              </w:rPr>
              <w:t>17</w:t>
            </w:r>
            <w:r w:rsidR="00C7419D" w:rsidRPr="00DA09DA">
              <w:rPr>
                <w:rFonts w:ascii="Times New Roman" w:eastAsia="Times New Roman" w:hAnsi="Times New Roman" w:cs="Times New Roman"/>
                <w:sz w:val="26"/>
                <w:szCs w:val="26"/>
                <w:lang w:eastAsia="lv-LV"/>
              </w:rPr>
              <w:t>.</w:t>
            </w:r>
            <w:r w:rsidR="00D526DF" w:rsidRPr="00DA09DA">
              <w:rPr>
                <w:rFonts w:ascii="Times New Roman" w:eastAsia="Times New Roman" w:hAnsi="Times New Roman" w:cs="Times New Roman"/>
                <w:sz w:val="26"/>
                <w:szCs w:val="26"/>
                <w:lang w:eastAsia="lv-LV"/>
              </w:rPr>
              <w:t>jūnija</w:t>
            </w:r>
            <w:r w:rsidR="00C7419D" w:rsidRPr="00DA09DA">
              <w:rPr>
                <w:rFonts w:ascii="Times New Roman" w:eastAsia="Times New Roman" w:hAnsi="Times New Roman" w:cs="Times New Roman"/>
                <w:sz w:val="26"/>
                <w:szCs w:val="26"/>
                <w:lang w:eastAsia="lv-LV"/>
              </w:rPr>
              <w:t xml:space="preserve"> Regul</w:t>
            </w:r>
            <w:r w:rsidRPr="00DA09DA">
              <w:rPr>
                <w:rFonts w:ascii="Times New Roman" w:eastAsia="Times New Roman" w:hAnsi="Times New Roman" w:cs="Times New Roman"/>
                <w:sz w:val="26"/>
                <w:szCs w:val="26"/>
                <w:lang w:eastAsia="lv-LV"/>
              </w:rPr>
              <w:t>u</w:t>
            </w:r>
            <w:r w:rsidR="00C7419D" w:rsidRPr="00DA09DA">
              <w:rPr>
                <w:rFonts w:ascii="Times New Roman" w:eastAsia="Times New Roman" w:hAnsi="Times New Roman" w:cs="Times New Roman"/>
                <w:sz w:val="26"/>
                <w:szCs w:val="26"/>
                <w:lang w:eastAsia="lv-LV"/>
              </w:rPr>
              <w:t xml:space="preserve"> (ES) Nr</w:t>
            </w:r>
            <w:r w:rsidR="00CE0536" w:rsidRPr="00DA09DA">
              <w:rPr>
                <w:rFonts w:ascii="Times New Roman" w:eastAsia="Times New Roman" w:hAnsi="Times New Roman" w:cs="Times New Roman"/>
                <w:sz w:val="26"/>
                <w:szCs w:val="26"/>
                <w:lang w:eastAsia="lv-LV"/>
              </w:rPr>
              <w:t xml:space="preserve">. </w:t>
            </w:r>
            <w:r w:rsidR="00D526DF" w:rsidRPr="00DA09DA">
              <w:rPr>
                <w:rFonts w:ascii="Times New Roman" w:eastAsia="Times New Roman" w:hAnsi="Times New Roman" w:cs="Times New Roman"/>
                <w:sz w:val="26"/>
                <w:szCs w:val="26"/>
                <w:lang w:eastAsia="lv-LV"/>
              </w:rPr>
              <w:t>651</w:t>
            </w:r>
            <w:r w:rsidR="00CE0536" w:rsidRPr="00DA09DA">
              <w:rPr>
                <w:rFonts w:ascii="Times New Roman" w:eastAsia="Times New Roman" w:hAnsi="Times New Roman" w:cs="Times New Roman"/>
                <w:sz w:val="26"/>
                <w:szCs w:val="26"/>
                <w:lang w:eastAsia="lv-LV"/>
              </w:rPr>
              <w:t>/2014</w:t>
            </w:r>
            <w:r w:rsidR="001B023B" w:rsidRPr="00DA09DA">
              <w:rPr>
                <w:rFonts w:ascii="Times New Roman" w:hAnsi="Times New Roman" w:cs="Times New Roman"/>
                <w:sz w:val="26"/>
                <w:szCs w:val="26"/>
                <w:lang w:eastAsia="lv-LV"/>
              </w:rPr>
              <w:t>,</w:t>
            </w:r>
            <w:r w:rsidR="00C03B55" w:rsidRPr="00DA09DA">
              <w:rPr>
                <w:rFonts w:ascii="Times New Roman" w:hAnsi="Times New Roman" w:cs="Times New Roman"/>
                <w:sz w:val="26"/>
                <w:szCs w:val="26"/>
                <w:lang w:eastAsia="lv-LV"/>
              </w:rPr>
              <w:t xml:space="preserve"> </w:t>
            </w:r>
            <w:r w:rsidR="001B023B" w:rsidRPr="00DA09DA">
              <w:rPr>
                <w:rFonts w:ascii="Times New Roman" w:eastAsia="Times New Roman" w:hAnsi="Times New Roman" w:cs="Times New Roman"/>
                <w:sz w:val="26"/>
                <w:szCs w:val="26"/>
                <w:lang w:eastAsia="lv-LV"/>
              </w:rPr>
              <w:t>ar ko noteiktas atbalsta kategorijas atzīst par saderīgām ar iekšējo tirgu, piemērojot Līguma 107. un 108. </w:t>
            </w:r>
            <w:r w:rsidR="007F38F5" w:rsidRPr="00DA09DA">
              <w:rPr>
                <w:rFonts w:ascii="Times New Roman" w:eastAsia="Times New Roman" w:hAnsi="Times New Roman" w:cs="Times New Roman"/>
                <w:sz w:val="26"/>
                <w:szCs w:val="26"/>
                <w:lang w:eastAsia="lv-LV"/>
              </w:rPr>
              <w:t>p</w:t>
            </w:r>
            <w:r w:rsidR="001B023B" w:rsidRPr="00DA09DA">
              <w:rPr>
                <w:rFonts w:ascii="Times New Roman" w:eastAsia="Times New Roman" w:hAnsi="Times New Roman" w:cs="Times New Roman"/>
                <w:sz w:val="26"/>
                <w:szCs w:val="26"/>
                <w:lang w:eastAsia="lv-LV"/>
              </w:rPr>
              <w:t>antu</w:t>
            </w:r>
            <w:r w:rsidR="007F38F5" w:rsidRPr="00DA09DA">
              <w:rPr>
                <w:rFonts w:ascii="Times New Roman" w:eastAsia="Times New Roman" w:hAnsi="Times New Roman" w:cs="Times New Roman"/>
                <w:sz w:val="26"/>
                <w:szCs w:val="26"/>
                <w:lang w:eastAsia="lv-LV"/>
              </w:rPr>
              <w:t xml:space="preserve"> (turpmāk</w:t>
            </w:r>
            <w:r w:rsidR="000C7A15" w:rsidRPr="00DA09DA">
              <w:rPr>
                <w:rFonts w:ascii="Times New Roman" w:eastAsia="Times New Roman" w:hAnsi="Times New Roman" w:cs="Times New Roman"/>
                <w:sz w:val="26"/>
                <w:szCs w:val="26"/>
                <w:lang w:eastAsia="lv-LV"/>
              </w:rPr>
              <w:t xml:space="preserve"> arī</w:t>
            </w:r>
            <w:r w:rsidR="007F38F5" w:rsidRPr="00DA09DA">
              <w:rPr>
                <w:rFonts w:ascii="Times New Roman" w:eastAsia="Times New Roman" w:hAnsi="Times New Roman" w:cs="Times New Roman"/>
                <w:sz w:val="26"/>
                <w:szCs w:val="26"/>
                <w:lang w:eastAsia="lv-LV"/>
              </w:rPr>
              <w:t xml:space="preserve"> – Regula Nr</w:t>
            </w:r>
            <w:r w:rsidR="00CE0536" w:rsidRPr="00DA09DA">
              <w:rPr>
                <w:rFonts w:ascii="Times New Roman" w:eastAsia="Times New Roman" w:hAnsi="Times New Roman" w:cs="Times New Roman"/>
                <w:sz w:val="26"/>
                <w:szCs w:val="26"/>
                <w:lang w:eastAsia="lv-LV"/>
              </w:rPr>
              <w:t xml:space="preserve">. </w:t>
            </w:r>
            <w:r w:rsidR="00D526DF" w:rsidRPr="00DA09DA">
              <w:rPr>
                <w:rFonts w:ascii="Times New Roman" w:eastAsia="Times New Roman" w:hAnsi="Times New Roman" w:cs="Times New Roman"/>
                <w:sz w:val="26"/>
                <w:szCs w:val="26"/>
                <w:lang w:eastAsia="lv-LV"/>
              </w:rPr>
              <w:t>651</w:t>
            </w:r>
            <w:r w:rsidR="007F38F5" w:rsidRPr="00DA09DA">
              <w:rPr>
                <w:rFonts w:ascii="Times New Roman" w:eastAsia="Times New Roman" w:hAnsi="Times New Roman" w:cs="Times New Roman"/>
                <w:sz w:val="26"/>
                <w:szCs w:val="26"/>
                <w:lang w:eastAsia="lv-LV"/>
              </w:rPr>
              <w:t>/2014).</w:t>
            </w:r>
            <w:r w:rsidR="0029067A" w:rsidRPr="00DA09DA">
              <w:rPr>
                <w:rFonts w:ascii="Times New Roman" w:eastAsia="Times New Roman" w:hAnsi="Times New Roman" w:cs="Times New Roman"/>
                <w:sz w:val="26"/>
                <w:szCs w:val="26"/>
                <w:lang w:eastAsia="lv-LV"/>
              </w:rPr>
              <w:t xml:space="preserve"> </w:t>
            </w:r>
            <w:r w:rsidR="005209E9" w:rsidRPr="00DA09DA">
              <w:rPr>
                <w:rFonts w:ascii="Times New Roman" w:hAnsi="Times New Roman" w:cs="Times New Roman"/>
                <w:sz w:val="26"/>
                <w:szCs w:val="26"/>
              </w:rPr>
              <w:t xml:space="preserve">Nepieciešamību piemērot </w:t>
            </w:r>
            <w:r w:rsidR="005209E9" w:rsidRPr="00DA09DA">
              <w:rPr>
                <w:rFonts w:ascii="Times New Roman" w:eastAsia="Calibri" w:hAnsi="Times New Roman" w:cs="Times New Roman"/>
                <w:sz w:val="26"/>
                <w:szCs w:val="26"/>
              </w:rPr>
              <w:t xml:space="preserve">Regulu Nr. </w:t>
            </w:r>
            <w:r w:rsidR="00D526DF" w:rsidRPr="00DA09DA">
              <w:rPr>
                <w:rFonts w:ascii="Times New Roman" w:eastAsia="Calibri" w:hAnsi="Times New Roman" w:cs="Times New Roman"/>
                <w:sz w:val="26"/>
                <w:szCs w:val="26"/>
              </w:rPr>
              <w:t>651</w:t>
            </w:r>
            <w:r w:rsidR="005209E9" w:rsidRPr="00DA09DA">
              <w:rPr>
                <w:rFonts w:ascii="Times New Roman" w:eastAsia="Calibri" w:hAnsi="Times New Roman" w:cs="Times New Roman"/>
                <w:sz w:val="26"/>
                <w:szCs w:val="26"/>
              </w:rPr>
              <w:t>/2014</w:t>
            </w:r>
            <w:r w:rsidR="005209E9" w:rsidRPr="00DA09DA">
              <w:rPr>
                <w:rFonts w:ascii="Times New Roman" w:hAnsi="Times New Roman" w:cs="Times New Roman"/>
                <w:sz w:val="26"/>
                <w:szCs w:val="26"/>
              </w:rPr>
              <w:t xml:space="preserve">, pamato 2011.gada 3.februāra Vispārējās tiesas spriedums lietā </w:t>
            </w:r>
            <w:hyperlink r:id="rId11" w:history="1">
              <w:r w:rsidR="005209E9" w:rsidRPr="00DA09DA">
                <w:rPr>
                  <w:rStyle w:val="Hyperlink"/>
                  <w:rFonts w:ascii="Times New Roman" w:hAnsi="Times New Roman" w:cs="Times New Roman"/>
                  <w:color w:val="auto"/>
                  <w:sz w:val="26"/>
                  <w:szCs w:val="26"/>
                  <w:u w:val="none"/>
                </w:rPr>
                <w:t>T-3/09</w:t>
              </w:r>
            </w:hyperlink>
            <w:r w:rsidR="005209E9" w:rsidRPr="00DA09DA">
              <w:rPr>
                <w:rStyle w:val="FootnoteReference"/>
                <w:rFonts w:ascii="Times New Roman" w:hAnsi="Times New Roman" w:cs="Times New Roman"/>
                <w:sz w:val="26"/>
                <w:szCs w:val="26"/>
              </w:rPr>
              <w:footnoteReference w:id="1"/>
            </w:r>
            <w:r w:rsidR="005209E9" w:rsidRPr="00DA09DA">
              <w:rPr>
                <w:rFonts w:ascii="Times New Roman" w:hAnsi="Times New Roman" w:cs="Times New Roman"/>
                <w:sz w:val="26"/>
                <w:szCs w:val="26"/>
              </w:rPr>
              <w:t xml:space="preserve">, kurā noteikts, ka lēmumus valsts atbalsta jomā jāpieņem saskaņā ar aktuālajām tiesību normām – konkrētajā gadījumā jaunās Eiropas Komisijas (EK) </w:t>
            </w:r>
            <w:r w:rsidR="005209E9" w:rsidRPr="00DA09DA">
              <w:rPr>
                <w:rFonts w:ascii="Times New Roman" w:eastAsia="Calibri" w:hAnsi="Times New Roman" w:cs="Times New Roman"/>
                <w:sz w:val="26"/>
                <w:szCs w:val="26"/>
              </w:rPr>
              <w:t xml:space="preserve">Regulas Nr. </w:t>
            </w:r>
            <w:r w:rsidR="00D526DF" w:rsidRPr="00DA09DA">
              <w:rPr>
                <w:rFonts w:ascii="Times New Roman" w:eastAsia="Calibri" w:hAnsi="Times New Roman" w:cs="Times New Roman"/>
                <w:sz w:val="26"/>
                <w:szCs w:val="26"/>
              </w:rPr>
              <w:t>651</w:t>
            </w:r>
            <w:r w:rsidR="005209E9" w:rsidRPr="00DA09DA">
              <w:rPr>
                <w:rFonts w:ascii="Times New Roman" w:eastAsia="Calibri" w:hAnsi="Times New Roman" w:cs="Times New Roman"/>
                <w:sz w:val="26"/>
                <w:szCs w:val="26"/>
              </w:rPr>
              <w:t xml:space="preserve">/2014 </w:t>
            </w:r>
            <w:r w:rsidR="005209E9" w:rsidRPr="00DA09DA">
              <w:rPr>
                <w:rFonts w:ascii="Times New Roman" w:hAnsi="Times New Roman" w:cs="Times New Roman"/>
                <w:sz w:val="26"/>
                <w:szCs w:val="26"/>
              </w:rPr>
              <w:t>normas, kas paredz efektīvāku un esošajai kopējā tirgus situācijai atbilstošāku regulējumu. Līdz ar to Regulas Nr.800/2008 piemērošana pēc 2014.gada 30.jūnija rada augstu izmaksātā valsts atbalsta attiecināmības risku, jo aktuālajai situācijai neatbilstoša normatīvā akta piemērošana ir uzskatāma kā neatbilstoša Līguma par Eiropas Savienības darbību 107. un 108.pantiem un nesaderīga ar kopējā tirgus attīstības īstenošanas mērķiem. Regulā Nr.</w:t>
            </w:r>
            <w:r w:rsidR="00983686" w:rsidRPr="00DA09DA">
              <w:rPr>
                <w:rFonts w:ascii="Times New Roman" w:hAnsi="Times New Roman" w:cs="Times New Roman"/>
                <w:sz w:val="26"/>
                <w:szCs w:val="26"/>
              </w:rPr>
              <w:t xml:space="preserve"> </w:t>
            </w:r>
            <w:r w:rsidR="00D526DF" w:rsidRPr="00DA09DA">
              <w:rPr>
                <w:rFonts w:ascii="Times New Roman" w:hAnsi="Times New Roman" w:cs="Times New Roman"/>
                <w:sz w:val="26"/>
                <w:szCs w:val="26"/>
              </w:rPr>
              <w:t>651</w:t>
            </w:r>
            <w:r w:rsidR="005209E9" w:rsidRPr="00DA09DA">
              <w:rPr>
                <w:rFonts w:ascii="Times New Roman" w:hAnsi="Times New Roman" w:cs="Times New Roman"/>
                <w:sz w:val="26"/>
                <w:szCs w:val="26"/>
              </w:rPr>
              <w:t>/2014 iekļautās normas (salīdzinājumā ar Regulas Nr.800/2008 normām) paplašina valsts atbalsta kategoriju loku un nosaka atšķirīgus valsts atbalsta nosacīju</w:t>
            </w:r>
            <w:r w:rsidR="00983686" w:rsidRPr="00DA09DA">
              <w:rPr>
                <w:rFonts w:ascii="Times New Roman" w:hAnsi="Times New Roman" w:cs="Times New Roman"/>
                <w:sz w:val="26"/>
                <w:szCs w:val="26"/>
              </w:rPr>
              <w:t>m</w:t>
            </w:r>
            <w:r w:rsidR="005209E9" w:rsidRPr="00DA09DA">
              <w:rPr>
                <w:rFonts w:ascii="Times New Roman" w:hAnsi="Times New Roman" w:cs="Times New Roman"/>
                <w:sz w:val="26"/>
                <w:szCs w:val="26"/>
              </w:rPr>
              <w:t>us</w:t>
            </w:r>
            <w:r w:rsidR="00983686" w:rsidRPr="00DA09DA">
              <w:rPr>
                <w:rFonts w:ascii="Times New Roman" w:hAnsi="Times New Roman" w:cs="Times New Roman"/>
                <w:sz w:val="26"/>
                <w:szCs w:val="26"/>
              </w:rPr>
              <w:t>.</w:t>
            </w:r>
          </w:p>
          <w:p w:rsidR="00741717" w:rsidRPr="00DA09DA" w:rsidRDefault="00C96A00" w:rsidP="00A92B9B">
            <w:pPr>
              <w:spacing w:before="10" w:after="0" w:line="240" w:lineRule="auto"/>
              <w:ind w:left="113" w:right="113"/>
              <w:jc w:val="both"/>
              <w:rPr>
                <w:rFonts w:ascii="Times New Roman" w:hAnsi="Times New Roman" w:cs="Times New Roman"/>
                <w:sz w:val="26"/>
                <w:szCs w:val="26"/>
              </w:rPr>
            </w:pPr>
            <w:r w:rsidRPr="00DA09DA">
              <w:rPr>
                <w:rFonts w:ascii="Times New Roman" w:hAnsi="Times New Roman" w:cs="Times New Roman"/>
                <w:sz w:val="26"/>
                <w:szCs w:val="26"/>
              </w:rPr>
              <w:t xml:space="preserve">Izglītības un zinātnes ministrija </w:t>
            </w:r>
            <w:r w:rsidR="00DF75A5" w:rsidRPr="00DA09DA">
              <w:rPr>
                <w:rFonts w:ascii="Times New Roman" w:hAnsi="Times New Roman" w:cs="Times New Roman"/>
                <w:sz w:val="26"/>
                <w:szCs w:val="26"/>
              </w:rPr>
              <w:t xml:space="preserve">(turpmāk – IZM) </w:t>
            </w:r>
            <w:r w:rsidRPr="00DA09DA">
              <w:rPr>
                <w:rFonts w:ascii="Times New Roman" w:hAnsi="Times New Roman" w:cs="Times New Roman"/>
                <w:sz w:val="26"/>
                <w:szCs w:val="26"/>
              </w:rPr>
              <w:t xml:space="preserve">ir veikusi grozījumus noteikumos Nr.987, </w:t>
            </w:r>
            <w:r w:rsidR="000C687A" w:rsidRPr="00DA09DA">
              <w:rPr>
                <w:rFonts w:ascii="Times New Roman" w:hAnsi="Times New Roman" w:cs="Times New Roman"/>
                <w:sz w:val="26"/>
                <w:szCs w:val="26"/>
              </w:rPr>
              <w:t xml:space="preserve">lai </w:t>
            </w:r>
            <w:r w:rsidRPr="00DA09DA">
              <w:rPr>
                <w:rFonts w:ascii="Times New Roman" w:hAnsi="Times New Roman" w:cs="Times New Roman"/>
                <w:sz w:val="26"/>
                <w:szCs w:val="26"/>
              </w:rPr>
              <w:t>pielāgo</w:t>
            </w:r>
            <w:r w:rsidR="000C687A" w:rsidRPr="00DA09DA">
              <w:rPr>
                <w:rFonts w:ascii="Times New Roman" w:hAnsi="Times New Roman" w:cs="Times New Roman"/>
                <w:sz w:val="26"/>
                <w:szCs w:val="26"/>
              </w:rPr>
              <w:t>tu</w:t>
            </w:r>
            <w:r w:rsidRPr="00DA09DA">
              <w:rPr>
                <w:rFonts w:ascii="Times New Roman" w:hAnsi="Times New Roman" w:cs="Times New Roman"/>
                <w:sz w:val="26"/>
                <w:szCs w:val="26"/>
              </w:rPr>
              <w:t xml:space="preserve"> noteikumu </w:t>
            </w:r>
            <w:r w:rsidR="00741717" w:rsidRPr="00DA09DA">
              <w:rPr>
                <w:rFonts w:ascii="Times New Roman" w:hAnsi="Times New Roman" w:cs="Times New Roman"/>
                <w:sz w:val="26"/>
                <w:szCs w:val="26"/>
              </w:rPr>
              <w:t>nosacījumus</w:t>
            </w:r>
            <w:r w:rsidRPr="00DA09DA">
              <w:rPr>
                <w:rFonts w:ascii="Times New Roman" w:hAnsi="Times New Roman" w:cs="Times New Roman"/>
                <w:sz w:val="26"/>
                <w:szCs w:val="26"/>
              </w:rPr>
              <w:t xml:space="preserve"> </w:t>
            </w:r>
            <w:r w:rsidR="00741717" w:rsidRPr="00DA09DA">
              <w:rPr>
                <w:rFonts w:ascii="Times New Roman" w:hAnsi="Times New Roman" w:cs="Times New Roman"/>
                <w:sz w:val="26"/>
                <w:szCs w:val="26"/>
              </w:rPr>
              <w:t>šādiem Eiropas Savienības normatīvajiem aktiem valsts atbalsta jomā:</w:t>
            </w:r>
          </w:p>
          <w:p w:rsidR="00741717" w:rsidRPr="00DA09DA" w:rsidRDefault="00BE2F53" w:rsidP="00A92B9B">
            <w:pPr>
              <w:spacing w:before="10" w:after="0" w:line="240" w:lineRule="auto"/>
              <w:ind w:left="113" w:right="113"/>
              <w:jc w:val="both"/>
              <w:rPr>
                <w:rFonts w:ascii="Times New Roman" w:hAnsi="Times New Roman" w:cs="Times New Roman"/>
                <w:sz w:val="26"/>
                <w:szCs w:val="26"/>
              </w:rPr>
            </w:pPr>
            <w:r w:rsidRPr="00DA09DA">
              <w:rPr>
                <w:rFonts w:ascii="Times New Roman" w:hAnsi="Times New Roman" w:cs="Times New Roman"/>
                <w:sz w:val="26"/>
                <w:szCs w:val="26"/>
              </w:rPr>
              <w:t>– </w:t>
            </w:r>
            <w:r w:rsidR="00C96A00" w:rsidRPr="00DA09DA">
              <w:rPr>
                <w:rFonts w:ascii="Times New Roman" w:hAnsi="Times New Roman" w:cs="Times New Roman"/>
                <w:sz w:val="26"/>
                <w:szCs w:val="26"/>
              </w:rPr>
              <w:t>Regula Nr.1407/2013</w:t>
            </w:r>
            <w:r w:rsidR="00741717" w:rsidRPr="00DA09DA">
              <w:rPr>
                <w:rFonts w:ascii="Times New Roman" w:hAnsi="Times New Roman" w:cs="Times New Roman"/>
                <w:sz w:val="26"/>
                <w:szCs w:val="26"/>
              </w:rPr>
              <w:t>, kas stājās spēkā 2014.gada 1.janvārī;</w:t>
            </w:r>
            <w:r w:rsidR="00C96A00" w:rsidRPr="00DA09DA">
              <w:rPr>
                <w:rFonts w:ascii="Times New Roman" w:hAnsi="Times New Roman" w:cs="Times New Roman"/>
                <w:sz w:val="26"/>
                <w:szCs w:val="26"/>
              </w:rPr>
              <w:t xml:space="preserve"> un </w:t>
            </w:r>
          </w:p>
          <w:p w:rsidR="00A92B9B" w:rsidRPr="00DA09DA" w:rsidRDefault="00BE2F53" w:rsidP="00A92B9B">
            <w:pPr>
              <w:spacing w:before="10" w:after="0" w:line="240" w:lineRule="auto"/>
              <w:ind w:left="113" w:right="113"/>
              <w:jc w:val="both"/>
              <w:rPr>
                <w:rFonts w:ascii="Times New Roman" w:hAnsi="Times New Roman" w:cs="Times New Roman"/>
                <w:sz w:val="26"/>
                <w:szCs w:val="26"/>
              </w:rPr>
            </w:pPr>
            <w:r w:rsidRPr="00DA09DA">
              <w:rPr>
                <w:rFonts w:ascii="Times New Roman" w:hAnsi="Times New Roman" w:cs="Times New Roman"/>
                <w:sz w:val="26"/>
                <w:szCs w:val="26"/>
              </w:rPr>
              <w:t xml:space="preserve">– </w:t>
            </w:r>
            <w:r w:rsidR="00A92B9B" w:rsidRPr="00DA09DA">
              <w:rPr>
                <w:rFonts w:ascii="Times New Roman" w:hAnsi="Times New Roman" w:cs="Times New Roman"/>
                <w:sz w:val="26"/>
                <w:szCs w:val="26"/>
              </w:rPr>
              <w:t>R</w:t>
            </w:r>
            <w:r w:rsidR="00C96A00" w:rsidRPr="00DA09DA">
              <w:rPr>
                <w:rFonts w:ascii="Times New Roman" w:hAnsi="Times New Roman" w:cs="Times New Roman"/>
                <w:sz w:val="26"/>
                <w:szCs w:val="26"/>
              </w:rPr>
              <w:t>egula Nr.651/2014</w:t>
            </w:r>
            <w:r w:rsidR="000C687A" w:rsidRPr="00DA09DA">
              <w:rPr>
                <w:rFonts w:ascii="Times New Roman" w:hAnsi="Times New Roman" w:cs="Times New Roman"/>
                <w:sz w:val="26"/>
                <w:szCs w:val="26"/>
              </w:rPr>
              <w:t>, kas stājās spēkā 2014.gada 1.jūlijā</w:t>
            </w:r>
            <w:r w:rsidR="00C96A00" w:rsidRPr="00DA09DA">
              <w:rPr>
                <w:rFonts w:ascii="Times New Roman" w:hAnsi="Times New Roman" w:cs="Times New Roman"/>
                <w:sz w:val="26"/>
                <w:szCs w:val="26"/>
              </w:rPr>
              <w:t xml:space="preserve">.  </w:t>
            </w:r>
          </w:p>
          <w:p w:rsidR="006F2290" w:rsidRPr="00DA09DA" w:rsidRDefault="00E10D5F"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hAnsi="Times New Roman" w:cs="Times New Roman"/>
                <w:sz w:val="26"/>
                <w:szCs w:val="26"/>
              </w:rPr>
              <w:t xml:space="preserve">Ņemot vērā, ka 2.1.1.3.1.apakšaktivitātes projektu ietvaros nepieciešams veikt </w:t>
            </w:r>
            <w:r w:rsidR="007B108C" w:rsidRPr="00DA09DA">
              <w:rPr>
                <w:rFonts w:ascii="Times New Roman" w:hAnsi="Times New Roman" w:cs="Times New Roman"/>
                <w:sz w:val="26"/>
                <w:szCs w:val="26"/>
              </w:rPr>
              <w:t xml:space="preserve">ERAF </w:t>
            </w:r>
            <w:r w:rsidRPr="00DA09DA">
              <w:rPr>
                <w:rFonts w:ascii="Times New Roman" w:hAnsi="Times New Roman" w:cs="Times New Roman"/>
                <w:sz w:val="26"/>
                <w:szCs w:val="26"/>
              </w:rPr>
              <w:t>finansējuma pārdales starp labuma guvējiem, nepieciešams</w:t>
            </w:r>
            <w:r w:rsidR="0029067A" w:rsidRPr="00DA09DA">
              <w:rPr>
                <w:rFonts w:ascii="Times New Roman" w:eastAsia="Times New Roman" w:hAnsi="Times New Roman" w:cs="Times New Roman"/>
                <w:sz w:val="26"/>
                <w:szCs w:val="26"/>
                <w:lang w:eastAsia="lv-LV"/>
              </w:rPr>
              <w:t xml:space="preserve"> harmonizēt </w:t>
            </w:r>
            <w:r w:rsidR="00664FE3" w:rsidRPr="00DA09DA">
              <w:rPr>
                <w:rFonts w:ascii="Times New Roman" w:eastAsia="Times New Roman" w:hAnsi="Times New Roman" w:cs="Times New Roman"/>
                <w:sz w:val="26"/>
                <w:szCs w:val="26"/>
                <w:lang w:eastAsia="lv-LV"/>
              </w:rPr>
              <w:t xml:space="preserve">noteikumu Nr.987 iekļautās </w:t>
            </w:r>
            <w:r w:rsidR="00775F52" w:rsidRPr="00DA09DA">
              <w:rPr>
                <w:rFonts w:ascii="Times New Roman" w:eastAsia="Times New Roman" w:hAnsi="Times New Roman" w:cs="Times New Roman"/>
                <w:sz w:val="26"/>
                <w:szCs w:val="26"/>
                <w:lang w:eastAsia="lv-LV"/>
              </w:rPr>
              <w:t>n</w:t>
            </w:r>
            <w:r w:rsidR="00664FE3" w:rsidRPr="00DA09DA">
              <w:rPr>
                <w:rFonts w:ascii="Times New Roman" w:eastAsia="Times New Roman" w:hAnsi="Times New Roman" w:cs="Times New Roman"/>
                <w:sz w:val="26"/>
                <w:szCs w:val="26"/>
                <w:lang w:eastAsia="lv-LV"/>
              </w:rPr>
              <w:t xml:space="preserve">ormas ar </w:t>
            </w:r>
            <w:r w:rsidR="00775F52" w:rsidRPr="00DA09DA">
              <w:rPr>
                <w:rFonts w:ascii="Times New Roman" w:eastAsia="Times New Roman" w:hAnsi="Times New Roman" w:cs="Times New Roman"/>
                <w:sz w:val="26"/>
                <w:szCs w:val="26"/>
                <w:lang w:eastAsia="lv-LV"/>
              </w:rPr>
              <w:t>Eiropas Savienīb</w:t>
            </w:r>
            <w:r w:rsidR="0029067A" w:rsidRPr="00DA09DA">
              <w:rPr>
                <w:rFonts w:ascii="Times New Roman" w:eastAsia="Times New Roman" w:hAnsi="Times New Roman" w:cs="Times New Roman"/>
                <w:sz w:val="26"/>
                <w:szCs w:val="26"/>
                <w:lang w:eastAsia="lv-LV"/>
              </w:rPr>
              <w:t>as</w:t>
            </w:r>
            <w:r w:rsidR="00775F52" w:rsidRPr="00DA09DA">
              <w:rPr>
                <w:rFonts w:ascii="Times New Roman" w:eastAsia="Times New Roman" w:hAnsi="Times New Roman" w:cs="Times New Roman"/>
                <w:sz w:val="26"/>
                <w:szCs w:val="26"/>
                <w:lang w:eastAsia="lv-LV"/>
              </w:rPr>
              <w:t xml:space="preserve"> </w:t>
            </w:r>
            <w:r w:rsidR="00BB3442" w:rsidRPr="00DA09DA">
              <w:rPr>
                <w:rFonts w:ascii="Times New Roman" w:eastAsia="Times New Roman" w:hAnsi="Times New Roman" w:cs="Times New Roman"/>
                <w:sz w:val="26"/>
                <w:szCs w:val="26"/>
                <w:lang w:eastAsia="lv-LV"/>
              </w:rPr>
              <w:t xml:space="preserve">(turpmāk – </w:t>
            </w:r>
            <w:r w:rsidR="004A0291" w:rsidRPr="00DA09DA">
              <w:rPr>
                <w:rFonts w:ascii="Times New Roman" w:eastAsia="Times New Roman" w:hAnsi="Times New Roman" w:cs="Times New Roman"/>
                <w:sz w:val="26"/>
                <w:szCs w:val="26"/>
                <w:lang w:eastAsia="lv-LV"/>
              </w:rPr>
              <w:t xml:space="preserve">ES) </w:t>
            </w:r>
            <w:r w:rsidR="00775F52" w:rsidRPr="00DA09DA">
              <w:rPr>
                <w:rFonts w:ascii="Times New Roman" w:eastAsia="Times New Roman" w:hAnsi="Times New Roman" w:cs="Times New Roman"/>
                <w:sz w:val="26"/>
                <w:szCs w:val="26"/>
                <w:lang w:eastAsia="lv-LV"/>
              </w:rPr>
              <w:t>normatīvo aktu sistēmu</w:t>
            </w:r>
            <w:r w:rsidR="0029067A" w:rsidRPr="00DA09DA">
              <w:rPr>
                <w:rFonts w:ascii="Times New Roman" w:eastAsia="Times New Roman" w:hAnsi="Times New Roman" w:cs="Times New Roman"/>
                <w:sz w:val="26"/>
                <w:szCs w:val="26"/>
                <w:lang w:eastAsia="lv-LV"/>
              </w:rPr>
              <w:t>, noteikumu projekt</w:t>
            </w:r>
            <w:r w:rsidR="00D26DCA" w:rsidRPr="00DA09DA">
              <w:rPr>
                <w:rFonts w:ascii="Times New Roman" w:eastAsia="Times New Roman" w:hAnsi="Times New Roman" w:cs="Times New Roman"/>
                <w:sz w:val="26"/>
                <w:szCs w:val="26"/>
                <w:lang w:eastAsia="lv-LV"/>
              </w:rPr>
              <w:t>s</w:t>
            </w:r>
            <w:r w:rsidR="0029067A" w:rsidRPr="00DA09DA">
              <w:rPr>
                <w:rFonts w:ascii="Times New Roman" w:eastAsia="Times New Roman" w:hAnsi="Times New Roman" w:cs="Times New Roman"/>
                <w:sz w:val="26"/>
                <w:szCs w:val="26"/>
                <w:lang w:eastAsia="lv-LV"/>
              </w:rPr>
              <w:t xml:space="preserve"> paredz</w:t>
            </w:r>
            <w:r w:rsidR="001B4D7C" w:rsidRPr="00DA09DA">
              <w:rPr>
                <w:rFonts w:ascii="Times New Roman" w:eastAsia="Times New Roman" w:hAnsi="Times New Roman" w:cs="Times New Roman"/>
                <w:sz w:val="26"/>
                <w:szCs w:val="26"/>
                <w:lang w:eastAsia="lv-LV"/>
              </w:rPr>
              <w:t xml:space="preserve"> veikt šādus </w:t>
            </w:r>
            <w:r w:rsidR="00FB1A01" w:rsidRPr="00DA09DA">
              <w:rPr>
                <w:rFonts w:ascii="Times New Roman" w:eastAsia="Times New Roman" w:hAnsi="Times New Roman" w:cs="Times New Roman"/>
                <w:sz w:val="26"/>
                <w:szCs w:val="26"/>
                <w:lang w:eastAsia="lv-LV"/>
              </w:rPr>
              <w:t xml:space="preserve">noteikumu Nr.987 </w:t>
            </w:r>
            <w:r w:rsidR="001B4D7C" w:rsidRPr="00DA09DA">
              <w:rPr>
                <w:rFonts w:ascii="Times New Roman" w:eastAsia="Times New Roman" w:hAnsi="Times New Roman" w:cs="Times New Roman"/>
                <w:sz w:val="26"/>
                <w:szCs w:val="26"/>
                <w:lang w:eastAsia="lv-LV"/>
              </w:rPr>
              <w:t xml:space="preserve">grozījumus, nodrošinot normatīvā </w:t>
            </w:r>
            <w:r w:rsidR="001B4D7C" w:rsidRPr="00DA09DA">
              <w:rPr>
                <w:rFonts w:ascii="Times New Roman" w:eastAsia="Times New Roman" w:hAnsi="Times New Roman" w:cs="Times New Roman"/>
                <w:sz w:val="26"/>
                <w:szCs w:val="26"/>
                <w:lang w:eastAsia="lv-LV"/>
              </w:rPr>
              <w:lastRenderedPageBreak/>
              <w:t>akta atbilstību Latvijas Republikas starptautiskajām saistībām</w:t>
            </w:r>
            <w:r w:rsidR="006F2290" w:rsidRPr="00DA09DA">
              <w:rPr>
                <w:rFonts w:ascii="Times New Roman" w:eastAsia="Times New Roman" w:hAnsi="Times New Roman" w:cs="Times New Roman"/>
                <w:sz w:val="26"/>
                <w:szCs w:val="26"/>
                <w:lang w:eastAsia="lv-LV"/>
              </w:rPr>
              <w:t>:</w:t>
            </w:r>
          </w:p>
          <w:p w:rsidR="006F2290" w:rsidRPr="00DA09DA" w:rsidRDefault="006F2290" w:rsidP="00772594">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1.1. </w:t>
            </w:r>
            <w:r w:rsidR="007276AC" w:rsidRPr="00DA09DA">
              <w:rPr>
                <w:rFonts w:ascii="Times New Roman" w:eastAsia="Times New Roman" w:hAnsi="Times New Roman" w:cs="Times New Roman"/>
                <w:sz w:val="26"/>
                <w:szCs w:val="26"/>
                <w:lang w:eastAsia="lv-LV"/>
              </w:rPr>
              <w:t xml:space="preserve">veikti </w:t>
            </w:r>
            <w:r w:rsidR="001832A5" w:rsidRPr="00DA09DA">
              <w:rPr>
                <w:rFonts w:ascii="Times New Roman" w:eastAsia="Times New Roman" w:hAnsi="Times New Roman" w:cs="Times New Roman"/>
                <w:sz w:val="26"/>
                <w:szCs w:val="26"/>
                <w:lang w:eastAsia="lv-LV"/>
              </w:rPr>
              <w:t>grozījumi</w:t>
            </w:r>
            <w:r w:rsidR="0070542B" w:rsidRPr="00DA09DA">
              <w:rPr>
                <w:rFonts w:ascii="Times New Roman" w:eastAsia="Times New Roman" w:hAnsi="Times New Roman" w:cs="Times New Roman"/>
                <w:sz w:val="26"/>
                <w:szCs w:val="26"/>
                <w:lang w:eastAsia="lv-LV"/>
              </w:rPr>
              <w:t xml:space="preserve"> </w:t>
            </w:r>
            <w:r w:rsidR="00D26DCA" w:rsidRPr="00DA09DA">
              <w:rPr>
                <w:rFonts w:ascii="Times New Roman" w:eastAsia="Times New Roman" w:hAnsi="Times New Roman" w:cs="Times New Roman"/>
                <w:sz w:val="26"/>
                <w:szCs w:val="26"/>
                <w:lang w:eastAsia="lv-LV"/>
              </w:rPr>
              <w:t>2.1.1.</w:t>
            </w:r>
            <w:r w:rsidR="00C44C31" w:rsidRPr="00DA09DA">
              <w:rPr>
                <w:rFonts w:ascii="Times New Roman" w:eastAsia="Times New Roman" w:hAnsi="Times New Roman" w:cs="Times New Roman"/>
                <w:sz w:val="26"/>
                <w:szCs w:val="26"/>
                <w:lang w:eastAsia="lv-LV"/>
              </w:rPr>
              <w:t>, 2.2.1., 2.3., 2.4.</w:t>
            </w:r>
            <w:r w:rsidR="007358F2" w:rsidRPr="00DA09DA">
              <w:rPr>
                <w:rFonts w:ascii="Times New Roman" w:eastAsia="Times New Roman" w:hAnsi="Times New Roman" w:cs="Times New Roman"/>
                <w:sz w:val="26"/>
                <w:szCs w:val="26"/>
                <w:lang w:eastAsia="lv-LV"/>
              </w:rPr>
              <w:t xml:space="preserve">, </w:t>
            </w:r>
            <w:r w:rsidR="00772594" w:rsidRPr="00DA09DA">
              <w:rPr>
                <w:rFonts w:ascii="Times New Roman" w:eastAsia="Times New Roman" w:hAnsi="Times New Roman" w:cs="Times New Roman"/>
                <w:sz w:val="26"/>
                <w:szCs w:val="26"/>
                <w:lang w:eastAsia="lv-LV"/>
              </w:rPr>
              <w:t xml:space="preserve">14.2., 14.2.1., </w:t>
            </w:r>
            <w:r w:rsidR="001F4E77">
              <w:rPr>
                <w:rFonts w:ascii="Times New Roman" w:eastAsia="Times New Roman" w:hAnsi="Times New Roman" w:cs="Times New Roman"/>
                <w:sz w:val="26"/>
                <w:szCs w:val="26"/>
                <w:lang w:eastAsia="lv-LV"/>
              </w:rPr>
              <w:t xml:space="preserve">17.5, </w:t>
            </w:r>
            <w:r w:rsidR="00293A06" w:rsidRPr="00DA09DA">
              <w:rPr>
                <w:rFonts w:ascii="Times New Roman" w:eastAsia="Times New Roman" w:hAnsi="Times New Roman" w:cs="Times New Roman"/>
                <w:sz w:val="26"/>
                <w:szCs w:val="26"/>
                <w:lang w:eastAsia="lv-LV"/>
              </w:rPr>
              <w:t xml:space="preserve">17.6., </w:t>
            </w:r>
            <w:r w:rsidR="00B845D1" w:rsidRPr="00DA09DA">
              <w:rPr>
                <w:rFonts w:ascii="Times New Roman" w:eastAsia="Times New Roman" w:hAnsi="Times New Roman" w:cs="Times New Roman"/>
                <w:sz w:val="26"/>
                <w:szCs w:val="26"/>
                <w:lang w:eastAsia="lv-LV"/>
              </w:rPr>
              <w:t xml:space="preserve">31.2.1., </w:t>
            </w:r>
            <w:r w:rsidR="00D06042" w:rsidRPr="00DA09DA">
              <w:rPr>
                <w:rFonts w:ascii="Times New Roman" w:eastAsia="Times New Roman" w:hAnsi="Times New Roman" w:cs="Times New Roman"/>
                <w:sz w:val="26"/>
                <w:szCs w:val="26"/>
                <w:lang w:eastAsia="lv-LV"/>
              </w:rPr>
              <w:t xml:space="preserve">31.2.2., 31.3.2., </w:t>
            </w:r>
            <w:r w:rsidR="00B24662" w:rsidRPr="00DA09DA">
              <w:rPr>
                <w:rFonts w:ascii="Times New Roman" w:eastAsia="Times New Roman" w:hAnsi="Times New Roman" w:cs="Times New Roman"/>
                <w:sz w:val="26"/>
                <w:szCs w:val="26"/>
                <w:lang w:eastAsia="lv-LV"/>
              </w:rPr>
              <w:t xml:space="preserve">31.4., </w:t>
            </w:r>
            <w:r w:rsidR="00B845D1" w:rsidRPr="00DA09DA">
              <w:rPr>
                <w:rFonts w:ascii="Times New Roman" w:eastAsia="Times New Roman" w:hAnsi="Times New Roman" w:cs="Times New Roman"/>
                <w:sz w:val="26"/>
                <w:szCs w:val="26"/>
                <w:lang w:eastAsia="lv-LV"/>
              </w:rPr>
              <w:t>37.5.</w:t>
            </w:r>
            <w:r w:rsidR="00383F6D" w:rsidRPr="00DA09DA">
              <w:rPr>
                <w:rFonts w:ascii="Times New Roman" w:eastAsia="Times New Roman" w:hAnsi="Times New Roman" w:cs="Times New Roman"/>
                <w:sz w:val="26"/>
                <w:szCs w:val="26"/>
                <w:lang w:eastAsia="lv-LV"/>
              </w:rPr>
              <w:t>,</w:t>
            </w:r>
            <w:r w:rsidR="00B845D1" w:rsidRPr="00DA09DA">
              <w:rPr>
                <w:rFonts w:ascii="Times New Roman" w:eastAsia="Times New Roman" w:hAnsi="Times New Roman" w:cs="Times New Roman"/>
                <w:sz w:val="26"/>
                <w:szCs w:val="26"/>
                <w:lang w:eastAsia="lv-LV"/>
              </w:rPr>
              <w:t xml:space="preserve"> </w:t>
            </w:r>
            <w:r w:rsidR="00383F6D" w:rsidRPr="00DA09DA">
              <w:rPr>
                <w:rFonts w:ascii="Times New Roman" w:eastAsia="Times New Roman" w:hAnsi="Times New Roman" w:cs="Times New Roman"/>
                <w:sz w:val="26"/>
                <w:szCs w:val="26"/>
                <w:lang w:eastAsia="lv-LV"/>
              </w:rPr>
              <w:t>37.6.</w:t>
            </w:r>
            <w:r w:rsidR="00A90E0A" w:rsidRPr="00DA09DA">
              <w:rPr>
                <w:rFonts w:ascii="Times New Roman" w:eastAsia="Times New Roman" w:hAnsi="Times New Roman" w:cs="Times New Roman"/>
                <w:sz w:val="26"/>
                <w:szCs w:val="26"/>
                <w:lang w:eastAsia="lv-LV"/>
              </w:rPr>
              <w:t>,</w:t>
            </w:r>
            <w:r w:rsidR="00383F6D" w:rsidRPr="00DA09DA">
              <w:rPr>
                <w:rFonts w:ascii="Times New Roman" w:eastAsia="Times New Roman" w:hAnsi="Times New Roman" w:cs="Times New Roman"/>
                <w:sz w:val="26"/>
                <w:szCs w:val="26"/>
                <w:lang w:eastAsia="lv-LV"/>
              </w:rPr>
              <w:t xml:space="preserve"> </w:t>
            </w:r>
            <w:r w:rsidR="00A90E0A" w:rsidRPr="00DA09DA">
              <w:rPr>
                <w:rFonts w:ascii="Times New Roman" w:eastAsia="Times New Roman" w:hAnsi="Times New Roman" w:cs="Times New Roman"/>
                <w:sz w:val="26"/>
                <w:szCs w:val="26"/>
                <w:lang w:eastAsia="lv-LV"/>
              </w:rPr>
              <w:t>39.17.</w:t>
            </w:r>
            <w:r w:rsidR="00772594" w:rsidRPr="00DA09DA">
              <w:rPr>
                <w:rFonts w:ascii="Times New Roman" w:eastAsia="Times New Roman" w:hAnsi="Times New Roman" w:cs="Times New Roman"/>
                <w:sz w:val="26"/>
                <w:szCs w:val="26"/>
                <w:lang w:eastAsia="lv-LV"/>
              </w:rPr>
              <w:t xml:space="preserve"> un 47.2.6.</w:t>
            </w:r>
            <w:r w:rsidR="00A90E0A" w:rsidRPr="00DA09DA">
              <w:rPr>
                <w:rFonts w:ascii="Times New Roman" w:eastAsia="Times New Roman" w:hAnsi="Times New Roman" w:cs="Times New Roman"/>
                <w:sz w:val="26"/>
                <w:szCs w:val="26"/>
                <w:lang w:eastAsia="lv-LV"/>
              </w:rPr>
              <w:t>apakšpunktā</w:t>
            </w:r>
            <w:r w:rsidR="00772594" w:rsidRPr="00DA09DA">
              <w:rPr>
                <w:rFonts w:ascii="Times New Roman" w:eastAsia="Times New Roman" w:hAnsi="Times New Roman" w:cs="Times New Roman"/>
                <w:sz w:val="26"/>
                <w:szCs w:val="26"/>
                <w:lang w:eastAsia="lv-LV"/>
              </w:rPr>
              <w:t>,</w:t>
            </w:r>
            <w:r w:rsidR="00FD633C" w:rsidRPr="00DA09DA">
              <w:rPr>
                <w:rFonts w:ascii="Times New Roman" w:eastAsia="Times New Roman" w:hAnsi="Times New Roman" w:cs="Times New Roman"/>
                <w:sz w:val="26"/>
                <w:szCs w:val="26"/>
                <w:lang w:eastAsia="lv-LV"/>
              </w:rPr>
              <w:t xml:space="preserve"> </w:t>
            </w:r>
            <w:r w:rsidR="00A90E0A" w:rsidRPr="00DA09DA">
              <w:rPr>
                <w:rFonts w:ascii="Times New Roman" w:eastAsia="Times New Roman" w:hAnsi="Times New Roman" w:cs="Times New Roman"/>
                <w:sz w:val="26"/>
                <w:szCs w:val="26"/>
                <w:lang w:eastAsia="lv-LV"/>
              </w:rPr>
              <w:t>3.</w:t>
            </w:r>
            <w:r w:rsidR="00B2448C" w:rsidRPr="00DA09DA">
              <w:rPr>
                <w:rFonts w:ascii="Times New Roman" w:eastAsia="Times New Roman" w:hAnsi="Times New Roman" w:cs="Times New Roman"/>
                <w:sz w:val="26"/>
                <w:szCs w:val="26"/>
                <w:lang w:eastAsia="lv-LV"/>
              </w:rPr>
              <w:t>, 35</w:t>
            </w:r>
            <w:r w:rsidR="00007C97" w:rsidRPr="00DA09DA">
              <w:rPr>
                <w:rFonts w:ascii="Times New Roman" w:eastAsia="Times New Roman" w:hAnsi="Times New Roman" w:cs="Times New Roman"/>
                <w:sz w:val="26"/>
                <w:szCs w:val="26"/>
                <w:lang w:eastAsia="lv-LV"/>
              </w:rPr>
              <w:t>,</w:t>
            </w:r>
            <w:r w:rsidR="00FD633C" w:rsidRPr="00DA09DA">
              <w:rPr>
                <w:rFonts w:ascii="Times New Roman" w:eastAsia="Times New Roman" w:hAnsi="Times New Roman" w:cs="Times New Roman"/>
                <w:sz w:val="26"/>
                <w:szCs w:val="26"/>
                <w:lang w:eastAsia="lv-LV"/>
              </w:rPr>
              <w:t xml:space="preserve"> </w:t>
            </w:r>
            <w:r w:rsidR="00B2448C" w:rsidRPr="00DA09DA">
              <w:rPr>
                <w:rFonts w:ascii="Times New Roman" w:eastAsia="Times New Roman" w:hAnsi="Times New Roman" w:cs="Times New Roman"/>
                <w:sz w:val="26"/>
                <w:szCs w:val="26"/>
                <w:lang w:eastAsia="lv-LV"/>
              </w:rPr>
              <w:t>53</w:t>
            </w:r>
            <w:r w:rsidR="00FD633C" w:rsidRPr="00DA09DA">
              <w:rPr>
                <w:rFonts w:ascii="Times New Roman" w:eastAsia="Times New Roman" w:hAnsi="Times New Roman" w:cs="Times New Roman"/>
                <w:sz w:val="26"/>
                <w:szCs w:val="26"/>
                <w:lang w:eastAsia="lv-LV"/>
              </w:rPr>
              <w:t>.</w:t>
            </w:r>
            <w:r w:rsidR="00A90E0A" w:rsidRPr="00DA09DA">
              <w:rPr>
                <w:rFonts w:ascii="Times New Roman" w:eastAsia="Times New Roman" w:hAnsi="Times New Roman" w:cs="Times New Roman"/>
                <w:sz w:val="26"/>
                <w:szCs w:val="26"/>
                <w:lang w:eastAsia="lv-LV"/>
              </w:rPr>
              <w:t>punktā</w:t>
            </w:r>
            <w:r w:rsidR="00007C97" w:rsidRPr="00DA09DA">
              <w:rPr>
                <w:rFonts w:ascii="Times New Roman" w:eastAsia="Times New Roman" w:hAnsi="Times New Roman" w:cs="Times New Roman"/>
                <w:sz w:val="26"/>
                <w:szCs w:val="26"/>
                <w:lang w:eastAsia="lv-LV"/>
              </w:rPr>
              <w:t xml:space="preserve"> un 2.pielikuma 6.1.1.2.apakšpunktā</w:t>
            </w:r>
            <w:r w:rsidR="00A90E0A" w:rsidRPr="00DA09DA">
              <w:rPr>
                <w:rFonts w:ascii="Times New Roman" w:eastAsia="Times New Roman" w:hAnsi="Times New Roman" w:cs="Times New Roman"/>
                <w:sz w:val="26"/>
                <w:szCs w:val="26"/>
                <w:lang w:eastAsia="lv-LV"/>
              </w:rPr>
              <w:t xml:space="preserve">, </w:t>
            </w:r>
            <w:r w:rsidR="00C3640C" w:rsidRPr="00DA09DA">
              <w:rPr>
                <w:rFonts w:ascii="Times New Roman" w:eastAsia="Times New Roman" w:hAnsi="Times New Roman" w:cs="Times New Roman"/>
                <w:sz w:val="26"/>
                <w:szCs w:val="26"/>
                <w:lang w:eastAsia="lv-LV"/>
              </w:rPr>
              <w:t>sistematizējot noteikumu projekta iekļautās normas</w:t>
            </w:r>
            <w:r w:rsidR="009A6CCA" w:rsidRPr="00DA09DA">
              <w:rPr>
                <w:rFonts w:ascii="Times New Roman" w:eastAsia="Times New Roman" w:hAnsi="Times New Roman" w:cs="Times New Roman"/>
                <w:sz w:val="26"/>
                <w:szCs w:val="26"/>
                <w:lang w:eastAsia="lv-LV"/>
              </w:rPr>
              <w:t xml:space="preserve">, kas attiecināmas uz konkrētu atbalsta kategoriju, </w:t>
            </w:r>
            <w:r w:rsidR="00B24662" w:rsidRPr="00DA09DA">
              <w:rPr>
                <w:rFonts w:ascii="Times New Roman" w:eastAsia="Times New Roman" w:hAnsi="Times New Roman" w:cs="Times New Roman"/>
                <w:sz w:val="26"/>
                <w:szCs w:val="26"/>
                <w:lang w:eastAsia="lv-LV"/>
              </w:rPr>
              <w:t xml:space="preserve">un </w:t>
            </w:r>
            <w:r w:rsidR="004226D5" w:rsidRPr="00DA09DA">
              <w:rPr>
                <w:rFonts w:ascii="Times New Roman" w:eastAsia="Times New Roman" w:hAnsi="Times New Roman" w:cs="Times New Roman"/>
                <w:sz w:val="26"/>
                <w:szCs w:val="26"/>
                <w:lang w:eastAsia="lv-LV"/>
              </w:rPr>
              <w:t>norādot atsauces uz</w:t>
            </w:r>
            <w:r w:rsidR="00165B54" w:rsidRPr="00DA09DA">
              <w:rPr>
                <w:rFonts w:ascii="Times New Roman" w:eastAsia="Times New Roman" w:hAnsi="Times New Roman" w:cs="Times New Roman"/>
                <w:sz w:val="26"/>
                <w:szCs w:val="26"/>
                <w:lang w:eastAsia="lv-LV"/>
              </w:rPr>
              <w:t xml:space="preserve"> </w:t>
            </w:r>
            <w:r w:rsidR="00A87766" w:rsidRPr="00DA09DA">
              <w:rPr>
                <w:rFonts w:ascii="Times New Roman" w:eastAsia="Times New Roman" w:hAnsi="Times New Roman" w:cs="Times New Roman"/>
                <w:sz w:val="26"/>
                <w:szCs w:val="26"/>
                <w:lang w:eastAsia="lv-LV"/>
              </w:rPr>
              <w:t>spēkā esoš</w:t>
            </w:r>
            <w:r w:rsidR="00C819C2" w:rsidRPr="00DA09DA">
              <w:rPr>
                <w:rFonts w:ascii="Times New Roman" w:eastAsia="Times New Roman" w:hAnsi="Times New Roman" w:cs="Times New Roman"/>
                <w:sz w:val="26"/>
                <w:szCs w:val="26"/>
                <w:lang w:eastAsia="lv-LV"/>
              </w:rPr>
              <w:t>ajiem ES normatīvajiem aktiem</w:t>
            </w:r>
            <w:r w:rsidR="000C7A15" w:rsidRPr="00DA09DA">
              <w:rPr>
                <w:rFonts w:ascii="Times New Roman" w:eastAsia="Times New Roman" w:hAnsi="Times New Roman" w:cs="Times New Roman"/>
                <w:sz w:val="26"/>
                <w:szCs w:val="26"/>
                <w:lang w:eastAsia="lv-LV"/>
              </w:rPr>
              <w:t>;</w:t>
            </w:r>
          </w:p>
          <w:p w:rsidR="00F71831" w:rsidRPr="00DA09DA" w:rsidRDefault="00F71831"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r w:rsidR="006F2290" w:rsidRPr="00DA09DA">
              <w:rPr>
                <w:rFonts w:ascii="Times New Roman" w:eastAsia="Times New Roman" w:hAnsi="Times New Roman" w:cs="Times New Roman"/>
                <w:sz w:val="26"/>
                <w:szCs w:val="26"/>
                <w:lang w:eastAsia="lv-LV"/>
              </w:rPr>
              <w:t>.2. noteikum</w:t>
            </w:r>
            <w:r w:rsidR="003B1867" w:rsidRPr="00DA09DA">
              <w:rPr>
                <w:rFonts w:ascii="Times New Roman" w:eastAsia="Times New Roman" w:hAnsi="Times New Roman" w:cs="Times New Roman"/>
                <w:sz w:val="26"/>
                <w:szCs w:val="26"/>
                <w:lang w:eastAsia="lv-LV"/>
              </w:rPr>
              <w:t>i</w:t>
            </w:r>
            <w:r w:rsidR="006F2290" w:rsidRPr="00DA09DA">
              <w:rPr>
                <w:rFonts w:ascii="Times New Roman" w:eastAsia="Times New Roman" w:hAnsi="Times New Roman" w:cs="Times New Roman"/>
                <w:sz w:val="26"/>
                <w:szCs w:val="26"/>
                <w:lang w:eastAsia="lv-LV"/>
              </w:rPr>
              <w:t xml:space="preserve"> Nr.987 </w:t>
            </w:r>
            <w:r w:rsidR="003B1867" w:rsidRPr="00DA09DA">
              <w:rPr>
                <w:rFonts w:ascii="Times New Roman" w:eastAsia="Times New Roman" w:hAnsi="Times New Roman" w:cs="Times New Roman"/>
                <w:sz w:val="26"/>
                <w:szCs w:val="26"/>
                <w:lang w:eastAsia="lv-LV"/>
              </w:rPr>
              <w:t xml:space="preserve">papildināti </w:t>
            </w:r>
            <w:r w:rsidR="006F2290" w:rsidRPr="00DA09DA">
              <w:rPr>
                <w:rFonts w:ascii="Times New Roman" w:eastAsia="Times New Roman" w:hAnsi="Times New Roman" w:cs="Times New Roman"/>
                <w:sz w:val="26"/>
                <w:szCs w:val="26"/>
                <w:lang w:eastAsia="lv-LV"/>
              </w:rPr>
              <w:t>ar 2.10.</w:t>
            </w:r>
            <w:r w:rsidR="006F2290" w:rsidRPr="00DA09DA">
              <w:rPr>
                <w:rFonts w:ascii="Times New Roman" w:eastAsia="Times New Roman" w:hAnsi="Times New Roman" w:cs="Times New Roman"/>
                <w:sz w:val="26"/>
                <w:szCs w:val="26"/>
                <w:vertAlign w:val="superscript"/>
                <w:lang w:eastAsia="lv-LV"/>
              </w:rPr>
              <w:t>1</w:t>
            </w:r>
            <w:r w:rsidR="00097548" w:rsidRPr="00DA09DA">
              <w:rPr>
                <w:rFonts w:ascii="Times New Roman" w:eastAsia="Times New Roman" w:hAnsi="Times New Roman" w:cs="Times New Roman"/>
                <w:sz w:val="26"/>
                <w:szCs w:val="26"/>
                <w:lang w:eastAsia="lv-LV"/>
              </w:rPr>
              <w:t>, 13.8.</w:t>
            </w:r>
            <w:r w:rsidR="00C439A7" w:rsidRPr="00DA09DA">
              <w:rPr>
                <w:rFonts w:ascii="Times New Roman" w:eastAsia="Times New Roman" w:hAnsi="Times New Roman" w:cs="Times New Roman"/>
                <w:sz w:val="26"/>
                <w:szCs w:val="26"/>
                <w:lang w:eastAsia="lv-LV"/>
              </w:rPr>
              <w:t xml:space="preserve">, </w:t>
            </w:r>
            <w:r w:rsidR="00930EF7" w:rsidRPr="00DA09DA">
              <w:rPr>
                <w:rFonts w:ascii="Times New Roman" w:eastAsia="Times New Roman" w:hAnsi="Times New Roman" w:cs="Times New Roman"/>
                <w:sz w:val="26"/>
                <w:szCs w:val="26"/>
                <w:lang w:eastAsia="lv-LV"/>
              </w:rPr>
              <w:t xml:space="preserve">14.20., </w:t>
            </w:r>
            <w:r w:rsidR="00C439A7" w:rsidRPr="00DA09DA">
              <w:rPr>
                <w:rFonts w:ascii="Times New Roman" w:eastAsia="Times New Roman" w:hAnsi="Times New Roman" w:cs="Times New Roman"/>
                <w:sz w:val="26"/>
                <w:szCs w:val="26"/>
                <w:lang w:eastAsia="lv-LV"/>
              </w:rPr>
              <w:t>31.3.3.</w:t>
            </w:r>
            <w:r w:rsidR="00DF4352">
              <w:rPr>
                <w:rFonts w:ascii="Times New Roman" w:eastAsia="Times New Roman" w:hAnsi="Times New Roman" w:cs="Times New Roman"/>
                <w:sz w:val="26"/>
                <w:szCs w:val="26"/>
                <w:lang w:eastAsia="lv-LV"/>
              </w:rPr>
              <w:t xml:space="preserve">, 31.3.4. </w:t>
            </w:r>
            <w:r w:rsidR="001A362F" w:rsidRPr="00DA09DA">
              <w:rPr>
                <w:rFonts w:ascii="Times New Roman" w:eastAsia="Times New Roman" w:hAnsi="Times New Roman" w:cs="Times New Roman"/>
                <w:sz w:val="26"/>
                <w:szCs w:val="26"/>
                <w:lang w:eastAsia="lv-LV"/>
              </w:rPr>
              <w:t>apakšpunktu</w:t>
            </w:r>
            <w:r w:rsidR="00C40EAB" w:rsidRPr="00DA09DA">
              <w:rPr>
                <w:rFonts w:ascii="Times New Roman" w:eastAsia="Times New Roman" w:hAnsi="Times New Roman" w:cs="Times New Roman"/>
                <w:sz w:val="26"/>
                <w:szCs w:val="26"/>
                <w:lang w:eastAsia="lv-LV"/>
              </w:rPr>
              <w:t xml:space="preserve">, nodrošinot atbilstību ar </w:t>
            </w:r>
            <w:r w:rsidRPr="00DA09DA">
              <w:rPr>
                <w:rFonts w:ascii="Times New Roman" w:eastAsia="Times New Roman" w:hAnsi="Times New Roman" w:cs="Times New Roman"/>
                <w:sz w:val="26"/>
                <w:szCs w:val="26"/>
                <w:lang w:eastAsia="lv-LV"/>
              </w:rPr>
              <w:t>Regulas Nr.1407/2013 normām;</w:t>
            </w:r>
          </w:p>
          <w:p w:rsidR="00C301D2" w:rsidRPr="00DA09DA" w:rsidRDefault="00C301D2" w:rsidP="00C301D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1.3. noteikumi Nr.987 papildināti ar 2.1.</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 xml:space="preserve">, </w:t>
            </w:r>
            <w:r w:rsidR="00BD2D26" w:rsidRPr="00DA09DA">
              <w:rPr>
                <w:rFonts w:ascii="Times New Roman" w:eastAsia="Times New Roman" w:hAnsi="Times New Roman" w:cs="Times New Roman"/>
                <w:sz w:val="26"/>
                <w:szCs w:val="26"/>
                <w:lang w:eastAsia="lv-LV"/>
              </w:rPr>
              <w:t>2.1.</w:t>
            </w:r>
            <w:r w:rsidR="00BD2D26" w:rsidRPr="00DA09DA">
              <w:rPr>
                <w:rFonts w:ascii="Times New Roman" w:eastAsia="Times New Roman" w:hAnsi="Times New Roman" w:cs="Times New Roman"/>
                <w:sz w:val="26"/>
                <w:szCs w:val="26"/>
                <w:vertAlign w:val="superscript"/>
                <w:lang w:eastAsia="lv-LV"/>
              </w:rPr>
              <w:t>2,</w:t>
            </w:r>
            <w:r w:rsidR="00BD2D26" w:rsidRPr="00DA09DA">
              <w:rPr>
                <w:rFonts w:ascii="Times New Roman" w:eastAsia="Times New Roman" w:hAnsi="Times New Roman" w:cs="Times New Roman"/>
                <w:sz w:val="26"/>
                <w:szCs w:val="26"/>
                <w:lang w:eastAsia="lv-LV"/>
              </w:rPr>
              <w:t>,</w:t>
            </w:r>
            <w:r w:rsidR="00BD2D26" w:rsidRPr="00DA09DA">
              <w:rPr>
                <w:rFonts w:ascii="Times New Roman" w:eastAsia="Times New Roman" w:hAnsi="Times New Roman" w:cs="Times New Roman"/>
                <w:sz w:val="26"/>
                <w:szCs w:val="26"/>
                <w:vertAlign w:val="superscript"/>
                <w:lang w:eastAsia="lv-LV"/>
              </w:rPr>
              <w:t xml:space="preserve"> </w:t>
            </w:r>
            <w:r w:rsidR="00BD2D26" w:rsidRPr="00DA09DA">
              <w:rPr>
                <w:rFonts w:ascii="Times New Roman" w:eastAsia="Times New Roman" w:hAnsi="Times New Roman" w:cs="Times New Roman"/>
                <w:sz w:val="26"/>
                <w:szCs w:val="26"/>
                <w:lang w:eastAsia="lv-LV"/>
              </w:rPr>
              <w:t>2.4.</w:t>
            </w:r>
            <w:r w:rsidR="00BD2D26" w:rsidRPr="00DA09DA">
              <w:rPr>
                <w:rFonts w:ascii="Times New Roman" w:eastAsia="Times New Roman" w:hAnsi="Times New Roman" w:cs="Times New Roman"/>
                <w:sz w:val="26"/>
                <w:szCs w:val="26"/>
                <w:vertAlign w:val="superscript"/>
                <w:lang w:eastAsia="lv-LV"/>
              </w:rPr>
              <w:t>1</w:t>
            </w:r>
            <w:r w:rsidR="00BD2D26" w:rsidRPr="00DA09DA">
              <w:rPr>
                <w:rFonts w:ascii="Times New Roman" w:eastAsia="Times New Roman" w:hAnsi="Times New Roman" w:cs="Times New Roman"/>
                <w:sz w:val="26"/>
                <w:szCs w:val="26"/>
                <w:lang w:eastAsia="lv-LV"/>
              </w:rPr>
              <w:t>, 2.4.</w:t>
            </w:r>
            <w:r w:rsidR="00BD2D26" w:rsidRPr="00DA09DA">
              <w:rPr>
                <w:rFonts w:ascii="Times New Roman" w:eastAsia="Times New Roman" w:hAnsi="Times New Roman" w:cs="Times New Roman"/>
                <w:sz w:val="26"/>
                <w:szCs w:val="26"/>
                <w:vertAlign w:val="superscript"/>
                <w:lang w:eastAsia="lv-LV"/>
              </w:rPr>
              <w:t>2</w:t>
            </w:r>
            <w:r w:rsidR="00573FD4" w:rsidRPr="00DA09DA">
              <w:rPr>
                <w:rFonts w:ascii="Times New Roman" w:eastAsia="Times New Roman" w:hAnsi="Times New Roman" w:cs="Times New Roman"/>
                <w:sz w:val="26"/>
                <w:szCs w:val="26"/>
                <w:vertAlign w:val="superscript"/>
                <w:lang w:eastAsia="lv-LV"/>
              </w:rPr>
              <w:t>,</w:t>
            </w:r>
            <w:r w:rsidR="00573FD4" w:rsidRPr="00DA09DA">
              <w:rPr>
                <w:rFonts w:ascii="Times New Roman" w:eastAsia="Times New Roman" w:hAnsi="Times New Roman" w:cs="Times New Roman"/>
                <w:sz w:val="26"/>
                <w:szCs w:val="26"/>
                <w:lang w:eastAsia="lv-LV"/>
              </w:rPr>
              <w:t>,</w:t>
            </w:r>
            <w:r w:rsidR="00573FD4" w:rsidRPr="00DA09DA">
              <w:rPr>
                <w:rFonts w:ascii="Times New Roman" w:eastAsia="Times New Roman" w:hAnsi="Times New Roman" w:cs="Times New Roman"/>
                <w:sz w:val="26"/>
                <w:szCs w:val="26"/>
                <w:vertAlign w:val="superscript"/>
                <w:lang w:eastAsia="lv-LV"/>
              </w:rPr>
              <w:t xml:space="preserve"> </w:t>
            </w:r>
            <w:r w:rsidRPr="00DA09DA">
              <w:rPr>
                <w:rFonts w:ascii="Times New Roman" w:eastAsia="Times New Roman" w:hAnsi="Times New Roman" w:cs="Times New Roman"/>
                <w:sz w:val="26"/>
                <w:szCs w:val="26"/>
                <w:lang w:eastAsia="lv-LV"/>
              </w:rPr>
              <w:t>2.5.</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 xml:space="preserve">, </w:t>
            </w:r>
            <w:r w:rsidR="00BD2D26" w:rsidRPr="00DA09DA">
              <w:rPr>
                <w:rFonts w:ascii="Times New Roman" w:eastAsia="Times New Roman" w:hAnsi="Times New Roman" w:cs="Times New Roman"/>
                <w:sz w:val="26"/>
                <w:szCs w:val="26"/>
                <w:lang w:eastAsia="lv-LV"/>
              </w:rPr>
              <w:t>2.5.</w:t>
            </w:r>
            <w:r w:rsidR="00BD2D26" w:rsidRPr="00DA09DA">
              <w:rPr>
                <w:rFonts w:ascii="Times New Roman" w:eastAsia="Times New Roman" w:hAnsi="Times New Roman" w:cs="Times New Roman"/>
                <w:sz w:val="26"/>
                <w:szCs w:val="26"/>
                <w:vertAlign w:val="superscript"/>
                <w:lang w:eastAsia="lv-LV"/>
              </w:rPr>
              <w:t>2,</w:t>
            </w:r>
            <w:r w:rsidR="00BD2D26" w:rsidRPr="00DA09DA">
              <w:rPr>
                <w:rFonts w:ascii="Times New Roman" w:eastAsia="Times New Roman" w:hAnsi="Times New Roman" w:cs="Times New Roman"/>
                <w:sz w:val="26"/>
                <w:szCs w:val="26"/>
                <w:lang w:eastAsia="lv-LV"/>
              </w:rPr>
              <w:t>,</w:t>
            </w:r>
            <w:r w:rsidR="00B361F9" w:rsidRPr="00DA09DA">
              <w:rPr>
                <w:rFonts w:ascii="Times New Roman" w:eastAsia="Times New Roman" w:hAnsi="Times New Roman" w:cs="Times New Roman"/>
                <w:sz w:val="26"/>
                <w:szCs w:val="26"/>
                <w:vertAlign w:val="superscript"/>
                <w:lang w:eastAsia="lv-LV"/>
              </w:rPr>
              <w:t xml:space="preserve"> </w:t>
            </w:r>
            <w:r w:rsidR="00E43F63" w:rsidRPr="00DA09DA">
              <w:rPr>
                <w:rFonts w:ascii="Times New Roman" w:eastAsia="Times New Roman" w:hAnsi="Times New Roman" w:cs="Times New Roman"/>
                <w:sz w:val="26"/>
                <w:szCs w:val="26"/>
                <w:lang w:eastAsia="lv-LV"/>
              </w:rPr>
              <w:t xml:space="preserve">13.5., 13.6., </w:t>
            </w:r>
            <w:r w:rsidR="00BD2D26" w:rsidRPr="00DA09DA">
              <w:rPr>
                <w:rFonts w:ascii="Times New Roman" w:eastAsia="Times New Roman" w:hAnsi="Times New Roman" w:cs="Times New Roman"/>
                <w:sz w:val="26"/>
                <w:szCs w:val="26"/>
                <w:lang w:eastAsia="lv-LV"/>
              </w:rPr>
              <w:t>13.7.,</w:t>
            </w:r>
            <w:r w:rsidR="00B361F9" w:rsidRPr="00DA09DA">
              <w:rPr>
                <w:rFonts w:ascii="Times New Roman" w:eastAsia="Times New Roman" w:hAnsi="Times New Roman" w:cs="Times New Roman"/>
                <w:sz w:val="26"/>
                <w:szCs w:val="26"/>
                <w:lang w:eastAsia="lv-LV"/>
              </w:rPr>
              <w:t xml:space="preserve"> </w:t>
            </w:r>
            <w:r w:rsidR="001F4E77">
              <w:rPr>
                <w:rFonts w:ascii="Times New Roman" w:eastAsia="Times New Roman" w:hAnsi="Times New Roman" w:cs="Times New Roman"/>
                <w:sz w:val="26"/>
                <w:szCs w:val="26"/>
                <w:lang w:eastAsia="lv-LV"/>
              </w:rPr>
              <w:t xml:space="preserve">13.8., </w:t>
            </w:r>
            <w:r w:rsidR="0085589C" w:rsidRPr="00DA09DA">
              <w:rPr>
                <w:rFonts w:ascii="Times New Roman" w:eastAsia="Times New Roman" w:hAnsi="Times New Roman" w:cs="Times New Roman"/>
                <w:sz w:val="26"/>
                <w:szCs w:val="26"/>
                <w:lang w:eastAsia="lv-LV"/>
              </w:rPr>
              <w:t>30</w:t>
            </w:r>
            <w:r w:rsidR="008B60A3" w:rsidRPr="00DA09DA">
              <w:rPr>
                <w:rFonts w:ascii="Times New Roman" w:eastAsia="Times New Roman" w:hAnsi="Times New Roman" w:cs="Times New Roman"/>
                <w:sz w:val="26"/>
                <w:szCs w:val="26"/>
                <w:lang w:eastAsia="lv-LV"/>
              </w:rPr>
              <w:t>.</w:t>
            </w:r>
            <w:r w:rsidR="008B60A3" w:rsidRPr="00DA09DA">
              <w:rPr>
                <w:rFonts w:ascii="Times New Roman" w:eastAsia="Times New Roman" w:hAnsi="Times New Roman" w:cs="Times New Roman"/>
                <w:sz w:val="26"/>
                <w:szCs w:val="26"/>
                <w:vertAlign w:val="superscript"/>
                <w:lang w:eastAsia="lv-LV"/>
              </w:rPr>
              <w:t>1</w:t>
            </w:r>
            <w:r w:rsidR="008B60A3" w:rsidRPr="00DA09DA">
              <w:rPr>
                <w:rFonts w:ascii="Times New Roman" w:eastAsia="Times New Roman" w:hAnsi="Times New Roman" w:cs="Times New Roman"/>
                <w:sz w:val="26"/>
                <w:szCs w:val="26"/>
                <w:lang w:eastAsia="lv-LV"/>
              </w:rPr>
              <w:t>1.</w:t>
            </w:r>
            <w:r w:rsidR="00094B50" w:rsidRPr="00DA09DA">
              <w:rPr>
                <w:rFonts w:ascii="Times New Roman" w:eastAsia="Times New Roman" w:hAnsi="Times New Roman" w:cs="Times New Roman"/>
                <w:sz w:val="26"/>
                <w:szCs w:val="26"/>
                <w:lang w:eastAsia="lv-LV"/>
              </w:rPr>
              <w:t>1.</w:t>
            </w:r>
            <w:r w:rsidR="008B60A3" w:rsidRPr="00DA09DA">
              <w:rPr>
                <w:rFonts w:ascii="Times New Roman" w:eastAsia="Times New Roman" w:hAnsi="Times New Roman" w:cs="Times New Roman"/>
                <w:sz w:val="26"/>
                <w:szCs w:val="26"/>
                <w:lang w:eastAsia="lv-LV"/>
              </w:rPr>
              <w:t>,</w:t>
            </w:r>
            <w:r w:rsidR="0085589C" w:rsidRPr="00DA09DA">
              <w:rPr>
                <w:rFonts w:ascii="Times New Roman" w:eastAsia="Times New Roman" w:hAnsi="Times New Roman" w:cs="Times New Roman"/>
                <w:sz w:val="26"/>
                <w:szCs w:val="26"/>
                <w:lang w:eastAsia="lv-LV"/>
              </w:rPr>
              <w:t xml:space="preserve"> </w:t>
            </w:r>
            <w:r w:rsidR="00BD2D26" w:rsidRPr="00DA09DA">
              <w:rPr>
                <w:rFonts w:ascii="Times New Roman" w:eastAsia="Times New Roman" w:hAnsi="Times New Roman" w:cs="Times New Roman"/>
                <w:sz w:val="26"/>
                <w:szCs w:val="26"/>
                <w:lang w:eastAsia="lv-LV"/>
              </w:rPr>
              <w:t>30.</w:t>
            </w:r>
            <w:r w:rsidR="00BD2D26" w:rsidRPr="00DA09DA">
              <w:rPr>
                <w:rFonts w:ascii="Times New Roman" w:eastAsia="Times New Roman" w:hAnsi="Times New Roman" w:cs="Times New Roman"/>
                <w:sz w:val="26"/>
                <w:szCs w:val="26"/>
                <w:vertAlign w:val="superscript"/>
                <w:lang w:eastAsia="lv-LV"/>
              </w:rPr>
              <w:t>1</w:t>
            </w:r>
            <w:r w:rsidR="00BD2D26" w:rsidRPr="00DA09DA">
              <w:rPr>
                <w:rFonts w:ascii="Times New Roman" w:eastAsia="Times New Roman" w:hAnsi="Times New Roman" w:cs="Times New Roman"/>
                <w:sz w:val="26"/>
                <w:szCs w:val="26"/>
                <w:lang w:eastAsia="lv-LV"/>
              </w:rPr>
              <w:t>1.2.,</w:t>
            </w:r>
            <w:r w:rsidR="00094B50" w:rsidRPr="00DA09DA">
              <w:rPr>
                <w:rFonts w:ascii="Times New Roman" w:eastAsia="Times New Roman" w:hAnsi="Times New Roman" w:cs="Times New Roman"/>
                <w:sz w:val="26"/>
                <w:szCs w:val="26"/>
                <w:lang w:eastAsia="lv-LV"/>
              </w:rPr>
              <w:t xml:space="preserve"> </w:t>
            </w:r>
            <w:r w:rsidR="0085589C" w:rsidRPr="00DA09DA">
              <w:rPr>
                <w:rFonts w:ascii="Times New Roman" w:eastAsia="Times New Roman" w:hAnsi="Times New Roman" w:cs="Times New Roman"/>
                <w:sz w:val="26"/>
                <w:szCs w:val="26"/>
                <w:lang w:eastAsia="lv-LV"/>
              </w:rPr>
              <w:t>30.</w:t>
            </w:r>
            <w:r w:rsidR="0085589C" w:rsidRPr="00DA09DA">
              <w:rPr>
                <w:rFonts w:ascii="Times New Roman" w:eastAsia="Times New Roman" w:hAnsi="Times New Roman" w:cs="Times New Roman"/>
                <w:sz w:val="26"/>
                <w:szCs w:val="26"/>
                <w:vertAlign w:val="superscript"/>
                <w:lang w:eastAsia="lv-LV"/>
              </w:rPr>
              <w:t>1</w:t>
            </w:r>
            <w:r w:rsidR="0085589C" w:rsidRPr="00DA09DA">
              <w:rPr>
                <w:rFonts w:ascii="Times New Roman" w:eastAsia="Times New Roman" w:hAnsi="Times New Roman" w:cs="Times New Roman"/>
                <w:sz w:val="26"/>
                <w:szCs w:val="26"/>
                <w:lang w:eastAsia="lv-LV"/>
              </w:rPr>
              <w:t>2., 30.</w:t>
            </w:r>
            <w:r w:rsidR="0085589C" w:rsidRPr="00DA09DA">
              <w:rPr>
                <w:rFonts w:ascii="Times New Roman" w:eastAsia="Times New Roman" w:hAnsi="Times New Roman" w:cs="Times New Roman"/>
                <w:sz w:val="26"/>
                <w:szCs w:val="26"/>
                <w:vertAlign w:val="superscript"/>
                <w:lang w:eastAsia="lv-LV"/>
              </w:rPr>
              <w:t>1</w:t>
            </w:r>
            <w:r w:rsidR="0085589C" w:rsidRPr="00DA09DA">
              <w:rPr>
                <w:rFonts w:ascii="Times New Roman" w:eastAsia="Times New Roman" w:hAnsi="Times New Roman" w:cs="Times New Roman"/>
                <w:sz w:val="26"/>
                <w:szCs w:val="26"/>
                <w:lang w:eastAsia="lv-LV"/>
              </w:rPr>
              <w:t>3.,</w:t>
            </w:r>
            <w:r w:rsidR="00935145" w:rsidRPr="00DA09DA">
              <w:rPr>
                <w:rFonts w:ascii="Times New Roman" w:eastAsia="Times New Roman" w:hAnsi="Times New Roman" w:cs="Times New Roman"/>
                <w:sz w:val="26"/>
                <w:szCs w:val="26"/>
                <w:lang w:eastAsia="lv-LV"/>
              </w:rPr>
              <w:t xml:space="preserve"> 31.4.1., 31.4.2.</w:t>
            </w:r>
            <w:r w:rsidRPr="00DA09DA">
              <w:rPr>
                <w:rFonts w:ascii="Times New Roman" w:eastAsia="Times New Roman" w:hAnsi="Times New Roman" w:cs="Times New Roman"/>
                <w:sz w:val="26"/>
                <w:szCs w:val="26"/>
                <w:lang w:eastAsia="lv-LV"/>
              </w:rPr>
              <w:t xml:space="preserve">apakšpunktu, nodrošinot atbilstību ar Regulas </w:t>
            </w:r>
            <w:r w:rsidR="00E015B1" w:rsidRPr="00DA09DA">
              <w:rPr>
                <w:rFonts w:ascii="Times New Roman" w:hAnsi="Times New Roman" w:cs="Times New Roman"/>
                <w:sz w:val="26"/>
                <w:szCs w:val="26"/>
              </w:rPr>
              <w:t>Nr.651/2014</w:t>
            </w:r>
            <w:r w:rsidRPr="00DA09DA">
              <w:rPr>
                <w:rFonts w:ascii="Times New Roman" w:eastAsia="Times New Roman" w:hAnsi="Times New Roman" w:cs="Times New Roman"/>
                <w:sz w:val="26"/>
                <w:szCs w:val="26"/>
                <w:lang w:eastAsia="lv-LV"/>
              </w:rPr>
              <w:t xml:space="preserve"> normām</w:t>
            </w:r>
            <w:r w:rsidR="0045303A" w:rsidRPr="00DA09DA">
              <w:rPr>
                <w:rFonts w:ascii="Times New Roman" w:eastAsia="Times New Roman" w:hAnsi="Times New Roman" w:cs="Times New Roman"/>
                <w:sz w:val="26"/>
                <w:szCs w:val="26"/>
                <w:lang w:eastAsia="lv-LV"/>
              </w:rPr>
              <w:t>, kas attiecināmas uz 26.pantā noteikto atbalsta kategoriju „ieguldījumu atbalsts pētniecības infrastruktūrai”</w:t>
            </w:r>
            <w:r w:rsidRPr="00DA09DA">
              <w:rPr>
                <w:rFonts w:ascii="Times New Roman" w:eastAsia="Times New Roman" w:hAnsi="Times New Roman" w:cs="Times New Roman"/>
                <w:sz w:val="26"/>
                <w:szCs w:val="26"/>
                <w:lang w:eastAsia="lv-LV"/>
              </w:rPr>
              <w:t>;</w:t>
            </w:r>
          </w:p>
          <w:p w:rsidR="003F6961" w:rsidRPr="00DA09DA" w:rsidRDefault="00F71831" w:rsidP="000C7A15">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r w:rsidR="00E015B1" w:rsidRPr="00DA09DA">
              <w:rPr>
                <w:rFonts w:ascii="Times New Roman" w:eastAsia="Times New Roman" w:hAnsi="Times New Roman" w:cs="Times New Roman"/>
                <w:sz w:val="26"/>
                <w:szCs w:val="26"/>
                <w:lang w:eastAsia="lv-LV"/>
              </w:rPr>
              <w:t>4</w:t>
            </w:r>
            <w:r w:rsidR="00864E9B" w:rsidRPr="00DA09DA">
              <w:rPr>
                <w:rFonts w:ascii="Times New Roman" w:eastAsia="Times New Roman" w:hAnsi="Times New Roman" w:cs="Times New Roman"/>
                <w:sz w:val="26"/>
                <w:szCs w:val="26"/>
                <w:lang w:eastAsia="lv-LV"/>
              </w:rPr>
              <w:t>. </w:t>
            </w:r>
            <w:r w:rsidR="007276AC" w:rsidRPr="00DA09DA">
              <w:rPr>
                <w:rFonts w:ascii="Times New Roman" w:eastAsia="Times New Roman" w:hAnsi="Times New Roman" w:cs="Times New Roman"/>
                <w:sz w:val="26"/>
                <w:szCs w:val="26"/>
                <w:lang w:eastAsia="lv-LV"/>
              </w:rPr>
              <w:t xml:space="preserve">veikti </w:t>
            </w:r>
            <w:r w:rsidR="00843086" w:rsidRPr="00DA09DA">
              <w:rPr>
                <w:rFonts w:ascii="Times New Roman" w:eastAsia="Times New Roman" w:hAnsi="Times New Roman" w:cs="Times New Roman"/>
                <w:sz w:val="26"/>
                <w:szCs w:val="26"/>
                <w:lang w:eastAsia="lv-LV"/>
              </w:rPr>
              <w:t>grozījum</w:t>
            </w:r>
            <w:r w:rsidR="00FB1A01" w:rsidRPr="00DA09DA">
              <w:rPr>
                <w:rFonts w:ascii="Times New Roman" w:eastAsia="Times New Roman" w:hAnsi="Times New Roman" w:cs="Times New Roman"/>
                <w:sz w:val="26"/>
                <w:szCs w:val="26"/>
                <w:lang w:eastAsia="lv-LV"/>
              </w:rPr>
              <w:t>i</w:t>
            </w:r>
            <w:r w:rsidR="00843086" w:rsidRPr="00DA09DA">
              <w:rPr>
                <w:rFonts w:ascii="Times New Roman" w:eastAsia="Times New Roman" w:hAnsi="Times New Roman" w:cs="Times New Roman"/>
                <w:sz w:val="26"/>
                <w:szCs w:val="26"/>
                <w:lang w:eastAsia="lv-LV"/>
              </w:rPr>
              <w:t xml:space="preserve"> 31.3.2.apakšpunktā,</w:t>
            </w:r>
            <w:r w:rsidR="000C7A15" w:rsidRPr="00DA09DA">
              <w:rPr>
                <w:rFonts w:ascii="Times New Roman" w:eastAsia="Times New Roman" w:hAnsi="Times New Roman" w:cs="Times New Roman"/>
                <w:sz w:val="26"/>
                <w:szCs w:val="26"/>
                <w:lang w:eastAsia="lv-LV"/>
              </w:rPr>
              <w:t xml:space="preserve"> paredzot labvēlīgākus nosacīju</w:t>
            </w:r>
            <w:r w:rsidR="00A92B9B" w:rsidRPr="00DA09DA">
              <w:rPr>
                <w:rFonts w:ascii="Times New Roman" w:eastAsia="Times New Roman" w:hAnsi="Times New Roman" w:cs="Times New Roman"/>
                <w:sz w:val="26"/>
                <w:szCs w:val="26"/>
                <w:lang w:eastAsia="lv-LV"/>
              </w:rPr>
              <w:t xml:space="preserve">mus 2.1.1.3.1.apakšaktivitātes </w:t>
            </w:r>
            <w:r w:rsidR="000C7A15" w:rsidRPr="00DA09DA">
              <w:rPr>
                <w:rFonts w:ascii="Times New Roman" w:eastAsia="Times New Roman" w:hAnsi="Times New Roman" w:cs="Times New Roman"/>
                <w:sz w:val="26"/>
                <w:szCs w:val="26"/>
                <w:lang w:eastAsia="lv-LV"/>
              </w:rPr>
              <w:t xml:space="preserve">īstenošanai, izslēdzot stingrākas prasības, salīdzinot ar Eiropas Savienības regulējumu </w:t>
            </w:r>
            <w:r w:rsidR="000C7A15" w:rsidRPr="00DA09DA">
              <w:rPr>
                <w:rFonts w:ascii="Times New Roman" w:eastAsia="Times New Roman" w:hAnsi="Times New Roman" w:cs="Times New Roman"/>
                <w:i/>
                <w:sz w:val="26"/>
                <w:szCs w:val="26"/>
                <w:lang w:eastAsia="lv-LV"/>
              </w:rPr>
              <w:t>de minimis</w:t>
            </w:r>
            <w:r w:rsidR="000C7A15" w:rsidRPr="00DA09DA">
              <w:rPr>
                <w:rFonts w:ascii="Times New Roman" w:eastAsia="Times New Roman" w:hAnsi="Times New Roman" w:cs="Times New Roman"/>
                <w:sz w:val="26"/>
                <w:szCs w:val="26"/>
                <w:lang w:eastAsia="lv-LV"/>
              </w:rPr>
              <w:t xml:space="preserve"> atbalsta jomā </w:t>
            </w:r>
            <w:r w:rsidR="00843086" w:rsidRPr="00DA09DA">
              <w:rPr>
                <w:rFonts w:ascii="Times New Roman" w:eastAsia="Times New Roman" w:hAnsi="Times New Roman" w:cs="Times New Roman"/>
                <w:sz w:val="26"/>
                <w:szCs w:val="26"/>
                <w:lang w:eastAsia="lv-LV"/>
              </w:rPr>
              <w:t xml:space="preserve">un nosakot, ka labuma guvējam piešķirtais </w:t>
            </w:r>
            <w:r w:rsidR="00843086" w:rsidRPr="00DA09DA">
              <w:rPr>
                <w:rFonts w:ascii="Times New Roman" w:eastAsia="Times New Roman" w:hAnsi="Times New Roman" w:cs="Times New Roman"/>
                <w:i/>
                <w:sz w:val="26"/>
                <w:szCs w:val="26"/>
                <w:lang w:eastAsia="lv-LV"/>
              </w:rPr>
              <w:t>de</w:t>
            </w:r>
            <w:r w:rsidR="00983686" w:rsidRPr="00DA09DA">
              <w:rPr>
                <w:rFonts w:ascii="Times New Roman" w:eastAsia="Times New Roman" w:hAnsi="Times New Roman" w:cs="Times New Roman"/>
                <w:i/>
                <w:sz w:val="26"/>
                <w:szCs w:val="26"/>
                <w:lang w:eastAsia="lv-LV"/>
              </w:rPr>
              <w:t xml:space="preserve"> </w:t>
            </w:r>
            <w:r w:rsidR="00843086" w:rsidRPr="00DA09DA">
              <w:rPr>
                <w:rFonts w:ascii="Times New Roman" w:eastAsia="Times New Roman" w:hAnsi="Times New Roman" w:cs="Times New Roman"/>
                <w:i/>
                <w:sz w:val="26"/>
                <w:szCs w:val="26"/>
                <w:lang w:eastAsia="lv-LV"/>
              </w:rPr>
              <w:t>minimis</w:t>
            </w:r>
            <w:r w:rsidR="00843086" w:rsidRPr="00DA09DA">
              <w:rPr>
                <w:rFonts w:ascii="Times New Roman" w:eastAsia="Times New Roman" w:hAnsi="Times New Roman" w:cs="Times New Roman"/>
                <w:sz w:val="26"/>
                <w:szCs w:val="26"/>
                <w:lang w:eastAsia="lv-LV"/>
              </w:rPr>
              <w:t xml:space="preserve"> atbalsta apmērs jebkurā triju fiskālo gadu periodā nepārsniedz </w:t>
            </w:r>
            <w:r w:rsidR="009F667C" w:rsidRPr="00DA09DA">
              <w:rPr>
                <w:rFonts w:ascii="Times New Roman" w:eastAsia="Times New Roman" w:hAnsi="Times New Roman" w:cs="Times New Roman"/>
                <w:sz w:val="26"/>
                <w:szCs w:val="26"/>
                <w:lang w:eastAsia="lv-LV"/>
              </w:rPr>
              <w:t xml:space="preserve">Regulas Nr.1407/2013 </w:t>
            </w:r>
            <w:r w:rsidR="00285146" w:rsidRPr="00DA09DA">
              <w:rPr>
                <w:rFonts w:ascii="Times New Roman" w:eastAsia="Times New Roman" w:hAnsi="Times New Roman" w:cs="Times New Roman"/>
                <w:sz w:val="26"/>
                <w:szCs w:val="26"/>
                <w:lang w:eastAsia="lv-LV"/>
              </w:rPr>
              <w:t>3.panta 2.punktā noteikto robežvērtību</w:t>
            </w:r>
            <w:r w:rsidR="00843086" w:rsidRPr="00DA09DA">
              <w:rPr>
                <w:rFonts w:ascii="Times New Roman" w:eastAsia="Times New Roman" w:hAnsi="Times New Roman" w:cs="Times New Roman"/>
                <w:sz w:val="26"/>
                <w:szCs w:val="26"/>
                <w:lang w:eastAsia="lv-LV"/>
              </w:rPr>
              <w:t>.</w:t>
            </w:r>
            <w:r w:rsidR="00843086" w:rsidRPr="00DA09DA">
              <w:rPr>
                <w:rFonts w:ascii="Times New Roman" w:hAnsi="Times New Roman" w:cs="Times New Roman"/>
                <w:sz w:val="26"/>
                <w:szCs w:val="26"/>
              </w:rPr>
              <w:t xml:space="preserve"> </w:t>
            </w:r>
            <w:r w:rsidR="00843086" w:rsidRPr="00DA09DA">
              <w:rPr>
                <w:rFonts w:ascii="Times New Roman" w:eastAsia="Times New Roman" w:hAnsi="Times New Roman" w:cs="Times New Roman"/>
                <w:sz w:val="26"/>
                <w:szCs w:val="26"/>
                <w:lang w:eastAsia="lv-LV"/>
              </w:rPr>
              <w:t xml:space="preserve">Labvēlīgākie </w:t>
            </w:r>
            <w:r w:rsidR="00843086" w:rsidRPr="00DA09DA">
              <w:rPr>
                <w:rFonts w:ascii="Times New Roman" w:eastAsia="Times New Roman" w:hAnsi="Times New Roman" w:cs="Times New Roman"/>
                <w:i/>
                <w:sz w:val="26"/>
                <w:szCs w:val="26"/>
                <w:lang w:eastAsia="lv-LV"/>
              </w:rPr>
              <w:t>de</w:t>
            </w:r>
            <w:r w:rsidR="003F6961" w:rsidRPr="00DA09DA">
              <w:rPr>
                <w:rFonts w:ascii="Times New Roman" w:eastAsia="Times New Roman" w:hAnsi="Times New Roman" w:cs="Times New Roman"/>
                <w:i/>
                <w:sz w:val="26"/>
                <w:szCs w:val="26"/>
                <w:lang w:eastAsia="lv-LV"/>
              </w:rPr>
              <w:t xml:space="preserve"> </w:t>
            </w:r>
            <w:r w:rsidR="00843086" w:rsidRPr="00DA09DA">
              <w:rPr>
                <w:rFonts w:ascii="Times New Roman" w:eastAsia="Times New Roman" w:hAnsi="Times New Roman" w:cs="Times New Roman"/>
                <w:i/>
                <w:sz w:val="26"/>
                <w:szCs w:val="26"/>
                <w:lang w:eastAsia="lv-LV"/>
              </w:rPr>
              <w:t>minimis</w:t>
            </w:r>
            <w:r w:rsidR="00843086" w:rsidRPr="00DA09DA">
              <w:rPr>
                <w:rFonts w:ascii="Times New Roman" w:eastAsia="Times New Roman" w:hAnsi="Times New Roman" w:cs="Times New Roman"/>
                <w:sz w:val="26"/>
                <w:szCs w:val="26"/>
                <w:lang w:eastAsia="lv-LV"/>
              </w:rPr>
              <w:t xml:space="preserve"> atbalsta saņemšanas nosacījumi attiecināmi uz visiem finansējuma saņēmējiem, ar kuriem sadarbības iestāde ir noslēgusi vienošanos vai līgumu par projekta īstenošanu, kura ietvaros sniedz </w:t>
            </w:r>
            <w:r w:rsidR="00843086" w:rsidRPr="00DA09DA">
              <w:rPr>
                <w:rFonts w:ascii="Times New Roman" w:eastAsia="Times New Roman" w:hAnsi="Times New Roman" w:cs="Times New Roman"/>
                <w:i/>
                <w:sz w:val="26"/>
                <w:szCs w:val="26"/>
                <w:lang w:eastAsia="lv-LV"/>
              </w:rPr>
              <w:t>de-minimis</w:t>
            </w:r>
            <w:r w:rsidR="00843086" w:rsidRPr="00DA09DA">
              <w:rPr>
                <w:rFonts w:ascii="Times New Roman" w:eastAsia="Times New Roman" w:hAnsi="Times New Roman" w:cs="Times New Roman"/>
                <w:sz w:val="26"/>
                <w:szCs w:val="26"/>
                <w:lang w:eastAsia="lv-LV"/>
              </w:rPr>
              <w:t xml:space="preserve"> atbalstu saimniecisku pamatdarbību īstenošanai</w:t>
            </w:r>
            <w:r w:rsidR="003F6961" w:rsidRPr="00DA09DA">
              <w:rPr>
                <w:rFonts w:ascii="Times New Roman" w:eastAsia="Times New Roman" w:hAnsi="Times New Roman" w:cs="Times New Roman"/>
                <w:sz w:val="26"/>
                <w:szCs w:val="26"/>
                <w:lang w:eastAsia="lv-LV"/>
              </w:rPr>
              <w:t>;</w:t>
            </w:r>
          </w:p>
          <w:p w:rsidR="00D66A31" w:rsidRPr="00DA09DA" w:rsidRDefault="00D66A31" w:rsidP="00D66A3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r w:rsidR="00E015B1" w:rsidRPr="00DA09DA">
              <w:rPr>
                <w:rFonts w:ascii="Times New Roman" w:eastAsia="Times New Roman" w:hAnsi="Times New Roman" w:cs="Times New Roman"/>
                <w:sz w:val="26"/>
                <w:szCs w:val="26"/>
                <w:lang w:eastAsia="lv-LV"/>
              </w:rPr>
              <w:t>5</w:t>
            </w:r>
            <w:r w:rsidRPr="00DA09DA">
              <w:rPr>
                <w:rFonts w:ascii="Times New Roman" w:eastAsia="Times New Roman" w:hAnsi="Times New Roman" w:cs="Times New Roman"/>
                <w:sz w:val="26"/>
                <w:szCs w:val="26"/>
                <w:lang w:eastAsia="lv-LV"/>
              </w:rPr>
              <w:t>. </w:t>
            </w:r>
            <w:r w:rsidR="004A19B9" w:rsidRPr="00DA09DA">
              <w:rPr>
                <w:rFonts w:ascii="Times New Roman" w:eastAsia="Times New Roman" w:hAnsi="Times New Roman" w:cs="Times New Roman"/>
                <w:sz w:val="26"/>
                <w:szCs w:val="26"/>
                <w:lang w:eastAsia="lv-LV"/>
              </w:rPr>
              <w:t xml:space="preserve">veikti </w:t>
            </w:r>
            <w:r w:rsidRPr="00DA09DA">
              <w:rPr>
                <w:rFonts w:ascii="Times New Roman" w:hAnsi="Times New Roman" w:cs="Times New Roman"/>
                <w:sz w:val="26"/>
                <w:szCs w:val="26"/>
              </w:rPr>
              <w:t xml:space="preserve">grozījumi </w:t>
            </w:r>
            <w:r w:rsidRPr="00DA09DA">
              <w:rPr>
                <w:rFonts w:ascii="Times New Roman" w:eastAsia="Times New Roman" w:hAnsi="Times New Roman" w:cs="Times New Roman"/>
                <w:sz w:val="26"/>
                <w:szCs w:val="26"/>
                <w:lang w:eastAsia="lv-LV"/>
              </w:rPr>
              <w:t xml:space="preserve">31.4.apakšpunktā, </w:t>
            </w:r>
            <w:r w:rsidR="0089563C" w:rsidRPr="00DA09DA">
              <w:rPr>
                <w:rFonts w:ascii="Times New Roman" w:eastAsia="Times New Roman" w:hAnsi="Times New Roman" w:cs="Times New Roman"/>
                <w:sz w:val="26"/>
                <w:szCs w:val="26"/>
                <w:lang w:eastAsia="lv-LV"/>
              </w:rPr>
              <w:t>nodrošinot atbilstību</w:t>
            </w:r>
            <w:r w:rsidRPr="00DA09DA">
              <w:rPr>
                <w:rFonts w:ascii="Times New Roman" w:hAnsi="Times New Roman" w:cs="Times New Roman"/>
                <w:sz w:val="26"/>
                <w:szCs w:val="26"/>
              </w:rPr>
              <w:t xml:space="preserve"> </w:t>
            </w:r>
            <w:r w:rsidRPr="00DA09DA">
              <w:rPr>
                <w:rFonts w:ascii="Times New Roman" w:eastAsia="Times New Roman" w:hAnsi="Times New Roman" w:cs="Times New Roman"/>
                <w:sz w:val="26"/>
                <w:szCs w:val="26"/>
                <w:lang w:eastAsia="lv-LV"/>
              </w:rPr>
              <w:t>Regulas Nr. 651/2014 27.panta 6.punktā noteiktaja</w:t>
            </w:r>
            <w:r w:rsidR="008A409B" w:rsidRPr="00DA09DA">
              <w:rPr>
                <w:rFonts w:ascii="Times New Roman" w:eastAsia="Times New Roman" w:hAnsi="Times New Roman" w:cs="Times New Roman"/>
                <w:sz w:val="26"/>
                <w:szCs w:val="26"/>
                <w:lang w:eastAsia="lv-LV"/>
              </w:rPr>
              <w:t>i</w:t>
            </w:r>
            <w:r w:rsidRPr="00DA09DA">
              <w:rPr>
                <w:rFonts w:ascii="Times New Roman" w:eastAsia="Times New Roman" w:hAnsi="Times New Roman" w:cs="Times New Roman"/>
                <w:sz w:val="26"/>
                <w:szCs w:val="26"/>
                <w:lang w:eastAsia="lv-LV"/>
              </w:rPr>
              <w:t xml:space="preserve"> atbalsta intensitātes </w:t>
            </w:r>
            <w:r w:rsidR="008A409B" w:rsidRPr="00DA09DA">
              <w:rPr>
                <w:rFonts w:ascii="Times New Roman" w:eastAsia="Times New Roman" w:hAnsi="Times New Roman" w:cs="Times New Roman"/>
                <w:sz w:val="26"/>
                <w:szCs w:val="26"/>
                <w:lang w:eastAsia="lv-LV"/>
              </w:rPr>
              <w:t>robežvērtībai</w:t>
            </w:r>
            <w:r w:rsidRPr="00DA09DA">
              <w:rPr>
                <w:rFonts w:ascii="Times New Roman" w:eastAsia="Times New Roman" w:hAnsi="Times New Roman" w:cs="Times New Roman"/>
                <w:sz w:val="26"/>
                <w:szCs w:val="26"/>
                <w:lang w:eastAsia="lv-LV"/>
              </w:rPr>
              <w:t xml:space="preserve">. </w:t>
            </w:r>
            <w:r w:rsidR="000C2226" w:rsidRPr="00DA09DA">
              <w:rPr>
                <w:rFonts w:ascii="Times New Roman" w:eastAsia="Times New Roman" w:hAnsi="Times New Roman" w:cs="Times New Roman"/>
                <w:sz w:val="26"/>
                <w:szCs w:val="26"/>
                <w:lang w:eastAsia="lv-LV"/>
              </w:rPr>
              <w:t>Noteikumu Nr.987 g</w:t>
            </w:r>
            <w:r w:rsidRPr="00DA09DA">
              <w:rPr>
                <w:rFonts w:ascii="Times New Roman" w:eastAsia="Times New Roman" w:hAnsi="Times New Roman" w:cs="Times New Roman"/>
                <w:sz w:val="26"/>
                <w:szCs w:val="26"/>
                <w:lang w:eastAsia="lv-LV"/>
              </w:rPr>
              <w:t>rozījumu rezultātā tiek nodrošināts tiesiskās paļāvības princips, jo atbilstoši noteikumu Nr.987 2.pielikuma 6.1.1.2.apakšpunktā un līgumos par projekta īstenošanu noteiktajam reģionālā atbalsta gadījumā visiem labuma guvējiem piemērotā ERAF atbalsta intensitāte ir 50%;</w:t>
            </w:r>
          </w:p>
          <w:p w:rsidR="00D66A31" w:rsidRPr="00DA09DA" w:rsidRDefault="00D66A31" w:rsidP="0048466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r w:rsidR="00175ED3" w:rsidRPr="00DA09DA">
              <w:rPr>
                <w:rFonts w:ascii="Times New Roman" w:eastAsia="Times New Roman" w:hAnsi="Times New Roman" w:cs="Times New Roman"/>
                <w:sz w:val="26"/>
                <w:szCs w:val="26"/>
                <w:lang w:eastAsia="lv-LV"/>
              </w:rPr>
              <w:t>6</w:t>
            </w:r>
            <w:r w:rsidRPr="00DA09DA">
              <w:rPr>
                <w:rFonts w:ascii="Times New Roman" w:eastAsia="Times New Roman" w:hAnsi="Times New Roman" w:cs="Times New Roman"/>
                <w:sz w:val="26"/>
                <w:szCs w:val="26"/>
                <w:lang w:eastAsia="lv-LV"/>
              </w:rPr>
              <w:t xml:space="preserve">.  2.pielikuma 6.1.1.2.apakšpunktā </w:t>
            </w:r>
            <w:r w:rsidR="000C7A15" w:rsidRPr="00DA09DA">
              <w:rPr>
                <w:rFonts w:ascii="Times New Roman" w:eastAsia="Times New Roman" w:hAnsi="Times New Roman" w:cs="Times New Roman"/>
                <w:sz w:val="26"/>
                <w:szCs w:val="26"/>
                <w:lang w:eastAsia="lv-LV"/>
              </w:rPr>
              <w:t>„termins</w:t>
            </w:r>
            <w:r w:rsidRPr="00DA09DA">
              <w:rPr>
                <w:rFonts w:ascii="Times New Roman" w:eastAsia="Times New Roman" w:hAnsi="Times New Roman" w:cs="Times New Roman"/>
                <w:sz w:val="26"/>
                <w:szCs w:val="26"/>
                <w:lang w:eastAsia="lv-LV"/>
              </w:rPr>
              <w:t xml:space="preserve"> „reģionālais atbalsts ieguldījumiem” </w:t>
            </w:r>
            <w:r w:rsidR="0048466D" w:rsidRPr="00DA09DA">
              <w:rPr>
                <w:rFonts w:ascii="Times New Roman" w:eastAsia="Times New Roman" w:hAnsi="Times New Roman" w:cs="Times New Roman"/>
                <w:sz w:val="26"/>
                <w:szCs w:val="26"/>
                <w:lang w:eastAsia="lv-LV"/>
              </w:rPr>
              <w:t xml:space="preserve">aizstāts </w:t>
            </w:r>
            <w:r w:rsidRPr="00DA09DA">
              <w:rPr>
                <w:rFonts w:ascii="Times New Roman" w:eastAsia="Times New Roman" w:hAnsi="Times New Roman" w:cs="Times New Roman"/>
                <w:sz w:val="26"/>
                <w:szCs w:val="26"/>
                <w:lang w:eastAsia="lv-LV"/>
              </w:rPr>
              <w:t xml:space="preserve">ar </w:t>
            </w:r>
            <w:r w:rsidRPr="00DA09DA">
              <w:rPr>
                <w:rFonts w:ascii="Times New Roman" w:eastAsia="Times New Roman" w:hAnsi="Times New Roman" w:cs="Times New Roman"/>
                <w:sz w:val="26"/>
                <w:szCs w:val="26"/>
                <w:lang w:eastAsia="lv-LV"/>
              </w:rPr>
              <w:lastRenderedPageBreak/>
              <w:t xml:space="preserve">terminu </w:t>
            </w:r>
            <w:r w:rsidR="0048466D" w:rsidRPr="00DA09DA">
              <w:rPr>
                <w:rFonts w:ascii="Times New Roman" w:eastAsia="Times New Roman" w:hAnsi="Times New Roman" w:cs="Times New Roman"/>
                <w:sz w:val="26"/>
                <w:szCs w:val="26"/>
                <w:lang w:eastAsia="lv-LV"/>
              </w:rPr>
              <w:t>„</w:t>
            </w:r>
            <w:r w:rsidRPr="00DA09DA">
              <w:rPr>
                <w:rFonts w:ascii="Times New Roman" w:eastAsia="Times New Roman" w:hAnsi="Times New Roman" w:cs="Times New Roman"/>
                <w:i/>
                <w:sz w:val="26"/>
                <w:szCs w:val="26"/>
                <w:lang w:eastAsia="lv-LV"/>
              </w:rPr>
              <w:t>ieguldījumu atbalsts pētniecības infrastruktūrai</w:t>
            </w:r>
            <w:r w:rsidR="00CF2FFD" w:rsidRPr="00DA09DA">
              <w:rPr>
                <w:rFonts w:ascii="Times New Roman" w:eastAsia="Times New Roman" w:hAnsi="Times New Roman" w:cs="Times New Roman"/>
                <w:i/>
                <w:sz w:val="26"/>
                <w:szCs w:val="26"/>
                <w:lang w:eastAsia="lv-LV"/>
              </w:rPr>
              <w:t>”</w:t>
            </w:r>
            <w:r w:rsidRPr="00DA09DA">
              <w:rPr>
                <w:rFonts w:ascii="Times New Roman" w:eastAsia="Times New Roman" w:hAnsi="Times New Roman" w:cs="Times New Roman"/>
                <w:i/>
                <w:sz w:val="26"/>
                <w:szCs w:val="26"/>
                <w:lang w:eastAsia="lv-LV"/>
              </w:rPr>
              <w:t>,</w:t>
            </w:r>
            <w:r w:rsidR="003B5750" w:rsidRPr="00DA09DA">
              <w:rPr>
                <w:rFonts w:ascii="Times New Roman" w:eastAsia="Times New Roman" w:hAnsi="Times New Roman" w:cs="Times New Roman"/>
                <w:i/>
                <w:sz w:val="26"/>
                <w:szCs w:val="26"/>
                <w:lang w:eastAsia="lv-LV"/>
              </w:rPr>
              <w:t xml:space="preserve"> </w:t>
            </w:r>
            <w:r w:rsidR="00CF2FFD" w:rsidRPr="00DA09DA">
              <w:rPr>
                <w:rFonts w:ascii="Times New Roman" w:eastAsia="Times New Roman" w:hAnsi="Times New Roman" w:cs="Times New Roman"/>
                <w:sz w:val="26"/>
                <w:szCs w:val="26"/>
                <w:lang w:eastAsia="lv-LV"/>
              </w:rPr>
              <w:t>Ieguldījumu atbalsts pētniecības infrastruktūrai</w:t>
            </w:r>
            <w:r w:rsidR="00CF2FFD" w:rsidRPr="00DA09DA" w:rsidDel="00CF2FFD">
              <w:rPr>
                <w:rFonts w:ascii="Times New Roman" w:eastAsia="Times New Roman" w:hAnsi="Times New Roman" w:cs="Times New Roman"/>
                <w:sz w:val="26"/>
                <w:szCs w:val="26"/>
                <w:lang w:eastAsia="lv-LV"/>
              </w:rPr>
              <w:t xml:space="preserve"> </w:t>
            </w:r>
            <w:r w:rsidRPr="00DA09DA">
              <w:rPr>
                <w:rFonts w:ascii="Times New Roman" w:eastAsia="Times New Roman" w:hAnsi="Times New Roman" w:cs="Times New Roman"/>
                <w:sz w:val="26"/>
                <w:szCs w:val="26"/>
                <w:lang w:eastAsia="lv-LV"/>
              </w:rPr>
              <w:t xml:space="preserve">sniedz saskaņā ar Regulu Nr. 651/2014, kuru piemēro no 2014.gada 1.jūlija. </w:t>
            </w:r>
          </w:p>
          <w:p w:rsidR="00F57DB7" w:rsidRPr="00DA09DA" w:rsidRDefault="00327A4F" w:rsidP="00D40D3A">
            <w:pPr>
              <w:tabs>
                <w:tab w:val="center" w:pos="4153"/>
                <w:tab w:val="right" w:pos="8306"/>
              </w:tabs>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w:t>
            </w:r>
            <w:r w:rsidR="00F57DB7" w:rsidRPr="00DA09DA">
              <w:rPr>
                <w:rFonts w:ascii="Times New Roman" w:eastAsia="Times New Roman" w:hAnsi="Times New Roman" w:cs="Times New Roman"/>
                <w:sz w:val="26"/>
                <w:szCs w:val="26"/>
                <w:lang w:eastAsia="lv-LV"/>
              </w:rPr>
              <w:t>. </w:t>
            </w:r>
            <w:r w:rsidR="00032583" w:rsidRPr="00DA09DA">
              <w:rPr>
                <w:rFonts w:ascii="Times New Roman" w:eastAsia="Times New Roman" w:hAnsi="Times New Roman" w:cs="Times New Roman"/>
                <w:sz w:val="26"/>
                <w:szCs w:val="26"/>
                <w:lang w:eastAsia="lv-LV"/>
              </w:rPr>
              <w:t xml:space="preserve">Noteikumi Nr.987 papildināti </w:t>
            </w:r>
            <w:r w:rsidR="00BD2D26" w:rsidRPr="00DA09DA">
              <w:rPr>
                <w:rFonts w:ascii="Times New Roman" w:eastAsia="Times New Roman" w:hAnsi="Times New Roman" w:cs="Times New Roman"/>
                <w:sz w:val="26"/>
                <w:szCs w:val="26"/>
                <w:lang w:eastAsia="lv-LV"/>
              </w:rPr>
              <w:t>ar</w:t>
            </w:r>
            <w:r w:rsidR="00FD4E02" w:rsidRPr="00DA09DA">
              <w:rPr>
                <w:rFonts w:ascii="Times New Roman" w:eastAsia="Times New Roman" w:hAnsi="Times New Roman" w:cs="Times New Roman"/>
                <w:sz w:val="26"/>
                <w:szCs w:val="26"/>
                <w:lang w:eastAsia="lv-LV"/>
              </w:rPr>
              <w:t xml:space="preserve"> </w:t>
            </w:r>
            <w:r w:rsidR="001F4E77">
              <w:rPr>
                <w:rFonts w:ascii="Times New Roman" w:eastAsia="Times New Roman" w:hAnsi="Times New Roman" w:cs="Times New Roman"/>
                <w:sz w:val="26"/>
                <w:szCs w:val="26"/>
                <w:lang w:eastAsia="lv-LV"/>
              </w:rPr>
              <w:t>13.5., 13.6., 13.8</w:t>
            </w:r>
            <w:r w:rsidR="00BD2D26" w:rsidRPr="00DA09DA">
              <w:rPr>
                <w:rFonts w:ascii="Times New Roman" w:eastAsia="Times New Roman" w:hAnsi="Times New Roman" w:cs="Times New Roman"/>
                <w:sz w:val="26"/>
                <w:szCs w:val="26"/>
                <w:lang w:eastAsia="lv-LV"/>
              </w:rPr>
              <w:t>., 14.19., 14.20.</w:t>
            </w:r>
            <w:r w:rsidRPr="00DA09DA">
              <w:rPr>
                <w:rFonts w:ascii="Times New Roman" w:eastAsia="Times New Roman" w:hAnsi="Times New Roman" w:cs="Times New Roman"/>
                <w:sz w:val="26"/>
                <w:szCs w:val="26"/>
                <w:lang w:eastAsia="lv-LV"/>
              </w:rPr>
              <w:t>, 14.21.</w:t>
            </w:r>
            <w:r w:rsidR="00BD2D26" w:rsidRPr="00DA09DA">
              <w:rPr>
                <w:rFonts w:ascii="Times New Roman" w:eastAsia="Times New Roman" w:hAnsi="Times New Roman" w:cs="Times New Roman"/>
                <w:sz w:val="26"/>
                <w:szCs w:val="26"/>
                <w:lang w:eastAsia="lv-LV"/>
              </w:rPr>
              <w:t>apakšp</w:t>
            </w:r>
            <w:r w:rsidR="00032583" w:rsidRPr="00DA09DA">
              <w:rPr>
                <w:rFonts w:ascii="Times New Roman" w:eastAsia="Times New Roman" w:hAnsi="Times New Roman" w:cs="Times New Roman"/>
                <w:sz w:val="26"/>
                <w:szCs w:val="26"/>
                <w:lang w:eastAsia="lv-LV"/>
              </w:rPr>
              <w:t>unktiem</w:t>
            </w:r>
            <w:r w:rsidR="00E120E3" w:rsidRPr="00DA09DA">
              <w:rPr>
                <w:rFonts w:ascii="Times New Roman" w:eastAsia="Times New Roman" w:hAnsi="Times New Roman" w:cs="Times New Roman"/>
                <w:sz w:val="26"/>
                <w:szCs w:val="26"/>
                <w:lang w:eastAsia="lv-LV"/>
              </w:rPr>
              <w:t xml:space="preserve"> un precizēts 14.16.apakšpunkts</w:t>
            </w:r>
            <w:r w:rsidR="00691FBD" w:rsidRPr="00DA09DA">
              <w:rPr>
                <w:rFonts w:ascii="Times New Roman" w:eastAsia="Times New Roman" w:hAnsi="Times New Roman" w:cs="Times New Roman"/>
                <w:sz w:val="26"/>
                <w:szCs w:val="26"/>
                <w:lang w:eastAsia="lv-LV"/>
              </w:rPr>
              <w:t xml:space="preserve">, nosakot </w:t>
            </w:r>
            <w:r w:rsidR="005213ED" w:rsidRPr="00DA09DA">
              <w:rPr>
                <w:rFonts w:ascii="Times New Roman" w:eastAsia="Times New Roman" w:hAnsi="Times New Roman" w:cs="Times New Roman"/>
                <w:sz w:val="26"/>
                <w:szCs w:val="26"/>
                <w:lang w:eastAsia="lv-LV"/>
              </w:rPr>
              <w:t xml:space="preserve">papildu </w:t>
            </w:r>
            <w:r w:rsidR="00691FBD" w:rsidRPr="00DA09DA">
              <w:rPr>
                <w:rFonts w:ascii="Times New Roman" w:eastAsia="Times New Roman" w:hAnsi="Times New Roman" w:cs="Times New Roman"/>
                <w:sz w:val="26"/>
                <w:szCs w:val="26"/>
                <w:lang w:eastAsia="lv-LV"/>
              </w:rPr>
              <w:t>kompeten</w:t>
            </w:r>
            <w:r w:rsidR="005213ED" w:rsidRPr="00DA09DA">
              <w:rPr>
                <w:rFonts w:ascii="Times New Roman" w:eastAsia="Times New Roman" w:hAnsi="Times New Roman" w:cs="Times New Roman"/>
                <w:sz w:val="26"/>
                <w:szCs w:val="26"/>
                <w:lang w:eastAsia="lv-LV"/>
              </w:rPr>
              <w:t>ču</w:t>
            </w:r>
            <w:r w:rsidR="00691FBD" w:rsidRPr="00DA09DA">
              <w:rPr>
                <w:rFonts w:ascii="Times New Roman" w:eastAsia="Times New Roman" w:hAnsi="Times New Roman" w:cs="Times New Roman"/>
                <w:sz w:val="26"/>
                <w:szCs w:val="26"/>
                <w:lang w:eastAsia="lv-LV"/>
              </w:rPr>
              <w:t xml:space="preserve"> sadalījumu starp atbildīgo iestādi un sadarbības iestādi</w:t>
            </w:r>
            <w:r w:rsidR="008E0333" w:rsidRPr="00DA09DA">
              <w:rPr>
                <w:rFonts w:ascii="Times New Roman" w:eastAsia="Times New Roman" w:hAnsi="Times New Roman" w:cs="Times New Roman"/>
                <w:sz w:val="26"/>
                <w:szCs w:val="26"/>
                <w:lang w:eastAsia="lv-LV"/>
              </w:rPr>
              <w:t xml:space="preserve">. </w:t>
            </w:r>
            <w:r w:rsidR="002A4584" w:rsidRPr="00DA09DA">
              <w:rPr>
                <w:rFonts w:ascii="Times New Roman" w:eastAsia="Times New Roman" w:hAnsi="Times New Roman" w:cs="Times New Roman"/>
                <w:sz w:val="26"/>
                <w:szCs w:val="26"/>
                <w:lang w:eastAsia="lv-LV"/>
              </w:rPr>
              <w:t>Norādām, ka n</w:t>
            </w:r>
            <w:r w:rsidR="00BD2D26" w:rsidRPr="00DA09DA">
              <w:rPr>
                <w:rFonts w:ascii="Times New Roman" w:eastAsia="Times New Roman" w:hAnsi="Times New Roman" w:cs="Times New Roman"/>
                <w:sz w:val="26"/>
                <w:szCs w:val="26"/>
              </w:rPr>
              <w:t>oteikumu Nr.987 14.2</w:t>
            </w:r>
            <w:r w:rsidR="007238D1" w:rsidRPr="00DA09DA">
              <w:rPr>
                <w:rFonts w:ascii="Times New Roman" w:eastAsia="Times New Roman" w:hAnsi="Times New Roman" w:cs="Times New Roman"/>
                <w:sz w:val="26"/>
                <w:szCs w:val="26"/>
              </w:rPr>
              <w:t>1</w:t>
            </w:r>
            <w:r w:rsidR="00BD2D26" w:rsidRPr="00DA09DA">
              <w:rPr>
                <w:rFonts w:ascii="Times New Roman" w:eastAsia="Times New Roman" w:hAnsi="Times New Roman" w:cs="Times New Roman"/>
                <w:sz w:val="26"/>
                <w:szCs w:val="26"/>
              </w:rPr>
              <w:t xml:space="preserve">.apakšpunktā iekļautais ERAF finansējuma uzraudzības un atgūšanas mehānisms </w:t>
            </w:r>
            <w:r w:rsidR="00BD2D26" w:rsidRPr="00DA09DA">
              <w:rPr>
                <w:rFonts w:ascii="Times New Roman" w:hAnsi="Times New Roman" w:cs="Times New Roman"/>
                <w:sz w:val="26"/>
                <w:szCs w:val="26"/>
              </w:rPr>
              <w:t>satura un apjoma ziņā ietver arī noteikumu Nr.987 14.16.apakšpunktā paredzēto sadarbības iestādes pienākumu uzraudzīt finansējuma saņēmēja sadarbības partnerim veikto ERAF finansējuma atmaksu</w:t>
            </w:r>
            <w:r w:rsidR="008F40F5" w:rsidRPr="00DA09DA">
              <w:rPr>
                <w:rFonts w:ascii="Times New Roman" w:eastAsia="Times New Roman" w:hAnsi="Times New Roman" w:cs="Times New Roman"/>
                <w:sz w:val="26"/>
                <w:szCs w:val="26"/>
                <w:lang w:eastAsia="lv-LV"/>
              </w:rPr>
              <w:t>.</w:t>
            </w:r>
          </w:p>
          <w:p w:rsidR="008F40F5" w:rsidRPr="00DA09DA" w:rsidRDefault="008F40F5" w:rsidP="00D40D3A">
            <w:pPr>
              <w:tabs>
                <w:tab w:val="center" w:pos="4153"/>
                <w:tab w:val="right" w:pos="8306"/>
              </w:tabs>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hAnsi="Times New Roman" w:cs="Times New Roman"/>
                <w:sz w:val="26"/>
                <w:szCs w:val="26"/>
              </w:rPr>
              <w:t>Noteikumu Nr.987 14.21.apakšpunktā iekļautais ERAF finansējuma uzraudzības un atgūšanas mehānisms satura un apjoma ziņā ietver noteikumu Nr.987 14.16.apakšpunktā paredzēto sadarbības iestādes pienākumu uzraudzīt finansējuma saņēmēja sadarbības partnerim veikto ERAF finansējuma atmaksu.</w:t>
            </w:r>
          </w:p>
          <w:p w:rsidR="00756507" w:rsidRPr="00DA09DA" w:rsidRDefault="00A47C12"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3</w:t>
            </w:r>
            <w:r w:rsidR="00756507" w:rsidRPr="00DA09DA">
              <w:rPr>
                <w:rFonts w:ascii="Times New Roman" w:eastAsia="Times New Roman" w:hAnsi="Times New Roman" w:cs="Times New Roman"/>
                <w:sz w:val="26"/>
                <w:szCs w:val="26"/>
                <w:lang w:eastAsia="lv-LV"/>
              </w:rPr>
              <w:t>. </w:t>
            </w:r>
            <w:r w:rsidR="00C11E51" w:rsidRPr="00DA09DA">
              <w:rPr>
                <w:rFonts w:ascii="Times New Roman" w:eastAsia="Times New Roman" w:hAnsi="Times New Roman" w:cs="Times New Roman"/>
                <w:sz w:val="26"/>
                <w:szCs w:val="26"/>
                <w:lang w:eastAsia="lv-LV"/>
              </w:rPr>
              <w:t>V</w:t>
            </w:r>
            <w:r w:rsidR="005213ED" w:rsidRPr="00DA09DA">
              <w:rPr>
                <w:rFonts w:ascii="Times New Roman" w:eastAsia="Times New Roman" w:hAnsi="Times New Roman" w:cs="Times New Roman"/>
                <w:sz w:val="26"/>
                <w:szCs w:val="26"/>
                <w:lang w:eastAsia="lv-LV"/>
              </w:rPr>
              <w:t>eikti</w:t>
            </w:r>
            <w:r w:rsidR="00756507" w:rsidRPr="00DA09DA">
              <w:rPr>
                <w:rFonts w:ascii="Times New Roman" w:eastAsia="Times New Roman" w:hAnsi="Times New Roman" w:cs="Times New Roman"/>
                <w:sz w:val="26"/>
                <w:szCs w:val="26"/>
                <w:lang w:eastAsia="lv-LV"/>
              </w:rPr>
              <w:t xml:space="preserve"> </w:t>
            </w:r>
            <w:r w:rsidR="00E2722A" w:rsidRPr="00DA09DA">
              <w:rPr>
                <w:rFonts w:ascii="Times New Roman" w:eastAsia="Times New Roman" w:hAnsi="Times New Roman" w:cs="Times New Roman"/>
                <w:sz w:val="26"/>
                <w:szCs w:val="26"/>
                <w:lang w:eastAsia="lv-LV"/>
              </w:rPr>
              <w:t>grozījum</w:t>
            </w:r>
            <w:r w:rsidR="005213ED" w:rsidRPr="00DA09DA">
              <w:rPr>
                <w:rFonts w:ascii="Times New Roman" w:eastAsia="Times New Roman" w:hAnsi="Times New Roman" w:cs="Times New Roman"/>
                <w:sz w:val="26"/>
                <w:szCs w:val="26"/>
                <w:lang w:eastAsia="lv-LV"/>
              </w:rPr>
              <w:t>i</w:t>
            </w:r>
            <w:r w:rsidR="00E2722A" w:rsidRPr="00DA09DA">
              <w:rPr>
                <w:rFonts w:ascii="Times New Roman" w:eastAsia="Times New Roman" w:hAnsi="Times New Roman" w:cs="Times New Roman"/>
                <w:sz w:val="26"/>
                <w:szCs w:val="26"/>
                <w:lang w:eastAsia="lv-LV"/>
              </w:rPr>
              <w:t xml:space="preserve"> noteikumu Nr.987 </w:t>
            </w:r>
            <w:r w:rsidR="00945816" w:rsidRPr="00DA09DA">
              <w:rPr>
                <w:rFonts w:ascii="Times New Roman" w:eastAsia="Times New Roman" w:hAnsi="Times New Roman" w:cs="Times New Roman"/>
                <w:sz w:val="26"/>
                <w:szCs w:val="26"/>
                <w:lang w:eastAsia="lv-LV"/>
              </w:rPr>
              <w:t>79.</w:t>
            </w:r>
            <w:r w:rsidR="00945816" w:rsidRPr="00DA09DA">
              <w:rPr>
                <w:rFonts w:ascii="Times New Roman" w:eastAsia="Times New Roman" w:hAnsi="Times New Roman" w:cs="Times New Roman"/>
                <w:sz w:val="26"/>
                <w:szCs w:val="26"/>
                <w:vertAlign w:val="superscript"/>
                <w:lang w:eastAsia="lv-LV"/>
              </w:rPr>
              <w:t>1</w:t>
            </w:r>
            <w:r w:rsidR="00945816" w:rsidRPr="00DA09DA">
              <w:rPr>
                <w:rFonts w:ascii="Times New Roman" w:eastAsia="Times New Roman" w:hAnsi="Times New Roman" w:cs="Times New Roman"/>
                <w:sz w:val="26"/>
                <w:szCs w:val="26"/>
                <w:lang w:eastAsia="lv-LV"/>
              </w:rPr>
              <w:t>3.apakšpunktā</w:t>
            </w:r>
            <w:r w:rsidR="00BD5303" w:rsidRPr="00DA09DA">
              <w:rPr>
                <w:rFonts w:ascii="Times New Roman" w:eastAsia="Times New Roman" w:hAnsi="Times New Roman" w:cs="Times New Roman"/>
                <w:sz w:val="26"/>
                <w:szCs w:val="26"/>
                <w:lang w:eastAsia="lv-LV"/>
              </w:rPr>
              <w:t xml:space="preserve">, kas nosaka, ka ERAF atbalsta intensitātes pārrēķinu sadarbības iestādē iesniedz </w:t>
            </w:r>
            <w:r w:rsidR="008E0333" w:rsidRPr="00DA09DA">
              <w:rPr>
                <w:rFonts w:ascii="Times New Roman" w:eastAsia="Times New Roman" w:hAnsi="Times New Roman" w:cs="Times New Roman"/>
                <w:sz w:val="26"/>
                <w:szCs w:val="26"/>
                <w:lang w:eastAsia="lv-LV"/>
              </w:rPr>
              <w:t xml:space="preserve">ne retāk kā </w:t>
            </w:r>
            <w:r w:rsidR="00BD5303" w:rsidRPr="00DA09DA">
              <w:rPr>
                <w:rFonts w:ascii="Times New Roman" w:eastAsia="Times New Roman" w:hAnsi="Times New Roman" w:cs="Times New Roman"/>
                <w:sz w:val="26"/>
                <w:szCs w:val="26"/>
                <w:lang w:eastAsia="lv-LV"/>
              </w:rPr>
              <w:t>reizi pusgadā</w:t>
            </w:r>
            <w:r w:rsidR="00422BC6" w:rsidRPr="00DA09DA">
              <w:rPr>
                <w:rFonts w:ascii="Times New Roman" w:eastAsia="Times New Roman" w:hAnsi="Times New Roman" w:cs="Times New Roman"/>
                <w:sz w:val="26"/>
                <w:szCs w:val="26"/>
                <w:lang w:eastAsia="lv-LV"/>
              </w:rPr>
              <w:t>, tādējādi</w:t>
            </w:r>
            <w:r w:rsidR="00945816" w:rsidRPr="00DA09DA">
              <w:rPr>
                <w:rFonts w:ascii="Times New Roman" w:eastAsia="Times New Roman" w:hAnsi="Times New Roman" w:cs="Times New Roman"/>
                <w:sz w:val="26"/>
                <w:szCs w:val="26"/>
                <w:lang w:eastAsia="lv-LV"/>
              </w:rPr>
              <w:t xml:space="preserve"> </w:t>
            </w:r>
            <w:r w:rsidR="008E0333" w:rsidRPr="00DA09DA">
              <w:rPr>
                <w:rFonts w:ascii="Times New Roman" w:eastAsia="Times New Roman" w:hAnsi="Times New Roman" w:cs="Times New Roman"/>
                <w:sz w:val="26"/>
                <w:szCs w:val="26"/>
                <w:lang w:eastAsia="lv-LV"/>
              </w:rPr>
              <w:t>tiek samazināts</w:t>
            </w:r>
            <w:r w:rsidR="00756507" w:rsidRPr="00DA09DA">
              <w:rPr>
                <w:rFonts w:ascii="Times New Roman" w:eastAsia="Times New Roman" w:hAnsi="Times New Roman" w:cs="Times New Roman"/>
                <w:sz w:val="26"/>
                <w:szCs w:val="26"/>
                <w:lang w:eastAsia="lv-LV"/>
              </w:rPr>
              <w:t xml:space="preserve"> </w:t>
            </w:r>
            <w:r w:rsidR="0041530A" w:rsidRPr="00DA09DA">
              <w:rPr>
                <w:rFonts w:ascii="Times New Roman" w:eastAsia="Times New Roman" w:hAnsi="Times New Roman" w:cs="Times New Roman"/>
                <w:sz w:val="26"/>
                <w:szCs w:val="26"/>
                <w:lang w:eastAsia="lv-LV"/>
              </w:rPr>
              <w:t xml:space="preserve">ar projekta īstenošanu saistītais </w:t>
            </w:r>
            <w:r w:rsidR="00756507" w:rsidRPr="00DA09DA">
              <w:rPr>
                <w:rFonts w:ascii="Times New Roman" w:eastAsia="Times New Roman" w:hAnsi="Times New Roman" w:cs="Times New Roman"/>
                <w:sz w:val="26"/>
                <w:szCs w:val="26"/>
                <w:lang w:eastAsia="lv-LV"/>
              </w:rPr>
              <w:t>administratīv</w:t>
            </w:r>
            <w:r w:rsidR="008E0333" w:rsidRPr="00DA09DA">
              <w:rPr>
                <w:rFonts w:ascii="Times New Roman" w:eastAsia="Times New Roman" w:hAnsi="Times New Roman" w:cs="Times New Roman"/>
                <w:sz w:val="26"/>
                <w:szCs w:val="26"/>
                <w:lang w:eastAsia="lv-LV"/>
              </w:rPr>
              <w:t>ais</w:t>
            </w:r>
            <w:r w:rsidR="00756507" w:rsidRPr="00DA09DA">
              <w:rPr>
                <w:rFonts w:ascii="Times New Roman" w:eastAsia="Times New Roman" w:hAnsi="Times New Roman" w:cs="Times New Roman"/>
                <w:sz w:val="26"/>
                <w:szCs w:val="26"/>
                <w:lang w:eastAsia="lv-LV"/>
              </w:rPr>
              <w:t xml:space="preserve"> slog</w:t>
            </w:r>
            <w:r w:rsidR="008E0333" w:rsidRPr="00DA09DA">
              <w:rPr>
                <w:rFonts w:ascii="Times New Roman" w:eastAsia="Times New Roman" w:hAnsi="Times New Roman" w:cs="Times New Roman"/>
                <w:sz w:val="26"/>
                <w:szCs w:val="26"/>
                <w:lang w:eastAsia="lv-LV"/>
              </w:rPr>
              <w:t>s.</w:t>
            </w:r>
          </w:p>
          <w:p w:rsidR="00CF2DC1" w:rsidRPr="00DA09DA" w:rsidRDefault="00A47C12" w:rsidP="00CF2DC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4</w:t>
            </w:r>
            <w:r w:rsidR="00CF2DC1" w:rsidRPr="00DA09DA">
              <w:rPr>
                <w:rFonts w:ascii="Times New Roman" w:eastAsia="Times New Roman" w:hAnsi="Times New Roman" w:cs="Times New Roman"/>
                <w:sz w:val="26"/>
                <w:szCs w:val="26"/>
                <w:lang w:eastAsia="lv-LV"/>
              </w:rPr>
              <w:t xml:space="preserve">. 2.1.1.3.1.apakšaktivitātes projektu ietvaros (t.sk. projekti, kuru pieejamais finansējums ir mazāks par 4,2 milj. </w:t>
            </w:r>
            <w:r w:rsidR="00CF2DC1" w:rsidRPr="00DA09DA">
              <w:rPr>
                <w:rFonts w:ascii="Times New Roman" w:eastAsia="Times New Roman" w:hAnsi="Times New Roman" w:cs="Times New Roman"/>
                <w:i/>
                <w:sz w:val="26"/>
                <w:szCs w:val="26"/>
                <w:lang w:eastAsia="lv-LV"/>
              </w:rPr>
              <w:t>euro</w:t>
            </w:r>
            <w:r w:rsidR="00CF2DC1" w:rsidRPr="00DA09DA">
              <w:rPr>
                <w:rFonts w:ascii="Times New Roman" w:eastAsia="Times New Roman" w:hAnsi="Times New Roman" w:cs="Times New Roman"/>
                <w:sz w:val="26"/>
                <w:szCs w:val="26"/>
                <w:lang w:eastAsia="lv-LV"/>
              </w:rPr>
              <w:t>) finansējuma saņēmējs, nodrošinot Publiskā iepirkuma likuma izvirzītās prasības, saskaras ar šādām problēmām:</w:t>
            </w:r>
          </w:p>
          <w:p w:rsidR="00CF2DC1" w:rsidRPr="00DA09DA" w:rsidRDefault="00CF2DC1" w:rsidP="00CF2DC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vairāki iepirkumi tika izbeigti bez rezultāta, jo netika saņemts neviens pretendenta piedāvājums;</w:t>
            </w:r>
          </w:p>
          <w:p w:rsidR="00CF2DC1" w:rsidRPr="00DA09DA" w:rsidRDefault="00CF2DC1" w:rsidP="00CF2DC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iepirkuma procedūras rezultātā finansējuma saņēmējs nevarēja noslēgt iepirkuma līgumu, jo iesniegtais piedāvājums pārsniedza Eiropas Savienības fonda finansējuma saņēmēja paredzamo līgumcenu</w:t>
            </w:r>
            <w:r w:rsidR="004D61A6" w:rsidRPr="00DA09DA">
              <w:rPr>
                <w:rFonts w:ascii="Times New Roman" w:eastAsia="Times New Roman" w:hAnsi="Times New Roman" w:cs="Times New Roman"/>
                <w:sz w:val="26"/>
                <w:szCs w:val="26"/>
                <w:lang w:eastAsia="lv-LV"/>
              </w:rPr>
              <w:t xml:space="preserve">. Vienlaikus pastāv </w:t>
            </w:r>
            <w:r w:rsidRPr="00DA09DA">
              <w:rPr>
                <w:rFonts w:ascii="Times New Roman" w:eastAsia="Times New Roman" w:hAnsi="Times New Roman" w:cs="Times New Roman"/>
                <w:sz w:val="26"/>
                <w:szCs w:val="26"/>
                <w:lang w:eastAsia="lv-LV"/>
              </w:rPr>
              <w:t>risks, ka publiskā iepirkuma procedūras ietvaros saņemtie piedāvājumi neatbildīs iepirkuma procedūras dokumentos noteiktajām prasībām.</w:t>
            </w:r>
          </w:p>
          <w:p w:rsidR="00CF2DC1" w:rsidRPr="00DA09DA" w:rsidRDefault="00CF2DC1" w:rsidP="00CF2DC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Ievērojot minēto un pamatojoties uz Ministru kabineta noteikumu Nr.419 “Kārtība, kādā Eiropas </w:t>
            </w:r>
            <w:r w:rsidRPr="00DA09DA">
              <w:rPr>
                <w:rFonts w:ascii="Times New Roman" w:eastAsia="Times New Roman" w:hAnsi="Times New Roman" w:cs="Times New Roman"/>
                <w:sz w:val="26"/>
                <w:szCs w:val="26"/>
                <w:lang w:eastAsia="lv-LV"/>
              </w:rPr>
              <w:lastRenderedPageBreak/>
              <w:t>Savienības struktūrfondu un Kohēzijas fonda vadībā iesaistītās institūcijas nodrošina plānošanas dokumentu sagatavošanu un šo fondu ieviešanu” 25.</w:t>
            </w:r>
            <w:r w:rsidRPr="00DA09DA">
              <w:rPr>
                <w:rFonts w:ascii="Times New Roman" w:eastAsia="Times New Roman" w:hAnsi="Times New Roman" w:cs="Times New Roman"/>
                <w:sz w:val="26"/>
                <w:szCs w:val="26"/>
                <w:vertAlign w:val="superscript"/>
                <w:lang w:eastAsia="lv-LV"/>
              </w:rPr>
              <w:t>2</w:t>
            </w:r>
            <w:r w:rsidRPr="00DA09DA">
              <w:rPr>
                <w:rFonts w:ascii="Times New Roman" w:eastAsia="Times New Roman" w:hAnsi="Times New Roman" w:cs="Times New Roman"/>
                <w:sz w:val="26"/>
                <w:szCs w:val="26"/>
                <w:lang w:eastAsia="lv-LV"/>
              </w:rPr>
              <w:t xml:space="preserve">2.apakšpunktu, veikti precizējumi noteikumu Nr.987 76.punktā, paredzot, ka visu </w:t>
            </w:r>
            <w:r w:rsidR="004D61A6" w:rsidRPr="00DA09DA">
              <w:rPr>
                <w:rFonts w:ascii="Times New Roman" w:eastAsia="Times New Roman" w:hAnsi="Times New Roman" w:cs="Times New Roman"/>
                <w:sz w:val="26"/>
                <w:szCs w:val="26"/>
                <w:lang w:eastAsia="lv-LV"/>
              </w:rPr>
              <w:t xml:space="preserve">2.1.1.3.1.apakšaktivitātes </w:t>
            </w:r>
            <w:r w:rsidRPr="00DA09DA">
              <w:rPr>
                <w:rFonts w:ascii="Times New Roman" w:eastAsia="Times New Roman" w:hAnsi="Times New Roman" w:cs="Times New Roman"/>
                <w:sz w:val="26"/>
                <w:szCs w:val="26"/>
                <w:lang w:eastAsia="lv-LV"/>
              </w:rPr>
              <w:t>projektu īstenošanas termiņš ir 2015.gada 31.augusts.</w:t>
            </w:r>
          </w:p>
          <w:p w:rsidR="00C11E51" w:rsidRPr="00DA09DA" w:rsidRDefault="00722E80" w:rsidP="00CF2DC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5</w:t>
            </w:r>
            <w:r w:rsidR="00C11E51" w:rsidRPr="00DA09DA">
              <w:rPr>
                <w:rFonts w:ascii="Times New Roman" w:eastAsia="Times New Roman" w:hAnsi="Times New Roman" w:cs="Times New Roman"/>
                <w:sz w:val="26"/>
                <w:szCs w:val="26"/>
                <w:lang w:eastAsia="lv-LV"/>
              </w:rPr>
              <w:t>. </w:t>
            </w:r>
            <w:r w:rsidR="00163135" w:rsidRPr="00DA09DA">
              <w:rPr>
                <w:rFonts w:ascii="Times New Roman" w:eastAsia="Times New Roman" w:hAnsi="Times New Roman" w:cs="Times New Roman"/>
                <w:sz w:val="26"/>
                <w:szCs w:val="26"/>
                <w:lang w:eastAsia="lv-LV"/>
              </w:rPr>
              <w:t>P</w:t>
            </w:r>
            <w:r w:rsidR="00C11E51" w:rsidRPr="00DA09DA">
              <w:rPr>
                <w:rFonts w:ascii="Times New Roman" w:eastAsia="Times New Roman" w:hAnsi="Times New Roman" w:cs="Times New Roman"/>
                <w:sz w:val="26"/>
                <w:szCs w:val="26"/>
                <w:lang w:eastAsia="lv-LV"/>
              </w:rPr>
              <w:t xml:space="preserve">recizēti attiecināmības nosacījumi (noteikumu Nr.987 </w:t>
            </w:r>
            <w:r w:rsidR="004C0660" w:rsidRPr="00DA09DA">
              <w:rPr>
                <w:rFonts w:ascii="Times New Roman" w:eastAsia="Times New Roman" w:hAnsi="Times New Roman" w:cs="Times New Roman"/>
                <w:sz w:val="26"/>
                <w:szCs w:val="26"/>
                <w:lang w:eastAsia="lv-LV"/>
              </w:rPr>
              <w:t>36.1.4.</w:t>
            </w:r>
            <w:r w:rsidR="004C0660" w:rsidRPr="00DA09DA">
              <w:rPr>
                <w:rFonts w:ascii="Times New Roman" w:eastAsia="Times New Roman" w:hAnsi="Times New Roman" w:cs="Times New Roman"/>
                <w:sz w:val="26"/>
                <w:szCs w:val="26"/>
                <w:vertAlign w:val="superscript"/>
                <w:lang w:eastAsia="lv-LV"/>
              </w:rPr>
              <w:t>1</w:t>
            </w:r>
            <w:r w:rsidR="004C0660" w:rsidRPr="00DA09DA">
              <w:rPr>
                <w:rFonts w:ascii="Times New Roman" w:eastAsia="Times New Roman" w:hAnsi="Times New Roman" w:cs="Times New Roman"/>
                <w:sz w:val="26"/>
                <w:szCs w:val="26"/>
                <w:lang w:eastAsia="lv-LV"/>
              </w:rPr>
              <w:t>, 40.1.apakšpunkts</w:t>
            </w:r>
            <w:r w:rsidR="00215A85" w:rsidRPr="00DA09DA">
              <w:rPr>
                <w:rFonts w:ascii="Times New Roman" w:eastAsia="Times New Roman" w:hAnsi="Times New Roman" w:cs="Times New Roman"/>
                <w:sz w:val="26"/>
                <w:szCs w:val="26"/>
                <w:lang w:eastAsia="lv-LV"/>
              </w:rPr>
              <w:t>,</w:t>
            </w:r>
            <w:r w:rsidR="00163135" w:rsidRPr="00DA09DA">
              <w:rPr>
                <w:rFonts w:ascii="Times New Roman" w:eastAsia="Times New Roman" w:hAnsi="Times New Roman" w:cs="Times New Roman"/>
                <w:sz w:val="26"/>
                <w:szCs w:val="26"/>
                <w:lang w:eastAsia="lv-LV"/>
              </w:rPr>
              <w:t xml:space="preserve"> 36.</w:t>
            </w:r>
            <w:r w:rsidR="00163135" w:rsidRPr="00DA09DA">
              <w:rPr>
                <w:rFonts w:ascii="Times New Roman" w:eastAsia="Times New Roman" w:hAnsi="Times New Roman" w:cs="Times New Roman"/>
                <w:sz w:val="26"/>
                <w:szCs w:val="26"/>
                <w:vertAlign w:val="superscript"/>
                <w:lang w:eastAsia="lv-LV"/>
              </w:rPr>
              <w:t>1</w:t>
            </w:r>
            <w:r w:rsidR="00163135" w:rsidRPr="00DA09DA">
              <w:rPr>
                <w:rFonts w:ascii="Times New Roman" w:eastAsia="Times New Roman" w:hAnsi="Times New Roman" w:cs="Times New Roman"/>
                <w:sz w:val="26"/>
                <w:szCs w:val="26"/>
                <w:lang w:eastAsia="lv-LV"/>
              </w:rPr>
              <w:t>, 37.punkts</w:t>
            </w:r>
            <w:r w:rsidR="00D353D8" w:rsidRPr="00DA09DA">
              <w:rPr>
                <w:rFonts w:ascii="Times New Roman" w:eastAsia="Times New Roman" w:hAnsi="Times New Roman" w:cs="Times New Roman"/>
                <w:sz w:val="26"/>
                <w:szCs w:val="26"/>
                <w:lang w:eastAsia="lv-LV"/>
              </w:rPr>
              <w:t>)</w:t>
            </w:r>
            <w:r w:rsidR="005C7AC5" w:rsidRPr="00DA09DA">
              <w:rPr>
                <w:rFonts w:ascii="Times New Roman" w:eastAsia="Times New Roman" w:hAnsi="Times New Roman" w:cs="Times New Roman"/>
                <w:sz w:val="26"/>
                <w:szCs w:val="26"/>
                <w:lang w:eastAsia="lv-LV"/>
              </w:rPr>
              <w:t>,</w:t>
            </w:r>
            <w:r w:rsidR="00D353D8" w:rsidRPr="00DA09DA">
              <w:rPr>
                <w:rFonts w:ascii="Times New Roman" w:eastAsia="Times New Roman" w:hAnsi="Times New Roman" w:cs="Times New Roman"/>
                <w:sz w:val="26"/>
                <w:szCs w:val="26"/>
                <w:lang w:eastAsia="lv-LV"/>
              </w:rPr>
              <w:t xml:space="preserve"> nosacījumi </w:t>
            </w:r>
            <w:r w:rsidR="00367CF6" w:rsidRPr="00DA09DA">
              <w:rPr>
                <w:rFonts w:ascii="Times New Roman" w:eastAsia="Times New Roman" w:hAnsi="Times New Roman" w:cs="Times New Roman"/>
                <w:sz w:val="26"/>
                <w:szCs w:val="26"/>
                <w:lang w:eastAsia="lv-LV"/>
              </w:rPr>
              <w:t xml:space="preserve">attiecībā uz finanšu korekciju </w:t>
            </w:r>
            <w:r w:rsidR="00D353D8" w:rsidRPr="00DA09DA">
              <w:rPr>
                <w:rFonts w:ascii="Times New Roman" w:eastAsia="Times New Roman" w:hAnsi="Times New Roman" w:cs="Times New Roman"/>
                <w:sz w:val="26"/>
                <w:szCs w:val="26"/>
                <w:lang w:eastAsia="lv-LV"/>
              </w:rPr>
              <w:t xml:space="preserve">(noteikumu Nr.987 </w:t>
            </w:r>
            <w:r w:rsidR="005C7AC5" w:rsidRPr="00DA09DA">
              <w:rPr>
                <w:rFonts w:ascii="Times New Roman" w:eastAsia="Times New Roman" w:hAnsi="Times New Roman" w:cs="Times New Roman"/>
                <w:sz w:val="26"/>
                <w:szCs w:val="26"/>
                <w:lang w:eastAsia="lv-LV"/>
              </w:rPr>
              <w:t>80</w:t>
            </w:r>
            <w:r w:rsidR="00D353D8" w:rsidRPr="00DA09DA">
              <w:rPr>
                <w:rFonts w:ascii="Times New Roman" w:eastAsia="Times New Roman" w:hAnsi="Times New Roman" w:cs="Times New Roman"/>
                <w:sz w:val="26"/>
                <w:szCs w:val="26"/>
                <w:lang w:eastAsia="lv-LV"/>
              </w:rPr>
              <w:t>.</w:t>
            </w:r>
            <w:r w:rsidR="00D353D8" w:rsidRPr="00DA09DA">
              <w:rPr>
                <w:rFonts w:ascii="Times New Roman" w:eastAsia="Times New Roman" w:hAnsi="Times New Roman" w:cs="Times New Roman"/>
                <w:sz w:val="26"/>
                <w:szCs w:val="26"/>
                <w:vertAlign w:val="superscript"/>
                <w:lang w:eastAsia="lv-LV"/>
              </w:rPr>
              <w:t>1</w:t>
            </w:r>
            <w:r w:rsidR="005C7AC5" w:rsidRPr="00DA09DA">
              <w:rPr>
                <w:rFonts w:ascii="Times New Roman" w:eastAsia="Times New Roman" w:hAnsi="Times New Roman" w:cs="Times New Roman"/>
                <w:sz w:val="26"/>
                <w:szCs w:val="26"/>
                <w:lang w:eastAsia="lv-LV"/>
              </w:rPr>
              <w:t>4apakšpunkts</w:t>
            </w:r>
            <w:r w:rsidR="000E413B" w:rsidRPr="00DA09DA">
              <w:rPr>
                <w:rFonts w:ascii="Times New Roman" w:eastAsia="Times New Roman" w:hAnsi="Times New Roman" w:cs="Times New Roman"/>
                <w:sz w:val="26"/>
                <w:szCs w:val="26"/>
                <w:lang w:eastAsia="lv-LV"/>
              </w:rPr>
              <w:t xml:space="preserve">), </w:t>
            </w:r>
            <w:r w:rsidR="0056643F" w:rsidRPr="00DA09DA">
              <w:rPr>
                <w:rFonts w:ascii="Times New Roman" w:eastAsia="Times New Roman" w:hAnsi="Times New Roman" w:cs="Times New Roman"/>
                <w:sz w:val="26"/>
                <w:szCs w:val="26"/>
                <w:lang w:eastAsia="lv-LV"/>
              </w:rPr>
              <w:t xml:space="preserve">kā arī </w:t>
            </w:r>
            <w:r w:rsidR="000E413B" w:rsidRPr="00DA09DA">
              <w:rPr>
                <w:rFonts w:ascii="Times New Roman" w:eastAsia="Times New Roman" w:hAnsi="Times New Roman" w:cs="Times New Roman"/>
                <w:sz w:val="26"/>
                <w:szCs w:val="26"/>
                <w:lang w:eastAsia="lv-LV"/>
              </w:rPr>
              <w:t xml:space="preserve">projekta grozījumu </w:t>
            </w:r>
            <w:r w:rsidR="0065672B" w:rsidRPr="00DA09DA">
              <w:rPr>
                <w:rFonts w:ascii="Times New Roman" w:eastAsia="Times New Roman" w:hAnsi="Times New Roman" w:cs="Times New Roman"/>
                <w:sz w:val="26"/>
                <w:szCs w:val="26"/>
                <w:lang w:eastAsia="lv-LV"/>
              </w:rPr>
              <w:t>(noteikumu Nr.987 79.</w:t>
            </w:r>
            <w:r w:rsidR="0065672B" w:rsidRPr="00DA09DA">
              <w:rPr>
                <w:rFonts w:ascii="Times New Roman" w:eastAsia="Times New Roman" w:hAnsi="Times New Roman" w:cs="Times New Roman"/>
                <w:sz w:val="26"/>
                <w:szCs w:val="26"/>
                <w:vertAlign w:val="superscript"/>
                <w:lang w:eastAsia="lv-LV"/>
              </w:rPr>
              <w:t>1</w:t>
            </w:r>
            <w:r w:rsidR="0065672B" w:rsidRPr="00DA09DA">
              <w:rPr>
                <w:rFonts w:ascii="Times New Roman" w:eastAsia="Times New Roman" w:hAnsi="Times New Roman" w:cs="Times New Roman"/>
                <w:sz w:val="26"/>
                <w:szCs w:val="26"/>
                <w:lang w:eastAsia="lv-LV"/>
              </w:rPr>
              <w:t xml:space="preserve">5.apakšpunkts) </w:t>
            </w:r>
            <w:r w:rsidR="00367CF6" w:rsidRPr="00DA09DA">
              <w:rPr>
                <w:rFonts w:ascii="Times New Roman" w:eastAsia="Times New Roman" w:hAnsi="Times New Roman" w:cs="Times New Roman"/>
                <w:sz w:val="26"/>
                <w:szCs w:val="26"/>
                <w:lang w:eastAsia="lv-LV"/>
              </w:rPr>
              <w:t xml:space="preserve">un avansa saņemšanas </w:t>
            </w:r>
            <w:r w:rsidR="000E413B" w:rsidRPr="00DA09DA">
              <w:rPr>
                <w:rFonts w:ascii="Times New Roman" w:eastAsia="Times New Roman" w:hAnsi="Times New Roman" w:cs="Times New Roman"/>
                <w:sz w:val="26"/>
                <w:szCs w:val="26"/>
                <w:lang w:eastAsia="lv-LV"/>
              </w:rPr>
              <w:t>nosacījumi</w:t>
            </w:r>
            <w:r w:rsidR="00B358C1" w:rsidRPr="00DA09DA">
              <w:rPr>
                <w:rFonts w:ascii="Times New Roman" w:eastAsia="Times New Roman" w:hAnsi="Times New Roman" w:cs="Times New Roman"/>
                <w:sz w:val="26"/>
                <w:szCs w:val="26"/>
                <w:lang w:eastAsia="lv-LV"/>
              </w:rPr>
              <w:t xml:space="preserve"> (noteikumu Nr.987 24.punkts)</w:t>
            </w:r>
            <w:r w:rsidR="00163135" w:rsidRPr="00DA09DA">
              <w:rPr>
                <w:rFonts w:ascii="Times New Roman" w:eastAsia="Times New Roman" w:hAnsi="Times New Roman" w:cs="Times New Roman"/>
                <w:sz w:val="26"/>
                <w:szCs w:val="26"/>
                <w:lang w:eastAsia="lv-LV"/>
              </w:rPr>
              <w:t>.</w:t>
            </w:r>
            <w:r w:rsidR="004C0660" w:rsidRPr="00DA09DA">
              <w:rPr>
                <w:rFonts w:ascii="Times New Roman" w:eastAsia="Times New Roman" w:hAnsi="Times New Roman" w:cs="Times New Roman"/>
                <w:sz w:val="26"/>
                <w:szCs w:val="26"/>
                <w:lang w:eastAsia="lv-LV"/>
              </w:rPr>
              <w:t xml:space="preserve"> </w:t>
            </w:r>
          </w:p>
          <w:p w:rsidR="00215A85" w:rsidRPr="00DA09DA" w:rsidRDefault="00215A85"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6. </w:t>
            </w:r>
            <w:r w:rsidR="00C626E5" w:rsidRPr="00DA09DA">
              <w:rPr>
                <w:rFonts w:ascii="Times New Roman" w:eastAsia="Times New Roman" w:hAnsi="Times New Roman" w:cs="Times New Roman"/>
                <w:sz w:val="26"/>
                <w:szCs w:val="26"/>
                <w:lang w:eastAsia="lv-LV"/>
              </w:rPr>
              <w:t xml:space="preserve">Lai samazinātu ar projekta īstenošanu saistīto administratīvo slogu, </w:t>
            </w:r>
            <w:r w:rsidR="007B368E" w:rsidRPr="00DA09DA">
              <w:rPr>
                <w:rFonts w:ascii="Times New Roman" w:eastAsia="Times New Roman" w:hAnsi="Times New Roman" w:cs="Times New Roman"/>
                <w:sz w:val="26"/>
                <w:szCs w:val="26"/>
                <w:lang w:eastAsia="lv-LV"/>
              </w:rPr>
              <w:t>precizēt</w:t>
            </w:r>
            <w:r w:rsidR="00185978" w:rsidRPr="00DA09DA">
              <w:rPr>
                <w:rFonts w:ascii="Times New Roman" w:eastAsia="Times New Roman" w:hAnsi="Times New Roman" w:cs="Times New Roman"/>
                <w:sz w:val="26"/>
                <w:szCs w:val="26"/>
                <w:lang w:eastAsia="lv-LV"/>
              </w:rPr>
              <w:t xml:space="preserve">a </w:t>
            </w:r>
            <w:r w:rsidR="007B368E" w:rsidRPr="00DA09DA">
              <w:rPr>
                <w:rFonts w:ascii="Times New Roman" w:eastAsia="Times New Roman" w:hAnsi="Times New Roman" w:cs="Times New Roman"/>
                <w:sz w:val="26"/>
                <w:szCs w:val="26"/>
                <w:lang w:eastAsia="lv-LV"/>
              </w:rPr>
              <w:t>ERAF atbalsta intensitātes pārrēķin</w:t>
            </w:r>
            <w:r w:rsidR="00185978" w:rsidRPr="00DA09DA">
              <w:rPr>
                <w:rFonts w:ascii="Times New Roman" w:eastAsia="Times New Roman" w:hAnsi="Times New Roman" w:cs="Times New Roman"/>
                <w:sz w:val="26"/>
                <w:szCs w:val="26"/>
                <w:lang w:eastAsia="lv-LV"/>
              </w:rPr>
              <w:t xml:space="preserve">a </w:t>
            </w:r>
            <w:r w:rsidR="000D61A0" w:rsidRPr="00DA09DA">
              <w:rPr>
                <w:rFonts w:ascii="Times New Roman" w:eastAsia="Times New Roman" w:hAnsi="Times New Roman" w:cs="Times New Roman"/>
                <w:sz w:val="26"/>
                <w:szCs w:val="26"/>
                <w:lang w:eastAsia="lv-LV"/>
              </w:rPr>
              <w:t xml:space="preserve">iesniegšanas </w:t>
            </w:r>
            <w:r w:rsidR="00185978" w:rsidRPr="00DA09DA">
              <w:rPr>
                <w:rFonts w:ascii="Times New Roman" w:eastAsia="Times New Roman" w:hAnsi="Times New Roman" w:cs="Times New Roman"/>
                <w:sz w:val="26"/>
                <w:szCs w:val="26"/>
                <w:lang w:eastAsia="lv-LV"/>
              </w:rPr>
              <w:t>kārtība</w:t>
            </w:r>
            <w:r w:rsidR="00C626E5" w:rsidRPr="00DA09DA">
              <w:rPr>
                <w:rFonts w:ascii="Times New Roman" w:eastAsia="Times New Roman" w:hAnsi="Times New Roman" w:cs="Times New Roman"/>
                <w:sz w:val="26"/>
                <w:szCs w:val="26"/>
                <w:lang w:eastAsia="lv-LV"/>
              </w:rPr>
              <w:t xml:space="preserve"> (</w:t>
            </w:r>
            <w:r w:rsidR="00185978" w:rsidRPr="00DA09DA">
              <w:rPr>
                <w:rFonts w:ascii="Times New Roman" w:eastAsia="Times New Roman" w:hAnsi="Times New Roman" w:cs="Times New Roman"/>
                <w:sz w:val="26"/>
                <w:szCs w:val="26"/>
                <w:lang w:eastAsia="lv-LV"/>
              </w:rPr>
              <w:t>noteikumu Nr.987 79.</w:t>
            </w:r>
            <w:r w:rsidR="00185978" w:rsidRPr="001F4E77">
              <w:rPr>
                <w:rFonts w:ascii="Times New Roman" w:eastAsia="Times New Roman" w:hAnsi="Times New Roman" w:cs="Times New Roman"/>
                <w:sz w:val="26"/>
                <w:szCs w:val="26"/>
                <w:vertAlign w:val="superscript"/>
                <w:lang w:eastAsia="lv-LV"/>
              </w:rPr>
              <w:t>1</w:t>
            </w:r>
            <w:r w:rsidR="00185978" w:rsidRPr="00DA09DA">
              <w:rPr>
                <w:rFonts w:ascii="Times New Roman" w:eastAsia="Times New Roman" w:hAnsi="Times New Roman" w:cs="Times New Roman"/>
                <w:sz w:val="26"/>
                <w:szCs w:val="26"/>
                <w:lang w:eastAsia="lv-LV"/>
              </w:rPr>
              <w:t>5.apakšpunkts</w:t>
            </w:r>
            <w:r w:rsidR="00C626E5" w:rsidRPr="00DA09DA">
              <w:rPr>
                <w:rFonts w:ascii="Times New Roman" w:eastAsia="Times New Roman" w:hAnsi="Times New Roman" w:cs="Times New Roman"/>
                <w:sz w:val="26"/>
                <w:szCs w:val="26"/>
                <w:lang w:eastAsia="lv-LV"/>
              </w:rPr>
              <w:t>);</w:t>
            </w:r>
            <w:r w:rsidR="00185978" w:rsidRPr="00DA09DA">
              <w:rPr>
                <w:rFonts w:ascii="Times New Roman" w:eastAsia="Times New Roman" w:hAnsi="Times New Roman" w:cs="Times New Roman"/>
                <w:sz w:val="26"/>
                <w:szCs w:val="26"/>
                <w:lang w:eastAsia="lv-LV"/>
              </w:rPr>
              <w:t xml:space="preserve"> </w:t>
            </w:r>
          </w:p>
          <w:p w:rsidR="000E413B" w:rsidRPr="00DA09DA" w:rsidRDefault="00C626E5"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7</w:t>
            </w:r>
            <w:r w:rsidR="000E413B" w:rsidRPr="00DA09DA">
              <w:rPr>
                <w:rFonts w:ascii="Times New Roman" w:eastAsia="Times New Roman" w:hAnsi="Times New Roman" w:cs="Times New Roman"/>
                <w:sz w:val="26"/>
                <w:szCs w:val="26"/>
                <w:lang w:eastAsia="lv-LV"/>
              </w:rPr>
              <w:t>. </w:t>
            </w:r>
            <w:r w:rsidR="00FA22EB" w:rsidRPr="00DA09DA">
              <w:rPr>
                <w:rFonts w:ascii="Times New Roman" w:eastAsia="Times New Roman" w:hAnsi="Times New Roman" w:cs="Times New Roman"/>
                <w:sz w:val="26"/>
                <w:szCs w:val="26"/>
                <w:lang w:eastAsia="lv-LV"/>
              </w:rPr>
              <w:t>P</w:t>
            </w:r>
            <w:r w:rsidR="000E413B" w:rsidRPr="00DA09DA">
              <w:rPr>
                <w:rFonts w:ascii="Times New Roman" w:eastAsia="Times New Roman" w:hAnsi="Times New Roman" w:cs="Times New Roman"/>
                <w:sz w:val="26"/>
                <w:szCs w:val="26"/>
                <w:lang w:eastAsia="lv-LV"/>
              </w:rPr>
              <w:t>reciz</w:t>
            </w:r>
            <w:r w:rsidR="00F923AC" w:rsidRPr="00DA09DA">
              <w:rPr>
                <w:rFonts w:ascii="Times New Roman" w:eastAsia="Times New Roman" w:hAnsi="Times New Roman" w:cs="Times New Roman"/>
                <w:sz w:val="26"/>
                <w:szCs w:val="26"/>
                <w:lang w:eastAsia="lv-LV"/>
              </w:rPr>
              <w:t>ēta noteikumu Nr.987 2.pielikuma 6.1.1.1.apakšpunkt</w:t>
            </w:r>
            <w:r w:rsidR="00C05DC3" w:rsidRPr="00DA09DA">
              <w:rPr>
                <w:rFonts w:ascii="Times New Roman" w:eastAsia="Times New Roman" w:hAnsi="Times New Roman" w:cs="Times New Roman"/>
                <w:sz w:val="26"/>
                <w:szCs w:val="26"/>
                <w:lang w:eastAsia="lv-LV"/>
              </w:rPr>
              <w:t>a</w:t>
            </w:r>
            <w:r w:rsidR="00F923AC" w:rsidRPr="00DA09DA">
              <w:rPr>
                <w:rFonts w:ascii="Times New Roman" w:eastAsia="Times New Roman" w:hAnsi="Times New Roman" w:cs="Times New Roman"/>
                <w:sz w:val="26"/>
                <w:szCs w:val="26"/>
                <w:lang w:eastAsia="lv-LV"/>
              </w:rPr>
              <w:t xml:space="preserve"> redakcija, nodrošinot </w:t>
            </w:r>
            <w:r w:rsidR="00FC41BE" w:rsidRPr="00DA09DA">
              <w:rPr>
                <w:rFonts w:ascii="Times New Roman" w:eastAsia="Times New Roman" w:hAnsi="Times New Roman" w:cs="Times New Roman"/>
                <w:sz w:val="26"/>
                <w:szCs w:val="26"/>
                <w:lang w:eastAsia="lv-LV"/>
              </w:rPr>
              <w:t xml:space="preserve">konkrētam labuma guvējam </w:t>
            </w:r>
            <w:r w:rsidR="00FA22EB" w:rsidRPr="00DA09DA">
              <w:rPr>
                <w:rFonts w:ascii="Times New Roman" w:eastAsia="Times New Roman" w:hAnsi="Times New Roman" w:cs="Times New Roman"/>
                <w:sz w:val="26"/>
                <w:szCs w:val="26"/>
                <w:lang w:eastAsia="lv-LV"/>
              </w:rPr>
              <w:t xml:space="preserve">piešķirtā valsts budžeta </w:t>
            </w:r>
            <w:r w:rsidR="00FC41BE" w:rsidRPr="00DA09DA">
              <w:rPr>
                <w:rFonts w:ascii="Times New Roman" w:eastAsia="Times New Roman" w:hAnsi="Times New Roman" w:cs="Times New Roman"/>
                <w:sz w:val="26"/>
                <w:szCs w:val="26"/>
                <w:lang w:eastAsia="lv-LV"/>
              </w:rPr>
              <w:t xml:space="preserve">apmērā </w:t>
            </w:r>
            <w:r w:rsidR="00FA22EB" w:rsidRPr="00DA09DA">
              <w:rPr>
                <w:rFonts w:ascii="Times New Roman" w:eastAsia="Times New Roman" w:hAnsi="Times New Roman" w:cs="Times New Roman"/>
                <w:sz w:val="26"/>
                <w:szCs w:val="26"/>
                <w:lang w:eastAsia="lv-LV"/>
              </w:rPr>
              <w:t xml:space="preserve">un piemērotās valsts atbalsta kategorijas izsekojamību. </w:t>
            </w:r>
          </w:p>
          <w:p w:rsidR="00036A1F" w:rsidRPr="00DA09DA" w:rsidRDefault="00036A1F" w:rsidP="00D40D3A">
            <w:pPr>
              <w:spacing w:before="10" w:after="0" w:line="240" w:lineRule="auto"/>
              <w:ind w:left="113" w:right="113"/>
              <w:jc w:val="both"/>
              <w:rPr>
                <w:rFonts w:ascii="Times New Roman" w:eastAsia="Times New Roman" w:hAnsi="Times New Roman" w:cs="Times New Roman"/>
                <w:sz w:val="26"/>
                <w:szCs w:val="26"/>
                <w:lang w:eastAsia="lv-LV"/>
              </w:rPr>
            </w:pPr>
          </w:p>
          <w:p w:rsidR="00F375EF" w:rsidRPr="00DA09DA" w:rsidRDefault="00924D31"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Lai nodrošinātu konkrētai </w:t>
            </w:r>
            <w:r w:rsidR="009E5696" w:rsidRPr="00DA09DA">
              <w:rPr>
                <w:rFonts w:ascii="Times New Roman" w:eastAsia="Times New Roman" w:hAnsi="Times New Roman" w:cs="Times New Roman"/>
                <w:sz w:val="26"/>
                <w:szCs w:val="26"/>
                <w:lang w:eastAsia="lv-LV"/>
              </w:rPr>
              <w:t>komercdarbības</w:t>
            </w:r>
            <w:r w:rsidRPr="00DA09DA">
              <w:rPr>
                <w:rFonts w:ascii="Times New Roman" w:eastAsia="Times New Roman" w:hAnsi="Times New Roman" w:cs="Times New Roman"/>
                <w:sz w:val="26"/>
                <w:szCs w:val="26"/>
                <w:lang w:eastAsia="lv-LV"/>
              </w:rPr>
              <w:t xml:space="preserve"> atbalsta kategorijai  atbilstošo nosacījumu izpildes izsekojamību, </w:t>
            </w:r>
            <w:r w:rsidR="005341FF" w:rsidRPr="00DA09DA">
              <w:rPr>
                <w:rFonts w:ascii="Times New Roman" w:eastAsia="Times New Roman" w:hAnsi="Times New Roman" w:cs="Times New Roman"/>
                <w:sz w:val="26"/>
                <w:szCs w:val="26"/>
                <w:lang w:eastAsia="lv-LV"/>
              </w:rPr>
              <w:t>noteikum</w:t>
            </w:r>
            <w:r w:rsidR="00F375EF" w:rsidRPr="00DA09DA">
              <w:rPr>
                <w:rFonts w:ascii="Times New Roman" w:eastAsia="Times New Roman" w:hAnsi="Times New Roman" w:cs="Times New Roman"/>
                <w:sz w:val="26"/>
                <w:szCs w:val="26"/>
                <w:lang w:eastAsia="lv-LV"/>
              </w:rPr>
              <w:t>i</w:t>
            </w:r>
            <w:r w:rsidR="005341FF" w:rsidRPr="00DA09DA">
              <w:rPr>
                <w:rFonts w:ascii="Times New Roman" w:eastAsia="Times New Roman" w:hAnsi="Times New Roman" w:cs="Times New Roman"/>
                <w:sz w:val="26"/>
                <w:szCs w:val="26"/>
                <w:lang w:eastAsia="lv-LV"/>
              </w:rPr>
              <w:t xml:space="preserve"> Nr.987 </w:t>
            </w:r>
            <w:r w:rsidR="00F375EF" w:rsidRPr="00DA09DA">
              <w:rPr>
                <w:rFonts w:ascii="Times New Roman" w:eastAsia="Times New Roman" w:hAnsi="Times New Roman" w:cs="Times New Roman"/>
                <w:sz w:val="26"/>
                <w:szCs w:val="26"/>
                <w:lang w:eastAsia="lv-LV"/>
              </w:rPr>
              <w:t>nosaka, ka:</w:t>
            </w:r>
          </w:p>
          <w:p w:rsidR="009E5696" w:rsidRPr="00DA09DA" w:rsidRDefault="003C08C7" w:rsidP="003B470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1. </w:t>
            </w:r>
            <w:r w:rsidR="009E5696" w:rsidRPr="00DA09DA">
              <w:rPr>
                <w:rFonts w:ascii="Times New Roman" w:eastAsia="Times New Roman" w:hAnsi="Times New Roman" w:cs="Times New Roman"/>
                <w:sz w:val="26"/>
                <w:szCs w:val="26"/>
                <w:lang w:eastAsia="lv-LV"/>
              </w:rPr>
              <w:t xml:space="preserve">projekta saimnieciskajai daļai, kuras ietvaros plānotos ieguldījumus paredzēts izmantot </w:t>
            </w:r>
            <w:r w:rsidR="001C60A8" w:rsidRPr="00DA09DA">
              <w:rPr>
                <w:rFonts w:ascii="Times New Roman" w:eastAsia="Times New Roman" w:hAnsi="Times New Roman" w:cs="Times New Roman"/>
                <w:sz w:val="26"/>
                <w:szCs w:val="26"/>
                <w:lang w:eastAsia="lv-LV"/>
              </w:rPr>
              <w:t>labuma guvēja</w:t>
            </w:r>
            <w:r w:rsidR="009E5696" w:rsidRPr="00DA09DA">
              <w:rPr>
                <w:rFonts w:ascii="Times New Roman" w:eastAsia="Times New Roman" w:hAnsi="Times New Roman" w:cs="Times New Roman"/>
                <w:sz w:val="26"/>
                <w:szCs w:val="26"/>
                <w:lang w:eastAsia="lv-LV"/>
              </w:rPr>
              <w:t xml:space="preserve"> saimnieciskajā pamatdarbībā, piemēro vienu no komercdarbības atbalsta kategorijām</w:t>
            </w:r>
            <w:r w:rsidRPr="00DA09DA">
              <w:rPr>
                <w:rFonts w:ascii="Times New Roman" w:eastAsia="Times New Roman" w:hAnsi="Times New Roman" w:cs="Times New Roman"/>
                <w:sz w:val="26"/>
                <w:szCs w:val="26"/>
                <w:lang w:eastAsia="lv-LV"/>
              </w:rPr>
              <w:t xml:space="preserve"> (</w:t>
            </w:r>
            <w:r w:rsidR="001C60A8" w:rsidRPr="00DA09DA">
              <w:rPr>
                <w:rFonts w:ascii="Times New Roman" w:eastAsia="Times New Roman" w:hAnsi="Times New Roman" w:cs="Times New Roman"/>
                <w:sz w:val="26"/>
                <w:szCs w:val="26"/>
                <w:lang w:eastAsia="lv-LV"/>
              </w:rPr>
              <w:t>n</w:t>
            </w:r>
            <w:r w:rsidRPr="00DA09DA">
              <w:rPr>
                <w:rFonts w:ascii="Times New Roman" w:eastAsia="Times New Roman" w:hAnsi="Times New Roman" w:cs="Times New Roman"/>
                <w:sz w:val="26"/>
                <w:szCs w:val="26"/>
                <w:lang w:eastAsia="lv-LV"/>
              </w:rPr>
              <w:t>oteikumu Nr.987 31.2.apakšpunkts);</w:t>
            </w:r>
            <w:r w:rsidR="003B470E" w:rsidRPr="00DA09DA">
              <w:rPr>
                <w:rFonts w:ascii="Times New Roman" w:eastAsia="Times New Roman" w:hAnsi="Times New Roman" w:cs="Times New Roman"/>
                <w:sz w:val="26"/>
                <w:szCs w:val="26"/>
                <w:lang w:eastAsia="lv-LV"/>
              </w:rPr>
              <w:t xml:space="preserve"> </w:t>
            </w:r>
          </w:p>
          <w:p w:rsidR="00F375EF" w:rsidRPr="00DA09DA" w:rsidRDefault="003B470E"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hAnsi="Times New Roman" w:cs="Times New Roman"/>
                <w:i/>
                <w:sz w:val="26"/>
                <w:szCs w:val="26"/>
              </w:rPr>
              <w:t>2.</w:t>
            </w:r>
            <w:r w:rsidR="004F3E06" w:rsidRPr="00DA09DA">
              <w:rPr>
                <w:rFonts w:ascii="Times New Roman" w:hAnsi="Times New Roman" w:cs="Times New Roman"/>
                <w:i/>
                <w:sz w:val="26"/>
                <w:szCs w:val="26"/>
              </w:rPr>
              <w:t> </w:t>
            </w:r>
            <w:r w:rsidRPr="00DA09DA">
              <w:rPr>
                <w:rFonts w:ascii="Times New Roman" w:hAnsi="Times New Roman" w:cs="Times New Roman"/>
                <w:sz w:val="26"/>
                <w:szCs w:val="26"/>
              </w:rPr>
              <w:t xml:space="preserve">kombinēta atbalsta veida projektam piešķirto finansējumu neapvieno ar atbalstu citas atbalsta programmas vai individuālā atbalsta projekta ietvaros </w:t>
            </w:r>
            <w:r w:rsidRPr="00DA09DA">
              <w:rPr>
                <w:rFonts w:ascii="Times New Roman" w:eastAsia="Times New Roman" w:hAnsi="Times New Roman" w:cs="Times New Roman"/>
                <w:sz w:val="26"/>
                <w:szCs w:val="26"/>
                <w:lang w:eastAsia="lv-LV"/>
              </w:rPr>
              <w:t xml:space="preserve">(noteikumu Nr.987 </w:t>
            </w:r>
            <w:r w:rsidR="004F3E06" w:rsidRPr="00DA09DA">
              <w:rPr>
                <w:rFonts w:ascii="Times New Roman" w:eastAsia="Times New Roman" w:hAnsi="Times New Roman" w:cs="Times New Roman"/>
                <w:sz w:val="26"/>
                <w:szCs w:val="26"/>
                <w:lang w:eastAsia="lv-LV"/>
              </w:rPr>
              <w:t>34</w:t>
            </w:r>
            <w:r w:rsidRPr="00DA09DA">
              <w:rPr>
                <w:rFonts w:ascii="Times New Roman" w:eastAsia="Times New Roman" w:hAnsi="Times New Roman" w:cs="Times New Roman"/>
                <w:sz w:val="26"/>
                <w:szCs w:val="26"/>
                <w:lang w:eastAsia="lv-LV"/>
              </w:rPr>
              <w:t>.punkts)</w:t>
            </w:r>
            <w:r w:rsidR="004F3E06" w:rsidRPr="00DA09DA">
              <w:rPr>
                <w:rFonts w:ascii="Times New Roman" w:eastAsia="Times New Roman" w:hAnsi="Times New Roman" w:cs="Times New Roman"/>
                <w:sz w:val="26"/>
                <w:szCs w:val="26"/>
                <w:lang w:eastAsia="lv-LV"/>
              </w:rPr>
              <w:t>.</w:t>
            </w:r>
          </w:p>
          <w:p w:rsidR="005341FF" w:rsidRPr="00DA09DA" w:rsidRDefault="00CC71AC" w:rsidP="00D40D3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hAnsi="Times New Roman" w:cs="Times New Roman"/>
                <w:sz w:val="26"/>
                <w:szCs w:val="26"/>
              </w:rPr>
              <w:t>Minēto apsvērumu dē</w:t>
            </w:r>
            <w:r w:rsidR="00511033" w:rsidRPr="00DA09DA">
              <w:rPr>
                <w:rFonts w:ascii="Times New Roman" w:hAnsi="Times New Roman" w:cs="Times New Roman"/>
                <w:sz w:val="26"/>
                <w:szCs w:val="26"/>
              </w:rPr>
              <w:t>ļ</w:t>
            </w:r>
            <w:r w:rsidRPr="00DA09DA">
              <w:rPr>
                <w:rFonts w:ascii="Times New Roman" w:hAnsi="Times New Roman" w:cs="Times New Roman"/>
                <w:sz w:val="26"/>
                <w:szCs w:val="26"/>
              </w:rPr>
              <w:t xml:space="preserve"> aktivitātes ietvaros nepiemēro </w:t>
            </w:r>
            <w:r w:rsidR="00940D9F" w:rsidRPr="00DA09DA">
              <w:rPr>
                <w:rFonts w:ascii="Times New Roman" w:eastAsia="Times New Roman" w:hAnsi="Times New Roman" w:cs="Times New Roman"/>
                <w:i/>
                <w:sz w:val="26"/>
                <w:szCs w:val="26"/>
                <w:lang w:eastAsia="lv-LV"/>
              </w:rPr>
              <w:t>Komisijas 2014.gada 17.jūnija Regulas (ES) Nr. 651/2014, ar ko noteiktas atbalsta kategorijas atzīst par saderīgām ar iekšējo tirgu, piemērojot Līguma 107. un 108.pantu</w:t>
            </w:r>
            <w:r w:rsidR="00940D9F" w:rsidRPr="00DA09DA">
              <w:rPr>
                <w:rFonts w:ascii="Times New Roman" w:eastAsia="Times New Roman" w:hAnsi="Times New Roman" w:cs="Times New Roman"/>
                <w:sz w:val="26"/>
                <w:szCs w:val="26"/>
                <w:lang w:eastAsia="lv-LV"/>
              </w:rPr>
              <w:t xml:space="preserve"> 8.panta nosacījumus </w:t>
            </w:r>
            <w:r w:rsidR="00511033" w:rsidRPr="00DA09DA">
              <w:rPr>
                <w:rFonts w:ascii="Times New Roman" w:eastAsia="Times New Roman" w:hAnsi="Times New Roman" w:cs="Times New Roman"/>
                <w:sz w:val="26"/>
                <w:szCs w:val="26"/>
                <w:lang w:eastAsia="lv-LV"/>
              </w:rPr>
              <w:t xml:space="preserve">attiecībā uz valsts </w:t>
            </w:r>
            <w:r w:rsidR="00940D9F" w:rsidRPr="00DA09DA">
              <w:rPr>
                <w:rFonts w:ascii="Times New Roman" w:eastAsia="Times New Roman" w:hAnsi="Times New Roman" w:cs="Times New Roman"/>
                <w:sz w:val="26"/>
                <w:szCs w:val="26"/>
                <w:lang w:eastAsia="lv-LV"/>
              </w:rPr>
              <w:t>atbalsta kumulācij</w:t>
            </w:r>
            <w:r w:rsidR="00511033" w:rsidRPr="00DA09DA">
              <w:rPr>
                <w:rFonts w:ascii="Times New Roman" w:eastAsia="Times New Roman" w:hAnsi="Times New Roman" w:cs="Times New Roman"/>
                <w:sz w:val="26"/>
                <w:szCs w:val="26"/>
                <w:lang w:eastAsia="lv-LV"/>
              </w:rPr>
              <w:t>u</w:t>
            </w:r>
            <w:r w:rsidR="00940D9F" w:rsidRPr="00DA09DA">
              <w:rPr>
                <w:rFonts w:ascii="Times New Roman" w:eastAsia="Times New Roman" w:hAnsi="Times New Roman" w:cs="Times New Roman"/>
                <w:sz w:val="26"/>
                <w:szCs w:val="26"/>
                <w:lang w:eastAsia="lv-LV"/>
              </w:rPr>
              <w:t>.</w:t>
            </w:r>
            <w:r w:rsidR="00B73810" w:rsidRPr="00DA09DA">
              <w:rPr>
                <w:rFonts w:ascii="Times New Roman" w:hAnsi="Times New Roman" w:cs="Times New Roman"/>
                <w:i/>
                <w:sz w:val="26"/>
                <w:szCs w:val="26"/>
              </w:rPr>
              <w:t xml:space="preserve"> </w:t>
            </w:r>
          </w:p>
          <w:p w:rsidR="0084010C" w:rsidRPr="00DA09DA" w:rsidRDefault="00864420" w:rsidP="005F5B9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Noteikumu projektā ietvertais tiesiskais regulējums neietekmē finansējuma saņēmēju līdzšinējo tiesību un pienākumu apjomu, tādējādi tiek ievērota minēto personu tiesiska paļāvība. </w:t>
            </w:r>
          </w:p>
        </w:tc>
      </w:tr>
      <w:tr w:rsidR="00533730" w:rsidRPr="00DA09DA"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3.</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DA09DA" w:rsidRDefault="00A33B4B" w:rsidP="009D6792">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Noteikumu projektu izstrādāja </w:t>
            </w:r>
            <w:r w:rsidR="00A03AEC" w:rsidRPr="00DA09DA">
              <w:rPr>
                <w:rFonts w:ascii="Times New Roman" w:eastAsia="Times New Roman" w:hAnsi="Times New Roman" w:cs="Times New Roman"/>
                <w:sz w:val="26"/>
                <w:szCs w:val="26"/>
                <w:lang w:eastAsia="lv-LV"/>
              </w:rPr>
              <w:t>I</w:t>
            </w:r>
            <w:r w:rsidR="00303F40" w:rsidRPr="00DA09DA">
              <w:rPr>
                <w:rFonts w:ascii="Times New Roman" w:eastAsia="Times New Roman" w:hAnsi="Times New Roman" w:cs="Times New Roman"/>
                <w:sz w:val="26"/>
                <w:szCs w:val="26"/>
                <w:lang w:eastAsia="lv-LV"/>
              </w:rPr>
              <w:t xml:space="preserve">zglītības un zinātnes </w:t>
            </w:r>
            <w:r w:rsidR="00970A3F" w:rsidRPr="00DA09DA">
              <w:rPr>
                <w:rFonts w:ascii="Times New Roman" w:eastAsia="Times New Roman" w:hAnsi="Times New Roman" w:cs="Times New Roman"/>
                <w:sz w:val="26"/>
                <w:szCs w:val="26"/>
                <w:lang w:eastAsia="lv-LV"/>
              </w:rPr>
              <w:t xml:space="preserve"> ministrija.</w:t>
            </w:r>
            <w:r w:rsidRPr="00DA09DA">
              <w:rPr>
                <w:rFonts w:ascii="Times New Roman" w:eastAsia="Times New Roman" w:hAnsi="Times New Roman" w:cs="Times New Roman"/>
                <w:sz w:val="26"/>
                <w:szCs w:val="26"/>
                <w:lang w:eastAsia="lv-LV"/>
              </w:rPr>
              <w:t xml:space="preserve"> </w:t>
            </w:r>
          </w:p>
        </w:tc>
      </w:tr>
      <w:tr w:rsidR="00533730" w:rsidRPr="00DA09DA" w:rsidTr="00574A62">
        <w:tc>
          <w:tcPr>
            <w:tcW w:w="314"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4.</w:t>
            </w:r>
          </w:p>
        </w:tc>
        <w:tc>
          <w:tcPr>
            <w:tcW w:w="2977"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A33B4B">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Nav</w:t>
            </w:r>
          </w:p>
        </w:tc>
      </w:tr>
      <w:tr w:rsidR="005D4E8A" w:rsidRPr="00DA09DA" w:rsidTr="009F0632">
        <w:trPr>
          <w:trHeight w:val="128"/>
        </w:trPr>
        <w:tc>
          <w:tcPr>
            <w:tcW w:w="9131" w:type="dxa"/>
            <w:gridSpan w:val="4"/>
            <w:tcBorders>
              <w:top w:val="outset" w:sz="6" w:space="0" w:color="414142"/>
              <w:left w:val="nil"/>
              <w:bottom w:val="outset" w:sz="6" w:space="0" w:color="414142"/>
              <w:right w:val="nil"/>
            </w:tcBorders>
          </w:tcPr>
          <w:p w:rsidR="00A33B4B" w:rsidRPr="00DA09DA" w:rsidRDefault="00A33B4B" w:rsidP="0081203F">
            <w:pPr>
              <w:tabs>
                <w:tab w:val="left" w:pos="990"/>
              </w:tabs>
              <w:spacing w:after="0" w:line="240" w:lineRule="auto"/>
              <w:rPr>
                <w:rFonts w:ascii="Times New Roman" w:eastAsia="Times New Roman" w:hAnsi="Times New Roman" w:cs="Times New Roman"/>
                <w:sz w:val="26"/>
                <w:szCs w:val="26"/>
                <w:lang w:eastAsia="lv-LV"/>
              </w:rPr>
            </w:pPr>
          </w:p>
        </w:tc>
      </w:tr>
      <w:tr w:rsidR="00533730" w:rsidRPr="00DA09DA" w:rsidTr="00A60FE8">
        <w:trPr>
          <w:trHeight w:val="351"/>
        </w:trPr>
        <w:tc>
          <w:tcPr>
            <w:tcW w:w="9131" w:type="dxa"/>
            <w:gridSpan w:val="4"/>
            <w:tcBorders>
              <w:top w:val="nil"/>
              <w:left w:val="outset" w:sz="6" w:space="0" w:color="414142"/>
              <w:bottom w:val="outset" w:sz="6" w:space="0" w:color="414142"/>
              <w:right w:val="outset" w:sz="6" w:space="0" w:color="414142"/>
            </w:tcBorders>
            <w:vAlign w:val="center"/>
            <w:hideMark/>
          </w:tcPr>
          <w:p w:rsidR="004D15A9" w:rsidRPr="00DA09D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DA09D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33730" w:rsidRPr="00DA09DA" w:rsidTr="00885687">
        <w:trPr>
          <w:trHeight w:val="465"/>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Sabiedrības mērķgrupas, kuras tiesiskais regulējums ietekmē vai varētu ietekmēt</w:t>
            </w:r>
          </w:p>
        </w:tc>
        <w:tc>
          <w:tcPr>
            <w:tcW w:w="5844" w:type="dxa"/>
            <w:tcBorders>
              <w:top w:val="outset" w:sz="6" w:space="0" w:color="414142"/>
              <w:left w:val="outset" w:sz="6" w:space="0" w:color="414142"/>
              <w:bottom w:val="outset" w:sz="6" w:space="0" w:color="414142"/>
              <w:right w:val="outset" w:sz="6" w:space="0" w:color="414142"/>
            </w:tcBorders>
            <w:hideMark/>
          </w:tcPr>
          <w:p w:rsidR="00A33B4B" w:rsidRPr="00DA09DA" w:rsidRDefault="00901BE6"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Mērķa grupa</w:t>
            </w:r>
            <w:r w:rsidR="007C52FC" w:rsidRPr="00DA09DA">
              <w:rPr>
                <w:rFonts w:ascii="Times New Roman" w:eastAsia="Times New Roman" w:hAnsi="Times New Roman" w:cs="Times New Roman"/>
                <w:sz w:val="26"/>
                <w:szCs w:val="26"/>
                <w:lang w:eastAsia="lv-LV"/>
              </w:rPr>
              <w:t xml:space="preserve"> 2.1.1.3.1.aktivitātes </w:t>
            </w:r>
            <w:r w:rsidR="004943E4" w:rsidRPr="00DA09DA">
              <w:rPr>
                <w:rFonts w:ascii="Times New Roman" w:eastAsia="Times New Roman" w:hAnsi="Times New Roman" w:cs="Times New Roman"/>
                <w:sz w:val="26"/>
                <w:szCs w:val="26"/>
                <w:lang w:eastAsia="lv-LV"/>
              </w:rPr>
              <w:t xml:space="preserve">"Zinātnes infrastruktūras attīstība" </w:t>
            </w:r>
            <w:r w:rsidR="00C96820" w:rsidRPr="00DA09DA">
              <w:rPr>
                <w:rFonts w:ascii="Times New Roman" w:eastAsia="Times New Roman" w:hAnsi="Times New Roman" w:cs="Times New Roman"/>
                <w:sz w:val="26"/>
                <w:szCs w:val="26"/>
                <w:lang w:eastAsia="lv-LV"/>
              </w:rPr>
              <w:t>pirmās</w:t>
            </w:r>
            <w:r w:rsidR="007C52FC" w:rsidRPr="00DA09DA">
              <w:rPr>
                <w:rFonts w:ascii="Times New Roman" w:eastAsia="Times New Roman" w:hAnsi="Times New Roman" w:cs="Times New Roman"/>
                <w:sz w:val="26"/>
                <w:szCs w:val="26"/>
                <w:lang w:eastAsia="lv-LV"/>
              </w:rPr>
              <w:t xml:space="preserve"> </w:t>
            </w:r>
            <w:r w:rsidR="004943E4" w:rsidRPr="00DA09DA">
              <w:rPr>
                <w:rFonts w:ascii="Times New Roman" w:eastAsia="Times New Roman" w:hAnsi="Times New Roman" w:cs="Times New Roman"/>
                <w:sz w:val="26"/>
                <w:szCs w:val="26"/>
                <w:lang w:eastAsia="lv-LV"/>
              </w:rPr>
              <w:t xml:space="preserve">projektu iesniegumu atlases </w:t>
            </w:r>
            <w:r w:rsidR="007C52FC" w:rsidRPr="00DA09DA">
              <w:rPr>
                <w:rFonts w:ascii="Times New Roman" w:eastAsia="Times New Roman" w:hAnsi="Times New Roman" w:cs="Times New Roman"/>
                <w:sz w:val="26"/>
                <w:szCs w:val="26"/>
                <w:lang w:eastAsia="lv-LV"/>
              </w:rPr>
              <w:t xml:space="preserve">kārtas ietvaros: </w:t>
            </w:r>
            <w:r w:rsidR="007E7D9B" w:rsidRPr="00DA09DA">
              <w:rPr>
                <w:rFonts w:ascii="Times New Roman" w:eastAsia="Times New Roman" w:hAnsi="Times New Roman" w:cs="Times New Roman"/>
                <w:sz w:val="26"/>
                <w:szCs w:val="26"/>
                <w:lang w:eastAsia="lv-LV"/>
              </w:rPr>
              <w:t>zinātniskās institūcijas, zinātnē nodarbinātie darbinieki.</w:t>
            </w:r>
          </w:p>
        </w:tc>
      </w:tr>
      <w:tr w:rsidR="00533730" w:rsidRPr="00DA09DA" w:rsidTr="00885687">
        <w:trPr>
          <w:trHeight w:val="381"/>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Tiesiskā regulējuma ietekme uz tautsaimniecību un administratīvo slogu</w:t>
            </w:r>
          </w:p>
        </w:tc>
        <w:tc>
          <w:tcPr>
            <w:tcW w:w="5844" w:type="dxa"/>
            <w:tcBorders>
              <w:top w:val="outset" w:sz="6" w:space="0" w:color="414142"/>
              <w:left w:val="outset" w:sz="6" w:space="0" w:color="414142"/>
              <w:bottom w:val="outset" w:sz="6" w:space="0" w:color="414142"/>
              <w:right w:val="outset" w:sz="6" w:space="0" w:color="414142"/>
            </w:tcBorders>
            <w:hideMark/>
          </w:tcPr>
          <w:p w:rsidR="00C70F3E" w:rsidRPr="00DA09DA" w:rsidRDefault="00214B7E"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projektā ietv</w:t>
            </w:r>
            <w:r w:rsidR="003E07DF" w:rsidRPr="00DA09DA">
              <w:rPr>
                <w:rFonts w:ascii="Times New Roman" w:eastAsia="Times New Roman" w:hAnsi="Times New Roman" w:cs="Times New Roman"/>
                <w:sz w:val="26"/>
                <w:szCs w:val="26"/>
                <w:lang w:eastAsia="lv-LV"/>
              </w:rPr>
              <w:t>e</w:t>
            </w:r>
            <w:r w:rsidRPr="00DA09DA">
              <w:rPr>
                <w:rFonts w:ascii="Times New Roman" w:eastAsia="Times New Roman" w:hAnsi="Times New Roman" w:cs="Times New Roman"/>
                <w:sz w:val="26"/>
                <w:szCs w:val="26"/>
                <w:lang w:eastAsia="lv-LV"/>
              </w:rPr>
              <w:t xml:space="preserve">rtais </w:t>
            </w:r>
            <w:r w:rsidR="003E07DF" w:rsidRPr="00DA09DA">
              <w:rPr>
                <w:rFonts w:ascii="Times New Roman" w:eastAsia="Times New Roman" w:hAnsi="Times New Roman" w:cs="Times New Roman"/>
                <w:sz w:val="26"/>
                <w:szCs w:val="26"/>
                <w:lang w:eastAsia="lv-LV"/>
              </w:rPr>
              <w:t>tiesiskais regulējums</w:t>
            </w:r>
            <w:r w:rsidR="001E34BE" w:rsidRPr="00DA09DA">
              <w:rPr>
                <w:rFonts w:ascii="Times New Roman" w:eastAsia="Times New Roman" w:hAnsi="Times New Roman" w:cs="Times New Roman"/>
                <w:sz w:val="26"/>
                <w:szCs w:val="26"/>
                <w:lang w:eastAsia="lv-LV"/>
              </w:rPr>
              <w:t xml:space="preserve"> nodrošina</w:t>
            </w:r>
            <w:r w:rsidR="00C70F3E" w:rsidRPr="00DA09DA">
              <w:rPr>
                <w:rFonts w:ascii="Times New Roman" w:eastAsia="Times New Roman" w:hAnsi="Times New Roman" w:cs="Times New Roman"/>
                <w:sz w:val="26"/>
                <w:szCs w:val="26"/>
                <w:lang w:eastAsia="lv-LV"/>
              </w:rPr>
              <w:t>:</w:t>
            </w:r>
          </w:p>
          <w:p w:rsidR="001E34BE" w:rsidRPr="00DA09DA" w:rsidRDefault="001E34BE"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w:t>
            </w:r>
            <w:r w:rsidR="0082432D" w:rsidRPr="00DA09DA">
              <w:rPr>
                <w:rFonts w:ascii="Times New Roman" w:eastAsia="Times New Roman" w:hAnsi="Times New Roman" w:cs="Times New Roman"/>
                <w:sz w:val="26"/>
                <w:szCs w:val="26"/>
                <w:lang w:eastAsia="lv-LV"/>
              </w:rPr>
              <w:t xml:space="preserve">normatīvā akta </w:t>
            </w:r>
            <w:r w:rsidRPr="00DA09DA">
              <w:rPr>
                <w:rFonts w:ascii="Times New Roman" w:eastAsia="Times New Roman" w:hAnsi="Times New Roman" w:cs="Times New Roman"/>
                <w:sz w:val="26"/>
                <w:szCs w:val="26"/>
                <w:lang w:eastAsia="lv-LV"/>
              </w:rPr>
              <w:t>atbilstību Latvijas Republikas starptautiskajām saistībām;</w:t>
            </w:r>
          </w:p>
          <w:p w:rsidR="00A36827" w:rsidRPr="00DA09DA" w:rsidRDefault="0082432D"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 normatīvā akta </w:t>
            </w:r>
            <w:r w:rsidR="00A36827" w:rsidRPr="00DA09DA">
              <w:rPr>
                <w:rFonts w:ascii="Times New Roman" w:eastAsia="Times New Roman" w:hAnsi="Times New Roman" w:cs="Times New Roman"/>
                <w:sz w:val="26"/>
                <w:szCs w:val="26"/>
                <w:lang w:eastAsia="lv-LV"/>
              </w:rPr>
              <w:t>un ES tiesību sistēmā iekļauto normu harmonizāciju</w:t>
            </w:r>
            <w:r w:rsidR="00B45AE8" w:rsidRPr="00DA09DA">
              <w:rPr>
                <w:rFonts w:ascii="Times New Roman" w:eastAsia="Times New Roman" w:hAnsi="Times New Roman" w:cs="Times New Roman"/>
                <w:sz w:val="26"/>
                <w:szCs w:val="26"/>
                <w:lang w:eastAsia="lv-LV"/>
              </w:rPr>
              <w:t>;</w:t>
            </w:r>
          </w:p>
          <w:p w:rsidR="00B847F0" w:rsidRPr="00DA09DA" w:rsidRDefault="00B847F0"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samazina administratīvo slogu</w:t>
            </w:r>
            <w:r w:rsidR="00B45427" w:rsidRPr="00DA09DA">
              <w:rPr>
                <w:rFonts w:ascii="Times New Roman" w:eastAsia="Times New Roman" w:hAnsi="Times New Roman" w:cs="Times New Roman"/>
                <w:sz w:val="26"/>
                <w:szCs w:val="26"/>
                <w:lang w:eastAsia="lv-LV"/>
              </w:rPr>
              <w:t>, ko nodrošina precizētā ERAF atbalsta intensitātes pārrēķinu iesniegšanas kārtība;</w:t>
            </w:r>
          </w:p>
          <w:p w:rsidR="00B31661" w:rsidRPr="00DA09DA" w:rsidRDefault="00C70F3E" w:rsidP="00530A7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w:t>
            </w:r>
            <w:r w:rsidR="00BB246F" w:rsidRPr="00DA09DA">
              <w:rPr>
                <w:rFonts w:ascii="Times New Roman" w:eastAsia="Times New Roman" w:hAnsi="Times New Roman" w:cs="Times New Roman"/>
                <w:sz w:val="26"/>
                <w:szCs w:val="26"/>
                <w:lang w:eastAsia="lv-LV"/>
              </w:rPr>
              <w:t>veicina</w:t>
            </w:r>
            <w:r w:rsidR="00330786" w:rsidRPr="00DA09DA">
              <w:rPr>
                <w:rFonts w:ascii="Times New Roman" w:eastAsia="Times New Roman" w:hAnsi="Times New Roman" w:cs="Times New Roman"/>
                <w:sz w:val="26"/>
                <w:szCs w:val="26"/>
                <w:lang w:eastAsia="lv-LV"/>
              </w:rPr>
              <w:t xml:space="preserve"> </w:t>
            </w:r>
            <w:proofErr w:type="spellStart"/>
            <w:r w:rsidR="00590F3D" w:rsidRPr="00DA09DA">
              <w:rPr>
                <w:rFonts w:ascii="Times New Roman" w:eastAsia="Times New Roman" w:hAnsi="Times New Roman" w:cs="Times New Roman"/>
                <w:sz w:val="26"/>
                <w:szCs w:val="26"/>
                <w:lang w:eastAsia="lv-LV"/>
              </w:rPr>
              <w:t>komercpētniecības</w:t>
            </w:r>
            <w:proofErr w:type="spellEnd"/>
            <w:r w:rsidR="00590F3D" w:rsidRPr="00DA09DA">
              <w:rPr>
                <w:rFonts w:ascii="Times New Roman" w:eastAsia="Times New Roman" w:hAnsi="Times New Roman" w:cs="Times New Roman"/>
                <w:sz w:val="26"/>
                <w:szCs w:val="26"/>
                <w:lang w:eastAsia="lv-LV"/>
              </w:rPr>
              <w:t xml:space="preserve"> infrastruktūras attīstību, </w:t>
            </w:r>
            <w:r w:rsidRPr="00DA09DA">
              <w:rPr>
                <w:rFonts w:ascii="Times New Roman" w:eastAsia="Times New Roman" w:hAnsi="Times New Roman" w:cs="Times New Roman"/>
                <w:sz w:val="26"/>
                <w:szCs w:val="26"/>
                <w:lang w:eastAsia="lv-LV"/>
              </w:rPr>
              <w:t xml:space="preserve">zinātnes </w:t>
            </w:r>
            <w:r w:rsidR="00330786" w:rsidRPr="00DA09DA">
              <w:rPr>
                <w:rFonts w:ascii="Times New Roman" w:eastAsia="Times New Roman" w:hAnsi="Times New Roman" w:cs="Times New Roman"/>
                <w:sz w:val="26"/>
                <w:szCs w:val="26"/>
                <w:lang w:eastAsia="lv-LV"/>
              </w:rPr>
              <w:t xml:space="preserve">rezultātu </w:t>
            </w:r>
            <w:r w:rsidRPr="00DA09DA">
              <w:rPr>
                <w:rFonts w:ascii="Times New Roman" w:eastAsia="Times New Roman" w:hAnsi="Times New Roman" w:cs="Times New Roman"/>
                <w:sz w:val="26"/>
                <w:szCs w:val="26"/>
                <w:lang w:eastAsia="lv-LV"/>
              </w:rPr>
              <w:t>komercializācij</w:t>
            </w:r>
            <w:r w:rsidR="00330786" w:rsidRPr="00DA09DA">
              <w:rPr>
                <w:rFonts w:ascii="Times New Roman" w:eastAsia="Times New Roman" w:hAnsi="Times New Roman" w:cs="Times New Roman"/>
                <w:sz w:val="26"/>
                <w:szCs w:val="26"/>
                <w:lang w:eastAsia="lv-LV"/>
              </w:rPr>
              <w:t>u</w:t>
            </w:r>
            <w:r w:rsidRPr="00DA09DA">
              <w:rPr>
                <w:rFonts w:ascii="Times New Roman" w:eastAsia="Times New Roman" w:hAnsi="Times New Roman" w:cs="Times New Roman"/>
                <w:sz w:val="26"/>
                <w:szCs w:val="26"/>
                <w:lang w:eastAsia="lv-LV"/>
              </w:rPr>
              <w:t xml:space="preserve"> un inovatīvu risinājumu ieviešan</w:t>
            </w:r>
            <w:r w:rsidR="00330786" w:rsidRPr="00DA09DA">
              <w:rPr>
                <w:rFonts w:ascii="Times New Roman" w:eastAsia="Times New Roman" w:hAnsi="Times New Roman" w:cs="Times New Roman"/>
                <w:sz w:val="26"/>
                <w:szCs w:val="26"/>
                <w:lang w:eastAsia="lv-LV"/>
              </w:rPr>
              <w:t>u</w:t>
            </w:r>
            <w:r w:rsidRPr="00DA09DA">
              <w:rPr>
                <w:rFonts w:ascii="Times New Roman" w:eastAsia="Times New Roman" w:hAnsi="Times New Roman" w:cs="Times New Roman"/>
                <w:sz w:val="26"/>
                <w:szCs w:val="26"/>
                <w:lang w:eastAsia="lv-LV"/>
              </w:rPr>
              <w:t xml:space="preserve"> komercdarbībā, </w:t>
            </w:r>
            <w:r w:rsidR="00B45427" w:rsidRPr="00DA09DA">
              <w:rPr>
                <w:rFonts w:ascii="Times New Roman" w:eastAsia="Times New Roman" w:hAnsi="Times New Roman" w:cs="Times New Roman"/>
                <w:sz w:val="26"/>
                <w:szCs w:val="26"/>
                <w:lang w:eastAsia="lv-LV"/>
              </w:rPr>
              <w:t xml:space="preserve">izslēdzot stingrākas prasības </w:t>
            </w:r>
            <w:r w:rsidR="00B45427" w:rsidRPr="00DA09DA">
              <w:rPr>
                <w:rFonts w:ascii="Times New Roman" w:eastAsia="Times New Roman" w:hAnsi="Times New Roman" w:cs="Times New Roman"/>
                <w:i/>
                <w:sz w:val="26"/>
                <w:szCs w:val="26"/>
                <w:lang w:eastAsia="lv-LV"/>
              </w:rPr>
              <w:t>de minimis</w:t>
            </w:r>
            <w:r w:rsidR="00B45427" w:rsidRPr="00DA09DA">
              <w:rPr>
                <w:rFonts w:ascii="Times New Roman" w:eastAsia="Times New Roman" w:hAnsi="Times New Roman" w:cs="Times New Roman"/>
                <w:sz w:val="26"/>
                <w:szCs w:val="26"/>
                <w:lang w:eastAsia="lv-LV"/>
              </w:rPr>
              <w:t xml:space="preserve"> atbalsta saņemšanai</w:t>
            </w:r>
            <w:r w:rsidR="00BC116E" w:rsidRPr="00DA09DA">
              <w:rPr>
                <w:rFonts w:ascii="Times New Roman" w:eastAsia="Times New Roman" w:hAnsi="Times New Roman" w:cs="Times New Roman"/>
                <w:sz w:val="26"/>
                <w:szCs w:val="26"/>
                <w:lang w:eastAsia="lv-LV"/>
              </w:rPr>
              <w:t xml:space="preserve"> salīdzinot ar </w:t>
            </w:r>
            <w:r w:rsidR="00B45427" w:rsidRPr="00DA09DA">
              <w:rPr>
                <w:rFonts w:ascii="Times New Roman" w:eastAsia="Times New Roman" w:hAnsi="Times New Roman" w:cs="Times New Roman"/>
                <w:sz w:val="26"/>
                <w:szCs w:val="26"/>
                <w:lang w:eastAsia="lv-LV"/>
              </w:rPr>
              <w:t xml:space="preserve"> </w:t>
            </w:r>
            <w:r w:rsidR="00BC116E" w:rsidRPr="00DA09DA">
              <w:rPr>
                <w:rFonts w:ascii="Times New Roman" w:eastAsia="Times New Roman" w:hAnsi="Times New Roman" w:cs="Times New Roman"/>
                <w:sz w:val="26"/>
                <w:szCs w:val="26"/>
                <w:lang w:eastAsia="lv-LV"/>
              </w:rPr>
              <w:t xml:space="preserve">Komisijas 2013. gada 18. decembra Regulā (ES) Nr. 1407/2013 par Līguma par Eiropas Savienības darbību 107. un 108. panta piemērošanu </w:t>
            </w:r>
            <w:r w:rsidR="00BC116E" w:rsidRPr="00DA09DA">
              <w:rPr>
                <w:rFonts w:ascii="Times New Roman" w:eastAsia="Times New Roman" w:hAnsi="Times New Roman" w:cs="Times New Roman"/>
                <w:i/>
                <w:sz w:val="26"/>
                <w:szCs w:val="26"/>
                <w:lang w:eastAsia="lv-LV"/>
              </w:rPr>
              <w:t>de minimis</w:t>
            </w:r>
            <w:r w:rsidR="00BC116E" w:rsidRPr="00DA09DA">
              <w:rPr>
                <w:rFonts w:ascii="Times New Roman" w:eastAsia="Times New Roman" w:hAnsi="Times New Roman" w:cs="Times New Roman"/>
                <w:sz w:val="26"/>
                <w:szCs w:val="26"/>
                <w:lang w:eastAsia="lv-LV"/>
              </w:rPr>
              <w:t xml:space="preserve"> atbalstam noteikto. </w:t>
            </w:r>
          </w:p>
        </w:tc>
      </w:tr>
      <w:tr w:rsidR="00533730" w:rsidRPr="00DA09DA" w:rsidTr="00885687">
        <w:trPr>
          <w:trHeight w:val="510"/>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3.</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Administratīvo izmaksu monetārs novērtējums</w:t>
            </w:r>
          </w:p>
        </w:tc>
        <w:tc>
          <w:tcPr>
            <w:tcW w:w="5844" w:type="dxa"/>
            <w:tcBorders>
              <w:top w:val="outset" w:sz="6" w:space="0" w:color="414142"/>
              <w:left w:val="outset" w:sz="6" w:space="0" w:color="414142"/>
              <w:bottom w:val="outset" w:sz="6" w:space="0" w:color="414142"/>
              <w:right w:val="outset" w:sz="6" w:space="0" w:color="414142"/>
            </w:tcBorders>
            <w:hideMark/>
          </w:tcPr>
          <w:p w:rsidR="004D15A9" w:rsidRPr="00DA09DA" w:rsidRDefault="00764DBD"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Projekts šo jomu neskar.</w:t>
            </w:r>
          </w:p>
        </w:tc>
      </w:tr>
      <w:tr w:rsidR="00533730" w:rsidRPr="00DA09DA" w:rsidTr="00885687">
        <w:trPr>
          <w:trHeight w:val="345"/>
        </w:trPr>
        <w:tc>
          <w:tcPr>
            <w:tcW w:w="456" w:type="dxa"/>
            <w:gridSpan w:val="2"/>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4.</w:t>
            </w:r>
          </w:p>
        </w:tc>
        <w:tc>
          <w:tcPr>
            <w:tcW w:w="2831"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 informācija</w:t>
            </w:r>
          </w:p>
        </w:tc>
        <w:tc>
          <w:tcPr>
            <w:tcW w:w="5844" w:type="dxa"/>
            <w:tcBorders>
              <w:top w:val="outset" w:sz="6" w:space="0" w:color="414142"/>
              <w:left w:val="outset" w:sz="6" w:space="0" w:color="414142"/>
              <w:bottom w:val="outset" w:sz="6" w:space="0" w:color="414142"/>
              <w:right w:val="outset" w:sz="6" w:space="0" w:color="414142"/>
            </w:tcBorders>
            <w:hideMark/>
          </w:tcPr>
          <w:p w:rsidR="004D15A9" w:rsidRPr="00DA09DA" w:rsidRDefault="004D15A9" w:rsidP="00F528C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Nav</w:t>
            </w:r>
          </w:p>
        </w:tc>
      </w:tr>
    </w:tbl>
    <w:p w:rsidR="006E117E" w:rsidRPr="00DA09DA" w:rsidRDefault="006E117E" w:rsidP="003A6FA6">
      <w:pPr>
        <w:spacing w:after="0" w:line="240" w:lineRule="auto"/>
        <w:rPr>
          <w:rFonts w:ascii="Times New Roman" w:hAnsi="Times New Roman" w:cs="Times New Roman"/>
          <w:i/>
          <w:iCs/>
          <w:color w:val="414142"/>
          <w:sz w:val="26"/>
          <w:szCs w:val="26"/>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059"/>
        <w:gridCol w:w="75"/>
      </w:tblGrid>
      <w:tr w:rsidR="005016CA" w:rsidRPr="00DA09DA" w:rsidTr="006D3F44">
        <w:trPr>
          <w:trHeight w:val="432"/>
        </w:trPr>
        <w:tc>
          <w:tcPr>
            <w:tcW w:w="5000" w:type="pct"/>
            <w:gridSpan w:val="7"/>
            <w:vAlign w:val="center"/>
          </w:tcPr>
          <w:p w:rsidR="005016CA" w:rsidRPr="00DA09DA" w:rsidRDefault="005016CA" w:rsidP="006A7957">
            <w:pPr>
              <w:spacing w:after="0"/>
              <w:jc w:val="center"/>
              <w:rPr>
                <w:rFonts w:ascii="Times New Roman" w:hAnsi="Times New Roman" w:cs="Times New Roman"/>
                <w:b/>
                <w:sz w:val="26"/>
                <w:szCs w:val="26"/>
              </w:rPr>
            </w:pPr>
            <w:r w:rsidRPr="00DA09DA">
              <w:rPr>
                <w:rFonts w:ascii="Times New Roman" w:hAnsi="Times New Roman" w:cs="Times New Roman"/>
                <w:b/>
                <w:sz w:val="26"/>
                <w:szCs w:val="26"/>
              </w:rPr>
              <w:br w:type="page"/>
              <w:t>III. Tiesību akta projekta ietekme uz valsts budžetu un pašvaldību budžetiem</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val="restar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Rādītāji</w:t>
            </w:r>
          </w:p>
        </w:tc>
        <w:tc>
          <w:tcPr>
            <w:tcW w:w="1441" w:type="pct"/>
            <w:gridSpan w:val="2"/>
            <w:vMerge w:val="restart"/>
            <w:vAlign w:val="center"/>
          </w:tcPr>
          <w:p w:rsidR="005016CA" w:rsidRPr="00DA09DA" w:rsidRDefault="005016CA" w:rsidP="00AD014F">
            <w:pPr>
              <w:pStyle w:val="naisf"/>
              <w:spacing w:before="0" w:after="0"/>
              <w:ind w:firstLine="0"/>
              <w:jc w:val="center"/>
              <w:rPr>
                <w:b/>
                <w:sz w:val="26"/>
                <w:szCs w:val="26"/>
              </w:rPr>
            </w:pPr>
            <w:r w:rsidRPr="00DA09DA">
              <w:rPr>
                <w:b/>
                <w:sz w:val="26"/>
                <w:szCs w:val="26"/>
              </w:rPr>
              <w:t>201</w:t>
            </w:r>
            <w:r w:rsidR="00AD014F" w:rsidRPr="00DA09DA">
              <w:rPr>
                <w:b/>
                <w:sz w:val="26"/>
                <w:szCs w:val="26"/>
              </w:rPr>
              <w:t>4</w:t>
            </w:r>
            <w:r w:rsidRPr="00DA09DA">
              <w:rPr>
                <w:b/>
                <w:sz w:val="26"/>
                <w:szCs w:val="26"/>
              </w:rPr>
              <w:t>.</w:t>
            </w:r>
          </w:p>
        </w:tc>
        <w:tc>
          <w:tcPr>
            <w:tcW w:w="2081" w:type="pct"/>
            <w:gridSpan w:val="3"/>
            <w:vAlign w:val="center"/>
          </w:tcPr>
          <w:p w:rsidR="005016CA" w:rsidRPr="00DA09DA" w:rsidRDefault="005016CA" w:rsidP="000C7A15">
            <w:pPr>
              <w:pStyle w:val="naisf"/>
              <w:spacing w:before="0" w:after="0"/>
              <w:ind w:firstLine="0"/>
              <w:jc w:val="center"/>
              <w:rPr>
                <w:b/>
                <w:i/>
                <w:sz w:val="26"/>
                <w:szCs w:val="26"/>
              </w:rPr>
            </w:pPr>
            <w:r w:rsidRPr="00DA09DA">
              <w:rPr>
                <w:sz w:val="26"/>
                <w:szCs w:val="26"/>
              </w:rPr>
              <w:t xml:space="preserve">Turpmākie trīs gadi (tūkst. </w:t>
            </w:r>
            <w:r w:rsidR="000C7A15" w:rsidRPr="00DA09DA">
              <w:rPr>
                <w:i/>
                <w:sz w:val="26"/>
                <w:szCs w:val="26"/>
              </w:rPr>
              <w:t>euro</w:t>
            </w:r>
            <w:r w:rsidRPr="00DA09DA">
              <w:rPr>
                <w:sz w:val="26"/>
                <w:szCs w:val="26"/>
              </w:rPr>
              <w:t>)</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5016CA" w:rsidRPr="00DA09DA" w:rsidRDefault="005016CA" w:rsidP="006A7957">
            <w:pPr>
              <w:pStyle w:val="naisf"/>
              <w:spacing w:before="0" w:after="0"/>
              <w:ind w:firstLine="0"/>
              <w:jc w:val="center"/>
              <w:rPr>
                <w:b/>
                <w:i/>
                <w:sz w:val="26"/>
                <w:szCs w:val="26"/>
              </w:rPr>
            </w:pPr>
          </w:p>
        </w:tc>
        <w:tc>
          <w:tcPr>
            <w:tcW w:w="1441" w:type="pct"/>
            <w:gridSpan w:val="2"/>
            <w:vMerge/>
            <w:vAlign w:val="center"/>
          </w:tcPr>
          <w:p w:rsidR="005016CA" w:rsidRPr="00DA09DA" w:rsidRDefault="005016CA" w:rsidP="006A7957">
            <w:pPr>
              <w:pStyle w:val="naisf"/>
              <w:spacing w:before="0" w:after="0"/>
              <w:ind w:firstLine="0"/>
              <w:jc w:val="center"/>
              <w:rPr>
                <w:b/>
                <w:i/>
                <w:sz w:val="26"/>
                <w:szCs w:val="26"/>
              </w:rPr>
            </w:pPr>
          </w:p>
        </w:tc>
        <w:tc>
          <w:tcPr>
            <w:tcW w:w="828" w:type="pct"/>
            <w:vAlign w:val="center"/>
          </w:tcPr>
          <w:p w:rsidR="005016CA" w:rsidRPr="00DA09DA" w:rsidRDefault="005016CA" w:rsidP="00AD014F">
            <w:pPr>
              <w:pStyle w:val="naisf"/>
              <w:spacing w:before="0" w:after="0"/>
              <w:ind w:firstLine="0"/>
              <w:jc w:val="center"/>
              <w:rPr>
                <w:b/>
                <w:i/>
                <w:sz w:val="26"/>
                <w:szCs w:val="26"/>
              </w:rPr>
            </w:pPr>
            <w:r w:rsidRPr="00DA09DA">
              <w:rPr>
                <w:b/>
                <w:bCs/>
                <w:sz w:val="26"/>
                <w:szCs w:val="26"/>
              </w:rPr>
              <w:t>201</w:t>
            </w:r>
            <w:r w:rsidR="00AD014F" w:rsidRPr="00DA09DA">
              <w:rPr>
                <w:b/>
                <w:bCs/>
                <w:sz w:val="26"/>
                <w:szCs w:val="26"/>
              </w:rPr>
              <w:t>5</w:t>
            </w:r>
            <w:r w:rsidRPr="00DA09DA">
              <w:rPr>
                <w:b/>
                <w:bCs/>
                <w:sz w:val="26"/>
                <w:szCs w:val="26"/>
              </w:rPr>
              <w:t>.</w:t>
            </w:r>
          </w:p>
        </w:tc>
        <w:tc>
          <w:tcPr>
            <w:tcW w:w="687" w:type="pct"/>
            <w:vAlign w:val="center"/>
          </w:tcPr>
          <w:p w:rsidR="005016CA" w:rsidRPr="00DA09DA" w:rsidRDefault="005016CA" w:rsidP="00AD014F">
            <w:pPr>
              <w:pStyle w:val="naisf"/>
              <w:spacing w:before="0" w:after="0"/>
              <w:ind w:firstLine="0"/>
              <w:jc w:val="center"/>
              <w:rPr>
                <w:b/>
                <w:i/>
                <w:sz w:val="26"/>
                <w:szCs w:val="26"/>
              </w:rPr>
            </w:pPr>
            <w:r w:rsidRPr="00DA09DA">
              <w:rPr>
                <w:b/>
                <w:bCs/>
                <w:sz w:val="26"/>
                <w:szCs w:val="26"/>
              </w:rPr>
              <w:t>201</w:t>
            </w:r>
            <w:r w:rsidR="00AD014F" w:rsidRPr="00DA09DA">
              <w:rPr>
                <w:b/>
                <w:bCs/>
                <w:sz w:val="26"/>
                <w:szCs w:val="26"/>
              </w:rPr>
              <w:t>6</w:t>
            </w:r>
            <w:r w:rsidRPr="00DA09DA">
              <w:rPr>
                <w:b/>
                <w:bCs/>
                <w:sz w:val="26"/>
                <w:szCs w:val="26"/>
              </w:rPr>
              <w:t>.</w:t>
            </w:r>
          </w:p>
        </w:tc>
        <w:tc>
          <w:tcPr>
            <w:tcW w:w="566" w:type="pct"/>
            <w:vAlign w:val="center"/>
          </w:tcPr>
          <w:p w:rsidR="005016CA" w:rsidRPr="00DA09DA" w:rsidRDefault="005016CA" w:rsidP="00AD014F">
            <w:pPr>
              <w:pStyle w:val="naisf"/>
              <w:spacing w:before="0" w:after="0"/>
              <w:ind w:firstLine="0"/>
              <w:jc w:val="center"/>
              <w:rPr>
                <w:b/>
                <w:i/>
                <w:sz w:val="26"/>
                <w:szCs w:val="26"/>
              </w:rPr>
            </w:pPr>
            <w:r w:rsidRPr="00DA09DA">
              <w:rPr>
                <w:b/>
                <w:bCs/>
                <w:sz w:val="26"/>
                <w:szCs w:val="26"/>
              </w:rPr>
              <w:t>201</w:t>
            </w:r>
            <w:r w:rsidR="00AD014F" w:rsidRPr="00DA09DA">
              <w:rPr>
                <w:b/>
                <w:bCs/>
                <w:sz w:val="26"/>
                <w:szCs w:val="26"/>
              </w:rPr>
              <w:t>7</w:t>
            </w:r>
            <w:r w:rsidRPr="00DA09DA">
              <w:rPr>
                <w:b/>
                <w:bCs/>
                <w:sz w:val="26"/>
                <w:szCs w:val="26"/>
              </w:rPr>
              <w:t>.</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5016CA" w:rsidRPr="00DA09DA" w:rsidRDefault="005016CA" w:rsidP="006A7957">
            <w:pPr>
              <w:pStyle w:val="naisf"/>
              <w:spacing w:before="0" w:after="0"/>
              <w:ind w:firstLine="0"/>
              <w:jc w:val="center"/>
              <w:rPr>
                <w:b/>
                <w:i/>
                <w:sz w:val="26"/>
                <w:szCs w:val="26"/>
              </w:rPr>
            </w:pPr>
          </w:p>
        </w:tc>
        <w:tc>
          <w:tcPr>
            <w:tcW w:w="757" w:type="pct"/>
            <w:vAlign w:val="center"/>
          </w:tcPr>
          <w:p w:rsidR="005016CA" w:rsidRPr="00DA09DA" w:rsidRDefault="005016CA" w:rsidP="006A7957">
            <w:pPr>
              <w:pStyle w:val="naisf"/>
              <w:spacing w:before="0" w:after="0"/>
              <w:ind w:firstLine="0"/>
              <w:jc w:val="center"/>
              <w:rPr>
                <w:b/>
                <w:i/>
                <w:sz w:val="26"/>
                <w:szCs w:val="26"/>
              </w:rPr>
            </w:pPr>
            <w:r w:rsidRPr="00DA09DA">
              <w:rPr>
                <w:sz w:val="26"/>
                <w:szCs w:val="26"/>
              </w:rPr>
              <w:t>Saskaņā ar valsts budžetu kārtējam gadam</w:t>
            </w:r>
          </w:p>
        </w:tc>
        <w:tc>
          <w:tcPr>
            <w:tcW w:w="684" w:type="pct"/>
            <w:vAlign w:val="center"/>
          </w:tcPr>
          <w:p w:rsidR="005016CA" w:rsidRPr="00DA09DA" w:rsidRDefault="005016CA" w:rsidP="006A7957">
            <w:pPr>
              <w:pStyle w:val="naisf"/>
              <w:spacing w:before="0" w:after="0"/>
              <w:ind w:firstLine="0"/>
              <w:jc w:val="center"/>
              <w:rPr>
                <w:b/>
                <w:i/>
                <w:sz w:val="26"/>
                <w:szCs w:val="26"/>
              </w:rPr>
            </w:pPr>
            <w:r w:rsidRPr="00DA09DA">
              <w:rPr>
                <w:sz w:val="26"/>
                <w:szCs w:val="26"/>
              </w:rPr>
              <w:t>Izmaiņas kārtējā gadā, salīdzinot ar budžetu kārtējam gadam</w:t>
            </w:r>
          </w:p>
        </w:tc>
        <w:tc>
          <w:tcPr>
            <w:tcW w:w="828" w:type="pct"/>
            <w:vAlign w:val="center"/>
          </w:tcPr>
          <w:p w:rsidR="005016CA" w:rsidRPr="00DA09DA" w:rsidRDefault="005016CA" w:rsidP="006A7957">
            <w:pPr>
              <w:pStyle w:val="naisf"/>
              <w:spacing w:before="0" w:after="0"/>
              <w:ind w:firstLine="0"/>
              <w:jc w:val="center"/>
              <w:rPr>
                <w:b/>
                <w:i/>
                <w:sz w:val="26"/>
                <w:szCs w:val="26"/>
              </w:rPr>
            </w:pPr>
            <w:r w:rsidRPr="00DA09DA">
              <w:rPr>
                <w:sz w:val="26"/>
                <w:szCs w:val="26"/>
              </w:rPr>
              <w:t>Izmaiņas, salīdzinot ar kārtējo (n) gadu</w:t>
            </w:r>
          </w:p>
        </w:tc>
        <w:tc>
          <w:tcPr>
            <w:tcW w:w="687" w:type="pct"/>
            <w:vAlign w:val="center"/>
          </w:tcPr>
          <w:p w:rsidR="005016CA" w:rsidRPr="00DA09DA" w:rsidRDefault="005016CA" w:rsidP="006A7957">
            <w:pPr>
              <w:pStyle w:val="naisf"/>
              <w:spacing w:before="0" w:after="0"/>
              <w:ind w:firstLine="0"/>
              <w:jc w:val="center"/>
              <w:rPr>
                <w:b/>
                <w:i/>
                <w:sz w:val="26"/>
                <w:szCs w:val="26"/>
              </w:rPr>
            </w:pPr>
            <w:r w:rsidRPr="00DA09DA">
              <w:rPr>
                <w:sz w:val="26"/>
                <w:szCs w:val="26"/>
              </w:rPr>
              <w:t>Izmaiņas, salīdzinot ar kārtējo (n) gadu</w:t>
            </w:r>
          </w:p>
        </w:tc>
        <w:tc>
          <w:tcPr>
            <w:tcW w:w="566" w:type="pct"/>
            <w:vAlign w:val="center"/>
          </w:tcPr>
          <w:p w:rsidR="005016CA" w:rsidRPr="00DA09DA" w:rsidRDefault="005016CA" w:rsidP="006A7957">
            <w:pPr>
              <w:pStyle w:val="naisf"/>
              <w:spacing w:before="0" w:after="0"/>
              <w:ind w:firstLine="0"/>
              <w:jc w:val="center"/>
              <w:rPr>
                <w:b/>
                <w:i/>
                <w:sz w:val="26"/>
                <w:szCs w:val="26"/>
              </w:rPr>
            </w:pPr>
            <w:r w:rsidRPr="00DA09DA">
              <w:rPr>
                <w:sz w:val="26"/>
                <w:szCs w:val="26"/>
              </w:rPr>
              <w:t>Izmaiņas, salīdzinot ar kārtējo (n) gadu</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lastRenderedPageBreak/>
              <w:t>1</w:t>
            </w:r>
          </w:p>
        </w:tc>
        <w:tc>
          <w:tcPr>
            <w:tcW w:w="757"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t>2</w:t>
            </w:r>
          </w:p>
        </w:tc>
        <w:tc>
          <w:tcPr>
            <w:tcW w:w="684"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t>3</w:t>
            </w:r>
          </w:p>
        </w:tc>
        <w:tc>
          <w:tcPr>
            <w:tcW w:w="828"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t>4</w:t>
            </w:r>
          </w:p>
        </w:tc>
        <w:tc>
          <w:tcPr>
            <w:tcW w:w="687"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t>5</w:t>
            </w:r>
          </w:p>
        </w:tc>
        <w:tc>
          <w:tcPr>
            <w:tcW w:w="566" w:type="pct"/>
            <w:vAlign w:val="center"/>
          </w:tcPr>
          <w:p w:rsidR="005016CA" w:rsidRPr="00DA09DA" w:rsidRDefault="005016CA" w:rsidP="006A7957">
            <w:pPr>
              <w:pStyle w:val="naisf"/>
              <w:spacing w:before="0" w:after="0"/>
              <w:ind w:firstLine="0"/>
              <w:jc w:val="center"/>
              <w:rPr>
                <w:bCs/>
                <w:sz w:val="26"/>
                <w:szCs w:val="26"/>
              </w:rPr>
            </w:pPr>
            <w:r w:rsidRPr="00DA09DA">
              <w:rPr>
                <w:bCs/>
                <w:sz w:val="26"/>
                <w:szCs w:val="26"/>
              </w:rPr>
              <w:t>6</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pStyle w:val="naisf"/>
              <w:spacing w:before="0" w:after="0"/>
              <w:ind w:firstLine="0"/>
              <w:rPr>
                <w:i/>
                <w:sz w:val="26"/>
                <w:szCs w:val="26"/>
              </w:rPr>
            </w:pPr>
            <w:r w:rsidRPr="00DA09DA">
              <w:rPr>
                <w:sz w:val="26"/>
                <w:szCs w:val="26"/>
              </w:rPr>
              <w:t>1. Budžeta ieņēmumi:</w:t>
            </w:r>
          </w:p>
        </w:tc>
        <w:tc>
          <w:tcPr>
            <w:tcW w:w="757"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684"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828"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687"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566"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pStyle w:val="naisf"/>
              <w:spacing w:before="0" w:after="0"/>
              <w:ind w:firstLine="0"/>
              <w:rPr>
                <w:i/>
                <w:sz w:val="26"/>
                <w:szCs w:val="26"/>
              </w:rPr>
            </w:pPr>
            <w:r w:rsidRPr="00DA09DA">
              <w:rPr>
                <w:sz w:val="26"/>
                <w:szCs w:val="26"/>
              </w:rPr>
              <w:t>1.1. valsts pamatbudžets, tai skaitā ieņēmumi no maksas pakalpojumiem un citi pašu ieņēmumi</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pStyle w:val="naisf"/>
              <w:spacing w:before="0" w:after="0"/>
              <w:ind w:firstLine="0"/>
              <w:rPr>
                <w:i/>
                <w:sz w:val="26"/>
                <w:szCs w:val="26"/>
              </w:rPr>
            </w:pPr>
            <w:r w:rsidRPr="00DA09DA">
              <w:rPr>
                <w:sz w:val="26"/>
                <w:szCs w:val="26"/>
              </w:rPr>
              <w:t>1.2. valsts speciālais budžets</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pStyle w:val="naisf"/>
              <w:spacing w:before="0" w:after="0"/>
              <w:ind w:firstLine="0"/>
              <w:rPr>
                <w:i/>
                <w:sz w:val="26"/>
                <w:szCs w:val="26"/>
              </w:rPr>
            </w:pPr>
            <w:r w:rsidRPr="00DA09DA">
              <w:rPr>
                <w:sz w:val="26"/>
                <w:szCs w:val="26"/>
              </w:rPr>
              <w:t>1.3. pašvaldību budžets</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2. Budžeta izdevumi:</w:t>
            </w:r>
          </w:p>
        </w:tc>
        <w:tc>
          <w:tcPr>
            <w:tcW w:w="757"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684" w:type="pct"/>
            <w:vAlign w:val="center"/>
          </w:tcPr>
          <w:p w:rsidR="005016CA" w:rsidRPr="00DA09DA" w:rsidRDefault="005016CA" w:rsidP="006A7957">
            <w:pPr>
              <w:pStyle w:val="naisf"/>
              <w:spacing w:before="0" w:after="0"/>
              <w:ind w:firstLine="0"/>
              <w:jc w:val="center"/>
              <w:rPr>
                <w:b/>
                <w:sz w:val="26"/>
                <w:szCs w:val="26"/>
              </w:rPr>
            </w:pPr>
            <w:r w:rsidRPr="00DA09DA">
              <w:rPr>
                <w:b/>
                <w:sz w:val="26"/>
                <w:szCs w:val="26"/>
              </w:rPr>
              <w:t>0</w:t>
            </w:r>
          </w:p>
        </w:tc>
        <w:tc>
          <w:tcPr>
            <w:tcW w:w="828"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687"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566"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2.1. valsts pamatbudžets</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2.2. valsts speciālais budžets</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 xml:space="preserve">2.3. pašvaldību budžets </w:t>
            </w:r>
          </w:p>
        </w:tc>
        <w:tc>
          <w:tcPr>
            <w:tcW w:w="75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3. Finansiālā ietekme:</w:t>
            </w:r>
          </w:p>
        </w:tc>
        <w:tc>
          <w:tcPr>
            <w:tcW w:w="757" w:type="pct"/>
            <w:shd w:val="clear" w:color="auto" w:fill="auto"/>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687"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566"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3.1. valsts pamatbudžets</w:t>
            </w:r>
          </w:p>
        </w:tc>
        <w:tc>
          <w:tcPr>
            <w:tcW w:w="757" w:type="pct"/>
            <w:shd w:val="clear" w:color="auto" w:fill="auto"/>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3.2. speciālais budžets</w:t>
            </w:r>
          </w:p>
        </w:tc>
        <w:tc>
          <w:tcPr>
            <w:tcW w:w="757" w:type="pct"/>
            <w:shd w:val="clear" w:color="auto" w:fill="auto"/>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 xml:space="preserve">3.3. pašvaldību budžets </w:t>
            </w:r>
          </w:p>
        </w:tc>
        <w:tc>
          <w:tcPr>
            <w:tcW w:w="757" w:type="pct"/>
            <w:shd w:val="clear" w:color="auto" w:fill="auto"/>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val="restar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4. Finanšu līdzekļi papildu izdevumu finansēšanai (kompensējošu izdevumu samazinājumu norāda ar "+" zīmi)</w:t>
            </w:r>
          </w:p>
        </w:tc>
        <w:tc>
          <w:tcPr>
            <w:tcW w:w="757" w:type="pct"/>
            <w:vMerge w:val="restart"/>
            <w:vAlign w:val="center"/>
          </w:tcPr>
          <w:p w:rsidR="005016CA" w:rsidRPr="00DA09DA" w:rsidRDefault="005016CA" w:rsidP="006A7957">
            <w:pPr>
              <w:pStyle w:val="naisf"/>
              <w:spacing w:before="0" w:after="0"/>
              <w:ind w:firstLine="0"/>
              <w:jc w:val="center"/>
              <w:rPr>
                <w:sz w:val="26"/>
                <w:szCs w:val="26"/>
              </w:rPr>
            </w:pPr>
            <w:r w:rsidRPr="00DA09DA">
              <w:rPr>
                <w:sz w:val="26"/>
                <w:szCs w:val="26"/>
              </w:rPr>
              <w:t>X</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687"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c>
          <w:tcPr>
            <w:tcW w:w="566" w:type="pct"/>
          </w:tcPr>
          <w:p w:rsidR="005016CA" w:rsidRPr="00DA09DA" w:rsidRDefault="005016CA" w:rsidP="006A7957">
            <w:pPr>
              <w:spacing w:after="0"/>
              <w:jc w:val="center"/>
              <w:rPr>
                <w:rFonts w:ascii="Times New Roman" w:hAnsi="Times New Roman" w:cs="Times New Roman"/>
                <w:sz w:val="26"/>
                <w:szCs w:val="26"/>
              </w:rPr>
            </w:pPr>
            <w:r w:rsidRPr="00DA09DA">
              <w:rPr>
                <w:rFonts w:ascii="Times New Roman" w:hAnsi="Times New Roman" w:cs="Times New Roman"/>
                <w:b/>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5016CA" w:rsidRPr="00DA09DA" w:rsidRDefault="005016CA" w:rsidP="006A7957">
            <w:pPr>
              <w:spacing w:after="0"/>
              <w:jc w:val="both"/>
              <w:rPr>
                <w:rFonts w:ascii="Times New Roman" w:hAnsi="Times New Roman" w:cs="Times New Roman"/>
                <w:sz w:val="26"/>
                <w:szCs w:val="26"/>
              </w:rPr>
            </w:pPr>
          </w:p>
        </w:tc>
        <w:tc>
          <w:tcPr>
            <w:tcW w:w="757" w:type="pct"/>
            <w:vMerge/>
            <w:vAlign w:val="center"/>
          </w:tcPr>
          <w:p w:rsidR="005016CA" w:rsidRPr="00DA09DA" w:rsidRDefault="005016CA" w:rsidP="006A7957">
            <w:pPr>
              <w:pStyle w:val="naisf"/>
              <w:spacing w:before="0" w:after="0"/>
              <w:ind w:firstLine="0"/>
              <w:jc w:val="center"/>
              <w:rPr>
                <w:sz w:val="26"/>
                <w:szCs w:val="26"/>
              </w:rPr>
            </w:pP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5016CA" w:rsidRPr="00DA09DA" w:rsidRDefault="005016CA" w:rsidP="006A7957">
            <w:pPr>
              <w:spacing w:after="0"/>
              <w:jc w:val="both"/>
              <w:rPr>
                <w:rFonts w:ascii="Times New Roman" w:hAnsi="Times New Roman" w:cs="Times New Roman"/>
                <w:sz w:val="26"/>
                <w:szCs w:val="26"/>
              </w:rPr>
            </w:pPr>
          </w:p>
        </w:tc>
        <w:tc>
          <w:tcPr>
            <w:tcW w:w="757" w:type="pct"/>
            <w:vMerge/>
            <w:vAlign w:val="center"/>
          </w:tcPr>
          <w:p w:rsidR="005016CA" w:rsidRPr="00DA09DA" w:rsidRDefault="005016CA" w:rsidP="006A7957">
            <w:pPr>
              <w:pStyle w:val="naisf"/>
              <w:spacing w:before="0" w:after="0"/>
              <w:ind w:firstLine="0"/>
              <w:jc w:val="center"/>
              <w:rPr>
                <w:sz w:val="26"/>
                <w:szCs w:val="26"/>
              </w:rPr>
            </w:pP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5. Precizēta finansiālā ietekme:</w:t>
            </w:r>
          </w:p>
        </w:tc>
        <w:tc>
          <w:tcPr>
            <w:tcW w:w="757" w:type="pct"/>
            <w:vMerge w:val="restart"/>
            <w:vAlign w:val="center"/>
          </w:tcPr>
          <w:p w:rsidR="005016CA" w:rsidRPr="00DA09DA" w:rsidRDefault="005016CA" w:rsidP="006A7957">
            <w:pPr>
              <w:pStyle w:val="naisf"/>
              <w:spacing w:before="0" w:after="0"/>
              <w:ind w:firstLine="0"/>
              <w:jc w:val="center"/>
              <w:rPr>
                <w:sz w:val="26"/>
                <w:szCs w:val="26"/>
              </w:rPr>
            </w:pPr>
            <w:r w:rsidRPr="00DA09DA">
              <w:rPr>
                <w:sz w:val="26"/>
                <w:szCs w:val="26"/>
              </w:rPr>
              <w:t>X</w:t>
            </w: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5.1. valsts pamatbudžets</w:t>
            </w:r>
          </w:p>
        </w:tc>
        <w:tc>
          <w:tcPr>
            <w:tcW w:w="757" w:type="pct"/>
            <w:vMerge/>
            <w:vAlign w:val="center"/>
          </w:tcPr>
          <w:p w:rsidR="005016CA" w:rsidRPr="00DA09DA" w:rsidRDefault="005016CA" w:rsidP="006A7957">
            <w:pPr>
              <w:pStyle w:val="naisf"/>
              <w:spacing w:before="0" w:after="0"/>
              <w:ind w:firstLine="0"/>
              <w:jc w:val="center"/>
              <w:rPr>
                <w:i/>
                <w:sz w:val="26"/>
                <w:szCs w:val="26"/>
              </w:rPr>
            </w:pPr>
          </w:p>
        </w:tc>
        <w:tc>
          <w:tcPr>
            <w:tcW w:w="684"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5.2. speciālais budžets</w:t>
            </w:r>
          </w:p>
        </w:tc>
        <w:tc>
          <w:tcPr>
            <w:tcW w:w="757" w:type="pct"/>
            <w:vMerge/>
            <w:vAlign w:val="center"/>
          </w:tcPr>
          <w:p w:rsidR="005016CA" w:rsidRPr="00DA09DA" w:rsidRDefault="005016CA" w:rsidP="006A7957">
            <w:pPr>
              <w:pStyle w:val="naisf"/>
              <w:spacing w:before="0" w:after="0"/>
              <w:ind w:firstLine="0"/>
              <w:jc w:val="center"/>
              <w:rPr>
                <w:i/>
                <w:sz w:val="26"/>
                <w:szCs w:val="26"/>
              </w:rPr>
            </w:pPr>
          </w:p>
        </w:tc>
        <w:tc>
          <w:tcPr>
            <w:tcW w:w="684"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 xml:space="preserve">5.3. pašvaldību budžets </w:t>
            </w:r>
          </w:p>
        </w:tc>
        <w:tc>
          <w:tcPr>
            <w:tcW w:w="757" w:type="pct"/>
            <w:vMerge/>
            <w:vAlign w:val="center"/>
          </w:tcPr>
          <w:p w:rsidR="005016CA" w:rsidRPr="00DA09DA" w:rsidRDefault="005016CA" w:rsidP="006A7957">
            <w:pPr>
              <w:pStyle w:val="naisf"/>
              <w:spacing w:before="0" w:after="0"/>
              <w:ind w:firstLine="0"/>
              <w:jc w:val="center"/>
              <w:rPr>
                <w:i/>
                <w:sz w:val="26"/>
                <w:szCs w:val="26"/>
              </w:rPr>
            </w:pPr>
          </w:p>
        </w:tc>
        <w:tc>
          <w:tcPr>
            <w:tcW w:w="684"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828"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687"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c>
          <w:tcPr>
            <w:tcW w:w="566" w:type="pct"/>
            <w:vAlign w:val="center"/>
          </w:tcPr>
          <w:p w:rsidR="005016CA" w:rsidRPr="00DA09DA" w:rsidRDefault="005016CA" w:rsidP="006A7957">
            <w:pPr>
              <w:pStyle w:val="naisf"/>
              <w:spacing w:before="0" w:after="0"/>
              <w:ind w:firstLine="0"/>
              <w:jc w:val="center"/>
              <w:rPr>
                <w:b/>
                <w:sz w:val="26"/>
                <w:szCs w:val="26"/>
              </w:rPr>
            </w:pPr>
            <w:r w:rsidRPr="00DA09DA">
              <w:rPr>
                <w:sz w:val="26"/>
                <w:szCs w:val="26"/>
              </w:rPr>
              <w:t>0</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9C70FA">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6. Detalizēts ieņēmumu un izdevu</w:t>
            </w:r>
            <w:r w:rsidRPr="00DA09DA">
              <w:rPr>
                <w:rFonts w:ascii="Times New Roman" w:eastAsia="Times New Roman" w:hAnsi="Times New Roman" w:cs="Times New Roman"/>
                <w:sz w:val="26"/>
                <w:szCs w:val="26"/>
                <w:lang w:eastAsia="lv-LV"/>
              </w:rPr>
              <w:softHyphen/>
              <w:t>mu aprēķins (ja nepieciešams, detalizētu ieņēmumu un izdevumu aprēķinu var pievienot anotācijas pielikumā):</w:t>
            </w:r>
          </w:p>
        </w:tc>
        <w:tc>
          <w:tcPr>
            <w:tcW w:w="3522" w:type="pct"/>
            <w:gridSpan w:val="5"/>
            <w:vMerge w:val="restart"/>
            <w:vAlign w:val="center"/>
          </w:tcPr>
          <w:p w:rsidR="005016CA" w:rsidRPr="00DA09DA" w:rsidRDefault="005016CA" w:rsidP="00581967">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2.1.1.</w:t>
            </w:r>
            <w:r w:rsidR="004F5BFE" w:rsidRPr="00DA09DA">
              <w:rPr>
                <w:rFonts w:ascii="Times New Roman" w:eastAsia="Times New Roman" w:hAnsi="Times New Roman" w:cs="Times New Roman"/>
                <w:sz w:val="26"/>
                <w:szCs w:val="26"/>
                <w:lang w:eastAsia="lv-LV"/>
              </w:rPr>
              <w:t>3.</w:t>
            </w:r>
            <w:r w:rsidRPr="00DA09DA">
              <w:rPr>
                <w:rFonts w:ascii="Times New Roman" w:eastAsia="Times New Roman" w:hAnsi="Times New Roman" w:cs="Times New Roman"/>
                <w:sz w:val="26"/>
                <w:szCs w:val="26"/>
                <w:lang w:eastAsia="lv-LV"/>
              </w:rPr>
              <w:t xml:space="preserve">1.aktivitātes </w:t>
            </w:r>
            <w:r w:rsidR="004F5BFE" w:rsidRPr="00DA09DA">
              <w:rPr>
                <w:rFonts w:ascii="Times New Roman" w:eastAsia="Times New Roman" w:hAnsi="Times New Roman" w:cs="Times New Roman"/>
                <w:sz w:val="26"/>
                <w:szCs w:val="26"/>
                <w:lang w:eastAsia="lv-LV"/>
              </w:rPr>
              <w:t>pirmajai</w:t>
            </w:r>
            <w:r w:rsidRPr="00DA09DA">
              <w:rPr>
                <w:rFonts w:ascii="Times New Roman" w:eastAsia="Times New Roman" w:hAnsi="Times New Roman" w:cs="Times New Roman"/>
                <w:sz w:val="26"/>
                <w:szCs w:val="26"/>
                <w:lang w:eastAsia="lv-LV"/>
              </w:rPr>
              <w:t xml:space="preserve"> projektu iesniegumu atlases kārtai </w:t>
            </w:r>
            <w:r w:rsidR="00530A71" w:rsidRPr="00DA09DA">
              <w:rPr>
                <w:rFonts w:ascii="Times New Roman" w:eastAsia="Times New Roman" w:hAnsi="Times New Roman" w:cs="Times New Roman"/>
                <w:sz w:val="26"/>
                <w:szCs w:val="26"/>
                <w:lang w:eastAsia="lv-LV"/>
              </w:rPr>
              <w:t xml:space="preserve">pieejamais </w:t>
            </w:r>
            <w:r w:rsidRPr="00DA09DA">
              <w:rPr>
                <w:rFonts w:ascii="Times New Roman" w:eastAsia="Times New Roman" w:hAnsi="Times New Roman" w:cs="Times New Roman"/>
                <w:sz w:val="26"/>
                <w:szCs w:val="26"/>
                <w:lang w:eastAsia="lv-LV"/>
              </w:rPr>
              <w:t xml:space="preserve">ERAF finansējums </w:t>
            </w:r>
            <w:r w:rsidR="006B220F" w:rsidRPr="00DA09DA">
              <w:rPr>
                <w:rFonts w:ascii="Times New Roman" w:eastAsia="Times New Roman" w:hAnsi="Times New Roman" w:cs="Times New Roman"/>
                <w:sz w:val="26"/>
                <w:szCs w:val="26"/>
                <w:lang w:eastAsia="lv-LV"/>
              </w:rPr>
              <w:t xml:space="preserve">ir </w:t>
            </w:r>
            <w:r w:rsidR="00717690" w:rsidRPr="00DA09DA">
              <w:rPr>
                <w:rFonts w:ascii="Times New Roman" w:eastAsia="Times New Roman" w:hAnsi="Times New Roman" w:cs="Times New Roman"/>
                <w:sz w:val="26"/>
                <w:szCs w:val="26"/>
                <w:lang w:eastAsia="lv-LV"/>
              </w:rPr>
              <w:t>80 176 147</w:t>
            </w:r>
            <w:r w:rsidR="00717690" w:rsidRPr="00DA09DA">
              <w:rPr>
                <w:rFonts w:ascii="Times New Roman" w:hAnsi="Times New Roman" w:cs="Times New Roman"/>
                <w:sz w:val="26"/>
                <w:szCs w:val="26"/>
              </w:rPr>
              <w:t xml:space="preserve"> </w:t>
            </w:r>
            <w:r w:rsidR="00B905D3" w:rsidRPr="00DA09DA">
              <w:rPr>
                <w:rFonts w:ascii="Times New Roman" w:eastAsia="Times New Roman" w:hAnsi="Times New Roman" w:cs="Times New Roman"/>
                <w:i/>
                <w:sz w:val="26"/>
                <w:szCs w:val="26"/>
                <w:lang w:eastAsia="lv-LV"/>
              </w:rPr>
              <w:t>euro</w:t>
            </w:r>
            <w:r w:rsidR="00581967" w:rsidRPr="00DA09DA">
              <w:rPr>
                <w:rFonts w:ascii="Times New Roman" w:eastAsia="Times New Roman" w:hAnsi="Times New Roman" w:cs="Times New Roman"/>
                <w:i/>
                <w:sz w:val="26"/>
                <w:szCs w:val="26"/>
                <w:lang w:eastAsia="lv-LV"/>
              </w:rPr>
              <w:t xml:space="preserve">. </w:t>
            </w: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lastRenderedPageBreak/>
              <w:t>6.1. detalizēts ieņēmumu aprēķins</w:t>
            </w:r>
          </w:p>
        </w:tc>
        <w:tc>
          <w:tcPr>
            <w:tcW w:w="3522" w:type="pct"/>
            <w:gridSpan w:val="5"/>
            <w:vMerge/>
          </w:tcPr>
          <w:p w:rsidR="005016CA" w:rsidRPr="00DA09DA" w:rsidRDefault="005016CA" w:rsidP="006A7957">
            <w:pPr>
              <w:pStyle w:val="naisf"/>
              <w:spacing w:before="0" w:after="0"/>
              <w:ind w:firstLine="0"/>
              <w:rPr>
                <w:b/>
                <w:i/>
                <w:sz w:val="26"/>
                <w:szCs w:val="26"/>
              </w:rPr>
            </w:pPr>
          </w:p>
        </w:tc>
      </w:tr>
      <w:tr w:rsidR="005016CA" w:rsidRPr="00DA09DA" w:rsidTr="006D3F44">
        <w:tblPrEx>
          <w:jc w:val="center"/>
          <w:tblCellMar>
            <w:top w:w="0" w:type="dxa"/>
            <w:left w:w="108" w:type="dxa"/>
            <w:bottom w:w="0" w:type="dxa"/>
            <w:right w:w="108" w:type="dxa"/>
          </w:tblCellMar>
          <w:tblLook w:val="01E0"/>
        </w:tblPrEx>
        <w:trPr>
          <w:gridAfter w:val="1"/>
          <w:wAfter w:w="40" w:type="pct"/>
          <w:trHeight w:val="943"/>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6.2. detalizēts izdevumu aprēķins</w:t>
            </w:r>
          </w:p>
        </w:tc>
        <w:tc>
          <w:tcPr>
            <w:tcW w:w="3522" w:type="pct"/>
            <w:gridSpan w:val="5"/>
            <w:vMerge/>
          </w:tcPr>
          <w:p w:rsidR="005016CA" w:rsidRPr="00DA09DA" w:rsidRDefault="005016CA" w:rsidP="006A7957">
            <w:pPr>
              <w:pStyle w:val="naisf"/>
              <w:spacing w:before="0" w:after="0"/>
              <w:ind w:firstLine="0"/>
              <w:rPr>
                <w:b/>
                <w:i/>
                <w:sz w:val="26"/>
                <w:szCs w:val="26"/>
              </w:rPr>
            </w:pPr>
          </w:p>
        </w:tc>
      </w:tr>
      <w:tr w:rsidR="005016CA" w:rsidRPr="00DA09DA" w:rsidTr="006D3F44">
        <w:tblPrEx>
          <w:jc w:val="center"/>
          <w:tblCellMar>
            <w:top w:w="0" w:type="dxa"/>
            <w:left w:w="108" w:type="dxa"/>
            <w:bottom w:w="0" w:type="dxa"/>
            <w:right w:w="108" w:type="dxa"/>
          </w:tblCellMar>
          <w:tblLook w:val="01E0"/>
        </w:tblPrEx>
        <w:trPr>
          <w:gridAfter w:val="1"/>
          <w:wAfter w:w="40" w:type="pct"/>
          <w:jc w:val="center"/>
        </w:trPr>
        <w:tc>
          <w:tcPr>
            <w:tcW w:w="1438" w:type="pct"/>
          </w:tcPr>
          <w:p w:rsidR="005016CA" w:rsidRPr="00DA09DA" w:rsidRDefault="005016CA" w:rsidP="006A7957">
            <w:pPr>
              <w:spacing w:after="0"/>
              <w:jc w:val="both"/>
              <w:rPr>
                <w:rFonts w:ascii="Times New Roman" w:hAnsi="Times New Roman" w:cs="Times New Roman"/>
                <w:sz w:val="26"/>
                <w:szCs w:val="26"/>
              </w:rPr>
            </w:pPr>
            <w:r w:rsidRPr="00DA09DA">
              <w:rPr>
                <w:rFonts w:ascii="Times New Roman" w:hAnsi="Times New Roman" w:cs="Times New Roman"/>
                <w:sz w:val="26"/>
                <w:szCs w:val="26"/>
              </w:rPr>
              <w:t>7. Cita informācija</w:t>
            </w:r>
          </w:p>
        </w:tc>
        <w:tc>
          <w:tcPr>
            <w:tcW w:w="3522" w:type="pct"/>
            <w:gridSpan w:val="5"/>
          </w:tcPr>
          <w:p w:rsidR="005016CA" w:rsidRPr="00DA09DA" w:rsidRDefault="005016CA" w:rsidP="006A7957">
            <w:pPr>
              <w:pStyle w:val="naisf"/>
              <w:tabs>
                <w:tab w:val="left" w:pos="4644"/>
              </w:tabs>
              <w:spacing w:before="0" w:after="0"/>
              <w:ind w:firstLine="0"/>
              <w:rPr>
                <w:sz w:val="26"/>
                <w:szCs w:val="26"/>
              </w:rPr>
            </w:pPr>
            <w:r w:rsidRPr="00DA09DA">
              <w:rPr>
                <w:sz w:val="26"/>
                <w:szCs w:val="26"/>
              </w:rPr>
              <w:t xml:space="preserve">Nav </w:t>
            </w:r>
          </w:p>
        </w:tc>
      </w:tr>
    </w:tbl>
    <w:p w:rsidR="005016CA" w:rsidRPr="00DA09DA" w:rsidRDefault="005016CA" w:rsidP="00DA596D">
      <w:pPr>
        <w:spacing w:after="0" w:line="240" w:lineRule="auto"/>
        <w:rPr>
          <w:rFonts w:ascii="Times New Roman" w:eastAsia="Times New Roman" w:hAnsi="Times New Roman" w:cs="Times New Roman"/>
          <w:sz w:val="26"/>
          <w:szCs w:val="26"/>
          <w:lang w:eastAsia="lv-LV"/>
        </w:rPr>
      </w:pPr>
    </w:p>
    <w:tbl>
      <w:tblPr>
        <w:tblW w:w="922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8"/>
        <w:gridCol w:w="1841"/>
        <w:gridCol w:w="6816"/>
      </w:tblGrid>
      <w:tr w:rsidR="002960D6" w:rsidRPr="00DA09DA" w:rsidTr="006D3F44">
        <w:tc>
          <w:tcPr>
            <w:tcW w:w="9225" w:type="dxa"/>
            <w:gridSpan w:val="3"/>
          </w:tcPr>
          <w:p w:rsidR="002960D6" w:rsidRPr="00DA09DA" w:rsidRDefault="002960D6" w:rsidP="002960D6">
            <w:pPr>
              <w:spacing w:after="0" w:line="240" w:lineRule="auto"/>
              <w:jc w:val="center"/>
              <w:rPr>
                <w:rFonts w:ascii="Times New Roman" w:eastAsia="Calibri" w:hAnsi="Times New Roman" w:cs="Times New Roman"/>
                <w:b/>
                <w:sz w:val="26"/>
                <w:szCs w:val="26"/>
                <w:lang w:eastAsia="lv-LV"/>
              </w:rPr>
            </w:pPr>
            <w:r w:rsidRPr="00DA09DA">
              <w:rPr>
                <w:rFonts w:ascii="Times New Roman" w:eastAsia="Calibri" w:hAnsi="Times New Roman" w:cs="Times New Roman"/>
                <w:b/>
                <w:sz w:val="26"/>
                <w:szCs w:val="26"/>
                <w:lang w:eastAsia="lv-LV"/>
              </w:rPr>
              <w:t>IV. Tiesību akta projekta ietekme uz spēkā esošo tiesību normu sistēmu</w:t>
            </w:r>
          </w:p>
        </w:tc>
      </w:tr>
      <w:tr w:rsidR="006450A1" w:rsidRPr="00DA09DA" w:rsidTr="006450A1">
        <w:tc>
          <w:tcPr>
            <w:tcW w:w="568" w:type="dxa"/>
            <w:hideMark/>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1.</w:t>
            </w:r>
          </w:p>
        </w:tc>
        <w:tc>
          <w:tcPr>
            <w:tcW w:w="1841" w:type="dxa"/>
            <w:hideMark/>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Nepieciešamie saistītie tiesību aktu projekti</w:t>
            </w:r>
          </w:p>
        </w:tc>
        <w:tc>
          <w:tcPr>
            <w:tcW w:w="6816" w:type="dxa"/>
            <w:hideMark/>
          </w:tcPr>
          <w:p w:rsidR="001C64C7" w:rsidRPr="00DA09DA" w:rsidRDefault="006E0A59" w:rsidP="000C7A15">
            <w:pPr>
              <w:spacing w:after="0" w:line="240" w:lineRule="auto"/>
              <w:ind w:firstLine="426"/>
              <w:jc w:val="both"/>
              <w:rPr>
                <w:rFonts w:ascii="Times New Roman" w:eastAsia="Times New Roman" w:hAnsi="Times New Roman" w:cs="Times New Roman"/>
                <w:iCs/>
                <w:sz w:val="26"/>
                <w:szCs w:val="26"/>
                <w:lang w:eastAsia="lv-LV"/>
              </w:rPr>
            </w:pPr>
            <w:r w:rsidRPr="00DA09DA">
              <w:rPr>
                <w:rFonts w:ascii="Times New Roman" w:eastAsia="Calibri" w:hAnsi="Times New Roman" w:cs="Times New Roman"/>
                <w:sz w:val="26"/>
                <w:szCs w:val="26"/>
                <w:lang w:eastAsia="lv-LV"/>
              </w:rPr>
              <w:t>Nav</w:t>
            </w:r>
          </w:p>
        </w:tc>
      </w:tr>
      <w:tr w:rsidR="006450A1" w:rsidRPr="00DA09DA" w:rsidTr="006450A1">
        <w:tc>
          <w:tcPr>
            <w:tcW w:w="568" w:type="dxa"/>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2.</w:t>
            </w:r>
          </w:p>
        </w:tc>
        <w:tc>
          <w:tcPr>
            <w:tcW w:w="1841" w:type="dxa"/>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Atbildīgā institūcija</w:t>
            </w:r>
          </w:p>
        </w:tc>
        <w:tc>
          <w:tcPr>
            <w:tcW w:w="6816" w:type="dxa"/>
          </w:tcPr>
          <w:p w:rsidR="006450A1" w:rsidRPr="00DA09DA" w:rsidRDefault="00BD0AB0" w:rsidP="006D3F44">
            <w:pPr>
              <w:spacing w:after="0" w:line="240" w:lineRule="auto"/>
              <w:ind w:firstLine="426"/>
              <w:jc w:val="both"/>
              <w:rPr>
                <w:rFonts w:ascii="Times New Roman" w:eastAsia="Calibri" w:hAnsi="Times New Roman" w:cs="Times New Roman"/>
                <w:bCs/>
                <w:sz w:val="26"/>
                <w:szCs w:val="26"/>
              </w:rPr>
            </w:pPr>
            <w:r w:rsidRPr="00DA09DA">
              <w:rPr>
                <w:rFonts w:ascii="Times New Roman" w:eastAsia="Times New Roman" w:hAnsi="Times New Roman" w:cs="Times New Roman"/>
                <w:iCs/>
                <w:sz w:val="26"/>
                <w:szCs w:val="26"/>
                <w:lang w:eastAsia="lv-LV"/>
              </w:rPr>
              <w:t>Izglītības un zinātnes ministrija.</w:t>
            </w:r>
          </w:p>
        </w:tc>
      </w:tr>
      <w:tr w:rsidR="006450A1" w:rsidRPr="00DA09DA" w:rsidTr="006450A1">
        <w:tc>
          <w:tcPr>
            <w:tcW w:w="568" w:type="dxa"/>
            <w:hideMark/>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3.</w:t>
            </w:r>
          </w:p>
        </w:tc>
        <w:tc>
          <w:tcPr>
            <w:tcW w:w="1841" w:type="dxa"/>
            <w:hideMark/>
          </w:tcPr>
          <w:p w:rsidR="006450A1" w:rsidRPr="00DA09DA" w:rsidRDefault="006450A1" w:rsidP="006D3F44">
            <w:pPr>
              <w:spacing w:after="0" w:line="240" w:lineRule="auto"/>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Cita informācija</w:t>
            </w:r>
          </w:p>
        </w:tc>
        <w:tc>
          <w:tcPr>
            <w:tcW w:w="6816" w:type="dxa"/>
            <w:hideMark/>
          </w:tcPr>
          <w:p w:rsidR="006450A1" w:rsidRPr="00DA09DA" w:rsidRDefault="006450A1" w:rsidP="006D3F44">
            <w:pPr>
              <w:spacing w:after="0" w:line="240" w:lineRule="auto"/>
              <w:ind w:firstLine="426"/>
              <w:jc w:val="both"/>
              <w:rPr>
                <w:rFonts w:ascii="Times New Roman" w:eastAsia="Calibri" w:hAnsi="Times New Roman" w:cs="Times New Roman"/>
                <w:sz w:val="26"/>
                <w:szCs w:val="26"/>
                <w:lang w:eastAsia="lv-LV"/>
              </w:rPr>
            </w:pPr>
            <w:r w:rsidRPr="00DA09DA">
              <w:rPr>
                <w:rFonts w:ascii="Times New Roman" w:eastAsia="Calibri" w:hAnsi="Times New Roman" w:cs="Times New Roman"/>
                <w:sz w:val="26"/>
                <w:szCs w:val="26"/>
                <w:lang w:eastAsia="lv-LV"/>
              </w:rPr>
              <w:t>Nav</w:t>
            </w:r>
          </w:p>
        </w:tc>
      </w:tr>
    </w:tbl>
    <w:p w:rsidR="006450A1" w:rsidRPr="00DA09DA" w:rsidRDefault="006450A1" w:rsidP="00DA596D">
      <w:pPr>
        <w:spacing w:after="0" w:line="240" w:lineRule="auto"/>
        <w:rPr>
          <w:rFonts w:ascii="Times New Roman" w:eastAsia="Times New Roman" w:hAnsi="Times New Roman" w:cs="Times New Roman"/>
          <w:sz w:val="26"/>
          <w:szCs w:val="26"/>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40"/>
        <w:gridCol w:w="1986"/>
        <w:gridCol w:w="6451"/>
      </w:tblGrid>
      <w:tr w:rsidR="00C81F0E" w:rsidRPr="00DA09DA" w:rsidTr="001F61CF">
        <w:trPr>
          <w:trHeight w:val="375"/>
        </w:trPr>
        <w:tc>
          <w:tcPr>
            <w:tcW w:w="0" w:type="auto"/>
            <w:gridSpan w:val="3"/>
            <w:vAlign w:val="center"/>
            <w:hideMark/>
          </w:tcPr>
          <w:p w:rsidR="00C81F0E" w:rsidRPr="00DA09DA" w:rsidRDefault="00C81F0E" w:rsidP="00C81F0E">
            <w:pPr>
              <w:spacing w:after="0" w:line="240" w:lineRule="auto"/>
              <w:ind w:firstLine="300"/>
              <w:jc w:val="center"/>
              <w:rPr>
                <w:rFonts w:ascii="Times New Roman" w:eastAsia="Times New Roman" w:hAnsi="Times New Roman" w:cs="Times New Roman"/>
                <w:b/>
                <w:bCs/>
                <w:sz w:val="26"/>
                <w:szCs w:val="26"/>
                <w:lang w:eastAsia="lv-LV"/>
              </w:rPr>
            </w:pPr>
            <w:r w:rsidRPr="00DA09DA">
              <w:rPr>
                <w:rFonts w:ascii="Times New Roman" w:eastAsia="Times New Roman" w:hAnsi="Times New Roman" w:cs="Times New Roman"/>
                <w:b/>
                <w:bCs/>
                <w:sz w:val="26"/>
                <w:szCs w:val="26"/>
                <w:lang w:eastAsia="lv-LV"/>
              </w:rPr>
              <w:t>V. Tiesību akta projekta atbilstība Latvijas Republikas starptautiskajām saistībām</w:t>
            </w:r>
          </w:p>
        </w:tc>
      </w:tr>
      <w:tr w:rsidR="00C81F0E" w:rsidRPr="00DA09DA" w:rsidTr="00A551FA">
        <w:tc>
          <w:tcPr>
            <w:tcW w:w="403" w:type="pct"/>
            <w:hideMark/>
          </w:tcPr>
          <w:p w:rsidR="00C81F0E" w:rsidRPr="00DA09DA" w:rsidRDefault="00C81F0E" w:rsidP="006D3F44">
            <w:pPr>
              <w:spacing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p>
        </w:tc>
        <w:tc>
          <w:tcPr>
            <w:tcW w:w="1082" w:type="pct"/>
            <w:hideMark/>
          </w:tcPr>
          <w:p w:rsidR="00C81F0E" w:rsidRPr="00DA09DA" w:rsidRDefault="00C81F0E"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Saistības pret Eiropas Savienību</w:t>
            </w:r>
          </w:p>
        </w:tc>
        <w:tc>
          <w:tcPr>
            <w:tcW w:w="3515" w:type="pct"/>
            <w:hideMark/>
          </w:tcPr>
          <w:p w:rsidR="00841402" w:rsidRPr="00DA09DA" w:rsidRDefault="00866776"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Komisijas 2013. gada 18. decembra Regula (ES) Nr. 1407/2013 par Līguma par Eiropas Savienības darbību 107. un 108. panta piemērošanu </w:t>
            </w:r>
            <w:r w:rsidRPr="00DA09DA">
              <w:rPr>
                <w:rFonts w:ascii="Times New Roman" w:eastAsia="Times New Roman" w:hAnsi="Times New Roman" w:cs="Times New Roman"/>
                <w:i/>
                <w:sz w:val="26"/>
                <w:szCs w:val="26"/>
                <w:lang w:eastAsia="lv-LV"/>
              </w:rPr>
              <w:t>de minimis</w:t>
            </w:r>
            <w:r w:rsidRPr="00DA09DA">
              <w:rPr>
                <w:rFonts w:ascii="Times New Roman" w:eastAsia="Times New Roman" w:hAnsi="Times New Roman" w:cs="Times New Roman"/>
                <w:sz w:val="26"/>
                <w:szCs w:val="26"/>
                <w:lang w:eastAsia="lv-LV"/>
              </w:rPr>
              <w:t xml:space="preserve"> atbalstam</w:t>
            </w:r>
            <w:r w:rsidR="00634B89" w:rsidRPr="00DA09DA">
              <w:rPr>
                <w:rFonts w:ascii="Times New Roman" w:eastAsia="Times New Roman" w:hAnsi="Times New Roman" w:cs="Times New Roman"/>
                <w:sz w:val="26"/>
                <w:szCs w:val="26"/>
                <w:lang w:eastAsia="lv-LV"/>
              </w:rPr>
              <w:t>.</w:t>
            </w:r>
            <w:r w:rsidRPr="00DA09DA">
              <w:rPr>
                <w:rFonts w:ascii="Times New Roman" w:eastAsia="Times New Roman" w:hAnsi="Times New Roman" w:cs="Times New Roman"/>
                <w:sz w:val="26"/>
                <w:szCs w:val="26"/>
                <w:lang w:eastAsia="lv-LV"/>
              </w:rPr>
              <w:t xml:space="preserve"> </w:t>
            </w:r>
          </w:p>
          <w:p w:rsidR="00841402" w:rsidRPr="00DA09DA" w:rsidRDefault="00841402" w:rsidP="004E3A5F">
            <w:pPr>
              <w:spacing w:before="10" w:after="0" w:line="240" w:lineRule="auto"/>
              <w:ind w:left="113" w:right="113"/>
              <w:jc w:val="both"/>
              <w:rPr>
                <w:rFonts w:ascii="Times New Roman" w:eastAsia="Times New Roman" w:hAnsi="Times New Roman" w:cs="Times New Roman"/>
                <w:sz w:val="26"/>
                <w:szCs w:val="26"/>
                <w:lang w:eastAsia="lv-LV"/>
              </w:rPr>
            </w:pPr>
          </w:p>
          <w:p w:rsidR="00C81F0E" w:rsidRPr="00DA09DA" w:rsidRDefault="00C81F0E" w:rsidP="00BD0AB0">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Komisijas 2014.gada </w:t>
            </w:r>
            <w:r w:rsidR="00634B89" w:rsidRPr="00DA09DA">
              <w:rPr>
                <w:rFonts w:ascii="Times New Roman" w:eastAsia="Times New Roman" w:hAnsi="Times New Roman" w:cs="Times New Roman"/>
                <w:sz w:val="26"/>
                <w:szCs w:val="26"/>
                <w:lang w:eastAsia="lv-LV"/>
              </w:rPr>
              <w:t>17</w:t>
            </w:r>
            <w:r w:rsidRPr="00DA09DA">
              <w:rPr>
                <w:rFonts w:ascii="Times New Roman" w:eastAsia="Times New Roman" w:hAnsi="Times New Roman" w:cs="Times New Roman"/>
                <w:sz w:val="26"/>
                <w:szCs w:val="26"/>
                <w:lang w:eastAsia="lv-LV"/>
              </w:rPr>
              <w:t>.</w:t>
            </w:r>
            <w:r w:rsidR="00634B89" w:rsidRPr="00DA09DA">
              <w:rPr>
                <w:rFonts w:ascii="Times New Roman" w:eastAsia="Times New Roman" w:hAnsi="Times New Roman" w:cs="Times New Roman"/>
                <w:sz w:val="26"/>
                <w:szCs w:val="26"/>
                <w:lang w:eastAsia="lv-LV"/>
              </w:rPr>
              <w:t>jūnija</w:t>
            </w:r>
            <w:r w:rsidRPr="00DA09DA">
              <w:rPr>
                <w:rFonts w:ascii="Times New Roman" w:eastAsia="Times New Roman" w:hAnsi="Times New Roman" w:cs="Times New Roman"/>
                <w:sz w:val="26"/>
                <w:szCs w:val="26"/>
                <w:lang w:eastAsia="lv-LV"/>
              </w:rPr>
              <w:t xml:space="preserve"> Regula (E</w:t>
            </w:r>
            <w:r w:rsidR="00866776" w:rsidRPr="00DA09DA">
              <w:rPr>
                <w:rFonts w:ascii="Times New Roman" w:eastAsia="Times New Roman" w:hAnsi="Times New Roman" w:cs="Times New Roman"/>
                <w:sz w:val="26"/>
                <w:szCs w:val="26"/>
                <w:lang w:eastAsia="lv-LV"/>
              </w:rPr>
              <w:t>S</w:t>
            </w:r>
            <w:r w:rsidRPr="00DA09DA">
              <w:rPr>
                <w:rFonts w:ascii="Times New Roman" w:eastAsia="Times New Roman" w:hAnsi="Times New Roman" w:cs="Times New Roman"/>
                <w:sz w:val="26"/>
                <w:szCs w:val="26"/>
                <w:lang w:eastAsia="lv-LV"/>
              </w:rPr>
              <w:t xml:space="preserve">) Nr. </w:t>
            </w:r>
            <w:r w:rsidR="00D526DF" w:rsidRPr="00DA09DA">
              <w:rPr>
                <w:rFonts w:ascii="Times New Roman" w:eastAsia="Times New Roman" w:hAnsi="Times New Roman" w:cs="Times New Roman"/>
                <w:sz w:val="26"/>
                <w:szCs w:val="26"/>
                <w:lang w:eastAsia="lv-LV"/>
              </w:rPr>
              <w:t>651</w:t>
            </w:r>
            <w:r w:rsidRPr="00DA09DA">
              <w:rPr>
                <w:rFonts w:ascii="Times New Roman" w:eastAsia="Times New Roman" w:hAnsi="Times New Roman" w:cs="Times New Roman"/>
                <w:sz w:val="26"/>
                <w:szCs w:val="26"/>
                <w:lang w:eastAsia="lv-LV"/>
              </w:rPr>
              <w:t xml:space="preserve">/2014, </w:t>
            </w:r>
            <w:r w:rsidR="00BD0AB0" w:rsidRPr="00DA09DA">
              <w:rPr>
                <w:rFonts w:ascii="Times New Roman" w:eastAsia="Times New Roman" w:hAnsi="Times New Roman" w:cs="Times New Roman"/>
                <w:sz w:val="26"/>
                <w:szCs w:val="26"/>
                <w:lang w:eastAsia="lv-LV"/>
              </w:rPr>
              <w:t>ar ko</w:t>
            </w:r>
            <w:r w:rsidRPr="00DA09DA">
              <w:rPr>
                <w:rFonts w:ascii="Times New Roman" w:eastAsia="Times New Roman" w:hAnsi="Times New Roman" w:cs="Times New Roman"/>
                <w:sz w:val="26"/>
                <w:szCs w:val="26"/>
                <w:lang w:eastAsia="lv-LV"/>
              </w:rPr>
              <w:t xml:space="preserve"> noteiktas atbalsta kategorijas </w:t>
            </w:r>
            <w:r w:rsidR="00BD0AB0" w:rsidRPr="00DA09DA">
              <w:rPr>
                <w:rFonts w:ascii="Times New Roman" w:eastAsia="Times New Roman" w:hAnsi="Times New Roman" w:cs="Times New Roman"/>
                <w:sz w:val="26"/>
                <w:szCs w:val="26"/>
                <w:lang w:eastAsia="lv-LV"/>
              </w:rPr>
              <w:t xml:space="preserve">atzīst </w:t>
            </w:r>
            <w:r w:rsidRPr="00DA09DA">
              <w:rPr>
                <w:rFonts w:ascii="Times New Roman" w:eastAsia="Times New Roman" w:hAnsi="Times New Roman" w:cs="Times New Roman"/>
                <w:sz w:val="26"/>
                <w:szCs w:val="26"/>
                <w:lang w:eastAsia="lv-LV"/>
              </w:rPr>
              <w:t xml:space="preserve">par saderīgām ar </w:t>
            </w:r>
            <w:r w:rsidR="00BD0AB0" w:rsidRPr="00DA09DA">
              <w:rPr>
                <w:rFonts w:ascii="Times New Roman" w:eastAsia="Times New Roman" w:hAnsi="Times New Roman" w:cs="Times New Roman"/>
                <w:sz w:val="26"/>
                <w:szCs w:val="26"/>
                <w:lang w:eastAsia="lv-LV"/>
              </w:rPr>
              <w:t>iekšējo</w:t>
            </w:r>
            <w:r w:rsidRPr="00DA09DA">
              <w:rPr>
                <w:rFonts w:ascii="Times New Roman" w:eastAsia="Times New Roman" w:hAnsi="Times New Roman" w:cs="Times New Roman"/>
                <w:sz w:val="26"/>
                <w:szCs w:val="26"/>
                <w:lang w:eastAsia="lv-LV"/>
              </w:rPr>
              <w:t xml:space="preserve"> tirgu, piemērojot Līguma 107. un 108.pantu</w:t>
            </w:r>
            <w:r w:rsidR="00634B89" w:rsidRPr="00DA09DA">
              <w:rPr>
                <w:rFonts w:ascii="Times New Roman" w:eastAsia="Times New Roman" w:hAnsi="Times New Roman" w:cs="Times New Roman"/>
                <w:sz w:val="26"/>
                <w:szCs w:val="26"/>
                <w:lang w:eastAsia="lv-LV"/>
              </w:rPr>
              <w:t>.</w:t>
            </w:r>
          </w:p>
        </w:tc>
      </w:tr>
      <w:tr w:rsidR="00C81F0E" w:rsidRPr="00DA09DA" w:rsidTr="00A551FA">
        <w:tc>
          <w:tcPr>
            <w:tcW w:w="403" w:type="pct"/>
            <w:hideMark/>
          </w:tcPr>
          <w:p w:rsidR="00C81F0E" w:rsidRPr="00DA09DA" w:rsidRDefault="00C81F0E" w:rsidP="006D3F44">
            <w:pPr>
              <w:spacing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w:t>
            </w:r>
          </w:p>
        </w:tc>
        <w:tc>
          <w:tcPr>
            <w:tcW w:w="1082" w:type="pct"/>
            <w:hideMark/>
          </w:tcPr>
          <w:p w:rsidR="00C81F0E" w:rsidRPr="00DA09DA" w:rsidRDefault="00C81F0E"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Citas starptautiskās saistības</w:t>
            </w:r>
          </w:p>
        </w:tc>
        <w:tc>
          <w:tcPr>
            <w:tcW w:w="3515" w:type="pct"/>
            <w:hideMark/>
          </w:tcPr>
          <w:p w:rsidR="00C81F0E" w:rsidRPr="00DA09DA" w:rsidRDefault="00C81F0E"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projekts šo jomu neskar.</w:t>
            </w:r>
          </w:p>
        </w:tc>
      </w:tr>
      <w:tr w:rsidR="00C81F0E" w:rsidRPr="00DA09DA" w:rsidTr="00A551FA">
        <w:tc>
          <w:tcPr>
            <w:tcW w:w="403" w:type="pct"/>
            <w:hideMark/>
          </w:tcPr>
          <w:p w:rsidR="00C81F0E" w:rsidRPr="00DA09DA" w:rsidRDefault="00C81F0E" w:rsidP="006D3F44">
            <w:pPr>
              <w:spacing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3.</w:t>
            </w:r>
          </w:p>
        </w:tc>
        <w:tc>
          <w:tcPr>
            <w:tcW w:w="1082" w:type="pct"/>
            <w:hideMark/>
          </w:tcPr>
          <w:p w:rsidR="00C81F0E" w:rsidRPr="00DA09DA" w:rsidRDefault="00C81F0E"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 informācija</w:t>
            </w:r>
          </w:p>
        </w:tc>
        <w:tc>
          <w:tcPr>
            <w:tcW w:w="3515" w:type="pct"/>
            <w:hideMark/>
          </w:tcPr>
          <w:p w:rsidR="00C81F0E" w:rsidRPr="00DA09DA" w:rsidRDefault="00C81F0E" w:rsidP="006D3F44">
            <w:pPr>
              <w:spacing w:after="0" w:line="240" w:lineRule="auto"/>
              <w:rPr>
                <w:rFonts w:ascii="Times New Roman" w:hAnsi="Times New Roman" w:cs="Times New Roman"/>
                <w:sz w:val="26"/>
                <w:szCs w:val="26"/>
              </w:rPr>
            </w:pPr>
            <w:r w:rsidRPr="00DA09DA">
              <w:rPr>
                <w:rFonts w:ascii="Times New Roman" w:hAnsi="Times New Roman" w:cs="Times New Roman"/>
                <w:sz w:val="26"/>
                <w:szCs w:val="26"/>
              </w:rPr>
              <w:t>Nav</w:t>
            </w:r>
          </w:p>
        </w:tc>
      </w:tr>
    </w:tbl>
    <w:p w:rsidR="00C81F0E" w:rsidRPr="00DA09DA" w:rsidRDefault="00C81F0E">
      <w:pPr>
        <w:rPr>
          <w:rFonts w:ascii="Times New Roman" w:hAnsi="Times New Roman" w:cs="Times New Roman"/>
          <w:sz w:val="26"/>
          <w:szCs w:val="26"/>
        </w:rPr>
      </w:pPr>
    </w:p>
    <w:tbl>
      <w:tblPr>
        <w:tblW w:w="921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649"/>
        <w:gridCol w:w="199"/>
        <w:gridCol w:w="2636"/>
        <w:gridCol w:w="1417"/>
        <w:gridCol w:w="2311"/>
      </w:tblGrid>
      <w:tr w:rsidR="001F61CF" w:rsidRPr="00DA09DA" w:rsidTr="00C47016">
        <w:tc>
          <w:tcPr>
            <w:tcW w:w="9212" w:type="dxa"/>
            <w:gridSpan w:val="5"/>
            <w:vAlign w:val="center"/>
            <w:hideMark/>
          </w:tcPr>
          <w:p w:rsidR="001F61CF" w:rsidRPr="00DA09DA" w:rsidRDefault="001F61CF" w:rsidP="006D3F44">
            <w:pPr>
              <w:spacing w:line="240" w:lineRule="auto"/>
              <w:jc w:val="center"/>
              <w:rPr>
                <w:rFonts w:ascii="Times New Roman" w:eastAsia="Times New Roman" w:hAnsi="Times New Roman" w:cs="Times New Roman"/>
                <w:b/>
                <w:bCs/>
                <w:sz w:val="26"/>
                <w:szCs w:val="26"/>
                <w:lang w:eastAsia="lv-LV"/>
              </w:rPr>
            </w:pPr>
            <w:r w:rsidRPr="00DA09DA">
              <w:rPr>
                <w:rFonts w:ascii="Times New Roman" w:eastAsia="Times New Roman" w:hAnsi="Times New Roman" w:cs="Times New Roman"/>
                <w:b/>
                <w:bCs/>
                <w:sz w:val="26"/>
                <w:szCs w:val="26"/>
                <w:lang w:eastAsia="lv-LV"/>
              </w:rPr>
              <w:t>1.tabula</w:t>
            </w:r>
            <w:r w:rsidRPr="00DA09DA">
              <w:rPr>
                <w:rFonts w:ascii="Times New Roman" w:eastAsia="Times New Roman" w:hAnsi="Times New Roman" w:cs="Times New Roman"/>
                <w:b/>
                <w:bCs/>
                <w:sz w:val="26"/>
                <w:szCs w:val="26"/>
                <w:lang w:eastAsia="lv-LV"/>
              </w:rPr>
              <w:br/>
              <w:t>Tiesību akta projekta atbilstība ES tiesību aktiem</w:t>
            </w:r>
          </w:p>
        </w:tc>
      </w:tr>
      <w:tr w:rsidR="001F61CF" w:rsidRPr="00DA09DA" w:rsidTr="00B35951">
        <w:tc>
          <w:tcPr>
            <w:tcW w:w="2649" w:type="dxa"/>
            <w:vAlign w:val="center"/>
            <w:hideMark/>
          </w:tcPr>
          <w:p w:rsidR="001F61CF" w:rsidRPr="00DA09DA" w:rsidRDefault="001F61CF"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Attiecīgā ES tiesību akta datums, numurs un nosaukums</w:t>
            </w:r>
          </w:p>
        </w:tc>
        <w:tc>
          <w:tcPr>
            <w:tcW w:w="6563" w:type="dxa"/>
            <w:gridSpan w:val="4"/>
            <w:vAlign w:val="center"/>
            <w:hideMark/>
          </w:tcPr>
          <w:p w:rsidR="001F61CF" w:rsidRPr="00DA09DA" w:rsidRDefault="006B25A5" w:rsidP="006D3F44">
            <w:pPr>
              <w:pStyle w:val="naiskr"/>
              <w:spacing w:before="0" w:after="0"/>
              <w:jc w:val="both"/>
              <w:rPr>
                <w:sz w:val="26"/>
                <w:szCs w:val="26"/>
                <w:lang w:eastAsia="en-US"/>
              </w:rPr>
            </w:pPr>
            <w:r w:rsidRPr="00DA09DA">
              <w:rPr>
                <w:sz w:val="26"/>
                <w:szCs w:val="26"/>
              </w:rPr>
              <w:t xml:space="preserve">Regula </w:t>
            </w:r>
            <w:r w:rsidRPr="00DA09DA">
              <w:rPr>
                <w:sz w:val="26"/>
                <w:szCs w:val="26"/>
                <w:lang w:eastAsia="en-US"/>
              </w:rPr>
              <w:t>Nr. 1407/2013;</w:t>
            </w:r>
          </w:p>
          <w:p w:rsidR="006B25A5" w:rsidRPr="00DA09DA" w:rsidRDefault="000B1816" w:rsidP="006D3F44">
            <w:pPr>
              <w:pStyle w:val="naiskr"/>
              <w:spacing w:before="0" w:after="0"/>
              <w:jc w:val="both"/>
              <w:rPr>
                <w:sz w:val="26"/>
                <w:szCs w:val="26"/>
                <w:lang w:eastAsia="en-US"/>
              </w:rPr>
            </w:pPr>
            <w:r w:rsidRPr="00DA09DA">
              <w:rPr>
                <w:sz w:val="26"/>
                <w:szCs w:val="26"/>
              </w:rPr>
              <w:t xml:space="preserve">Regula </w:t>
            </w:r>
            <w:r w:rsidRPr="00DA09DA">
              <w:rPr>
                <w:sz w:val="26"/>
                <w:szCs w:val="26"/>
                <w:lang w:eastAsia="en-US"/>
              </w:rPr>
              <w:t xml:space="preserve">Nr. </w:t>
            </w:r>
            <w:r w:rsidR="00D526DF" w:rsidRPr="00DA09DA">
              <w:rPr>
                <w:sz w:val="26"/>
                <w:szCs w:val="26"/>
                <w:lang w:eastAsia="en-US"/>
              </w:rPr>
              <w:t>651</w:t>
            </w:r>
            <w:r w:rsidRPr="00DA09DA">
              <w:rPr>
                <w:sz w:val="26"/>
                <w:szCs w:val="26"/>
                <w:lang w:eastAsia="en-US"/>
              </w:rPr>
              <w:t>/2014</w:t>
            </w:r>
            <w:r w:rsidR="00634B89" w:rsidRPr="00DA09DA">
              <w:rPr>
                <w:sz w:val="26"/>
                <w:szCs w:val="26"/>
                <w:lang w:eastAsia="en-US"/>
              </w:rPr>
              <w:t>.</w:t>
            </w:r>
          </w:p>
        </w:tc>
      </w:tr>
      <w:tr w:rsidR="001F61CF" w:rsidRPr="00DA09DA" w:rsidTr="00B35951">
        <w:tc>
          <w:tcPr>
            <w:tcW w:w="2649" w:type="dxa"/>
            <w:vAlign w:val="center"/>
            <w:hideMark/>
          </w:tcPr>
          <w:p w:rsidR="001F61CF" w:rsidRPr="00DA09DA" w:rsidRDefault="001F61CF" w:rsidP="006D3F44">
            <w:pPr>
              <w:spacing w:line="240" w:lineRule="auto"/>
              <w:jc w:val="center"/>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A</w:t>
            </w:r>
          </w:p>
        </w:tc>
        <w:tc>
          <w:tcPr>
            <w:tcW w:w="2835" w:type="dxa"/>
            <w:gridSpan w:val="2"/>
            <w:vAlign w:val="center"/>
            <w:hideMark/>
          </w:tcPr>
          <w:p w:rsidR="001F61CF" w:rsidRPr="00DA09DA" w:rsidRDefault="001F61CF" w:rsidP="006D3F44">
            <w:pPr>
              <w:spacing w:line="240" w:lineRule="auto"/>
              <w:jc w:val="center"/>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B</w:t>
            </w:r>
          </w:p>
        </w:tc>
        <w:tc>
          <w:tcPr>
            <w:tcW w:w="1417" w:type="dxa"/>
            <w:vAlign w:val="center"/>
            <w:hideMark/>
          </w:tcPr>
          <w:p w:rsidR="001F61CF" w:rsidRPr="00DA09DA" w:rsidRDefault="001F61CF" w:rsidP="006D3F44">
            <w:pPr>
              <w:spacing w:line="240" w:lineRule="auto"/>
              <w:jc w:val="center"/>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w:t>
            </w:r>
          </w:p>
        </w:tc>
        <w:tc>
          <w:tcPr>
            <w:tcW w:w="2311" w:type="dxa"/>
            <w:vAlign w:val="center"/>
            <w:hideMark/>
          </w:tcPr>
          <w:p w:rsidR="001F61CF" w:rsidRPr="00DA09DA" w:rsidRDefault="001F61CF" w:rsidP="006D3F44">
            <w:pPr>
              <w:spacing w:line="240" w:lineRule="auto"/>
              <w:jc w:val="center"/>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D</w:t>
            </w:r>
          </w:p>
        </w:tc>
      </w:tr>
      <w:tr w:rsidR="001F61CF" w:rsidRPr="00DA09DA" w:rsidTr="00B35951">
        <w:tc>
          <w:tcPr>
            <w:tcW w:w="2649" w:type="dxa"/>
            <w:hideMark/>
          </w:tcPr>
          <w:p w:rsidR="001F61CF" w:rsidRPr="00DA09DA" w:rsidRDefault="001F61CF" w:rsidP="006D3F44">
            <w:pPr>
              <w:pStyle w:val="naiskr"/>
              <w:spacing w:before="0" w:after="0"/>
              <w:jc w:val="both"/>
              <w:rPr>
                <w:sz w:val="26"/>
                <w:szCs w:val="26"/>
                <w:lang w:eastAsia="en-US"/>
              </w:rPr>
            </w:pPr>
            <w:r w:rsidRPr="00DA09DA">
              <w:rPr>
                <w:sz w:val="26"/>
                <w:szCs w:val="26"/>
                <w:lang w:eastAsia="en-US"/>
              </w:rPr>
              <w:t xml:space="preserve">Attiecīgā ES tiesību akta panta numurs (uzskaitot katru tiesību akta </w:t>
            </w:r>
            <w:r w:rsidRPr="00DA09DA">
              <w:rPr>
                <w:sz w:val="26"/>
                <w:szCs w:val="26"/>
                <w:lang w:eastAsia="en-US"/>
              </w:rPr>
              <w:br/>
              <w:t xml:space="preserve">vienību – pantu, daļu, </w:t>
            </w:r>
            <w:r w:rsidRPr="00DA09DA">
              <w:rPr>
                <w:sz w:val="26"/>
                <w:szCs w:val="26"/>
                <w:lang w:eastAsia="en-US"/>
              </w:rPr>
              <w:lastRenderedPageBreak/>
              <w:t>punktu, apakšpunktu)</w:t>
            </w:r>
          </w:p>
        </w:tc>
        <w:tc>
          <w:tcPr>
            <w:tcW w:w="2835" w:type="dxa"/>
            <w:gridSpan w:val="2"/>
            <w:hideMark/>
          </w:tcPr>
          <w:p w:rsidR="001F61CF" w:rsidRPr="00DA09DA" w:rsidRDefault="001F61CF" w:rsidP="006D3F44">
            <w:pPr>
              <w:pStyle w:val="naiskr"/>
              <w:spacing w:before="0" w:after="0"/>
              <w:jc w:val="both"/>
              <w:rPr>
                <w:sz w:val="26"/>
                <w:szCs w:val="26"/>
                <w:lang w:eastAsia="en-US"/>
              </w:rPr>
            </w:pPr>
            <w:r w:rsidRPr="00DA09DA">
              <w:rPr>
                <w:sz w:val="26"/>
                <w:szCs w:val="26"/>
                <w:lang w:eastAsia="en-US"/>
              </w:rPr>
              <w:lastRenderedPageBreak/>
              <w:t>Projekta vienība, kas pārņem vai ievieš katru šīs tabulas A ailē minēto ES tiesību akta vienību</w:t>
            </w:r>
          </w:p>
        </w:tc>
        <w:tc>
          <w:tcPr>
            <w:tcW w:w="1417" w:type="dxa"/>
            <w:hideMark/>
          </w:tcPr>
          <w:p w:rsidR="001F61CF" w:rsidRPr="00DA09DA" w:rsidRDefault="001F61CF" w:rsidP="006D3F44">
            <w:pPr>
              <w:pStyle w:val="naiskr"/>
              <w:spacing w:before="0" w:after="0"/>
              <w:jc w:val="both"/>
              <w:rPr>
                <w:sz w:val="26"/>
                <w:szCs w:val="26"/>
                <w:lang w:eastAsia="en-US"/>
              </w:rPr>
            </w:pPr>
            <w:r w:rsidRPr="00DA09DA">
              <w:rPr>
                <w:sz w:val="26"/>
                <w:szCs w:val="26"/>
                <w:lang w:eastAsia="en-US"/>
              </w:rPr>
              <w:t xml:space="preserve">Informācija par to, vai šīs tabulas A ailē </w:t>
            </w:r>
            <w:r w:rsidRPr="00DA09DA">
              <w:rPr>
                <w:sz w:val="26"/>
                <w:szCs w:val="26"/>
                <w:lang w:eastAsia="en-US"/>
              </w:rPr>
              <w:lastRenderedPageBreak/>
              <w:t>minētās ES tiesību akta vienības tiek pārņemtas vai ieviestas pilnībā vai daļēji.</w:t>
            </w:r>
          </w:p>
          <w:p w:rsidR="001F61CF" w:rsidRPr="00DA09DA" w:rsidRDefault="001F61CF" w:rsidP="006D3F44">
            <w:pPr>
              <w:pStyle w:val="naiskr"/>
              <w:spacing w:before="0" w:after="0"/>
              <w:jc w:val="both"/>
              <w:rPr>
                <w:sz w:val="26"/>
                <w:szCs w:val="26"/>
                <w:lang w:eastAsia="en-US"/>
              </w:rPr>
            </w:pPr>
            <w:r w:rsidRPr="00DA09DA">
              <w:rPr>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rsidR="001F61CF" w:rsidRPr="00DA09DA" w:rsidRDefault="001F61CF" w:rsidP="006D3F44">
            <w:pPr>
              <w:pStyle w:val="naiskr"/>
              <w:spacing w:before="0" w:after="0"/>
              <w:jc w:val="both"/>
              <w:rPr>
                <w:sz w:val="26"/>
                <w:szCs w:val="26"/>
                <w:lang w:eastAsia="en-US"/>
              </w:rPr>
            </w:pPr>
            <w:r w:rsidRPr="00DA09DA">
              <w:rPr>
                <w:sz w:val="26"/>
                <w:szCs w:val="26"/>
                <w:lang w:eastAsia="en-US"/>
              </w:rPr>
              <w:t>Norāda institūciju, kas ir atbildīga par šo saistību izpildi pilnībā</w:t>
            </w:r>
          </w:p>
        </w:tc>
        <w:tc>
          <w:tcPr>
            <w:tcW w:w="2311" w:type="dxa"/>
            <w:hideMark/>
          </w:tcPr>
          <w:p w:rsidR="001F61CF" w:rsidRPr="00DA09DA" w:rsidRDefault="001F61CF" w:rsidP="006D3F44">
            <w:pPr>
              <w:pStyle w:val="naiskr"/>
              <w:spacing w:before="0" w:after="0"/>
              <w:jc w:val="both"/>
              <w:rPr>
                <w:sz w:val="26"/>
                <w:szCs w:val="26"/>
                <w:lang w:eastAsia="en-US"/>
              </w:rPr>
            </w:pPr>
            <w:r w:rsidRPr="00DA09DA">
              <w:rPr>
                <w:sz w:val="26"/>
                <w:szCs w:val="26"/>
                <w:lang w:eastAsia="en-US"/>
              </w:rPr>
              <w:lastRenderedPageBreak/>
              <w:t xml:space="preserve">Informācija par to, vai šīs tabulas B ailē minētās projekta vienības paredz </w:t>
            </w:r>
            <w:r w:rsidRPr="00DA09DA">
              <w:rPr>
                <w:sz w:val="26"/>
                <w:szCs w:val="26"/>
                <w:lang w:eastAsia="en-US"/>
              </w:rPr>
              <w:lastRenderedPageBreak/>
              <w:t>stingrākas prasības nekā šīs tabulas A ailē minētās ES tiesību akta vienības.</w:t>
            </w:r>
          </w:p>
          <w:p w:rsidR="001F61CF" w:rsidRPr="00DA09DA" w:rsidRDefault="001F61CF" w:rsidP="006D3F44">
            <w:pPr>
              <w:pStyle w:val="naiskr"/>
              <w:spacing w:before="0" w:after="0"/>
              <w:jc w:val="both"/>
              <w:rPr>
                <w:sz w:val="26"/>
                <w:szCs w:val="26"/>
                <w:lang w:eastAsia="en-US"/>
              </w:rPr>
            </w:pPr>
            <w:r w:rsidRPr="00DA09DA">
              <w:rPr>
                <w:sz w:val="26"/>
                <w:szCs w:val="26"/>
                <w:lang w:eastAsia="en-US"/>
              </w:rPr>
              <w:t>Ja projekts satur stingrākas prasības nekā attiecīgais ES tiesību akts, – norāda pamatojumu un samērīgumu.</w:t>
            </w:r>
          </w:p>
          <w:p w:rsidR="001F61CF" w:rsidRPr="00DA09DA" w:rsidRDefault="001F61CF" w:rsidP="006D3F44">
            <w:pPr>
              <w:pStyle w:val="naiskr"/>
              <w:spacing w:before="0" w:after="0"/>
              <w:jc w:val="both"/>
              <w:rPr>
                <w:sz w:val="26"/>
                <w:szCs w:val="26"/>
                <w:lang w:eastAsia="en-US"/>
              </w:rPr>
            </w:pPr>
            <w:r w:rsidRPr="00DA09DA">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E84992" w:rsidRPr="00DA09DA" w:rsidTr="00B35951">
        <w:tc>
          <w:tcPr>
            <w:tcW w:w="2649" w:type="dxa"/>
            <w:vAlign w:val="center"/>
            <w:hideMark/>
          </w:tcPr>
          <w:p w:rsidR="00E84992" w:rsidRPr="00DA09DA" w:rsidRDefault="00E84992" w:rsidP="006C5A75">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Regulas Nr. 651/2014 2.panta 83.punkts</w:t>
            </w:r>
          </w:p>
        </w:tc>
        <w:tc>
          <w:tcPr>
            <w:tcW w:w="2835" w:type="dxa"/>
            <w:gridSpan w:val="2"/>
            <w:vAlign w:val="center"/>
            <w:hideMark/>
          </w:tcPr>
          <w:p w:rsidR="00E84992" w:rsidRPr="00DA09DA" w:rsidRDefault="00E84992" w:rsidP="00092254">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2.1.1. un 2.2.1.apakšpunkts</w:t>
            </w:r>
          </w:p>
        </w:tc>
        <w:tc>
          <w:tcPr>
            <w:tcW w:w="1417"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hideMark/>
          </w:tcPr>
          <w:p w:rsidR="00E84992" w:rsidRPr="00DA09DA" w:rsidRDefault="00E84992" w:rsidP="006C5A75">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Komisijas Regulas Nr. 651/2014 2.panta 28.punkts</w:t>
            </w:r>
          </w:p>
        </w:tc>
        <w:tc>
          <w:tcPr>
            <w:tcW w:w="2835" w:type="dxa"/>
            <w:gridSpan w:val="2"/>
            <w:vAlign w:val="center"/>
            <w:hideMark/>
          </w:tcPr>
          <w:p w:rsidR="00E84992" w:rsidRPr="00DA09DA" w:rsidRDefault="00E84992" w:rsidP="00092254">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2.1.</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apakšpunkts</w:t>
            </w:r>
          </w:p>
        </w:tc>
        <w:tc>
          <w:tcPr>
            <w:tcW w:w="1417"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26.panta 1.punkts</w:t>
            </w:r>
          </w:p>
        </w:tc>
        <w:tc>
          <w:tcPr>
            <w:tcW w:w="2835" w:type="dxa"/>
            <w:gridSpan w:val="2"/>
            <w:vAlign w:val="center"/>
            <w:hideMark/>
          </w:tcPr>
          <w:p w:rsidR="00E84992" w:rsidRPr="00DA09DA" w:rsidRDefault="00E84992" w:rsidP="00C62DC6">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2.1.</w:t>
            </w:r>
            <w:r w:rsidRPr="00DA09DA">
              <w:rPr>
                <w:rFonts w:ascii="Times New Roman" w:eastAsia="Times New Roman" w:hAnsi="Times New Roman" w:cs="Times New Roman"/>
                <w:sz w:val="26"/>
                <w:szCs w:val="26"/>
                <w:vertAlign w:val="superscript"/>
                <w:lang w:eastAsia="lv-LV"/>
              </w:rPr>
              <w:t>2</w:t>
            </w:r>
            <w:r w:rsidRPr="00DA09DA">
              <w:rPr>
                <w:rFonts w:ascii="Times New Roman" w:eastAsia="Times New Roman" w:hAnsi="Times New Roman" w:cs="Times New Roman"/>
                <w:sz w:val="26"/>
                <w:szCs w:val="26"/>
                <w:lang w:eastAsia="lv-LV"/>
              </w:rPr>
              <w:t>apakšpunkts</w:t>
            </w:r>
          </w:p>
        </w:tc>
        <w:tc>
          <w:tcPr>
            <w:tcW w:w="1417"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hideMark/>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2.panta 24.punkts un </w:t>
            </w:r>
            <w:r w:rsidRPr="00DA09DA">
              <w:rPr>
                <w:rFonts w:ascii="Times New Roman" w:eastAsia="Times New Roman" w:hAnsi="Times New Roman" w:cs="Times New Roman"/>
                <w:sz w:val="26"/>
                <w:szCs w:val="26"/>
                <w:lang w:eastAsia="lv-LV"/>
              </w:rPr>
              <w:lastRenderedPageBreak/>
              <w:t>1.pielikums</w:t>
            </w:r>
          </w:p>
        </w:tc>
        <w:tc>
          <w:tcPr>
            <w:tcW w:w="2835" w:type="dxa"/>
            <w:gridSpan w:val="2"/>
            <w:vAlign w:val="center"/>
          </w:tcPr>
          <w:p w:rsidR="00E84992" w:rsidRPr="00DA09DA" w:rsidRDefault="00E84992" w:rsidP="009C03A0">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noteikumu Nr.987 2.3.apakšpunkts</w:t>
            </w:r>
          </w:p>
        </w:tc>
        <w:tc>
          <w:tcPr>
            <w:tcW w:w="1417" w:type="dxa"/>
            <w:vAlign w:val="center"/>
          </w:tcPr>
          <w:p w:rsidR="00E84992" w:rsidRPr="00DA09DA" w:rsidRDefault="00E84992"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B3595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Regulas Nr. 651/2014 2.panta 2.punkts</w:t>
            </w:r>
          </w:p>
        </w:tc>
        <w:tc>
          <w:tcPr>
            <w:tcW w:w="2835" w:type="dxa"/>
            <w:gridSpan w:val="2"/>
            <w:vAlign w:val="center"/>
          </w:tcPr>
          <w:p w:rsidR="00E84992" w:rsidRPr="00DA09DA" w:rsidRDefault="00E84992" w:rsidP="009C03A0">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2.4.apakšpunkts</w:t>
            </w:r>
          </w:p>
        </w:tc>
        <w:tc>
          <w:tcPr>
            <w:tcW w:w="1417" w:type="dxa"/>
            <w:vAlign w:val="center"/>
          </w:tcPr>
          <w:p w:rsidR="00E84992" w:rsidRPr="00DA09DA" w:rsidRDefault="00E84992"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4E3A5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2.panta 29.punkts</w:t>
            </w:r>
          </w:p>
        </w:tc>
        <w:tc>
          <w:tcPr>
            <w:tcW w:w="2835" w:type="dxa"/>
            <w:gridSpan w:val="2"/>
            <w:vAlign w:val="center"/>
          </w:tcPr>
          <w:p w:rsidR="00E84992" w:rsidRPr="00DA09DA" w:rsidRDefault="00E84992" w:rsidP="00250E38">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2.4.</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2.panta 30.punkts</w:t>
            </w:r>
          </w:p>
        </w:tc>
        <w:tc>
          <w:tcPr>
            <w:tcW w:w="2835" w:type="dxa"/>
            <w:gridSpan w:val="2"/>
            <w:vAlign w:val="center"/>
          </w:tcPr>
          <w:p w:rsidR="00E84992" w:rsidRPr="00DA09DA" w:rsidRDefault="00E84992" w:rsidP="00250E38">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2.4.</w:t>
            </w:r>
            <w:r w:rsidRPr="00DA09DA">
              <w:rPr>
                <w:rFonts w:ascii="Times New Roman" w:eastAsia="Times New Roman" w:hAnsi="Times New Roman" w:cs="Times New Roman"/>
                <w:sz w:val="26"/>
                <w:szCs w:val="26"/>
                <w:vertAlign w:val="superscript"/>
                <w:lang w:eastAsia="lv-LV"/>
              </w:rPr>
              <w:t>2</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E267C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5.panta 2.punkta „a” apakšpunkts</w:t>
            </w:r>
          </w:p>
        </w:tc>
        <w:tc>
          <w:tcPr>
            <w:tcW w:w="2835" w:type="dxa"/>
            <w:gridSpan w:val="2"/>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2.5.</w:t>
            </w:r>
            <w:r w:rsidRPr="00DA09DA">
              <w:rPr>
                <w:rFonts w:ascii="Times New Roman" w:eastAsia="Times New Roman" w:hAnsi="Times New Roman" w:cs="Times New Roman"/>
                <w:sz w:val="26"/>
                <w:szCs w:val="26"/>
                <w:vertAlign w:val="superscript"/>
                <w:lang w:eastAsia="lv-LV"/>
              </w:rPr>
              <w:t xml:space="preserve">1 </w:t>
            </w:r>
            <w:r w:rsidRPr="00DA09DA">
              <w:rPr>
                <w:rFonts w:ascii="Times New Roman" w:eastAsia="Times New Roman" w:hAnsi="Times New Roman" w:cs="Times New Roman"/>
                <w:sz w:val="26"/>
                <w:szCs w:val="26"/>
                <w:lang w:eastAsia="lv-LV"/>
              </w:rPr>
              <w:t xml:space="preserve">un </w:t>
            </w:r>
            <w:r w:rsidRPr="00DA09DA">
              <w:rPr>
                <w:rFonts w:ascii="Times New Roman" w:hAnsi="Times New Roman" w:cs="Times New Roman"/>
                <w:sz w:val="26"/>
                <w:szCs w:val="26"/>
              </w:rPr>
              <w:t>30.</w:t>
            </w:r>
            <w:r w:rsidRPr="00DA09DA">
              <w:rPr>
                <w:rFonts w:ascii="Times New Roman" w:hAnsi="Times New Roman" w:cs="Times New Roman"/>
                <w:sz w:val="26"/>
                <w:szCs w:val="26"/>
                <w:vertAlign w:val="superscript"/>
              </w:rPr>
              <w:t>1 </w:t>
            </w:r>
            <w:r w:rsidRPr="00DA09DA">
              <w:rPr>
                <w:rFonts w:ascii="Times New Roman" w:hAnsi="Times New Roman" w:cs="Times New Roman"/>
                <w:sz w:val="26"/>
                <w:szCs w:val="26"/>
              </w:rPr>
              <w:t>1.1. </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B3595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2.panta 91.punkts</w:t>
            </w:r>
          </w:p>
        </w:tc>
        <w:tc>
          <w:tcPr>
            <w:tcW w:w="2835" w:type="dxa"/>
            <w:gridSpan w:val="2"/>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2.5.</w:t>
            </w:r>
            <w:r w:rsidRPr="00DA09DA">
              <w:rPr>
                <w:rFonts w:ascii="Times New Roman" w:eastAsia="Times New Roman" w:hAnsi="Times New Roman" w:cs="Times New Roman"/>
                <w:sz w:val="26"/>
                <w:szCs w:val="26"/>
                <w:vertAlign w:val="superscript"/>
                <w:lang w:eastAsia="lv-LV"/>
              </w:rPr>
              <w:t>2</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760588">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1407/2013 2.panta 2.punkts</w:t>
            </w:r>
          </w:p>
        </w:tc>
        <w:tc>
          <w:tcPr>
            <w:tcW w:w="2835" w:type="dxa"/>
            <w:gridSpan w:val="2"/>
            <w:vAlign w:val="center"/>
          </w:tcPr>
          <w:p w:rsidR="00E84992" w:rsidRPr="00DA09DA" w:rsidRDefault="00E84992" w:rsidP="00A11D3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2.10.</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E0560C">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6.panta </w:t>
            </w:r>
            <w:r w:rsidR="00E0560C" w:rsidRPr="00DA09DA">
              <w:rPr>
                <w:rFonts w:ascii="Times New Roman" w:eastAsia="Times New Roman" w:hAnsi="Times New Roman" w:cs="Times New Roman"/>
                <w:sz w:val="26"/>
                <w:szCs w:val="26"/>
                <w:lang w:eastAsia="lv-LV"/>
              </w:rPr>
              <w:t xml:space="preserve">2. un </w:t>
            </w:r>
            <w:r w:rsidRPr="00DA09DA">
              <w:rPr>
                <w:rFonts w:ascii="Times New Roman" w:eastAsia="Times New Roman" w:hAnsi="Times New Roman" w:cs="Times New Roman"/>
                <w:sz w:val="26"/>
                <w:szCs w:val="26"/>
                <w:lang w:eastAsia="lv-LV"/>
              </w:rPr>
              <w:t xml:space="preserve">3.punkts </w:t>
            </w:r>
          </w:p>
        </w:tc>
        <w:tc>
          <w:tcPr>
            <w:tcW w:w="2835" w:type="dxa"/>
            <w:gridSpan w:val="2"/>
            <w:vAlign w:val="center"/>
          </w:tcPr>
          <w:p w:rsidR="00E84992" w:rsidRPr="00DA09DA" w:rsidRDefault="00E84992" w:rsidP="00A11D3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13.5.apakšpunkts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845EA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9.panta 1. un 4.punkts</w:t>
            </w:r>
            <w:r w:rsidR="009B05D8" w:rsidRPr="00DA09DA">
              <w:rPr>
                <w:rFonts w:ascii="Times New Roman" w:eastAsia="Times New Roman" w:hAnsi="Times New Roman" w:cs="Times New Roman"/>
                <w:sz w:val="26"/>
                <w:szCs w:val="26"/>
                <w:lang w:eastAsia="lv-LV"/>
              </w:rPr>
              <w:t>, II un III pielikums</w:t>
            </w:r>
            <w:r w:rsidRPr="00DA09DA">
              <w:rPr>
                <w:rFonts w:ascii="Times New Roman" w:eastAsia="Times New Roman" w:hAnsi="Times New Roman" w:cs="Times New Roman"/>
                <w:sz w:val="26"/>
                <w:szCs w:val="26"/>
                <w:lang w:eastAsia="lv-LV"/>
              </w:rPr>
              <w:t xml:space="preserve"> </w:t>
            </w:r>
          </w:p>
        </w:tc>
        <w:tc>
          <w:tcPr>
            <w:tcW w:w="2835" w:type="dxa"/>
            <w:gridSpan w:val="2"/>
            <w:vAlign w:val="center"/>
          </w:tcPr>
          <w:p w:rsidR="00E84992" w:rsidRPr="00DA09DA" w:rsidRDefault="00E84992" w:rsidP="00A11D3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13.6.apakšpunkts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A74E17">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11.pants</w:t>
            </w:r>
          </w:p>
        </w:tc>
        <w:tc>
          <w:tcPr>
            <w:tcW w:w="2835" w:type="dxa"/>
            <w:gridSpan w:val="2"/>
            <w:vAlign w:val="center"/>
          </w:tcPr>
          <w:p w:rsidR="00E84992" w:rsidRPr="00DA09DA" w:rsidRDefault="00E84992" w:rsidP="003B51C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13.</w:t>
            </w:r>
            <w:r w:rsidR="003B51CA" w:rsidRPr="00DA09DA">
              <w:rPr>
                <w:rFonts w:ascii="Times New Roman" w:eastAsia="Times New Roman" w:hAnsi="Times New Roman" w:cs="Times New Roman"/>
                <w:sz w:val="26"/>
                <w:szCs w:val="26"/>
                <w:lang w:eastAsia="lv-LV"/>
              </w:rPr>
              <w:t>7</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845EAD">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1407/2013 3.panta 2.punkts</w:t>
            </w:r>
          </w:p>
        </w:tc>
        <w:tc>
          <w:tcPr>
            <w:tcW w:w="2835" w:type="dxa"/>
            <w:gridSpan w:val="2"/>
            <w:vAlign w:val="center"/>
          </w:tcPr>
          <w:p w:rsidR="00E84992" w:rsidRPr="00DA09DA" w:rsidRDefault="00E84992" w:rsidP="00A11D3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noteikumu Nr.987 </w:t>
            </w:r>
            <w:r w:rsidR="001539B0" w:rsidRPr="00DA09DA">
              <w:rPr>
                <w:rFonts w:ascii="Times New Roman" w:eastAsia="Times New Roman" w:hAnsi="Times New Roman" w:cs="Times New Roman"/>
                <w:sz w:val="26"/>
                <w:szCs w:val="26"/>
                <w:lang w:eastAsia="lv-LV"/>
              </w:rPr>
              <w:t xml:space="preserve">13.8., </w:t>
            </w:r>
            <w:r w:rsidRPr="00DA09DA">
              <w:rPr>
                <w:rFonts w:ascii="Times New Roman" w:eastAsia="Times New Roman" w:hAnsi="Times New Roman" w:cs="Times New Roman"/>
                <w:sz w:val="26"/>
                <w:szCs w:val="26"/>
                <w:lang w:eastAsia="lv-LV"/>
              </w:rPr>
              <w:t>14.2.apakšpunkts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630F31">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1.panta 2.punkts</w:t>
            </w:r>
            <w:r w:rsidR="00630F31" w:rsidRPr="00DA09DA">
              <w:rPr>
                <w:rFonts w:ascii="Times New Roman" w:eastAsia="Times New Roman" w:hAnsi="Times New Roman" w:cs="Times New Roman"/>
                <w:sz w:val="26"/>
                <w:szCs w:val="26"/>
                <w:lang w:eastAsia="lv-LV"/>
              </w:rPr>
              <w:t>,</w:t>
            </w:r>
            <w:r w:rsidR="009B47E8" w:rsidRPr="00DA09DA">
              <w:rPr>
                <w:rFonts w:ascii="Times New Roman" w:eastAsia="Times New Roman" w:hAnsi="Times New Roman" w:cs="Times New Roman"/>
                <w:sz w:val="26"/>
                <w:szCs w:val="26"/>
                <w:lang w:eastAsia="lv-LV"/>
              </w:rPr>
              <w:t xml:space="preserve"> </w:t>
            </w:r>
            <w:r w:rsidR="009B47E8" w:rsidRPr="00DA09DA">
              <w:rPr>
                <w:rFonts w:ascii="Times New Roman" w:eastAsia="Calibri" w:hAnsi="Times New Roman" w:cs="Times New Roman"/>
                <w:sz w:val="26"/>
                <w:szCs w:val="26"/>
              </w:rPr>
              <w:t xml:space="preserve">3.punkta </w:t>
            </w:r>
            <w:r w:rsidR="009B47E8" w:rsidRPr="00DA09DA">
              <w:rPr>
                <w:rFonts w:ascii="Times New Roman" w:hAnsi="Times New Roman" w:cs="Times New Roman"/>
                <w:sz w:val="26"/>
                <w:szCs w:val="26"/>
              </w:rPr>
              <w:t>"c" un "d" apakšpunkts</w:t>
            </w:r>
          </w:p>
        </w:tc>
        <w:tc>
          <w:tcPr>
            <w:tcW w:w="2835" w:type="dxa"/>
            <w:gridSpan w:val="2"/>
            <w:vAlign w:val="center"/>
          </w:tcPr>
          <w:p w:rsidR="00E84992" w:rsidRPr="00DA09DA" w:rsidRDefault="00E84992" w:rsidP="00EA335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14.16. un 30.</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 xml:space="preserve">2.apakšpunkts </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ED09D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26.panta 7.punkts </w:t>
            </w:r>
          </w:p>
        </w:tc>
        <w:tc>
          <w:tcPr>
            <w:tcW w:w="2835" w:type="dxa"/>
            <w:gridSpan w:val="2"/>
            <w:vAlign w:val="center"/>
          </w:tcPr>
          <w:p w:rsidR="00E84992" w:rsidRPr="00DA09DA" w:rsidRDefault="00E84992" w:rsidP="000324E8">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14.</w:t>
            </w:r>
            <w:r w:rsidR="000324E8" w:rsidRPr="00DA09DA">
              <w:rPr>
                <w:rFonts w:ascii="Times New Roman" w:eastAsia="Times New Roman" w:hAnsi="Times New Roman" w:cs="Times New Roman"/>
                <w:sz w:val="26"/>
                <w:szCs w:val="26"/>
                <w:lang w:eastAsia="lv-LV"/>
              </w:rPr>
              <w:t>21</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ED09D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2.panta 18.punkts</w:t>
            </w:r>
          </w:p>
        </w:tc>
        <w:tc>
          <w:tcPr>
            <w:tcW w:w="2835" w:type="dxa"/>
            <w:gridSpan w:val="2"/>
            <w:vAlign w:val="center"/>
          </w:tcPr>
          <w:p w:rsidR="00E84992" w:rsidRPr="00DA09DA" w:rsidRDefault="00E84992" w:rsidP="00295E45">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17.5.apakšpunkts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242BF6">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1.panta 4.punkta „</w:t>
            </w:r>
            <w:proofErr w:type="spellStart"/>
            <w:r w:rsidRPr="00DA09DA">
              <w:rPr>
                <w:rFonts w:ascii="Times New Roman" w:eastAsia="Times New Roman" w:hAnsi="Times New Roman" w:cs="Times New Roman"/>
                <w:sz w:val="26"/>
                <w:szCs w:val="26"/>
                <w:lang w:eastAsia="lv-LV"/>
              </w:rPr>
              <w:t>c”apakšpunkts</w:t>
            </w:r>
            <w:proofErr w:type="spellEnd"/>
          </w:p>
        </w:tc>
        <w:tc>
          <w:tcPr>
            <w:tcW w:w="2835" w:type="dxa"/>
            <w:gridSpan w:val="2"/>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17.5.apakšpunkts</w:t>
            </w:r>
          </w:p>
        </w:tc>
        <w:tc>
          <w:tcPr>
            <w:tcW w:w="1417"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651/2014. 1.panta 4.punkta "a" apakšpunkts</w:t>
            </w:r>
          </w:p>
        </w:tc>
        <w:tc>
          <w:tcPr>
            <w:tcW w:w="2835" w:type="dxa"/>
            <w:gridSpan w:val="2"/>
            <w:vAlign w:val="center"/>
          </w:tcPr>
          <w:p w:rsidR="00E84992" w:rsidRPr="00DA09DA" w:rsidRDefault="00E84992" w:rsidP="00627E07">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17.6.apakšpunkts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6.panta 2. un 3.punkts </w:t>
            </w:r>
          </w:p>
        </w:tc>
        <w:tc>
          <w:tcPr>
            <w:tcW w:w="2835" w:type="dxa"/>
            <w:gridSpan w:val="2"/>
            <w:vAlign w:val="center"/>
          </w:tcPr>
          <w:p w:rsidR="00E84992" w:rsidRPr="00DA09DA" w:rsidRDefault="00E84992" w:rsidP="005B31AC">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30.</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1.2.apakšpunkts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1662F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Regulas Nr. 651/2014 1.panta 2.</w:t>
            </w:r>
            <w:r w:rsidR="001662FF" w:rsidRPr="00DA09DA">
              <w:rPr>
                <w:rFonts w:ascii="Times New Roman" w:eastAsia="Times New Roman" w:hAnsi="Times New Roman" w:cs="Times New Roman"/>
                <w:sz w:val="26"/>
                <w:szCs w:val="26"/>
                <w:lang w:eastAsia="lv-LV"/>
              </w:rPr>
              <w:t>p</w:t>
            </w:r>
            <w:r w:rsidRPr="00DA09DA">
              <w:rPr>
                <w:rFonts w:ascii="Times New Roman" w:eastAsia="Times New Roman" w:hAnsi="Times New Roman" w:cs="Times New Roman"/>
                <w:sz w:val="26"/>
                <w:szCs w:val="26"/>
                <w:lang w:eastAsia="lv-LV"/>
              </w:rPr>
              <w:t>unkts un 3.punkta „c” un „</w:t>
            </w:r>
            <w:proofErr w:type="spellStart"/>
            <w:r w:rsidRPr="00DA09DA">
              <w:rPr>
                <w:rFonts w:ascii="Times New Roman" w:eastAsia="Times New Roman" w:hAnsi="Times New Roman" w:cs="Times New Roman"/>
                <w:sz w:val="26"/>
                <w:szCs w:val="26"/>
                <w:lang w:eastAsia="lv-LV"/>
              </w:rPr>
              <w:t>d”apakšpunkts</w:t>
            </w:r>
            <w:proofErr w:type="spellEnd"/>
          </w:p>
        </w:tc>
        <w:tc>
          <w:tcPr>
            <w:tcW w:w="2835" w:type="dxa"/>
            <w:gridSpan w:val="2"/>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30.</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2.apakšpunkts</w:t>
            </w:r>
          </w:p>
        </w:tc>
        <w:tc>
          <w:tcPr>
            <w:tcW w:w="1417"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C04583">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CD3B4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26.panta 2., 3 un 4.punkts </w:t>
            </w:r>
          </w:p>
        </w:tc>
        <w:tc>
          <w:tcPr>
            <w:tcW w:w="2835" w:type="dxa"/>
            <w:gridSpan w:val="2"/>
            <w:vAlign w:val="center"/>
          </w:tcPr>
          <w:p w:rsidR="00E84992" w:rsidRPr="00DA09DA" w:rsidRDefault="00E84992" w:rsidP="00CD3B4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30.</w:t>
            </w:r>
            <w:r w:rsidRPr="00DA09DA">
              <w:rPr>
                <w:rFonts w:ascii="Times New Roman" w:eastAsia="Times New Roman" w:hAnsi="Times New Roman" w:cs="Times New Roman"/>
                <w:sz w:val="26"/>
                <w:szCs w:val="26"/>
                <w:vertAlign w:val="superscript"/>
                <w:lang w:eastAsia="lv-LV"/>
              </w:rPr>
              <w:t>1</w:t>
            </w:r>
            <w:r w:rsidRPr="00DA09DA">
              <w:rPr>
                <w:rFonts w:ascii="Times New Roman" w:eastAsia="Times New Roman" w:hAnsi="Times New Roman" w:cs="Times New Roman"/>
                <w:sz w:val="26"/>
                <w:szCs w:val="26"/>
                <w:lang w:eastAsia="lv-LV"/>
              </w:rPr>
              <w:t>3.apakšpunkts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ED282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26.pants </w:t>
            </w:r>
          </w:p>
        </w:tc>
        <w:tc>
          <w:tcPr>
            <w:tcW w:w="2835" w:type="dxa"/>
            <w:gridSpan w:val="2"/>
            <w:vAlign w:val="center"/>
          </w:tcPr>
          <w:p w:rsidR="00E84992" w:rsidRPr="00DA09DA" w:rsidRDefault="00E84992" w:rsidP="00CD3B4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31.2.2.</w:t>
            </w:r>
            <w:r w:rsidR="00A24871" w:rsidRPr="00DA09DA">
              <w:rPr>
                <w:rFonts w:ascii="Times New Roman" w:eastAsia="Times New Roman" w:hAnsi="Times New Roman" w:cs="Times New Roman"/>
                <w:sz w:val="26"/>
                <w:szCs w:val="26"/>
                <w:lang w:eastAsia="lv-LV"/>
              </w:rPr>
              <w:t>, 39.17.</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1407/2013 3.panta 2.punkts</w:t>
            </w:r>
          </w:p>
        </w:tc>
        <w:tc>
          <w:tcPr>
            <w:tcW w:w="2835" w:type="dxa"/>
            <w:gridSpan w:val="2"/>
            <w:vAlign w:val="center"/>
          </w:tcPr>
          <w:p w:rsidR="00E84992" w:rsidRPr="00DA09DA" w:rsidRDefault="00E84992" w:rsidP="00EA70F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31.3.2.</w:t>
            </w:r>
            <w:r w:rsidR="00A24871" w:rsidRPr="00DA09DA">
              <w:rPr>
                <w:rFonts w:ascii="Times New Roman" w:eastAsia="Times New Roman" w:hAnsi="Times New Roman" w:cs="Times New Roman"/>
                <w:sz w:val="26"/>
                <w:szCs w:val="26"/>
                <w:lang w:eastAsia="lv-LV"/>
              </w:rPr>
              <w:t xml:space="preserve"> </w:t>
            </w:r>
            <w:r w:rsidRPr="00DA09DA">
              <w:rPr>
                <w:rFonts w:ascii="Times New Roman" w:eastAsia="Times New Roman" w:hAnsi="Times New Roman" w:cs="Times New Roman"/>
                <w:sz w:val="26"/>
                <w:szCs w:val="26"/>
                <w:lang w:eastAsia="lv-LV"/>
              </w:rPr>
              <w:t>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rPr>
          <w:trHeight w:val="223"/>
        </w:trPr>
        <w:tc>
          <w:tcPr>
            <w:tcW w:w="2649" w:type="dxa"/>
            <w:vAlign w:val="center"/>
          </w:tcPr>
          <w:p w:rsidR="00E84992" w:rsidRPr="00DA09DA" w:rsidRDefault="00E84992" w:rsidP="00BA0E76">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1407/2013 1.panta 1.punkts</w:t>
            </w:r>
          </w:p>
        </w:tc>
        <w:tc>
          <w:tcPr>
            <w:tcW w:w="2835" w:type="dxa"/>
            <w:gridSpan w:val="2"/>
            <w:vAlign w:val="center"/>
          </w:tcPr>
          <w:p w:rsidR="00E84992" w:rsidRPr="00DA09DA" w:rsidRDefault="00E84992" w:rsidP="002A1228">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14.16. un 31.3.3.apakšpunkts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rPr>
          <w:trHeight w:val="223"/>
        </w:trPr>
        <w:tc>
          <w:tcPr>
            <w:tcW w:w="2649"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26.panta 6.punkts </w:t>
            </w:r>
          </w:p>
        </w:tc>
        <w:tc>
          <w:tcPr>
            <w:tcW w:w="2835" w:type="dxa"/>
            <w:gridSpan w:val="2"/>
            <w:vAlign w:val="center"/>
          </w:tcPr>
          <w:p w:rsidR="00E84992" w:rsidRPr="00DA09DA" w:rsidRDefault="00E84992" w:rsidP="006A4B8E">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31.4.1.apakšpunkts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rPr>
          <w:trHeight w:val="223"/>
        </w:trPr>
        <w:tc>
          <w:tcPr>
            <w:tcW w:w="2649" w:type="dxa"/>
            <w:vAlign w:val="center"/>
          </w:tcPr>
          <w:p w:rsidR="00E84992" w:rsidRPr="00DA09DA" w:rsidRDefault="00E84992" w:rsidP="00DF637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Regulas Nr. 1407/2013 4.panta 1.punkta „j” apakšpunkts</w:t>
            </w:r>
          </w:p>
        </w:tc>
        <w:tc>
          <w:tcPr>
            <w:tcW w:w="2835" w:type="dxa"/>
            <w:gridSpan w:val="2"/>
            <w:vAlign w:val="center"/>
          </w:tcPr>
          <w:p w:rsidR="00E84992" w:rsidRPr="00DA09DA" w:rsidRDefault="00E84992" w:rsidP="00A7266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31.4.2.apakšpunkts</w:t>
            </w:r>
          </w:p>
        </w:tc>
        <w:tc>
          <w:tcPr>
            <w:tcW w:w="1417"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680232">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4A698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26.panta 5.punkts </w:t>
            </w:r>
          </w:p>
        </w:tc>
        <w:tc>
          <w:tcPr>
            <w:tcW w:w="2835" w:type="dxa"/>
            <w:gridSpan w:val="2"/>
            <w:vAlign w:val="center"/>
          </w:tcPr>
          <w:p w:rsidR="00E84992" w:rsidRPr="00DA09DA" w:rsidRDefault="00E84992" w:rsidP="00564C4B">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noteikumu Nr.987 </w:t>
            </w:r>
            <w:r w:rsidRPr="00DA09DA">
              <w:rPr>
                <w:rFonts w:ascii="Times New Roman" w:hAnsi="Times New Roman" w:cs="Times New Roman"/>
                <w:sz w:val="26"/>
                <w:szCs w:val="26"/>
              </w:rPr>
              <w:t>36.</w:t>
            </w:r>
            <w:r w:rsidRPr="00DA09DA">
              <w:rPr>
                <w:rFonts w:ascii="Times New Roman" w:hAnsi="Times New Roman" w:cs="Times New Roman"/>
                <w:sz w:val="26"/>
                <w:szCs w:val="26"/>
                <w:vertAlign w:val="superscript"/>
              </w:rPr>
              <w:t>1</w:t>
            </w:r>
            <w:r w:rsidRPr="00DA09DA">
              <w:rPr>
                <w:rFonts w:ascii="Times New Roman" w:hAnsi="Times New Roman" w:cs="Times New Roman"/>
                <w:sz w:val="26"/>
                <w:szCs w:val="26"/>
              </w:rPr>
              <w:t>1.  un 36.</w:t>
            </w:r>
            <w:r w:rsidRPr="00DA09DA">
              <w:rPr>
                <w:rFonts w:ascii="Times New Roman" w:hAnsi="Times New Roman" w:cs="Times New Roman"/>
                <w:sz w:val="26"/>
                <w:szCs w:val="26"/>
                <w:vertAlign w:val="superscript"/>
              </w:rPr>
              <w:t>1</w:t>
            </w:r>
            <w:r w:rsidRPr="00DA09DA">
              <w:rPr>
                <w:rFonts w:ascii="Times New Roman" w:hAnsi="Times New Roman" w:cs="Times New Roman"/>
                <w:sz w:val="26"/>
                <w:szCs w:val="26"/>
              </w:rPr>
              <w:t>2. apakšpunkts</w:t>
            </w:r>
          </w:p>
        </w:tc>
        <w:tc>
          <w:tcPr>
            <w:tcW w:w="1417"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B361F9">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B35951">
        <w:tc>
          <w:tcPr>
            <w:tcW w:w="2649" w:type="dxa"/>
            <w:vAlign w:val="center"/>
          </w:tcPr>
          <w:p w:rsidR="00E84992" w:rsidRPr="00DA09DA" w:rsidRDefault="00E84992" w:rsidP="00C714E0">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Regulas Nr. 651/2014 12.pants </w:t>
            </w:r>
          </w:p>
        </w:tc>
        <w:tc>
          <w:tcPr>
            <w:tcW w:w="2835" w:type="dxa"/>
            <w:gridSpan w:val="2"/>
            <w:vAlign w:val="center"/>
          </w:tcPr>
          <w:p w:rsidR="00E84992" w:rsidRPr="00DA09DA" w:rsidRDefault="00E84992" w:rsidP="004A698F">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noteikumu Nr.987 53.punkts</w:t>
            </w:r>
          </w:p>
        </w:tc>
        <w:tc>
          <w:tcPr>
            <w:tcW w:w="1417" w:type="dxa"/>
            <w:vAlign w:val="center"/>
          </w:tcPr>
          <w:p w:rsidR="00E84992" w:rsidRPr="00DA09DA" w:rsidRDefault="00E84992" w:rsidP="000C687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ieviesta pilnībā</w:t>
            </w:r>
          </w:p>
        </w:tc>
        <w:tc>
          <w:tcPr>
            <w:tcW w:w="2311" w:type="dxa"/>
            <w:vAlign w:val="center"/>
          </w:tcPr>
          <w:p w:rsidR="00E84992" w:rsidRPr="00DA09DA" w:rsidRDefault="00E84992" w:rsidP="000C687A">
            <w:pPr>
              <w:spacing w:before="10" w:after="0" w:line="240" w:lineRule="auto"/>
              <w:ind w:left="113" w:right="113"/>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neparedz stingrākas prasības</w:t>
            </w:r>
          </w:p>
        </w:tc>
      </w:tr>
      <w:tr w:rsidR="00E84992" w:rsidRPr="00DA09DA" w:rsidTr="00482376">
        <w:trPr>
          <w:trHeight w:val="1386"/>
        </w:trPr>
        <w:tc>
          <w:tcPr>
            <w:tcW w:w="2848" w:type="dxa"/>
            <w:gridSpan w:val="2"/>
            <w:vAlign w:val="center"/>
            <w:hideMark/>
          </w:tcPr>
          <w:p w:rsidR="00E84992" w:rsidRPr="00DA09DA" w:rsidRDefault="00E84992"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364" w:type="dxa"/>
            <w:gridSpan w:val="3"/>
            <w:hideMark/>
          </w:tcPr>
          <w:p w:rsidR="00E84992" w:rsidRPr="00DA09DA" w:rsidRDefault="00E84992"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Nav attiecināms.</w:t>
            </w:r>
          </w:p>
        </w:tc>
      </w:tr>
      <w:tr w:rsidR="00E84992" w:rsidRPr="00DA09DA" w:rsidTr="00482376">
        <w:trPr>
          <w:trHeight w:val="2934"/>
        </w:trPr>
        <w:tc>
          <w:tcPr>
            <w:tcW w:w="2848" w:type="dxa"/>
            <w:gridSpan w:val="2"/>
            <w:vAlign w:val="center"/>
            <w:hideMark/>
          </w:tcPr>
          <w:p w:rsidR="00E84992" w:rsidRPr="00DA09DA" w:rsidRDefault="00E84992"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64" w:type="dxa"/>
            <w:gridSpan w:val="3"/>
            <w:hideMark/>
          </w:tcPr>
          <w:p w:rsidR="00E84992" w:rsidRPr="00DA09DA" w:rsidRDefault="00E84992" w:rsidP="006D3F44">
            <w:pPr>
              <w:spacing w:line="240" w:lineRule="auto"/>
              <w:jc w:val="both"/>
              <w:rPr>
                <w:rFonts w:ascii="Times New Roman" w:hAnsi="Times New Roman" w:cs="Times New Roman"/>
                <w:sz w:val="26"/>
                <w:szCs w:val="26"/>
              </w:rPr>
            </w:pPr>
            <w:r w:rsidRPr="00DA09DA">
              <w:rPr>
                <w:rFonts w:ascii="Times New Roman" w:hAnsi="Times New Roman" w:cs="Times New Roman"/>
                <w:sz w:val="26"/>
                <w:szCs w:val="26"/>
              </w:rPr>
              <w:t>Saskaņā ar Regulas Nr. 651/2014 9.pantu ir jāsagatavo un visaptverošā valsts vai reģionāla līmeņa valsts atbalsta tīmekļa vietnē jāpublicē kopsavilkuma informācija par atbalsta programmas grozījumiem.</w:t>
            </w:r>
          </w:p>
          <w:p w:rsidR="00E84992" w:rsidRPr="00DA09DA" w:rsidRDefault="00E84992" w:rsidP="00790622">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Saskaņā ar Komisijas Regulas Nr. 651/2014 11.pantu Eiropas Komisijai 20 darba dienu laikā ir jānosūta kopsavilkuma informācija par atbalsta pasākumu.</w:t>
            </w:r>
          </w:p>
        </w:tc>
      </w:tr>
      <w:tr w:rsidR="00E84992" w:rsidRPr="00DA09DA" w:rsidTr="00C47016">
        <w:tc>
          <w:tcPr>
            <w:tcW w:w="2848" w:type="dxa"/>
            <w:gridSpan w:val="2"/>
            <w:hideMark/>
          </w:tcPr>
          <w:p w:rsidR="00E84992" w:rsidRPr="00DA09DA" w:rsidRDefault="00E84992" w:rsidP="006D3F44">
            <w:pPr>
              <w:spacing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 informācija</w:t>
            </w:r>
          </w:p>
        </w:tc>
        <w:tc>
          <w:tcPr>
            <w:tcW w:w="6364" w:type="dxa"/>
            <w:gridSpan w:val="3"/>
            <w:hideMark/>
          </w:tcPr>
          <w:p w:rsidR="00E84992" w:rsidRPr="00DA09DA" w:rsidRDefault="00214412" w:rsidP="00005653">
            <w:pPr>
              <w:spacing w:line="240" w:lineRule="auto"/>
              <w:jc w:val="both"/>
              <w:rPr>
                <w:rFonts w:ascii="Times New Roman" w:hAnsi="Times New Roman" w:cs="Times New Roman"/>
                <w:sz w:val="26"/>
                <w:szCs w:val="26"/>
              </w:rPr>
            </w:pPr>
            <w:r w:rsidRPr="00DA09DA">
              <w:rPr>
                <w:rFonts w:ascii="Times New Roman" w:hAnsi="Times New Roman" w:cs="Times New Roman"/>
                <w:sz w:val="26"/>
                <w:szCs w:val="26"/>
              </w:rPr>
              <w:t>Nav</w:t>
            </w:r>
          </w:p>
        </w:tc>
      </w:tr>
    </w:tbl>
    <w:p w:rsidR="008417D5" w:rsidRPr="00DA09DA" w:rsidRDefault="008417D5">
      <w:pPr>
        <w:rPr>
          <w:rFonts w:ascii="Times New Roman" w:hAnsi="Times New Roman" w:cs="Times New Roman"/>
          <w:sz w:val="26"/>
          <w:szCs w:val="26"/>
        </w:rPr>
      </w:pPr>
    </w:p>
    <w:p w:rsidR="00AD014F" w:rsidRPr="00DA09DA" w:rsidRDefault="00AD014F" w:rsidP="00AD014F">
      <w:pPr>
        <w:spacing w:after="0" w:line="240" w:lineRule="auto"/>
        <w:rPr>
          <w:rFonts w:ascii="Times New Roman" w:hAnsi="Times New Roman" w:cs="Times New Roman"/>
          <w:i/>
          <w:iCs/>
          <w:color w:val="414142"/>
          <w:sz w:val="26"/>
          <w:szCs w:val="26"/>
        </w:rPr>
      </w:pPr>
      <w:r w:rsidRPr="00DA09DA">
        <w:rPr>
          <w:rFonts w:ascii="Times New Roman" w:hAnsi="Times New Roman" w:cs="Times New Roman"/>
          <w:i/>
          <w:iCs/>
          <w:color w:val="414142"/>
          <w:sz w:val="26"/>
          <w:szCs w:val="26"/>
        </w:rPr>
        <w:t>Anotācijas VI sadaļa – projekts š</w:t>
      </w:r>
      <w:r w:rsidR="00BD0AB0" w:rsidRPr="00DA09DA">
        <w:rPr>
          <w:rFonts w:ascii="Times New Roman" w:hAnsi="Times New Roman" w:cs="Times New Roman"/>
          <w:i/>
          <w:iCs/>
          <w:color w:val="414142"/>
          <w:sz w:val="26"/>
          <w:szCs w:val="26"/>
        </w:rPr>
        <w:t>o jomu</w:t>
      </w:r>
      <w:r w:rsidRPr="00DA09DA">
        <w:rPr>
          <w:rFonts w:ascii="Times New Roman" w:hAnsi="Times New Roman" w:cs="Times New Roman"/>
          <w:i/>
          <w:iCs/>
          <w:color w:val="414142"/>
          <w:sz w:val="26"/>
          <w:szCs w:val="26"/>
        </w:rPr>
        <w:t xml:space="preserve"> neskar.</w:t>
      </w:r>
    </w:p>
    <w:p w:rsidR="00AD014F" w:rsidRPr="00DA09DA" w:rsidRDefault="00AD014F" w:rsidP="00AD014F">
      <w:pPr>
        <w:spacing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6"/>
        <w:gridCol w:w="3384"/>
        <w:gridCol w:w="5367"/>
      </w:tblGrid>
      <w:tr w:rsidR="00533730" w:rsidRPr="00DA09DA"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A09DA"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DA09DA">
              <w:rPr>
                <w:rFonts w:ascii="Times New Roman" w:eastAsia="Times New Roman" w:hAnsi="Times New Roman" w:cs="Times New Roman"/>
                <w:b/>
                <w:bCs/>
                <w:sz w:val="26"/>
                <w:szCs w:val="26"/>
                <w:lang w:eastAsia="lv-LV"/>
              </w:rPr>
              <w:t>VII. Tiesību akta projekta izpildes nodrošināšana un tās ietekme uz institūcijām</w:t>
            </w:r>
          </w:p>
        </w:tc>
      </w:tr>
      <w:tr w:rsidR="000064B9" w:rsidRPr="00DA09DA"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A1555D">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Projekta izpildi nodrošinās </w:t>
            </w:r>
            <w:r w:rsidR="00A1555D" w:rsidRPr="00DA09DA">
              <w:rPr>
                <w:rFonts w:ascii="Times New Roman" w:eastAsia="Times New Roman" w:hAnsi="Times New Roman" w:cs="Times New Roman"/>
                <w:sz w:val="26"/>
                <w:szCs w:val="26"/>
                <w:lang w:eastAsia="lv-LV"/>
              </w:rPr>
              <w:t xml:space="preserve">Izglītības un </w:t>
            </w:r>
            <w:r w:rsidR="00F926D3" w:rsidRPr="00DA09DA">
              <w:rPr>
                <w:rFonts w:ascii="Times New Roman" w:eastAsia="Times New Roman" w:hAnsi="Times New Roman" w:cs="Times New Roman"/>
                <w:sz w:val="26"/>
                <w:szCs w:val="26"/>
                <w:lang w:eastAsia="lv-LV"/>
              </w:rPr>
              <w:t>zinātnes ministrija</w:t>
            </w:r>
            <w:r w:rsidRPr="00DA09DA">
              <w:rPr>
                <w:rFonts w:ascii="Times New Roman" w:eastAsia="Times New Roman" w:hAnsi="Times New Roman" w:cs="Times New Roman"/>
                <w:sz w:val="26"/>
                <w:szCs w:val="26"/>
                <w:lang w:eastAsia="lv-LV"/>
              </w:rPr>
              <w:t>, sadarbības iestāde un labuma guvēji.</w:t>
            </w:r>
          </w:p>
        </w:tc>
      </w:tr>
      <w:tr w:rsidR="000064B9" w:rsidRPr="00DA09DA"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Projekta izpildes ietekme uz pārvaldes funkcijām un institucionālo struktūru. </w:t>
            </w:r>
          </w:p>
          <w:p w:rsidR="000064B9" w:rsidRPr="00DA09DA" w:rsidRDefault="000064B9" w:rsidP="00AB6B1E">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rsidR="000064B9" w:rsidRPr="00DA09DA" w:rsidRDefault="000064B9" w:rsidP="00A1555D">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 xml:space="preserve">Projekta izpilde tiks nodrošināta </w:t>
            </w:r>
            <w:r w:rsidR="00A1555D" w:rsidRPr="00DA09DA">
              <w:rPr>
                <w:rFonts w:ascii="Times New Roman" w:eastAsia="Times New Roman" w:hAnsi="Times New Roman" w:cs="Times New Roman"/>
                <w:sz w:val="26"/>
                <w:szCs w:val="26"/>
                <w:lang w:eastAsia="lv-LV"/>
              </w:rPr>
              <w:t>Izglītības un zinātnes ministrija</w:t>
            </w:r>
            <w:r w:rsidR="00F23364" w:rsidRPr="00DA09DA">
              <w:rPr>
                <w:rFonts w:ascii="Times New Roman" w:eastAsia="Times New Roman" w:hAnsi="Times New Roman" w:cs="Times New Roman"/>
                <w:sz w:val="26"/>
                <w:szCs w:val="26"/>
                <w:lang w:eastAsia="lv-LV"/>
              </w:rPr>
              <w:t>s</w:t>
            </w:r>
            <w:r w:rsidR="00A1555D" w:rsidRPr="00DA09DA">
              <w:rPr>
                <w:rFonts w:ascii="Times New Roman" w:eastAsia="Times New Roman" w:hAnsi="Times New Roman" w:cs="Times New Roman"/>
                <w:sz w:val="26"/>
                <w:szCs w:val="26"/>
                <w:lang w:eastAsia="lv-LV"/>
              </w:rPr>
              <w:t xml:space="preserve"> </w:t>
            </w:r>
            <w:r w:rsidRPr="00DA09DA">
              <w:rPr>
                <w:rFonts w:ascii="Times New Roman" w:eastAsia="Times New Roman" w:hAnsi="Times New Roman" w:cs="Times New Roman"/>
                <w:sz w:val="26"/>
                <w:szCs w:val="26"/>
                <w:lang w:eastAsia="lv-LV"/>
              </w:rPr>
              <w:t>un sadarbības iestādes funkciju ietvaros.</w:t>
            </w:r>
          </w:p>
          <w:p w:rsidR="00DC3B1C" w:rsidRPr="00DA09DA" w:rsidRDefault="00DC3B1C" w:rsidP="00A1555D">
            <w:pPr>
              <w:spacing w:after="0" w:line="240" w:lineRule="auto"/>
              <w:jc w:val="both"/>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Jaunu institūciju izveide, esošu institūciju likvidācija vai reorganizācija nav paredzēta.</w:t>
            </w:r>
          </w:p>
        </w:tc>
      </w:tr>
      <w:tr w:rsidR="004D15A9" w:rsidRPr="00DA09DA"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rsidR="004D15A9" w:rsidRPr="00DA09DA" w:rsidRDefault="004D15A9" w:rsidP="00DA596D">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rsidR="004D15A9" w:rsidRPr="00DA09DA" w:rsidRDefault="004D15A9" w:rsidP="0079544E">
            <w:pPr>
              <w:spacing w:after="0" w:line="240" w:lineRule="auto"/>
              <w:rPr>
                <w:rFonts w:ascii="Times New Roman" w:eastAsia="Times New Roman" w:hAnsi="Times New Roman" w:cs="Times New Roman"/>
                <w:sz w:val="26"/>
                <w:szCs w:val="26"/>
                <w:lang w:eastAsia="lv-LV"/>
              </w:rPr>
            </w:pPr>
            <w:r w:rsidRPr="00DA09DA">
              <w:rPr>
                <w:rFonts w:ascii="Times New Roman" w:eastAsia="Times New Roman" w:hAnsi="Times New Roman" w:cs="Times New Roman"/>
                <w:sz w:val="26"/>
                <w:szCs w:val="26"/>
                <w:lang w:eastAsia="lv-LV"/>
              </w:rPr>
              <w:t>Nav</w:t>
            </w:r>
          </w:p>
        </w:tc>
      </w:tr>
    </w:tbl>
    <w:p w:rsidR="00BB1F46" w:rsidRPr="00DA09DA" w:rsidRDefault="00BB1F46" w:rsidP="00DA596D">
      <w:pPr>
        <w:spacing w:after="0" w:line="240" w:lineRule="auto"/>
        <w:rPr>
          <w:rFonts w:ascii="Times New Roman" w:hAnsi="Times New Roman" w:cs="Times New Roman"/>
          <w:sz w:val="26"/>
          <w:szCs w:val="26"/>
        </w:rPr>
      </w:pPr>
    </w:p>
    <w:p w:rsidR="00DC3B1C" w:rsidRPr="00DA09DA" w:rsidRDefault="00DC3B1C" w:rsidP="00344579">
      <w:pPr>
        <w:spacing w:after="0" w:line="240" w:lineRule="auto"/>
        <w:jc w:val="both"/>
        <w:rPr>
          <w:rFonts w:ascii="Times New Roman" w:hAnsi="Times New Roman" w:cs="Times New Roman"/>
          <w:sz w:val="26"/>
          <w:szCs w:val="26"/>
        </w:rPr>
      </w:pPr>
    </w:p>
    <w:p w:rsidR="00DC3B1C" w:rsidRPr="00DA09DA" w:rsidRDefault="00DC3B1C" w:rsidP="00344579">
      <w:pPr>
        <w:spacing w:after="0" w:line="240" w:lineRule="auto"/>
        <w:ind w:firstLine="709"/>
        <w:jc w:val="both"/>
        <w:rPr>
          <w:rFonts w:ascii="Times New Roman" w:hAnsi="Times New Roman" w:cs="Times New Roman"/>
          <w:sz w:val="26"/>
          <w:szCs w:val="26"/>
        </w:rPr>
      </w:pPr>
      <w:r w:rsidRPr="00DA09DA">
        <w:rPr>
          <w:rFonts w:ascii="Times New Roman" w:hAnsi="Times New Roman" w:cs="Times New Roman"/>
          <w:sz w:val="26"/>
          <w:szCs w:val="26"/>
        </w:rPr>
        <w:t>Izglītības un zinātnes ministr</w:t>
      </w:r>
      <w:r w:rsidR="00344579" w:rsidRPr="00DA09DA">
        <w:rPr>
          <w:rFonts w:ascii="Times New Roman" w:hAnsi="Times New Roman" w:cs="Times New Roman"/>
          <w:sz w:val="26"/>
          <w:szCs w:val="26"/>
        </w:rPr>
        <w:t>e</w:t>
      </w:r>
      <w:r w:rsidRPr="00DA09DA">
        <w:rPr>
          <w:rFonts w:ascii="Times New Roman" w:hAnsi="Times New Roman" w:cs="Times New Roman"/>
          <w:sz w:val="26"/>
          <w:szCs w:val="26"/>
        </w:rPr>
        <w:tab/>
      </w:r>
      <w:r w:rsidR="003F5E05" w:rsidRPr="00DA09DA">
        <w:rPr>
          <w:rFonts w:ascii="Times New Roman" w:hAnsi="Times New Roman" w:cs="Times New Roman"/>
          <w:sz w:val="26"/>
          <w:szCs w:val="26"/>
        </w:rPr>
        <w:t>             </w:t>
      </w:r>
      <w:r w:rsidRPr="00DA09DA">
        <w:rPr>
          <w:rFonts w:ascii="Times New Roman" w:hAnsi="Times New Roman" w:cs="Times New Roman"/>
          <w:sz w:val="26"/>
          <w:szCs w:val="26"/>
        </w:rPr>
        <w:t>                                          </w:t>
      </w:r>
      <w:r w:rsidR="005617F5" w:rsidRPr="00DA09DA">
        <w:rPr>
          <w:rFonts w:ascii="Times New Roman" w:hAnsi="Times New Roman" w:cs="Times New Roman"/>
          <w:sz w:val="26"/>
          <w:szCs w:val="26"/>
        </w:rPr>
        <w:t> </w:t>
      </w:r>
      <w:r w:rsidR="00574A62" w:rsidRPr="00DA09DA">
        <w:rPr>
          <w:rFonts w:ascii="Times New Roman" w:hAnsi="Times New Roman" w:cs="Times New Roman"/>
          <w:sz w:val="26"/>
          <w:szCs w:val="26"/>
        </w:rPr>
        <w:t>I.Druviete</w:t>
      </w:r>
    </w:p>
    <w:p w:rsidR="00DC3B1C" w:rsidRPr="00DA09DA" w:rsidRDefault="00DC3B1C" w:rsidP="00344579">
      <w:pPr>
        <w:spacing w:after="0" w:line="240" w:lineRule="auto"/>
        <w:jc w:val="both"/>
        <w:rPr>
          <w:rFonts w:ascii="Times New Roman" w:hAnsi="Times New Roman" w:cs="Times New Roman"/>
          <w:sz w:val="26"/>
          <w:szCs w:val="26"/>
        </w:rPr>
      </w:pPr>
    </w:p>
    <w:p w:rsidR="007869F3" w:rsidRPr="00DA09DA" w:rsidRDefault="007869F3" w:rsidP="00344579">
      <w:pPr>
        <w:spacing w:after="0" w:line="240" w:lineRule="auto"/>
        <w:jc w:val="both"/>
        <w:rPr>
          <w:rFonts w:ascii="Times New Roman" w:hAnsi="Times New Roman" w:cs="Times New Roman"/>
          <w:sz w:val="26"/>
          <w:szCs w:val="26"/>
        </w:rPr>
      </w:pPr>
    </w:p>
    <w:p w:rsidR="00EC4AF2" w:rsidRPr="00DA09DA" w:rsidRDefault="00341E1E" w:rsidP="00341E1E">
      <w:pPr>
        <w:spacing w:after="0" w:line="240" w:lineRule="auto"/>
        <w:ind w:firstLine="709"/>
        <w:jc w:val="both"/>
        <w:rPr>
          <w:rFonts w:ascii="Times New Roman" w:hAnsi="Times New Roman" w:cs="Times New Roman"/>
          <w:sz w:val="26"/>
          <w:szCs w:val="26"/>
        </w:rPr>
      </w:pPr>
      <w:r w:rsidRPr="00DA09DA">
        <w:rPr>
          <w:rFonts w:ascii="Times New Roman" w:hAnsi="Times New Roman" w:cs="Times New Roman"/>
          <w:sz w:val="26"/>
          <w:szCs w:val="26"/>
        </w:rPr>
        <w:t>Vizē: Valsts sekretāre</w:t>
      </w:r>
      <w:r w:rsidR="007869F3" w:rsidRPr="00DA09DA">
        <w:rPr>
          <w:rFonts w:ascii="Times New Roman" w:hAnsi="Times New Roman" w:cs="Times New Roman"/>
          <w:sz w:val="26"/>
          <w:szCs w:val="26"/>
        </w:rPr>
        <w:t xml:space="preserve"> </w:t>
      </w:r>
      <w:r w:rsidRPr="00DA09DA">
        <w:rPr>
          <w:rFonts w:ascii="Times New Roman" w:hAnsi="Times New Roman" w:cs="Times New Roman"/>
          <w:sz w:val="26"/>
          <w:szCs w:val="26"/>
        </w:rPr>
        <w:tab/>
      </w:r>
      <w:r w:rsidR="005617F5" w:rsidRPr="00DA09DA">
        <w:rPr>
          <w:rFonts w:ascii="Times New Roman" w:hAnsi="Times New Roman" w:cs="Times New Roman"/>
          <w:sz w:val="26"/>
          <w:szCs w:val="26"/>
        </w:rPr>
        <w:t>                                                  </w:t>
      </w:r>
      <w:r w:rsidR="0050564A" w:rsidRPr="00DA09DA">
        <w:rPr>
          <w:rFonts w:ascii="Times New Roman" w:hAnsi="Times New Roman" w:cs="Times New Roman"/>
          <w:sz w:val="26"/>
          <w:szCs w:val="26"/>
        </w:rPr>
        <w:t>              </w:t>
      </w:r>
      <w:r w:rsidR="005617F5" w:rsidRPr="00DA09DA">
        <w:rPr>
          <w:rFonts w:ascii="Times New Roman" w:hAnsi="Times New Roman" w:cs="Times New Roman"/>
          <w:sz w:val="26"/>
          <w:szCs w:val="26"/>
        </w:rPr>
        <w:t>    </w:t>
      </w:r>
      <w:r w:rsidRPr="00DA09DA">
        <w:rPr>
          <w:rFonts w:ascii="Times New Roman" w:hAnsi="Times New Roman" w:cs="Times New Roman"/>
          <w:sz w:val="26"/>
          <w:szCs w:val="26"/>
        </w:rPr>
        <w:t>S.Liepiņa</w:t>
      </w:r>
    </w:p>
    <w:p w:rsidR="007869F3" w:rsidRPr="00DA09DA" w:rsidRDefault="007869F3" w:rsidP="007869F3">
      <w:pPr>
        <w:spacing w:after="0" w:line="240" w:lineRule="auto"/>
        <w:ind w:firstLine="709"/>
        <w:jc w:val="both"/>
        <w:rPr>
          <w:rFonts w:ascii="Times New Roman" w:hAnsi="Times New Roman" w:cs="Times New Roman"/>
          <w:sz w:val="24"/>
          <w:szCs w:val="24"/>
        </w:rPr>
      </w:pPr>
    </w:p>
    <w:p w:rsidR="00341E1E" w:rsidRPr="00DA09DA" w:rsidRDefault="00341E1E" w:rsidP="007869F3">
      <w:pPr>
        <w:spacing w:after="0" w:line="240" w:lineRule="auto"/>
        <w:ind w:firstLine="709"/>
        <w:jc w:val="both"/>
        <w:rPr>
          <w:rFonts w:ascii="Times New Roman" w:hAnsi="Times New Roman" w:cs="Times New Roman"/>
          <w:sz w:val="24"/>
          <w:szCs w:val="24"/>
        </w:rPr>
      </w:pPr>
    </w:p>
    <w:p w:rsidR="002F1707" w:rsidRPr="00DA09DA" w:rsidRDefault="002F1707" w:rsidP="007869F3">
      <w:pPr>
        <w:spacing w:after="0" w:line="240" w:lineRule="auto"/>
        <w:ind w:firstLine="709"/>
        <w:jc w:val="both"/>
        <w:rPr>
          <w:rFonts w:ascii="Times New Roman" w:hAnsi="Times New Roman" w:cs="Times New Roman"/>
          <w:sz w:val="24"/>
          <w:szCs w:val="24"/>
        </w:rPr>
      </w:pPr>
    </w:p>
    <w:p w:rsidR="002F1707" w:rsidRPr="00DA09DA" w:rsidRDefault="002F1707" w:rsidP="007869F3">
      <w:pPr>
        <w:spacing w:after="0" w:line="240" w:lineRule="auto"/>
        <w:ind w:firstLine="709"/>
        <w:jc w:val="both"/>
        <w:rPr>
          <w:rFonts w:ascii="Times New Roman" w:hAnsi="Times New Roman" w:cs="Times New Roman"/>
          <w:sz w:val="24"/>
          <w:szCs w:val="24"/>
        </w:rPr>
      </w:pPr>
    </w:p>
    <w:p w:rsidR="00DC3B1C" w:rsidRPr="00DA09DA" w:rsidRDefault="005A0391" w:rsidP="00344579">
      <w:pPr>
        <w:spacing w:after="0" w:line="240" w:lineRule="auto"/>
        <w:rPr>
          <w:rFonts w:ascii="Times New Roman" w:hAnsi="Times New Roman" w:cs="Times New Roman"/>
          <w:sz w:val="20"/>
          <w:szCs w:val="20"/>
        </w:rPr>
      </w:pPr>
      <w:r w:rsidRPr="00DA09DA">
        <w:rPr>
          <w:rFonts w:ascii="Times New Roman" w:hAnsi="Times New Roman" w:cs="Times New Roman"/>
          <w:sz w:val="20"/>
          <w:szCs w:val="20"/>
        </w:rPr>
        <w:fldChar w:fldCharType="begin"/>
      </w:r>
      <w:r w:rsidR="00DC3B1C" w:rsidRPr="00DA09DA">
        <w:rPr>
          <w:rFonts w:ascii="Times New Roman" w:hAnsi="Times New Roman" w:cs="Times New Roman"/>
          <w:sz w:val="20"/>
          <w:szCs w:val="20"/>
        </w:rPr>
        <w:instrText xml:space="preserve"> DATE  \@ "dd.MM.yyyy H:mm"  \* MERGEFORMAT </w:instrText>
      </w:r>
      <w:r w:rsidRPr="00DA09DA">
        <w:rPr>
          <w:rFonts w:ascii="Times New Roman" w:hAnsi="Times New Roman" w:cs="Times New Roman"/>
          <w:sz w:val="20"/>
          <w:szCs w:val="20"/>
        </w:rPr>
        <w:fldChar w:fldCharType="separate"/>
      </w:r>
      <w:r w:rsidR="00B1572D">
        <w:rPr>
          <w:rFonts w:ascii="Times New Roman" w:hAnsi="Times New Roman" w:cs="Times New Roman"/>
          <w:noProof/>
          <w:sz w:val="20"/>
          <w:szCs w:val="20"/>
        </w:rPr>
        <w:t>03.10.2014 16:56</w:t>
      </w:r>
      <w:r w:rsidRPr="00DA09DA">
        <w:rPr>
          <w:rFonts w:ascii="Times New Roman" w:hAnsi="Times New Roman" w:cs="Times New Roman"/>
          <w:sz w:val="20"/>
          <w:szCs w:val="20"/>
        </w:rPr>
        <w:fldChar w:fldCharType="end"/>
      </w:r>
    </w:p>
    <w:p w:rsidR="000D4E7A" w:rsidRPr="00DA09DA" w:rsidRDefault="00B55260" w:rsidP="00344579">
      <w:pPr>
        <w:spacing w:after="0" w:line="240" w:lineRule="auto"/>
        <w:rPr>
          <w:rFonts w:ascii="Times New Roman" w:hAnsi="Times New Roman" w:cs="Times New Roman"/>
        </w:rPr>
      </w:pPr>
      <w:r w:rsidRPr="00DA09DA">
        <w:rPr>
          <w:rFonts w:ascii="Times New Roman" w:hAnsi="Times New Roman" w:cs="Times New Roman"/>
        </w:rPr>
        <w:t>24</w:t>
      </w:r>
      <w:r w:rsidR="00B1572D">
        <w:rPr>
          <w:rFonts w:ascii="Times New Roman" w:hAnsi="Times New Roman" w:cs="Times New Roman"/>
        </w:rPr>
        <w:t>86</w:t>
      </w:r>
    </w:p>
    <w:p w:rsidR="00DC3B1C" w:rsidRPr="00DA09DA" w:rsidRDefault="00DC3B1C" w:rsidP="00344579">
      <w:pPr>
        <w:spacing w:after="0" w:line="240" w:lineRule="auto"/>
        <w:rPr>
          <w:rFonts w:ascii="Times New Roman" w:hAnsi="Times New Roman" w:cs="Times New Roman"/>
          <w:sz w:val="20"/>
          <w:szCs w:val="20"/>
        </w:rPr>
      </w:pPr>
      <w:r w:rsidRPr="00DA09DA">
        <w:rPr>
          <w:rFonts w:ascii="Times New Roman" w:hAnsi="Times New Roman" w:cs="Times New Roman"/>
          <w:sz w:val="20"/>
          <w:szCs w:val="20"/>
        </w:rPr>
        <w:t xml:space="preserve">I.Švirksta, </w:t>
      </w:r>
    </w:p>
    <w:p w:rsidR="00077CDB" w:rsidRPr="00DA09DA" w:rsidRDefault="00DC3B1C" w:rsidP="00A53185">
      <w:pPr>
        <w:spacing w:after="0" w:line="240" w:lineRule="auto"/>
        <w:rPr>
          <w:rFonts w:ascii="Times New Roman" w:hAnsi="Times New Roman" w:cs="Times New Roman"/>
          <w:sz w:val="20"/>
          <w:szCs w:val="20"/>
        </w:rPr>
      </w:pPr>
      <w:r w:rsidRPr="00DA09DA">
        <w:rPr>
          <w:rFonts w:ascii="Times New Roman" w:hAnsi="Times New Roman" w:cs="Times New Roman"/>
          <w:sz w:val="20"/>
          <w:szCs w:val="20"/>
        </w:rPr>
        <w:t xml:space="preserve">67047882, </w:t>
      </w:r>
      <w:hyperlink r:id="rId12" w:history="1">
        <w:r w:rsidR="00F926D3" w:rsidRPr="00DA09DA">
          <w:rPr>
            <w:rStyle w:val="Hyperlink"/>
            <w:rFonts w:ascii="Times New Roman" w:hAnsi="Times New Roman" w:cs="Times New Roman"/>
            <w:sz w:val="20"/>
            <w:szCs w:val="20"/>
          </w:rPr>
          <w:t>inta.svirksta@izm.gov.lv</w:t>
        </w:r>
      </w:hyperlink>
    </w:p>
    <w:p w:rsidR="00F926D3" w:rsidRPr="00DA09DA" w:rsidRDefault="00F926D3" w:rsidP="00A53185">
      <w:pPr>
        <w:spacing w:after="0" w:line="240" w:lineRule="auto"/>
        <w:rPr>
          <w:rFonts w:ascii="Times New Roman" w:hAnsi="Times New Roman" w:cs="Times New Roman"/>
          <w:sz w:val="20"/>
          <w:szCs w:val="20"/>
        </w:rPr>
      </w:pPr>
    </w:p>
    <w:sectPr w:rsidR="00F926D3" w:rsidRPr="00DA09DA" w:rsidSect="006450A1">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C2C" w:rsidRDefault="00041C2C" w:rsidP="004D15A9">
      <w:pPr>
        <w:spacing w:after="0" w:line="240" w:lineRule="auto"/>
      </w:pPr>
      <w:r>
        <w:separator/>
      </w:r>
    </w:p>
  </w:endnote>
  <w:endnote w:type="continuationSeparator" w:id="0">
    <w:p w:rsidR="00041C2C" w:rsidRDefault="00041C2C"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077CDB" w:rsidRDefault="005A0391" w:rsidP="00077CDB">
    <w:pPr>
      <w:spacing w:after="0" w:line="240" w:lineRule="auto"/>
      <w:jc w:val="both"/>
      <w:rPr>
        <w:rFonts w:ascii="Times New Roman" w:hAnsi="Times New Roman" w:cs="Times New Roman"/>
        <w:sz w:val="20"/>
        <w:szCs w:val="20"/>
      </w:rPr>
    </w:pPr>
    <w:fldSimple w:instr=" FILENAME   \* MERGEFORMAT ">
      <w:r w:rsidR="00734AE9" w:rsidRPr="00734AE9">
        <w:rPr>
          <w:rFonts w:ascii="Times New Roman" w:hAnsi="Times New Roman" w:cs="Times New Roman"/>
          <w:noProof/>
          <w:color w:val="000000" w:themeColor="text1"/>
          <w:sz w:val="20"/>
          <w:szCs w:val="20"/>
        </w:rPr>
        <w:t>IZMAnot_21131_1k</w:t>
      </w:r>
      <w:r w:rsidR="00EF7FEC">
        <w:rPr>
          <w:rFonts w:ascii="Times New Roman" w:hAnsi="Times New Roman" w:cs="Times New Roman"/>
          <w:noProof/>
          <w:sz w:val="20"/>
          <w:szCs w:val="20"/>
        </w:rPr>
        <w:t>_03</w:t>
      </w:r>
      <w:r w:rsidR="00DA09DA">
        <w:rPr>
          <w:rFonts w:ascii="Times New Roman" w:hAnsi="Times New Roman" w:cs="Times New Roman"/>
          <w:noProof/>
          <w:sz w:val="20"/>
          <w:szCs w:val="20"/>
        </w:rPr>
        <w:t>10</w:t>
      </w:r>
      <w:r w:rsidR="00734AE9" w:rsidRPr="00734AE9">
        <w:rPr>
          <w:rFonts w:ascii="Times New Roman" w:hAnsi="Times New Roman" w:cs="Times New Roman"/>
          <w:noProof/>
          <w:sz w:val="20"/>
          <w:szCs w:val="20"/>
        </w:rPr>
        <w:t>14</w:t>
      </w:r>
    </w:fldSimple>
    <w:r w:rsidR="00CF2DC1" w:rsidRPr="00077CDB">
      <w:rPr>
        <w:rFonts w:ascii="Times New Roman" w:hAnsi="Times New Roman" w:cs="Times New Roman"/>
        <w:color w:val="000000" w:themeColor="text1"/>
        <w:sz w:val="20"/>
        <w:szCs w:val="20"/>
      </w:rPr>
      <w:t>; 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C1" w:rsidRPr="00077CDB" w:rsidRDefault="005A0391" w:rsidP="00FD02A2">
    <w:pPr>
      <w:spacing w:after="0" w:line="240" w:lineRule="auto"/>
      <w:jc w:val="both"/>
      <w:rPr>
        <w:rFonts w:ascii="Times New Roman" w:hAnsi="Times New Roman" w:cs="Times New Roman"/>
        <w:sz w:val="20"/>
        <w:szCs w:val="20"/>
      </w:rPr>
    </w:pPr>
    <w:fldSimple w:instr=" FILENAME   \* MERGEFORMAT ">
      <w:r w:rsidR="00734AE9" w:rsidRPr="00734AE9">
        <w:rPr>
          <w:rFonts w:ascii="Times New Roman" w:hAnsi="Times New Roman" w:cs="Times New Roman"/>
          <w:noProof/>
          <w:color w:val="000000" w:themeColor="text1"/>
          <w:sz w:val="20"/>
          <w:szCs w:val="20"/>
        </w:rPr>
        <w:t>IZMAnot_21131_1k</w:t>
      </w:r>
      <w:r w:rsidR="00EF7FEC">
        <w:rPr>
          <w:rFonts w:ascii="Times New Roman" w:hAnsi="Times New Roman" w:cs="Times New Roman"/>
          <w:noProof/>
          <w:sz w:val="20"/>
          <w:szCs w:val="20"/>
        </w:rPr>
        <w:t>_03</w:t>
      </w:r>
      <w:r w:rsidR="00DA09DA">
        <w:rPr>
          <w:rFonts w:ascii="Times New Roman" w:hAnsi="Times New Roman" w:cs="Times New Roman"/>
          <w:noProof/>
          <w:sz w:val="20"/>
          <w:szCs w:val="20"/>
        </w:rPr>
        <w:t>10</w:t>
      </w:r>
      <w:r w:rsidR="00734AE9" w:rsidRPr="00734AE9">
        <w:rPr>
          <w:rFonts w:ascii="Times New Roman" w:hAnsi="Times New Roman" w:cs="Times New Roman"/>
          <w:noProof/>
          <w:sz w:val="20"/>
          <w:szCs w:val="20"/>
        </w:rPr>
        <w:t>14</w:t>
      </w:r>
    </w:fldSimple>
    <w:r w:rsidR="00CF2DC1" w:rsidRPr="00077CDB">
      <w:rPr>
        <w:rFonts w:ascii="Times New Roman" w:hAnsi="Times New Roman" w:cs="Times New Roman"/>
        <w:color w:val="000000" w:themeColor="text1"/>
        <w:sz w:val="20"/>
        <w:szCs w:val="20"/>
      </w:rPr>
      <w:t>; 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C2C" w:rsidRDefault="00041C2C" w:rsidP="004D15A9">
      <w:pPr>
        <w:spacing w:after="0" w:line="240" w:lineRule="auto"/>
      </w:pPr>
      <w:r>
        <w:separator/>
      </w:r>
    </w:p>
  </w:footnote>
  <w:footnote w:type="continuationSeparator" w:id="0">
    <w:p w:rsidR="00041C2C" w:rsidRDefault="00041C2C" w:rsidP="004D15A9">
      <w:pPr>
        <w:spacing w:after="0" w:line="240" w:lineRule="auto"/>
      </w:pPr>
      <w:r>
        <w:continuationSeparator/>
      </w:r>
    </w:p>
  </w:footnote>
  <w:footnote w:id="1">
    <w:p w:rsidR="00CF2DC1" w:rsidRDefault="00CF2DC1" w:rsidP="005209E9">
      <w:pPr>
        <w:pStyle w:val="FootnoteText"/>
        <w:jc w:val="left"/>
      </w:pPr>
      <w:r>
        <w:rPr>
          <w:rStyle w:val="FootnoteReference"/>
        </w:rPr>
        <w:footnoteRef/>
      </w:r>
      <w:r>
        <w:t xml:space="preserve"> </w:t>
      </w:r>
      <w:proofErr w:type="spellStart"/>
      <w:r>
        <w:t>Spriedums</w:t>
      </w:r>
      <w:proofErr w:type="spellEnd"/>
      <w:r>
        <w:t xml:space="preserve"> </w:t>
      </w:r>
      <w:proofErr w:type="spellStart"/>
      <w:r>
        <w:t>pieejams</w:t>
      </w:r>
      <w:proofErr w:type="spellEnd"/>
      <w:r>
        <w:t xml:space="preserve">: </w:t>
      </w:r>
      <w:hyperlink r:id="rId1" w:history="1">
        <w:r w:rsidRPr="008C6764">
          <w:rPr>
            <w:rStyle w:val="Hyperlink"/>
          </w:rPr>
          <w:t>http://curia.europa.eu/juris/document/document.jsf?text=&amp;docid=79610&amp;pageIndex=0&amp;doclang=LV&amp;mode=lst&amp;dir=&amp;occ=first&amp;part=1&amp;cid=426027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CF2DC1" w:rsidRPr="004D15A9" w:rsidRDefault="005A0391">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F2DC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1572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CF2DC1" w:rsidRDefault="00CF2DC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121626174-2435655451-1571499254-16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5A9"/>
    <w:rsid w:val="00004D95"/>
    <w:rsid w:val="00005653"/>
    <w:rsid w:val="000064B9"/>
    <w:rsid w:val="000066A7"/>
    <w:rsid w:val="00007C97"/>
    <w:rsid w:val="000109F0"/>
    <w:rsid w:val="0001402D"/>
    <w:rsid w:val="00014D27"/>
    <w:rsid w:val="0001567A"/>
    <w:rsid w:val="00016DC4"/>
    <w:rsid w:val="00023F93"/>
    <w:rsid w:val="0002748E"/>
    <w:rsid w:val="00030A9E"/>
    <w:rsid w:val="00031256"/>
    <w:rsid w:val="000324E8"/>
    <w:rsid w:val="00032583"/>
    <w:rsid w:val="000340AD"/>
    <w:rsid w:val="00034BC3"/>
    <w:rsid w:val="00036A1F"/>
    <w:rsid w:val="00041C2C"/>
    <w:rsid w:val="00053A4E"/>
    <w:rsid w:val="00053CC3"/>
    <w:rsid w:val="00053D39"/>
    <w:rsid w:val="00053D91"/>
    <w:rsid w:val="00054499"/>
    <w:rsid w:val="00055D11"/>
    <w:rsid w:val="00064841"/>
    <w:rsid w:val="00075897"/>
    <w:rsid w:val="00077CDB"/>
    <w:rsid w:val="00083FD9"/>
    <w:rsid w:val="00092254"/>
    <w:rsid w:val="00094B50"/>
    <w:rsid w:val="00097548"/>
    <w:rsid w:val="000A0E01"/>
    <w:rsid w:val="000A4261"/>
    <w:rsid w:val="000A610A"/>
    <w:rsid w:val="000A6D77"/>
    <w:rsid w:val="000B02BF"/>
    <w:rsid w:val="000B1816"/>
    <w:rsid w:val="000B6CDB"/>
    <w:rsid w:val="000B7A0F"/>
    <w:rsid w:val="000C2226"/>
    <w:rsid w:val="000C5C5C"/>
    <w:rsid w:val="000C687A"/>
    <w:rsid w:val="000C7A15"/>
    <w:rsid w:val="000D0BF9"/>
    <w:rsid w:val="000D2469"/>
    <w:rsid w:val="000D4E7A"/>
    <w:rsid w:val="000D61A0"/>
    <w:rsid w:val="000D69A2"/>
    <w:rsid w:val="000D7C08"/>
    <w:rsid w:val="000E2545"/>
    <w:rsid w:val="000E2FF3"/>
    <w:rsid w:val="000E413B"/>
    <w:rsid w:val="000E5D43"/>
    <w:rsid w:val="000E6EF6"/>
    <w:rsid w:val="000E7275"/>
    <w:rsid w:val="000E78AB"/>
    <w:rsid w:val="000F4A3E"/>
    <w:rsid w:val="000F6AED"/>
    <w:rsid w:val="00101317"/>
    <w:rsid w:val="00101CD5"/>
    <w:rsid w:val="00106731"/>
    <w:rsid w:val="001077D4"/>
    <w:rsid w:val="00116112"/>
    <w:rsid w:val="001212DF"/>
    <w:rsid w:val="00123004"/>
    <w:rsid w:val="001248D4"/>
    <w:rsid w:val="001251A7"/>
    <w:rsid w:val="001259CF"/>
    <w:rsid w:val="0013037C"/>
    <w:rsid w:val="00131CA5"/>
    <w:rsid w:val="001336AC"/>
    <w:rsid w:val="001343C6"/>
    <w:rsid w:val="00134762"/>
    <w:rsid w:val="001374F6"/>
    <w:rsid w:val="00140DD4"/>
    <w:rsid w:val="0014113D"/>
    <w:rsid w:val="00141791"/>
    <w:rsid w:val="001460DD"/>
    <w:rsid w:val="00151896"/>
    <w:rsid w:val="0015365E"/>
    <w:rsid w:val="001539B0"/>
    <w:rsid w:val="00153A91"/>
    <w:rsid w:val="00161D50"/>
    <w:rsid w:val="00162427"/>
    <w:rsid w:val="00163135"/>
    <w:rsid w:val="00164A51"/>
    <w:rsid w:val="00165B54"/>
    <w:rsid w:val="001662FF"/>
    <w:rsid w:val="00167E7E"/>
    <w:rsid w:val="00172F08"/>
    <w:rsid w:val="00175ED3"/>
    <w:rsid w:val="001762A6"/>
    <w:rsid w:val="00176319"/>
    <w:rsid w:val="0017642E"/>
    <w:rsid w:val="001832A5"/>
    <w:rsid w:val="00185978"/>
    <w:rsid w:val="0018750E"/>
    <w:rsid w:val="001902DB"/>
    <w:rsid w:val="00193E5B"/>
    <w:rsid w:val="001A2F62"/>
    <w:rsid w:val="001A362F"/>
    <w:rsid w:val="001A4C68"/>
    <w:rsid w:val="001A7655"/>
    <w:rsid w:val="001B023B"/>
    <w:rsid w:val="001B4318"/>
    <w:rsid w:val="001B4D7C"/>
    <w:rsid w:val="001B66F0"/>
    <w:rsid w:val="001C0989"/>
    <w:rsid w:val="001C0C3F"/>
    <w:rsid w:val="001C12F9"/>
    <w:rsid w:val="001C228E"/>
    <w:rsid w:val="001C33DE"/>
    <w:rsid w:val="001C60A8"/>
    <w:rsid w:val="001C64C7"/>
    <w:rsid w:val="001C65DA"/>
    <w:rsid w:val="001D1998"/>
    <w:rsid w:val="001D2C27"/>
    <w:rsid w:val="001D7B8F"/>
    <w:rsid w:val="001E00E4"/>
    <w:rsid w:val="001E1EA8"/>
    <w:rsid w:val="001E34BE"/>
    <w:rsid w:val="001E40A3"/>
    <w:rsid w:val="001E4C4D"/>
    <w:rsid w:val="001F16EF"/>
    <w:rsid w:val="001F1C46"/>
    <w:rsid w:val="001F4E77"/>
    <w:rsid w:val="001F61CF"/>
    <w:rsid w:val="00201B71"/>
    <w:rsid w:val="002020AD"/>
    <w:rsid w:val="00202A1A"/>
    <w:rsid w:val="00204CD0"/>
    <w:rsid w:val="00210996"/>
    <w:rsid w:val="00212CE2"/>
    <w:rsid w:val="00213ABB"/>
    <w:rsid w:val="00214412"/>
    <w:rsid w:val="00214B7E"/>
    <w:rsid w:val="00215A85"/>
    <w:rsid w:val="00216C36"/>
    <w:rsid w:val="00216FED"/>
    <w:rsid w:val="00217902"/>
    <w:rsid w:val="00220821"/>
    <w:rsid w:val="0022296E"/>
    <w:rsid w:val="0022632F"/>
    <w:rsid w:val="002274F0"/>
    <w:rsid w:val="002315EF"/>
    <w:rsid w:val="00232354"/>
    <w:rsid w:val="002355FE"/>
    <w:rsid w:val="00242BF6"/>
    <w:rsid w:val="00246A58"/>
    <w:rsid w:val="00250E38"/>
    <w:rsid w:val="002543D2"/>
    <w:rsid w:val="00261D29"/>
    <w:rsid w:val="0026369C"/>
    <w:rsid w:val="00270948"/>
    <w:rsid w:val="002744DF"/>
    <w:rsid w:val="00275ACE"/>
    <w:rsid w:val="002768FF"/>
    <w:rsid w:val="002779CC"/>
    <w:rsid w:val="00283FB1"/>
    <w:rsid w:val="00285146"/>
    <w:rsid w:val="002869C1"/>
    <w:rsid w:val="00286A90"/>
    <w:rsid w:val="002901A2"/>
    <w:rsid w:val="0029067A"/>
    <w:rsid w:val="00290F72"/>
    <w:rsid w:val="00291CD3"/>
    <w:rsid w:val="00291E72"/>
    <w:rsid w:val="00292576"/>
    <w:rsid w:val="00293A06"/>
    <w:rsid w:val="0029528B"/>
    <w:rsid w:val="002958F6"/>
    <w:rsid w:val="00295E45"/>
    <w:rsid w:val="002960D6"/>
    <w:rsid w:val="00296496"/>
    <w:rsid w:val="002A1228"/>
    <w:rsid w:val="002A33D9"/>
    <w:rsid w:val="002A4584"/>
    <w:rsid w:val="002B784D"/>
    <w:rsid w:val="002C1E5F"/>
    <w:rsid w:val="002C4655"/>
    <w:rsid w:val="002D007A"/>
    <w:rsid w:val="002D39B4"/>
    <w:rsid w:val="002D5C5B"/>
    <w:rsid w:val="002D6FB5"/>
    <w:rsid w:val="002E20D3"/>
    <w:rsid w:val="002E3101"/>
    <w:rsid w:val="002E32B8"/>
    <w:rsid w:val="002E77AC"/>
    <w:rsid w:val="002E782B"/>
    <w:rsid w:val="002F1707"/>
    <w:rsid w:val="00303F40"/>
    <w:rsid w:val="003044A1"/>
    <w:rsid w:val="00304B7F"/>
    <w:rsid w:val="003065EA"/>
    <w:rsid w:val="00306957"/>
    <w:rsid w:val="003072AE"/>
    <w:rsid w:val="00311B51"/>
    <w:rsid w:val="0031345D"/>
    <w:rsid w:val="003173FB"/>
    <w:rsid w:val="003222E2"/>
    <w:rsid w:val="003274CD"/>
    <w:rsid w:val="00327A4F"/>
    <w:rsid w:val="00330786"/>
    <w:rsid w:val="0033549A"/>
    <w:rsid w:val="003356F7"/>
    <w:rsid w:val="00335E8C"/>
    <w:rsid w:val="0034183E"/>
    <w:rsid w:val="00341E1E"/>
    <w:rsid w:val="00344579"/>
    <w:rsid w:val="00344ADE"/>
    <w:rsid w:val="003466CA"/>
    <w:rsid w:val="00352B81"/>
    <w:rsid w:val="00353176"/>
    <w:rsid w:val="00354B28"/>
    <w:rsid w:val="00355722"/>
    <w:rsid w:val="003563C4"/>
    <w:rsid w:val="0036104C"/>
    <w:rsid w:val="003613C1"/>
    <w:rsid w:val="00367CF6"/>
    <w:rsid w:val="00367E7E"/>
    <w:rsid w:val="00370DED"/>
    <w:rsid w:val="00371EE6"/>
    <w:rsid w:val="00374CB5"/>
    <w:rsid w:val="003758D2"/>
    <w:rsid w:val="00375A60"/>
    <w:rsid w:val="00377C40"/>
    <w:rsid w:val="00383F6D"/>
    <w:rsid w:val="003840F6"/>
    <w:rsid w:val="00386996"/>
    <w:rsid w:val="003869CB"/>
    <w:rsid w:val="003922B0"/>
    <w:rsid w:val="00392F16"/>
    <w:rsid w:val="003A07FB"/>
    <w:rsid w:val="003A2A0B"/>
    <w:rsid w:val="003A4302"/>
    <w:rsid w:val="003A6E2B"/>
    <w:rsid w:val="003A6FA6"/>
    <w:rsid w:val="003B1867"/>
    <w:rsid w:val="003B470E"/>
    <w:rsid w:val="003B51CA"/>
    <w:rsid w:val="003B5750"/>
    <w:rsid w:val="003B6DEC"/>
    <w:rsid w:val="003C05BF"/>
    <w:rsid w:val="003C08C7"/>
    <w:rsid w:val="003C1840"/>
    <w:rsid w:val="003C4D43"/>
    <w:rsid w:val="003C510E"/>
    <w:rsid w:val="003C7AA9"/>
    <w:rsid w:val="003D27A9"/>
    <w:rsid w:val="003D592D"/>
    <w:rsid w:val="003D59F7"/>
    <w:rsid w:val="003D71EB"/>
    <w:rsid w:val="003E07DF"/>
    <w:rsid w:val="003E0E5C"/>
    <w:rsid w:val="003F10FD"/>
    <w:rsid w:val="003F5E05"/>
    <w:rsid w:val="003F6961"/>
    <w:rsid w:val="003F72EC"/>
    <w:rsid w:val="004010EC"/>
    <w:rsid w:val="004047DB"/>
    <w:rsid w:val="004049E0"/>
    <w:rsid w:val="004057AA"/>
    <w:rsid w:val="004107A8"/>
    <w:rsid w:val="00410DD3"/>
    <w:rsid w:val="00412885"/>
    <w:rsid w:val="004145CF"/>
    <w:rsid w:val="0041530A"/>
    <w:rsid w:val="00420088"/>
    <w:rsid w:val="00421A13"/>
    <w:rsid w:val="004226D5"/>
    <w:rsid w:val="00422BC6"/>
    <w:rsid w:val="00423EB5"/>
    <w:rsid w:val="004347F1"/>
    <w:rsid w:val="00447914"/>
    <w:rsid w:val="0045303A"/>
    <w:rsid w:val="004548A5"/>
    <w:rsid w:val="0045586A"/>
    <w:rsid w:val="00455FC0"/>
    <w:rsid w:val="00457FA9"/>
    <w:rsid w:val="00463939"/>
    <w:rsid w:val="004674F5"/>
    <w:rsid w:val="004705E0"/>
    <w:rsid w:val="00471E5D"/>
    <w:rsid w:val="00474DB1"/>
    <w:rsid w:val="0047567D"/>
    <w:rsid w:val="00477B21"/>
    <w:rsid w:val="0048128C"/>
    <w:rsid w:val="00482376"/>
    <w:rsid w:val="0048466D"/>
    <w:rsid w:val="00485429"/>
    <w:rsid w:val="00485A94"/>
    <w:rsid w:val="00485F0D"/>
    <w:rsid w:val="004872FF"/>
    <w:rsid w:val="00493AEB"/>
    <w:rsid w:val="004943E4"/>
    <w:rsid w:val="00496B20"/>
    <w:rsid w:val="00497181"/>
    <w:rsid w:val="004A0291"/>
    <w:rsid w:val="004A19B9"/>
    <w:rsid w:val="004A2068"/>
    <w:rsid w:val="004A698F"/>
    <w:rsid w:val="004A6F39"/>
    <w:rsid w:val="004B0D2D"/>
    <w:rsid w:val="004B71A2"/>
    <w:rsid w:val="004C0660"/>
    <w:rsid w:val="004C2D5F"/>
    <w:rsid w:val="004C5C46"/>
    <w:rsid w:val="004C678E"/>
    <w:rsid w:val="004D15A9"/>
    <w:rsid w:val="004D1A5D"/>
    <w:rsid w:val="004D31AA"/>
    <w:rsid w:val="004D61A6"/>
    <w:rsid w:val="004E0FF8"/>
    <w:rsid w:val="004E1C23"/>
    <w:rsid w:val="004E2BE6"/>
    <w:rsid w:val="004E3A5F"/>
    <w:rsid w:val="004F18F6"/>
    <w:rsid w:val="004F3E06"/>
    <w:rsid w:val="004F5BFE"/>
    <w:rsid w:val="00500F43"/>
    <w:rsid w:val="005016CA"/>
    <w:rsid w:val="00504360"/>
    <w:rsid w:val="0050564A"/>
    <w:rsid w:val="0050578C"/>
    <w:rsid w:val="0050613D"/>
    <w:rsid w:val="0050707F"/>
    <w:rsid w:val="00507789"/>
    <w:rsid w:val="00507B73"/>
    <w:rsid w:val="00511033"/>
    <w:rsid w:val="00511985"/>
    <w:rsid w:val="00513445"/>
    <w:rsid w:val="00515187"/>
    <w:rsid w:val="005209E9"/>
    <w:rsid w:val="005212CA"/>
    <w:rsid w:val="005213ED"/>
    <w:rsid w:val="00522226"/>
    <w:rsid w:val="00525B96"/>
    <w:rsid w:val="00525E1B"/>
    <w:rsid w:val="005268E9"/>
    <w:rsid w:val="0053028E"/>
    <w:rsid w:val="00530A71"/>
    <w:rsid w:val="00532CD4"/>
    <w:rsid w:val="00533730"/>
    <w:rsid w:val="0053410D"/>
    <w:rsid w:val="005341FF"/>
    <w:rsid w:val="00556CBC"/>
    <w:rsid w:val="00556EB1"/>
    <w:rsid w:val="00560E0F"/>
    <w:rsid w:val="005611F4"/>
    <w:rsid w:val="0056163F"/>
    <w:rsid w:val="005617F5"/>
    <w:rsid w:val="00564C4B"/>
    <w:rsid w:val="0056643F"/>
    <w:rsid w:val="00573FD4"/>
    <w:rsid w:val="00574A62"/>
    <w:rsid w:val="00574F6A"/>
    <w:rsid w:val="005816BD"/>
    <w:rsid w:val="00581967"/>
    <w:rsid w:val="005824CF"/>
    <w:rsid w:val="00586053"/>
    <w:rsid w:val="00586143"/>
    <w:rsid w:val="00586920"/>
    <w:rsid w:val="00590F3D"/>
    <w:rsid w:val="005910A9"/>
    <w:rsid w:val="00593B37"/>
    <w:rsid w:val="00595754"/>
    <w:rsid w:val="0059595D"/>
    <w:rsid w:val="005967E7"/>
    <w:rsid w:val="005976E7"/>
    <w:rsid w:val="005A0391"/>
    <w:rsid w:val="005A0A1D"/>
    <w:rsid w:val="005A1ED7"/>
    <w:rsid w:val="005A5697"/>
    <w:rsid w:val="005A64D6"/>
    <w:rsid w:val="005B0499"/>
    <w:rsid w:val="005B3052"/>
    <w:rsid w:val="005B31AC"/>
    <w:rsid w:val="005B44B8"/>
    <w:rsid w:val="005B6356"/>
    <w:rsid w:val="005C2992"/>
    <w:rsid w:val="005C32CA"/>
    <w:rsid w:val="005C7AC5"/>
    <w:rsid w:val="005D4115"/>
    <w:rsid w:val="005D4E8A"/>
    <w:rsid w:val="005E23A7"/>
    <w:rsid w:val="005E4A0C"/>
    <w:rsid w:val="005F053F"/>
    <w:rsid w:val="005F4B4A"/>
    <w:rsid w:val="005F5B99"/>
    <w:rsid w:val="00602DBE"/>
    <w:rsid w:val="0060326C"/>
    <w:rsid w:val="00614880"/>
    <w:rsid w:val="00614989"/>
    <w:rsid w:val="0061634B"/>
    <w:rsid w:val="006213F6"/>
    <w:rsid w:val="006261A2"/>
    <w:rsid w:val="00627E07"/>
    <w:rsid w:val="00630F31"/>
    <w:rsid w:val="00634B89"/>
    <w:rsid w:val="006435A2"/>
    <w:rsid w:val="00644438"/>
    <w:rsid w:val="006450A1"/>
    <w:rsid w:val="006479A6"/>
    <w:rsid w:val="006511C1"/>
    <w:rsid w:val="0065672B"/>
    <w:rsid w:val="00657200"/>
    <w:rsid w:val="00657731"/>
    <w:rsid w:val="00660111"/>
    <w:rsid w:val="00661DBE"/>
    <w:rsid w:val="00662ABA"/>
    <w:rsid w:val="00664FE3"/>
    <w:rsid w:val="00667146"/>
    <w:rsid w:val="00667178"/>
    <w:rsid w:val="006731DD"/>
    <w:rsid w:val="00680232"/>
    <w:rsid w:val="00682561"/>
    <w:rsid w:val="006839D1"/>
    <w:rsid w:val="00684AD9"/>
    <w:rsid w:val="006866A7"/>
    <w:rsid w:val="006917A5"/>
    <w:rsid w:val="00691FBD"/>
    <w:rsid w:val="006933CD"/>
    <w:rsid w:val="00697EAB"/>
    <w:rsid w:val="006A4B8E"/>
    <w:rsid w:val="006A5FF5"/>
    <w:rsid w:val="006A6E27"/>
    <w:rsid w:val="006A7957"/>
    <w:rsid w:val="006B0549"/>
    <w:rsid w:val="006B0CE4"/>
    <w:rsid w:val="006B220F"/>
    <w:rsid w:val="006B25A5"/>
    <w:rsid w:val="006B32AC"/>
    <w:rsid w:val="006B5D69"/>
    <w:rsid w:val="006B70EA"/>
    <w:rsid w:val="006B7326"/>
    <w:rsid w:val="006B7A35"/>
    <w:rsid w:val="006C5A75"/>
    <w:rsid w:val="006D0079"/>
    <w:rsid w:val="006D19D3"/>
    <w:rsid w:val="006D2E6D"/>
    <w:rsid w:val="006D3F44"/>
    <w:rsid w:val="006D69D3"/>
    <w:rsid w:val="006E0A59"/>
    <w:rsid w:val="006E117E"/>
    <w:rsid w:val="006E13BD"/>
    <w:rsid w:val="006E2590"/>
    <w:rsid w:val="006E31B2"/>
    <w:rsid w:val="006E3A9E"/>
    <w:rsid w:val="006E718C"/>
    <w:rsid w:val="006F093C"/>
    <w:rsid w:val="006F1099"/>
    <w:rsid w:val="006F2290"/>
    <w:rsid w:val="006F783E"/>
    <w:rsid w:val="006F7EE8"/>
    <w:rsid w:val="007006F5"/>
    <w:rsid w:val="00701A4A"/>
    <w:rsid w:val="00703E69"/>
    <w:rsid w:val="0070477A"/>
    <w:rsid w:val="0070542B"/>
    <w:rsid w:val="00706254"/>
    <w:rsid w:val="00707714"/>
    <w:rsid w:val="00711060"/>
    <w:rsid w:val="007112B8"/>
    <w:rsid w:val="007155CC"/>
    <w:rsid w:val="00717690"/>
    <w:rsid w:val="007226F4"/>
    <w:rsid w:val="00722E80"/>
    <w:rsid w:val="007238D1"/>
    <w:rsid w:val="00727086"/>
    <w:rsid w:val="007276AC"/>
    <w:rsid w:val="00730CA8"/>
    <w:rsid w:val="00732580"/>
    <w:rsid w:val="00733D9A"/>
    <w:rsid w:val="00734790"/>
    <w:rsid w:val="00734AE9"/>
    <w:rsid w:val="007358F2"/>
    <w:rsid w:val="00740B38"/>
    <w:rsid w:val="00741717"/>
    <w:rsid w:val="00742496"/>
    <w:rsid w:val="00743CDF"/>
    <w:rsid w:val="0075134A"/>
    <w:rsid w:val="00756507"/>
    <w:rsid w:val="00756B47"/>
    <w:rsid w:val="00760588"/>
    <w:rsid w:val="00763ED6"/>
    <w:rsid w:val="00764DBD"/>
    <w:rsid w:val="00772594"/>
    <w:rsid w:val="00773CA0"/>
    <w:rsid w:val="00773F7D"/>
    <w:rsid w:val="00775F52"/>
    <w:rsid w:val="00776529"/>
    <w:rsid w:val="00777AC2"/>
    <w:rsid w:val="00781EF3"/>
    <w:rsid w:val="00783543"/>
    <w:rsid w:val="00784E01"/>
    <w:rsid w:val="00785098"/>
    <w:rsid w:val="007869F3"/>
    <w:rsid w:val="00786F1A"/>
    <w:rsid w:val="00790622"/>
    <w:rsid w:val="00790EEB"/>
    <w:rsid w:val="0079544E"/>
    <w:rsid w:val="00796E7C"/>
    <w:rsid w:val="007A2401"/>
    <w:rsid w:val="007A5019"/>
    <w:rsid w:val="007A5FAD"/>
    <w:rsid w:val="007A6F5A"/>
    <w:rsid w:val="007A7196"/>
    <w:rsid w:val="007B0F4E"/>
    <w:rsid w:val="007B108C"/>
    <w:rsid w:val="007B13F4"/>
    <w:rsid w:val="007B368E"/>
    <w:rsid w:val="007C4C13"/>
    <w:rsid w:val="007C52FC"/>
    <w:rsid w:val="007C5925"/>
    <w:rsid w:val="007D1814"/>
    <w:rsid w:val="007D409E"/>
    <w:rsid w:val="007D5498"/>
    <w:rsid w:val="007E32F5"/>
    <w:rsid w:val="007E4D97"/>
    <w:rsid w:val="007E5FA9"/>
    <w:rsid w:val="007E68D2"/>
    <w:rsid w:val="007E7D9B"/>
    <w:rsid w:val="007F02F7"/>
    <w:rsid w:val="007F3658"/>
    <w:rsid w:val="007F38F5"/>
    <w:rsid w:val="007F3F18"/>
    <w:rsid w:val="007F69D9"/>
    <w:rsid w:val="00802A42"/>
    <w:rsid w:val="0080747A"/>
    <w:rsid w:val="00810954"/>
    <w:rsid w:val="0081203F"/>
    <w:rsid w:val="008169CE"/>
    <w:rsid w:val="00820320"/>
    <w:rsid w:val="008208E7"/>
    <w:rsid w:val="00821866"/>
    <w:rsid w:val="008237C4"/>
    <w:rsid w:val="0082432D"/>
    <w:rsid w:val="0082483B"/>
    <w:rsid w:val="00827DFE"/>
    <w:rsid w:val="008334A6"/>
    <w:rsid w:val="0084010C"/>
    <w:rsid w:val="00841402"/>
    <w:rsid w:val="00841787"/>
    <w:rsid w:val="008417D5"/>
    <w:rsid w:val="00843086"/>
    <w:rsid w:val="00845EAD"/>
    <w:rsid w:val="00850F3C"/>
    <w:rsid w:val="00851893"/>
    <w:rsid w:val="0085589C"/>
    <w:rsid w:val="00860730"/>
    <w:rsid w:val="00860A03"/>
    <w:rsid w:val="00862832"/>
    <w:rsid w:val="00864420"/>
    <w:rsid w:val="00864E9B"/>
    <w:rsid w:val="00866776"/>
    <w:rsid w:val="00871F20"/>
    <w:rsid w:val="00874310"/>
    <w:rsid w:val="00876893"/>
    <w:rsid w:val="00877BAD"/>
    <w:rsid w:val="008821AF"/>
    <w:rsid w:val="00882C3E"/>
    <w:rsid w:val="008848FC"/>
    <w:rsid w:val="00885687"/>
    <w:rsid w:val="0089257B"/>
    <w:rsid w:val="008954FC"/>
    <w:rsid w:val="0089563C"/>
    <w:rsid w:val="00895F54"/>
    <w:rsid w:val="0089662E"/>
    <w:rsid w:val="008968C2"/>
    <w:rsid w:val="008A02BB"/>
    <w:rsid w:val="008A3864"/>
    <w:rsid w:val="008A409B"/>
    <w:rsid w:val="008A7182"/>
    <w:rsid w:val="008B0D99"/>
    <w:rsid w:val="008B2FAD"/>
    <w:rsid w:val="008B33CD"/>
    <w:rsid w:val="008B60A3"/>
    <w:rsid w:val="008B7673"/>
    <w:rsid w:val="008C15B5"/>
    <w:rsid w:val="008D0AB8"/>
    <w:rsid w:val="008D0F73"/>
    <w:rsid w:val="008D201B"/>
    <w:rsid w:val="008D21A1"/>
    <w:rsid w:val="008D352B"/>
    <w:rsid w:val="008D521A"/>
    <w:rsid w:val="008E0333"/>
    <w:rsid w:val="008E3706"/>
    <w:rsid w:val="008E59B9"/>
    <w:rsid w:val="008F0697"/>
    <w:rsid w:val="008F10A1"/>
    <w:rsid w:val="008F40F5"/>
    <w:rsid w:val="00900143"/>
    <w:rsid w:val="00901BE6"/>
    <w:rsid w:val="00903F2D"/>
    <w:rsid w:val="009100C3"/>
    <w:rsid w:val="00910608"/>
    <w:rsid w:val="0091269C"/>
    <w:rsid w:val="009127EB"/>
    <w:rsid w:val="0091397B"/>
    <w:rsid w:val="00915D36"/>
    <w:rsid w:val="00920010"/>
    <w:rsid w:val="00920885"/>
    <w:rsid w:val="009218D5"/>
    <w:rsid w:val="00924D31"/>
    <w:rsid w:val="00927CC6"/>
    <w:rsid w:val="00930EF7"/>
    <w:rsid w:val="00931225"/>
    <w:rsid w:val="00932018"/>
    <w:rsid w:val="00932D5F"/>
    <w:rsid w:val="009346F7"/>
    <w:rsid w:val="00935145"/>
    <w:rsid w:val="009356F5"/>
    <w:rsid w:val="00940D9F"/>
    <w:rsid w:val="009430F0"/>
    <w:rsid w:val="00945816"/>
    <w:rsid w:val="009474D0"/>
    <w:rsid w:val="00951F80"/>
    <w:rsid w:val="00956D22"/>
    <w:rsid w:val="00962E62"/>
    <w:rsid w:val="00970A3F"/>
    <w:rsid w:val="00971B47"/>
    <w:rsid w:val="00971FBD"/>
    <w:rsid w:val="00974A71"/>
    <w:rsid w:val="00977BD5"/>
    <w:rsid w:val="00977FAF"/>
    <w:rsid w:val="009830D7"/>
    <w:rsid w:val="00983686"/>
    <w:rsid w:val="00984CCE"/>
    <w:rsid w:val="009851A7"/>
    <w:rsid w:val="00986C77"/>
    <w:rsid w:val="009946D6"/>
    <w:rsid w:val="009950DA"/>
    <w:rsid w:val="009951AC"/>
    <w:rsid w:val="009A18C3"/>
    <w:rsid w:val="009A349E"/>
    <w:rsid w:val="009A3669"/>
    <w:rsid w:val="009A3C42"/>
    <w:rsid w:val="009A5E1E"/>
    <w:rsid w:val="009A6CCA"/>
    <w:rsid w:val="009A7152"/>
    <w:rsid w:val="009B05D8"/>
    <w:rsid w:val="009B47E8"/>
    <w:rsid w:val="009B5C66"/>
    <w:rsid w:val="009B67D6"/>
    <w:rsid w:val="009B6A57"/>
    <w:rsid w:val="009B725F"/>
    <w:rsid w:val="009B757E"/>
    <w:rsid w:val="009C03A0"/>
    <w:rsid w:val="009C5B7C"/>
    <w:rsid w:val="009C70FA"/>
    <w:rsid w:val="009C72EA"/>
    <w:rsid w:val="009C78BC"/>
    <w:rsid w:val="009D3E72"/>
    <w:rsid w:val="009D5B7A"/>
    <w:rsid w:val="009D6792"/>
    <w:rsid w:val="009D72D5"/>
    <w:rsid w:val="009E5696"/>
    <w:rsid w:val="009F0632"/>
    <w:rsid w:val="009F3AA3"/>
    <w:rsid w:val="009F4C97"/>
    <w:rsid w:val="009F667C"/>
    <w:rsid w:val="009F6CC9"/>
    <w:rsid w:val="009F7052"/>
    <w:rsid w:val="00A00D9E"/>
    <w:rsid w:val="00A03AEC"/>
    <w:rsid w:val="00A056AD"/>
    <w:rsid w:val="00A0769D"/>
    <w:rsid w:val="00A07D3B"/>
    <w:rsid w:val="00A10292"/>
    <w:rsid w:val="00A11D3F"/>
    <w:rsid w:val="00A1555D"/>
    <w:rsid w:val="00A16031"/>
    <w:rsid w:val="00A178C9"/>
    <w:rsid w:val="00A20C3E"/>
    <w:rsid w:val="00A223CA"/>
    <w:rsid w:val="00A23118"/>
    <w:rsid w:val="00A24871"/>
    <w:rsid w:val="00A33B4B"/>
    <w:rsid w:val="00A3544F"/>
    <w:rsid w:val="00A36827"/>
    <w:rsid w:val="00A369C3"/>
    <w:rsid w:val="00A36BC5"/>
    <w:rsid w:val="00A40865"/>
    <w:rsid w:val="00A42358"/>
    <w:rsid w:val="00A46B35"/>
    <w:rsid w:val="00A47C12"/>
    <w:rsid w:val="00A50E43"/>
    <w:rsid w:val="00A53185"/>
    <w:rsid w:val="00A53A55"/>
    <w:rsid w:val="00A551FA"/>
    <w:rsid w:val="00A60FE8"/>
    <w:rsid w:val="00A64BEC"/>
    <w:rsid w:val="00A66655"/>
    <w:rsid w:val="00A67EA2"/>
    <w:rsid w:val="00A71E70"/>
    <w:rsid w:val="00A7266B"/>
    <w:rsid w:val="00A743FF"/>
    <w:rsid w:val="00A74E17"/>
    <w:rsid w:val="00A760E7"/>
    <w:rsid w:val="00A76638"/>
    <w:rsid w:val="00A768D5"/>
    <w:rsid w:val="00A77866"/>
    <w:rsid w:val="00A82C81"/>
    <w:rsid w:val="00A8320E"/>
    <w:rsid w:val="00A84154"/>
    <w:rsid w:val="00A87766"/>
    <w:rsid w:val="00A90E0A"/>
    <w:rsid w:val="00A917E7"/>
    <w:rsid w:val="00A92622"/>
    <w:rsid w:val="00A92B9B"/>
    <w:rsid w:val="00A9456F"/>
    <w:rsid w:val="00A9459B"/>
    <w:rsid w:val="00AA3354"/>
    <w:rsid w:val="00AA6756"/>
    <w:rsid w:val="00AB20E7"/>
    <w:rsid w:val="00AB2BE4"/>
    <w:rsid w:val="00AB6B1E"/>
    <w:rsid w:val="00AB7DC7"/>
    <w:rsid w:val="00AC2613"/>
    <w:rsid w:val="00AC3F42"/>
    <w:rsid w:val="00AC431E"/>
    <w:rsid w:val="00AD00FD"/>
    <w:rsid w:val="00AD014F"/>
    <w:rsid w:val="00AD4AD5"/>
    <w:rsid w:val="00AD7CB6"/>
    <w:rsid w:val="00AD7CFC"/>
    <w:rsid w:val="00AD7D1D"/>
    <w:rsid w:val="00AE10B0"/>
    <w:rsid w:val="00AE1F64"/>
    <w:rsid w:val="00AE4490"/>
    <w:rsid w:val="00AE4905"/>
    <w:rsid w:val="00AE656E"/>
    <w:rsid w:val="00AF1EE0"/>
    <w:rsid w:val="00AF2827"/>
    <w:rsid w:val="00AF3115"/>
    <w:rsid w:val="00AF3225"/>
    <w:rsid w:val="00B0152D"/>
    <w:rsid w:val="00B07FFC"/>
    <w:rsid w:val="00B13511"/>
    <w:rsid w:val="00B1572D"/>
    <w:rsid w:val="00B17945"/>
    <w:rsid w:val="00B23434"/>
    <w:rsid w:val="00B2448C"/>
    <w:rsid w:val="00B24662"/>
    <w:rsid w:val="00B27930"/>
    <w:rsid w:val="00B31661"/>
    <w:rsid w:val="00B34D3C"/>
    <w:rsid w:val="00B358C1"/>
    <w:rsid w:val="00B35951"/>
    <w:rsid w:val="00B361F9"/>
    <w:rsid w:val="00B37C28"/>
    <w:rsid w:val="00B40131"/>
    <w:rsid w:val="00B45427"/>
    <w:rsid w:val="00B45AE8"/>
    <w:rsid w:val="00B55260"/>
    <w:rsid w:val="00B6289A"/>
    <w:rsid w:val="00B631F0"/>
    <w:rsid w:val="00B66984"/>
    <w:rsid w:val="00B71107"/>
    <w:rsid w:val="00B71FCD"/>
    <w:rsid w:val="00B73250"/>
    <w:rsid w:val="00B73810"/>
    <w:rsid w:val="00B76B01"/>
    <w:rsid w:val="00B80681"/>
    <w:rsid w:val="00B81A5C"/>
    <w:rsid w:val="00B827D6"/>
    <w:rsid w:val="00B845D1"/>
    <w:rsid w:val="00B847F0"/>
    <w:rsid w:val="00B85DF5"/>
    <w:rsid w:val="00B905D3"/>
    <w:rsid w:val="00B91DAE"/>
    <w:rsid w:val="00B9302E"/>
    <w:rsid w:val="00B936CD"/>
    <w:rsid w:val="00B93933"/>
    <w:rsid w:val="00B95E32"/>
    <w:rsid w:val="00BA0E76"/>
    <w:rsid w:val="00BA401C"/>
    <w:rsid w:val="00BB10F6"/>
    <w:rsid w:val="00BB1F46"/>
    <w:rsid w:val="00BB246F"/>
    <w:rsid w:val="00BB3442"/>
    <w:rsid w:val="00BB51F7"/>
    <w:rsid w:val="00BB6D68"/>
    <w:rsid w:val="00BC116E"/>
    <w:rsid w:val="00BC28F3"/>
    <w:rsid w:val="00BC6948"/>
    <w:rsid w:val="00BD0AB0"/>
    <w:rsid w:val="00BD2498"/>
    <w:rsid w:val="00BD2D26"/>
    <w:rsid w:val="00BD5303"/>
    <w:rsid w:val="00BE0364"/>
    <w:rsid w:val="00BE16E0"/>
    <w:rsid w:val="00BE2F53"/>
    <w:rsid w:val="00BF24AA"/>
    <w:rsid w:val="00BF5EE2"/>
    <w:rsid w:val="00BF6112"/>
    <w:rsid w:val="00BF6EE5"/>
    <w:rsid w:val="00C0057A"/>
    <w:rsid w:val="00C027A6"/>
    <w:rsid w:val="00C03749"/>
    <w:rsid w:val="00C03A4F"/>
    <w:rsid w:val="00C03B55"/>
    <w:rsid w:val="00C04583"/>
    <w:rsid w:val="00C05DC3"/>
    <w:rsid w:val="00C060E8"/>
    <w:rsid w:val="00C11D26"/>
    <w:rsid w:val="00C11E51"/>
    <w:rsid w:val="00C133CB"/>
    <w:rsid w:val="00C1591E"/>
    <w:rsid w:val="00C15FD0"/>
    <w:rsid w:val="00C17FBD"/>
    <w:rsid w:val="00C20948"/>
    <w:rsid w:val="00C22946"/>
    <w:rsid w:val="00C23B8D"/>
    <w:rsid w:val="00C2504E"/>
    <w:rsid w:val="00C301D2"/>
    <w:rsid w:val="00C3090B"/>
    <w:rsid w:val="00C30F4A"/>
    <w:rsid w:val="00C34FE2"/>
    <w:rsid w:val="00C362AC"/>
    <w:rsid w:val="00C3640C"/>
    <w:rsid w:val="00C37AE8"/>
    <w:rsid w:val="00C404A8"/>
    <w:rsid w:val="00C40571"/>
    <w:rsid w:val="00C40AAD"/>
    <w:rsid w:val="00C40EAB"/>
    <w:rsid w:val="00C41CB9"/>
    <w:rsid w:val="00C439A7"/>
    <w:rsid w:val="00C44C31"/>
    <w:rsid w:val="00C47016"/>
    <w:rsid w:val="00C5345E"/>
    <w:rsid w:val="00C61C16"/>
    <w:rsid w:val="00C626E5"/>
    <w:rsid w:val="00C62DC6"/>
    <w:rsid w:val="00C63D87"/>
    <w:rsid w:val="00C65EDD"/>
    <w:rsid w:val="00C6657E"/>
    <w:rsid w:val="00C70F3E"/>
    <w:rsid w:val="00C714E0"/>
    <w:rsid w:val="00C72938"/>
    <w:rsid w:val="00C73252"/>
    <w:rsid w:val="00C73E8A"/>
    <w:rsid w:val="00C7419D"/>
    <w:rsid w:val="00C819C2"/>
    <w:rsid w:val="00C81E81"/>
    <w:rsid w:val="00C81F0E"/>
    <w:rsid w:val="00C863F5"/>
    <w:rsid w:val="00C86FDE"/>
    <w:rsid w:val="00C874B4"/>
    <w:rsid w:val="00C9011C"/>
    <w:rsid w:val="00C90784"/>
    <w:rsid w:val="00C92755"/>
    <w:rsid w:val="00C96820"/>
    <w:rsid w:val="00C96A00"/>
    <w:rsid w:val="00CA0283"/>
    <w:rsid w:val="00CA08F0"/>
    <w:rsid w:val="00CA12AA"/>
    <w:rsid w:val="00CA3F02"/>
    <w:rsid w:val="00CB01C3"/>
    <w:rsid w:val="00CB7775"/>
    <w:rsid w:val="00CC71AC"/>
    <w:rsid w:val="00CD3B4E"/>
    <w:rsid w:val="00CD5464"/>
    <w:rsid w:val="00CE0536"/>
    <w:rsid w:val="00CE629E"/>
    <w:rsid w:val="00CE6FBF"/>
    <w:rsid w:val="00CF0732"/>
    <w:rsid w:val="00CF29FE"/>
    <w:rsid w:val="00CF2DC1"/>
    <w:rsid w:val="00CF2FFD"/>
    <w:rsid w:val="00CF5B2A"/>
    <w:rsid w:val="00D01CFE"/>
    <w:rsid w:val="00D06042"/>
    <w:rsid w:val="00D07783"/>
    <w:rsid w:val="00D102E7"/>
    <w:rsid w:val="00D10FAC"/>
    <w:rsid w:val="00D14925"/>
    <w:rsid w:val="00D22627"/>
    <w:rsid w:val="00D26DCA"/>
    <w:rsid w:val="00D270AF"/>
    <w:rsid w:val="00D313D5"/>
    <w:rsid w:val="00D32F23"/>
    <w:rsid w:val="00D353D8"/>
    <w:rsid w:val="00D36836"/>
    <w:rsid w:val="00D36A3D"/>
    <w:rsid w:val="00D40D3A"/>
    <w:rsid w:val="00D4483F"/>
    <w:rsid w:val="00D448C8"/>
    <w:rsid w:val="00D45CD6"/>
    <w:rsid w:val="00D47267"/>
    <w:rsid w:val="00D50B3E"/>
    <w:rsid w:val="00D50CCF"/>
    <w:rsid w:val="00D517F8"/>
    <w:rsid w:val="00D52098"/>
    <w:rsid w:val="00D526DF"/>
    <w:rsid w:val="00D52841"/>
    <w:rsid w:val="00D53025"/>
    <w:rsid w:val="00D55041"/>
    <w:rsid w:val="00D558D6"/>
    <w:rsid w:val="00D567AA"/>
    <w:rsid w:val="00D61524"/>
    <w:rsid w:val="00D62750"/>
    <w:rsid w:val="00D638A1"/>
    <w:rsid w:val="00D66A31"/>
    <w:rsid w:val="00D70364"/>
    <w:rsid w:val="00D71331"/>
    <w:rsid w:val="00D726A7"/>
    <w:rsid w:val="00D74587"/>
    <w:rsid w:val="00D75FD8"/>
    <w:rsid w:val="00D86C9A"/>
    <w:rsid w:val="00D90393"/>
    <w:rsid w:val="00D91D37"/>
    <w:rsid w:val="00D927F3"/>
    <w:rsid w:val="00D93B3E"/>
    <w:rsid w:val="00D95130"/>
    <w:rsid w:val="00D96F74"/>
    <w:rsid w:val="00DA094D"/>
    <w:rsid w:val="00DA09DA"/>
    <w:rsid w:val="00DA1FE3"/>
    <w:rsid w:val="00DA29A3"/>
    <w:rsid w:val="00DA596D"/>
    <w:rsid w:val="00DB0D3F"/>
    <w:rsid w:val="00DB1288"/>
    <w:rsid w:val="00DB2C55"/>
    <w:rsid w:val="00DB5195"/>
    <w:rsid w:val="00DB6C5D"/>
    <w:rsid w:val="00DC00AB"/>
    <w:rsid w:val="00DC32EF"/>
    <w:rsid w:val="00DC3B1C"/>
    <w:rsid w:val="00DC446A"/>
    <w:rsid w:val="00DD0D1E"/>
    <w:rsid w:val="00DD1A26"/>
    <w:rsid w:val="00DD4696"/>
    <w:rsid w:val="00DE4943"/>
    <w:rsid w:val="00DE5A07"/>
    <w:rsid w:val="00DE5D49"/>
    <w:rsid w:val="00DF0F17"/>
    <w:rsid w:val="00DF12F3"/>
    <w:rsid w:val="00DF16C7"/>
    <w:rsid w:val="00DF1D64"/>
    <w:rsid w:val="00DF4352"/>
    <w:rsid w:val="00DF4DA1"/>
    <w:rsid w:val="00DF51B3"/>
    <w:rsid w:val="00DF5644"/>
    <w:rsid w:val="00DF637F"/>
    <w:rsid w:val="00DF6A3E"/>
    <w:rsid w:val="00DF6C2F"/>
    <w:rsid w:val="00DF75A5"/>
    <w:rsid w:val="00E015B1"/>
    <w:rsid w:val="00E05165"/>
    <w:rsid w:val="00E0560C"/>
    <w:rsid w:val="00E065A3"/>
    <w:rsid w:val="00E07A73"/>
    <w:rsid w:val="00E10D5F"/>
    <w:rsid w:val="00E120E3"/>
    <w:rsid w:val="00E13120"/>
    <w:rsid w:val="00E13C6E"/>
    <w:rsid w:val="00E141AA"/>
    <w:rsid w:val="00E25220"/>
    <w:rsid w:val="00E267CB"/>
    <w:rsid w:val="00E2722A"/>
    <w:rsid w:val="00E31663"/>
    <w:rsid w:val="00E337FD"/>
    <w:rsid w:val="00E363CD"/>
    <w:rsid w:val="00E37270"/>
    <w:rsid w:val="00E37750"/>
    <w:rsid w:val="00E42D4E"/>
    <w:rsid w:val="00E43F63"/>
    <w:rsid w:val="00E44402"/>
    <w:rsid w:val="00E476B2"/>
    <w:rsid w:val="00E51C7E"/>
    <w:rsid w:val="00E51E85"/>
    <w:rsid w:val="00E53E3B"/>
    <w:rsid w:val="00E61BA3"/>
    <w:rsid w:val="00E63C57"/>
    <w:rsid w:val="00E67E6D"/>
    <w:rsid w:val="00E72A5D"/>
    <w:rsid w:val="00E772C9"/>
    <w:rsid w:val="00E8106A"/>
    <w:rsid w:val="00E81E02"/>
    <w:rsid w:val="00E84992"/>
    <w:rsid w:val="00E93963"/>
    <w:rsid w:val="00EA0983"/>
    <w:rsid w:val="00EA1F1D"/>
    <w:rsid w:val="00EA3220"/>
    <w:rsid w:val="00EA335B"/>
    <w:rsid w:val="00EA5827"/>
    <w:rsid w:val="00EA6AF2"/>
    <w:rsid w:val="00EA70FA"/>
    <w:rsid w:val="00EB2937"/>
    <w:rsid w:val="00EB2A5C"/>
    <w:rsid w:val="00EB2CFE"/>
    <w:rsid w:val="00EB431C"/>
    <w:rsid w:val="00EB5301"/>
    <w:rsid w:val="00EB7493"/>
    <w:rsid w:val="00EC18A0"/>
    <w:rsid w:val="00EC4AF2"/>
    <w:rsid w:val="00EC7106"/>
    <w:rsid w:val="00ED09DB"/>
    <w:rsid w:val="00ED2822"/>
    <w:rsid w:val="00ED3CC8"/>
    <w:rsid w:val="00ED6EBE"/>
    <w:rsid w:val="00ED7796"/>
    <w:rsid w:val="00EE1662"/>
    <w:rsid w:val="00EF15B5"/>
    <w:rsid w:val="00EF2EBD"/>
    <w:rsid w:val="00EF32EE"/>
    <w:rsid w:val="00EF7011"/>
    <w:rsid w:val="00EF7FEC"/>
    <w:rsid w:val="00F03C76"/>
    <w:rsid w:val="00F051D1"/>
    <w:rsid w:val="00F06051"/>
    <w:rsid w:val="00F06D9D"/>
    <w:rsid w:val="00F11147"/>
    <w:rsid w:val="00F153E4"/>
    <w:rsid w:val="00F204B1"/>
    <w:rsid w:val="00F23364"/>
    <w:rsid w:val="00F25DEA"/>
    <w:rsid w:val="00F26A0F"/>
    <w:rsid w:val="00F271DF"/>
    <w:rsid w:val="00F3291E"/>
    <w:rsid w:val="00F375EF"/>
    <w:rsid w:val="00F4237E"/>
    <w:rsid w:val="00F43804"/>
    <w:rsid w:val="00F528CD"/>
    <w:rsid w:val="00F54110"/>
    <w:rsid w:val="00F572F7"/>
    <w:rsid w:val="00F57DB7"/>
    <w:rsid w:val="00F667B5"/>
    <w:rsid w:val="00F71831"/>
    <w:rsid w:val="00F75BFE"/>
    <w:rsid w:val="00F85742"/>
    <w:rsid w:val="00F8629F"/>
    <w:rsid w:val="00F8653C"/>
    <w:rsid w:val="00F87478"/>
    <w:rsid w:val="00F90DD0"/>
    <w:rsid w:val="00F91F64"/>
    <w:rsid w:val="00F923AC"/>
    <w:rsid w:val="00F926D3"/>
    <w:rsid w:val="00F939B2"/>
    <w:rsid w:val="00F96ED3"/>
    <w:rsid w:val="00F977E7"/>
    <w:rsid w:val="00F97FAF"/>
    <w:rsid w:val="00FA22EB"/>
    <w:rsid w:val="00FA38D3"/>
    <w:rsid w:val="00FA5458"/>
    <w:rsid w:val="00FA6F5D"/>
    <w:rsid w:val="00FA6F8E"/>
    <w:rsid w:val="00FB1A01"/>
    <w:rsid w:val="00FB1DFC"/>
    <w:rsid w:val="00FB368D"/>
    <w:rsid w:val="00FB4475"/>
    <w:rsid w:val="00FC15E0"/>
    <w:rsid w:val="00FC41BE"/>
    <w:rsid w:val="00FD02A2"/>
    <w:rsid w:val="00FD0BD8"/>
    <w:rsid w:val="00FD4E02"/>
    <w:rsid w:val="00FD633C"/>
    <w:rsid w:val="00FE2067"/>
    <w:rsid w:val="00FE2897"/>
    <w:rsid w:val="00FE72B9"/>
    <w:rsid w:val="00FF27BE"/>
    <w:rsid w:val="00FF43D7"/>
    <w:rsid w:val="00FF48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rsid w:val="00141791"/>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141791"/>
    <w:rPr>
      <w:vertAlign w:val="superscript"/>
    </w:rPr>
  </w:style>
  <w:style w:type="character" w:styleId="Hyperlink">
    <w:name w:val="Hyperlink"/>
    <w:basedOn w:val="DefaultParagraphFont"/>
    <w:uiPriority w:val="99"/>
    <w:unhideWhenUsed/>
    <w:rsid w:val="00141791"/>
    <w:rPr>
      <w:color w:val="0000FF" w:themeColor="hyperlink"/>
      <w:u w:val="single"/>
    </w:rPr>
  </w:style>
  <w:style w:type="paragraph" w:customStyle="1" w:styleId="naiskr">
    <w:name w:val="naiskr"/>
    <w:basedOn w:val="Normal"/>
    <w:rsid w:val="00C81F0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417D5"/>
    <w:rPr>
      <w:b/>
      <w:bCs/>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eur-lex.europa.eu/LexUriServ/LexUriServ.do?uri=OJ:L:2006:379:0005:01:LV:HTML" TargetMode="External"/><Relationship Id="rId12" Type="http://schemas.openxmlformats.org/officeDocument/2006/relationships/hyperlink" Target="mailto:inta.svirksta@i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uria.europa.eu/juris/document/document.jsf;jsessionid=9ea7d0f130dec30af9558f6f4f119116a6875eb3d380.e34KaxiLc3eQc40LaxqMbN4OaNqSe0?text=&amp;docid=79610&amp;pageIndex=0&amp;doclang=LV&amp;mode=lst&amp;dir=&amp;occ=first&amp;part=1&amp;cid=977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8:214:0003:01:LV: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79610&amp;pageIndex=0&amp;doclang=LV&amp;mode=lst&amp;dir=&amp;occ=first&amp;part=1&amp;cid=42602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96FB-B797-4EB7-B712-8CCAE8B9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2567</Words>
  <Characters>18822</Characters>
  <Application>Microsoft Office Word</Application>
  <DocSecurity>0</DocSecurity>
  <Lines>818</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19.oktobra noteikumos Nr.987 "Noteikumi par darbības programmas "Uzņēmējdarbība un inovācijas" papildinājuma 2.1.1.3.1.apakšaktivitātes "Zinātnes infrastruktūras attīstība" pirmo projektu </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dc:title>
  <dc:subject>Anotācija</dc:subject>
  <dc:creator>Švirksta</dc:creator>
  <dc:description>inta.svirksta@izm.gov.lv, tālr. 67047882</dc:description>
  <cp:lastModifiedBy>azilinska</cp:lastModifiedBy>
  <cp:revision>11</cp:revision>
  <cp:lastPrinted>2014-07-10T07:00:00Z</cp:lastPrinted>
  <dcterms:created xsi:type="dcterms:W3CDTF">2014-09-29T12:22:00Z</dcterms:created>
  <dcterms:modified xsi:type="dcterms:W3CDTF">2014-10-03T13:56:00Z</dcterms:modified>
</cp:coreProperties>
</file>