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30" w:rsidRPr="0006125D" w:rsidRDefault="00136D87" w:rsidP="00DD347D">
      <w:pPr>
        <w:tabs>
          <w:tab w:val="center" w:pos="4535"/>
          <w:tab w:val="left" w:pos="7035"/>
        </w:tabs>
        <w:jc w:val="center"/>
        <w:rPr>
          <w:b/>
          <w:sz w:val="26"/>
          <w:szCs w:val="26"/>
        </w:rPr>
      </w:pPr>
      <w:bookmarkStart w:id="0" w:name="OLE_LINK3"/>
      <w:bookmarkStart w:id="1" w:name="OLE_LINK4"/>
      <w:bookmarkStart w:id="2" w:name="OLE_LINK1"/>
      <w:r w:rsidRPr="0006125D">
        <w:rPr>
          <w:b/>
          <w:sz w:val="26"/>
          <w:szCs w:val="26"/>
        </w:rPr>
        <w:t>M</w:t>
      </w:r>
      <w:r w:rsidR="005D6B8A" w:rsidRPr="0006125D">
        <w:rPr>
          <w:b/>
          <w:sz w:val="26"/>
          <w:szCs w:val="26"/>
        </w:rPr>
        <w:t>in</w:t>
      </w:r>
      <w:r w:rsidR="00DD347D" w:rsidRPr="0006125D">
        <w:rPr>
          <w:b/>
          <w:sz w:val="26"/>
          <w:szCs w:val="26"/>
        </w:rPr>
        <w:t xml:space="preserve">istru kabineta rīkojuma projekta </w:t>
      </w:r>
      <w:r w:rsidR="009F5CAD" w:rsidRPr="0006125D">
        <w:rPr>
          <w:b/>
          <w:sz w:val="26"/>
          <w:szCs w:val="26"/>
        </w:rPr>
        <w:t>“</w:t>
      </w:r>
      <w:r w:rsidR="00DD347D" w:rsidRPr="0006125D">
        <w:rPr>
          <w:b/>
          <w:sz w:val="26"/>
          <w:szCs w:val="26"/>
        </w:rPr>
        <w:t>Par apropriācijas pārdali”</w:t>
      </w:r>
      <w:r w:rsidR="00020664" w:rsidRPr="0006125D">
        <w:rPr>
          <w:b/>
          <w:sz w:val="26"/>
          <w:szCs w:val="26"/>
        </w:rPr>
        <w:t xml:space="preserve"> </w:t>
      </w:r>
    </w:p>
    <w:p w:rsidR="00585B7B" w:rsidRPr="0006125D" w:rsidRDefault="00585B7B" w:rsidP="00DD347D">
      <w:pPr>
        <w:tabs>
          <w:tab w:val="center" w:pos="4535"/>
          <w:tab w:val="left" w:pos="7035"/>
        </w:tabs>
        <w:jc w:val="center"/>
        <w:rPr>
          <w:b/>
          <w:sz w:val="26"/>
          <w:szCs w:val="26"/>
        </w:rPr>
      </w:pPr>
      <w:r w:rsidRPr="0006125D">
        <w:rPr>
          <w:b/>
          <w:sz w:val="26"/>
          <w:szCs w:val="26"/>
        </w:rPr>
        <w:t xml:space="preserve">sākotnējās ietekmes novērtējuma </w:t>
      </w:r>
      <w:smartTag w:uri="schemas-tilde-lv/tildestengine" w:element="veidnes">
        <w:smartTagPr>
          <w:attr w:name="text" w:val="ziņojums"/>
          <w:attr w:name="baseform" w:val="ziņojums"/>
          <w:attr w:name="id" w:val="-1"/>
        </w:smartTagPr>
        <w:r w:rsidRPr="0006125D">
          <w:rPr>
            <w:b/>
            <w:sz w:val="26"/>
            <w:szCs w:val="26"/>
          </w:rPr>
          <w:t>ziņojums</w:t>
        </w:r>
      </w:smartTag>
      <w:r w:rsidRPr="0006125D">
        <w:rPr>
          <w:b/>
          <w:sz w:val="26"/>
          <w:szCs w:val="26"/>
        </w:rPr>
        <w:t xml:space="preserve"> (anotācija)</w:t>
      </w:r>
    </w:p>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7371"/>
      </w:tblGrid>
      <w:tr w:rsidR="00585B7B" w:rsidRPr="0006125D" w:rsidTr="00CA6C73">
        <w:tc>
          <w:tcPr>
            <w:tcW w:w="10343" w:type="dxa"/>
            <w:gridSpan w:val="3"/>
            <w:vAlign w:val="center"/>
          </w:tcPr>
          <w:bookmarkEnd w:id="0"/>
          <w:bookmarkEnd w:id="1"/>
          <w:bookmarkEnd w:id="2"/>
          <w:p w:rsidR="00585B7B" w:rsidRPr="0006125D" w:rsidRDefault="00585B7B" w:rsidP="00194A0F">
            <w:pPr>
              <w:pStyle w:val="naisnod"/>
              <w:spacing w:before="0" w:after="0"/>
              <w:rPr>
                <w:sz w:val="26"/>
                <w:szCs w:val="26"/>
              </w:rPr>
            </w:pPr>
            <w:r w:rsidRPr="0006125D">
              <w:rPr>
                <w:sz w:val="26"/>
                <w:szCs w:val="26"/>
              </w:rPr>
              <w:t>I. Tiesību akta projekta izstrādes nepieciešamība</w:t>
            </w:r>
          </w:p>
        </w:tc>
      </w:tr>
      <w:tr w:rsidR="00585B7B" w:rsidRPr="0006125D" w:rsidTr="00CA6C73">
        <w:trPr>
          <w:trHeight w:val="630"/>
        </w:trPr>
        <w:tc>
          <w:tcPr>
            <w:tcW w:w="562" w:type="dxa"/>
          </w:tcPr>
          <w:p w:rsidR="00585B7B" w:rsidRPr="0006125D" w:rsidRDefault="00585B7B" w:rsidP="00BD696A">
            <w:pPr>
              <w:pStyle w:val="naiskr"/>
              <w:spacing w:before="0" w:after="0"/>
              <w:jc w:val="center"/>
              <w:rPr>
                <w:sz w:val="26"/>
                <w:szCs w:val="26"/>
              </w:rPr>
            </w:pPr>
            <w:r w:rsidRPr="0006125D">
              <w:rPr>
                <w:sz w:val="26"/>
                <w:szCs w:val="26"/>
              </w:rPr>
              <w:t>1.</w:t>
            </w:r>
          </w:p>
        </w:tc>
        <w:tc>
          <w:tcPr>
            <w:tcW w:w="2410" w:type="dxa"/>
          </w:tcPr>
          <w:p w:rsidR="00585B7B" w:rsidRPr="0006125D" w:rsidRDefault="00585B7B" w:rsidP="00916055">
            <w:pPr>
              <w:pStyle w:val="naiskr"/>
              <w:spacing w:before="0" w:after="0"/>
              <w:ind w:left="141" w:hanging="10"/>
              <w:rPr>
                <w:sz w:val="26"/>
                <w:szCs w:val="26"/>
              </w:rPr>
            </w:pPr>
            <w:r w:rsidRPr="0006125D">
              <w:rPr>
                <w:sz w:val="26"/>
                <w:szCs w:val="26"/>
              </w:rPr>
              <w:t>Pamatojums</w:t>
            </w:r>
          </w:p>
        </w:tc>
        <w:tc>
          <w:tcPr>
            <w:tcW w:w="7371" w:type="dxa"/>
          </w:tcPr>
          <w:p w:rsidR="006D263E" w:rsidRPr="0006125D" w:rsidRDefault="006D263E" w:rsidP="006D263E">
            <w:pPr>
              <w:pStyle w:val="ListParagraph"/>
              <w:numPr>
                <w:ilvl w:val="0"/>
                <w:numId w:val="9"/>
              </w:numPr>
              <w:ind w:right="127"/>
              <w:jc w:val="both"/>
              <w:rPr>
                <w:sz w:val="26"/>
                <w:szCs w:val="26"/>
              </w:rPr>
            </w:pPr>
            <w:r w:rsidRPr="0006125D">
              <w:rPr>
                <w:sz w:val="26"/>
                <w:szCs w:val="26"/>
              </w:rPr>
              <w:t>Nepieciešamība segt ar 2015.gada Eiropas čempionāta basketbolā grupu turnīra</w:t>
            </w:r>
            <w:r w:rsidR="00A2178F" w:rsidRPr="0006125D">
              <w:rPr>
                <w:sz w:val="26"/>
                <w:szCs w:val="26"/>
              </w:rPr>
              <w:t xml:space="preserve"> (turpmāk – Čempionāts)</w:t>
            </w:r>
            <w:r w:rsidRPr="0006125D">
              <w:rPr>
                <w:sz w:val="26"/>
                <w:szCs w:val="26"/>
              </w:rPr>
              <w:t xml:space="preserve"> rīkošanu Latvijā saistītā licences maksājuma </w:t>
            </w:r>
            <w:r w:rsidR="00876518" w:rsidRPr="0006125D">
              <w:rPr>
                <w:sz w:val="26"/>
                <w:szCs w:val="26"/>
              </w:rPr>
              <w:t>otro</w:t>
            </w:r>
            <w:r w:rsidRPr="0006125D">
              <w:rPr>
                <w:sz w:val="26"/>
                <w:szCs w:val="26"/>
              </w:rPr>
              <w:t xml:space="preserve"> daļu.</w:t>
            </w:r>
          </w:p>
          <w:p w:rsidR="00466E6C" w:rsidRPr="0006125D" w:rsidRDefault="008C0244" w:rsidP="008C0244">
            <w:pPr>
              <w:pStyle w:val="ListParagraph"/>
              <w:numPr>
                <w:ilvl w:val="0"/>
                <w:numId w:val="9"/>
              </w:numPr>
              <w:ind w:right="127"/>
              <w:jc w:val="both"/>
              <w:rPr>
                <w:sz w:val="26"/>
                <w:szCs w:val="26"/>
              </w:rPr>
            </w:pPr>
            <w:r w:rsidRPr="0006125D">
              <w:rPr>
                <w:sz w:val="26"/>
                <w:szCs w:val="26"/>
              </w:rPr>
              <w:t>Likuma “Par valsts budžetu 2014.gadam” 33.panta 3.punkts.</w:t>
            </w:r>
          </w:p>
        </w:tc>
      </w:tr>
      <w:tr w:rsidR="00585B7B" w:rsidRPr="0006125D" w:rsidTr="00CA6C73">
        <w:trPr>
          <w:trHeight w:val="562"/>
        </w:trPr>
        <w:tc>
          <w:tcPr>
            <w:tcW w:w="562" w:type="dxa"/>
          </w:tcPr>
          <w:p w:rsidR="00585B7B" w:rsidRPr="0006125D" w:rsidRDefault="00585B7B" w:rsidP="00BD696A">
            <w:pPr>
              <w:pStyle w:val="naiskr"/>
              <w:spacing w:before="0" w:after="0"/>
              <w:jc w:val="center"/>
              <w:rPr>
                <w:sz w:val="26"/>
                <w:szCs w:val="26"/>
              </w:rPr>
            </w:pPr>
            <w:r w:rsidRPr="0006125D">
              <w:rPr>
                <w:sz w:val="26"/>
                <w:szCs w:val="26"/>
              </w:rPr>
              <w:t>2.</w:t>
            </w:r>
          </w:p>
        </w:tc>
        <w:tc>
          <w:tcPr>
            <w:tcW w:w="2410" w:type="dxa"/>
          </w:tcPr>
          <w:p w:rsidR="00585B7B" w:rsidRPr="0006125D" w:rsidRDefault="00005A9D" w:rsidP="00916055">
            <w:pPr>
              <w:pStyle w:val="naiskr"/>
              <w:tabs>
                <w:tab w:val="left" w:pos="170"/>
              </w:tabs>
              <w:spacing w:before="0" w:after="0"/>
              <w:ind w:left="141"/>
              <w:rPr>
                <w:sz w:val="26"/>
                <w:szCs w:val="26"/>
              </w:rPr>
            </w:pPr>
            <w:r w:rsidRPr="0006125D">
              <w:rPr>
                <w:sz w:val="26"/>
                <w:szCs w:val="26"/>
              </w:rPr>
              <w:t>Pašreizējā situācija un problēmas, kuru risināšanai tiesību akta projekts izstrādāts, tiesiskā regulējuma mērķis un būtība</w:t>
            </w:r>
          </w:p>
        </w:tc>
        <w:tc>
          <w:tcPr>
            <w:tcW w:w="7371" w:type="dxa"/>
          </w:tcPr>
          <w:p w:rsidR="00A24A9C" w:rsidRPr="0006125D" w:rsidRDefault="00D257EB" w:rsidP="00A24A9C">
            <w:pPr>
              <w:ind w:left="132" w:right="127"/>
              <w:jc w:val="both"/>
              <w:rPr>
                <w:sz w:val="26"/>
                <w:szCs w:val="26"/>
              </w:rPr>
            </w:pPr>
            <w:r w:rsidRPr="0006125D">
              <w:rPr>
                <w:sz w:val="26"/>
                <w:szCs w:val="26"/>
              </w:rPr>
              <w:tab/>
            </w:r>
            <w:r w:rsidR="00DC1EE5" w:rsidRPr="0006125D">
              <w:rPr>
                <w:sz w:val="26"/>
                <w:szCs w:val="26"/>
              </w:rPr>
              <w:t xml:space="preserve"> Ministru kabineta 2014.gada 29.jūlija sēd</w:t>
            </w:r>
            <w:r w:rsidR="00922913" w:rsidRPr="0006125D">
              <w:rPr>
                <w:sz w:val="26"/>
                <w:szCs w:val="26"/>
              </w:rPr>
              <w:t>ē, uzklausot</w:t>
            </w:r>
            <w:r w:rsidR="00876518" w:rsidRPr="0006125D">
              <w:rPr>
                <w:sz w:val="26"/>
                <w:szCs w:val="26"/>
              </w:rPr>
              <w:t xml:space="preserve"> Izglītības un zinātnes ministrijas (turpmāk – IZM) </w:t>
            </w:r>
            <w:r w:rsidR="00922913" w:rsidRPr="0006125D">
              <w:rPr>
                <w:sz w:val="26"/>
                <w:szCs w:val="26"/>
              </w:rPr>
              <w:t>un biedrības “Latvijas Basketbola savienība” (turpmāk – LBS) sniegto informāciju, iepaz</w:t>
            </w:r>
            <w:r w:rsidR="0025509B" w:rsidRPr="0006125D">
              <w:rPr>
                <w:sz w:val="26"/>
                <w:szCs w:val="26"/>
              </w:rPr>
              <w:t>īstoties ar IZM izstrādāto informatīvo ziņojumu “Par 2015.gada Eiropas čempionāta basketbolā grupu turnīra sarīkošanu Latvijā</w:t>
            </w:r>
            <w:r w:rsidR="004776B2" w:rsidRPr="0006125D">
              <w:rPr>
                <w:sz w:val="26"/>
                <w:szCs w:val="26"/>
              </w:rPr>
              <w:t xml:space="preserve">”, kā arī, ņemot vērā </w:t>
            </w:r>
            <w:r w:rsidR="0025509B" w:rsidRPr="0006125D">
              <w:rPr>
                <w:sz w:val="26"/>
                <w:szCs w:val="26"/>
              </w:rPr>
              <w:t xml:space="preserve"> </w:t>
            </w:r>
            <w:r w:rsidR="004776B2" w:rsidRPr="0006125D">
              <w:rPr>
                <w:sz w:val="26"/>
                <w:szCs w:val="26"/>
              </w:rPr>
              <w:t xml:space="preserve"> Latvijas Nacionālās sporta padomes 2014.gada 24.jūlija sēdē Ministru kabinetam izteikto aicinājumu (prot. Nr.3 8.§., 8.3.</w:t>
            </w:r>
            <w:r w:rsidR="00AE4C26" w:rsidRPr="0006125D">
              <w:rPr>
                <w:sz w:val="26"/>
                <w:szCs w:val="26"/>
              </w:rPr>
              <w:t xml:space="preserve"> un 8.4</w:t>
            </w:r>
            <w:r w:rsidR="004776B2" w:rsidRPr="0006125D">
              <w:rPr>
                <w:sz w:val="26"/>
                <w:szCs w:val="26"/>
              </w:rPr>
              <w:t>.apakšpunkts</w:t>
            </w:r>
            <w:r w:rsidR="00A2178F" w:rsidRPr="0006125D">
              <w:rPr>
                <w:sz w:val="26"/>
                <w:szCs w:val="26"/>
              </w:rPr>
              <w:t>), tika nolemts (prot. Nr.41 28.§) atbalstīt LBS ieceri par Čempionāta sarīkošanu Latvijā, kā arī noteikts</w:t>
            </w:r>
            <w:r w:rsidR="00A24A9C" w:rsidRPr="0006125D">
              <w:rPr>
                <w:sz w:val="26"/>
                <w:szCs w:val="26"/>
              </w:rPr>
              <w:t>, ka gadījumā, ja  Starptautiskās Basketbola federācijas Eiropas nodaļa (FIBA Europe) pieņem lēmumu par Čempionāta sarīkošanu Latvijā:</w:t>
            </w:r>
          </w:p>
          <w:p w:rsidR="00A24A9C" w:rsidRPr="0006125D" w:rsidRDefault="00A24A9C" w:rsidP="00A24A9C">
            <w:pPr>
              <w:pStyle w:val="ListParagraph"/>
              <w:numPr>
                <w:ilvl w:val="0"/>
                <w:numId w:val="16"/>
              </w:numPr>
              <w:ind w:right="127"/>
              <w:jc w:val="both"/>
              <w:rPr>
                <w:sz w:val="26"/>
                <w:szCs w:val="26"/>
              </w:rPr>
            </w:pPr>
            <w:r w:rsidRPr="0006125D">
              <w:rPr>
                <w:sz w:val="26"/>
                <w:szCs w:val="26"/>
              </w:rPr>
              <w:t xml:space="preserve">IZM ir jāizstrādā un pēc Starptautiskās Basketbola federācijas Eiropas nodaļas lēmuma pieņemšanas izskatīšanai Ministru kabinetā jāiesniedz ar Finanšu ministriju saskaņots Ministru kabineta rīkojuma projekts par 600 000 </w:t>
            </w:r>
            <w:r w:rsidRPr="0006125D">
              <w:rPr>
                <w:i/>
                <w:sz w:val="26"/>
                <w:szCs w:val="26"/>
              </w:rPr>
              <w:t>euro</w:t>
            </w:r>
            <w:r w:rsidRPr="0006125D">
              <w:rPr>
                <w:sz w:val="26"/>
                <w:szCs w:val="26"/>
              </w:rPr>
              <w:t xml:space="preserve"> piešķiršanu IZM (pārskaitīšanai LBS), lai līdz 2014.gada 30.septembrim segtu ar Čempionāta rīkošanu saistītā licences maksājuma pirmo daļu (protokollēmuma 3.1.apakšpunkts); </w:t>
            </w:r>
          </w:p>
          <w:p w:rsidR="00A24A9C" w:rsidRPr="0006125D" w:rsidRDefault="00A24A9C" w:rsidP="00A24A9C">
            <w:pPr>
              <w:pStyle w:val="ListParagraph"/>
              <w:numPr>
                <w:ilvl w:val="0"/>
                <w:numId w:val="16"/>
              </w:numPr>
              <w:ind w:right="127"/>
              <w:jc w:val="both"/>
              <w:rPr>
                <w:sz w:val="26"/>
                <w:szCs w:val="26"/>
              </w:rPr>
            </w:pPr>
            <w:r w:rsidRPr="0006125D">
              <w:rPr>
                <w:sz w:val="26"/>
                <w:szCs w:val="26"/>
              </w:rPr>
              <w:t xml:space="preserve">jautājums par 2015.gadam nepieciešamo finansējumu licences maksājuma otrajai daļai 600 000 </w:t>
            </w:r>
            <w:r w:rsidRPr="0006125D">
              <w:rPr>
                <w:i/>
                <w:sz w:val="26"/>
                <w:szCs w:val="26"/>
              </w:rPr>
              <w:t>euro</w:t>
            </w:r>
            <w:r w:rsidRPr="0006125D">
              <w:rPr>
                <w:sz w:val="26"/>
                <w:szCs w:val="26"/>
              </w:rPr>
              <w:t xml:space="preserve"> apmērā ir izskatāms Ministru kabinetā likumprojekta “Par valsts budžetu 2015.gadam” un likumprojekta “Par vidēja termiņa budžeta ietvaru 2015., 2016. un 2017.gadam” sagatavošanas laikā (protokollēmuma 3.2.apakšpunkts).</w:t>
            </w:r>
          </w:p>
          <w:p w:rsidR="00A24A9C" w:rsidRPr="0006125D" w:rsidRDefault="00A24A9C" w:rsidP="00A24A9C">
            <w:pPr>
              <w:ind w:left="132" w:right="127"/>
              <w:jc w:val="both"/>
              <w:rPr>
                <w:sz w:val="26"/>
                <w:szCs w:val="26"/>
              </w:rPr>
            </w:pPr>
            <w:r w:rsidRPr="0006125D">
              <w:rPr>
                <w:sz w:val="26"/>
                <w:szCs w:val="26"/>
              </w:rPr>
              <w:t>Vienlaikus tika noteikts, ka, izstrādājot attiecīgu Ministru kabineta rīkojuma projektu, IZM sadarbībā ar Finanšu ministriju jāizvērtē iespēja šos līdzekļus pilnībā vai daļēji rast IZM 2014.gada valsts budžeta programmās.</w:t>
            </w:r>
          </w:p>
          <w:p w:rsidR="002C7307" w:rsidRDefault="00A2178F" w:rsidP="00C112B7">
            <w:pPr>
              <w:ind w:left="132" w:right="127"/>
              <w:jc w:val="both"/>
              <w:rPr>
                <w:sz w:val="26"/>
                <w:szCs w:val="26"/>
              </w:rPr>
            </w:pPr>
            <w:r w:rsidRPr="0006125D">
              <w:rPr>
                <w:sz w:val="26"/>
                <w:szCs w:val="26"/>
              </w:rPr>
              <w:tab/>
              <w:t>2014.gada 8.septembrī  Starptautiskās Basketbola federācijas Eiropas nodaļa pieņēma lēmumu par Čempionāta sarīkošanu Latvijā.</w:t>
            </w:r>
          </w:p>
          <w:p w:rsidR="00C112B7" w:rsidRPr="0006125D" w:rsidRDefault="00C112B7" w:rsidP="00C112B7">
            <w:pPr>
              <w:ind w:left="132" w:right="127"/>
              <w:jc w:val="both"/>
              <w:rPr>
                <w:sz w:val="26"/>
                <w:szCs w:val="26"/>
              </w:rPr>
            </w:pPr>
            <w:r w:rsidRPr="0006125D">
              <w:rPr>
                <w:sz w:val="26"/>
                <w:szCs w:val="26"/>
              </w:rPr>
              <w:tab/>
              <w:t xml:space="preserve">Ar Ministru kabineta 2014.gada 16.septembra rīkojuma Nr.497 “Par apropriācijas pārdali” 1.punktu tika atbalstīta apropriācijas pārdali no IZM budžeta apakšprogrammas 01.05.00 “Dotācija privātajām mācību iestādēm” 600 000 </w:t>
            </w:r>
            <w:r w:rsidRPr="0006125D">
              <w:rPr>
                <w:i/>
                <w:sz w:val="26"/>
                <w:szCs w:val="26"/>
              </w:rPr>
              <w:t>euro</w:t>
            </w:r>
            <w:r w:rsidRPr="0006125D">
              <w:rPr>
                <w:sz w:val="26"/>
                <w:szCs w:val="26"/>
              </w:rPr>
              <w:t xml:space="preserve"> apmērā uz IZM budžeta apakšprogrammu 09.16.00 “Dotācija nacionālās nozīmes starptautisku sporta pasākumu organizēšanai Latvijā”, lai segtu licences maksājuma pirmo daļu saistībā ar Čempionāta rīkošanu Latvijā.</w:t>
            </w:r>
          </w:p>
          <w:p w:rsidR="00C112B7" w:rsidRPr="0006125D" w:rsidRDefault="00C112B7" w:rsidP="00C112B7">
            <w:pPr>
              <w:ind w:left="132" w:right="127"/>
              <w:jc w:val="both"/>
              <w:rPr>
                <w:sz w:val="26"/>
                <w:szCs w:val="26"/>
              </w:rPr>
            </w:pPr>
            <w:r w:rsidRPr="0006125D">
              <w:rPr>
                <w:sz w:val="26"/>
                <w:szCs w:val="26"/>
              </w:rPr>
              <w:tab/>
              <w:t>Apzinoties</w:t>
            </w:r>
            <w:r w:rsidR="00F70A0E" w:rsidRPr="0006125D">
              <w:rPr>
                <w:sz w:val="26"/>
                <w:szCs w:val="26"/>
              </w:rPr>
              <w:t xml:space="preserve"> </w:t>
            </w:r>
            <w:r w:rsidRPr="0006125D">
              <w:rPr>
                <w:sz w:val="26"/>
                <w:szCs w:val="26"/>
              </w:rPr>
              <w:t>ierobežotās iespējas</w:t>
            </w:r>
            <w:r w:rsidR="00247BE3" w:rsidRPr="0006125D">
              <w:rPr>
                <w:sz w:val="26"/>
                <w:szCs w:val="26"/>
              </w:rPr>
              <w:t xml:space="preserve"> 2015.gada valsts budžetā paredzēt </w:t>
            </w:r>
            <w:r w:rsidR="00B26712" w:rsidRPr="0006125D">
              <w:rPr>
                <w:sz w:val="26"/>
                <w:szCs w:val="26"/>
              </w:rPr>
              <w:t xml:space="preserve">šim mērķim papildus </w:t>
            </w:r>
            <w:r w:rsidRPr="0006125D">
              <w:rPr>
                <w:sz w:val="26"/>
                <w:szCs w:val="26"/>
              </w:rPr>
              <w:t>nepieciešamo finansējumu</w:t>
            </w:r>
            <w:r w:rsidR="00B26712" w:rsidRPr="0006125D">
              <w:rPr>
                <w:sz w:val="26"/>
                <w:szCs w:val="26"/>
              </w:rPr>
              <w:t xml:space="preserve">, kā arī </w:t>
            </w:r>
            <w:r w:rsidRPr="0006125D">
              <w:rPr>
                <w:sz w:val="26"/>
                <w:szCs w:val="26"/>
              </w:rPr>
              <w:t xml:space="preserve">izvērtējot iespēju nepieciešamo finansējumu rast </w:t>
            </w:r>
            <w:r w:rsidR="00B26712" w:rsidRPr="0006125D">
              <w:rPr>
                <w:sz w:val="26"/>
                <w:szCs w:val="26"/>
              </w:rPr>
              <w:t xml:space="preserve">jau </w:t>
            </w:r>
            <w:r w:rsidRPr="0006125D">
              <w:rPr>
                <w:sz w:val="26"/>
                <w:szCs w:val="26"/>
              </w:rPr>
              <w:t xml:space="preserve">IZM 2014.gada </w:t>
            </w:r>
            <w:r w:rsidRPr="0006125D">
              <w:rPr>
                <w:sz w:val="26"/>
                <w:szCs w:val="26"/>
              </w:rPr>
              <w:lastRenderedPageBreak/>
              <w:t xml:space="preserve">valsts budžeta programmās, IZM ierosina veikt apropriācijas pārdali no IZM budžeta apakšprogrammas 01.05.00 “Dotācija privātajām mācību iestādēm” 600 000 </w:t>
            </w:r>
            <w:r w:rsidRPr="0006125D">
              <w:rPr>
                <w:i/>
                <w:sz w:val="26"/>
                <w:szCs w:val="26"/>
              </w:rPr>
              <w:t>euro</w:t>
            </w:r>
            <w:r w:rsidRPr="0006125D">
              <w:rPr>
                <w:sz w:val="26"/>
                <w:szCs w:val="26"/>
              </w:rPr>
              <w:t xml:space="preserve"> apmērā uz IZM budžeta apakšprogrammu 09.16.00 “Dotācija nacionālās nozīmes starptautisku sporta pasākumu organizēšanai Latvijā”, lai segtu licences maksājuma otro daļu saistībā ar Čempionāta rīkošanu Latvijā.</w:t>
            </w:r>
            <w:r w:rsidR="00377E19" w:rsidRPr="0006125D">
              <w:rPr>
                <w:sz w:val="26"/>
                <w:szCs w:val="26"/>
              </w:rPr>
              <w:t xml:space="preserve"> </w:t>
            </w:r>
            <w:r w:rsidR="00310877" w:rsidRPr="0006125D">
              <w:rPr>
                <w:sz w:val="26"/>
                <w:szCs w:val="26"/>
              </w:rPr>
              <w:t>M</w:t>
            </w:r>
            <w:r w:rsidR="00377E19" w:rsidRPr="0006125D">
              <w:rPr>
                <w:sz w:val="26"/>
                <w:szCs w:val="26"/>
              </w:rPr>
              <w:t xml:space="preserve">inētā pārdale neapdraud </w:t>
            </w:r>
            <w:r w:rsidR="005C066E" w:rsidRPr="0006125D">
              <w:rPr>
                <w:sz w:val="26"/>
                <w:szCs w:val="26"/>
              </w:rPr>
              <w:t xml:space="preserve">IZM budžeta </w:t>
            </w:r>
            <w:r w:rsidR="00377E19" w:rsidRPr="0006125D">
              <w:rPr>
                <w:sz w:val="26"/>
                <w:szCs w:val="26"/>
              </w:rPr>
              <w:t>apakšprogrammā 01.05.00 “Dotācija privātajām mācību iestādēm” paredzēto pasākumu īstenošanu</w:t>
            </w:r>
            <w:r w:rsidR="005C066E" w:rsidRPr="0006125D">
              <w:rPr>
                <w:sz w:val="26"/>
                <w:szCs w:val="26"/>
              </w:rPr>
              <w:t xml:space="preserve"> 2014.gadā</w:t>
            </w:r>
            <w:r w:rsidR="00377E19" w:rsidRPr="0006125D">
              <w:rPr>
                <w:sz w:val="26"/>
                <w:szCs w:val="26"/>
              </w:rPr>
              <w:t>.</w:t>
            </w:r>
          </w:p>
          <w:p w:rsidR="00876518" w:rsidRPr="0006125D" w:rsidRDefault="00C112B7" w:rsidP="00876518">
            <w:pPr>
              <w:ind w:left="132" w:right="127"/>
              <w:jc w:val="both"/>
              <w:rPr>
                <w:rFonts w:eastAsia="Times New Roman"/>
                <w:color w:val="000000"/>
                <w:sz w:val="26"/>
                <w:szCs w:val="26"/>
              </w:rPr>
            </w:pPr>
            <w:r w:rsidRPr="0006125D">
              <w:rPr>
                <w:rFonts w:eastAsia="Times New Roman"/>
                <w:color w:val="000000"/>
                <w:sz w:val="26"/>
                <w:szCs w:val="26"/>
              </w:rPr>
              <w:tab/>
            </w:r>
            <w:r w:rsidR="00876518" w:rsidRPr="0006125D">
              <w:rPr>
                <w:rFonts w:eastAsia="Times New Roman"/>
                <w:color w:val="000000"/>
                <w:sz w:val="26"/>
                <w:szCs w:val="26"/>
              </w:rPr>
              <w:t>Saskaņā ar  likuma “Par valsts budžetu 2014.gadam” 33.panta 3.punktu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Minētā norma arī nosaka, ka šādu apropriācijas pārdali atļauts veikt, ja Saeimas Budžeta un finanšu (nodokļu) komisija piecu dienu laikā no attiecīgās informācijas saņemšanas nav iebildusi pret apropriācijas pārdali.</w:t>
            </w:r>
          </w:p>
          <w:p w:rsidR="008A6C8A" w:rsidRPr="0006125D" w:rsidRDefault="00876518" w:rsidP="00593EB2">
            <w:pPr>
              <w:ind w:left="132" w:right="127"/>
              <w:jc w:val="both"/>
              <w:rPr>
                <w:sz w:val="26"/>
                <w:szCs w:val="26"/>
              </w:rPr>
            </w:pPr>
            <w:r w:rsidRPr="0006125D">
              <w:rPr>
                <w:rFonts w:eastAsia="Times New Roman"/>
                <w:color w:val="000000"/>
                <w:sz w:val="26"/>
                <w:szCs w:val="26"/>
              </w:rPr>
              <w:tab/>
              <w:t xml:space="preserve">Ievērojot minēto, IZM ir izstrādājusi Ministru kabineta rīkojuma projektu “Par </w:t>
            </w:r>
            <w:r w:rsidR="00C112B7" w:rsidRPr="0006125D">
              <w:rPr>
                <w:rFonts w:eastAsia="Times New Roman"/>
                <w:color w:val="000000"/>
                <w:sz w:val="26"/>
                <w:szCs w:val="26"/>
              </w:rPr>
              <w:t>apropriācijas pārdali”</w:t>
            </w:r>
            <w:r w:rsidRPr="0006125D">
              <w:rPr>
                <w:rFonts w:eastAsia="Times New Roman"/>
                <w:color w:val="000000"/>
                <w:sz w:val="26"/>
                <w:szCs w:val="26"/>
              </w:rPr>
              <w:t>.</w:t>
            </w:r>
          </w:p>
        </w:tc>
      </w:tr>
      <w:tr w:rsidR="00585B7B" w:rsidRPr="0006125D" w:rsidTr="00CA6C73">
        <w:trPr>
          <w:trHeight w:val="476"/>
        </w:trPr>
        <w:tc>
          <w:tcPr>
            <w:tcW w:w="562" w:type="dxa"/>
          </w:tcPr>
          <w:p w:rsidR="00585B7B" w:rsidRPr="0006125D" w:rsidRDefault="00005A9D" w:rsidP="00BD696A">
            <w:pPr>
              <w:pStyle w:val="naiskr"/>
              <w:spacing w:before="0" w:after="0"/>
              <w:jc w:val="center"/>
              <w:rPr>
                <w:sz w:val="26"/>
                <w:szCs w:val="26"/>
              </w:rPr>
            </w:pPr>
            <w:r w:rsidRPr="0006125D">
              <w:rPr>
                <w:sz w:val="26"/>
                <w:szCs w:val="26"/>
              </w:rPr>
              <w:lastRenderedPageBreak/>
              <w:t>3.</w:t>
            </w:r>
          </w:p>
        </w:tc>
        <w:tc>
          <w:tcPr>
            <w:tcW w:w="2410" w:type="dxa"/>
          </w:tcPr>
          <w:p w:rsidR="00585B7B" w:rsidRPr="0006125D" w:rsidRDefault="00005A9D" w:rsidP="00916055">
            <w:pPr>
              <w:pStyle w:val="naiskr"/>
              <w:spacing w:before="0" w:after="0"/>
              <w:ind w:left="141"/>
              <w:rPr>
                <w:sz w:val="26"/>
                <w:szCs w:val="26"/>
              </w:rPr>
            </w:pPr>
            <w:r w:rsidRPr="0006125D">
              <w:rPr>
                <w:sz w:val="26"/>
                <w:szCs w:val="26"/>
              </w:rPr>
              <w:t>Projekta izstrādē iesaistītās institūcijas</w:t>
            </w:r>
          </w:p>
        </w:tc>
        <w:tc>
          <w:tcPr>
            <w:tcW w:w="7371" w:type="dxa"/>
          </w:tcPr>
          <w:p w:rsidR="00643E6C" w:rsidRPr="0006125D" w:rsidRDefault="00DC332F" w:rsidP="00593EB2">
            <w:pPr>
              <w:ind w:left="82" w:right="141"/>
              <w:jc w:val="both"/>
              <w:rPr>
                <w:sz w:val="26"/>
                <w:szCs w:val="26"/>
              </w:rPr>
            </w:pPr>
            <w:r w:rsidRPr="0006125D">
              <w:rPr>
                <w:sz w:val="26"/>
                <w:szCs w:val="26"/>
              </w:rPr>
              <w:t>Ministru kabineta rīkojuma projektu izstrādāja IZM</w:t>
            </w:r>
            <w:r w:rsidR="00593EB2" w:rsidRPr="0006125D">
              <w:rPr>
                <w:sz w:val="26"/>
                <w:szCs w:val="26"/>
              </w:rPr>
              <w:t>,</w:t>
            </w:r>
            <w:r w:rsidR="00377E19" w:rsidRPr="0006125D">
              <w:rPr>
                <w:sz w:val="26"/>
                <w:szCs w:val="26"/>
              </w:rPr>
              <w:t xml:space="preserve"> konsultējoties ar Finanšu ministriju.</w:t>
            </w:r>
          </w:p>
        </w:tc>
      </w:tr>
      <w:tr w:rsidR="00585B7B" w:rsidRPr="0006125D" w:rsidTr="00CA6C73">
        <w:tc>
          <w:tcPr>
            <w:tcW w:w="562" w:type="dxa"/>
          </w:tcPr>
          <w:p w:rsidR="00585B7B" w:rsidRPr="0006125D" w:rsidRDefault="00005A9D" w:rsidP="00BD696A">
            <w:pPr>
              <w:pStyle w:val="naiskr"/>
              <w:spacing w:before="0" w:after="0"/>
              <w:jc w:val="center"/>
              <w:rPr>
                <w:sz w:val="26"/>
                <w:szCs w:val="26"/>
              </w:rPr>
            </w:pPr>
            <w:r w:rsidRPr="0006125D">
              <w:rPr>
                <w:sz w:val="26"/>
                <w:szCs w:val="26"/>
              </w:rPr>
              <w:t>4</w:t>
            </w:r>
            <w:r w:rsidR="00585B7B" w:rsidRPr="0006125D">
              <w:rPr>
                <w:sz w:val="26"/>
                <w:szCs w:val="26"/>
              </w:rPr>
              <w:t>.</w:t>
            </w:r>
          </w:p>
        </w:tc>
        <w:tc>
          <w:tcPr>
            <w:tcW w:w="2410" w:type="dxa"/>
          </w:tcPr>
          <w:p w:rsidR="00585B7B" w:rsidRPr="0006125D" w:rsidRDefault="00585B7B" w:rsidP="00916055">
            <w:pPr>
              <w:pStyle w:val="naiskr"/>
              <w:spacing w:before="0" w:after="0"/>
              <w:ind w:left="141"/>
              <w:rPr>
                <w:sz w:val="26"/>
                <w:szCs w:val="26"/>
              </w:rPr>
            </w:pPr>
            <w:r w:rsidRPr="0006125D">
              <w:rPr>
                <w:sz w:val="26"/>
                <w:szCs w:val="26"/>
              </w:rPr>
              <w:t>Cita informācija</w:t>
            </w:r>
          </w:p>
        </w:tc>
        <w:tc>
          <w:tcPr>
            <w:tcW w:w="7371" w:type="dxa"/>
          </w:tcPr>
          <w:p w:rsidR="006A26FB" w:rsidRDefault="00CA6C73" w:rsidP="00985B4B">
            <w:pPr>
              <w:ind w:left="114" w:right="127"/>
              <w:jc w:val="both"/>
              <w:rPr>
                <w:sz w:val="26"/>
                <w:szCs w:val="26"/>
              </w:rPr>
            </w:pPr>
            <w:r>
              <w:rPr>
                <w:sz w:val="26"/>
                <w:szCs w:val="26"/>
              </w:rPr>
              <w:tab/>
            </w:r>
            <w:r w:rsidR="00291AF4" w:rsidRPr="0006125D">
              <w:rPr>
                <w:sz w:val="26"/>
                <w:szCs w:val="26"/>
              </w:rPr>
              <w:t>Ministru kabineta r</w:t>
            </w:r>
            <w:r w:rsidR="00E5461A" w:rsidRPr="0006125D">
              <w:rPr>
                <w:sz w:val="26"/>
                <w:szCs w:val="26"/>
              </w:rPr>
              <w:t xml:space="preserve">īkojuma projekts tiešā veidā attiecas uz </w:t>
            </w:r>
            <w:r w:rsidR="00291AF4" w:rsidRPr="0006125D">
              <w:rPr>
                <w:sz w:val="26"/>
                <w:szCs w:val="26"/>
              </w:rPr>
              <w:t>tūrisma, sporta un brīvā laika politiku (sporta politiku). Pastarpināti   Ministru kabineta rīkojuma projekts attiecas uz budžeta un finanšu politiku.</w:t>
            </w:r>
          </w:p>
          <w:p w:rsidR="00D47B77" w:rsidRPr="0006125D" w:rsidRDefault="00CA6C73" w:rsidP="006F62D0">
            <w:pPr>
              <w:ind w:left="114" w:right="127"/>
              <w:jc w:val="both"/>
              <w:rPr>
                <w:sz w:val="26"/>
                <w:szCs w:val="26"/>
              </w:rPr>
            </w:pPr>
            <w:r>
              <w:rPr>
                <w:sz w:val="26"/>
                <w:szCs w:val="26"/>
              </w:rPr>
              <w:tab/>
            </w:r>
            <w:r w:rsidR="00D47B77">
              <w:rPr>
                <w:sz w:val="26"/>
                <w:szCs w:val="26"/>
              </w:rPr>
              <w:t xml:space="preserve">Ņemot vērā to, ka Ministru kabineta </w:t>
            </w:r>
            <w:r w:rsidR="00D47B77" w:rsidRPr="00D47B77">
              <w:rPr>
                <w:sz w:val="26"/>
                <w:szCs w:val="26"/>
              </w:rPr>
              <w:t xml:space="preserve">rīkojuma projektā paredzētā apropriācijas pārdale ir jāsaskaņo ar Saeimas budžeta un finanšu (nodokļu) komisiju, </w:t>
            </w:r>
            <w:r w:rsidR="00D47B77">
              <w:rPr>
                <w:sz w:val="26"/>
                <w:szCs w:val="26"/>
              </w:rPr>
              <w:t xml:space="preserve">IZM veiks </w:t>
            </w:r>
            <w:r w:rsidR="00D47B77" w:rsidRPr="00D47B77">
              <w:rPr>
                <w:sz w:val="26"/>
                <w:szCs w:val="26"/>
              </w:rPr>
              <w:t>visas nepieciešamās darbības, lai apr</w:t>
            </w:r>
            <w:r w:rsidR="00D47B77">
              <w:rPr>
                <w:sz w:val="26"/>
                <w:szCs w:val="26"/>
              </w:rPr>
              <w:t>opriācijas pārdales pieprasījums</w:t>
            </w:r>
            <w:r w:rsidR="00D47B77" w:rsidRPr="00D47B77">
              <w:rPr>
                <w:sz w:val="26"/>
                <w:szCs w:val="26"/>
              </w:rPr>
              <w:t xml:space="preserve"> Finanšu ministrijā </w:t>
            </w:r>
            <w:r w:rsidR="00D47B77">
              <w:rPr>
                <w:sz w:val="26"/>
                <w:szCs w:val="26"/>
              </w:rPr>
              <w:t xml:space="preserve">tiktu iesniegts </w:t>
            </w:r>
            <w:r w:rsidR="00D47B77" w:rsidRPr="00D47B77">
              <w:rPr>
                <w:sz w:val="26"/>
                <w:szCs w:val="26"/>
              </w:rPr>
              <w:t>lēmuma pieņemšanas dienā</w:t>
            </w:r>
            <w:r w:rsidR="00D47B77">
              <w:rPr>
                <w:sz w:val="26"/>
                <w:szCs w:val="26"/>
              </w:rPr>
              <w:t xml:space="preserve">, kā arī </w:t>
            </w:r>
            <w:r w:rsidR="006F62D0">
              <w:rPr>
                <w:sz w:val="26"/>
                <w:szCs w:val="26"/>
              </w:rPr>
              <w:t xml:space="preserve"> pēc lēmuma </w:t>
            </w:r>
            <w:r w:rsidR="00D47B77">
              <w:rPr>
                <w:sz w:val="26"/>
                <w:szCs w:val="26"/>
              </w:rPr>
              <w:t>pieņemšanas</w:t>
            </w:r>
            <w:r w:rsidR="0038389A">
              <w:rPr>
                <w:sz w:val="26"/>
                <w:szCs w:val="26"/>
              </w:rPr>
              <w:t xml:space="preserve"> tiktu </w:t>
            </w:r>
            <w:r w:rsidR="00D47B77" w:rsidRPr="00D47B77">
              <w:rPr>
                <w:sz w:val="26"/>
                <w:szCs w:val="26"/>
              </w:rPr>
              <w:t>nodrošināt</w:t>
            </w:r>
            <w:r w:rsidR="0038389A">
              <w:rPr>
                <w:sz w:val="26"/>
                <w:szCs w:val="26"/>
              </w:rPr>
              <w:t>a</w:t>
            </w:r>
            <w:r w:rsidR="00D47B77">
              <w:rPr>
                <w:sz w:val="26"/>
                <w:szCs w:val="26"/>
              </w:rPr>
              <w:t xml:space="preserve"> iespējami drīz</w:t>
            </w:r>
            <w:r w:rsidR="0038389A">
              <w:rPr>
                <w:sz w:val="26"/>
                <w:szCs w:val="26"/>
              </w:rPr>
              <w:t>a</w:t>
            </w:r>
            <w:r w:rsidR="00D47B77">
              <w:rPr>
                <w:sz w:val="26"/>
                <w:szCs w:val="26"/>
              </w:rPr>
              <w:t xml:space="preserve"> </w:t>
            </w:r>
            <w:r w:rsidR="00D47B77" w:rsidRPr="00D47B77">
              <w:rPr>
                <w:sz w:val="26"/>
                <w:szCs w:val="26"/>
              </w:rPr>
              <w:t>Ministru kabineta rīkojuma parakstīšan</w:t>
            </w:r>
            <w:r w:rsidR="0038389A">
              <w:rPr>
                <w:sz w:val="26"/>
                <w:szCs w:val="26"/>
              </w:rPr>
              <w:t>a</w:t>
            </w:r>
            <w:r w:rsidR="00D47B77">
              <w:rPr>
                <w:sz w:val="26"/>
                <w:szCs w:val="26"/>
              </w:rPr>
              <w:t>.</w:t>
            </w:r>
          </w:p>
        </w:tc>
      </w:tr>
    </w:tbl>
    <w:p w:rsidR="005134ED" w:rsidRPr="0006125D" w:rsidRDefault="005134ED" w:rsidP="009B774A">
      <w:pPr>
        <w:pStyle w:val="naisf"/>
        <w:tabs>
          <w:tab w:val="left" w:pos="3819"/>
        </w:tabs>
        <w:spacing w:before="0" w:after="0"/>
        <w:ind w:firstLine="0"/>
        <w:rPr>
          <w:sz w:val="26"/>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88"/>
      </w:tblGrid>
      <w:tr w:rsidR="009B774A" w:rsidRPr="0006125D" w:rsidTr="00CA6C73">
        <w:trPr>
          <w:trHeight w:val="361"/>
          <w:jc w:val="center"/>
        </w:trPr>
        <w:tc>
          <w:tcPr>
            <w:tcW w:w="10343" w:type="dxa"/>
            <w:gridSpan w:val="6"/>
            <w:vAlign w:val="center"/>
          </w:tcPr>
          <w:p w:rsidR="009B774A" w:rsidRPr="0006125D" w:rsidRDefault="009B774A" w:rsidP="001A0506">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9B774A" w:rsidRPr="0006125D" w:rsidTr="00CA6C73">
        <w:trPr>
          <w:jc w:val="center"/>
        </w:trPr>
        <w:tc>
          <w:tcPr>
            <w:tcW w:w="3589" w:type="dxa"/>
            <w:vMerge w:val="restart"/>
            <w:vAlign w:val="center"/>
          </w:tcPr>
          <w:p w:rsidR="009B774A" w:rsidRPr="0006125D" w:rsidRDefault="009B774A" w:rsidP="001A0506">
            <w:pPr>
              <w:jc w:val="center"/>
              <w:rPr>
                <w:b/>
                <w:sz w:val="26"/>
                <w:szCs w:val="26"/>
              </w:rPr>
            </w:pPr>
            <w:r w:rsidRPr="0006125D">
              <w:rPr>
                <w:b/>
                <w:sz w:val="26"/>
                <w:szCs w:val="26"/>
              </w:rPr>
              <w:t>Rādītāji</w:t>
            </w:r>
          </w:p>
        </w:tc>
        <w:tc>
          <w:tcPr>
            <w:tcW w:w="2912" w:type="dxa"/>
            <w:gridSpan w:val="2"/>
            <w:vMerge w:val="restart"/>
            <w:vAlign w:val="center"/>
          </w:tcPr>
          <w:p w:rsidR="009B774A" w:rsidRPr="0006125D" w:rsidRDefault="009B774A" w:rsidP="001A0506">
            <w:pPr>
              <w:jc w:val="center"/>
              <w:rPr>
                <w:b/>
                <w:sz w:val="26"/>
                <w:szCs w:val="26"/>
              </w:rPr>
            </w:pPr>
            <w:r w:rsidRPr="0006125D">
              <w:rPr>
                <w:b/>
                <w:sz w:val="26"/>
                <w:szCs w:val="26"/>
              </w:rPr>
              <w:t>2014</w:t>
            </w:r>
          </w:p>
        </w:tc>
        <w:tc>
          <w:tcPr>
            <w:tcW w:w="3842" w:type="dxa"/>
            <w:gridSpan w:val="3"/>
            <w:vAlign w:val="center"/>
          </w:tcPr>
          <w:p w:rsidR="009B774A" w:rsidRPr="0006125D" w:rsidRDefault="009B774A" w:rsidP="001A0506">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9B774A" w:rsidRPr="0006125D" w:rsidTr="00CA6C73">
        <w:trPr>
          <w:jc w:val="center"/>
        </w:trPr>
        <w:tc>
          <w:tcPr>
            <w:tcW w:w="3589" w:type="dxa"/>
            <w:vMerge/>
            <w:vAlign w:val="center"/>
          </w:tcPr>
          <w:p w:rsidR="009B774A" w:rsidRPr="0006125D" w:rsidRDefault="009B774A" w:rsidP="001A0506">
            <w:pPr>
              <w:jc w:val="center"/>
              <w:rPr>
                <w:b/>
                <w:i/>
                <w:sz w:val="26"/>
                <w:szCs w:val="26"/>
              </w:rPr>
            </w:pPr>
          </w:p>
        </w:tc>
        <w:tc>
          <w:tcPr>
            <w:tcW w:w="2912" w:type="dxa"/>
            <w:gridSpan w:val="2"/>
            <w:vMerge/>
            <w:vAlign w:val="center"/>
          </w:tcPr>
          <w:p w:rsidR="009B774A" w:rsidRPr="0006125D" w:rsidRDefault="009B774A" w:rsidP="001A0506">
            <w:pPr>
              <w:jc w:val="center"/>
              <w:rPr>
                <w:b/>
                <w:i/>
                <w:sz w:val="26"/>
                <w:szCs w:val="26"/>
              </w:rPr>
            </w:pPr>
          </w:p>
        </w:tc>
        <w:tc>
          <w:tcPr>
            <w:tcW w:w="1227" w:type="dxa"/>
            <w:vAlign w:val="center"/>
          </w:tcPr>
          <w:p w:rsidR="009B774A" w:rsidRPr="0006125D" w:rsidRDefault="009B774A" w:rsidP="001A0506">
            <w:pPr>
              <w:jc w:val="center"/>
              <w:rPr>
                <w:b/>
                <w:i/>
                <w:sz w:val="26"/>
                <w:szCs w:val="26"/>
              </w:rPr>
            </w:pPr>
            <w:r w:rsidRPr="0006125D">
              <w:rPr>
                <w:b/>
                <w:bCs/>
                <w:sz w:val="26"/>
                <w:szCs w:val="26"/>
              </w:rPr>
              <w:t>2015</w:t>
            </w:r>
          </w:p>
        </w:tc>
        <w:tc>
          <w:tcPr>
            <w:tcW w:w="1227" w:type="dxa"/>
            <w:vAlign w:val="center"/>
          </w:tcPr>
          <w:p w:rsidR="009B774A" w:rsidRPr="0006125D" w:rsidRDefault="009B774A" w:rsidP="001A0506">
            <w:pPr>
              <w:jc w:val="center"/>
              <w:rPr>
                <w:b/>
                <w:i/>
                <w:sz w:val="26"/>
                <w:szCs w:val="26"/>
              </w:rPr>
            </w:pPr>
            <w:r w:rsidRPr="0006125D">
              <w:rPr>
                <w:b/>
                <w:bCs/>
                <w:sz w:val="26"/>
                <w:szCs w:val="26"/>
              </w:rPr>
              <w:t>2016</w:t>
            </w:r>
          </w:p>
        </w:tc>
        <w:tc>
          <w:tcPr>
            <w:tcW w:w="1388" w:type="dxa"/>
            <w:vAlign w:val="center"/>
          </w:tcPr>
          <w:p w:rsidR="009B774A" w:rsidRPr="0006125D" w:rsidRDefault="009B774A" w:rsidP="001A0506">
            <w:pPr>
              <w:jc w:val="center"/>
              <w:rPr>
                <w:b/>
                <w:i/>
                <w:sz w:val="26"/>
                <w:szCs w:val="26"/>
              </w:rPr>
            </w:pPr>
            <w:r w:rsidRPr="0006125D">
              <w:rPr>
                <w:b/>
                <w:bCs/>
                <w:sz w:val="26"/>
                <w:szCs w:val="26"/>
              </w:rPr>
              <w:t>2017</w:t>
            </w:r>
          </w:p>
        </w:tc>
      </w:tr>
      <w:tr w:rsidR="009B774A" w:rsidRPr="0006125D" w:rsidTr="00CA6C73">
        <w:trPr>
          <w:jc w:val="center"/>
        </w:trPr>
        <w:tc>
          <w:tcPr>
            <w:tcW w:w="3589" w:type="dxa"/>
            <w:vMerge/>
            <w:vAlign w:val="center"/>
          </w:tcPr>
          <w:p w:rsidR="009B774A" w:rsidRPr="0006125D" w:rsidRDefault="009B774A" w:rsidP="001A0506">
            <w:pPr>
              <w:jc w:val="center"/>
              <w:rPr>
                <w:b/>
                <w:i/>
                <w:sz w:val="26"/>
                <w:szCs w:val="26"/>
              </w:rPr>
            </w:pPr>
          </w:p>
        </w:tc>
        <w:tc>
          <w:tcPr>
            <w:tcW w:w="1529" w:type="dxa"/>
            <w:vAlign w:val="center"/>
          </w:tcPr>
          <w:p w:rsidR="009B774A" w:rsidRPr="0006125D" w:rsidRDefault="009B774A" w:rsidP="001A0506">
            <w:pPr>
              <w:jc w:val="center"/>
              <w:rPr>
                <w:b/>
                <w:i/>
                <w:sz w:val="26"/>
                <w:szCs w:val="26"/>
              </w:rPr>
            </w:pPr>
            <w:r w:rsidRPr="0006125D">
              <w:rPr>
                <w:sz w:val="26"/>
                <w:szCs w:val="26"/>
              </w:rPr>
              <w:t>saskaņā ar valsts budžetu kārtējam gadam</w:t>
            </w:r>
          </w:p>
        </w:tc>
        <w:tc>
          <w:tcPr>
            <w:tcW w:w="1383" w:type="dxa"/>
            <w:vAlign w:val="center"/>
          </w:tcPr>
          <w:p w:rsidR="009B774A" w:rsidRPr="0006125D" w:rsidRDefault="009B774A" w:rsidP="001A0506">
            <w:pPr>
              <w:jc w:val="center"/>
              <w:rPr>
                <w:b/>
                <w:i/>
                <w:sz w:val="26"/>
                <w:szCs w:val="26"/>
              </w:rPr>
            </w:pPr>
            <w:r w:rsidRPr="0006125D">
              <w:rPr>
                <w:sz w:val="26"/>
                <w:szCs w:val="26"/>
              </w:rPr>
              <w:t>izmaiņas kārtējā gadā, salīdzinot ar budžetu kārtējam gadam</w:t>
            </w:r>
          </w:p>
        </w:tc>
        <w:tc>
          <w:tcPr>
            <w:tcW w:w="1227"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c>
          <w:tcPr>
            <w:tcW w:w="1227"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c>
          <w:tcPr>
            <w:tcW w:w="1388"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r>
      <w:tr w:rsidR="009B774A" w:rsidRPr="0006125D" w:rsidTr="00CA6C73">
        <w:trPr>
          <w:jc w:val="center"/>
        </w:trPr>
        <w:tc>
          <w:tcPr>
            <w:tcW w:w="3589" w:type="dxa"/>
            <w:vAlign w:val="center"/>
          </w:tcPr>
          <w:p w:rsidR="009B774A" w:rsidRPr="0006125D" w:rsidRDefault="009B774A" w:rsidP="001A0506">
            <w:pPr>
              <w:jc w:val="center"/>
              <w:rPr>
                <w:bCs/>
                <w:sz w:val="26"/>
                <w:szCs w:val="26"/>
              </w:rPr>
            </w:pPr>
            <w:r w:rsidRPr="0006125D">
              <w:rPr>
                <w:bCs/>
                <w:sz w:val="26"/>
                <w:szCs w:val="26"/>
              </w:rPr>
              <w:t>1</w:t>
            </w:r>
          </w:p>
        </w:tc>
        <w:tc>
          <w:tcPr>
            <w:tcW w:w="1529" w:type="dxa"/>
            <w:vAlign w:val="center"/>
          </w:tcPr>
          <w:p w:rsidR="009B774A" w:rsidRPr="0006125D" w:rsidRDefault="009B774A" w:rsidP="001A0506">
            <w:pPr>
              <w:jc w:val="center"/>
              <w:rPr>
                <w:bCs/>
                <w:sz w:val="26"/>
                <w:szCs w:val="26"/>
              </w:rPr>
            </w:pPr>
            <w:r w:rsidRPr="0006125D">
              <w:rPr>
                <w:bCs/>
                <w:sz w:val="26"/>
                <w:szCs w:val="26"/>
              </w:rPr>
              <w:t>2</w:t>
            </w:r>
          </w:p>
        </w:tc>
        <w:tc>
          <w:tcPr>
            <w:tcW w:w="1383" w:type="dxa"/>
            <w:vAlign w:val="center"/>
          </w:tcPr>
          <w:p w:rsidR="009B774A" w:rsidRPr="0006125D" w:rsidRDefault="009B774A" w:rsidP="001A0506">
            <w:pPr>
              <w:jc w:val="center"/>
              <w:rPr>
                <w:bCs/>
                <w:sz w:val="26"/>
                <w:szCs w:val="26"/>
              </w:rPr>
            </w:pPr>
            <w:r w:rsidRPr="0006125D">
              <w:rPr>
                <w:bCs/>
                <w:sz w:val="26"/>
                <w:szCs w:val="26"/>
              </w:rPr>
              <w:t>3</w:t>
            </w:r>
          </w:p>
        </w:tc>
        <w:tc>
          <w:tcPr>
            <w:tcW w:w="1227" w:type="dxa"/>
            <w:vAlign w:val="center"/>
          </w:tcPr>
          <w:p w:rsidR="009B774A" w:rsidRPr="0006125D" w:rsidRDefault="009B774A" w:rsidP="001A0506">
            <w:pPr>
              <w:jc w:val="center"/>
              <w:rPr>
                <w:bCs/>
                <w:sz w:val="26"/>
                <w:szCs w:val="26"/>
              </w:rPr>
            </w:pPr>
            <w:r w:rsidRPr="0006125D">
              <w:rPr>
                <w:bCs/>
                <w:sz w:val="26"/>
                <w:szCs w:val="26"/>
              </w:rPr>
              <w:t>4</w:t>
            </w:r>
          </w:p>
        </w:tc>
        <w:tc>
          <w:tcPr>
            <w:tcW w:w="1227" w:type="dxa"/>
            <w:vAlign w:val="center"/>
          </w:tcPr>
          <w:p w:rsidR="009B774A" w:rsidRPr="0006125D" w:rsidRDefault="009B774A" w:rsidP="001A0506">
            <w:pPr>
              <w:jc w:val="center"/>
              <w:rPr>
                <w:bCs/>
                <w:sz w:val="26"/>
                <w:szCs w:val="26"/>
              </w:rPr>
            </w:pPr>
            <w:r w:rsidRPr="0006125D">
              <w:rPr>
                <w:bCs/>
                <w:sz w:val="26"/>
                <w:szCs w:val="26"/>
              </w:rPr>
              <w:t>5</w:t>
            </w:r>
          </w:p>
        </w:tc>
        <w:tc>
          <w:tcPr>
            <w:tcW w:w="1388" w:type="dxa"/>
            <w:vAlign w:val="center"/>
          </w:tcPr>
          <w:p w:rsidR="009B774A" w:rsidRPr="0006125D" w:rsidRDefault="009B774A" w:rsidP="001A0506">
            <w:pPr>
              <w:jc w:val="center"/>
              <w:rPr>
                <w:bCs/>
                <w:sz w:val="26"/>
                <w:szCs w:val="26"/>
              </w:rPr>
            </w:pPr>
            <w:r w:rsidRPr="0006125D">
              <w:rPr>
                <w:bCs/>
                <w:sz w:val="26"/>
                <w:szCs w:val="26"/>
              </w:rPr>
              <w:t>6</w:t>
            </w:r>
          </w:p>
        </w:tc>
      </w:tr>
      <w:tr w:rsidR="0005209B" w:rsidRPr="0006125D" w:rsidTr="00CA6C73">
        <w:trPr>
          <w:jc w:val="center"/>
        </w:trPr>
        <w:tc>
          <w:tcPr>
            <w:tcW w:w="3589" w:type="dxa"/>
          </w:tcPr>
          <w:p w:rsidR="0005209B" w:rsidRPr="0006125D" w:rsidRDefault="0005209B" w:rsidP="0005209B">
            <w:pPr>
              <w:rPr>
                <w:i/>
                <w:sz w:val="26"/>
                <w:szCs w:val="26"/>
              </w:rPr>
            </w:pPr>
            <w:r w:rsidRPr="0006125D">
              <w:rPr>
                <w:sz w:val="26"/>
                <w:szCs w:val="26"/>
              </w:rPr>
              <w:t>1. Budžeta ieņēmumi:</w:t>
            </w:r>
          </w:p>
        </w:tc>
        <w:tc>
          <w:tcPr>
            <w:tcW w:w="1529" w:type="dxa"/>
          </w:tcPr>
          <w:p w:rsidR="0005209B" w:rsidRPr="0006125D" w:rsidRDefault="004A56AF" w:rsidP="0005209B">
            <w:pPr>
              <w:jc w:val="center"/>
              <w:rPr>
                <w:b/>
                <w:sz w:val="26"/>
                <w:szCs w:val="26"/>
              </w:rPr>
            </w:pPr>
            <w:r w:rsidRPr="0006125D">
              <w:rPr>
                <w:b/>
                <w:sz w:val="26"/>
                <w:szCs w:val="26"/>
              </w:rPr>
              <w:t>0</w:t>
            </w:r>
          </w:p>
        </w:tc>
        <w:tc>
          <w:tcPr>
            <w:tcW w:w="1383" w:type="dxa"/>
          </w:tcPr>
          <w:p w:rsidR="0005209B" w:rsidRPr="0006125D" w:rsidRDefault="004A56AF" w:rsidP="007A1337">
            <w:pPr>
              <w:jc w:val="center"/>
              <w:rPr>
                <w:b/>
                <w:sz w:val="26"/>
                <w:szCs w:val="26"/>
              </w:rPr>
            </w:pPr>
            <w:r w:rsidRPr="0006125D">
              <w:rPr>
                <w:b/>
                <w:sz w:val="26"/>
                <w:szCs w:val="26"/>
              </w:rPr>
              <w:t>0</w:t>
            </w:r>
          </w:p>
        </w:tc>
        <w:tc>
          <w:tcPr>
            <w:tcW w:w="1227" w:type="dxa"/>
          </w:tcPr>
          <w:p w:rsidR="0005209B" w:rsidRPr="0006125D" w:rsidRDefault="0005209B" w:rsidP="0005209B">
            <w:pPr>
              <w:jc w:val="center"/>
              <w:rPr>
                <w:b/>
                <w:sz w:val="26"/>
                <w:szCs w:val="26"/>
              </w:rPr>
            </w:pPr>
            <w:r w:rsidRPr="0006125D">
              <w:rPr>
                <w:b/>
                <w:sz w:val="26"/>
                <w:szCs w:val="26"/>
              </w:rPr>
              <w:t>0</w:t>
            </w:r>
          </w:p>
        </w:tc>
        <w:tc>
          <w:tcPr>
            <w:tcW w:w="1227" w:type="dxa"/>
          </w:tcPr>
          <w:p w:rsidR="0005209B" w:rsidRPr="0006125D" w:rsidRDefault="0005209B" w:rsidP="0005209B">
            <w:pPr>
              <w:jc w:val="center"/>
              <w:rPr>
                <w:b/>
                <w:sz w:val="26"/>
                <w:szCs w:val="26"/>
              </w:rPr>
            </w:pPr>
            <w:r w:rsidRPr="0006125D">
              <w:rPr>
                <w:b/>
                <w:sz w:val="26"/>
                <w:szCs w:val="26"/>
              </w:rPr>
              <w:t>0</w:t>
            </w:r>
          </w:p>
        </w:tc>
        <w:tc>
          <w:tcPr>
            <w:tcW w:w="1388" w:type="dxa"/>
          </w:tcPr>
          <w:p w:rsidR="0005209B" w:rsidRPr="0006125D" w:rsidRDefault="00FA0234" w:rsidP="00FA0234">
            <w:pPr>
              <w:jc w:val="center"/>
              <w:rPr>
                <w:b/>
                <w:sz w:val="26"/>
                <w:szCs w:val="26"/>
              </w:rPr>
            </w:pPr>
            <w:r w:rsidRPr="0006125D">
              <w:rPr>
                <w:b/>
                <w:sz w:val="26"/>
                <w:szCs w:val="26"/>
              </w:rPr>
              <w:t>0</w:t>
            </w:r>
          </w:p>
        </w:tc>
      </w:tr>
      <w:tr w:rsidR="0005209B" w:rsidRPr="0006125D" w:rsidTr="00CA6C73">
        <w:trPr>
          <w:jc w:val="center"/>
        </w:trPr>
        <w:tc>
          <w:tcPr>
            <w:tcW w:w="3589" w:type="dxa"/>
          </w:tcPr>
          <w:p w:rsidR="0005209B" w:rsidRPr="0006125D" w:rsidRDefault="0005209B" w:rsidP="0005209B">
            <w:pPr>
              <w:rPr>
                <w:i/>
                <w:sz w:val="26"/>
                <w:szCs w:val="26"/>
              </w:rPr>
            </w:pPr>
            <w:r w:rsidRPr="0006125D">
              <w:rPr>
                <w:sz w:val="26"/>
                <w:szCs w:val="26"/>
              </w:rPr>
              <w:lastRenderedPageBreak/>
              <w:t>1.1. valsts pamatbudžets, tai skaitā ieņēmumi no maksas pakalpojumiem un citi pašu ieņēmumi</w:t>
            </w:r>
          </w:p>
        </w:tc>
        <w:tc>
          <w:tcPr>
            <w:tcW w:w="1529" w:type="dxa"/>
          </w:tcPr>
          <w:p w:rsidR="0005209B" w:rsidRPr="0006125D" w:rsidRDefault="0005209B" w:rsidP="0005209B">
            <w:pPr>
              <w:jc w:val="center"/>
              <w:rPr>
                <w:i/>
                <w:sz w:val="26"/>
                <w:szCs w:val="26"/>
              </w:rPr>
            </w:pPr>
          </w:p>
        </w:tc>
        <w:tc>
          <w:tcPr>
            <w:tcW w:w="1383" w:type="dxa"/>
          </w:tcPr>
          <w:p w:rsidR="0005209B" w:rsidRPr="0006125D" w:rsidRDefault="0005209B" w:rsidP="0005209B">
            <w:pPr>
              <w:jc w:val="center"/>
              <w:rPr>
                <w:i/>
                <w:sz w:val="26"/>
                <w:szCs w:val="26"/>
              </w:rPr>
            </w:pPr>
          </w:p>
        </w:tc>
        <w:tc>
          <w:tcPr>
            <w:tcW w:w="1227" w:type="dxa"/>
          </w:tcPr>
          <w:p w:rsidR="0005209B" w:rsidRPr="0006125D" w:rsidRDefault="0005209B" w:rsidP="0005209B">
            <w:pPr>
              <w:jc w:val="center"/>
              <w:rPr>
                <w:i/>
                <w:sz w:val="26"/>
                <w:szCs w:val="26"/>
              </w:rPr>
            </w:pPr>
          </w:p>
        </w:tc>
        <w:tc>
          <w:tcPr>
            <w:tcW w:w="1227" w:type="dxa"/>
          </w:tcPr>
          <w:p w:rsidR="0005209B" w:rsidRPr="0006125D" w:rsidRDefault="0005209B" w:rsidP="0005209B">
            <w:pPr>
              <w:jc w:val="center"/>
              <w:rPr>
                <w:i/>
                <w:sz w:val="26"/>
                <w:szCs w:val="26"/>
              </w:rPr>
            </w:pPr>
          </w:p>
        </w:tc>
        <w:tc>
          <w:tcPr>
            <w:tcW w:w="1388" w:type="dxa"/>
          </w:tcPr>
          <w:p w:rsidR="0005209B" w:rsidRPr="0006125D" w:rsidRDefault="0005209B" w:rsidP="0005209B">
            <w:pPr>
              <w:jc w:val="center"/>
              <w:rPr>
                <w:i/>
                <w:sz w:val="26"/>
                <w:szCs w:val="26"/>
              </w:rPr>
            </w:pPr>
          </w:p>
        </w:tc>
      </w:tr>
      <w:tr w:rsidR="009B774A" w:rsidRPr="0006125D" w:rsidTr="00CA6C73">
        <w:trPr>
          <w:jc w:val="center"/>
        </w:trPr>
        <w:tc>
          <w:tcPr>
            <w:tcW w:w="3589" w:type="dxa"/>
          </w:tcPr>
          <w:p w:rsidR="009B774A" w:rsidRPr="0006125D" w:rsidRDefault="009B774A" w:rsidP="001A0506">
            <w:pPr>
              <w:rPr>
                <w:i/>
                <w:sz w:val="26"/>
                <w:szCs w:val="26"/>
              </w:rPr>
            </w:pPr>
            <w:r w:rsidRPr="0006125D">
              <w:rPr>
                <w:sz w:val="26"/>
                <w:szCs w:val="26"/>
              </w:rPr>
              <w:t>1.2. valsts speciālais budžets</w:t>
            </w:r>
          </w:p>
        </w:tc>
        <w:tc>
          <w:tcPr>
            <w:tcW w:w="1529" w:type="dxa"/>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tcPr>
          <w:p w:rsidR="009B774A" w:rsidRPr="0006125D" w:rsidRDefault="009B774A" w:rsidP="001A0506">
            <w:pPr>
              <w:rPr>
                <w:i/>
                <w:sz w:val="26"/>
                <w:szCs w:val="26"/>
              </w:rPr>
            </w:pPr>
            <w:r w:rsidRPr="0006125D">
              <w:rPr>
                <w:sz w:val="26"/>
                <w:szCs w:val="26"/>
              </w:rPr>
              <w:t>1.3. pašvaldību budžets</w:t>
            </w:r>
          </w:p>
        </w:tc>
        <w:tc>
          <w:tcPr>
            <w:tcW w:w="1529" w:type="dxa"/>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B428A4" w:rsidRPr="0006125D" w:rsidTr="00CA6C73">
        <w:trPr>
          <w:jc w:val="center"/>
        </w:trPr>
        <w:tc>
          <w:tcPr>
            <w:tcW w:w="3589" w:type="dxa"/>
          </w:tcPr>
          <w:p w:rsidR="00B428A4" w:rsidRPr="0006125D" w:rsidRDefault="00B428A4" w:rsidP="00B428A4">
            <w:pPr>
              <w:rPr>
                <w:sz w:val="26"/>
                <w:szCs w:val="26"/>
              </w:rPr>
            </w:pPr>
            <w:r w:rsidRPr="0006125D">
              <w:rPr>
                <w:sz w:val="26"/>
                <w:szCs w:val="26"/>
              </w:rPr>
              <w:t>2. Budžeta izdevumi:</w:t>
            </w:r>
          </w:p>
        </w:tc>
        <w:tc>
          <w:tcPr>
            <w:tcW w:w="1529" w:type="dxa"/>
          </w:tcPr>
          <w:p w:rsidR="00B428A4" w:rsidRPr="0006125D" w:rsidRDefault="00B428A4" w:rsidP="00B428A4">
            <w:pPr>
              <w:jc w:val="center"/>
              <w:rPr>
                <w:b/>
                <w:sz w:val="26"/>
                <w:szCs w:val="26"/>
              </w:rPr>
            </w:pPr>
            <w:r w:rsidRPr="0006125D">
              <w:rPr>
                <w:b/>
                <w:sz w:val="26"/>
                <w:szCs w:val="26"/>
              </w:rPr>
              <w:t>0</w:t>
            </w:r>
          </w:p>
        </w:tc>
        <w:tc>
          <w:tcPr>
            <w:tcW w:w="1383"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388" w:type="dxa"/>
          </w:tcPr>
          <w:p w:rsidR="00B428A4" w:rsidRPr="0006125D" w:rsidRDefault="00B428A4" w:rsidP="00B428A4">
            <w:pPr>
              <w:jc w:val="center"/>
              <w:rPr>
                <w:b/>
                <w:sz w:val="26"/>
                <w:szCs w:val="26"/>
              </w:rPr>
            </w:pPr>
            <w:r w:rsidRPr="0006125D">
              <w:rPr>
                <w:b/>
                <w:sz w:val="26"/>
                <w:szCs w:val="26"/>
              </w:rPr>
              <w:t>0</w:t>
            </w:r>
          </w:p>
        </w:tc>
      </w:tr>
      <w:tr w:rsidR="0060679E" w:rsidRPr="0006125D" w:rsidTr="00CA6C73">
        <w:trPr>
          <w:jc w:val="center"/>
        </w:trPr>
        <w:tc>
          <w:tcPr>
            <w:tcW w:w="3589" w:type="dxa"/>
          </w:tcPr>
          <w:p w:rsidR="0060679E" w:rsidRPr="0006125D" w:rsidRDefault="0060679E" w:rsidP="0060679E">
            <w:pPr>
              <w:rPr>
                <w:sz w:val="26"/>
                <w:szCs w:val="26"/>
              </w:rPr>
            </w:pPr>
            <w:r w:rsidRPr="0006125D">
              <w:rPr>
                <w:sz w:val="26"/>
                <w:szCs w:val="26"/>
              </w:rPr>
              <w:t>2.1. valsts pamatbudžets</w:t>
            </w:r>
          </w:p>
        </w:tc>
        <w:tc>
          <w:tcPr>
            <w:tcW w:w="1529" w:type="dxa"/>
          </w:tcPr>
          <w:p w:rsidR="0060679E" w:rsidRPr="0006125D" w:rsidRDefault="0060679E" w:rsidP="0060679E">
            <w:pPr>
              <w:jc w:val="center"/>
              <w:rPr>
                <w:i/>
                <w:sz w:val="26"/>
                <w:szCs w:val="26"/>
              </w:rPr>
            </w:pPr>
            <w:r w:rsidRPr="0006125D">
              <w:rPr>
                <w:i/>
                <w:sz w:val="26"/>
                <w:szCs w:val="26"/>
              </w:rPr>
              <w:t>0</w:t>
            </w:r>
          </w:p>
        </w:tc>
        <w:tc>
          <w:tcPr>
            <w:tcW w:w="1383" w:type="dxa"/>
          </w:tcPr>
          <w:p w:rsidR="0060679E" w:rsidRPr="0006125D" w:rsidRDefault="00B428A4"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388" w:type="dxa"/>
          </w:tcPr>
          <w:p w:rsidR="0060679E" w:rsidRPr="0006125D" w:rsidRDefault="0060679E" w:rsidP="0060679E">
            <w:pPr>
              <w:jc w:val="center"/>
              <w:rPr>
                <w:i/>
                <w:sz w:val="26"/>
                <w:szCs w:val="26"/>
              </w:rPr>
            </w:pPr>
            <w:r w:rsidRPr="0006125D">
              <w:rPr>
                <w:i/>
                <w:sz w:val="26"/>
                <w:szCs w:val="26"/>
              </w:rPr>
              <w:t>0</w:t>
            </w:r>
          </w:p>
        </w:tc>
      </w:tr>
      <w:tr w:rsidR="0060679E" w:rsidRPr="0006125D" w:rsidTr="00CA6C73">
        <w:trPr>
          <w:jc w:val="center"/>
        </w:trPr>
        <w:tc>
          <w:tcPr>
            <w:tcW w:w="3589" w:type="dxa"/>
          </w:tcPr>
          <w:p w:rsidR="0060679E" w:rsidRPr="0006125D" w:rsidRDefault="0060679E" w:rsidP="0060679E">
            <w:pPr>
              <w:rPr>
                <w:sz w:val="26"/>
                <w:szCs w:val="26"/>
              </w:rPr>
            </w:pPr>
            <w:r w:rsidRPr="0006125D">
              <w:rPr>
                <w:sz w:val="26"/>
                <w:szCs w:val="26"/>
              </w:rPr>
              <w:t>2.2. valsts speciālais budžets</w:t>
            </w:r>
          </w:p>
        </w:tc>
        <w:tc>
          <w:tcPr>
            <w:tcW w:w="1529" w:type="dxa"/>
          </w:tcPr>
          <w:p w:rsidR="0060679E" w:rsidRPr="0006125D" w:rsidRDefault="0060679E" w:rsidP="0060679E">
            <w:pPr>
              <w:jc w:val="center"/>
              <w:rPr>
                <w:sz w:val="26"/>
                <w:szCs w:val="26"/>
              </w:rPr>
            </w:pPr>
          </w:p>
        </w:tc>
        <w:tc>
          <w:tcPr>
            <w:tcW w:w="1383"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388" w:type="dxa"/>
          </w:tcPr>
          <w:p w:rsidR="0060679E" w:rsidRPr="0006125D" w:rsidRDefault="0060679E" w:rsidP="0060679E">
            <w:pPr>
              <w:jc w:val="center"/>
              <w:rPr>
                <w:sz w:val="26"/>
                <w:szCs w:val="26"/>
              </w:rPr>
            </w:pPr>
          </w:p>
        </w:tc>
      </w:tr>
      <w:tr w:rsidR="0060679E" w:rsidRPr="0006125D" w:rsidTr="00CA6C73">
        <w:trPr>
          <w:jc w:val="center"/>
        </w:trPr>
        <w:tc>
          <w:tcPr>
            <w:tcW w:w="3589" w:type="dxa"/>
          </w:tcPr>
          <w:p w:rsidR="0060679E" w:rsidRPr="0006125D" w:rsidRDefault="0060679E" w:rsidP="0060679E">
            <w:pPr>
              <w:rPr>
                <w:sz w:val="26"/>
                <w:szCs w:val="26"/>
              </w:rPr>
            </w:pPr>
            <w:r w:rsidRPr="0006125D">
              <w:rPr>
                <w:sz w:val="26"/>
                <w:szCs w:val="26"/>
              </w:rPr>
              <w:t xml:space="preserve">2.3. pašvaldību budžets </w:t>
            </w:r>
          </w:p>
        </w:tc>
        <w:tc>
          <w:tcPr>
            <w:tcW w:w="1529" w:type="dxa"/>
          </w:tcPr>
          <w:p w:rsidR="0060679E" w:rsidRPr="0006125D" w:rsidRDefault="0060679E" w:rsidP="0060679E">
            <w:pPr>
              <w:jc w:val="center"/>
              <w:rPr>
                <w:sz w:val="26"/>
                <w:szCs w:val="26"/>
              </w:rPr>
            </w:pPr>
          </w:p>
        </w:tc>
        <w:tc>
          <w:tcPr>
            <w:tcW w:w="1383"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388" w:type="dxa"/>
          </w:tcPr>
          <w:p w:rsidR="0060679E" w:rsidRPr="0006125D" w:rsidRDefault="0060679E" w:rsidP="0060679E">
            <w:pPr>
              <w:jc w:val="center"/>
              <w:rPr>
                <w:sz w:val="26"/>
                <w:szCs w:val="26"/>
              </w:rPr>
            </w:pPr>
          </w:p>
        </w:tc>
      </w:tr>
      <w:tr w:rsidR="00B428A4" w:rsidRPr="0006125D" w:rsidTr="00CA6C73">
        <w:trPr>
          <w:jc w:val="center"/>
        </w:trPr>
        <w:tc>
          <w:tcPr>
            <w:tcW w:w="3589" w:type="dxa"/>
          </w:tcPr>
          <w:p w:rsidR="00B428A4" w:rsidRPr="0006125D" w:rsidRDefault="00B428A4" w:rsidP="00B428A4">
            <w:pPr>
              <w:rPr>
                <w:sz w:val="26"/>
                <w:szCs w:val="26"/>
              </w:rPr>
            </w:pPr>
            <w:r w:rsidRPr="0006125D">
              <w:rPr>
                <w:sz w:val="26"/>
                <w:szCs w:val="26"/>
              </w:rPr>
              <w:t>3. Finansiālā ietekme:</w:t>
            </w:r>
          </w:p>
        </w:tc>
        <w:tc>
          <w:tcPr>
            <w:tcW w:w="1529" w:type="dxa"/>
            <w:shd w:val="clear" w:color="auto" w:fill="auto"/>
          </w:tcPr>
          <w:p w:rsidR="00B428A4" w:rsidRPr="0006125D" w:rsidRDefault="00B428A4" w:rsidP="00B428A4">
            <w:pPr>
              <w:jc w:val="center"/>
              <w:rPr>
                <w:b/>
                <w:sz w:val="26"/>
                <w:szCs w:val="26"/>
              </w:rPr>
            </w:pPr>
            <w:r w:rsidRPr="0006125D">
              <w:rPr>
                <w:b/>
                <w:sz w:val="26"/>
                <w:szCs w:val="26"/>
              </w:rPr>
              <w:t>0</w:t>
            </w:r>
          </w:p>
        </w:tc>
        <w:tc>
          <w:tcPr>
            <w:tcW w:w="1383"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388" w:type="dxa"/>
          </w:tcPr>
          <w:p w:rsidR="00B428A4" w:rsidRPr="0006125D" w:rsidRDefault="00B428A4" w:rsidP="00B428A4">
            <w:pPr>
              <w:jc w:val="center"/>
              <w:rPr>
                <w:b/>
                <w:sz w:val="26"/>
                <w:szCs w:val="26"/>
              </w:rPr>
            </w:pPr>
            <w:r w:rsidRPr="0006125D">
              <w:rPr>
                <w:b/>
                <w:sz w:val="26"/>
                <w:szCs w:val="26"/>
              </w:rPr>
              <w:t>0</w:t>
            </w:r>
          </w:p>
        </w:tc>
      </w:tr>
      <w:tr w:rsidR="00B428A4" w:rsidRPr="0006125D" w:rsidTr="00CA6C73">
        <w:trPr>
          <w:jc w:val="center"/>
        </w:trPr>
        <w:tc>
          <w:tcPr>
            <w:tcW w:w="3589" w:type="dxa"/>
          </w:tcPr>
          <w:p w:rsidR="00B428A4" w:rsidRPr="0006125D" w:rsidRDefault="00B428A4" w:rsidP="00B428A4">
            <w:pPr>
              <w:rPr>
                <w:sz w:val="26"/>
                <w:szCs w:val="26"/>
              </w:rPr>
            </w:pPr>
            <w:r w:rsidRPr="0006125D">
              <w:rPr>
                <w:sz w:val="26"/>
                <w:szCs w:val="26"/>
              </w:rPr>
              <w:t>3.1. valsts pamatbudžets</w:t>
            </w:r>
          </w:p>
        </w:tc>
        <w:tc>
          <w:tcPr>
            <w:tcW w:w="1529" w:type="dxa"/>
            <w:shd w:val="clear" w:color="auto" w:fill="auto"/>
          </w:tcPr>
          <w:p w:rsidR="00B428A4" w:rsidRPr="0006125D" w:rsidRDefault="00B428A4" w:rsidP="00B428A4">
            <w:pPr>
              <w:jc w:val="center"/>
              <w:rPr>
                <w:i/>
                <w:sz w:val="26"/>
                <w:szCs w:val="26"/>
              </w:rPr>
            </w:pPr>
            <w:r w:rsidRPr="0006125D">
              <w:rPr>
                <w:i/>
                <w:sz w:val="26"/>
                <w:szCs w:val="26"/>
              </w:rPr>
              <w:t>0</w:t>
            </w:r>
          </w:p>
        </w:tc>
        <w:tc>
          <w:tcPr>
            <w:tcW w:w="1383" w:type="dxa"/>
          </w:tcPr>
          <w:p w:rsidR="00B428A4" w:rsidRPr="0006125D" w:rsidRDefault="00B428A4" w:rsidP="00B428A4">
            <w:pPr>
              <w:jc w:val="center"/>
              <w:rPr>
                <w:i/>
                <w:sz w:val="26"/>
                <w:szCs w:val="26"/>
              </w:rPr>
            </w:pPr>
            <w:r w:rsidRPr="0006125D">
              <w:rPr>
                <w:i/>
                <w:sz w:val="26"/>
                <w:szCs w:val="26"/>
              </w:rPr>
              <w:t>0</w:t>
            </w:r>
          </w:p>
        </w:tc>
        <w:tc>
          <w:tcPr>
            <w:tcW w:w="1227" w:type="dxa"/>
          </w:tcPr>
          <w:p w:rsidR="00B428A4" w:rsidRPr="0006125D" w:rsidRDefault="00B428A4" w:rsidP="00B428A4">
            <w:pPr>
              <w:jc w:val="center"/>
              <w:rPr>
                <w:i/>
                <w:sz w:val="26"/>
                <w:szCs w:val="26"/>
              </w:rPr>
            </w:pPr>
            <w:r w:rsidRPr="0006125D">
              <w:rPr>
                <w:i/>
                <w:sz w:val="26"/>
                <w:szCs w:val="26"/>
              </w:rPr>
              <w:t>0</w:t>
            </w:r>
          </w:p>
        </w:tc>
        <w:tc>
          <w:tcPr>
            <w:tcW w:w="1227" w:type="dxa"/>
          </w:tcPr>
          <w:p w:rsidR="00B428A4" w:rsidRPr="0006125D" w:rsidRDefault="00B428A4" w:rsidP="00B428A4">
            <w:pPr>
              <w:jc w:val="center"/>
              <w:rPr>
                <w:i/>
                <w:sz w:val="26"/>
                <w:szCs w:val="26"/>
              </w:rPr>
            </w:pPr>
            <w:r w:rsidRPr="0006125D">
              <w:rPr>
                <w:i/>
                <w:sz w:val="26"/>
                <w:szCs w:val="26"/>
              </w:rPr>
              <w:t>0</w:t>
            </w:r>
          </w:p>
        </w:tc>
        <w:tc>
          <w:tcPr>
            <w:tcW w:w="1388" w:type="dxa"/>
          </w:tcPr>
          <w:p w:rsidR="00B428A4" w:rsidRPr="0006125D" w:rsidRDefault="00B428A4" w:rsidP="00B428A4">
            <w:pPr>
              <w:jc w:val="center"/>
              <w:rPr>
                <w:i/>
                <w:sz w:val="26"/>
                <w:szCs w:val="26"/>
              </w:rPr>
            </w:pPr>
            <w:r w:rsidRPr="0006125D">
              <w:rPr>
                <w:i/>
                <w:sz w:val="26"/>
                <w:szCs w:val="26"/>
              </w:rPr>
              <w:t>0</w:t>
            </w: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3.2. speciālais budžets</w:t>
            </w:r>
          </w:p>
        </w:tc>
        <w:tc>
          <w:tcPr>
            <w:tcW w:w="1529" w:type="dxa"/>
            <w:shd w:val="clear" w:color="auto" w:fill="auto"/>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 xml:space="preserve">3.3. pašvaldību budžets </w:t>
            </w:r>
          </w:p>
        </w:tc>
        <w:tc>
          <w:tcPr>
            <w:tcW w:w="1529" w:type="dxa"/>
            <w:shd w:val="clear" w:color="auto" w:fill="auto"/>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vMerge w:val="restart"/>
          </w:tcPr>
          <w:p w:rsidR="009B774A" w:rsidRPr="0006125D" w:rsidRDefault="009B774A" w:rsidP="001A0506">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9B774A" w:rsidRPr="0006125D" w:rsidRDefault="009B774A" w:rsidP="001A0506">
            <w:pPr>
              <w:jc w:val="center"/>
              <w:rPr>
                <w:i/>
                <w:sz w:val="26"/>
                <w:szCs w:val="26"/>
              </w:rPr>
            </w:pPr>
            <w:r w:rsidRPr="0006125D">
              <w:rPr>
                <w:sz w:val="26"/>
                <w:szCs w:val="26"/>
              </w:rPr>
              <w:t>X</w:t>
            </w:r>
          </w:p>
        </w:tc>
        <w:tc>
          <w:tcPr>
            <w:tcW w:w="1383" w:type="dxa"/>
          </w:tcPr>
          <w:p w:rsidR="009B774A" w:rsidRPr="0006125D" w:rsidRDefault="00B428A4" w:rsidP="001A0506">
            <w:pPr>
              <w:jc w:val="center"/>
              <w:rPr>
                <w:sz w:val="26"/>
                <w:szCs w:val="26"/>
              </w:rPr>
            </w:pPr>
            <w:r w:rsidRPr="0006125D">
              <w:rPr>
                <w:sz w:val="26"/>
                <w:szCs w:val="26"/>
              </w:rPr>
              <w:t>0</w:t>
            </w:r>
          </w:p>
        </w:tc>
        <w:tc>
          <w:tcPr>
            <w:tcW w:w="1227" w:type="dxa"/>
          </w:tcPr>
          <w:p w:rsidR="009B774A" w:rsidRPr="0006125D" w:rsidRDefault="009B774A" w:rsidP="001A0506">
            <w:pPr>
              <w:jc w:val="center"/>
              <w:rPr>
                <w:sz w:val="26"/>
                <w:szCs w:val="26"/>
              </w:rPr>
            </w:pPr>
            <w:r w:rsidRPr="0006125D">
              <w:rPr>
                <w:sz w:val="26"/>
                <w:szCs w:val="26"/>
              </w:rPr>
              <w:t>0</w:t>
            </w:r>
          </w:p>
        </w:tc>
        <w:tc>
          <w:tcPr>
            <w:tcW w:w="1227" w:type="dxa"/>
          </w:tcPr>
          <w:p w:rsidR="009B774A" w:rsidRPr="0006125D" w:rsidRDefault="009B774A" w:rsidP="001A0506">
            <w:pPr>
              <w:jc w:val="center"/>
              <w:rPr>
                <w:sz w:val="26"/>
                <w:szCs w:val="26"/>
              </w:rPr>
            </w:pPr>
            <w:r w:rsidRPr="0006125D">
              <w:rPr>
                <w:sz w:val="26"/>
                <w:szCs w:val="26"/>
              </w:rPr>
              <w:t>0</w:t>
            </w:r>
          </w:p>
        </w:tc>
        <w:tc>
          <w:tcPr>
            <w:tcW w:w="1388" w:type="dxa"/>
          </w:tcPr>
          <w:p w:rsidR="009B774A" w:rsidRPr="0006125D" w:rsidRDefault="009B774A" w:rsidP="001A0506">
            <w:pPr>
              <w:jc w:val="center"/>
              <w:rPr>
                <w:sz w:val="26"/>
                <w:szCs w:val="26"/>
              </w:rPr>
            </w:pPr>
            <w:r w:rsidRPr="0006125D">
              <w:rPr>
                <w:sz w:val="26"/>
                <w:szCs w:val="26"/>
              </w:rPr>
              <w:t>0</w:t>
            </w:r>
          </w:p>
        </w:tc>
      </w:tr>
      <w:tr w:rsidR="009B774A" w:rsidRPr="0006125D" w:rsidTr="00CA6C73">
        <w:trPr>
          <w:jc w:val="center"/>
        </w:trPr>
        <w:tc>
          <w:tcPr>
            <w:tcW w:w="3589" w:type="dxa"/>
            <w:vMerge/>
          </w:tcPr>
          <w:p w:rsidR="009B774A" w:rsidRPr="0006125D" w:rsidRDefault="009B774A" w:rsidP="001A0506">
            <w:pPr>
              <w:rPr>
                <w:sz w:val="26"/>
                <w:szCs w:val="26"/>
              </w:rPr>
            </w:pPr>
          </w:p>
        </w:tc>
        <w:tc>
          <w:tcPr>
            <w:tcW w:w="1529" w:type="dxa"/>
            <w:vMerge/>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vMerge/>
          </w:tcPr>
          <w:p w:rsidR="009B774A" w:rsidRPr="0006125D" w:rsidRDefault="009B774A" w:rsidP="001A0506">
            <w:pPr>
              <w:rPr>
                <w:sz w:val="26"/>
                <w:szCs w:val="26"/>
              </w:rPr>
            </w:pPr>
          </w:p>
        </w:tc>
        <w:tc>
          <w:tcPr>
            <w:tcW w:w="1529" w:type="dxa"/>
            <w:vMerge/>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60679E" w:rsidRPr="0006125D" w:rsidTr="00CA6C73">
        <w:trPr>
          <w:jc w:val="center"/>
        </w:trPr>
        <w:tc>
          <w:tcPr>
            <w:tcW w:w="3589" w:type="dxa"/>
          </w:tcPr>
          <w:p w:rsidR="0060679E" w:rsidRPr="0006125D" w:rsidRDefault="0060679E" w:rsidP="0060679E">
            <w:pPr>
              <w:rPr>
                <w:sz w:val="26"/>
                <w:szCs w:val="26"/>
              </w:rPr>
            </w:pPr>
            <w:r w:rsidRPr="0006125D">
              <w:rPr>
                <w:sz w:val="26"/>
                <w:szCs w:val="26"/>
              </w:rPr>
              <w:t>5. Precizēta finansiālā ietekme:</w:t>
            </w:r>
          </w:p>
        </w:tc>
        <w:tc>
          <w:tcPr>
            <w:tcW w:w="1529" w:type="dxa"/>
            <w:vMerge w:val="restart"/>
          </w:tcPr>
          <w:p w:rsidR="0060679E" w:rsidRPr="0006125D" w:rsidRDefault="0060679E" w:rsidP="0060679E">
            <w:pPr>
              <w:jc w:val="center"/>
              <w:rPr>
                <w:i/>
                <w:sz w:val="26"/>
                <w:szCs w:val="26"/>
              </w:rPr>
            </w:pPr>
            <w:r w:rsidRPr="0006125D">
              <w:rPr>
                <w:sz w:val="26"/>
                <w:szCs w:val="26"/>
              </w:rPr>
              <w:t>X</w:t>
            </w:r>
          </w:p>
        </w:tc>
        <w:tc>
          <w:tcPr>
            <w:tcW w:w="1383" w:type="dxa"/>
          </w:tcPr>
          <w:p w:rsidR="0060679E" w:rsidRPr="0006125D" w:rsidRDefault="0060679E" w:rsidP="0060679E">
            <w:pPr>
              <w:jc w:val="center"/>
              <w:rPr>
                <w:b/>
                <w:sz w:val="26"/>
                <w:szCs w:val="26"/>
              </w:rPr>
            </w:pPr>
            <w:r w:rsidRPr="0006125D">
              <w:rPr>
                <w:b/>
                <w:sz w:val="26"/>
                <w:szCs w:val="26"/>
              </w:rPr>
              <w:t>0</w:t>
            </w:r>
          </w:p>
        </w:tc>
        <w:tc>
          <w:tcPr>
            <w:tcW w:w="1227" w:type="dxa"/>
          </w:tcPr>
          <w:p w:rsidR="0060679E" w:rsidRPr="0006125D" w:rsidRDefault="0060679E" w:rsidP="0060679E">
            <w:pPr>
              <w:jc w:val="center"/>
              <w:rPr>
                <w:b/>
                <w:sz w:val="26"/>
                <w:szCs w:val="26"/>
              </w:rPr>
            </w:pPr>
            <w:r w:rsidRPr="0006125D">
              <w:rPr>
                <w:b/>
                <w:sz w:val="26"/>
                <w:szCs w:val="26"/>
              </w:rPr>
              <w:t>0</w:t>
            </w:r>
          </w:p>
        </w:tc>
        <w:tc>
          <w:tcPr>
            <w:tcW w:w="1227" w:type="dxa"/>
          </w:tcPr>
          <w:p w:rsidR="0060679E" w:rsidRPr="0006125D" w:rsidRDefault="0060679E" w:rsidP="0060679E">
            <w:pPr>
              <w:jc w:val="center"/>
              <w:rPr>
                <w:b/>
                <w:sz w:val="26"/>
                <w:szCs w:val="26"/>
              </w:rPr>
            </w:pPr>
            <w:r w:rsidRPr="0006125D">
              <w:rPr>
                <w:b/>
                <w:sz w:val="26"/>
                <w:szCs w:val="26"/>
              </w:rPr>
              <w:t>0</w:t>
            </w:r>
          </w:p>
        </w:tc>
        <w:tc>
          <w:tcPr>
            <w:tcW w:w="1388" w:type="dxa"/>
          </w:tcPr>
          <w:p w:rsidR="0060679E" w:rsidRPr="0006125D" w:rsidRDefault="0060679E" w:rsidP="0060679E">
            <w:pPr>
              <w:jc w:val="center"/>
              <w:rPr>
                <w:b/>
                <w:sz w:val="26"/>
                <w:szCs w:val="26"/>
              </w:rPr>
            </w:pPr>
            <w:r w:rsidRPr="0006125D">
              <w:rPr>
                <w:b/>
                <w:sz w:val="26"/>
                <w:szCs w:val="26"/>
              </w:rPr>
              <w:t>0</w:t>
            </w:r>
          </w:p>
        </w:tc>
      </w:tr>
      <w:tr w:rsidR="0060679E" w:rsidRPr="0006125D" w:rsidTr="00CA6C73">
        <w:trPr>
          <w:jc w:val="center"/>
        </w:trPr>
        <w:tc>
          <w:tcPr>
            <w:tcW w:w="3589" w:type="dxa"/>
          </w:tcPr>
          <w:p w:rsidR="0060679E" w:rsidRPr="0006125D" w:rsidRDefault="0060679E" w:rsidP="0060679E">
            <w:pPr>
              <w:rPr>
                <w:sz w:val="26"/>
                <w:szCs w:val="26"/>
              </w:rPr>
            </w:pPr>
            <w:r w:rsidRPr="0006125D">
              <w:rPr>
                <w:sz w:val="26"/>
                <w:szCs w:val="26"/>
              </w:rPr>
              <w:t>5.1. valsts pamatbudžets</w:t>
            </w:r>
          </w:p>
        </w:tc>
        <w:tc>
          <w:tcPr>
            <w:tcW w:w="1529" w:type="dxa"/>
            <w:vMerge/>
            <w:vAlign w:val="center"/>
          </w:tcPr>
          <w:p w:rsidR="0060679E" w:rsidRPr="0006125D" w:rsidRDefault="0060679E" w:rsidP="0060679E">
            <w:pPr>
              <w:jc w:val="center"/>
              <w:rPr>
                <w:i/>
                <w:sz w:val="26"/>
                <w:szCs w:val="26"/>
              </w:rPr>
            </w:pPr>
          </w:p>
        </w:tc>
        <w:tc>
          <w:tcPr>
            <w:tcW w:w="1383"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388" w:type="dxa"/>
          </w:tcPr>
          <w:p w:rsidR="0060679E" w:rsidRPr="0006125D" w:rsidRDefault="0060679E" w:rsidP="0060679E">
            <w:pPr>
              <w:jc w:val="center"/>
              <w:rPr>
                <w:i/>
                <w:sz w:val="26"/>
                <w:szCs w:val="26"/>
              </w:rPr>
            </w:pPr>
            <w:r w:rsidRPr="0006125D">
              <w:rPr>
                <w:i/>
                <w:sz w:val="26"/>
                <w:szCs w:val="26"/>
              </w:rPr>
              <w:t>0</w:t>
            </w: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5.2. speciālais budžets</w:t>
            </w:r>
          </w:p>
        </w:tc>
        <w:tc>
          <w:tcPr>
            <w:tcW w:w="1529" w:type="dxa"/>
            <w:vMerge/>
            <w:vAlign w:val="center"/>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 xml:space="preserve">5.3. pašvaldību budžets </w:t>
            </w:r>
          </w:p>
        </w:tc>
        <w:tc>
          <w:tcPr>
            <w:tcW w:w="1529" w:type="dxa"/>
            <w:vMerge/>
            <w:vAlign w:val="center"/>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388" w:type="dxa"/>
          </w:tcPr>
          <w:p w:rsidR="009B774A" w:rsidRPr="0006125D" w:rsidRDefault="009B774A" w:rsidP="001A0506">
            <w:pPr>
              <w:jc w:val="center"/>
              <w:rPr>
                <w:sz w:val="26"/>
                <w:szCs w:val="26"/>
              </w:rPr>
            </w:pP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754" w:type="dxa"/>
            <w:gridSpan w:val="5"/>
            <w:vMerge w:val="restart"/>
            <w:shd w:val="clear" w:color="auto" w:fill="auto"/>
          </w:tcPr>
          <w:p w:rsidR="00FA0234" w:rsidRPr="0006125D" w:rsidRDefault="00876518" w:rsidP="00E03CCB">
            <w:pPr>
              <w:jc w:val="both"/>
              <w:rPr>
                <w:sz w:val="26"/>
                <w:szCs w:val="26"/>
              </w:rPr>
            </w:pPr>
            <w:r w:rsidRPr="0006125D">
              <w:rPr>
                <w:sz w:val="26"/>
                <w:szCs w:val="26"/>
              </w:rPr>
              <w:t xml:space="preserve">Izdevumi 2014.gada valsts budžeta </w:t>
            </w:r>
            <w:r w:rsidR="00E03CCB" w:rsidRPr="0006125D">
              <w:rPr>
                <w:sz w:val="26"/>
                <w:szCs w:val="26"/>
              </w:rPr>
              <w:t xml:space="preserve">apakšprogrammā 01.05.00 “Dotācija privātajām mācību iestādēm” par 600 000 </w:t>
            </w:r>
            <w:r w:rsidR="00E03CCB" w:rsidRPr="0006125D">
              <w:rPr>
                <w:i/>
                <w:sz w:val="26"/>
                <w:szCs w:val="26"/>
              </w:rPr>
              <w:t>euro</w:t>
            </w:r>
            <w:r w:rsidR="00E03CCB" w:rsidRPr="0006125D">
              <w:rPr>
                <w:sz w:val="26"/>
                <w:szCs w:val="26"/>
              </w:rPr>
              <w:t xml:space="preserve"> samazināsies, bet attiecīgi par 600 000 </w:t>
            </w:r>
            <w:r w:rsidR="00E03CCB" w:rsidRPr="0006125D">
              <w:rPr>
                <w:i/>
                <w:sz w:val="26"/>
                <w:szCs w:val="26"/>
              </w:rPr>
              <w:t>euro</w:t>
            </w:r>
            <w:r w:rsidR="00E03CCB" w:rsidRPr="0006125D">
              <w:rPr>
                <w:sz w:val="26"/>
                <w:szCs w:val="26"/>
              </w:rPr>
              <w:t xml:space="preserve"> palielināsies 2014.gada valsts budžeta apakšprogrammā 09.16.00 “Dotācija nacionālās nozīmes starptautisku sporta pasākumu organizēšanai Latvijā” paredzētie līdzekļi.</w:t>
            </w: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6.1. detalizēts ieņēmumu aprēķins</w:t>
            </w:r>
          </w:p>
        </w:tc>
        <w:tc>
          <w:tcPr>
            <w:tcW w:w="6754" w:type="dxa"/>
            <w:gridSpan w:val="5"/>
            <w:vMerge/>
            <w:shd w:val="clear" w:color="auto" w:fill="auto"/>
          </w:tcPr>
          <w:p w:rsidR="009B774A" w:rsidRPr="0006125D" w:rsidRDefault="009B774A" w:rsidP="001A0506">
            <w:pPr>
              <w:rPr>
                <w:b/>
                <w:i/>
                <w:sz w:val="26"/>
                <w:szCs w:val="26"/>
              </w:rPr>
            </w:pPr>
          </w:p>
        </w:tc>
      </w:tr>
      <w:tr w:rsidR="009B774A" w:rsidRPr="0006125D" w:rsidTr="00CA6C73">
        <w:trPr>
          <w:jc w:val="center"/>
        </w:trPr>
        <w:tc>
          <w:tcPr>
            <w:tcW w:w="3589" w:type="dxa"/>
          </w:tcPr>
          <w:p w:rsidR="009B774A" w:rsidRPr="0006125D" w:rsidRDefault="009B774A" w:rsidP="001A0506">
            <w:pPr>
              <w:rPr>
                <w:sz w:val="26"/>
                <w:szCs w:val="26"/>
              </w:rPr>
            </w:pPr>
            <w:r w:rsidRPr="0006125D">
              <w:rPr>
                <w:sz w:val="26"/>
                <w:szCs w:val="26"/>
              </w:rPr>
              <w:t>6.2. detalizēts izdevumu aprēķins</w:t>
            </w:r>
          </w:p>
        </w:tc>
        <w:tc>
          <w:tcPr>
            <w:tcW w:w="6754" w:type="dxa"/>
            <w:gridSpan w:val="5"/>
            <w:vMerge/>
            <w:shd w:val="clear" w:color="auto" w:fill="auto"/>
          </w:tcPr>
          <w:p w:rsidR="009B774A" w:rsidRPr="0006125D" w:rsidRDefault="009B774A" w:rsidP="001A0506">
            <w:pPr>
              <w:rPr>
                <w:b/>
                <w:i/>
                <w:sz w:val="26"/>
                <w:szCs w:val="26"/>
              </w:rPr>
            </w:pPr>
          </w:p>
        </w:tc>
      </w:tr>
      <w:tr w:rsidR="009B774A" w:rsidRPr="0006125D" w:rsidTr="00CA6C73">
        <w:trPr>
          <w:trHeight w:val="399"/>
          <w:jc w:val="center"/>
        </w:trPr>
        <w:tc>
          <w:tcPr>
            <w:tcW w:w="3589" w:type="dxa"/>
          </w:tcPr>
          <w:p w:rsidR="009B774A" w:rsidRPr="0006125D" w:rsidRDefault="009B774A" w:rsidP="001A0506">
            <w:pPr>
              <w:rPr>
                <w:sz w:val="26"/>
                <w:szCs w:val="26"/>
              </w:rPr>
            </w:pPr>
            <w:r w:rsidRPr="0006125D">
              <w:rPr>
                <w:sz w:val="26"/>
                <w:szCs w:val="26"/>
              </w:rPr>
              <w:t>7. Cita informācija</w:t>
            </w:r>
          </w:p>
        </w:tc>
        <w:tc>
          <w:tcPr>
            <w:tcW w:w="6754" w:type="dxa"/>
            <w:gridSpan w:val="5"/>
            <w:shd w:val="clear" w:color="auto" w:fill="auto"/>
          </w:tcPr>
          <w:p w:rsidR="009B774A" w:rsidRPr="0006125D" w:rsidRDefault="00B428A4" w:rsidP="0060679E">
            <w:pPr>
              <w:tabs>
                <w:tab w:val="left" w:pos="1901"/>
              </w:tabs>
              <w:jc w:val="both"/>
              <w:rPr>
                <w:sz w:val="26"/>
                <w:szCs w:val="26"/>
              </w:rPr>
            </w:pPr>
            <w:r w:rsidRPr="0006125D">
              <w:rPr>
                <w:sz w:val="26"/>
                <w:szCs w:val="26"/>
              </w:rPr>
              <w:t>Pēc Ministru kabineta rīkojuma projekta pieņemšanas IZM normatīvajos aktos noteiktā kārtībā sagatavos un iesniegs Finanšu ministrijā pieprasījumu valsts budžeta apropriācijas pārdalei.</w:t>
            </w:r>
          </w:p>
        </w:tc>
      </w:tr>
    </w:tbl>
    <w:p w:rsidR="009B774A" w:rsidRPr="0006125D" w:rsidRDefault="009B774A" w:rsidP="009B774A">
      <w:pPr>
        <w:pStyle w:val="naisf"/>
        <w:tabs>
          <w:tab w:val="left" w:pos="3819"/>
        </w:tabs>
        <w:spacing w:before="0" w:after="0"/>
        <w:ind w:firstLine="0"/>
        <w:rPr>
          <w:sz w:val="26"/>
          <w:szCs w:val="26"/>
        </w:rPr>
      </w:pPr>
    </w:p>
    <w:p w:rsidR="001F23A6" w:rsidRPr="0006125D" w:rsidRDefault="001F23A6" w:rsidP="00464CD0">
      <w:pPr>
        <w:ind w:left="-567" w:right="-427"/>
        <w:jc w:val="both"/>
        <w:rPr>
          <w:i/>
          <w:sz w:val="26"/>
          <w:szCs w:val="26"/>
        </w:rPr>
      </w:pPr>
      <w:r w:rsidRPr="0006125D">
        <w:rPr>
          <w:i/>
          <w:sz w:val="26"/>
          <w:szCs w:val="26"/>
        </w:rPr>
        <w:t xml:space="preserve">Anotācijas </w:t>
      </w:r>
      <w:r w:rsidR="0002179F" w:rsidRPr="0006125D">
        <w:rPr>
          <w:i/>
          <w:sz w:val="26"/>
          <w:szCs w:val="26"/>
        </w:rPr>
        <w:t xml:space="preserve">II, </w:t>
      </w:r>
      <w:r w:rsidR="006F5778" w:rsidRPr="0006125D">
        <w:rPr>
          <w:i/>
          <w:sz w:val="26"/>
          <w:szCs w:val="26"/>
        </w:rPr>
        <w:t xml:space="preserve">IV, </w:t>
      </w:r>
      <w:r w:rsidR="0002179F" w:rsidRPr="0006125D">
        <w:rPr>
          <w:i/>
          <w:sz w:val="26"/>
          <w:szCs w:val="26"/>
        </w:rPr>
        <w:t xml:space="preserve">V, VI un VII </w:t>
      </w:r>
      <w:r w:rsidRPr="0006125D">
        <w:rPr>
          <w:i/>
          <w:sz w:val="26"/>
          <w:szCs w:val="26"/>
        </w:rPr>
        <w:t xml:space="preserve">sadaļa – </w:t>
      </w:r>
      <w:r w:rsidR="00464CD0" w:rsidRPr="0006125D">
        <w:rPr>
          <w:i/>
          <w:sz w:val="26"/>
          <w:szCs w:val="26"/>
        </w:rPr>
        <w:t>Ministru kabineta r</w:t>
      </w:r>
      <w:r w:rsidRPr="0006125D">
        <w:rPr>
          <w:i/>
          <w:sz w:val="26"/>
          <w:szCs w:val="26"/>
        </w:rPr>
        <w:t>īkojuma projekts šīs jomas neskar.</w:t>
      </w:r>
    </w:p>
    <w:p w:rsidR="00585B7B" w:rsidRDefault="00585B7B" w:rsidP="00D96FCD">
      <w:pPr>
        <w:rPr>
          <w:sz w:val="26"/>
          <w:szCs w:val="26"/>
        </w:rPr>
      </w:pPr>
    </w:p>
    <w:p w:rsidR="00C513BE" w:rsidRPr="0006125D" w:rsidRDefault="00C513BE" w:rsidP="00D96FCD">
      <w:pPr>
        <w:rPr>
          <w:sz w:val="26"/>
          <w:szCs w:val="26"/>
        </w:rPr>
      </w:pPr>
    </w:p>
    <w:p w:rsidR="00617D7A" w:rsidRPr="0006125D" w:rsidRDefault="00481F9B" w:rsidP="00C7220E">
      <w:pPr>
        <w:pStyle w:val="BodyText2"/>
        <w:spacing w:after="0" w:line="240" w:lineRule="auto"/>
        <w:ind w:firstLine="720"/>
        <w:jc w:val="both"/>
        <w:rPr>
          <w:sz w:val="26"/>
          <w:szCs w:val="26"/>
        </w:rPr>
      </w:pPr>
      <w:r w:rsidRPr="0006125D">
        <w:rPr>
          <w:sz w:val="26"/>
          <w:szCs w:val="26"/>
        </w:rPr>
        <w:t>I</w:t>
      </w:r>
      <w:r w:rsidR="008F245F" w:rsidRPr="0006125D">
        <w:rPr>
          <w:sz w:val="26"/>
          <w:szCs w:val="26"/>
        </w:rPr>
        <w:t>zglītības un zinātnes ministr</w:t>
      </w:r>
      <w:r w:rsidR="00005A9D" w:rsidRPr="0006125D">
        <w:rPr>
          <w:sz w:val="26"/>
          <w:szCs w:val="26"/>
        </w:rPr>
        <w:t>e</w:t>
      </w:r>
      <w:r w:rsidRPr="0006125D">
        <w:rPr>
          <w:sz w:val="26"/>
          <w:szCs w:val="26"/>
        </w:rPr>
        <w:tab/>
      </w:r>
      <w:r w:rsidRPr="0006125D">
        <w:rPr>
          <w:sz w:val="26"/>
          <w:szCs w:val="26"/>
        </w:rPr>
        <w:tab/>
      </w:r>
      <w:r w:rsidRPr="0006125D">
        <w:rPr>
          <w:sz w:val="26"/>
          <w:szCs w:val="26"/>
        </w:rPr>
        <w:tab/>
      </w:r>
      <w:r w:rsidRPr="0006125D">
        <w:rPr>
          <w:sz w:val="26"/>
          <w:szCs w:val="26"/>
        </w:rPr>
        <w:tab/>
      </w:r>
      <w:r w:rsidRPr="0006125D">
        <w:rPr>
          <w:sz w:val="26"/>
          <w:szCs w:val="26"/>
        </w:rPr>
        <w:tab/>
      </w:r>
      <w:r w:rsidR="004E1E2E" w:rsidRPr="0006125D">
        <w:rPr>
          <w:sz w:val="26"/>
          <w:szCs w:val="26"/>
        </w:rPr>
        <w:t>Mārīte Seile</w:t>
      </w:r>
    </w:p>
    <w:p w:rsidR="004560F5" w:rsidRDefault="004560F5" w:rsidP="00D96FCD">
      <w:pPr>
        <w:rPr>
          <w:sz w:val="26"/>
          <w:szCs w:val="26"/>
        </w:rPr>
      </w:pPr>
    </w:p>
    <w:p w:rsidR="008B5BBC" w:rsidRPr="0006125D" w:rsidRDefault="008B5BBC" w:rsidP="008B5BBC">
      <w:pPr>
        <w:ind w:firstLine="720"/>
        <w:jc w:val="both"/>
        <w:rPr>
          <w:sz w:val="26"/>
          <w:szCs w:val="26"/>
        </w:rPr>
      </w:pPr>
      <w:r w:rsidRPr="0006125D">
        <w:rPr>
          <w:sz w:val="26"/>
          <w:szCs w:val="26"/>
        </w:rPr>
        <w:t>Vizē:</w:t>
      </w:r>
    </w:p>
    <w:p w:rsidR="008B5BBC" w:rsidRPr="0006125D" w:rsidRDefault="008B5BBC" w:rsidP="008B5BBC">
      <w:pPr>
        <w:ind w:firstLine="720"/>
        <w:jc w:val="both"/>
        <w:rPr>
          <w:sz w:val="26"/>
          <w:szCs w:val="26"/>
        </w:rPr>
      </w:pPr>
      <w:r w:rsidRPr="0006125D">
        <w:rPr>
          <w:sz w:val="26"/>
          <w:szCs w:val="26"/>
        </w:rPr>
        <w:t>Valsts sekretār</w:t>
      </w:r>
      <w:r w:rsidR="008C41B8" w:rsidRPr="0006125D">
        <w:rPr>
          <w:sz w:val="26"/>
          <w:szCs w:val="26"/>
        </w:rPr>
        <w:t>e</w:t>
      </w:r>
      <w:r w:rsidR="008C41B8" w:rsidRPr="0006125D">
        <w:rPr>
          <w:sz w:val="26"/>
          <w:szCs w:val="26"/>
        </w:rPr>
        <w:tab/>
      </w:r>
      <w:r w:rsidR="008C41B8" w:rsidRPr="0006125D">
        <w:rPr>
          <w:sz w:val="26"/>
          <w:szCs w:val="26"/>
        </w:rPr>
        <w:tab/>
      </w:r>
      <w:r w:rsidR="008C41B8" w:rsidRPr="0006125D">
        <w:rPr>
          <w:sz w:val="26"/>
          <w:szCs w:val="26"/>
        </w:rPr>
        <w:tab/>
      </w:r>
      <w:r w:rsidRPr="0006125D">
        <w:rPr>
          <w:sz w:val="26"/>
          <w:szCs w:val="26"/>
        </w:rPr>
        <w:tab/>
      </w:r>
      <w:r w:rsidRPr="0006125D">
        <w:rPr>
          <w:sz w:val="26"/>
          <w:szCs w:val="26"/>
        </w:rPr>
        <w:tab/>
      </w:r>
      <w:r w:rsidRPr="0006125D">
        <w:rPr>
          <w:sz w:val="26"/>
          <w:szCs w:val="26"/>
        </w:rPr>
        <w:tab/>
        <w:t xml:space="preserve">       </w:t>
      </w:r>
      <w:r w:rsidR="007F5AEE" w:rsidRPr="0006125D">
        <w:rPr>
          <w:sz w:val="26"/>
          <w:szCs w:val="26"/>
        </w:rPr>
        <w:tab/>
      </w:r>
      <w:r w:rsidR="007A424E" w:rsidRPr="0006125D">
        <w:rPr>
          <w:sz w:val="26"/>
          <w:szCs w:val="26"/>
        </w:rPr>
        <w:t>Sanda Liepiņa</w:t>
      </w:r>
    </w:p>
    <w:p w:rsidR="008B5BBC" w:rsidRPr="0006125D" w:rsidRDefault="008B5BBC" w:rsidP="008B5BBC">
      <w:pPr>
        <w:ind w:left="720"/>
        <w:rPr>
          <w:sz w:val="22"/>
          <w:szCs w:val="22"/>
        </w:rPr>
      </w:pPr>
    </w:p>
    <w:p w:rsidR="007B39BF" w:rsidRPr="0006125D" w:rsidRDefault="00B22FD6" w:rsidP="007B39BF">
      <w:pPr>
        <w:ind w:left="720"/>
        <w:rPr>
          <w:sz w:val="22"/>
          <w:szCs w:val="22"/>
        </w:rPr>
      </w:pPr>
      <w:r>
        <w:rPr>
          <w:sz w:val="22"/>
          <w:szCs w:val="22"/>
        </w:rPr>
        <w:t>28</w:t>
      </w:r>
      <w:r w:rsidR="007B39BF" w:rsidRPr="0006125D">
        <w:rPr>
          <w:sz w:val="22"/>
          <w:szCs w:val="22"/>
        </w:rPr>
        <w:t xml:space="preserve">.11.2014. </w:t>
      </w:r>
      <w:r>
        <w:rPr>
          <w:sz w:val="22"/>
          <w:szCs w:val="22"/>
        </w:rPr>
        <w:t>08</w:t>
      </w:r>
      <w:r w:rsidR="007B39BF" w:rsidRPr="0006125D">
        <w:rPr>
          <w:sz w:val="22"/>
          <w:szCs w:val="22"/>
        </w:rPr>
        <w:t>:</w:t>
      </w:r>
      <w:r>
        <w:rPr>
          <w:sz w:val="22"/>
          <w:szCs w:val="22"/>
        </w:rPr>
        <w:t>30</w:t>
      </w:r>
    </w:p>
    <w:p w:rsidR="007B39BF" w:rsidRPr="0006125D" w:rsidRDefault="00FF2863" w:rsidP="007B39BF">
      <w:pPr>
        <w:ind w:left="720"/>
        <w:rPr>
          <w:sz w:val="22"/>
          <w:szCs w:val="22"/>
        </w:rPr>
      </w:pPr>
      <w:r>
        <w:rPr>
          <w:sz w:val="22"/>
          <w:szCs w:val="22"/>
        </w:rPr>
        <w:t>900</w:t>
      </w:r>
      <w:bookmarkStart w:id="3" w:name="_GoBack"/>
      <w:bookmarkEnd w:id="3"/>
    </w:p>
    <w:p w:rsidR="007B39BF" w:rsidRPr="0006125D" w:rsidRDefault="007B39BF" w:rsidP="007B39BF">
      <w:pPr>
        <w:ind w:left="720"/>
        <w:rPr>
          <w:sz w:val="22"/>
          <w:szCs w:val="22"/>
        </w:rPr>
      </w:pPr>
      <w:r w:rsidRPr="0006125D">
        <w:rPr>
          <w:sz w:val="22"/>
          <w:szCs w:val="22"/>
        </w:rPr>
        <w:t>Izglītības un zinātnes ministrijas</w:t>
      </w:r>
    </w:p>
    <w:p w:rsidR="007B39BF" w:rsidRPr="0006125D" w:rsidRDefault="007B39BF" w:rsidP="007B39BF">
      <w:pPr>
        <w:ind w:left="720"/>
        <w:rPr>
          <w:sz w:val="22"/>
          <w:szCs w:val="22"/>
        </w:rPr>
      </w:pPr>
      <w:r w:rsidRPr="0006125D">
        <w:rPr>
          <w:sz w:val="22"/>
          <w:szCs w:val="22"/>
        </w:rPr>
        <w:t xml:space="preserve">valsts sekretāra vietnieks – </w:t>
      </w:r>
    </w:p>
    <w:p w:rsidR="007B39BF" w:rsidRPr="0006125D" w:rsidRDefault="002E090D" w:rsidP="007B39BF">
      <w:pPr>
        <w:ind w:left="720"/>
        <w:rPr>
          <w:sz w:val="22"/>
          <w:szCs w:val="22"/>
        </w:rPr>
      </w:pPr>
      <w:r>
        <w:rPr>
          <w:sz w:val="22"/>
          <w:szCs w:val="22"/>
        </w:rPr>
        <w:t>S</w:t>
      </w:r>
      <w:r w:rsidR="007B39BF" w:rsidRPr="0006125D">
        <w:rPr>
          <w:sz w:val="22"/>
          <w:szCs w:val="22"/>
        </w:rPr>
        <w:t>porta departamenta direktors E.Severs</w:t>
      </w:r>
    </w:p>
    <w:p w:rsidR="00763103" w:rsidRPr="0006125D" w:rsidRDefault="007B39BF" w:rsidP="007B39BF">
      <w:pPr>
        <w:ind w:left="720"/>
        <w:rPr>
          <w:sz w:val="22"/>
          <w:szCs w:val="22"/>
        </w:rPr>
      </w:pPr>
      <w:r w:rsidRPr="0006125D">
        <w:rPr>
          <w:sz w:val="22"/>
          <w:szCs w:val="22"/>
        </w:rPr>
        <w:t>67047935, edgars.severs@izm.gov.lv</w:t>
      </w:r>
    </w:p>
    <w:sectPr w:rsidR="00763103" w:rsidRPr="0006125D" w:rsidSect="00C513BE">
      <w:headerReference w:type="default" r:id="rId8"/>
      <w:footerReference w:type="default" r:id="rId9"/>
      <w:footerReference w:type="first" r:id="rId10"/>
      <w:pgSz w:w="11906" w:h="16838" w:code="9"/>
      <w:pgMar w:top="851" w:right="1134" w:bottom="851" w:left="1701" w:header="425"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8E" w:rsidRDefault="00C3238E" w:rsidP="00123E9B">
      <w:r>
        <w:separator/>
      </w:r>
    </w:p>
  </w:endnote>
  <w:endnote w:type="continuationSeparator" w:id="0">
    <w:p w:rsidR="00C3238E" w:rsidRDefault="00C3238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7B39BF" w:rsidRDefault="007B39BF" w:rsidP="007B39BF">
    <w:pPr>
      <w:ind w:left="-567" w:right="-568"/>
      <w:jc w:val="both"/>
      <w:rPr>
        <w:sz w:val="22"/>
        <w:szCs w:val="22"/>
      </w:rPr>
    </w:pPr>
    <w:r>
      <w:rPr>
        <w:sz w:val="22"/>
        <w:szCs w:val="22"/>
      </w:rPr>
      <w:t>IZMAnot_</w:t>
    </w:r>
    <w:r w:rsidR="00D47B77">
      <w:rPr>
        <w:sz w:val="22"/>
        <w:szCs w:val="22"/>
      </w:rPr>
      <w:t>28</w:t>
    </w:r>
    <w:r>
      <w:rPr>
        <w:sz w:val="22"/>
        <w:szCs w:val="22"/>
      </w:rPr>
      <w:t>1114_EC2015</w:t>
    </w:r>
    <w:r w:rsidRPr="004816F6">
      <w:rPr>
        <w:sz w:val="22"/>
        <w:szCs w:val="22"/>
      </w:rPr>
      <w:t xml:space="preserve">; Ministru kabineta rīkojuma projekta </w:t>
    </w:r>
    <w:r>
      <w:rPr>
        <w:sz w:val="22"/>
        <w:szCs w:val="22"/>
      </w:rPr>
      <w:t>“</w:t>
    </w:r>
    <w:r w:rsidRPr="009F5CAD">
      <w:rPr>
        <w:sz w:val="22"/>
        <w:szCs w:val="22"/>
      </w:rPr>
      <w:t xml:space="preserve">Par </w:t>
    </w:r>
    <w:r>
      <w:rPr>
        <w:sz w:val="22"/>
        <w:szCs w:val="22"/>
      </w:rPr>
      <w:t>apropriācijas pārdali”</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9F5CAD" w:rsidRDefault="009F5CAD" w:rsidP="009F5CAD">
    <w:pPr>
      <w:ind w:left="-567" w:right="-568"/>
      <w:jc w:val="both"/>
      <w:rPr>
        <w:sz w:val="22"/>
        <w:szCs w:val="22"/>
      </w:rPr>
    </w:pPr>
    <w:r>
      <w:rPr>
        <w:sz w:val="22"/>
        <w:szCs w:val="22"/>
      </w:rPr>
      <w:t>IZMAnot_</w:t>
    </w:r>
    <w:r w:rsidR="00D47B77">
      <w:rPr>
        <w:sz w:val="22"/>
        <w:szCs w:val="22"/>
      </w:rPr>
      <w:t>28</w:t>
    </w:r>
    <w:r w:rsidR="007B39BF">
      <w:rPr>
        <w:sz w:val="22"/>
        <w:szCs w:val="22"/>
      </w:rPr>
      <w:t>1114</w:t>
    </w:r>
    <w:r>
      <w:rPr>
        <w:sz w:val="22"/>
        <w:szCs w:val="22"/>
      </w:rPr>
      <w:t>_EC2015</w:t>
    </w:r>
    <w:r w:rsidRPr="004816F6">
      <w:rPr>
        <w:sz w:val="22"/>
        <w:szCs w:val="22"/>
      </w:rPr>
      <w:t xml:space="preserve">; Ministru kabineta rīkojuma projekta </w:t>
    </w:r>
    <w:r>
      <w:rPr>
        <w:sz w:val="22"/>
        <w:szCs w:val="22"/>
      </w:rPr>
      <w:t>“</w:t>
    </w:r>
    <w:r w:rsidRPr="009F5CAD">
      <w:rPr>
        <w:sz w:val="22"/>
        <w:szCs w:val="22"/>
      </w:rPr>
      <w:t xml:space="preserve">Par </w:t>
    </w:r>
    <w:r w:rsidR="007B39BF">
      <w:rPr>
        <w:sz w:val="22"/>
        <w:szCs w:val="22"/>
      </w:rPr>
      <w:t>apropriācijas pārdali”</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8E" w:rsidRDefault="00C3238E" w:rsidP="00123E9B">
      <w:r>
        <w:separator/>
      </w:r>
    </w:p>
  </w:footnote>
  <w:footnote w:type="continuationSeparator" w:id="0">
    <w:p w:rsidR="00C3238E" w:rsidRDefault="00C3238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FF2863">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5BF7B42"/>
    <w:multiLevelType w:val="hybridMultilevel"/>
    <w:tmpl w:val="8BFE0912"/>
    <w:lvl w:ilvl="0" w:tplc="FD0ECA12">
      <w:start w:val="1"/>
      <w:numFmt w:val="decimal"/>
      <w:lvlText w:val="(%1)"/>
      <w:lvlJc w:val="left"/>
      <w:pPr>
        <w:ind w:left="507" w:hanging="375"/>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nsid w:val="16447320"/>
    <w:multiLevelType w:val="hybridMultilevel"/>
    <w:tmpl w:val="F8461F56"/>
    <w:lvl w:ilvl="0" w:tplc="D868C39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B3B4305"/>
    <w:multiLevelType w:val="hybridMultilevel"/>
    <w:tmpl w:val="081452AE"/>
    <w:lvl w:ilvl="0" w:tplc="B73884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0BA02A3"/>
    <w:multiLevelType w:val="hybridMultilevel"/>
    <w:tmpl w:val="C5641C0C"/>
    <w:lvl w:ilvl="0" w:tplc="96F8207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2"/>
  </w:num>
  <w:num w:numId="3">
    <w:abstractNumId w:val="11"/>
  </w:num>
  <w:num w:numId="4">
    <w:abstractNumId w:val="14"/>
  </w:num>
  <w:num w:numId="5">
    <w:abstractNumId w:val="9"/>
  </w:num>
  <w:num w:numId="6">
    <w:abstractNumId w:val="10"/>
  </w:num>
  <w:num w:numId="7">
    <w:abstractNumId w:val="3"/>
  </w:num>
  <w:num w:numId="8">
    <w:abstractNumId w:val="0"/>
  </w:num>
  <w:num w:numId="9">
    <w:abstractNumId w:val="7"/>
  </w:num>
  <w:num w:numId="10">
    <w:abstractNumId w:val="15"/>
  </w:num>
  <w:num w:numId="11">
    <w:abstractNumId w:val="13"/>
  </w:num>
  <w:num w:numId="12">
    <w:abstractNumId w:val="4"/>
  </w:num>
  <w:num w:numId="13">
    <w:abstractNumId w:val="6"/>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125D"/>
    <w:rsid w:val="000622F7"/>
    <w:rsid w:val="00063019"/>
    <w:rsid w:val="0006651A"/>
    <w:rsid w:val="000673CA"/>
    <w:rsid w:val="00070F02"/>
    <w:rsid w:val="00071C49"/>
    <w:rsid w:val="00071E61"/>
    <w:rsid w:val="00072B98"/>
    <w:rsid w:val="00072F6C"/>
    <w:rsid w:val="000730C8"/>
    <w:rsid w:val="00073118"/>
    <w:rsid w:val="000732D1"/>
    <w:rsid w:val="00074405"/>
    <w:rsid w:val="00074B8C"/>
    <w:rsid w:val="00076F56"/>
    <w:rsid w:val="000777F6"/>
    <w:rsid w:val="00080CC1"/>
    <w:rsid w:val="00081477"/>
    <w:rsid w:val="00081CEB"/>
    <w:rsid w:val="00083396"/>
    <w:rsid w:val="000849C2"/>
    <w:rsid w:val="00084C38"/>
    <w:rsid w:val="0008599C"/>
    <w:rsid w:val="00090B02"/>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0F6485"/>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5215"/>
    <w:rsid w:val="001673FC"/>
    <w:rsid w:val="0017294D"/>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83B"/>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47BE3"/>
    <w:rsid w:val="0025085A"/>
    <w:rsid w:val="00250A27"/>
    <w:rsid w:val="00250F03"/>
    <w:rsid w:val="002512F8"/>
    <w:rsid w:val="0025457B"/>
    <w:rsid w:val="0025458A"/>
    <w:rsid w:val="0025500E"/>
    <w:rsid w:val="0025509B"/>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853"/>
    <w:rsid w:val="00290940"/>
    <w:rsid w:val="0029164A"/>
    <w:rsid w:val="002918AC"/>
    <w:rsid w:val="00291A48"/>
    <w:rsid w:val="00291AF4"/>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307"/>
    <w:rsid w:val="002C7C2B"/>
    <w:rsid w:val="002D4F98"/>
    <w:rsid w:val="002D50D6"/>
    <w:rsid w:val="002D5DA0"/>
    <w:rsid w:val="002D77A9"/>
    <w:rsid w:val="002E011D"/>
    <w:rsid w:val="002E090D"/>
    <w:rsid w:val="002E0B47"/>
    <w:rsid w:val="002E0BB9"/>
    <w:rsid w:val="002E40BB"/>
    <w:rsid w:val="002E6A3D"/>
    <w:rsid w:val="002E742C"/>
    <w:rsid w:val="002F120E"/>
    <w:rsid w:val="002F25B0"/>
    <w:rsid w:val="002F3C73"/>
    <w:rsid w:val="002F4472"/>
    <w:rsid w:val="002F5953"/>
    <w:rsid w:val="002F5EAC"/>
    <w:rsid w:val="002F61A6"/>
    <w:rsid w:val="002F6EEF"/>
    <w:rsid w:val="002F72C0"/>
    <w:rsid w:val="003014C2"/>
    <w:rsid w:val="003028DB"/>
    <w:rsid w:val="00304F79"/>
    <w:rsid w:val="00307A0E"/>
    <w:rsid w:val="00310877"/>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398A"/>
    <w:rsid w:val="00376CEF"/>
    <w:rsid w:val="003773F8"/>
    <w:rsid w:val="00377E19"/>
    <w:rsid w:val="00381A75"/>
    <w:rsid w:val="0038389A"/>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776B2"/>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1E2E"/>
    <w:rsid w:val="004E4B60"/>
    <w:rsid w:val="004E607D"/>
    <w:rsid w:val="004E7040"/>
    <w:rsid w:val="004F14C5"/>
    <w:rsid w:val="004F3806"/>
    <w:rsid w:val="004F3D0D"/>
    <w:rsid w:val="004F788C"/>
    <w:rsid w:val="004F7E19"/>
    <w:rsid w:val="00503618"/>
    <w:rsid w:val="00504DBF"/>
    <w:rsid w:val="00506F79"/>
    <w:rsid w:val="005134ED"/>
    <w:rsid w:val="00514C25"/>
    <w:rsid w:val="0051556C"/>
    <w:rsid w:val="005161C9"/>
    <w:rsid w:val="00516733"/>
    <w:rsid w:val="00520DCB"/>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383D"/>
    <w:rsid w:val="005538DD"/>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3EB2"/>
    <w:rsid w:val="00594DEF"/>
    <w:rsid w:val="005A02DC"/>
    <w:rsid w:val="005A03DE"/>
    <w:rsid w:val="005A077D"/>
    <w:rsid w:val="005A0EAC"/>
    <w:rsid w:val="005A19BE"/>
    <w:rsid w:val="005A2C74"/>
    <w:rsid w:val="005A518B"/>
    <w:rsid w:val="005A627E"/>
    <w:rsid w:val="005A7083"/>
    <w:rsid w:val="005A7608"/>
    <w:rsid w:val="005A7644"/>
    <w:rsid w:val="005B1022"/>
    <w:rsid w:val="005B1E9C"/>
    <w:rsid w:val="005B31E6"/>
    <w:rsid w:val="005B4B22"/>
    <w:rsid w:val="005B5C5C"/>
    <w:rsid w:val="005C066E"/>
    <w:rsid w:val="005C1641"/>
    <w:rsid w:val="005C1BC7"/>
    <w:rsid w:val="005C278A"/>
    <w:rsid w:val="005C32C9"/>
    <w:rsid w:val="005C3A56"/>
    <w:rsid w:val="005C3A67"/>
    <w:rsid w:val="005C5513"/>
    <w:rsid w:val="005C5DB9"/>
    <w:rsid w:val="005C5E85"/>
    <w:rsid w:val="005C6705"/>
    <w:rsid w:val="005C6B8A"/>
    <w:rsid w:val="005C7471"/>
    <w:rsid w:val="005D05F2"/>
    <w:rsid w:val="005D2257"/>
    <w:rsid w:val="005D2C19"/>
    <w:rsid w:val="005D4A0C"/>
    <w:rsid w:val="005D564D"/>
    <w:rsid w:val="005D64B0"/>
    <w:rsid w:val="005D6B61"/>
    <w:rsid w:val="005D6B8A"/>
    <w:rsid w:val="005E1228"/>
    <w:rsid w:val="005E30CF"/>
    <w:rsid w:val="005E40D9"/>
    <w:rsid w:val="005E4159"/>
    <w:rsid w:val="005E4DF4"/>
    <w:rsid w:val="005F22A7"/>
    <w:rsid w:val="005F3AA1"/>
    <w:rsid w:val="005F6A42"/>
    <w:rsid w:val="00600E72"/>
    <w:rsid w:val="0060231D"/>
    <w:rsid w:val="00604944"/>
    <w:rsid w:val="00605A33"/>
    <w:rsid w:val="0060679E"/>
    <w:rsid w:val="00606918"/>
    <w:rsid w:val="006107D6"/>
    <w:rsid w:val="0061090E"/>
    <w:rsid w:val="00615FD8"/>
    <w:rsid w:val="00616477"/>
    <w:rsid w:val="00617D7A"/>
    <w:rsid w:val="00620CAE"/>
    <w:rsid w:val="00620EFF"/>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76B01"/>
    <w:rsid w:val="00682170"/>
    <w:rsid w:val="00685380"/>
    <w:rsid w:val="00685E09"/>
    <w:rsid w:val="0068655F"/>
    <w:rsid w:val="00687B8B"/>
    <w:rsid w:val="00693071"/>
    <w:rsid w:val="00693E2C"/>
    <w:rsid w:val="00694526"/>
    <w:rsid w:val="00694574"/>
    <w:rsid w:val="00696599"/>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263E"/>
    <w:rsid w:val="006D531B"/>
    <w:rsid w:val="006D5A81"/>
    <w:rsid w:val="006D6BB4"/>
    <w:rsid w:val="006D759A"/>
    <w:rsid w:val="006D7BDE"/>
    <w:rsid w:val="006E0FB6"/>
    <w:rsid w:val="006E2009"/>
    <w:rsid w:val="006E4CBA"/>
    <w:rsid w:val="006E6160"/>
    <w:rsid w:val="006E768C"/>
    <w:rsid w:val="006E78C3"/>
    <w:rsid w:val="006F28DA"/>
    <w:rsid w:val="006F3DD2"/>
    <w:rsid w:val="006F5778"/>
    <w:rsid w:val="006F62D0"/>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45B25"/>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20"/>
    <w:rsid w:val="00791E64"/>
    <w:rsid w:val="0079257F"/>
    <w:rsid w:val="0079317A"/>
    <w:rsid w:val="00795000"/>
    <w:rsid w:val="007951D8"/>
    <w:rsid w:val="00795A9E"/>
    <w:rsid w:val="0079616C"/>
    <w:rsid w:val="00797264"/>
    <w:rsid w:val="007A0D97"/>
    <w:rsid w:val="007A1337"/>
    <w:rsid w:val="007A424E"/>
    <w:rsid w:val="007A4A08"/>
    <w:rsid w:val="007A4B92"/>
    <w:rsid w:val="007A51FA"/>
    <w:rsid w:val="007A584F"/>
    <w:rsid w:val="007A68A0"/>
    <w:rsid w:val="007A70F7"/>
    <w:rsid w:val="007A7D3A"/>
    <w:rsid w:val="007A7E67"/>
    <w:rsid w:val="007B1544"/>
    <w:rsid w:val="007B1F8F"/>
    <w:rsid w:val="007B25D4"/>
    <w:rsid w:val="007B39BF"/>
    <w:rsid w:val="007B3D22"/>
    <w:rsid w:val="007B47C2"/>
    <w:rsid w:val="007C05FF"/>
    <w:rsid w:val="007C0F2C"/>
    <w:rsid w:val="007C221B"/>
    <w:rsid w:val="007C231C"/>
    <w:rsid w:val="007C34AD"/>
    <w:rsid w:val="007C4848"/>
    <w:rsid w:val="007C49C6"/>
    <w:rsid w:val="007C5877"/>
    <w:rsid w:val="007C590D"/>
    <w:rsid w:val="007C5E55"/>
    <w:rsid w:val="007C6451"/>
    <w:rsid w:val="007D3AAC"/>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1310"/>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6518"/>
    <w:rsid w:val="00880012"/>
    <w:rsid w:val="00882419"/>
    <w:rsid w:val="0088273C"/>
    <w:rsid w:val="00884A65"/>
    <w:rsid w:val="00887353"/>
    <w:rsid w:val="0089266F"/>
    <w:rsid w:val="00892CEB"/>
    <w:rsid w:val="00892DC2"/>
    <w:rsid w:val="0089323C"/>
    <w:rsid w:val="00893CD2"/>
    <w:rsid w:val="008A17E9"/>
    <w:rsid w:val="008A60A4"/>
    <w:rsid w:val="008A6C8A"/>
    <w:rsid w:val="008B2279"/>
    <w:rsid w:val="008B27BF"/>
    <w:rsid w:val="008B50AE"/>
    <w:rsid w:val="008B53EA"/>
    <w:rsid w:val="008B55F4"/>
    <w:rsid w:val="008B5BBC"/>
    <w:rsid w:val="008C0244"/>
    <w:rsid w:val="008C06F7"/>
    <w:rsid w:val="008C28CD"/>
    <w:rsid w:val="008C41B8"/>
    <w:rsid w:val="008C5946"/>
    <w:rsid w:val="008C68D2"/>
    <w:rsid w:val="008C7033"/>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2913"/>
    <w:rsid w:val="00923486"/>
    <w:rsid w:val="0092388C"/>
    <w:rsid w:val="009254BE"/>
    <w:rsid w:val="00925B34"/>
    <w:rsid w:val="00930905"/>
    <w:rsid w:val="009321E2"/>
    <w:rsid w:val="009343C2"/>
    <w:rsid w:val="00935F6C"/>
    <w:rsid w:val="00941288"/>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5D40"/>
    <w:rsid w:val="00976CDB"/>
    <w:rsid w:val="009848C9"/>
    <w:rsid w:val="009849CF"/>
    <w:rsid w:val="00985B4B"/>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5CAD"/>
    <w:rsid w:val="009F641D"/>
    <w:rsid w:val="009F65C9"/>
    <w:rsid w:val="009F6AC7"/>
    <w:rsid w:val="00A07D34"/>
    <w:rsid w:val="00A10BB0"/>
    <w:rsid w:val="00A13034"/>
    <w:rsid w:val="00A1339D"/>
    <w:rsid w:val="00A13445"/>
    <w:rsid w:val="00A13CB9"/>
    <w:rsid w:val="00A15252"/>
    <w:rsid w:val="00A17D77"/>
    <w:rsid w:val="00A2036F"/>
    <w:rsid w:val="00A208FB"/>
    <w:rsid w:val="00A2178F"/>
    <w:rsid w:val="00A21DDA"/>
    <w:rsid w:val="00A22F12"/>
    <w:rsid w:val="00A23073"/>
    <w:rsid w:val="00A231FE"/>
    <w:rsid w:val="00A2356A"/>
    <w:rsid w:val="00A24920"/>
    <w:rsid w:val="00A24A9C"/>
    <w:rsid w:val="00A25A59"/>
    <w:rsid w:val="00A26E8E"/>
    <w:rsid w:val="00A310E9"/>
    <w:rsid w:val="00A3143D"/>
    <w:rsid w:val="00A354B5"/>
    <w:rsid w:val="00A36030"/>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13CA"/>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965D6"/>
    <w:rsid w:val="00AA0527"/>
    <w:rsid w:val="00AA170E"/>
    <w:rsid w:val="00AA2CC8"/>
    <w:rsid w:val="00AA3C68"/>
    <w:rsid w:val="00AA4269"/>
    <w:rsid w:val="00AA4363"/>
    <w:rsid w:val="00AA5CA7"/>
    <w:rsid w:val="00AB1ED1"/>
    <w:rsid w:val="00AB1FD4"/>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3049"/>
    <w:rsid w:val="00AE38F5"/>
    <w:rsid w:val="00AE4B54"/>
    <w:rsid w:val="00AE4C26"/>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16DD"/>
    <w:rsid w:val="00B127DA"/>
    <w:rsid w:val="00B1425E"/>
    <w:rsid w:val="00B22FD6"/>
    <w:rsid w:val="00B244D4"/>
    <w:rsid w:val="00B25F1D"/>
    <w:rsid w:val="00B26712"/>
    <w:rsid w:val="00B2782A"/>
    <w:rsid w:val="00B31594"/>
    <w:rsid w:val="00B324F4"/>
    <w:rsid w:val="00B32DD2"/>
    <w:rsid w:val="00B336D8"/>
    <w:rsid w:val="00B34BFA"/>
    <w:rsid w:val="00B356A4"/>
    <w:rsid w:val="00B411EC"/>
    <w:rsid w:val="00B41C0A"/>
    <w:rsid w:val="00B428A4"/>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66262"/>
    <w:rsid w:val="00B70B33"/>
    <w:rsid w:val="00B74628"/>
    <w:rsid w:val="00B760A2"/>
    <w:rsid w:val="00B77651"/>
    <w:rsid w:val="00B80C47"/>
    <w:rsid w:val="00B81322"/>
    <w:rsid w:val="00B83EC9"/>
    <w:rsid w:val="00B857B3"/>
    <w:rsid w:val="00B862CD"/>
    <w:rsid w:val="00B86487"/>
    <w:rsid w:val="00B87192"/>
    <w:rsid w:val="00B92E1A"/>
    <w:rsid w:val="00B94951"/>
    <w:rsid w:val="00B95D33"/>
    <w:rsid w:val="00B96B6E"/>
    <w:rsid w:val="00B96C4A"/>
    <w:rsid w:val="00B96CA3"/>
    <w:rsid w:val="00B97591"/>
    <w:rsid w:val="00BA006C"/>
    <w:rsid w:val="00BA20B0"/>
    <w:rsid w:val="00BA2905"/>
    <w:rsid w:val="00BA3159"/>
    <w:rsid w:val="00BA372F"/>
    <w:rsid w:val="00BA5CA2"/>
    <w:rsid w:val="00BA6305"/>
    <w:rsid w:val="00BA7940"/>
    <w:rsid w:val="00BB302C"/>
    <w:rsid w:val="00BC0B52"/>
    <w:rsid w:val="00BC0D9F"/>
    <w:rsid w:val="00BC10F5"/>
    <w:rsid w:val="00BC2EC0"/>
    <w:rsid w:val="00BC4D7B"/>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3998"/>
    <w:rsid w:val="00BF4049"/>
    <w:rsid w:val="00BF482E"/>
    <w:rsid w:val="00BF48DB"/>
    <w:rsid w:val="00BF4B8B"/>
    <w:rsid w:val="00BF5486"/>
    <w:rsid w:val="00BF6FE8"/>
    <w:rsid w:val="00BF7C57"/>
    <w:rsid w:val="00C01EB4"/>
    <w:rsid w:val="00C03731"/>
    <w:rsid w:val="00C03839"/>
    <w:rsid w:val="00C048B3"/>
    <w:rsid w:val="00C06955"/>
    <w:rsid w:val="00C11016"/>
    <w:rsid w:val="00C112B7"/>
    <w:rsid w:val="00C13B05"/>
    <w:rsid w:val="00C1447B"/>
    <w:rsid w:val="00C17CB6"/>
    <w:rsid w:val="00C221FB"/>
    <w:rsid w:val="00C23CCC"/>
    <w:rsid w:val="00C24859"/>
    <w:rsid w:val="00C25CDA"/>
    <w:rsid w:val="00C301CF"/>
    <w:rsid w:val="00C309F0"/>
    <w:rsid w:val="00C30CED"/>
    <w:rsid w:val="00C31183"/>
    <w:rsid w:val="00C31C0D"/>
    <w:rsid w:val="00C3238E"/>
    <w:rsid w:val="00C33847"/>
    <w:rsid w:val="00C340E9"/>
    <w:rsid w:val="00C34365"/>
    <w:rsid w:val="00C345C2"/>
    <w:rsid w:val="00C378BC"/>
    <w:rsid w:val="00C37DDF"/>
    <w:rsid w:val="00C40C5E"/>
    <w:rsid w:val="00C40D08"/>
    <w:rsid w:val="00C411E2"/>
    <w:rsid w:val="00C41BA9"/>
    <w:rsid w:val="00C41FEE"/>
    <w:rsid w:val="00C42121"/>
    <w:rsid w:val="00C451CB"/>
    <w:rsid w:val="00C45FB0"/>
    <w:rsid w:val="00C46F8F"/>
    <w:rsid w:val="00C513BE"/>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6C73"/>
    <w:rsid w:val="00CA7F67"/>
    <w:rsid w:val="00CB15EC"/>
    <w:rsid w:val="00CB2CD5"/>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2DA3"/>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47B77"/>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32F"/>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EE5"/>
    <w:rsid w:val="00DC332F"/>
    <w:rsid w:val="00DC4DFE"/>
    <w:rsid w:val="00DC5E40"/>
    <w:rsid w:val="00DC69F0"/>
    <w:rsid w:val="00DC7BFF"/>
    <w:rsid w:val="00DD07FE"/>
    <w:rsid w:val="00DD162F"/>
    <w:rsid w:val="00DD347D"/>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3CCB"/>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1F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25C7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15D1"/>
    <w:rsid w:val="00F62C42"/>
    <w:rsid w:val="00F63024"/>
    <w:rsid w:val="00F70A0E"/>
    <w:rsid w:val="00F70A6B"/>
    <w:rsid w:val="00F71637"/>
    <w:rsid w:val="00F71E34"/>
    <w:rsid w:val="00F72CE7"/>
    <w:rsid w:val="00F755C7"/>
    <w:rsid w:val="00F81A9F"/>
    <w:rsid w:val="00F83581"/>
    <w:rsid w:val="00F8549E"/>
    <w:rsid w:val="00F85AF0"/>
    <w:rsid w:val="00F85BE4"/>
    <w:rsid w:val="00F862B1"/>
    <w:rsid w:val="00F8643F"/>
    <w:rsid w:val="00F8736F"/>
    <w:rsid w:val="00F87FD6"/>
    <w:rsid w:val="00F951E3"/>
    <w:rsid w:val="00FA0234"/>
    <w:rsid w:val="00FA0692"/>
    <w:rsid w:val="00FA1797"/>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E0E03"/>
    <w:rsid w:val="00FE2085"/>
    <w:rsid w:val="00FE3414"/>
    <w:rsid w:val="00FE3673"/>
    <w:rsid w:val="00FF049C"/>
    <w:rsid w:val="00FF1471"/>
    <w:rsid w:val="00FF19DC"/>
    <w:rsid w:val="00FF2863"/>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AEB9-EFC0-409A-8445-FE968954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4606</Words>
  <Characters>2626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69</cp:revision>
  <cp:lastPrinted>2012-05-15T10:00:00Z</cp:lastPrinted>
  <dcterms:created xsi:type="dcterms:W3CDTF">2014-09-11T06:21:00Z</dcterms:created>
  <dcterms:modified xsi:type="dcterms:W3CDTF">2014-11-28T03:08:00Z</dcterms:modified>
</cp:coreProperties>
</file>