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43" w:rsidRPr="008D1EEE" w:rsidRDefault="00BE1E43" w:rsidP="009737E1">
      <w:pPr>
        <w:ind w:firstLine="720"/>
        <w:jc w:val="center"/>
        <w:rPr>
          <w:rFonts w:ascii="Times New Roman" w:hAnsi="Times New Roman" w:cs="Times New Roman"/>
          <w:b/>
          <w:sz w:val="26"/>
          <w:szCs w:val="26"/>
          <w:lang w:val="lv-LV"/>
        </w:rPr>
      </w:pPr>
    </w:p>
    <w:p w:rsidR="009737E1" w:rsidRPr="008D1EEE" w:rsidRDefault="009B0D15" w:rsidP="009737E1">
      <w:pPr>
        <w:ind w:firstLine="720"/>
        <w:jc w:val="center"/>
        <w:rPr>
          <w:rFonts w:ascii="Times New Roman" w:hAnsi="Times New Roman" w:cs="Times New Roman"/>
          <w:b/>
          <w:sz w:val="26"/>
          <w:szCs w:val="26"/>
          <w:lang w:val="lv-LV"/>
        </w:rPr>
      </w:pPr>
      <w:r w:rsidRPr="008D1EEE">
        <w:rPr>
          <w:rFonts w:ascii="Times New Roman" w:hAnsi="Times New Roman" w:cs="Times New Roman"/>
          <w:b/>
          <w:sz w:val="26"/>
          <w:szCs w:val="26"/>
          <w:lang w:val="lv-LV"/>
        </w:rPr>
        <w:t xml:space="preserve">Informatīvā ziņojuma </w:t>
      </w:r>
      <w:r w:rsidR="009737E1" w:rsidRPr="008D1EEE">
        <w:rPr>
          <w:rFonts w:ascii="Times New Roman" w:hAnsi="Times New Roman" w:cs="Times New Roman"/>
          <w:b/>
          <w:sz w:val="26"/>
          <w:szCs w:val="26"/>
          <w:lang w:val="lv-LV"/>
        </w:rPr>
        <w:t>“Pa</w:t>
      </w:r>
      <w:r w:rsidR="00170E7D" w:rsidRPr="008D1EEE">
        <w:rPr>
          <w:rFonts w:ascii="Times New Roman" w:hAnsi="Times New Roman" w:cs="Times New Roman"/>
          <w:b/>
          <w:sz w:val="26"/>
          <w:szCs w:val="26"/>
          <w:lang w:val="lv-LV"/>
        </w:rPr>
        <w:t>r Latvijas zinātnes strukturālo reformu</w:t>
      </w:r>
      <w:r w:rsidR="009737E1" w:rsidRPr="008D1EEE">
        <w:rPr>
          <w:rFonts w:ascii="Times New Roman" w:hAnsi="Times New Roman" w:cs="Times New Roman"/>
          <w:b/>
          <w:sz w:val="26"/>
          <w:szCs w:val="26"/>
          <w:lang w:val="lv-LV"/>
        </w:rPr>
        <w:t xml:space="preserve"> īstenošanu līdz 2015.gada 1.jūlijam”</w:t>
      </w:r>
      <w:r w:rsidRPr="008D1EEE">
        <w:rPr>
          <w:rFonts w:ascii="Times New Roman" w:hAnsi="Times New Roman" w:cs="Times New Roman"/>
          <w:b/>
          <w:sz w:val="26"/>
          <w:szCs w:val="26"/>
          <w:lang w:val="lv-LV"/>
        </w:rPr>
        <w:t xml:space="preserve"> kopsavilkums</w:t>
      </w:r>
    </w:p>
    <w:p w:rsidR="004A42CF" w:rsidRPr="008D1EEE" w:rsidRDefault="004A42CF" w:rsidP="009737E1">
      <w:pPr>
        <w:jc w:val="center"/>
        <w:rPr>
          <w:rFonts w:ascii="Times New Roman" w:hAnsi="Times New Roman" w:cs="Times New Roman"/>
          <w:sz w:val="26"/>
          <w:szCs w:val="26"/>
          <w:lang w:val="lv-LV"/>
        </w:rPr>
      </w:pPr>
    </w:p>
    <w:p w:rsidR="00BE1E43" w:rsidRPr="008D1EEE" w:rsidRDefault="00BE1E43" w:rsidP="009737E1">
      <w:pPr>
        <w:jc w:val="center"/>
        <w:rPr>
          <w:rFonts w:ascii="Times New Roman" w:hAnsi="Times New Roman" w:cs="Times New Roman"/>
          <w:sz w:val="26"/>
          <w:szCs w:val="26"/>
          <w:lang w:val="lv-LV"/>
        </w:rPr>
      </w:pPr>
    </w:p>
    <w:p w:rsidR="0060039E" w:rsidRPr="008D1EEE" w:rsidRDefault="0060039E" w:rsidP="0060039E">
      <w:pPr>
        <w:pStyle w:val="Normal1"/>
        <w:ind w:firstLine="720"/>
        <w:jc w:val="both"/>
        <w:rPr>
          <w:rFonts w:ascii="Times New Roman" w:hAnsi="Times New Roman" w:cs="Times New Roman"/>
          <w:color w:val="auto"/>
          <w:szCs w:val="24"/>
        </w:rPr>
      </w:pPr>
      <w:r w:rsidRPr="008D1EEE">
        <w:rPr>
          <w:rFonts w:ascii="Times New Roman" w:eastAsia="Times New Roman" w:hAnsi="Times New Roman" w:cs="Times New Roman"/>
          <w:color w:val="auto"/>
          <w:szCs w:val="24"/>
        </w:rPr>
        <w:t xml:space="preserve">Latvijas zinātnes strukturālās reformas līdz 2015. gada 1. jūlijam ievēro zinātnisko institūciju neatkarības principu un ietver četrus galvenos virzienus: </w:t>
      </w:r>
    </w:p>
    <w:p w:rsidR="0060039E" w:rsidRPr="008D1EEE" w:rsidRDefault="0060039E" w:rsidP="0060039E">
      <w:pPr>
        <w:pStyle w:val="Normal1"/>
        <w:numPr>
          <w:ilvl w:val="0"/>
          <w:numId w:val="8"/>
        </w:numPr>
        <w:tabs>
          <w:tab w:val="left" w:pos="1080"/>
        </w:tabs>
        <w:ind w:left="1080" w:hanging="358"/>
        <w:contextualSpacing/>
        <w:jc w:val="both"/>
        <w:rPr>
          <w:rFonts w:ascii="Times New Roman" w:eastAsia="Times New Roman" w:hAnsi="Times New Roman" w:cs="Times New Roman"/>
          <w:color w:val="auto"/>
          <w:szCs w:val="24"/>
        </w:rPr>
      </w:pPr>
      <w:r w:rsidRPr="008D1EEE">
        <w:rPr>
          <w:rFonts w:ascii="Times New Roman" w:eastAsia="Times New Roman" w:hAnsi="Times New Roman" w:cs="Times New Roman"/>
          <w:color w:val="auto"/>
          <w:szCs w:val="24"/>
        </w:rPr>
        <w:t>Zinātnisko institūciju iniciētās reformas;</w:t>
      </w:r>
    </w:p>
    <w:p w:rsidR="0060039E" w:rsidRPr="008D1EEE" w:rsidRDefault="0060039E" w:rsidP="0060039E">
      <w:pPr>
        <w:pStyle w:val="Normal1"/>
        <w:numPr>
          <w:ilvl w:val="0"/>
          <w:numId w:val="8"/>
        </w:numPr>
        <w:tabs>
          <w:tab w:val="left" w:pos="1080"/>
        </w:tabs>
        <w:ind w:left="1080" w:hanging="358"/>
        <w:contextualSpacing/>
        <w:jc w:val="both"/>
        <w:rPr>
          <w:rFonts w:ascii="Times New Roman" w:eastAsia="Times New Roman" w:hAnsi="Times New Roman" w:cs="Times New Roman"/>
          <w:color w:val="auto"/>
          <w:szCs w:val="24"/>
        </w:rPr>
      </w:pPr>
      <w:r w:rsidRPr="008D1EEE">
        <w:rPr>
          <w:rFonts w:ascii="Times New Roman" w:eastAsia="Times New Roman" w:hAnsi="Times New Roman" w:cs="Times New Roman"/>
          <w:color w:val="auto"/>
          <w:szCs w:val="24"/>
        </w:rPr>
        <w:t>Normatīvā regulējuma un pārvaldības uzlabošana zinātnes nozarē;</w:t>
      </w:r>
    </w:p>
    <w:p w:rsidR="0060039E" w:rsidRPr="008D1EEE" w:rsidRDefault="0060039E" w:rsidP="0060039E">
      <w:pPr>
        <w:pStyle w:val="Normal1"/>
        <w:numPr>
          <w:ilvl w:val="0"/>
          <w:numId w:val="8"/>
        </w:numPr>
        <w:tabs>
          <w:tab w:val="left" w:pos="1080"/>
        </w:tabs>
        <w:ind w:left="1080" w:hanging="358"/>
        <w:contextualSpacing/>
        <w:jc w:val="both"/>
        <w:rPr>
          <w:rFonts w:ascii="Times New Roman" w:eastAsia="Times New Roman" w:hAnsi="Times New Roman" w:cs="Times New Roman"/>
          <w:color w:val="auto"/>
          <w:szCs w:val="24"/>
        </w:rPr>
      </w:pPr>
      <w:r w:rsidRPr="008D1EEE">
        <w:rPr>
          <w:rFonts w:ascii="Times New Roman" w:eastAsia="Times New Roman" w:hAnsi="Times New Roman" w:cs="Times New Roman"/>
          <w:color w:val="auto"/>
          <w:szCs w:val="24"/>
        </w:rPr>
        <w:t>Atbalsta pasākumi zinātnisko institūciju iniciētajām reformām, t.sk. zinātniskās ekselences attīstībai, resursu konsolidācijai un institūciju stiprināšanai;</w:t>
      </w:r>
    </w:p>
    <w:p w:rsidR="0060039E" w:rsidRPr="008D1EEE" w:rsidRDefault="0060039E" w:rsidP="0060039E">
      <w:pPr>
        <w:pStyle w:val="Normal1"/>
        <w:numPr>
          <w:ilvl w:val="0"/>
          <w:numId w:val="8"/>
        </w:numPr>
        <w:tabs>
          <w:tab w:val="left" w:pos="1080"/>
        </w:tabs>
        <w:ind w:left="1080" w:hanging="358"/>
        <w:contextualSpacing/>
        <w:jc w:val="both"/>
        <w:rPr>
          <w:rFonts w:ascii="Times New Roman" w:eastAsia="Times New Roman" w:hAnsi="Times New Roman" w:cs="Times New Roman"/>
          <w:color w:val="auto"/>
          <w:szCs w:val="24"/>
        </w:rPr>
      </w:pPr>
      <w:r w:rsidRPr="008D1EEE">
        <w:rPr>
          <w:rFonts w:ascii="Times New Roman" w:eastAsia="Times New Roman" w:hAnsi="Times New Roman" w:cs="Times New Roman"/>
          <w:color w:val="auto"/>
          <w:szCs w:val="24"/>
        </w:rPr>
        <w:t xml:space="preserve">Zinātniskās darbības monitorings, kas ir daļa no ZTAI pamatnostādnēs ietvertās Viedās specializācijas stratēģijas  īstenošanas mērķu sasniegšanas uzraudzības sistēmas. </w:t>
      </w:r>
    </w:p>
    <w:p w:rsidR="0060039E" w:rsidRPr="008D1EEE" w:rsidRDefault="005A5765" w:rsidP="0060039E">
      <w:pPr>
        <w:pStyle w:val="NormalWeb"/>
        <w:spacing w:before="0" w:beforeAutospacing="0" w:after="0" w:afterAutospacing="0"/>
        <w:ind w:firstLine="720"/>
        <w:jc w:val="both"/>
      </w:pPr>
      <w:r w:rsidRPr="008D1EEE">
        <w:t xml:space="preserve">Strukturālo reformu mērķis ir starptautiski konkurētspējīga zinātne un zinātnē balstīta moderna augstākā izglītība. </w:t>
      </w:r>
      <w:r w:rsidR="0060039E" w:rsidRPr="008D1EEE">
        <w:t>Strukturālās reformas</w:t>
      </w:r>
      <w:r w:rsidR="0052187D" w:rsidRPr="008D1EEE">
        <w:t xml:space="preserve"> primāri</w:t>
      </w:r>
      <w:r w:rsidR="0060039E" w:rsidRPr="008D1EEE">
        <w:t xml:space="preserve"> attiecas uz visām zinātnisko institūciju reģistrā reģistrētajām valsts dibinātajām zinātniskajām institūcijām. </w:t>
      </w:r>
    </w:p>
    <w:p w:rsidR="0052187D" w:rsidRPr="008D1EEE" w:rsidRDefault="005A5765" w:rsidP="0052187D">
      <w:pPr>
        <w:pStyle w:val="Normal1"/>
        <w:ind w:firstLine="720"/>
        <w:jc w:val="both"/>
        <w:rPr>
          <w:rFonts w:ascii="Times New Roman" w:hAnsi="Times New Roman" w:cs="Times New Roman"/>
        </w:rPr>
      </w:pPr>
      <w:r w:rsidRPr="008D1EEE">
        <w:rPr>
          <w:rFonts w:ascii="Times New Roman" w:hAnsi="Times New Roman" w:cs="Times New Roman"/>
        </w:rPr>
        <w:t xml:space="preserve">Zinātnisko institūciju iniciētās reformas ir vērstas uz starptautiskā izvērtējuma ieteikumu īstenošanu un ietver pasākumus funkcionālai un teritoriālai resursu konsolidācijai, tajā skaitā pārvaldības spējas stiprināšanai un izcilības attīstībai. Normatīvā regulējuma un pārvaldības izmaiņas, rīcībpolitikas instrumentu radītā konkurence, skaidras, izmērāmos indikatoros izteiktas zinātnes politikas prasības ir veidotas tā, lai motivētu zinātniskās institūcijas konsolidēt resursus, uzlabot savu zinātnisko sniegumu un attīstīt izcilību, saistīt to ar Latvijas tautsaimniecības stratēģiskajām jomām un sabiedrības vajadzībām, un a) ciešāk saistīt zinātnisko darbību ar augstāko izglītību, t.sk. apvienoties ar augstākās izglītības institūcijām, tādējādi stiprinot pētniecībā balstītu izglītību, vai arī b) izšķirties par spēcīgāku ar industriju saistītu pētniecības organizāciju izveidošanu. </w:t>
      </w:r>
      <w:r w:rsidR="0029004B" w:rsidRPr="008D1EEE">
        <w:rPr>
          <w:rFonts w:ascii="Times New Roman" w:hAnsi="Times New Roman" w:cs="Times New Roman"/>
        </w:rPr>
        <w:t xml:space="preserve">Ministrijas piedāvātie reformu atbalsta instrumenti ir vērsti uz to, lai zinātniskām institūcijām sniegtu iespēju labāk plānot zinātniskās darbības aktivitātes atbilstoši zinātniskās institūcijas attīstības stratēģijai un </w:t>
      </w:r>
      <w:r w:rsidR="007B53BF" w:rsidRPr="008D1EEE">
        <w:rPr>
          <w:rFonts w:ascii="Times New Roman" w:hAnsi="Times New Roman" w:cs="Times New Roman"/>
        </w:rPr>
        <w:t>Zinātnes, tehnoloģijas attīstī</w:t>
      </w:r>
      <w:r w:rsidR="00D4060B" w:rsidRPr="008D1EEE">
        <w:rPr>
          <w:rFonts w:ascii="Times New Roman" w:hAnsi="Times New Roman" w:cs="Times New Roman"/>
        </w:rPr>
        <w:t>bas un inovācijas pamatnostādņu</w:t>
      </w:r>
      <w:r w:rsidR="007B53BF" w:rsidRPr="008D1EEE">
        <w:rPr>
          <w:rFonts w:ascii="Times New Roman" w:hAnsi="Times New Roman" w:cs="Times New Roman"/>
        </w:rPr>
        <w:t xml:space="preserve"> 2014. – 2020.gadam </w:t>
      </w:r>
      <w:r w:rsidR="0029004B" w:rsidRPr="008D1EEE">
        <w:rPr>
          <w:rFonts w:ascii="Times New Roman" w:hAnsi="Times New Roman" w:cs="Times New Roman"/>
        </w:rPr>
        <w:t xml:space="preserve">mērķiem, kā arī kvalitatīvi un efektīvi veikt plānotos reorganizācijas procesus. </w:t>
      </w:r>
    </w:p>
    <w:p w:rsidR="00E930B3" w:rsidRPr="008D1EEE" w:rsidRDefault="0052187D" w:rsidP="0052187D">
      <w:pPr>
        <w:pStyle w:val="Normal1"/>
        <w:ind w:firstLine="720"/>
        <w:jc w:val="both"/>
        <w:rPr>
          <w:rFonts w:ascii="Times New Roman" w:hAnsi="Times New Roman" w:cs="Times New Roman"/>
          <w:szCs w:val="24"/>
        </w:rPr>
      </w:pPr>
      <w:r w:rsidRPr="008D1EEE">
        <w:rPr>
          <w:rFonts w:ascii="Times New Roman" w:eastAsia="Times New Roman" w:hAnsi="Times New Roman" w:cs="Times New Roman"/>
          <w:color w:val="auto"/>
          <w:szCs w:val="24"/>
        </w:rPr>
        <w:t xml:space="preserve">2014. un 2015.gadā ministrija atbalstīs zinātnisko institūciju iniciētās strukturālās reformas, stiprinot vadības spēju īstenot iecerētās reformas. Ministrijas īstenoto pasākumu uzdevums ir atbalstīt uz rezultātiem orientētu un labas pārvaldības principiem atbilstošu zinātnisko institūciju pārvaldību, kā arī zinātnes resursu konsolidāciju saskaņā ar zinātnes izvērtējuma rekomendācijām. Minētajām aktivitātēm indikatīvi plānots finansējums 9 milj. EUR Eiropas Savienības struktūrfondu darbības programmas „Uzņēmējdarbība un inovācijas” ietvaros plānošanas periodā 2007.-2013.gadam. Starp atbalstāmajiem pasākumiem būs zinātnisko institūciju attīstības stratēģiju (organizācijas, zinātnes, pētniecības pakalpojumu) izstrāde un to ārējais novērtējums saistībā ar ārējā izvērtējuma rekomendāciju un RIS3 ieviešanu; institūciju apvienošanās juridiskās bāzes un plānu izstrāde; institūciju apvienošanas administratīvās un pārcelšanās izmaksas; apvienošanās un reorganizācijas pasākumu ieviešanas atbalsts; iekšējā monitoringa, izvērtēšanas, finansēšanas un motivēšanas sistēmu izveide; darbinieku un vadības apmācības, zinātnisko institūciju finanšu vadības sistēmas pilnveide u.c. pasākumi zinātnisko institūciju vadības un konkurētspējas stiprināšanai. </w:t>
      </w:r>
      <w:r w:rsidR="00E930B3" w:rsidRPr="008D1EEE">
        <w:rPr>
          <w:rFonts w:ascii="Times New Roman" w:hAnsi="Times New Roman" w:cs="Times New Roman"/>
          <w:szCs w:val="24"/>
        </w:rPr>
        <w:t>Plānoto pasākumu kopsavilkums parādīts 1.tabulā.</w:t>
      </w:r>
    </w:p>
    <w:p w:rsidR="00BE1E43" w:rsidRPr="008D1EEE" w:rsidRDefault="00BE1E43" w:rsidP="00E930B3">
      <w:pPr>
        <w:ind w:firstLine="720"/>
        <w:jc w:val="both"/>
        <w:rPr>
          <w:rFonts w:ascii="Times New Roman" w:hAnsi="Times New Roman" w:cs="Times New Roman"/>
          <w:lang w:val="lv-LV"/>
        </w:rPr>
      </w:pPr>
    </w:p>
    <w:p w:rsidR="00BE1E43" w:rsidRPr="008D1EEE" w:rsidRDefault="00BE1E43" w:rsidP="00E930B3">
      <w:pPr>
        <w:ind w:firstLine="720"/>
        <w:jc w:val="both"/>
        <w:rPr>
          <w:rFonts w:ascii="Times New Roman" w:hAnsi="Times New Roman" w:cs="Times New Roman"/>
          <w:lang w:val="lv-LV"/>
        </w:rPr>
      </w:pPr>
    </w:p>
    <w:p w:rsidR="00E930B3" w:rsidRPr="008D1EEE" w:rsidRDefault="0029004B" w:rsidP="001412D7">
      <w:pPr>
        <w:jc w:val="both"/>
        <w:rPr>
          <w:rFonts w:ascii="Times New Roman" w:hAnsi="Times New Roman" w:cs="Times New Roman"/>
          <w:b/>
          <w:lang w:val="lv-LV"/>
        </w:rPr>
      </w:pPr>
      <w:r w:rsidRPr="008D1EEE">
        <w:rPr>
          <w:rFonts w:ascii="Times New Roman" w:hAnsi="Times New Roman" w:cs="Times New Roman"/>
          <w:b/>
          <w:lang w:val="lv-LV"/>
        </w:rPr>
        <w:t>1.t</w:t>
      </w:r>
      <w:r w:rsidR="00E930B3" w:rsidRPr="008D1EEE">
        <w:rPr>
          <w:rFonts w:ascii="Times New Roman" w:hAnsi="Times New Roman" w:cs="Times New Roman"/>
          <w:b/>
          <w:lang w:val="lv-LV"/>
        </w:rPr>
        <w:t>abula</w:t>
      </w:r>
      <w:r w:rsidRPr="008D1EEE">
        <w:rPr>
          <w:rFonts w:ascii="Times New Roman" w:hAnsi="Times New Roman" w:cs="Times New Roman"/>
          <w:b/>
          <w:lang w:val="lv-LV"/>
        </w:rPr>
        <w:t>.</w:t>
      </w:r>
      <w:r w:rsidR="00887D13" w:rsidRPr="008D1EEE">
        <w:rPr>
          <w:rFonts w:ascii="Times New Roman" w:hAnsi="Times New Roman" w:cs="Times New Roman"/>
          <w:b/>
          <w:lang w:val="lv-LV"/>
        </w:rPr>
        <w:t xml:space="preserve"> Plānoto pasākumu kopsavilkums</w:t>
      </w:r>
    </w:p>
    <w:p w:rsidR="00AE3209" w:rsidRPr="008D1EEE" w:rsidRDefault="00AE3209" w:rsidP="001412D7">
      <w:pPr>
        <w:jc w:val="both"/>
        <w:rPr>
          <w:rFonts w:ascii="Times New Roman" w:hAnsi="Times New Roman" w:cs="Times New Roman"/>
          <w:lang w:val="lv-LV"/>
        </w:rPr>
      </w:pPr>
    </w:p>
    <w:tbl>
      <w:tblPr>
        <w:tblW w:w="8439" w:type="dxa"/>
        <w:tblLook w:val="04A0" w:firstRow="1" w:lastRow="0" w:firstColumn="1" w:lastColumn="0" w:noHBand="0" w:noVBand="1"/>
      </w:tblPr>
      <w:tblGrid>
        <w:gridCol w:w="1098"/>
        <w:gridCol w:w="4725"/>
        <w:gridCol w:w="1260"/>
        <w:gridCol w:w="1356"/>
      </w:tblGrid>
      <w:tr w:rsidR="00FC7046" w:rsidRPr="00106E81" w:rsidTr="000C4928">
        <w:trPr>
          <w:trHeight w:val="330"/>
        </w:trPr>
        <w:tc>
          <w:tcPr>
            <w:tcW w:w="1098" w:type="dxa"/>
            <w:tcBorders>
              <w:top w:val="single" w:sz="8" w:space="0" w:color="000000"/>
              <w:left w:val="single" w:sz="8" w:space="0" w:color="000000"/>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b/>
                <w:bCs/>
              </w:rPr>
            </w:pPr>
            <w:r w:rsidRPr="00106E81">
              <w:rPr>
                <w:rFonts w:ascii="Times New Roman" w:eastAsia="Times New Roman" w:hAnsi="Times New Roman" w:cs="Times New Roman"/>
                <w:b/>
                <w:bCs/>
              </w:rPr>
              <w:t>Nr. p.k.</w:t>
            </w:r>
          </w:p>
        </w:tc>
        <w:tc>
          <w:tcPr>
            <w:tcW w:w="4725" w:type="dxa"/>
            <w:tcBorders>
              <w:top w:val="single" w:sz="8" w:space="0" w:color="000000"/>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b/>
                <w:bCs/>
              </w:rPr>
            </w:pPr>
            <w:r w:rsidRPr="00106E81">
              <w:rPr>
                <w:rFonts w:ascii="Times New Roman" w:eastAsia="Times New Roman" w:hAnsi="Times New Roman" w:cs="Times New Roman"/>
                <w:b/>
                <w:bCs/>
              </w:rPr>
              <w:t>Pasākums</w:t>
            </w:r>
          </w:p>
        </w:tc>
        <w:tc>
          <w:tcPr>
            <w:tcW w:w="1260" w:type="dxa"/>
            <w:tcBorders>
              <w:top w:val="single" w:sz="8" w:space="0" w:color="000000"/>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b/>
                <w:bCs/>
              </w:rPr>
            </w:pPr>
            <w:r w:rsidRPr="00106E81">
              <w:rPr>
                <w:rFonts w:ascii="Times New Roman" w:eastAsia="Times New Roman" w:hAnsi="Times New Roman" w:cs="Times New Roman"/>
                <w:b/>
                <w:bCs/>
              </w:rPr>
              <w:t>Izpildītājs</w:t>
            </w:r>
          </w:p>
        </w:tc>
        <w:tc>
          <w:tcPr>
            <w:tcW w:w="1356" w:type="dxa"/>
            <w:tcBorders>
              <w:top w:val="single" w:sz="8" w:space="0" w:color="000000"/>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b/>
                <w:bCs/>
              </w:rPr>
            </w:pPr>
            <w:r w:rsidRPr="00106E81">
              <w:rPr>
                <w:rFonts w:ascii="Times New Roman" w:eastAsia="Times New Roman" w:hAnsi="Times New Roman" w:cs="Times New Roman"/>
                <w:b/>
                <w:bCs/>
              </w:rPr>
              <w:t>Termiņš</w:t>
            </w:r>
          </w:p>
        </w:tc>
      </w:tr>
      <w:tr w:rsidR="00FC7046" w:rsidRPr="00106E81" w:rsidTr="000C4928">
        <w:trPr>
          <w:trHeight w:val="330"/>
        </w:trPr>
        <w:tc>
          <w:tcPr>
            <w:tcW w:w="1098" w:type="dxa"/>
            <w:tcBorders>
              <w:top w:val="nil"/>
              <w:left w:val="single" w:sz="8" w:space="0" w:color="000000"/>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b/>
                <w:bCs/>
              </w:rPr>
            </w:pPr>
            <w:r w:rsidRPr="00106E81">
              <w:rPr>
                <w:rFonts w:ascii="Times New Roman" w:eastAsia="Times New Roman" w:hAnsi="Times New Roman" w:cs="Times New Roman"/>
                <w:b/>
                <w:bCs/>
              </w:rPr>
              <w:t>1.</w:t>
            </w:r>
          </w:p>
        </w:tc>
        <w:tc>
          <w:tcPr>
            <w:tcW w:w="4725" w:type="dxa"/>
            <w:tcBorders>
              <w:top w:val="nil"/>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b/>
                <w:bCs/>
              </w:rPr>
            </w:pPr>
            <w:r w:rsidRPr="00106E81">
              <w:rPr>
                <w:rFonts w:ascii="Times New Roman" w:eastAsia="Times New Roman" w:hAnsi="Times New Roman" w:cs="Times New Roman"/>
                <w:b/>
                <w:bCs/>
              </w:rPr>
              <w:t>Zinātnisko institūciju īstenotās reformas</w:t>
            </w:r>
          </w:p>
        </w:tc>
        <w:tc>
          <w:tcPr>
            <w:tcW w:w="1260" w:type="dxa"/>
            <w:tcBorders>
              <w:top w:val="nil"/>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b/>
                <w:bCs/>
              </w:rPr>
            </w:pPr>
            <w:r w:rsidRPr="00106E81">
              <w:rPr>
                <w:rFonts w:ascii="Times New Roman" w:eastAsia="Times New Roman" w:hAnsi="Times New Roman" w:cs="Times New Roman"/>
                <w:b/>
                <w:bCs/>
              </w:rPr>
              <w:t> </w:t>
            </w:r>
          </w:p>
        </w:tc>
        <w:tc>
          <w:tcPr>
            <w:tcW w:w="1356" w:type="dxa"/>
            <w:tcBorders>
              <w:top w:val="nil"/>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b/>
                <w:bCs/>
              </w:rPr>
            </w:pPr>
            <w:r w:rsidRPr="00106E81">
              <w:rPr>
                <w:rFonts w:ascii="Times New Roman" w:eastAsia="Times New Roman" w:hAnsi="Times New Roman" w:cs="Times New Roman"/>
                <w:b/>
                <w:bCs/>
              </w:rPr>
              <w:t> </w:t>
            </w:r>
          </w:p>
        </w:tc>
      </w:tr>
      <w:tr w:rsidR="00FC7046" w:rsidRPr="00106E81" w:rsidTr="000C4928">
        <w:trPr>
          <w:trHeight w:val="645"/>
        </w:trPr>
        <w:tc>
          <w:tcPr>
            <w:tcW w:w="1098" w:type="dxa"/>
            <w:tcBorders>
              <w:top w:val="nil"/>
              <w:left w:val="single" w:sz="8" w:space="0" w:color="000000"/>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b/>
                <w:bCs/>
              </w:rPr>
            </w:pPr>
            <w:r w:rsidRPr="00106E81">
              <w:rPr>
                <w:rFonts w:ascii="Times New Roman" w:eastAsia="Times New Roman" w:hAnsi="Times New Roman" w:cs="Times New Roman"/>
                <w:b/>
                <w:bCs/>
              </w:rPr>
              <w:t>1.1.</w:t>
            </w:r>
          </w:p>
        </w:tc>
        <w:tc>
          <w:tcPr>
            <w:tcW w:w="4725" w:type="dxa"/>
            <w:tcBorders>
              <w:top w:val="nil"/>
              <w:left w:val="nil"/>
              <w:bottom w:val="single" w:sz="8" w:space="0" w:color="000000"/>
              <w:right w:val="single" w:sz="8" w:space="0" w:color="000000"/>
            </w:tcBorders>
            <w:shd w:val="clear" w:color="auto" w:fill="auto"/>
            <w:hideMark/>
          </w:tcPr>
          <w:p w:rsidR="00FC7046" w:rsidRPr="00106E81" w:rsidRDefault="00FC7046" w:rsidP="000C4928">
            <w:pPr>
              <w:jc w:val="both"/>
              <w:rPr>
                <w:rFonts w:ascii="Times New Roman" w:eastAsia="Times New Roman" w:hAnsi="Times New Roman" w:cs="Times New Roman"/>
              </w:rPr>
            </w:pPr>
            <w:r w:rsidRPr="00106E81">
              <w:rPr>
                <w:rFonts w:ascii="Times New Roman" w:eastAsia="Times New Roman" w:hAnsi="Times New Roman" w:cs="Times New Roman"/>
              </w:rPr>
              <w:t>Apstiprināt rekomendāciju ieviešanas pasākumus plānu ZI lēmējinstitūcijā un saskaņot ar IZM un attiecīgās nozares ministriju (ja attiecināms);</w:t>
            </w:r>
          </w:p>
        </w:tc>
        <w:tc>
          <w:tcPr>
            <w:tcW w:w="1260" w:type="dxa"/>
            <w:tcBorders>
              <w:top w:val="nil"/>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ZI</w:t>
            </w:r>
          </w:p>
        </w:tc>
        <w:tc>
          <w:tcPr>
            <w:tcW w:w="1356" w:type="dxa"/>
            <w:tcBorders>
              <w:top w:val="nil"/>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01.10.2014</w:t>
            </w:r>
          </w:p>
        </w:tc>
      </w:tr>
      <w:tr w:rsidR="00FC7046" w:rsidRPr="00106E81" w:rsidTr="000C4928">
        <w:trPr>
          <w:trHeight w:val="645"/>
        </w:trPr>
        <w:tc>
          <w:tcPr>
            <w:tcW w:w="1098" w:type="dxa"/>
            <w:tcBorders>
              <w:top w:val="nil"/>
              <w:left w:val="single" w:sz="8" w:space="0" w:color="000000"/>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b/>
                <w:bCs/>
              </w:rPr>
            </w:pPr>
            <w:r w:rsidRPr="00106E81">
              <w:rPr>
                <w:rFonts w:ascii="Times New Roman" w:eastAsia="Times New Roman" w:hAnsi="Times New Roman" w:cs="Times New Roman"/>
                <w:b/>
                <w:bCs/>
              </w:rPr>
              <w:t>1.2.</w:t>
            </w:r>
          </w:p>
        </w:tc>
        <w:tc>
          <w:tcPr>
            <w:tcW w:w="4725" w:type="dxa"/>
            <w:tcBorders>
              <w:top w:val="nil"/>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Atjaunināt un iesniegt saskaņošanai IZM un attiecīgās nozares ministrijā (ja attiecināms) ZI attīstības stratēģiju paredzot rezultātu pārvaldības ieviešanu;</w:t>
            </w:r>
          </w:p>
        </w:tc>
        <w:tc>
          <w:tcPr>
            <w:tcW w:w="1260" w:type="dxa"/>
            <w:tcBorders>
              <w:top w:val="nil"/>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ZI</w:t>
            </w:r>
          </w:p>
        </w:tc>
        <w:tc>
          <w:tcPr>
            <w:tcW w:w="1356" w:type="dxa"/>
            <w:tcBorders>
              <w:top w:val="nil"/>
              <w:left w:val="nil"/>
              <w:bottom w:val="single" w:sz="8" w:space="0" w:color="000000"/>
              <w:right w:val="single" w:sz="8" w:space="0" w:color="000000"/>
            </w:tcBorders>
            <w:shd w:val="clear" w:color="auto" w:fill="auto"/>
            <w:hideMark/>
          </w:tcPr>
          <w:p w:rsidR="00FC7046" w:rsidRPr="00106E81" w:rsidRDefault="00FC7046" w:rsidP="000C4928">
            <w:pPr>
              <w:jc w:val="right"/>
              <w:rPr>
                <w:rFonts w:ascii="Times New Roman" w:eastAsia="Times New Roman" w:hAnsi="Times New Roman" w:cs="Times New Roman"/>
              </w:rPr>
            </w:pPr>
            <w:r w:rsidRPr="00106E81">
              <w:rPr>
                <w:rFonts w:ascii="Times New Roman" w:eastAsia="Times New Roman" w:hAnsi="Times New Roman" w:cs="Times New Roman"/>
              </w:rPr>
              <w:t>01.07.2015</w:t>
            </w:r>
          </w:p>
        </w:tc>
      </w:tr>
      <w:tr w:rsidR="00FC7046" w:rsidRPr="00106E81" w:rsidTr="000C4928">
        <w:trPr>
          <w:trHeight w:val="1275"/>
        </w:trPr>
        <w:tc>
          <w:tcPr>
            <w:tcW w:w="1098" w:type="dxa"/>
            <w:tcBorders>
              <w:top w:val="nil"/>
              <w:left w:val="single" w:sz="8" w:space="0" w:color="000000"/>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b/>
                <w:bCs/>
              </w:rPr>
            </w:pPr>
            <w:r w:rsidRPr="00106E81">
              <w:rPr>
                <w:rFonts w:ascii="Times New Roman" w:eastAsia="Times New Roman" w:hAnsi="Times New Roman" w:cs="Times New Roman"/>
                <w:b/>
                <w:bCs/>
              </w:rPr>
              <w:t>1.3.</w:t>
            </w:r>
          </w:p>
        </w:tc>
        <w:tc>
          <w:tcPr>
            <w:tcW w:w="4725" w:type="dxa"/>
            <w:tcBorders>
              <w:top w:val="nil"/>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 xml:space="preserve">Izstrādāt un ieviest ZI darbības specifikai atbilstošu uz ZTAI politikas mērķu sasniegšanu vērstu rezultātu pārvaldību, t.sk., savstarpēji savietojamu darbības rezultātu uzskaites, infrastruktūras izmantojuma, personāla atalgojuma un grāmatvedības sistēmu. </w:t>
            </w:r>
          </w:p>
        </w:tc>
        <w:tc>
          <w:tcPr>
            <w:tcW w:w="1260" w:type="dxa"/>
            <w:tcBorders>
              <w:top w:val="nil"/>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ZI</w:t>
            </w:r>
          </w:p>
        </w:tc>
        <w:tc>
          <w:tcPr>
            <w:tcW w:w="1356" w:type="dxa"/>
            <w:tcBorders>
              <w:top w:val="nil"/>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30.11.2015</w:t>
            </w:r>
          </w:p>
        </w:tc>
      </w:tr>
      <w:tr w:rsidR="00FC7046" w:rsidRPr="00106E81" w:rsidTr="000C4928">
        <w:trPr>
          <w:trHeight w:val="330"/>
        </w:trPr>
        <w:tc>
          <w:tcPr>
            <w:tcW w:w="1098" w:type="dxa"/>
            <w:tcBorders>
              <w:top w:val="nil"/>
              <w:left w:val="single" w:sz="8" w:space="0" w:color="000000"/>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b/>
                <w:bCs/>
              </w:rPr>
            </w:pPr>
            <w:r w:rsidRPr="00106E81">
              <w:rPr>
                <w:rFonts w:ascii="Times New Roman" w:eastAsia="Times New Roman" w:hAnsi="Times New Roman" w:cs="Times New Roman"/>
                <w:b/>
                <w:bCs/>
              </w:rPr>
              <w:t>2.</w:t>
            </w:r>
          </w:p>
        </w:tc>
        <w:tc>
          <w:tcPr>
            <w:tcW w:w="4725" w:type="dxa"/>
            <w:tcBorders>
              <w:top w:val="nil"/>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b/>
                <w:bCs/>
              </w:rPr>
            </w:pPr>
            <w:r w:rsidRPr="00106E81">
              <w:rPr>
                <w:rFonts w:ascii="Times New Roman" w:eastAsia="Times New Roman" w:hAnsi="Times New Roman" w:cs="Times New Roman"/>
                <w:b/>
                <w:bCs/>
              </w:rPr>
              <w:t>Normatīvā regulējuma un pārvaldības uzlabošana</w:t>
            </w:r>
          </w:p>
        </w:tc>
        <w:tc>
          <w:tcPr>
            <w:tcW w:w="1260" w:type="dxa"/>
            <w:tcBorders>
              <w:top w:val="nil"/>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b/>
                <w:bCs/>
              </w:rPr>
            </w:pPr>
            <w:r w:rsidRPr="00106E81">
              <w:rPr>
                <w:rFonts w:ascii="Times New Roman" w:eastAsia="Times New Roman" w:hAnsi="Times New Roman" w:cs="Times New Roman"/>
                <w:b/>
                <w:bCs/>
              </w:rPr>
              <w:t> </w:t>
            </w:r>
          </w:p>
        </w:tc>
        <w:tc>
          <w:tcPr>
            <w:tcW w:w="1356" w:type="dxa"/>
            <w:tcBorders>
              <w:top w:val="nil"/>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b/>
                <w:bCs/>
              </w:rPr>
            </w:pPr>
            <w:r w:rsidRPr="00106E81">
              <w:rPr>
                <w:rFonts w:ascii="Times New Roman" w:eastAsia="Times New Roman" w:hAnsi="Times New Roman" w:cs="Times New Roman"/>
                <w:b/>
                <w:bCs/>
              </w:rPr>
              <w:t> </w:t>
            </w:r>
          </w:p>
        </w:tc>
      </w:tr>
      <w:tr w:rsidR="00FC7046" w:rsidRPr="00106E81" w:rsidTr="000C4928">
        <w:trPr>
          <w:trHeight w:val="1590"/>
        </w:trPr>
        <w:tc>
          <w:tcPr>
            <w:tcW w:w="1098" w:type="dxa"/>
            <w:tcBorders>
              <w:top w:val="nil"/>
              <w:left w:val="single" w:sz="8" w:space="0" w:color="000000"/>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2.1.</w:t>
            </w:r>
          </w:p>
        </w:tc>
        <w:tc>
          <w:tcPr>
            <w:tcW w:w="4725" w:type="dxa"/>
            <w:tcBorders>
              <w:top w:val="nil"/>
              <w:left w:val="nil"/>
              <w:bottom w:val="single" w:sz="8" w:space="0" w:color="000000"/>
              <w:right w:val="single" w:sz="8" w:space="0" w:color="000000"/>
            </w:tcBorders>
            <w:shd w:val="clear" w:color="auto" w:fill="auto"/>
            <w:hideMark/>
          </w:tcPr>
          <w:p w:rsidR="00FC7046" w:rsidRPr="00106E81" w:rsidRDefault="00FC7046" w:rsidP="000C4928">
            <w:pPr>
              <w:jc w:val="both"/>
              <w:rPr>
                <w:rFonts w:ascii="Times New Roman" w:eastAsia="Times New Roman" w:hAnsi="Times New Roman" w:cs="Times New Roman"/>
              </w:rPr>
            </w:pPr>
            <w:r w:rsidRPr="00106E81">
              <w:rPr>
                <w:rFonts w:ascii="Times New Roman" w:eastAsia="Times New Roman" w:hAnsi="Times New Roman" w:cs="Times New Roman"/>
              </w:rPr>
              <w:t xml:space="preserve">Sagatavot grozījumus MK 12.11.2013 noteikumos Nr. 1316 "Kārtība, kādā aprēķina un piešķir bāzes finansējumu zinātniskajām institūcijām", kā arī nepieciešamības gadījumā Zinātniskās darbības likumā, nosakot, ka no 2015.gada </w:t>
            </w:r>
            <w:r w:rsidRPr="00106E81">
              <w:rPr>
                <w:rFonts w:ascii="Times New Roman" w:hAnsi="Times New Roman" w:cs="Times New Roman"/>
              </w:rPr>
              <w:t>15% no  zinātnisko institūciju bāzes finansējuma apjoma tiks novirzīti kā papildus finansējums tām zinātniskajām institūcijām, kuras Latvijas zinātnes starptautiskajā izvērtējumā ieguvušas novērtējumu “5” un “4” katrā zinātņu nozaru grupā.</w:t>
            </w:r>
          </w:p>
        </w:tc>
        <w:tc>
          <w:tcPr>
            <w:tcW w:w="1260" w:type="dxa"/>
            <w:tcBorders>
              <w:top w:val="nil"/>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IZM</w:t>
            </w:r>
          </w:p>
        </w:tc>
        <w:tc>
          <w:tcPr>
            <w:tcW w:w="1356" w:type="dxa"/>
            <w:tcBorders>
              <w:top w:val="nil"/>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01.11.2014</w:t>
            </w:r>
          </w:p>
        </w:tc>
      </w:tr>
      <w:tr w:rsidR="00FC7046" w:rsidRPr="00106E81" w:rsidTr="000C4928">
        <w:trPr>
          <w:trHeight w:val="960"/>
        </w:trPr>
        <w:tc>
          <w:tcPr>
            <w:tcW w:w="1098" w:type="dxa"/>
            <w:tcBorders>
              <w:top w:val="nil"/>
              <w:left w:val="single" w:sz="8" w:space="0" w:color="000000"/>
              <w:bottom w:val="single" w:sz="4" w:space="0" w:color="auto"/>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2.2.</w:t>
            </w:r>
          </w:p>
        </w:tc>
        <w:tc>
          <w:tcPr>
            <w:tcW w:w="4725" w:type="dxa"/>
            <w:tcBorders>
              <w:top w:val="nil"/>
              <w:left w:val="nil"/>
              <w:bottom w:val="single" w:sz="4" w:space="0" w:color="auto"/>
              <w:right w:val="single" w:sz="8" w:space="0" w:color="000000"/>
            </w:tcBorders>
            <w:shd w:val="clear" w:color="auto" w:fill="auto"/>
            <w:hideMark/>
          </w:tcPr>
          <w:p w:rsidR="00FC7046" w:rsidRPr="00106E81" w:rsidRDefault="00FC7046" w:rsidP="000C4928">
            <w:pPr>
              <w:jc w:val="both"/>
              <w:rPr>
                <w:rFonts w:ascii="Times New Roman" w:eastAsia="Times New Roman" w:hAnsi="Times New Roman" w:cs="Times New Roman"/>
              </w:rPr>
            </w:pPr>
            <w:r w:rsidRPr="00106E81">
              <w:rPr>
                <w:rFonts w:ascii="Times New Roman" w:eastAsia="Times New Roman" w:hAnsi="Times New Roman" w:cs="Times New Roman"/>
              </w:rPr>
              <w:t>Izstrādāt kārtību jaunas Izglītības un zinātnes ministrijas valsts budžeta apakšprogrammas “Krišjāņa Barona Dainu skapis” izveidei, izmantojot valsts budžeta apakšprogrammas 05.05.00 “Tirgus orientētie pētījumi” līdzekļus”.</w:t>
            </w:r>
          </w:p>
        </w:tc>
        <w:tc>
          <w:tcPr>
            <w:tcW w:w="1260" w:type="dxa"/>
            <w:tcBorders>
              <w:top w:val="nil"/>
              <w:left w:val="nil"/>
              <w:bottom w:val="single" w:sz="4" w:space="0" w:color="auto"/>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IZM, KM</w:t>
            </w:r>
          </w:p>
        </w:tc>
        <w:tc>
          <w:tcPr>
            <w:tcW w:w="1356" w:type="dxa"/>
            <w:tcBorders>
              <w:top w:val="nil"/>
              <w:left w:val="nil"/>
              <w:bottom w:val="single" w:sz="4" w:space="0" w:color="auto"/>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01.11.2014</w:t>
            </w:r>
          </w:p>
        </w:tc>
      </w:tr>
      <w:tr w:rsidR="00FC7046" w:rsidRPr="00106E81" w:rsidTr="000C4928">
        <w:trPr>
          <w:trHeight w:val="960"/>
        </w:trPr>
        <w:tc>
          <w:tcPr>
            <w:tcW w:w="1098" w:type="dxa"/>
            <w:tcBorders>
              <w:top w:val="nil"/>
              <w:left w:val="single" w:sz="8" w:space="0" w:color="000000"/>
              <w:bottom w:val="single" w:sz="4" w:space="0" w:color="auto"/>
              <w:right w:val="single" w:sz="8" w:space="0" w:color="000000"/>
            </w:tcBorders>
            <w:shd w:val="clear" w:color="auto" w:fill="auto"/>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2.3.</w:t>
            </w:r>
          </w:p>
        </w:tc>
        <w:tc>
          <w:tcPr>
            <w:tcW w:w="4725" w:type="dxa"/>
            <w:tcBorders>
              <w:top w:val="nil"/>
              <w:left w:val="nil"/>
              <w:bottom w:val="single" w:sz="4" w:space="0" w:color="auto"/>
              <w:right w:val="single" w:sz="8" w:space="0" w:color="000000"/>
            </w:tcBorders>
            <w:shd w:val="clear" w:color="auto" w:fill="auto"/>
          </w:tcPr>
          <w:p w:rsidR="00FC7046" w:rsidRPr="00106E81" w:rsidRDefault="00FC7046" w:rsidP="000C4928">
            <w:pPr>
              <w:jc w:val="both"/>
              <w:rPr>
                <w:rFonts w:ascii="Times New Roman" w:eastAsia="Times New Roman" w:hAnsi="Times New Roman" w:cs="Times New Roman"/>
              </w:rPr>
            </w:pPr>
            <w:r w:rsidRPr="00106E81">
              <w:rPr>
                <w:rFonts w:ascii="Times New Roman" w:eastAsia="Times New Roman" w:hAnsi="Times New Roman" w:cs="Times New Roman"/>
              </w:rPr>
              <w:t>Ministrijai piešķirt zinātniskās darbības bāzes finansējumu un augstskolu budžeta vietu finansējumu apvienotā dotācijā uz viena līguma bāzes.</w:t>
            </w:r>
          </w:p>
        </w:tc>
        <w:tc>
          <w:tcPr>
            <w:tcW w:w="1260" w:type="dxa"/>
            <w:tcBorders>
              <w:top w:val="nil"/>
              <w:left w:val="nil"/>
              <w:bottom w:val="single" w:sz="4" w:space="0" w:color="auto"/>
              <w:right w:val="single" w:sz="8" w:space="0" w:color="000000"/>
            </w:tcBorders>
            <w:shd w:val="clear" w:color="auto" w:fill="auto"/>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IZM</w:t>
            </w:r>
          </w:p>
        </w:tc>
        <w:tc>
          <w:tcPr>
            <w:tcW w:w="1356" w:type="dxa"/>
            <w:tcBorders>
              <w:top w:val="nil"/>
              <w:left w:val="nil"/>
              <w:bottom w:val="single" w:sz="4" w:space="0" w:color="auto"/>
              <w:right w:val="single" w:sz="8" w:space="0" w:color="000000"/>
            </w:tcBorders>
            <w:shd w:val="clear" w:color="auto" w:fill="auto"/>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01.02.2015</w:t>
            </w:r>
          </w:p>
        </w:tc>
      </w:tr>
      <w:tr w:rsidR="00FC7046" w:rsidRPr="00106E81" w:rsidTr="000C4928">
        <w:trPr>
          <w:trHeight w:val="983"/>
        </w:trPr>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lastRenderedPageBreak/>
              <w:t>2.4.</w:t>
            </w:r>
          </w:p>
        </w:tc>
        <w:tc>
          <w:tcPr>
            <w:tcW w:w="4725" w:type="dxa"/>
            <w:tcBorders>
              <w:top w:val="single" w:sz="4" w:space="0" w:color="auto"/>
              <w:left w:val="single" w:sz="4" w:space="0" w:color="auto"/>
              <w:bottom w:val="single" w:sz="4" w:space="0" w:color="auto"/>
              <w:right w:val="single" w:sz="4" w:space="0" w:color="auto"/>
            </w:tcBorders>
            <w:shd w:val="clear" w:color="auto" w:fill="auto"/>
            <w:hideMark/>
          </w:tcPr>
          <w:p w:rsidR="00FC7046" w:rsidRPr="00106E81" w:rsidRDefault="00FC7046" w:rsidP="000C4928">
            <w:pPr>
              <w:jc w:val="both"/>
              <w:rPr>
                <w:rFonts w:ascii="Times New Roman" w:eastAsia="Times New Roman" w:hAnsi="Times New Roman" w:cs="Times New Roman"/>
              </w:rPr>
            </w:pPr>
            <w:r w:rsidRPr="00106E81">
              <w:rPr>
                <w:rFonts w:ascii="Times New Roman" w:eastAsia="Times New Roman" w:hAnsi="Times New Roman" w:cs="Times New Roman"/>
              </w:rPr>
              <w:t>Sagatavot grozījumus MK 12.11.2013 noteikumos Nr. 1316 "Kārtība, kādā aprēķina un piešķir bāzes finansējumu zinātniskajām institūcijām",  kā arī nepieciešamības gadījumā Zinātniskās darbības likumā, nosakot, ka no 2016.gada tiek palielināts minimālais PLE bāzes finansējuma saņemšanai, ietverot sasniedzamo rādītāju līgumus, paredzot atbalstu pētniecības izcilībai un sakārtojot piešķīruma kārtību AII.</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IZM</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01.07.2015</w:t>
            </w:r>
          </w:p>
        </w:tc>
      </w:tr>
      <w:tr w:rsidR="00FC7046" w:rsidRPr="00106E81" w:rsidTr="000C4928">
        <w:trPr>
          <w:trHeight w:val="960"/>
        </w:trPr>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2.5.</w:t>
            </w:r>
          </w:p>
        </w:tc>
        <w:tc>
          <w:tcPr>
            <w:tcW w:w="4725" w:type="dxa"/>
            <w:tcBorders>
              <w:top w:val="single" w:sz="4" w:space="0" w:color="auto"/>
              <w:left w:val="single" w:sz="4" w:space="0" w:color="auto"/>
              <w:bottom w:val="single" w:sz="4" w:space="0" w:color="auto"/>
              <w:right w:val="single" w:sz="4" w:space="0" w:color="auto"/>
            </w:tcBorders>
            <w:shd w:val="clear" w:color="auto" w:fill="auto"/>
            <w:hideMark/>
          </w:tcPr>
          <w:p w:rsidR="00FC7046" w:rsidRPr="00106E81" w:rsidRDefault="00FC7046" w:rsidP="000C4928">
            <w:pPr>
              <w:jc w:val="both"/>
              <w:rPr>
                <w:rFonts w:ascii="Times New Roman" w:eastAsia="Times New Roman" w:hAnsi="Times New Roman" w:cs="Times New Roman"/>
              </w:rPr>
            </w:pPr>
            <w:r w:rsidRPr="00106E81">
              <w:rPr>
                <w:rFonts w:ascii="Times New Roman" w:eastAsia="Times New Roman" w:hAnsi="Times New Roman" w:cs="Times New Roman"/>
              </w:rPr>
              <w:t>Veikt izmaiņas valsts budžeta apakšprogrammas 05.01.00 “Zinātniskās darbības nodrošināšana” aprakstā, paredzot, ka no šīs programmas piešķirto līdzekļu ietvaros no 2017.gada tiek finansēti izcili pētniecības projekti.</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IZM</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01.07.2015</w:t>
            </w:r>
          </w:p>
        </w:tc>
      </w:tr>
      <w:tr w:rsidR="00FC7046" w:rsidRPr="00106E81" w:rsidTr="000C4928">
        <w:trPr>
          <w:trHeight w:val="375"/>
        </w:trPr>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3.</w:t>
            </w:r>
          </w:p>
        </w:tc>
        <w:tc>
          <w:tcPr>
            <w:tcW w:w="4725" w:type="dxa"/>
            <w:tcBorders>
              <w:top w:val="single" w:sz="4" w:space="0" w:color="auto"/>
              <w:left w:val="single" w:sz="4" w:space="0" w:color="auto"/>
              <w:bottom w:val="single" w:sz="4" w:space="0" w:color="auto"/>
              <w:right w:val="single" w:sz="4" w:space="0" w:color="auto"/>
            </w:tcBorders>
            <w:shd w:val="clear" w:color="auto" w:fill="auto"/>
          </w:tcPr>
          <w:p w:rsidR="00FC7046" w:rsidRPr="00106E81" w:rsidRDefault="00FC7046" w:rsidP="000C4928">
            <w:pPr>
              <w:jc w:val="both"/>
              <w:rPr>
                <w:rFonts w:ascii="Times New Roman" w:eastAsia="Times New Roman" w:hAnsi="Times New Roman" w:cs="Times New Roman"/>
              </w:rPr>
            </w:pPr>
            <w:r w:rsidRPr="00106E81">
              <w:rPr>
                <w:rFonts w:ascii="Times New Roman" w:eastAsia="Times New Roman" w:hAnsi="Times New Roman" w:cs="Times New Roman"/>
                <w:b/>
                <w:bCs/>
              </w:rPr>
              <w:t>Monitoringa sistēmas izveide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sz w:val="22"/>
                <w:szCs w:val="22"/>
              </w:rPr>
              <w:t>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sz w:val="22"/>
                <w:szCs w:val="22"/>
              </w:rPr>
              <w:t> </w:t>
            </w:r>
          </w:p>
        </w:tc>
      </w:tr>
      <w:tr w:rsidR="00FC7046" w:rsidRPr="00106E81" w:rsidTr="000C4928">
        <w:trPr>
          <w:trHeight w:val="645"/>
        </w:trPr>
        <w:tc>
          <w:tcPr>
            <w:tcW w:w="1098" w:type="dxa"/>
            <w:tcBorders>
              <w:top w:val="single" w:sz="4" w:space="0" w:color="auto"/>
              <w:left w:val="single" w:sz="4" w:space="0" w:color="auto"/>
              <w:bottom w:val="single" w:sz="4" w:space="0" w:color="auto"/>
              <w:right w:val="single" w:sz="4" w:space="0" w:color="auto"/>
            </w:tcBorders>
            <w:shd w:val="clear" w:color="auto" w:fill="auto"/>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3.1.</w:t>
            </w:r>
          </w:p>
        </w:tc>
        <w:tc>
          <w:tcPr>
            <w:tcW w:w="4725" w:type="dxa"/>
            <w:tcBorders>
              <w:top w:val="single" w:sz="4" w:space="0" w:color="auto"/>
              <w:left w:val="single" w:sz="4" w:space="0" w:color="auto"/>
              <w:bottom w:val="single" w:sz="4" w:space="0" w:color="auto"/>
              <w:right w:val="single" w:sz="4" w:space="0" w:color="auto"/>
            </w:tcBorders>
            <w:shd w:val="clear" w:color="auto" w:fill="auto"/>
          </w:tcPr>
          <w:p w:rsidR="00FC7046" w:rsidRPr="00106E81" w:rsidRDefault="00FC7046" w:rsidP="000C4928">
            <w:pPr>
              <w:jc w:val="both"/>
              <w:rPr>
                <w:rFonts w:ascii="Times New Roman" w:eastAsia="Times New Roman" w:hAnsi="Times New Roman" w:cs="Times New Roman"/>
              </w:rPr>
            </w:pPr>
            <w:r w:rsidRPr="00106E81">
              <w:rPr>
                <w:rFonts w:ascii="Times New Roman" w:eastAsia="Times New Roman" w:hAnsi="Times New Roman" w:cs="Times New Roman"/>
              </w:rPr>
              <w:t xml:space="preserve">Iestrādāt zinātniskās darbības monitoringa  izveides pasākumus, tai skaitā rezultātu rādītāju vadlīnijas zinātniskajām institūcijām ZTAI pamatnostādņu mērķu sasniegšanas monitoringa sistēmas izveides plānā.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IZM, EM</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01.09.2014</w:t>
            </w:r>
          </w:p>
        </w:tc>
      </w:tr>
      <w:tr w:rsidR="00FC7046" w:rsidRPr="00106E81" w:rsidTr="000C4928">
        <w:trPr>
          <w:trHeight w:val="645"/>
        </w:trPr>
        <w:tc>
          <w:tcPr>
            <w:tcW w:w="1098" w:type="dxa"/>
            <w:tcBorders>
              <w:top w:val="single" w:sz="4" w:space="0" w:color="auto"/>
              <w:left w:val="single" w:sz="4" w:space="0" w:color="auto"/>
              <w:bottom w:val="single" w:sz="4" w:space="0" w:color="auto"/>
              <w:right w:val="single" w:sz="4" w:space="0" w:color="auto"/>
            </w:tcBorders>
            <w:shd w:val="clear" w:color="auto" w:fill="auto"/>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3.2.</w:t>
            </w:r>
          </w:p>
        </w:tc>
        <w:tc>
          <w:tcPr>
            <w:tcW w:w="4725" w:type="dxa"/>
            <w:tcBorders>
              <w:top w:val="single" w:sz="4" w:space="0" w:color="auto"/>
              <w:left w:val="single" w:sz="4" w:space="0" w:color="auto"/>
              <w:bottom w:val="single" w:sz="4" w:space="0" w:color="auto"/>
              <w:right w:val="single" w:sz="4" w:space="0" w:color="auto"/>
            </w:tcBorders>
            <w:shd w:val="clear" w:color="auto" w:fill="auto"/>
          </w:tcPr>
          <w:p w:rsidR="00FC7046" w:rsidRPr="00106E81" w:rsidRDefault="00FC7046" w:rsidP="000C4928">
            <w:pPr>
              <w:jc w:val="both"/>
              <w:rPr>
                <w:rFonts w:ascii="Times New Roman" w:eastAsia="Times New Roman" w:hAnsi="Times New Roman" w:cs="Times New Roman"/>
              </w:rPr>
            </w:pPr>
            <w:r w:rsidRPr="00106E81">
              <w:rPr>
                <w:rFonts w:ascii="Times New Roman" w:eastAsia="Times New Roman" w:hAnsi="Times New Roman" w:cs="Times New Roman"/>
              </w:rPr>
              <w:t xml:space="preserve">Izstrādāt ZTAI pamatnostādņu mērķu sasniegšanas monitoringa sistēmas, kas ietver zinātniskās darbības monitoringa elementus, projektu.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IZM, EM</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01.07.2015</w:t>
            </w:r>
          </w:p>
        </w:tc>
      </w:tr>
      <w:tr w:rsidR="00FC7046" w:rsidRPr="00106E81" w:rsidTr="000C4928">
        <w:trPr>
          <w:trHeight w:val="645"/>
        </w:trPr>
        <w:tc>
          <w:tcPr>
            <w:tcW w:w="1098" w:type="dxa"/>
            <w:tcBorders>
              <w:top w:val="single" w:sz="4" w:space="0" w:color="auto"/>
              <w:left w:val="single" w:sz="4" w:space="0" w:color="auto"/>
              <w:bottom w:val="single" w:sz="4" w:space="0" w:color="auto"/>
              <w:right w:val="single" w:sz="4" w:space="0" w:color="auto"/>
            </w:tcBorders>
            <w:shd w:val="clear" w:color="auto" w:fill="auto"/>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3.3.</w:t>
            </w:r>
          </w:p>
        </w:tc>
        <w:tc>
          <w:tcPr>
            <w:tcW w:w="4725" w:type="dxa"/>
            <w:tcBorders>
              <w:top w:val="single" w:sz="4" w:space="0" w:color="auto"/>
              <w:left w:val="single" w:sz="4" w:space="0" w:color="auto"/>
              <w:bottom w:val="single" w:sz="4" w:space="0" w:color="auto"/>
              <w:right w:val="single" w:sz="4" w:space="0" w:color="auto"/>
            </w:tcBorders>
            <w:shd w:val="clear" w:color="auto" w:fill="auto"/>
          </w:tcPr>
          <w:p w:rsidR="00FC7046" w:rsidRPr="00106E81" w:rsidRDefault="00FC7046" w:rsidP="000C4928">
            <w:pPr>
              <w:jc w:val="both"/>
              <w:rPr>
                <w:rFonts w:ascii="Times New Roman" w:eastAsia="Times New Roman" w:hAnsi="Times New Roman" w:cs="Times New Roman"/>
              </w:rPr>
            </w:pPr>
            <w:r w:rsidRPr="00106E81">
              <w:rPr>
                <w:rFonts w:ascii="Times New Roman" w:eastAsia="Times New Roman" w:hAnsi="Times New Roman" w:cs="Times New Roman"/>
              </w:rPr>
              <w:t xml:space="preserve">Veikt ES fondu plānošanas perioda 2007.-2013.gadam zinātnes atbalsta projektu </w:t>
            </w:r>
            <w:r w:rsidRPr="00106E81">
              <w:rPr>
                <w:rFonts w:ascii="Times New Roman" w:eastAsia="Times New Roman" w:hAnsi="Times New Roman" w:cs="Times New Roman"/>
                <w:i/>
                <w:iCs/>
              </w:rPr>
              <w:t>ex-post</w:t>
            </w:r>
            <w:r w:rsidRPr="00106E81">
              <w:rPr>
                <w:rFonts w:ascii="Times New Roman" w:eastAsia="Times New Roman" w:hAnsi="Times New Roman" w:cs="Times New Roman"/>
              </w:rPr>
              <w:t xml:space="preserve"> novērtējumu, t.sk. to ietekmi uz tautsaimniecību.</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IZM</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01.12.2015</w:t>
            </w:r>
          </w:p>
        </w:tc>
      </w:tr>
      <w:tr w:rsidR="00FC7046" w:rsidRPr="00106E81" w:rsidTr="000C4928">
        <w:trPr>
          <w:trHeight w:val="575"/>
        </w:trPr>
        <w:tc>
          <w:tcPr>
            <w:tcW w:w="1098" w:type="dxa"/>
            <w:tcBorders>
              <w:top w:val="single" w:sz="4" w:space="0" w:color="auto"/>
              <w:left w:val="single" w:sz="8" w:space="0" w:color="000000"/>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4.</w:t>
            </w:r>
          </w:p>
        </w:tc>
        <w:tc>
          <w:tcPr>
            <w:tcW w:w="4725" w:type="dxa"/>
            <w:tcBorders>
              <w:top w:val="single" w:sz="4" w:space="0" w:color="auto"/>
              <w:left w:val="nil"/>
              <w:bottom w:val="single" w:sz="8" w:space="0" w:color="000000"/>
              <w:right w:val="single" w:sz="8" w:space="0" w:color="000000"/>
            </w:tcBorders>
            <w:shd w:val="clear" w:color="auto" w:fill="auto"/>
            <w:hideMark/>
          </w:tcPr>
          <w:p w:rsidR="00FC7046" w:rsidRPr="00106E81" w:rsidRDefault="00FC7046" w:rsidP="000C4928">
            <w:pPr>
              <w:pStyle w:val="Normal1"/>
              <w:contextualSpacing/>
              <w:rPr>
                <w:rFonts w:ascii="Times New Roman" w:hAnsi="Times New Roman" w:cs="Times New Roman"/>
                <w:lang w:eastAsia="en-US"/>
              </w:rPr>
            </w:pPr>
            <w:r w:rsidRPr="00106E81">
              <w:rPr>
                <w:rFonts w:ascii="Times New Roman" w:eastAsia="Times New Roman" w:hAnsi="Times New Roman" w:cs="Times New Roman"/>
                <w:b/>
                <w:color w:val="auto"/>
                <w:szCs w:val="24"/>
              </w:rPr>
              <w:t>Atbalsts zinātnisko institūciju iniciēto strukturālo reformu īstenošanai</w:t>
            </w:r>
          </w:p>
        </w:tc>
        <w:tc>
          <w:tcPr>
            <w:tcW w:w="1260" w:type="dxa"/>
            <w:tcBorders>
              <w:top w:val="single" w:sz="4" w:space="0" w:color="auto"/>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p>
        </w:tc>
        <w:tc>
          <w:tcPr>
            <w:tcW w:w="1356" w:type="dxa"/>
            <w:tcBorders>
              <w:top w:val="single" w:sz="4" w:space="0" w:color="auto"/>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p>
        </w:tc>
      </w:tr>
      <w:tr w:rsidR="00FC7046" w:rsidRPr="00106E81" w:rsidTr="000C4928">
        <w:trPr>
          <w:trHeight w:val="645"/>
        </w:trPr>
        <w:tc>
          <w:tcPr>
            <w:tcW w:w="1098" w:type="dxa"/>
            <w:tcBorders>
              <w:top w:val="nil"/>
              <w:left w:val="single" w:sz="8" w:space="0" w:color="000000"/>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4.1.</w:t>
            </w:r>
          </w:p>
        </w:tc>
        <w:tc>
          <w:tcPr>
            <w:tcW w:w="4725" w:type="dxa"/>
            <w:tcBorders>
              <w:top w:val="nil"/>
              <w:left w:val="nil"/>
              <w:bottom w:val="single" w:sz="8" w:space="0" w:color="000000"/>
              <w:right w:val="single" w:sz="8" w:space="0" w:color="000000"/>
            </w:tcBorders>
            <w:shd w:val="clear" w:color="auto" w:fill="auto"/>
            <w:hideMark/>
          </w:tcPr>
          <w:p w:rsidR="00FC7046" w:rsidRPr="00106E81" w:rsidRDefault="00FC7046" w:rsidP="000C4928">
            <w:pPr>
              <w:jc w:val="both"/>
              <w:rPr>
                <w:rFonts w:ascii="Times New Roman" w:eastAsia="Times New Roman" w:hAnsi="Times New Roman" w:cs="Times New Roman"/>
              </w:rPr>
            </w:pPr>
            <w:r w:rsidRPr="00106E81">
              <w:rPr>
                <w:rFonts w:ascii="Times New Roman" w:eastAsia="Times New Roman" w:hAnsi="Times New Roman" w:cs="Times New Roman"/>
              </w:rPr>
              <w:t>Izstrādāt noteikumus atbalsta programmas īstenošanai Eiropas Savienības struktūrfondu darbības programmas „Uzņēmējdarbība un inovācijas” 2.1.1.pasākuma „Zinātne, pētniecība un attīstība” ietvaros plānošanas periodā 2007.-2013.gadam atbalstam zinātnisko institūciju institucionālās izcilības attīstībai, veiktspējas un pārvaldības efektivitātes uzlabošanai, starptautiskā izvērtējuma rekomendāciju ieviešanai un mērķtiecīgiem zinātnisko institūciju apvienošanās pasākumiem indikatīvi 9 milj. EUR apmērā.</w:t>
            </w:r>
          </w:p>
        </w:tc>
        <w:tc>
          <w:tcPr>
            <w:tcW w:w="1260" w:type="dxa"/>
            <w:tcBorders>
              <w:top w:val="nil"/>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IZM</w:t>
            </w:r>
          </w:p>
        </w:tc>
        <w:tc>
          <w:tcPr>
            <w:tcW w:w="1356" w:type="dxa"/>
            <w:tcBorders>
              <w:top w:val="nil"/>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01.09.2014</w:t>
            </w:r>
          </w:p>
        </w:tc>
      </w:tr>
      <w:tr w:rsidR="00FC7046" w:rsidRPr="00106E81" w:rsidTr="000C4928">
        <w:trPr>
          <w:trHeight w:val="645"/>
        </w:trPr>
        <w:tc>
          <w:tcPr>
            <w:tcW w:w="1098" w:type="dxa"/>
            <w:tcBorders>
              <w:top w:val="nil"/>
              <w:left w:val="single" w:sz="8" w:space="0" w:color="000000"/>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lastRenderedPageBreak/>
              <w:t>4.3.</w:t>
            </w:r>
          </w:p>
        </w:tc>
        <w:tc>
          <w:tcPr>
            <w:tcW w:w="4725" w:type="dxa"/>
            <w:tcBorders>
              <w:top w:val="nil"/>
              <w:left w:val="nil"/>
              <w:bottom w:val="single" w:sz="8" w:space="0" w:color="000000"/>
              <w:right w:val="single" w:sz="8" w:space="0" w:color="000000"/>
            </w:tcBorders>
            <w:shd w:val="clear" w:color="auto" w:fill="auto"/>
            <w:hideMark/>
          </w:tcPr>
          <w:p w:rsidR="00FC7046" w:rsidRPr="00106E81" w:rsidRDefault="00FC7046" w:rsidP="000C4928">
            <w:pPr>
              <w:jc w:val="both"/>
              <w:rPr>
                <w:rFonts w:ascii="Times New Roman" w:eastAsia="Times New Roman" w:hAnsi="Times New Roman" w:cs="Times New Roman"/>
              </w:rPr>
            </w:pPr>
            <w:r w:rsidRPr="00106E81">
              <w:rPr>
                <w:rFonts w:ascii="Times New Roman" w:eastAsia="Times New Roman" w:hAnsi="Times New Roman" w:cs="Times New Roman"/>
              </w:rPr>
              <w:t>Veikt zinātnisko institūciju iekšējo rezultātu pārvaldības sistēmu projektu izvērtējumu.</w:t>
            </w:r>
          </w:p>
        </w:tc>
        <w:tc>
          <w:tcPr>
            <w:tcW w:w="1260" w:type="dxa"/>
            <w:tcBorders>
              <w:top w:val="nil"/>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IZM</w:t>
            </w:r>
          </w:p>
        </w:tc>
        <w:tc>
          <w:tcPr>
            <w:tcW w:w="1356" w:type="dxa"/>
            <w:tcBorders>
              <w:top w:val="nil"/>
              <w:left w:val="nil"/>
              <w:bottom w:val="single" w:sz="8" w:space="0" w:color="000000"/>
              <w:right w:val="single" w:sz="8" w:space="0" w:color="000000"/>
            </w:tcBorders>
            <w:shd w:val="clear" w:color="auto" w:fill="auto"/>
            <w:hideMark/>
          </w:tcPr>
          <w:p w:rsidR="00FC7046" w:rsidRPr="00106E81" w:rsidRDefault="00FC7046" w:rsidP="000C4928">
            <w:pPr>
              <w:rPr>
                <w:rFonts w:ascii="Times New Roman" w:eastAsia="Times New Roman" w:hAnsi="Times New Roman" w:cs="Times New Roman"/>
              </w:rPr>
            </w:pPr>
            <w:r w:rsidRPr="00106E81">
              <w:rPr>
                <w:rFonts w:ascii="Times New Roman" w:eastAsia="Times New Roman" w:hAnsi="Times New Roman" w:cs="Times New Roman"/>
              </w:rPr>
              <w:t>01.12.2015</w:t>
            </w:r>
          </w:p>
        </w:tc>
      </w:tr>
    </w:tbl>
    <w:p w:rsidR="00212FFB" w:rsidRPr="008D1EEE" w:rsidRDefault="00212FFB" w:rsidP="001412D7">
      <w:pPr>
        <w:jc w:val="both"/>
        <w:rPr>
          <w:rFonts w:ascii="Times New Roman" w:hAnsi="Times New Roman" w:cs="Times New Roman"/>
          <w:lang w:val="lv-LV"/>
        </w:rPr>
      </w:pPr>
      <w:bookmarkStart w:id="0" w:name="_GoBack"/>
      <w:bookmarkEnd w:id="0"/>
    </w:p>
    <w:sectPr w:rsidR="00212FFB" w:rsidRPr="008D1EEE" w:rsidSect="004A42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1F3" w:rsidRDefault="005341F3" w:rsidP="009737E1">
      <w:r>
        <w:separator/>
      </w:r>
    </w:p>
  </w:endnote>
  <w:endnote w:type="continuationSeparator" w:id="0">
    <w:p w:rsidR="005341F3" w:rsidRDefault="005341F3" w:rsidP="0097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669"/>
      <w:docPartObj>
        <w:docPartGallery w:val="Page Numbers (Bottom of Page)"/>
        <w:docPartUnique/>
      </w:docPartObj>
    </w:sdtPr>
    <w:sdtEndPr/>
    <w:sdtContent>
      <w:p w:rsidR="007C6DAC" w:rsidRDefault="007E5E12">
        <w:pPr>
          <w:pStyle w:val="Footer"/>
          <w:jc w:val="center"/>
        </w:pPr>
        <w:r>
          <w:fldChar w:fldCharType="begin"/>
        </w:r>
        <w:r>
          <w:instrText xml:space="preserve"> PAGE   \* MERGEFORMAT </w:instrText>
        </w:r>
        <w:r>
          <w:fldChar w:fldCharType="separate"/>
        </w:r>
        <w:r w:rsidR="00FC7046">
          <w:rPr>
            <w:noProof/>
          </w:rPr>
          <w:t>4</w:t>
        </w:r>
        <w:r>
          <w:rPr>
            <w:noProof/>
          </w:rPr>
          <w:fldChar w:fldCharType="end"/>
        </w:r>
      </w:p>
    </w:sdtContent>
  </w:sdt>
  <w:p w:rsidR="007C6DAC" w:rsidRDefault="007C6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1F3" w:rsidRDefault="005341F3" w:rsidP="009737E1">
      <w:r>
        <w:separator/>
      </w:r>
    </w:p>
  </w:footnote>
  <w:footnote w:type="continuationSeparator" w:id="0">
    <w:p w:rsidR="005341F3" w:rsidRDefault="005341F3" w:rsidP="00973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3C2D"/>
    <w:multiLevelType w:val="hybridMultilevel"/>
    <w:tmpl w:val="7D00D6A4"/>
    <w:lvl w:ilvl="0" w:tplc="63AAE53A">
      <w:start w:val="1"/>
      <w:numFmt w:val="lowerLetter"/>
      <w:lvlText w:val="%1)"/>
      <w:lvlJc w:val="left"/>
      <w:pPr>
        <w:ind w:left="380" w:hanging="38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E1569E"/>
    <w:multiLevelType w:val="hybridMultilevel"/>
    <w:tmpl w:val="7D00D6A4"/>
    <w:lvl w:ilvl="0" w:tplc="63AAE53A">
      <w:start w:val="1"/>
      <w:numFmt w:val="lowerLetter"/>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A12D98"/>
    <w:multiLevelType w:val="multilevel"/>
    <w:tmpl w:val="1F068FC8"/>
    <w:lvl w:ilvl="0">
      <w:start w:val="1"/>
      <w:numFmt w:val="decimal"/>
      <w:lvlText w:val="%1."/>
      <w:lvlJc w:val="left"/>
      <w:pPr>
        <w:ind w:left="720" w:firstLine="360"/>
      </w:pPr>
    </w:lvl>
    <w:lvl w:ilvl="1">
      <w:start w:val="1"/>
      <w:numFmt w:val="decimal"/>
      <w:lvlText w:val="%2)"/>
      <w:lvlJc w:val="left"/>
      <w:pPr>
        <w:ind w:left="1440" w:firstLine="1080"/>
      </w:pPr>
      <w:rPr>
        <w:rFonts w:ascii="Times New Roman" w:hAnsi="Times New Roman" w:cs="Times New Roman" w:hint="default"/>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6F957A5"/>
    <w:multiLevelType w:val="hybridMultilevel"/>
    <w:tmpl w:val="FEB88A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733FC5"/>
    <w:multiLevelType w:val="hybridMultilevel"/>
    <w:tmpl w:val="7D00D6A4"/>
    <w:lvl w:ilvl="0" w:tplc="63AAE53A">
      <w:start w:val="1"/>
      <w:numFmt w:val="lowerLetter"/>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AB087B"/>
    <w:multiLevelType w:val="multilevel"/>
    <w:tmpl w:val="1F3C8B5E"/>
    <w:lvl w:ilvl="0">
      <w:start w:val="1"/>
      <w:numFmt w:val="lowerLetter"/>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
    <w:nsid w:val="70ED75FD"/>
    <w:multiLevelType w:val="hybridMultilevel"/>
    <w:tmpl w:val="62ACF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DE1D51"/>
    <w:multiLevelType w:val="hybridMultilevel"/>
    <w:tmpl w:val="E2AEC2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1F"/>
    <w:rsid w:val="00052E09"/>
    <w:rsid w:val="001016C5"/>
    <w:rsid w:val="001412D7"/>
    <w:rsid w:val="00152C0C"/>
    <w:rsid w:val="001616AA"/>
    <w:rsid w:val="00170E7D"/>
    <w:rsid w:val="001867A4"/>
    <w:rsid w:val="00212FFB"/>
    <w:rsid w:val="00231BDA"/>
    <w:rsid w:val="00284B1F"/>
    <w:rsid w:val="0029004B"/>
    <w:rsid w:val="002C322C"/>
    <w:rsid w:val="002C719E"/>
    <w:rsid w:val="002F4134"/>
    <w:rsid w:val="00307D74"/>
    <w:rsid w:val="00357126"/>
    <w:rsid w:val="003819B5"/>
    <w:rsid w:val="003B2BBE"/>
    <w:rsid w:val="003C1B38"/>
    <w:rsid w:val="003C51F2"/>
    <w:rsid w:val="003F1B57"/>
    <w:rsid w:val="00407193"/>
    <w:rsid w:val="00424AAF"/>
    <w:rsid w:val="004430D2"/>
    <w:rsid w:val="0046312E"/>
    <w:rsid w:val="004A42CF"/>
    <w:rsid w:val="004C2A51"/>
    <w:rsid w:val="0052187D"/>
    <w:rsid w:val="00521AB4"/>
    <w:rsid w:val="00522BDD"/>
    <w:rsid w:val="00530B03"/>
    <w:rsid w:val="005341F3"/>
    <w:rsid w:val="0053422A"/>
    <w:rsid w:val="005A5765"/>
    <w:rsid w:val="005D2D0D"/>
    <w:rsid w:val="0060039E"/>
    <w:rsid w:val="00647D32"/>
    <w:rsid w:val="00667F95"/>
    <w:rsid w:val="00692B7F"/>
    <w:rsid w:val="00734A76"/>
    <w:rsid w:val="00755CEA"/>
    <w:rsid w:val="007B53BF"/>
    <w:rsid w:val="007C6DAC"/>
    <w:rsid w:val="007D75DE"/>
    <w:rsid w:val="007E5E12"/>
    <w:rsid w:val="00802E40"/>
    <w:rsid w:val="008330C9"/>
    <w:rsid w:val="00872686"/>
    <w:rsid w:val="00887D13"/>
    <w:rsid w:val="008A16FF"/>
    <w:rsid w:val="008D1EEE"/>
    <w:rsid w:val="009737E1"/>
    <w:rsid w:val="00993EA9"/>
    <w:rsid w:val="009A5A4B"/>
    <w:rsid w:val="009B0D15"/>
    <w:rsid w:val="009F5537"/>
    <w:rsid w:val="00A17AEA"/>
    <w:rsid w:val="00AD5569"/>
    <w:rsid w:val="00AE3209"/>
    <w:rsid w:val="00B03DCD"/>
    <w:rsid w:val="00B72965"/>
    <w:rsid w:val="00BA7B50"/>
    <w:rsid w:val="00BB0B54"/>
    <w:rsid w:val="00BB7029"/>
    <w:rsid w:val="00BD40CE"/>
    <w:rsid w:val="00BE1E43"/>
    <w:rsid w:val="00C30F2D"/>
    <w:rsid w:val="00C413FB"/>
    <w:rsid w:val="00C769B2"/>
    <w:rsid w:val="00C8209B"/>
    <w:rsid w:val="00CB1735"/>
    <w:rsid w:val="00CC4CF1"/>
    <w:rsid w:val="00CD1B34"/>
    <w:rsid w:val="00D0496A"/>
    <w:rsid w:val="00D4060B"/>
    <w:rsid w:val="00E46E9B"/>
    <w:rsid w:val="00E847C3"/>
    <w:rsid w:val="00E930B3"/>
    <w:rsid w:val="00EA4B04"/>
    <w:rsid w:val="00ED00CF"/>
    <w:rsid w:val="00EE2991"/>
    <w:rsid w:val="00F207D1"/>
    <w:rsid w:val="00FC70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13F0D-2C70-4EEC-9F48-8A27664B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E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37E1"/>
  </w:style>
  <w:style w:type="character" w:customStyle="1" w:styleId="FootnoteTextChar">
    <w:name w:val="Footnote Text Char"/>
    <w:basedOn w:val="DefaultParagraphFont"/>
    <w:link w:val="FootnoteText"/>
    <w:uiPriority w:val="99"/>
    <w:rsid w:val="009737E1"/>
    <w:rPr>
      <w:rFonts w:eastAsiaTheme="minorEastAsia"/>
      <w:sz w:val="24"/>
      <w:szCs w:val="24"/>
    </w:rPr>
  </w:style>
  <w:style w:type="character" w:styleId="FootnoteReference">
    <w:name w:val="footnote reference"/>
    <w:basedOn w:val="DefaultParagraphFont"/>
    <w:uiPriority w:val="99"/>
    <w:unhideWhenUsed/>
    <w:rsid w:val="009737E1"/>
    <w:rPr>
      <w:vertAlign w:val="superscript"/>
    </w:rPr>
  </w:style>
  <w:style w:type="paragraph" w:styleId="ListParagraph">
    <w:name w:val="List Paragraph"/>
    <w:basedOn w:val="Normal"/>
    <w:uiPriority w:val="34"/>
    <w:qFormat/>
    <w:rsid w:val="00AE3209"/>
    <w:pPr>
      <w:ind w:left="720"/>
      <w:contextualSpacing/>
    </w:pPr>
  </w:style>
  <w:style w:type="table" w:styleId="TableGrid">
    <w:name w:val="Table Grid"/>
    <w:basedOn w:val="TableNormal"/>
    <w:uiPriority w:val="59"/>
    <w:rsid w:val="00E930B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29004B"/>
    <w:pPr>
      <w:spacing w:after="0" w:line="240" w:lineRule="auto"/>
    </w:pPr>
    <w:rPr>
      <w:rFonts w:ascii="Cambria" w:eastAsia="Cambria" w:hAnsi="Cambria" w:cs="Cambria"/>
      <w:color w:val="000000"/>
      <w:sz w:val="24"/>
      <w:szCs w:val="20"/>
      <w:lang w:val="lv-LV" w:eastAsia="lv-LV"/>
    </w:rPr>
  </w:style>
  <w:style w:type="paragraph" w:styleId="NormalWeb">
    <w:name w:val="Normal (Web)"/>
    <w:basedOn w:val="Normal"/>
    <w:uiPriority w:val="99"/>
    <w:rsid w:val="0060039E"/>
    <w:pPr>
      <w:spacing w:before="100" w:beforeAutospacing="1" w:after="100" w:afterAutospacing="1"/>
    </w:pPr>
    <w:rPr>
      <w:rFonts w:ascii="Times New Roman" w:eastAsia="Times New Roman" w:hAnsi="Times New Roman" w:cs="Times New Roman"/>
      <w:lang w:val="lv-LV" w:eastAsia="lv-LV"/>
    </w:rPr>
  </w:style>
  <w:style w:type="paragraph" w:styleId="Header">
    <w:name w:val="header"/>
    <w:basedOn w:val="Normal"/>
    <w:link w:val="HeaderChar"/>
    <w:uiPriority w:val="99"/>
    <w:semiHidden/>
    <w:unhideWhenUsed/>
    <w:rsid w:val="007C6DAC"/>
    <w:pPr>
      <w:tabs>
        <w:tab w:val="center" w:pos="4153"/>
        <w:tab w:val="right" w:pos="8306"/>
      </w:tabs>
    </w:pPr>
  </w:style>
  <w:style w:type="character" w:customStyle="1" w:styleId="HeaderChar">
    <w:name w:val="Header Char"/>
    <w:basedOn w:val="DefaultParagraphFont"/>
    <w:link w:val="Header"/>
    <w:uiPriority w:val="99"/>
    <w:semiHidden/>
    <w:rsid w:val="007C6DAC"/>
    <w:rPr>
      <w:rFonts w:eastAsiaTheme="minorEastAsia"/>
      <w:sz w:val="24"/>
      <w:szCs w:val="24"/>
    </w:rPr>
  </w:style>
  <w:style w:type="paragraph" w:styleId="Footer">
    <w:name w:val="footer"/>
    <w:basedOn w:val="Normal"/>
    <w:link w:val="FooterChar"/>
    <w:uiPriority w:val="99"/>
    <w:unhideWhenUsed/>
    <w:rsid w:val="007C6DAC"/>
    <w:pPr>
      <w:tabs>
        <w:tab w:val="center" w:pos="4153"/>
        <w:tab w:val="right" w:pos="8306"/>
      </w:tabs>
    </w:pPr>
  </w:style>
  <w:style w:type="character" w:customStyle="1" w:styleId="FooterChar">
    <w:name w:val="Footer Char"/>
    <w:basedOn w:val="DefaultParagraphFont"/>
    <w:link w:val="Footer"/>
    <w:uiPriority w:val="99"/>
    <w:rsid w:val="007C6DA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515E0-3E78-499F-86B2-CF2D1270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4591</Words>
  <Characters>2617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akiopa</dc:creator>
  <cp:lastModifiedBy>Laura Treimane</cp:lastModifiedBy>
  <cp:revision>14</cp:revision>
  <dcterms:created xsi:type="dcterms:W3CDTF">2014-08-05T07:12:00Z</dcterms:created>
  <dcterms:modified xsi:type="dcterms:W3CDTF">2014-08-15T07:02:00Z</dcterms:modified>
</cp:coreProperties>
</file>