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5A7D4" w14:textId="67392533" w:rsidR="004B5452" w:rsidRPr="00932B1A" w:rsidRDefault="00EB6DF1" w:rsidP="00932B1A">
      <w:pPr>
        <w:pStyle w:val="Heading3"/>
        <w:jc w:val="center"/>
        <w:rPr>
          <w:rFonts w:ascii="Times New Roman" w:hAnsi="Times New Roman" w:cs="Times New Roman"/>
          <w:b/>
          <w:bCs/>
          <w:color w:val="auto"/>
          <w:sz w:val="26"/>
          <w:szCs w:val="26"/>
        </w:rPr>
      </w:pPr>
      <w:r w:rsidRPr="00932B1A">
        <w:rPr>
          <w:rFonts w:ascii="Times New Roman" w:hAnsi="Times New Roman" w:cs="Times New Roman"/>
          <w:b/>
          <w:color w:val="auto"/>
          <w:sz w:val="26"/>
          <w:szCs w:val="26"/>
        </w:rPr>
        <w:t xml:space="preserve">Ministru kabineta </w:t>
      </w:r>
      <w:r w:rsidR="009D7A4C" w:rsidRPr="00932B1A">
        <w:rPr>
          <w:rFonts w:ascii="Times New Roman" w:hAnsi="Times New Roman" w:cs="Times New Roman"/>
          <w:b/>
          <w:color w:val="auto"/>
          <w:sz w:val="26"/>
          <w:szCs w:val="26"/>
        </w:rPr>
        <w:t>rīkojuma</w:t>
      </w:r>
      <w:r w:rsidRPr="00932B1A">
        <w:rPr>
          <w:rFonts w:ascii="Times New Roman" w:hAnsi="Times New Roman" w:cs="Times New Roman"/>
          <w:b/>
          <w:color w:val="auto"/>
          <w:sz w:val="26"/>
          <w:szCs w:val="26"/>
        </w:rPr>
        <w:t xml:space="preserve"> projekta </w:t>
      </w:r>
      <w:r w:rsidR="00932B1A" w:rsidRPr="00932B1A">
        <w:rPr>
          <w:rFonts w:ascii="Times New Roman" w:hAnsi="Times New Roman" w:cs="Times New Roman"/>
          <w:b/>
          <w:color w:val="auto"/>
          <w:sz w:val="26"/>
          <w:szCs w:val="26"/>
        </w:rPr>
        <w:t xml:space="preserve">“Par atteikumu atvērt studiju virzienu </w:t>
      </w:r>
      <w:r w:rsidR="00927391">
        <w:rPr>
          <w:rFonts w:ascii="Times New Roman" w:hAnsi="Times New Roman" w:cs="Times New Roman"/>
          <w:b/>
          <w:color w:val="auto"/>
          <w:sz w:val="26"/>
          <w:szCs w:val="26"/>
        </w:rPr>
        <w:t xml:space="preserve">“Tiesību zinātne” </w:t>
      </w:r>
      <w:r w:rsidR="00932B1A" w:rsidRPr="00932B1A">
        <w:rPr>
          <w:rFonts w:ascii="Times New Roman" w:hAnsi="Times New Roman" w:cs="Times New Roman"/>
          <w:b/>
          <w:color w:val="auto"/>
          <w:sz w:val="26"/>
          <w:szCs w:val="26"/>
        </w:rPr>
        <w:t xml:space="preserve">sabiedrībā ar ierobežotu atbildību </w:t>
      </w:r>
      <w:r w:rsidR="00932B1A" w:rsidRPr="00B029E1">
        <w:rPr>
          <w:rFonts w:ascii="Times New Roman" w:hAnsi="Times New Roman" w:cs="Times New Roman"/>
          <w:b/>
          <w:color w:val="auto"/>
          <w:sz w:val="26"/>
          <w:szCs w:val="26"/>
        </w:rPr>
        <w:t xml:space="preserve">„Ekonomikas un kultūras augstskola”” </w:t>
      </w:r>
      <w:r w:rsidRPr="00FB09E7">
        <w:rPr>
          <w:rFonts w:ascii="Times New Roman" w:hAnsi="Times New Roman" w:cs="Times New Roman"/>
          <w:b/>
          <w:bCs/>
          <w:color w:val="auto"/>
          <w:sz w:val="26"/>
          <w:szCs w:val="26"/>
        </w:rPr>
        <w:t>sākotnējās</w:t>
      </w:r>
      <w:r w:rsidRPr="00932B1A">
        <w:rPr>
          <w:rFonts w:ascii="Times New Roman" w:hAnsi="Times New Roman" w:cs="Times New Roman"/>
          <w:b/>
          <w:bCs/>
          <w:color w:val="auto"/>
          <w:sz w:val="26"/>
          <w:szCs w:val="26"/>
        </w:rPr>
        <w:t xml:space="preserve"> ietekmes novērtējuma ziņojums (anotācija)</w:t>
      </w:r>
    </w:p>
    <w:p w14:paraId="76D44F79" w14:textId="77777777" w:rsidR="00932B1A" w:rsidRPr="00932B1A" w:rsidRDefault="00932B1A" w:rsidP="00932B1A">
      <w:pPr>
        <w:rPr>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584"/>
        <w:gridCol w:w="5990"/>
      </w:tblGrid>
      <w:tr w:rsidR="00EB6DF1" w:rsidRPr="00932B1A" w14:paraId="0D0F3EB3" w14:textId="77777777" w:rsidTr="0007538D">
        <w:trPr>
          <w:tblCellSpacing w:w="0" w:type="dxa"/>
        </w:trPr>
        <w:tc>
          <w:tcPr>
            <w:tcW w:w="9101" w:type="dxa"/>
            <w:gridSpan w:val="3"/>
            <w:tcBorders>
              <w:top w:val="single" w:sz="4" w:space="0" w:color="auto"/>
              <w:left w:val="single" w:sz="4" w:space="0" w:color="auto"/>
              <w:bottom w:val="single" w:sz="4" w:space="0" w:color="auto"/>
              <w:right w:val="single" w:sz="4" w:space="0" w:color="auto"/>
            </w:tcBorders>
            <w:vAlign w:val="center"/>
            <w:hideMark/>
          </w:tcPr>
          <w:p w14:paraId="49F9BE88" w14:textId="77777777" w:rsidR="00EB6DF1" w:rsidRPr="00932B1A" w:rsidRDefault="00EB6DF1" w:rsidP="00EB6DF1">
            <w:pPr>
              <w:spacing w:before="75" w:after="75"/>
              <w:jc w:val="center"/>
              <w:rPr>
                <w:b/>
                <w:sz w:val="26"/>
                <w:szCs w:val="26"/>
              </w:rPr>
            </w:pPr>
            <w:r w:rsidRPr="00932B1A">
              <w:rPr>
                <w:b/>
                <w:bCs/>
                <w:sz w:val="26"/>
                <w:szCs w:val="26"/>
              </w:rPr>
              <w:t> I. Tiesību akta projekta izstrādes nepieciešamība</w:t>
            </w:r>
          </w:p>
        </w:tc>
      </w:tr>
      <w:tr w:rsidR="00EB6DF1" w:rsidRPr="00FB09E7" w14:paraId="3B0C5196" w14:textId="77777777" w:rsidTr="0007538D">
        <w:trPr>
          <w:trHeight w:val="630"/>
          <w:tblCellSpacing w:w="0" w:type="dxa"/>
        </w:trPr>
        <w:tc>
          <w:tcPr>
            <w:tcW w:w="527" w:type="dxa"/>
            <w:tcBorders>
              <w:top w:val="single" w:sz="4" w:space="0" w:color="auto"/>
              <w:left w:val="single" w:sz="4" w:space="0" w:color="auto"/>
              <w:bottom w:val="single" w:sz="4" w:space="0" w:color="auto"/>
              <w:right w:val="single" w:sz="4" w:space="0" w:color="auto"/>
            </w:tcBorders>
            <w:hideMark/>
          </w:tcPr>
          <w:p w14:paraId="1CE523F5" w14:textId="77777777" w:rsidR="00EB6DF1" w:rsidRPr="00932B1A" w:rsidRDefault="00EB6DF1" w:rsidP="00EB6DF1">
            <w:pPr>
              <w:spacing w:before="75" w:after="75"/>
              <w:rPr>
                <w:sz w:val="26"/>
                <w:szCs w:val="26"/>
              </w:rPr>
            </w:pPr>
            <w:r w:rsidRPr="00932B1A">
              <w:rPr>
                <w:sz w:val="26"/>
                <w:szCs w:val="26"/>
              </w:rPr>
              <w:t> 1.</w:t>
            </w:r>
          </w:p>
        </w:tc>
        <w:tc>
          <w:tcPr>
            <w:tcW w:w="2584" w:type="dxa"/>
            <w:tcBorders>
              <w:top w:val="single" w:sz="4" w:space="0" w:color="auto"/>
              <w:left w:val="single" w:sz="4" w:space="0" w:color="auto"/>
              <w:bottom w:val="single" w:sz="4" w:space="0" w:color="auto"/>
              <w:right w:val="single" w:sz="4" w:space="0" w:color="auto"/>
            </w:tcBorders>
            <w:hideMark/>
          </w:tcPr>
          <w:p w14:paraId="1DA13A0F" w14:textId="77777777" w:rsidR="00EB6DF1" w:rsidRPr="00932B1A" w:rsidRDefault="00EB6DF1" w:rsidP="00EB6DF1">
            <w:pPr>
              <w:spacing w:before="75" w:after="75"/>
              <w:rPr>
                <w:sz w:val="26"/>
                <w:szCs w:val="26"/>
              </w:rPr>
            </w:pPr>
            <w:r w:rsidRPr="00932B1A">
              <w:rPr>
                <w:sz w:val="26"/>
                <w:szCs w:val="26"/>
              </w:rPr>
              <w:t xml:space="preserve"> Pamatojums</w:t>
            </w:r>
          </w:p>
        </w:tc>
        <w:tc>
          <w:tcPr>
            <w:tcW w:w="5990" w:type="dxa"/>
            <w:tcBorders>
              <w:top w:val="single" w:sz="4" w:space="0" w:color="auto"/>
              <w:left w:val="single" w:sz="4" w:space="0" w:color="auto"/>
              <w:bottom w:val="single" w:sz="4" w:space="0" w:color="auto"/>
              <w:right w:val="single" w:sz="4" w:space="0" w:color="auto"/>
            </w:tcBorders>
            <w:hideMark/>
          </w:tcPr>
          <w:p w14:paraId="4D3D12F0" w14:textId="70823690" w:rsidR="00EB6DF1" w:rsidRPr="00FB09E7" w:rsidRDefault="009D7A4C" w:rsidP="006A26D0">
            <w:pPr>
              <w:ind w:firstLine="284"/>
              <w:jc w:val="both"/>
              <w:rPr>
                <w:sz w:val="26"/>
                <w:szCs w:val="26"/>
              </w:rPr>
            </w:pPr>
            <w:r w:rsidRPr="00FB09E7">
              <w:rPr>
                <w:sz w:val="26"/>
                <w:szCs w:val="26"/>
              </w:rPr>
              <w:t xml:space="preserve">Ministru kabineta rīkojuma projekts </w:t>
            </w:r>
            <w:r w:rsidR="00FB09E7" w:rsidRPr="00B029E1">
              <w:rPr>
                <w:sz w:val="26"/>
                <w:szCs w:val="26"/>
              </w:rPr>
              <w:t>“Par atteikumu atvērt studiju virzienu</w:t>
            </w:r>
            <w:r w:rsidR="00927391">
              <w:rPr>
                <w:sz w:val="26"/>
                <w:szCs w:val="26"/>
              </w:rPr>
              <w:t xml:space="preserve"> “</w:t>
            </w:r>
            <w:r w:rsidR="00927391" w:rsidRPr="00AB625A">
              <w:rPr>
                <w:sz w:val="26"/>
                <w:szCs w:val="26"/>
              </w:rPr>
              <w:t>Tiesību zinātne</w:t>
            </w:r>
            <w:r w:rsidR="00927391">
              <w:rPr>
                <w:sz w:val="26"/>
                <w:szCs w:val="26"/>
              </w:rPr>
              <w:t>”</w:t>
            </w:r>
            <w:r w:rsidR="00FB09E7" w:rsidRPr="00B029E1">
              <w:rPr>
                <w:sz w:val="26"/>
                <w:szCs w:val="26"/>
              </w:rPr>
              <w:t xml:space="preserve"> sabiedrībā ar ierobežotu atbildību „Ekonomikas un kultūras augstskola”” </w:t>
            </w:r>
            <w:r w:rsidRPr="00FB09E7">
              <w:rPr>
                <w:sz w:val="26"/>
                <w:szCs w:val="26"/>
              </w:rPr>
              <w:t xml:space="preserve"> (turpmāk – rīkojuma projekts) izstrādāts saskaņā ar Augstskolu likuma 55.</w:t>
            </w:r>
            <w:r w:rsidRPr="00FB09E7">
              <w:rPr>
                <w:sz w:val="26"/>
                <w:szCs w:val="26"/>
                <w:vertAlign w:val="superscript"/>
              </w:rPr>
              <w:t>2</w:t>
            </w:r>
            <w:r w:rsidRPr="00FB09E7">
              <w:rPr>
                <w:sz w:val="26"/>
                <w:szCs w:val="26"/>
              </w:rPr>
              <w:t xml:space="preserve"> panta trešajā daļā noteikto, ja augstskola vai koledža iesniedz licencēšanai studiju programmu jaunā augstskolas vai koledžas studiju virzienā, Ministru kabinets pieņem lēmumu par jauna studiju virziena atvēršanu attiecīgajā augstskolā vai koledžā.  </w:t>
            </w:r>
          </w:p>
        </w:tc>
      </w:tr>
      <w:tr w:rsidR="00EB6DF1" w:rsidRPr="00932B1A" w14:paraId="0E0D48EA" w14:textId="77777777" w:rsidTr="0007538D">
        <w:trPr>
          <w:trHeight w:val="472"/>
          <w:tblCellSpacing w:w="0" w:type="dxa"/>
        </w:trPr>
        <w:tc>
          <w:tcPr>
            <w:tcW w:w="527" w:type="dxa"/>
            <w:tcBorders>
              <w:top w:val="single" w:sz="4" w:space="0" w:color="auto"/>
              <w:left w:val="single" w:sz="4" w:space="0" w:color="auto"/>
              <w:bottom w:val="single" w:sz="4" w:space="0" w:color="auto"/>
              <w:right w:val="single" w:sz="4" w:space="0" w:color="auto"/>
            </w:tcBorders>
            <w:hideMark/>
          </w:tcPr>
          <w:p w14:paraId="62A2BD82" w14:textId="77777777" w:rsidR="00EB6DF1" w:rsidRPr="00932B1A" w:rsidRDefault="00EB6DF1" w:rsidP="00EB6DF1">
            <w:pPr>
              <w:spacing w:before="75" w:after="75"/>
              <w:rPr>
                <w:sz w:val="26"/>
                <w:szCs w:val="26"/>
              </w:rPr>
            </w:pPr>
            <w:r w:rsidRPr="00932B1A">
              <w:rPr>
                <w:sz w:val="26"/>
                <w:szCs w:val="26"/>
              </w:rPr>
              <w:t> 2.</w:t>
            </w:r>
          </w:p>
        </w:tc>
        <w:tc>
          <w:tcPr>
            <w:tcW w:w="2584" w:type="dxa"/>
            <w:tcBorders>
              <w:top w:val="single" w:sz="4" w:space="0" w:color="auto"/>
              <w:left w:val="single" w:sz="4" w:space="0" w:color="auto"/>
              <w:bottom w:val="single" w:sz="4" w:space="0" w:color="auto"/>
              <w:right w:val="single" w:sz="4" w:space="0" w:color="auto"/>
            </w:tcBorders>
            <w:hideMark/>
          </w:tcPr>
          <w:p w14:paraId="184D1226" w14:textId="77777777" w:rsidR="00EB6DF1" w:rsidRPr="00932B1A" w:rsidRDefault="00EB6DF1" w:rsidP="00E351DD">
            <w:pPr>
              <w:spacing w:before="75" w:after="75"/>
              <w:rPr>
                <w:sz w:val="26"/>
                <w:szCs w:val="26"/>
              </w:rPr>
            </w:pPr>
            <w:r w:rsidRPr="00932B1A">
              <w:rPr>
                <w:sz w:val="26"/>
                <w:szCs w:val="26"/>
              </w:rPr>
              <w:t> Pašreizējā situācija un</w:t>
            </w:r>
            <w:r w:rsidR="00E351DD" w:rsidRPr="00932B1A">
              <w:rPr>
                <w:sz w:val="26"/>
                <w:szCs w:val="26"/>
              </w:rPr>
              <w:t xml:space="preserve"> </w:t>
            </w:r>
            <w:r w:rsidRPr="00932B1A">
              <w:rPr>
                <w:sz w:val="26"/>
                <w:szCs w:val="26"/>
              </w:rPr>
              <w:t>problēmas</w:t>
            </w:r>
            <w:r w:rsidR="00470650" w:rsidRPr="00932B1A">
              <w:rPr>
                <w:sz w:val="26"/>
                <w:szCs w:val="26"/>
              </w:rPr>
              <w:t>, kuru risināšanai tiesību akta projekts izstrādāts, tiesiskā regulējuma mērķis un būtība</w:t>
            </w:r>
          </w:p>
        </w:tc>
        <w:tc>
          <w:tcPr>
            <w:tcW w:w="5990" w:type="dxa"/>
            <w:tcBorders>
              <w:top w:val="single" w:sz="4" w:space="0" w:color="auto"/>
              <w:left w:val="single" w:sz="4" w:space="0" w:color="auto"/>
              <w:bottom w:val="single" w:sz="4" w:space="0" w:color="auto"/>
              <w:right w:val="single" w:sz="4" w:space="0" w:color="auto"/>
            </w:tcBorders>
            <w:hideMark/>
          </w:tcPr>
          <w:p w14:paraId="5FBE0130" w14:textId="77777777" w:rsidR="006A26D0" w:rsidRPr="00932B1A" w:rsidRDefault="006A26D0" w:rsidP="009D7A4C">
            <w:pPr>
              <w:ind w:firstLine="284"/>
              <w:jc w:val="both"/>
              <w:rPr>
                <w:sz w:val="26"/>
                <w:szCs w:val="26"/>
              </w:rPr>
            </w:pPr>
            <w:r w:rsidRPr="00932B1A">
              <w:rPr>
                <w:sz w:val="26"/>
                <w:szCs w:val="26"/>
              </w:rPr>
              <w:t>Ekonomikas un kultūras augstskola (turpmāk - augstskola) ir reģistrēta Izglītības kvalitātes valsts dienesta Izglītības iestāžu reģistrā 2000.gada 2.februārī, reģistrācijas apliecības Nr. 3343800214</w:t>
            </w:r>
            <w:r w:rsidR="003C3B69" w:rsidRPr="00932B1A">
              <w:rPr>
                <w:sz w:val="26"/>
                <w:szCs w:val="26"/>
              </w:rPr>
              <w:t>.</w:t>
            </w:r>
          </w:p>
          <w:p w14:paraId="17406FEC" w14:textId="77777777" w:rsidR="003C3B69" w:rsidRPr="00932B1A" w:rsidRDefault="003C3B69" w:rsidP="009D7A4C">
            <w:pPr>
              <w:ind w:firstLine="284"/>
              <w:jc w:val="both"/>
              <w:rPr>
                <w:sz w:val="26"/>
                <w:szCs w:val="26"/>
              </w:rPr>
            </w:pPr>
            <w:r w:rsidRPr="00932B1A">
              <w:rPr>
                <w:sz w:val="26"/>
                <w:szCs w:val="26"/>
              </w:rPr>
              <w:t>2006.gada 16.novembrī augstskola saņēma beztermiņa iestādes akreditāciju. 2013.gadā augstskolā tika akreditēti uz sešiem gadiem šādi studiju virzieni:</w:t>
            </w:r>
          </w:p>
          <w:p w14:paraId="1E127047" w14:textId="77777777" w:rsidR="003C3B69" w:rsidRPr="00932B1A" w:rsidRDefault="003C3B69" w:rsidP="009D7A4C">
            <w:pPr>
              <w:ind w:firstLine="284"/>
              <w:jc w:val="both"/>
              <w:rPr>
                <w:sz w:val="26"/>
                <w:szCs w:val="26"/>
              </w:rPr>
            </w:pPr>
            <w:r w:rsidRPr="00932B1A">
              <w:rPr>
                <w:sz w:val="26"/>
                <w:szCs w:val="26"/>
              </w:rPr>
              <w:t>- Ekonomika;</w:t>
            </w:r>
          </w:p>
          <w:p w14:paraId="446A0878" w14:textId="77777777" w:rsidR="003C3B69" w:rsidRPr="00932B1A" w:rsidRDefault="003C3B69" w:rsidP="009D7A4C">
            <w:pPr>
              <w:ind w:firstLine="284"/>
              <w:jc w:val="both"/>
              <w:rPr>
                <w:sz w:val="26"/>
                <w:szCs w:val="26"/>
              </w:rPr>
            </w:pPr>
            <w:r w:rsidRPr="00932B1A">
              <w:rPr>
                <w:sz w:val="26"/>
                <w:szCs w:val="26"/>
              </w:rPr>
              <w:t>- Tulkošana;</w:t>
            </w:r>
          </w:p>
          <w:p w14:paraId="32D3B1AC" w14:textId="77777777" w:rsidR="003C3B69" w:rsidRPr="00932B1A" w:rsidRDefault="003C3B69" w:rsidP="009D7A4C">
            <w:pPr>
              <w:ind w:firstLine="284"/>
              <w:jc w:val="both"/>
              <w:rPr>
                <w:sz w:val="26"/>
                <w:szCs w:val="26"/>
              </w:rPr>
            </w:pPr>
            <w:r w:rsidRPr="00932B1A">
              <w:rPr>
                <w:sz w:val="26"/>
                <w:szCs w:val="26"/>
              </w:rPr>
              <w:t>- Mākslas;</w:t>
            </w:r>
          </w:p>
          <w:p w14:paraId="7E53D14C" w14:textId="77777777" w:rsidR="003C3B69" w:rsidRPr="00932B1A" w:rsidRDefault="003C3B69" w:rsidP="009D7A4C">
            <w:pPr>
              <w:ind w:firstLine="284"/>
              <w:jc w:val="both"/>
              <w:rPr>
                <w:sz w:val="26"/>
                <w:szCs w:val="26"/>
              </w:rPr>
            </w:pPr>
            <w:r w:rsidRPr="00932B1A">
              <w:rPr>
                <w:sz w:val="26"/>
                <w:szCs w:val="26"/>
              </w:rPr>
              <w:t>- Vadība, administrēšana un nekustamo īpašumu pārvaldība.</w:t>
            </w:r>
          </w:p>
          <w:p w14:paraId="70914B30" w14:textId="77777777" w:rsidR="003C3B69" w:rsidRPr="00932B1A" w:rsidRDefault="003C3B69" w:rsidP="009D7A4C">
            <w:pPr>
              <w:ind w:firstLine="284"/>
              <w:jc w:val="both"/>
              <w:rPr>
                <w:sz w:val="26"/>
                <w:szCs w:val="26"/>
              </w:rPr>
            </w:pPr>
            <w:r w:rsidRPr="00932B1A">
              <w:rPr>
                <w:sz w:val="26"/>
                <w:szCs w:val="26"/>
              </w:rPr>
              <w:t>201</w:t>
            </w:r>
            <w:r w:rsidR="006E1D0E" w:rsidRPr="00932B1A">
              <w:rPr>
                <w:sz w:val="26"/>
                <w:szCs w:val="26"/>
              </w:rPr>
              <w:t>3</w:t>
            </w:r>
            <w:r w:rsidRPr="00932B1A">
              <w:rPr>
                <w:sz w:val="26"/>
                <w:szCs w:val="26"/>
              </w:rPr>
              <w:t>./201</w:t>
            </w:r>
            <w:r w:rsidR="006E1D0E" w:rsidRPr="00932B1A">
              <w:rPr>
                <w:sz w:val="26"/>
                <w:szCs w:val="26"/>
              </w:rPr>
              <w:t>4</w:t>
            </w:r>
            <w:r w:rsidRPr="00932B1A">
              <w:rPr>
                <w:sz w:val="26"/>
                <w:szCs w:val="26"/>
              </w:rPr>
              <w:t>.ak.gadā augstskolā studēja 1282 studējošie</w:t>
            </w:r>
            <w:r w:rsidR="006E1D0E" w:rsidRPr="00932B1A">
              <w:rPr>
                <w:sz w:val="26"/>
                <w:szCs w:val="26"/>
              </w:rPr>
              <w:t>, bet 2014./2015.ak.g. tas ir krities līdz 1019</w:t>
            </w:r>
            <w:r w:rsidR="00794D07" w:rsidRPr="00932B1A">
              <w:rPr>
                <w:sz w:val="26"/>
                <w:szCs w:val="26"/>
              </w:rPr>
              <w:t xml:space="preserve"> jeb par 20%</w:t>
            </w:r>
            <w:r w:rsidRPr="00932B1A">
              <w:rPr>
                <w:sz w:val="26"/>
                <w:szCs w:val="26"/>
              </w:rPr>
              <w:t>.</w:t>
            </w:r>
          </w:p>
          <w:p w14:paraId="10FE76F0" w14:textId="77777777" w:rsidR="00227D8D" w:rsidRPr="00932B1A" w:rsidRDefault="00227D8D" w:rsidP="009D7A4C">
            <w:pPr>
              <w:ind w:firstLine="284"/>
              <w:jc w:val="both"/>
              <w:rPr>
                <w:sz w:val="26"/>
                <w:szCs w:val="26"/>
              </w:rPr>
            </w:pPr>
          </w:p>
          <w:p w14:paraId="0D258A77" w14:textId="77777777" w:rsidR="00524094" w:rsidRPr="00932B1A" w:rsidRDefault="009D7A4C" w:rsidP="00524094">
            <w:pPr>
              <w:ind w:firstLine="284"/>
              <w:jc w:val="both"/>
              <w:rPr>
                <w:sz w:val="26"/>
                <w:szCs w:val="26"/>
              </w:rPr>
            </w:pPr>
            <w:r w:rsidRPr="00932B1A">
              <w:rPr>
                <w:sz w:val="26"/>
                <w:szCs w:val="26"/>
              </w:rPr>
              <w:t>Augstskolu likuma 55.</w:t>
            </w:r>
            <w:r w:rsidRPr="00932B1A">
              <w:rPr>
                <w:sz w:val="26"/>
                <w:szCs w:val="26"/>
                <w:vertAlign w:val="superscript"/>
              </w:rPr>
              <w:t>2</w:t>
            </w:r>
            <w:r w:rsidRPr="00932B1A">
              <w:rPr>
                <w:sz w:val="26"/>
                <w:szCs w:val="26"/>
              </w:rPr>
              <w:t xml:space="preserve"> panta pirmā daļa nosaka, ka ikvienas studiju programmas īstenošanai jāsaņem licence. </w:t>
            </w:r>
            <w:r w:rsidR="003C3B69" w:rsidRPr="00932B1A">
              <w:rPr>
                <w:sz w:val="26"/>
                <w:szCs w:val="26"/>
              </w:rPr>
              <w:t>Augstskola 2014</w:t>
            </w:r>
            <w:r w:rsidRPr="00932B1A">
              <w:rPr>
                <w:sz w:val="26"/>
                <w:szCs w:val="26"/>
              </w:rPr>
              <w:t xml:space="preserve">.gada </w:t>
            </w:r>
            <w:r w:rsidR="003C3B69" w:rsidRPr="00932B1A">
              <w:rPr>
                <w:sz w:val="26"/>
                <w:szCs w:val="26"/>
              </w:rPr>
              <w:t>23.maijā</w:t>
            </w:r>
            <w:r w:rsidRPr="00932B1A">
              <w:rPr>
                <w:sz w:val="26"/>
                <w:szCs w:val="26"/>
              </w:rPr>
              <w:t xml:space="preserve"> iesniedza licencēšanai </w:t>
            </w:r>
            <w:r w:rsidR="003C3B69" w:rsidRPr="00932B1A">
              <w:rPr>
                <w:sz w:val="26"/>
                <w:szCs w:val="26"/>
              </w:rPr>
              <w:t>otrā</w:t>
            </w:r>
            <w:r w:rsidR="00524094" w:rsidRPr="00932B1A">
              <w:rPr>
                <w:sz w:val="26"/>
                <w:szCs w:val="26"/>
              </w:rPr>
              <w:t xml:space="preserve"> līmeņa profesionālās augstākās izglītības</w:t>
            </w:r>
            <w:r w:rsidR="00421A43" w:rsidRPr="00932B1A">
              <w:rPr>
                <w:sz w:val="26"/>
                <w:szCs w:val="26"/>
              </w:rPr>
              <w:t xml:space="preserve"> bakalaura</w:t>
            </w:r>
            <w:r w:rsidR="00524094" w:rsidRPr="00932B1A">
              <w:rPr>
                <w:sz w:val="26"/>
                <w:szCs w:val="26"/>
              </w:rPr>
              <w:t xml:space="preserve"> </w:t>
            </w:r>
            <w:r w:rsidRPr="00932B1A">
              <w:rPr>
                <w:sz w:val="26"/>
                <w:szCs w:val="26"/>
              </w:rPr>
              <w:t>studiju programm</w:t>
            </w:r>
            <w:r w:rsidR="00524094" w:rsidRPr="00932B1A">
              <w:rPr>
                <w:sz w:val="26"/>
                <w:szCs w:val="26"/>
              </w:rPr>
              <w:t>u</w:t>
            </w:r>
            <w:r w:rsidR="003C3B69" w:rsidRPr="00932B1A">
              <w:rPr>
                <w:sz w:val="26"/>
                <w:szCs w:val="26"/>
              </w:rPr>
              <w:t xml:space="preserve"> “</w:t>
            </w:r>
            <w:r w:rsidR="007C4AFE" w:rsidRPr="00932B1A">
              <w:rPr>
                <w:sz w:val="26"/>
                <w:szCs w:val="26"/>
              </w:rPr>
              <w:t>Starptautiskās komercdarbības tiesības</w:t>
            </w:r>
            <w:r w:rsidR="003C3B69" w:rsidRPr="00932B1A">
              <w:rPr>
                <w:sz w:val="26"/>
                <w:szCs w:val="26"/>
              </w:rPr>
              <w:t>”</w:t>
            </w:r>
            <w:r w:rsidR="00524094" w:rsidRPr="00932B1A">
              <w:rPr>
                <w:sz w:val="26"/>
                <w:szCs w:val="26"/>
              </w:rPr>
              <w:t>, kas</w:t>
            </w:r>
            <w:r w:rsidRPr="00932B1A">
              <w:rPr>
                <w:sz w:val="26"/>
                <w:szCs w:val="26"/>
              </w:rPr>
              <w:t xml:space="preserve"> atbilst studiju virzienam „</w:t>
            </w:r>
            <w:r w:rsidR="007C4AFE" w:rsidRPr="00932B1A">
              <w:rPr>
                <w:sz w:val="26"/>
                <w:szCs w:val="26"/>
              </w:rPr>
              <w:t>Tiesību zinātne</w:t>
            </w:r>
            <w:r w:rsidRPr="00932B1A">
              <w:rPr>
                <w:sz w:val="26"/>
                <w:szCs w:val="26"/>
              </w:rPr>
              <w:t>”.</w:t>
            </w:r>
          </w:p>
          <w:p w14:paraId="743DB053" w14:textId="77777777" w:rsidR="00515D51" w:rsidRDefault="00515D51" w:rsidP="00DF4A0E">
            <w:pPr>
              <w:ind w:firstLine="284"/>
              <w:jc w:val="both"/>
              <w:rPr>
                <w:sz w:val="26"/>
                <w:szCs w:val="26"/>
                <w:highlight w:val="yellow"/>
              </w:rPr>
            </w:pPr>
          </w:p>
          <w:p w14:paraId="55F33BDC" w14:textId="6C8701F6" w:rsidR="00DF4A0E" w:rsidRPr="00932B1A" w:rsidRDefault="0007538D" w:rsidP="00DF4A0E">
            <w:pPr>
              <w:ind w:firstLine="284"/>
              <w:jc w:val="both"/>
              <w:rPr>
                <w:sz w:val="26"/>
                <w:szCs w:val="26"/>
              </w:rPr>
            </w:pPr>
            <w:r>
              <w:rPr>
                <w:sz w:val="26"/>
                <w:szCs w:val="26"/>
              </w:rPr>
              <w:t>Latvijā kopumā s</w:t>
            </w:r>
            <w:r w:rsidR="0075298F" w:rsidRPr="00B029E1">
              <w:rPr>
                <w:sz w:val="26"/>
                <w:szCs w:val="26"/>
              </w:rPr>
              <w:t>tudiju virzienam</w:t>
            </w:r>
            <w:r w:rsidR="00A96651" w:rsidRPr="00932B1A">
              <w:rPr>
                <w:sz w:val="26"/>
                <w:szCs w:val="26"/>
              </w:rPr>
              <w:t xml:space="preserve"> „Tiesību zinātne”</w:t>
            </w:r>
            <w:r w:rsidR="00A96651">
              <w:rPr>
                <w:sz w:val="26"/>
                <w:szCs w:val="26"/>
              </w:rPr>
              <w:t xml:space="preserve"> atbilst 42</w:t>
            </w:r>
            <w:r w:rsidR="0075298F" w:rsidRPr="00B029E1">
              <w:rPr>
                <w:sz w:val="26"/>
                <w:szCs w:val="26"/>
              </w:rPr>
              <w:t xml:space="preserve"> studiju </w:t>
            </w:r>
            <w:r w:rsidR="0075298F" w:rsidRPr="00A96651">
              <w:rPr>
                <w:sz w:val="26"/>
                <w:szCs w:val="26"/>
              </w:rPr>
              <w:t>programmas</w:t>
            </w:r>
            <w:r w:rsidR="00A96651" w:rsidRPr="00A96651">
              <w:rPr>
                <w:sz w:val="26"/>
                <w:szCs w:val="26"/>
              </w:rPr>
              <w:t>, kas pašlaik</w:t>
            </w:r>
            <w:r w:rsidR="0075298F" w:rsidRPr="00A96651">
              <w:rPr>
                <w:sz w:val="26"/>
                <w:szCs w:val="26"/>
              </w:rPr>
              <w:t xml:space="preserve"> tiek </w:t>
            </w:r>
            <w:r w:rsidR="00515D51" w:rsidRPr="00A96651">
              <w:rPr>
                <w:sz w:val="26"/>
                <w:szCs w:val="26"/>
              </w:rPr>
              <w:t xml:space="preserve">īstenotas </w:t>
            </w:r>
            <w:r w:rsidR="00A96651" w:rsidRPr="00A96651">
              <w:rPr>
                <w:sz w:val="26"/>
                <w:szCs w:val="26"/>
              </w:rPr>
              <w:t>12</w:t>
            </w:r>
            <w:r w:rsidR="00515D51" w:rsidRPr="00A96651">
              <w:rPr>
                <w:sz w:val="26"/>
                <w:szCs w:val="26"/>
              </w:rPr>
              <w:t xml:space="preserve"> augstākajās iz</w:t>
            </w:r>
            <w:r w:rsidR="00576655">
              <w:rPr>
                <w:sz w:val="26"/>
                <w:szCs w:val="26"/>
              </w:rPr>
              <w:t>glītības iestādēs</w:t>
            </w:r>
            <w:r w:rsidR="0075298F" w:rsidRPr="00A96651">
              <w:rPr>
                <w:sz w:val="26"/>
                <w:szCs w:val="26"/>
              </w:rPr>
              <w:t xml:space="preserve">, t.sk., </w:t>
            </w:r>
            <w:r w:rsidR="00A96651" w:rsidRPr="00A96651">
              <w:rPr>
                <w:sz w:val="26"/>
                <w:szCs w:val="26"/>
              </w:rPr>
              <w:t xml:space="preserve">ir 18 </w:t>
            </w:r>
            <w:r w:rsidR="0075298F" w:rsidRPr="00A96651">
              <w:rPr>
                <w:sz w:val="26"/>
                <w:szCs w:val="26"/>
              </w:rPr>
              <w:t>otrā līmeņa profesionālās augstākās izglītības studiju programmas</w:t>
            </w:r>
            <w:r w:rsidR="00A96651" w:rsidRPr="00A96651">
              <w:rPr>
                <w:sz w:val="26"/>
                <w:szCs w:val="26"/>
              </w:rPr>
              <w:t>, kuras īsteno 8 augstākās izglītības iestādes.</w:t>
            </w:r>
            <w:r w:rsidR="00A96651">
              <w:rPr>
                <w:sz w:val="26"/>
                <w:szCs w:val="26"/>
              </w:rPr>
              <w:t xml:space="preserve"> </w:t>
            </w:r>
            <w:r w:rsidR="00DF4A0E" w:rsidRPr="00932B1A">
              <w:rPr>
                <w:sz w:val="26"/>
                <w:szCs w:val="26"/>
              </w:rPr>
              <w:t>Augstskola</w:t>
            </w:r>
            <w:r w:rsidR="00794D07" w:rsidRPr="00932B1A">
              <w:rPr>
                <w:sz w:val="26"/>
                <w:szCs w:val="26"/>
              </w:rPr>
              <w:t xml:space="preserve"> paredz</w:t>
            </w:r>
            <w:r w:rsidR="00DF4A0E" w:rsidRPr="00932B1A">
              <w:rPr>
                <w:sz w:val="26"/>
                <w:szCs w:val="26"/>
              </w:rPr>
              <w:t xml:space="preserve"> studiju virziena „Tiesību zinātne</w:t>
            </w:r>
            <w:r w:rsidR="00794D07" w:rsidRPr="00932B1A">
              <w:rPr>
                <w:sz w:val="26"/>
                <w:szCs w:val="26"/>
              </w:rPr>
              <w:t>”  ietvaros īstenot</w:t>
            </w:r>
            <w:r w:rsidR="00DF4A0E" w:rsidRPr="00932B1A">
              <w:rPr>
                <w:sz w:val="26"/>
                <w:szCs w:val="26"/>
              </w:rPr>
              <w:t xml:space="preserve"> </w:t>
            </w:r>
            <w:r w:rsidR="00DF4A0E" w:rsidRPr="00932B1A">
              <w:rPr>
                <w:sz w:val="26"/>
                <w:szCs w:val="26"/>
              </w:rPr>
              <w:lastRenderedPageBreak/>
              <w:t>studiju programmu latviešu valodā, vienlaikus piedāvājot atsevišķus studiju kursus apgūt angļu vai krievu valodā. Pēc studiju programmas apguves tiks piešķirts p</w:t>
            </w:r>
            <w:r w:rsidR="00DF4A0E" w:rsidRPr="00932B1A">
              <w:rPr>
                <w:color w:val="000000"/>
                <w:sz w:val="26"/>
                <w:szCs w:val="26"/>
                <w:lang w:eastAsia="en-US"/>
              </w:rPr>
              <w:t>rofesionāla bakalaura grāds tiesību zinātnēs un juriskonsulta kvalifikācija.</w:t>
            </w:r>
          </w:p>
          <w:p w14:paraId="6F4C5849" w14:textId="77777777" w:rsidR="00DF4A0E" w:rsidRPr="00932B1A" w:rsidRDefault="00DF4A0E" w:rsidP="00524094">
            <w:pPr>
              <w:ind w:firstLine="284"/>
              <w:jc w:val="both"/>
              <w:rPr>
                <w:sz w:val="26"/>
                <w:szCs w:val="26"/>
              </w:rPr>
            </w:pPr>
          </w:p>
          <w:p w14:paraId="5EE3E1E7" w14:textId="032F9EBC" w:rsidR="00470650" w:rsidRPr="00932B1A" w:rsidRDefault="009D7A4C" w:rsidP="009D7A4C">
            <w:pPr>
              <w:ind w:firstLine="284"/>
              <w:jc w:val="both"/>
              <w:rPr>
                <w:sz w:val="26"/>
                <w:szCs w:val="26"/>
              </w:rPr>
            </w:pPr>
            <w:r w:rsidRPr="00932B1A">
              <w:rPr>
                <w:sz w:val="26"/>
                <w:szCs w:val="26"/>
              </w:rPr>
              <w:t xml:space="preserve">Ministru kabineta 2013.gada 25.aprīļa noteikumu </w:t>
            </w:r>
            <w:r w:rsidR="00C36EE9">
              <w:rPr>
                <w:sz w:val="26"/>
                <w:szCs w:val="26"/>
              </w:rPr>
              <w:t>n</w:t>
            </w:r>
            <w:r w:rsidR="00C36EE9" w:rsidRPr="00932B1A">
              <w:rPr>
                <w:sz w:val="26"/>
                <w:szCs w:val="26"/>
              </w:rPr>
              <w:t>r</w:t>
            </w:r>
            <w:r w:rsidRPr="00932B1A">
              <w:rPr>
                <w:sz w:val="26"/>
                <w:szCs w:val="26"/>
              </w:rPr>
              <w:t>.230 „Studiju programmu licencēšanas noteikumi” 14.punkts nosaka, ka Izglītības un zinātnes ministrija sagatavo un iesniedz Ministru kabinetā tiesību akta projektu par jauna studiju virziena atvēršanu vai par atteikumu atvērt jaunu studiju virzienu augstskolā vai koledžā. Minētajam tiesību akta projektam tiek pievienots eksperta atzinums, kā arī Izglītības un zinātnes ministrijas, Ekonomikas ministrijas, Pārresoru koordinācijas centra, Augstākās izglītības padomes un Latvijas Darba devēju konfederācijas viedoklis par augstskolas vai koledžas jaunā studiju virziena atbilstību valsts attīstības prioritātēm.</w:t>
            </w:r>
          </w:p>
          <w:p w14:paraId="675E3EA5" w14:textId="24D72463" w:rsidR="00985E10" w:rsidRPr="00932B1A" w:rsidRDefault="00985E10" w:rsidP="009D7A4C">
            <w:pPr>
              <w:ind w:firstLine="284"/>
              <w:jc w:val="both"/>
              <w:rPr>
                <w:sz w:val="26"/>
                <w:szCs w:val="26"/>
              </w:rPr>
            </w:pPr>
            <w:r w:rsidRPr="00932B1A">
              <w:rPr>
                <w:sz w:val="26"/>
                <w:szCs w:val="26"/>
              </w:rPr>
              <w:t xml:space="preserve">Eksperts </w:t>
            </w:r>
            <w:r w:rsidR="004B0EAA" w:rsidRPr="00932B1A">
              <w:rPr>
                <w:sz w:val="26"/>
                <w:szCs w:val="26"/>
              </w:rPr>
              <w:t xml:space="preserve">sniegtajā atzinumā norāda, ka studiju un informatīvā bāze, kā arī finansiālā un materiāltehniskā bāze atbilst studiju programmas īstenošanas nosacījumiem. Vienlaikus eksperts vērš uzmanību, ka bibliotēkas resursi nav pietiekami, </w:t>
            </w:r>
            <w:r w:rsidR="007F09FF" w:rsidRPr="00932B1A">
              <w:rPr>
                <w:sz w:val="26"/>
                <w:szCs w:val="26"/>
              </w:rPr>
              <w:t xml:space="preserve">studiju programmas studiju kursu saturā ir būtiski trūkumi, </w:t>
            </w:r>
            <w:r w:rsidR="004B0EAA" w:rsidRPr="00932B1A">
              <w:rPr>
                <w:sz w:val="26"/>
                <w:szCs w:val="26"/>
              </w:rPr>
              <w:t xml:space="preserve">kā arī </w:t>
            </w:r>
            <w:r w:rsidR="00C55574" w:rsidRPr="00932B1A">
              <w:rPr>
                <w:sz w:val="26"/>
                <w:szCs w:val="26"/>
              </w:rPr>
              <w:t>pietrūkst</w:t>
            </w:r>
            <w:r w:rsidR="004B0EAA" w:rsidRPr="00932B1A">
              <w:rPr>
                <w:sz w:val="26"/>
                <w:szCs w:val="26"/>
              </w:rPr>
              <w:t xml:space="preserve"> docētāju ar specializāciju komerctiesībās.</w:t>
            </w:r>
            <w:r w:rsidR="00500505" w:rsidRPr="00932B1A">
              <w:rPr>
                <w:sz w:val="26"/>
                <w:szCs w:val="26"/>
              </w:rPr>
              <w:t xml:space="preserve"> Pēc ekspertes atzinuma saņemšanas </w:t>
            </w:r>
            <w:r w:rsidR="00EF63EC">
              <w:rPr>
                <w:sz w:val="26"/>
                <w:szCs w:val="26"/>
              </w:rPr>
              <w:t>a</w:t>
            </w:r>
            <w:r w:rsidR="00500505" w:rsidRPr="00932B1A">
              <w:rPr>
                <w:sz w:val="26"/>
                <w:szCs w:val="26"/>
              </w:rPr>
              <w:t>ugstskola ir iesniegusi papildus dokumentus, kuros apliecināts, ka daļa no studiju kursu aprakstiem ir pilnveidota, ievērojot ekspertes norādījumus</w:t>
            </w:r>
            <w:r w:rsidR="008A13BB">
              <w:rPr>
                <w:sz w:val="26"/>
                <w:szCs w:val="26"/>
              </w:rPr>
              <w:t>,</w:t>
            </w:r>
            <w:r w:rsidR="00500505" w:rsidRPr="00932B1A">
              <w:rPr>
                <w:sz w:val="26"/>
                <w:szCs w:val="26"/>
              </w:rPr>
              <w:t xml:space="preserve"> un papildināti studiju literatūras saraksti</w:t>
            </w:r>
            <w:r w:rsidR="00B41874" w:rsidRPr="00932B1A">
              <w:rPr>
                <w:sz w:val="26"/>
                <w:szCs w:val="26"/>
              </w:rPr>
              <w:t>, tāpat</w:t>
            </w:r>
            <w:r w:rsidR="00500505" w:rsidRPr="00932B1A">
              <w:rPr>
                <w:sz w:val="26"/>
                <w:szCs w:val="26"/>
              </w:rPr>
              <w:t xml:space="preserve"> </w:t>
            </w:r>
            <w:r w:rsidR="00EF63EC">
              <w:rPr>
                <w:sz w:val="26"/>
                <w:szCs w:val="26"/>
              </w:rPr>
              <w:t>a</w:t>
            </w:r>
            <w:r w:rsidR="000773F4" w:rsidRPr="00932B1A">
              <w:rPr>
                <w:sz w:val="26"/>
                <w:szCs w:val="26"/>
              </w:rPr>
              <w:t>ugstskola ir noslēgusi nodomu l</w:t>
            </w:r>
            <w:r w:rsidR="002621C0" w:rsidRPr="00932B1A">
              <w:rPr>
                <w:sz w:val="26"/>
                <w:szCs w:val="26"/>
              </w:rPr>
              <w:t>īgumus ar astoņām personām par to, ka viņi piekrīt pasniegt virkni studiju kursu licencējamā studiju programm</w:t>
            </w:r>
            <w:r w:rsidR="008A2F82" w:rsidRPr="00932B1A">
              <w:rPr>
                <w:sz w:val="26"/>
                <w:szCs w:val="26"/>
              </w:rPr>
              <w:t>ā, t.sk., divi</w:t>
            </w:r>
            <w:r w:rsidR="003702EF" w:rsidRPr="00932B1A">
              <w:rPr>
                <w:sz w:val="26"/>
                <w:szCs w:val="26"/>
              </w:rPr>
              <w:t>em</w:t>
            </w:r>
            <w:r w:rsidR="008A2F82" w:rsidRPr="00932B1A">
              <w:rPr>
                <w:sz w:val="26"/>
                <w:szCs w:val="26"/>
              </w:rPr>
              <w:t xml:space="preserve"> tiesību zinātņu maģistri</w:t>
            </w:r>
            <w:r w:rsidR="003702EF" w:rsidRPr="00932B1A">
              <w:rPr>
                <w:sz w:val="26"/>
                <w:szCs w:val="26"/>
              </w:rPr>
              <w:t>em</w:t>
            </w:r>
            <w:r w:rsidR="008A2F82" w:rsidRPr="00932B1A">
              <w:rPr>
                <w:sz w:val="26"/>
                <w:szCs w:val="26"/>
              </w:rPr>
              <w:t xml:space="preserve"> ar specializāciju un</w:t>
            </w:r>
            <w:r w:rsidR="003702EF" w:rsidRPr="00932B1A">
              <w:rPr>
                <w:sz w:val="26"/>
                <w:szCs w:val="26"/>
              </w:rPr>
              <w:t xml:space="preserve"> profesionālo</w:t>
            </w:r>
            <w:r w:rsidR="008A2F82" w:rsidRPr="00932B1A">
              <w:rPr>
                <w:sz w:val="26"/>
                <w:szCs w:val="26"/>
              </w:rPr>
              <w:t xml:space="preserve"> pieredzi komerctiesību un starptautisko komerctiesību nozarē.</w:t>
            </w:r>
          </w:p>
          <w:p w14:paraId="25963714" w14:textId="77777777" w:rsidR="00755FD5" w:rsidRPr="00932B1A" w:rsidRDefault="00DF67B5" w:rsidP="00755FD5">
            <w:pPr>
              <w:ind w:firstLine="284"/>
              <w:jc w:val="both"/>
              <w:rPr>
                <w:sz w:val="26"/>
                <w:szCs w:val="26"/>
              </w:rPr>
            </w:pPr>
            <w:r w:rsidRPr="00932B1A">
              <w:rPr>
                <w:sz w:val="26"/>
                <w:szCs w:val="26"/>
              </w:rPr>
              <w:t>Ekonomikas ministrija</w:t>
            </w:r>
            <w:r w:rsidR="006A0D73" w:rsidRPr="00932B1A">
              <w:rPr>
                <w:sz w:val="26"/>
                <w:szCs w:val="26"/>
              </w:rPr>
              <w:t xml:space="preserve"> norāda, ka otrā līmeņa profesionālās augstākās izglītības bakalaura studiju pr</w:t>
            </w:r>
            <w:r w:rsidR="00C8024F" w:rsidRPr="00932B1A">
              <w:rPr>
                <w:sz w:val="26"/>
                <w:szCs w:val="26"/>
              </w:rPr>
              <w:t>ogramma “Starptautiskās komercda</w:t>
            </w:r>
            <w:r w:rsidR="006A0D73" w:rsidRPr="00932B1A">
              <w:rPr>
                <w:sz w:val="26"/>
                <w:szCs w:val="26"/>
              </w:rPr>
              <w:t xml:space="preserve">rbības tiesības” kopumā atbilst attīstības plānošanas dokumentos noteiktajām prioritātēm ekonomikas politikas jomā, kas galvenokārt orientētas uz Latvijas uzņēmēju konkurētspējas stiprināšanu globālajā tirgū. Lai arī nākotnē sagaidāms, ka pieaugs arī pieprasījums pēc šīs jomas speciālistiem, tomēr sociālās, komerczinību un </w:t>
            </w:r>
            <w:r w:rsidR="006A0D73" w:rsidRPr="00932B1A">
              <w:rPr>
                <w:sz w:val="26"/>
                <w:szCs w:val="26"/>
              </w:rPr>
              <w:lastRenderedPageBreak/>
              <w:t>tiesību zinībās būs vērojams nozīmīgs darbaspēka piedāvājuma pārsvars pār pieprasījumu, kā rezultātā 2020.gadā apmēram 10% atbilstošās kvalifikācijas jauno speciālistu strādās izglītībai neatbilstošā darbā.</w:t>
            </w:r>
            <w:r w:rsidR="000D0020" w:rsidRPr="00932B1A">
              <w:rPr>
                <w:sz w:val="26"/>
                <w:szCs w:val="26"/>
              </w:rPr>
              <w:t xml:space="preserve"> Līdz ar to jāsecina, ka Ekonomikas ministrijas nostāja jauna studiju virziena atvēršanā ir atbalstoša tikai daļēji, norādot uz iespējamu negatīvu risku</w:t>
            </w:r>
            <w:r w:rsidR="00755FD5" w:rsidRPr="00932B1A">
              <w:rPr>
                <w:sz w:val="26"/>
                <w:szCs w:val="26"/>
              </w:rPr>
              <w:t xml:space="preserve"> attiecībā uz tiesību zin</w:t>
            </w:r>
            <w:r w:rsidR="00FE1FBC" w:rsidRPr="00932B1A">
              <w:rPr>
                <w:sz w:val="26"/>
                <w:szCs w:val="26"/>
              </w:rPr>
              <w:t>ātnes</w:t>
            </w:r>
            <w:r w:rsidR="00755FD5" w:rsidRPr="00932B1A">
              <w:rPr>
                <w:sz w:val="26"/>
                <w:szCs w:val="26"/>
              </w:rPr>
              <w:t xml:space="preserve"> jomas speciālistu pārprodukciju.</w:t>
            </w:r>
          </w:p>
          <w:p w14:paraId="15DBD94D" w14:textId="69F74869" w:rsidR="008A13BB" w:rsidRPr="00932B1A" w:rsidRDefault="008A13BB" w:rsidP="008A13BB">
            <w:pPr>
              <w:ind w:firstLine="284"/>
              <w:jc w:val="both"/>
              <w:rPr>
                <w:sz w:val="26"/>
                <w:szCs w:val="26"/>
              </w:rPr>
            </w:pPr>
            <w:r w:rsidRPr="00932B1A">
              <w:rPr>
                <w:sz w:val="26"/>
                <w:szCs w:val="26"/>
              </w:rPr>
              <w:t>Pārresoru koordinācijas centrs sniegtajā atzinumā norāda, ka, lai radītu pamatu kvalitatīvai un savlaicīgai lietu izmeklēšanai un iztiesāšanai</w:t>
            </w:r>
            <w:r>
              <w:rPr>
                <w:sz w:val="26"/>
                <w:szCs w:val="26"/>
              </w:rPr>
              <w:t>,</w:t>
            </w:r>
            <w:r w:rsidRPr="00932B1A">
              <w:rPr>
                <w:sz w:val="26"/>
                <w:szCs w:val="26"/>
              </w:rPr>
              <w:t xml:space="preserve"> NAP</w:t>
            </w:r>
            <w:r>
              <w:rPr>
                <w:sz w:val="26"/>
                <w:szCs w:val="26"/>
              </w:rPr>
              <w:t xml:space="preserve"> </w:t>
            </w:r>
            <w:r w:rsidRPr="00932B1A">
              <w:rPr>
                <w:sz w:val="26"/>
                <w:szCs w:val="26"/>
              </w:rPr>
              <w:t>2020 darbība paredz pasākumus tiesu sistēmas un tiesībsargājošo instit</w:t>
            </w:r>
            <w:r>
              <w:rPr>
                <w:sz w:val="26"/>
                <w:szCs w:val="26"/>
              </w:rPr>
              <w:t>ūciju kapacitātes stiprināšanai</w:t>
            </w:r>
            <w:r w:rsidRPr="00932B1A">
              <w:rPr>
                <w:sz w:val="26"/>
                <w:szCs w:val="26"/>
              </w:rPr>
              <w:t>. Viens no šīs jomas kapacitātes celšanas aspektiem ir kvalitatīva, konkurētspējīga juridiskā izglītība, kura ir tiktāl attīstījusi cilvēka prasmes, ka tas savas teorētiskās un praktiskā zināšanas spēj izmantot apgūtajā profesijā. Vienlaikus</w:t>
            </w:r>
            <w:r>
              <w:rPr>
                <w:sz w:val="26"/>
                <w:szCs w:val="26"/>
              </w:rPr>
              <w:t xml:space="preserve"> Pārresoru koordinācijas centrs norāda</w:t>
            </w:r>
            <w:r w:rsidRPr="00932B1A">
              <w:rPr>
                <w:sz w:val="26"/>
                <w:szCs w:val="26"/>
              </w:rPr>
              <w:t xml:space="preserve">, ka studiju virziena “Tiesību zinātne” atvēršana būtu izvērtējam sasaistē ar augstskolas iespējām veidot ilglaicīgu studiju programmu ar stingrām prasībām pret pasniedzējiem un studējošajiem, tādā veidā īstenojot mācības studiju virzienā ar augstu pievienoto vērtību. </w:t>
            </w:r>
          </w:p>
          <w:p w14:paraId="245E03F7" w14:textId="2E2C17B2" w:rsidR="008A13BB" w:rsidRDefault="008A13BB" w:rsidP="008A13BB">
            <w:pPr>
              <w:jc w:val="both"/>
              <w:rPr>
                <w:sz w:val="26"/>
                <w:szCs w:val="26"/>
              </w:rPr>
            </w:pPr>
            <w:r w:rsidRPr="00932B1A">
              <w:rPr>
                <w:sz w:val="26"/>
                <w:szCs w:val="26"/>
              </w:rPr>
              <w:t xml:space="preserve"> Latvijas Darba devēju konfederācija atbalsta studiju virziena “Tiesību zinātne” atvēršanu augstskolā, norādot, ka speciālisti ar atbilstošām zināšanām ir pieprasīti eksportējošu uzņēmumu vidū. </w:t>
            </w:r>
            <w:r w:rsidR="00755FD5" w:rsidRPr="00932B1A">
              <w:rPr>
                <w:sz w:val="26"/>
                <w:szCs w:val="26"/>
              </w:rPr>
              <w:t xml:space="preserve"> </w:t>
            </w:r>
            <w:r w:rsidR="00DF4A0E" w:rsidRPr="00932B1A">
              <w:rPr>
                <w:sz w:val="26"/>
                <w:szCs w:val="26"/>
              </w:rPr>
              <w:t xml:space="preserve">   </w:t>
            </w:r>
          </w:p>
          <w:p w14:paraId="0ECBCCC4" w14:textId="6C95CE65" w:rsidR="00F75D85" w:rsidRDefault="00DF4A0E" w:rsidP="00503DFF">
            <w:pPr>
              <w:jc w:val="both"/>
              <w:rPr>
                <w:sz w:val="26"/>
                <w:szCs w:val="26"/>
              </w:rPr>
            </w:pPr>
            <w:r w:rsidRPr="00932B1A">
              <w:rPr>
                <w:sz w:val="26"/>
                <w:szCs w:val="26"/>
              </w:rPr>
              <w:t xml:space="preserve"> </w:t>
            </w:r>
            <w:r w:rsidR="008A13BB">
              <w:rPr>
                <w:sz w:val="26"/>
                <w:szCs w:val="26"/>
              </w:rPr>
              <w:t xml:space="preserve">     </w:t>
            </w:r>
            <w:r w:rsidR="00524094" w:rsidRPr="00932B1A">
              <w:rPr>
                <w:sz w:val="26"/>
                <w:szCs w:val="26"/>
              </w:rPr>
              <w:t>Izglītības un zinātnes ministrija</w:t>
            </w:r>
            <w:r w:rsidR="001828AB" w:rsidRPr="00932B1A">
              <w:rPr>
                <w:sz w:val="26"/>
                <w:szCs w:val="26"/>
              </w:rPr>
              <w:t>, balstoties uz</w:t>
            </w:r>
            <w:r w:rsidR="00FE1FBC" w:rsidRPr="00932B1A">
              <w:rPr>
                <w:sz w:val="26"/>
                <w:szCs w:val="26"/>
              </w:rPr>
              <w:t xml:space="preserve"> Latvijas ilgtspējīgas attīstības stratēģijā 2030, </w:t>
            </w:r>
            <w:r w:rsidR="00C36EE9">
              <w:rPr>
                <w:sz w:val="26"/>
                <w:szCs w:val="26"/>
              </w:rPr>
              <w:t>Nacionālajā attīstības plānā</w:t>
            </w:r>
            <w:r w:rsidR="00C36EE9" w:rsidRPr="00932B1A">
              <w:rPr>
                <w:sz w:val="26"/>
                <w:szCs w:val="26"/>
              </w:rPr>
              <w:t xml:space="preserve"> 2014.-2020.gadam</w:t>
            </w:r>
            <w:r w:rsidR="00A14D3F">
              <w:rPr>
                <w:sz w:val="26"/>
                <w:szCs w:val="26"/>
              </w:rPr>
              <w:t xml:space="preserve"> (turpmāk – NAP 2020)</w:t>
            </w:r>
            <w:r w:rsidR="00FE1FBC" w:rsidRPr="00932B1A">
              <w:rPr>
                <w:sz w:val="26"/>
                <w:szCs w:val="26"/>
              </w:rPr>
              <w:t>, Izglītības attīstības pamatnostādnēs līdz 2020.gadam un citos plānošanas dokumentos definētajām valsts attīstības prioritātēm</w:t>
            </w:r>
            <w:r w:rsidR="008A13BB">
              <w:rPr>
                <w:sz w:val="26"/>
                <w:szCs w:val="26"/>
              </w:rPr>
              <w:t>,</w:t>
            </w:r>
            <w:r w:rsidR="001828AB" w:rsidRPr="00932B1A">
              <w:rPr>
                <w:sz w:val="26"/>
                <w:szCs w:val="26"/>
              </w:rPr>
              <w:t xml:space="preserve"> </w:t>
            </w:r>
            <w:r w:rsidR="008B714F" w:rsidRPr="00932B1A">
              <w:rPr>
                <w:sz w:val="26"/>
                <w:szCs w:val="26"/>
              </w:rPr>
              <w:t xml:space="preserve">secina, ka ar augstākās izglītības jomu valsts prioritāro attīstības mērķu sasniegšana ir saistīta gan tieši, piemēram, nodrošinot tautsaimniecības attīstību ar kvalificēta darbaspēka resursiem, gan netieši, piemēram, dodot ieguldījumu vīzijā formulētās ikviena cilvēka personības izaugsmē, zināšanu un pieredzes vairošanā, kas summējoties kāpina kopējo tautas labklājību un valsts izaugsmi. Līdz ar to augstākās izglītības sistēmas efektivitāte ir pats par sevi svarīgs priekšnoteikums visu citu valsts attīstības prioritāro mērķu sasniegšanai, no kuriem daļa ir vispārīga un to sasniegšanu raksturojošie indikatori nav tieši izmantojami kāda konkrēta studiju virziena atbilstības </w:t>
            </w:r>
            <w:r w:rsidR="008B714F" w:rsidRPr="00932B1A">
              <w:rPr>
                <w:sz w:val="26"/>
                <w:szCs w:val="26"/>
              </w:rPr>
              <w:lastRenderedPageBreak/>
              <w:t xml:space="preserve">definētajām valsts attīstības prioritātēm izvērtēšanai. Studiju virziena atvēršanas izvērtējums valsts attīstības prioritāšu kontekstā tiek veikts attiecībā pret divām galvenajām valsts attīstības prioritātēm: darba tirgus attīstības vajadzības kā priekšnoteikums ekonomikas izrāviena nodrošināšanai atbilstoši </w:t>
            </w:r>
            <w:r w:rsidR="00C37315">
              <w:rPr>
                <w:sz w:val="26"/>
                <w:szCs w:val="26"/>
              </w:rPr>
              <w:t>NAP 2020</w:t>
            </w:r>
            <w:r w:rsidR="008B714F" w:rsidRPr="00932B1A">
              <w:rPr>
                <w:sz w:val="26"/>
                <w:szCs w:val="26"/>
              </w:rPr>
              <w:t xml:space="preserve">, kas kā galveno virzienu valsts attīstībai izvirza intensificēt ekonomisko attīstību: „Ekonomiskais izrāviens – katra Latvijas iedzīvotāja un valsts labklājības pieaugumam!” un efektīvas augstākās izglītības sistēmas izveide, kas pastarpināti veicinās visplašāko valsts attīstības prioritāšu izpildi. </w:t>
            </w:r>
            <w:r w:rsidR="00814944" w:rsidRPr="00932B1A">
              <w:rPr>
                <w:sz w:val="26"/>
                <w:szCs w:val="26"/>
              </w:rPr>
              <w:t xml:space="preserve"> </w:t>
            </w:r>
          </w:p>
          <w:p w14:paraId="3B7B2E28" w14:textId="2D996749" w:rsidR="00DF4A0E" w:rsidRPr="00932B1A" w:rsidRDefault="00F75D85" w:rsidP="00503DFF">
            <w:pPr>
              <w:jc w:val="both"/>
              <w:rPr>
                <w:sz w:val="26"/>
                <w:szCs w:val="26"/>
              </w:rPr>
            </w:pPr>
            <w:r>
              <w:rPr>
                <w:sz w:val="26"/>
                <w:szCs w:val="26"/>
              </w:rPr>
              <w:t xml:space="preserve">       </w:t>
            </w:r>
            <w:r w:rsidR="00814944" w:rsidRPr="00932B1A">
              <w:rPr>
                <w:sz w:val="26"/>
                <w:szCs w:val="26"/>
              </w:rPr>
              <w:t xml:space="preserve">Studiju virziena atvēršanas lietderība attiecībā pret augstākās izglītības sistēmas efektivitāti ir analizēta, balstoties uz informāciju, ko sniedz </w:t>
            </w:r>
            <w:r w:rsidR="00503DFF">
              <w:rPr>
                <w:sz w:val="26"/>
                <w:szCs w:val="26"/>
              </w:rPr>
              <w:t>arī citi papildus informācijas avoti</w:t>
            </w:r>
            <w:r w:rsidR="00814944" w:rsidRPr="00932B1A">
              <w:rPr>
                <w:sz w:val="26"/>
                <w:szCs w:val="26"/>
              </w:rPr>
              <w:t xml:space="preserve">: Tieslietu ministrijas apzinātā </w:t>
            </w:r>
            <w:r w:rsidR="001828AB" w:rsidRPr="00932B1A">
              <w:rPr>
                <w:sz w:val="26"/>
                <w:szCs w:val="26"/>
              </w:rPr>
              <w:t>tieslietu speciālistu nodarbinātības un kvalitāt</w:t>
            </w:r>
            <w:r w:rsidR="00814944" w:rsidRPr="00932B1A">
              <w:rPr>
                <w:sz w:val="26"/>
                <w:szCs w:val="26"/>
              </w:rPr>
              <w:t>es situācija</w:t>
            </w:r>
            <w:r w:rsidR="001828AB" w:rsidRPr="00932B1A">
              <w:rPr>
                <w:sz w:val="26"/>
                <w:szCs w:val="26"/>
              </w:rPr>
              <w:t xml:space="preserve">, kā arī 2012.gadā Augstākās izglītības padomes vadītā Eiropas Sociālā fonda projekta „Augstākās izglītības studiju programmu izvērtēšana un priekšlikumi kvalitātes paaugstināšanai” (Vienošanās </w:t>
            </w:r>
            <w:r>
              <w:rPr>
                <w:sz w:val="26"/>
                <w:szCs w:val="26"/>
              </w:rPr>
              <w:t>n</w:t>
            </w:r>
            <w:r w:rsidRPr="00932B1A">
              <w:rPr>
                <w:sz w:val="26"/>
                <w:szCs w:val="26"/>
              </w:rPr>
              <w:t>r</w:t>
            </w:r>
            <w:r w:rsidR="001828AB" w:rsidRPr="00932B1A">
              <w:rPr>
                <w:sz w:val="26"/>
                <w:szCs w:val="26"/>
              </w:rPr>
              <w:t>.</w:t>
            </w:r>
            <w:r>
              <w:rPr>
                <w:sz w:val="26"/>
                <w:szCs w:val="26"/>
              </w:rPr>
              <w:t xml:space="preserve"> </w:t>
            </w:r>
            <w:r w:rsidR="001828AB" w:rsidRPr="00932B1A">
              <w:rPr>
                <w:sz w:val="26"/>
                <w:szCs w:val="26"/>
              </w:rPr>
              <w:noBreakHyphen/>
              <w:t>2011/0012/1DP/1.1.2.2.1/11/IPIA/011)</w:t>
            </w:r>
            <w:r w:rsidR="00C563E2" w:rsidRPr="00932B1A">
              <w:rPr>
                <w:sz w:val="26"/>
                <w:szCs w:val="26"/>
              </w:rPr>
              <w:t xml:space="preserve"> (turpmāk – AIP projekts)</w:t>
            </w:r>
            <w:r w:rsidR="001828AB" w:rsidRPr="00932B1A">
              <w:rPr>
                <w:sz w:val="26"/>
                <w:szCs w:val="26"/>
              </w:rPr>
              <w:t xml:space="preserve"> ietvaros veikt</w:t>
            </w:r>
            <w:r w:rsidR="00814944" w:rsidRPr="00932B1A">
              <w:rPr>
                <w:sz w:val="26"/>
                <w:szCs w:val="26"/>
              </w:rPr>
              <w:t>ais</w:t>
            </w:r>
            <w:r w:rsidR="001828AB" w:rsidRPr="00932B1A">
              <w:rPr>
                <w:sz w:val="26"/>
                <w:szCs w:val="26"/>
              </w:rPr>
              <w:t xml:space="preserve"> studiju virziena „Tiesību</w:t>
            </w:r>
            <w:r w:rsidR="00814944" w:rsidRPr="00932B1A">
              <w:rPr>
                <w:sz w:val="26"/>
                <w:szCs w:val="26"/>
              </w:rPr>
              <w:t xml:space="preserve"> zinātne” kvalitātes izvērtējums. </w:t>
            </w:r>
            <w:r w:rsidR="0037763C" w:rsidRPr="00932B1A">
              <w:rPr>
                <w:sz w:val="26"/>
                <w:szCs w:val="26"/>
              </w:rPr>
              <w:t>Tieslietu ministrija</w:t>
            </w:r>
            <w:r w:rsidR="00FD31A4" w:rsidRPr="00932B1A">
              <w:rPr>
                <w:sz w:val="26"/>
                <w:szCs w:val="26"/>
              </w:rPr>
              <w:t xml:space="preserve"> sas</w:t>
            </w:r>
            <w:r w:rsidR="00EF63EC">
              <w:rPr>
                <w:sz w:val="26"/>
                <w:szCs w:val="26"/>
              </w:rPr>
              <w:t>kaņā ar Ministru kabineta 2003.</w:t>
            </w:r>
            <w:r w:rsidR="00FD31A4" w:rsidRPr="00932B1A">
              <w:rPr>
                <w:sz w:val="26"/>
                <w:szCs w:val="26"/>
              </w:rPr>
              <w:t xml:space="preserve">gada 29.aprīļa noteikumiem </w:t>
            </w:r>
            <w:r w:rsidR="008A13BB">
              <w:rPr>
                <w:sz w:val="26"/>
                <w:szCs w:val="26"/>
              </w:rPr>
              <w:t>N</w:t>
            </w:r>
            <w:r w:rsidR="00FD31A4" w:rsidRPr="00932B1A">
              <w:rPr>
                <w:sz w:val="26"/>
                <w:szCs w:val="26"/>
              </w:rPr>
              <w:t>r. 243 “Tieslietu ministrijas nolikums”</w:t>
            </w:r>
            <w:r w:rsidR="0037763C" w:rsidRPr="00932B1A">
              <w:rPr>
                <w:sz w:val="26"/>
                <w:szCs w:val="26"/>
              </w:rPr>
              <w:t xml:space="preserve"> ir vadošā valsts pārvaldes iestāde tieslietu nozarē, tādēļ</w:t>
            </w:r>
            <w:r w:rsidR="00FD31A4" w:rsidRPr="00932B1A">
              <w:rPr>
                <w:sz w:val="26"/>
                <w:szCs w:val="26"/>
              </w:rPr>
              <w:t xml:space="preserve"> uzskatāms, kā</w:t>
            </w:r>
            <w:r w:rsidR="0037763C" w:rsidRPr="00932B1A">
              <w:rPr>
                <w:sz w:val="26"/>
                <w:szCs w:val="26"/>
              </w:rPr>
              <w:t xml:space="preserve"> tās izvērt</w:t>
            </w:r>
            <w:r w:rsidR="00FD31A4" w:rsidRPr="00932B1A">
              <w:rPr>
                <w:sz w:val="26"/>
                <w:szCs w:val="26"/>
              </w:rPr>
              <w:t>ējumā</w:t>
            </w:r>
            <w:r w:rsidR="0037763C" w:rsidRPr="00932B1A">
              <w:rPr>
                <w:sz w:val="26"/>
                <w:szCs w:val="26"/>
              </w:rPr>
              <w:t xml:space="preserve"> ir </w:t>
            </w:r>
            <w:r w:rsidR="00FD31A4" w:rsidRPr="00932B1A">
              <w:rPr>
                <w:sz w:val="26"/>
                <w:szCs w:val="26"/>
              </w:rPr>
              <w:t>paustas</w:t>
            </w:r>
            <w:r w:rsidR="0037763C" w:rsidRPr="00932B1A">
              <w:rPr>
                <w:sz w:val="26"/>
                <w:szCs w:val="26"/>
              </w:rPr>
              <w:t xml:space="preserve"> </w:t>
            </w:r>
            <w:r w:rsidR="00FD31A4" w:rsidRPr="00932B1A">
              <w:rPr>
                <w:sz w:val="26"/>
                <w:szCs w:val="26"/>
              </w:rPr>
              <w:t xml:space="preserve">valsts intereses tieslietu </w:t>
            </w:r>
            <w:r w:rsidR="000D533A" w:rsidRPr="00932B1A">
              <w:rPr>
                <w:sz w:val="26"/>
                <w:szCs w:val="26"/>
              </w:rPr>
              <w:t>nozares studiju programmu īstenošanā</w:t>
            </w:r>
            <w:r w:rsidR="00FD31A4" w:rsidRPr="00932B1A">
              <w:rPr>
                <w:sz w:val="26"/>
                <w:szCs w:val="26"/>
              </w:rPr>
              <w:t>.</w:t>
            </w:r>
            <w:r w:rsidR="00BA538C" w:rsidRPr="00932B1A">
              <w:rPr>
                <w:sz w:val="26"/>
                <w:szCs w:val="26"/>
              </w:rPr>
              <w:t xml:space="preserve"> </w:t>
            </w:r>
            <w:r w:rsidR="00ED0822" w:rsidRPr="00932B1A">
              <w:rPr>
                <w:sz w:val="26"/>
                <w:szCs w:val="26"/>
              </w:rPr>
              <w:t>Tieslietu ministrija norāda, ka</w:t>
            </w:r>
            <w:r w:rsidR="00DE4CAF" w:rsidRPr="00932B1A">
              <w:rPr>
                <w:sz w:val="26"/>
                <w:szCs w:val="26"/>
              </w:rPr>
              <w:t xml:space="preserve"> pārlieku lielais šīs izglītības jomas studiju programmu skaits pazemina to kvalitāti.</w:t>
            </w:r>
            <w:r w:rsidR="003B14A5" w:rsidRPr="00932B1A">
              <w:rPr>
                <w:sz w:val="26"/>
                <w:szCs w:val="26"/>
              </w:rPr>
              <w:t xml:space="preserve"> </w:t>
            </w:r>
            <w:r w:rsidR="00C563E2" w:rsidRPr="00932B1A">
              <w:rPr>
                <w:sz w:val="26"/>
                <w:szCs w:val="26"/>
              </w:rPr>
              <w:t>AIP projekta ietvaros starptautiska</w:t>
            </w:r>
            <w:r w:rsidR="003B14A5" w:rsidRPr="00932B1A">
              <w:rPr>
                <w:sz w:val="26"/>
                <w:szCs w:val="26"/>
              </w:rPr>
              <w:t xml:space="preserve"> ekspertu gr</w:t>
            </w:r>
            <w:r w:rsidR="00C563E2" w:rsidRPr="00932B1A">
              <w:rPr>
                <w:sz w:val="26"/>
                <w:szCs w:val="26"/>
              </w:rPr>
              <w:t>upa</w:t>
            </w:r>
            <w:r w:rsidR="003B14A5" w:rsidRPr="00932B1A">
              <w:rPr>
                <w:sz w:val="26"/>
                <w:szCs w:val="26"/>
              </w:rPr>
              <w:t xml:space="preserve"> 15 perso</w:t>
            </w:r>
            <w:r w:rsidR="00C563E2" w:rsidRPr="00932B1A">
              <w:rPr>
                <w:sz w:val="26"/>
                <w:szCs w:val="26"/>
              </w:rPr>
              <w:t>nu sastāvā veica</w:t>
            </w:r>
            <w:r w:rsidR="003B14A5" w:rsidRPr="00932B1A">
              <w:rPr>
                <w:sz w:val="26"/>
                <w:szCs w:val="26"/>
              </w:rPr>
              <w:t xml:space="preserve"> studiju virziena „Tiesību zinātņu” novērtējum</w:t>
            </w:r>
            <w:r w:rsidR="00C563E2" w:rsidRPr="00932B1A">
              <w:rPr>
                <w:sz w:val="26"/>
                <w:szCs w:val="26"/>
              </w:rPr>
              <w:t xml:space="preserve">u. </w:t>
            </w:r>
            <w:r w:rsidR="006044B4" w:rsidRPr="00932B1A">
              <w:rPr>
                <w:sz w:val="26"/>
                <w:szCs w:val="26"/>
              </w:rPr>
              <w:t>Šajā vērtējumā studiju virziena „Tiesību zinātņu”</w:t>
            </w:r>
            <w:r w:rsidR="00C563E2" w:rsidRPr="00932B1A">
              <w:rPr>
                <w:sz w:val="26"/>
                <w:szCs w:val="26"/>
              </w:rPr>
              <w:t xml:space="preserve"> </w:t>
            </w:r>
            <w:r w:rsidR="003B14A5" w:rsidRPr="00932B1A">
              <w:rPr>
                <w:sz w:val="26"/>
                <w:szCs w:val="26"/>
              </w:rPr>
              <w:t xml:space="preserve"> starp vājajām pusēm ir minēts fakts, ka daudzās augstskolās tiesību zinātņu studiju programmas pasniedz vieni un tie paši docētāji, viņiem ir vāji sasniegumi pētniecībā, novecojušās bibliotēkas, sadarbības trūkums. Kā pirmo no rekomendācijās starptautiskā ekspertu grupa iesaka “būtiski samazināt augstskolu skaitu, kas iesaistītas tiesību zinātņu studiju programmu īstenošanā”</w:t>
            </w:r>
            <w:r w:rsidR="003B14A5" w:rsidRPr="00932B1A">
              <w:rPr>
                <w:rStyle w:val="FootnoteReference"/>
                <w:sz w:val="26"/>
                <w:szCs w:val="26"/>
              </w:rPr>
              <w:footnoteReference w:id="1"/>
            </w:r>
            <w:r w:rsidR="003B14A5" w:rsidRPr="00932B1A">
              <w:rPr>
                <w:sz w:val="26"/>
                <w:szCs w:val="26"/>
              </w:rPr>
              <w:t xml:space="preserve">. </w:t>
            </w:r>
            <w:r w:rsidR="00DE4CAF" w:rsidRPr="00932B1A">
              <w:rPr>
                <w:sz w:val="26"/>
                <w:szCs w:val="26"/>
              </w:rPr>
              <w:t xml:space="preserve"> </w:t>
            </w:r>
            <w:r w:rsidR="00F34B5C" w:rsidRPr="00932B1A">
              <w:rPr>
                <w:sz w:val="26"/>
                <w:szCs w:val="26"/>
              </w:rPr>
              <w:t xml:space="preserve">Izglītības attīstības pamatnostādnes 2014.-2020.gadam un </w:t>
            </w:r>
            <w:r w:rsidR="00B213A8">
              <w:rPr>
                <w:sz w:val="26"/>
                <w:szCs w:val="26"/>
              </w:rPr>
              <w:t>NAP 2020</w:t>
            </w:r>
            <w:r w:rsidR="00F34B5C" w:rsidRPr="00932B1A">
              <w:rPr>
                <w:sz w:val="26"/>
                <w:szCs w:val="26"/>
              </w:rPr>
              <w:t xml:space="preserve"> kā prioritāti rīcības virzienā „Attīstīta </w:t>
            </w:r>
            <w:r w:rsidR="00F34B5C" w:rsidRPr="00932B1A">
              <w:rPr>
                <w:sz w:val="26"/>
                <w:szCs w:val="26"/>
              </w:rPr>
              <w:lastRenderedPageBreak/>
              <w:t>pētniecības, inovācija un augstākā izglītība”  nosaka uzdevumu „augstākās izglītības konkurētspēja un konsolidācija</w:t>
            </w:r>
            <w:r w:rsidR="00853287" w:rsidRPr="00932B1A">
              <w:rPr>
                <w:sz w:val="26"/>
                <w:szCs w:val="26"/>
              </w:rPr>
              <w:t xml:space="preserve"> […]”. </w:t>
            </w:r>
          </w:p>
          <w:p w14:paraId="4660E3BB" w14:textId="4A1BE483" w:rsidR="00DE0143" w:rsidRPr="00932B1A" w:rsidRDefault="001D1837" w:rsidP="008A13BB">
            <w:pPr>
              <w:ind w:firstLine="284"/>
              <w:jc w:val="both"/>
              <w:rPr>
                <w:sz w:val="26"/>
                <w:szCs w:val="26"/>
              </w:rPr>
            </w:pPr>
            <w:r w:rsidRPr="00932B1A">
              <w:rPr>
                <w:sz w:val="26"/>
                <w:szCs w:val="26"/>
              </w:rPr>
              <w:t xml:space="preserve"> </w:t>
            </w:r>
            <w:r w:rsidR="00E44BD6">
              <w:rPr>
                <w:sz w:val="26"/>
                <w:szCs w:val="26"/>
              </w:rPr>
              <w:t>Apkopojot augstāk</w:t>
            </w:r>
            <w:r w:rsidR="00A534A6">
              <w:rPr>
                <w:sz w:val="26"/>
                <w:szCs w:val="26"/>
              </w:rPr>
              <w:t xml:space="preserve"> </w:t>
            </w:r>
            <w:r w:rsidR="00E44BD6">
              <w:rPr>
                <w:sz w:val="26"/>
                <w:szCs w:val="26"/>
              </w:rPr>
              <w:t>norādītos vi</w:t>
            </w:r>
            <w:r w:rsidRPr="00932B1A">
              <w:rPr>
                <w:sz w:val="26"/>
                <w:szCs w:val="26"/>
              </w:rPr>
              <w:t xml:space="preserve">edokļus ir secināms, ka </w:t>
            </w:r>
            <w:r w:rsidR="001D737F" w:rsidRPr="005E7884">
              <w:rPr>
                <w:sz w:val="26"/>
                <w:szCs w:val="26"/>
              </w:rPr>
              <w:t xml:space="preserve">studiju virziena “Tiesību zinātne” atvēršana </w:t>
            </w:r>
            <w:r w:rsidR="00EF63EC">
              <w:rPr>
                <w:sz w:val="26"/>
                <w:szCs w:val="26"/>
              </w:rPr>
              <w:t>a</w:t>
            </w:r>
            <w:r w:rsidR="001D737F" w:rsidRPr="005E7884">
              <w:rPr>
                <w:sz w:val="26"/>
                <w:szCs w:val="26"/>
              </w:rPr>
              <w:t>ugstskolā nav atbalstāma, jo tas neatbilst valsts attīstības prioritātēm</w:t>
            </w:r>
            <w:r w:rsidR="001D737F">
              <w:rPr>
                <w:sz w:val="26"/>
                <w:szCs w:val="26"/>
              </w:rPr>
              <w:t>.</w:t>
            </w:r>
          </w:p>
        </w:tc>
      </w:tr>
      <w:tr w:rsidR="00EB6DF1" w:rsidRPr="00932B1A" w14:paraId="78A62D14" w14:textId="77777777" w:rsidTr="0007538D">
        <w:trPr>
          <w:trHeight w:val="476"/>
          <w:tblCellSpacing w:w="0" w:type="dxa"/>
        </w:trPr>
        <w:tc>
          <w:tcPr>
            <w:tcW w:w="527" w:type="dxa"/>
            <w:tcBorders>
              <w:top w:val="single" w:sz="4" w:space="0" w:color="auto"/>
              <w:left w:val="single" w:sz="4" w:space="0" w:color="auto"/>
              <w:bottom w:val="single" w:sz="4" w:space="0" w:color="auto"/>
              <w:right w:val="single" w:sz="4" w:space="0" w:color="auto"/>
            </w:tcBorders>
            <w:hideMark/>
          </w:tcPr>
          <w:p w14:paraId="2EB2F387" w14:textId="77777777" w:rsidR="00EB6DF1" w:rsidRPr="00932B1A" w:rsidRDefault="00EB6DF1" w:rsidP="00470650">
            <w:pPr>
              <w:spacing w:before="75" w:after="75"/>
              <w:rPr>
                <w:sz w:val="26"/>
                <w:szCs w:val="26"/>
              </w:rPr>
            </w:pPr>
            <w:r w:rsidRPr="00932B1A">
              <w:rPr>
                <w:sz w:val="26"/>
                <w:szCs w:val="26"/>
              </w:rPr>
              <w:lastRenderedPageBreak/>
              <w:t> </w:t>
            </w:r>
            <w:r w:rsidR="00470650" w:rsidRPr="00932B1A">
              <w:rPr>
                <w:sz w:val="26"/>
                <w:szCs w:val="26"/>
              </w:rPr>
              <w:t>3</w:t>
            </w:r>
            <w:r w:rsidRPr="00932B1A">
              <w:rPr>
                <w:sz w:val="26"/>
                <w:szCs w:val="26"/>
              </w:rPr>
              <w:t>.</w:t>
            </w:r>
          </w:p>
        </w:tc>
        <w:tc>
          <w:tcPr>
            <w:tcW w:w="2584" w:type="dxa"/>
            <w:tcBorders>
              <w:top w:val="single" w:sz="4" w:space="0" w:color="auto"/>
              <w:left w:val="single" w:sz="4" w:space="0" w:color="auto"/>
              <w:bottom w:val="single" w:sz="4" w:space="0" w:color="auto"/>
              <w:right w:val="single" w:sz="4" w:space="0" w:color="auto"/>
            </w:tcBorders>
            <w:hideMark/>
          </w:tcPr>
          <w:p w14:paraId="22355690" w14:textId="77777777" w:rsidR="00EB6DF1" w:rsidRPr="00932B1A" w:rsidRDefault="00EB6DF1" w:rsidP="00EB6DF1">
            <w:pPr>
              <w:spacing w:before="75" w:after="75"/>
              <w:rPr>
                <w:sz w:val="26"/>
                <w:szCs w:val="26"/>
              </w:rPr>
            </w:pPr>
            <w:r w:rsidRPr="00932B1A">
              <w:rPr>
                <w:sz w:val="26"/>
                <w:szCs w:val="26"/>
              </w:rPr>
              <w:t>Projekta izstrādē iesaistītās institūcijas</w:t>
            </w:r>
          </w:p>
        </w:tc>
        <w:tc>
          <w:tcPr>
            <w:tcW w:w="5990" w:type="dxa"/>
            <w:tcBorders>
              <w:top w:val="single" w:sz="4" w:space="0" w:color="auto"/>
              <w:left w:val="single" w:sz="4" w:space="0" w:color="auto"/>
              <w:bottom w:val="single" w:sz="4" w:space="0" w:color="auto"/>
              <w:right w:val="single" w:sz="4" w:space="0" w:color="auto"/>
            </w:tcBorders>
            <w:hideMark/>
          </w:tcPr>
          <w:p w14:paraId="7346A7F4" w14:textId="77777777" w:rsidR="00EB6DF1" w:rsidRPr="00932B1A" w:rsidRDefault="00DE0143" w:rsidP="00EB6DF1">
            <w:pPr>
              <w:spacing w:before="75" w:after="75"/>
              <w:rPr>
                <w:sz w:val="26"/>
                <w:szCs w:val="26"/>
              </w:rPr>
            </w:pPr>
            <w:r w:rsidRPr="00932B1A">
              <w:rPr>
                <w:sz w:val="26"/>
                <w:szCs w:val="26"/>
              </w:rPr>
              <w:t>Izglītības un zinātnes ministrija</w:t>
            </w:r>
            <w:r w:rsidR="00013835" w:rsidRPr="00932B1A">
              <w:rPr>
                <w:sz w:val="26"/>
                <w:szCs w:val="26"/>
              </w:rPr>
              <w:t>.</w:t>
            </w:r>
          </w:p>
        </w:tc>
      </w:tr>
      <w:tr w:rsidR="00EB6DF1" w:rsidRPr="00932B1A" w14:paraId="043860A6" w14:textId="77777777" w:rsidTr="0007538D">
        <w:trPr>
          <w:tblCellSpacing w:w="0" w:type="dxa"/>
        </w:trPr>
        <w:tc>
          <w:tcPr>
            <w:tcW w:w="527" w:type="dxa"/>
            <w:tcBorders>
              <w:top w:val="single" w:sz="4" w:space="0" w:color="auto"/>
              <w:left w:val="single" w:sz="4" w:space="0" w:color="auto"/>
              <w:bottom w:val="single" w:sz="4" w:space="0" w:color="auto"/>
              <w:right w:val="single" w:sz="4" w:space="0" w:color="auto"/>
            </w:tcBorders>
            <w:hideMark/>
          </w:tcPr>
          <w:p w14:paraId="1A1C58C5" w14:textId="77777777" w:rsidR="00EB6DF1" w:rsidRPr="00932B1A" w:rsidRDefault="00EB6DF1" w:rsidP="00470650">
            <w:pPr>
              <w:spacing w:before="75" w:after="75"/>
              <w:jc w:val="both"/>
              <w:rPr>
                <w:sz w:val="26"/>
                <w:szCs w:val="26"/>
              </w:rPr>
            </w:pPr>
            <w:r w:rsidRPr="00932B1A">
              <w:rPr>
                <w:sz w:val="26"/>
                <w:szCs w:val="26"/>
              </w:rPr>
              <w:t> </w:t>
            </w:r>
            <w:r w:rsidR="00470650" w:rsidRPr="00932B1A">
              <w:rPr>
                <w:sz w:val="26"/>
                <w:szCs w:val="26"/>
              </w:rPr>
              <w:t>4</w:t>
            </w:r>
            <w:r w:rsidRPr="00932B1A">
              <w:rPr>
                <w:sz w:val="26"/>
                <w:szCs w:val="26"/>
              </w:rPr>
              <w:t>.</w:t>
            </w:r>
          </w:p>
        </w:tc>
        <w:tc>
          <w:tcPr>
            <w:tcW w:w="2584" w:type="dxa"/>
            <w:tcBorders>
              <w:top w:val="single" w:sz="4" w:space="0" w:color="auto"/>
              <w:left w:val="single" w:sz="4" w:space="0" w:color="auto"/>
              <w:bottom w:val="single" w:sz="4" w:space="0" w:color="auto"/>
              <w:right w:val="single" w:sz="4" w:space="0" w:color="auto"/>
            </w:tcBorders>
            <w:hideMark/>
          </w:tcPr>
          <w:p w14:paraId="4C8644D3" w14:textId="77777777" w:rsidR="00EB6DF1" w:rsidRPr="00932B1A" w:rsidRDefault="00EB6DF1" w:rsidP="00EB6DF1">
            <w:pPr>
              <w:spacing w:before="75" w:after="75"/>
              <w:jc w:val="both"/>
              <w:rPr>
                <w:sz w:val="26"/>
                <w:szCs w:val="26"/>
              </w:rPr>
            </w:pPr>
            <w:r w:rsidRPr="00932B1A">
              <w:rPr>
                <w:sz w:val="26"/>
                <w:szCs w:val="26"/>
              </w:rPr>
              <w:t> Cita informācija</w:t>
            </w:r>
          </w:p>
        </w:tc>
        <w:tc>
          <w:tcPr>
            <w:tcW w:w="5990" w:type="dxa"/>
            <w:tcBorders>
              <w:top w:val="single" w:sz="4" w:space="0" w:color="auto"/>
              <w:left w:val="single" w:sz="4" w:space="0" w:color="auto"/>
              <w:bottom w:val="single" w:sz="4" w:space="0" w:color="auto"/>
              <w:right w:val="single" w:sz="4" w:space="0" w:color="auto"/>
            </w:tcBorders>
            <w:hideMark/>
          </w:tcPr>
          <w:p w14:paraId="560B2286" w14:textId="77777777" w:rsidR="00EB6DF1" w:rsidRPr="00932B1A" w:rsidRDefault="00EB6DF1" w:rsidP="00482C33">
            <w:pPr>
              <w:spacing w:before="75" w:after="75"/>
              <w:jc w:val="both"/>
              <w:rPr>
                <w:sz w:val="26"/>
                <w:szCs w:val="26"/>
              </w:rPr>
            </w:pPr>
            <w:r w:rsidRPr="00932B1A">
              <w:rPr>
                <w:sz w:val="26"/>
                <w:szCs w:val="26"/>
              </w:rPr>
              <w:t xml:space="preserve"> </w:t>
            </w:r>
            <w:r w:rsidR="00482C33" w:rsidRPr="00932B1A">
              <w:rPr>
                <w:sz w:val="26"/>
                <w:szCs w:val="26"/>
              </w:rPr>
              <w:t>N</w:t>
            </w:r>
            <w:r w:rsidRPr="00932B1A">
              <w:rPr>
                <w:sz w:val="26"/>
                <w:szCs w:val="26"/>
              </w:rPr>
              <w:t xml:space="preserve">av </w:t>
            </w:r>
          </w:p>
        </w:tc>
      </w:tr>
    </w:tbl>
    <w:p w14:paraId="01E07E59" w14:textId="77777777" w:rsidR="00F957DA" w:rsidRPr="00932B1A" w:rsidRDefault="00AF27DD" w:rsidP="00F957DA">
      <w:pPr>
        <w:tabs>
          <w:tab w:val="right" w:pos="8820"/>
        </w:tabs>
        <w:rPr>
          <w:sz w:val="26"/>
          <w:szCs w:val="26"/>
        </w:rPr>
      </w:pPr>
      <w:r w:rsidRPr="00932B1A">
        <w:rPr>
          <w:sz w:val="26"/>
          <w:szCs w:val="26"/>
        </w:rPr>
        <w:t> </w:t>
      </w:r>
    </w:p>
    <w:p w14:paraId="1C5BDF18" w14:textId="77777777" w:rsidR="00484032" w:rsidRPr="00932B1A" w:rsidRDefault="00484032" w:rsidP="00F957DA">
      <w:pPr>
        <w:tabs>
          <w:tab w:val="right" w:pos="8820"/>
        </w:tabs>
        <w:rPr>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
        <w:gridCol w:w="2591"/>
        <w:gridCol w:w="5990"/>
      </w:tblGrid>
      <w:tr w:rsidR="00484032" w:rsidRPr="00932B1A" w14:paraId="58E40219" w14:textId="77777777" w:rsidTr="0007538D">
        <w:trPr>
          <w:tblCellSpacing w:w="0" w:type="dxa"/>
        </w:trPr>
        <w:tc>
          <w:tcPr>
            <w:tcW w:w="9101" w:type="dxa"/>
            <w:gridSpan w:val="3"/>
            <w:tcBorders>
              <w:top w:val="single" w:sz="4" w:space="0" w:color="auto"/>
              <w:left w:val="single" w:sz="4" w:space="0" w:color="auto"/>
              <w:bottom w:val="single" w:sz="4" w:space="0" w:color="auto"/>
              <w:right w:val="single" w:sz="4" w:space="0" w:color="auto"/>
            </w:tcBorders>
            <w:vAlign w:val="center"/>
            <w:hideMark/>
          </w:tcPr>
          <w:p w14:paraId="0B8A6F7F" w14:textId="77777777" w:rsidR="00484032" w:rsidRPr="00932B1A" w:rsidRDefault="00484032" w:rsidP="00484032">
            <w:pPr>
              <w:spacing w:before="150" w:after="150"/>
              <w:jc w:val="center"/>
              <w:rPr>
                <w:b/>
                <w:bCs/>
                <w:sz w:val="26"/>
                <w:szCs w:val="26"/>
              </w:rPr>
            </w:pPr>
            <w:r w:rsidRPr="00932B1A">
              <w:rPr>
                <w:b/>
                <w:bCs/>
                <w:sz w:val="26"/>
                <w:szCs w:val="26"/>
              </w:rPr>
              <w:t>II. Tiesību akta projekta ietekme uz sabiedrību</w:t>
            </w:r>
            <w:r w:rsidR="00B652F8" w:rsidRPr="00932B1A">
              <w:rPr>
                <w:b/>
                <w:bCs/>
                <w:sz w:val="26"/>
                <w:szCs w:val="26"/>
              </w:rPr>
              <w:t>, tautsaimniecības attīstību un administratīvo slogu</w:t>
            </w:r>
          </w:p>
        </w:tc>
      </w:tr>
      <w:tr w:rsidR="00484032" w:rsidRPr="00932B1A" w14:paraId="7B98E93F" w14:textId="77777777" w:rsidTr="0007538D">
        <w:trPr>
          <w:trHeight w:val="467"/>
          <w:tblCellSpacing w:w="0" w:type="dxa"/>
        </w:trPr>
        <w:tc>
          <w:tcPr>
            <w:tcW w:w="520" w:type="dxa"/>
            <w:tcBorders>
              <w:top w:val="single" w:sz="4" w:space="0" w:color="auto"/>
              <w:left w:val="single" w:sz="4" w:space="0" w:color="auto"/>
              <w:bottom w:val="single" w:sz="4" w:space="0" w:color="auto"/>
              <w:right w:val="single" w:sz="4" w:space="0" w:color="auto"/>
            </w:tcBorders>
            <w:hideMark/>
          </w:tcPr>
          <w:p w14:paraId="3E31644E" w14:textId="77777777" w:rsidR="00484032" w:rsidRPr="00932B1A" w:rsidRDefault="00484032" w:rsidP="00484032">
            <w:pPr>
              <w:spacing w:before="75" w:after="75"/>
              <w:jc w:val="both"/>
              <w:rPr>
                <w:sz w:val="26"/>
                <w:szCs w:val="26"/>
              </w:rPr>
            </w:pPr>
            <w:r w:rsidRPr="00932B1A">
              <w:rPr>
                <w:sz w:val="26"/>
                <w:szCs w:val="26"/>
              </w:rPr>
              <w:t> 1.</w:t>
            </w:r>
          </w:p>
        </w:tc>
        <w:tc>
          <w:tcPr>
            <w:tcW w:w="2591" w:type="dxa"/>
            <w:tcBorders>
              <w:top w:val="single" w:sz="4" w:space="0" w:color="auto"/>
              <w:left w:val="single" w:sz="4" w:space="0" w:color="auto"/>
              <w:bottom w:val="single" w:sz="4" w:space="0" w:color="auto"/>
              <w:right w:val="single" w:sz="4" w:space="0" w:color="auto"/>
            </w:tcBorders>
            <w:hideMark/>
          </w:tcPr>
          <w:p w14:paraId="07E1DB68" w14:textId="77777777" w:rsidR="00484032" w:rsidRPr="00932B1A" w:rsidRDefault="00484032" w:rsidP="00B652F8">
            <w:pPr>
              <w:spacing w:before="75" w:after="75"/>
              <w:jc w:val="both"/>
              <w:rPr>
                <w:sz w:val="26"/>
                <w:szCs w:val="26"/>
              </w:rPr>
            </w:pPr>
            <w:r w:rsidRPr="00932B1A">
              <w:rPr>
                <w:sz w:val="26"/>
                <w:szCs w:val="26"/>
              </w:rPr>
              <w:t>Sabiedrības mērķgrupa</w:t>
            </w:r>
            <w:r w:rsidR="00B652F8" w:rsidRPr="00932B1A">
              <w:rPr>
                <w:sz w:val="26"/>
                <w:szCs w:val="26"/>
              </w:rPr>
              <w:t>s, kuras tiesiskais regulējums ietekmē vai varētu ietekmēt</w:t>
            </w:r>
          </w:p>
        </w:tc>
        <w:tc>
          <w:tcPr>
            <w:tcW w:w="5990" w:type="dxa"/>
            <w:tcBorders>
              <w:top w:val="single" w:sz="4" w:space="0" w:color="auto"/>
              <w:left w:val="single" w:sz="4" w:space="0" w:color="auto"/>
              <w:bottom w:val="single" w:sz="4" w:space="0" w:color="auto"/>
              <w:right w:val="single" w:sz="4" w:space="0" w:color="auto"/>
            </w:tcBorders>
            <w:hideMark/>
          </w:tcPr>
          <w:p w14:paraId="7EAADACD" w14:textId="5226CE43" w:rsidR="00484032" w:rsidRPr="00932B1A" w:rsidRDefault="00DE0143" w:rsidP="00A639DB">
            <w:pPr>
              <w:jc w:val="both"/>
              <w:rPr>
                <w:sz w:val="26"/>
                <w:szCs w:val="26"/>
              </w:rPr>
            </w:pPr>
            <w:r w:rsidRPr="00932B1A">
              <w:rPr>
                <w:sz w:val="26"/>
                <w:szCs w:val="26"/>
              </w:rPr>
              <w:t xml:space="preserve">Rīkojuma projekts attiecas uz </w:t>
            </w:r>
            <w:r w:rsidR="00A8506F" w:rsidRPr="00932B1A">
              <w:rPr>
                <w:sz w:val="26"/>
                <w:szCs w:val="26"/>
              </w:rPr>
              <w:t>augstskolu</w:t>
            </w:r>
          </w:p>
        </w:tc>
      </w:tr>
      <w:tr w:rsidR="00484032" w:rsidRPr="00932B1A" w14:paraId="630DEED0" w14:textId="77777777" w:rsidTr="0007538D">
        <w:trPr>
          <w:trHeight w:val="517"/>
          <w:tblCellSpacing w:w="0" w:type="dxa"/>
        </w:trPr>
        <w:tc>
          <w:tcPr>
            <w:tcW w:w="520" w:type="dxa"/>
            <w:tcBorders>
              <w:top w:val="single" w:sz="4" w:space="0" w:color="auto"/>
              <w:left w:val="single" w:sz="4" w:space="0" w:color="auto"/>
              <w:bottom w:val="single" w:sz="4" w:space="0" w:color="auto"/>
              <w:right w:val="single" w:sz="4" w:space="0" w:color="auto"/>
            </w:tcBorders>
            <w:hideMark/>
          </w:tcPr>
          <w:p w14:paraId="343922FA" w14:textId="77777777" w:rsidR="00484032" w:rsidRPr="00932B1A" w:rsidRDefault="00484032" w:rsidP="00B652F8">
            <w:pPr>
              <w:spacing w:before="75" w:after="75"/>
              <w:jc w:val="both"/>
              <w:rPr>
                <w:sz w:val="26"/>
                <w:szCs w:val="26"/>
              </w:rPr>
            </w:pPr>
            <w:r w:rsidRPr="00932B1A">
              <w:rPr>
                <w:sz w:val="26"/>
                <w:szCs w:val="26"/>
              </w:rPr>
              <w:t> </w:t>
            </w:r>
            <w:r w:rsidR="00B652F8" w:rsidRPr="00932B1A">
              <w:rPr>
                <w:sz w:val="26"/>
                <w:szCs w:val="26"/>
              </w:rPr>
              <w:t>2</w:t>
            </w:r>
            <w:r w:rsidRPr="00932B1A">
              <w:rPr>
                <w:sz w:val="26"/>
                <w:szCs w:val="26"/>
              </w:rPr>
              <w:t>.</w:t>
            </w:r>
          </w:p>
        </w:tc>
        <w:tc>
          <w:tcPr>
            <w:tcW w:w="2591" w:type="dxa"/>
            <w:tcBorders>
              <w:top w:val="single" w:sz="4" w:space="0" w:color="auto"/>
              <w:left w:val="single" w:sz="4" w:space="0" w:color="auto"/>
              <w:bottom w:val="single" w:sz="4" w:space="0" w:color="auto"/>
              <w:right w:val="single" w:sz="4" w:space="0" w:color="auto"/>
            </w:tcBorders>
            <w:hideMark/>
          </w:tcPr>
          <w:p w14:paraId="0EFFABDD" w14:textId="77777777" w:rsidR="00484032" w:rsidRPr="00932B1A" w:rsidRDefault="00484032" w:rsidP="00B652F8">
            <w:pPr>
              <w:spacing w:before="75" w:after="75"/>
              <w:jc w:val="both"/>
              <w:rPr>
                <w:sz w:val="26"/>
                <w:szCs w:val="26"/>
              </w:rPr>
            </w:pPr>
            <w:r w:rsidRPr="00932B1A">
              <w:rPr>
                <w:sz w:val="26"/>
                <w:szCs w:val="26"/>
              </w:rPr>
              <w:t xml:space="preserve">Tiesiskā regulējuma </w:t>
            </w:r>
            <w:r w:rsidR="00B652F8" w:rsidRPr="00932B1A">
              <w:rPr>
                <w:sz w:val="26"/>
                <w:szCs w:val="26"/>
              </w:rPr>
              <w:t>ietekme uz tautsaimniecību un administratīvo slogu</w:t>
            </w:r>
          </w:p>
        </w:tc>
        <w:tc>
          <w:tcPr>
            <w:tcW w:w="5990" w:type="dxa"/>
            <w:tcBorders>
              <w:top w:val="single" w:sz="4" w:space="0" w:color="auto"/>
              <w:left w:val="single" w:sz="4" w:space="0" w:color="auto"/>
              <w:bottom w:val="single" w:sz="4" w:space="0" w:color="auto"/>
              <w:right w:val="single" w:sz="4" w:space="0" w:color="auto"/>
            </w:tcBorders>
            <w:hideMark/>
          </w:tcPr>
          <w:p w14:paraId="2EAA24FE" w14:textId="77777777" w:rsidR="00AF10A4" w:rsidRPr="00B029E1" w:rsidRDefault="00AF10A4" w:rsidP="00AF10A4">
            <w:pPr>
              <w:ind w:right="-1"/>
              <w:jc w:val="both"/>
              <w:rPr>
                <w:sz w:val="26"/>
                <w:szCs w:val="26"/>
              </w:rPr>
            </w:pPr>
            <w:r w:rsidRPr="00B029E1">
              <w:rPr>
                <w:sz w:val="26"/>
                <w:szCs w:val="26"/>
              </w:rPr>
              <w:t>Ja studiju virziens netiek atvērts, ietekmes uz tautsaimniecību un administratīvo slogu nav.</w:t>
            </w:r>
          </w:p>
          <w:p w14:paraId="0170E500" w14:textId="53087E24" w:rsidR="00484032" w:rsidRPr="00932B1A" w:rsidRDefault="00484032" w:rsidP="00DF0865">
            <w:pPr>
              <w:ind w:right="-1"/>
              <w:jc w:val="both"/>
              <w:rPr>
                <w:sz w:val="26"/>
                <w:szCs w:val="26"/>
              </w:rPr>
            </w:pPr>
          </w:p>
        </w:tc>
      </w:tr>
      <w:tr w:rsidR="00484032" w:rsidRPr="00932B1A" w14:paraId="4CA24E7E" w14:textId="77777777" w:rsidTr="0007538D">
        <w:trPr>
          <w:trHeight w:val="357"/>
          <w:tblCellSpacing w:w="0" w:type="dxa"/>
        </w:trPr>
        <w:tc>
          <w:tcPr>
            <w:tcW w:w="520" w:type="dxa"/>
            <w:tcBorders>
              <w:top w:val="single" w:sz="4" w:space="0" w:color="auto"/>
              <w:left w:val="single" w:sz="4" w:space="0" w:color="auto"/>
              <w:bottom w:val="single" w:sz="4" w:space="0" w:color="auto"/>
              <w:right w:val="single" w:sz="4" w:space="0" w:color="auto"/>
            </w:tcBorders>
            <w:hideMark/>
          </w:tcPr>
          <w:p w14:paraId="288F9C26" w14:textId="77777777" w:rsidR="00484032" w:rsidRPr="00932B1A" w:rsidRDefault="00484032" w:rsidP="00B652F8">
            <w:pPr>
              <w:spacing w:before="75" w:after="75"/>
              <w:jc w:val="both"/>
              <w:rPr>
                <w:sz w:val="26"/>
                <w:szCs w:val="26"/>
              </w:rPr>
            </w:pPr>
            <w:r w:rsidRPr="00932B1A">
              <w:rPr>
                <w:sz w:val="26"/>
                <w:szCs w:val="26"/>
              </w:rPr>
              <w:t> </w:t>
            </w:r>
            <w:r w:rsidR="00B652F8" w:rsidRPr="00932B1A">
              <w:rPr>
                <w:sz w:val="26"/>
                <w:szCs w:val="26"/>
              </w:rPr>
              <w:t>3</w:t>
            </w:r>
            <w:r w:rsidRPr="00932B1A">
              <w:rPr>
                <w:sz w:val="26"/>
                <w:szCs w:val="26"/>
              </w:rPr>
              <w:t>.</w:t>
            </w:r>
          </w:p>
        </w:tc>
        <w:tc>
          <w:tcPr>
            <w:tcW w:w="2591" w:type="dxa"/>
            <w:tcBorders>
              <w:top w:val="single" w:sz="4" w:space="0" w:color="auto"/>
              <w:left w:val="single" w:sz="4" w:space="0" w:color="auto"/>
              <w:bottom w:val="single" w:sz="4" w:space="0" w:color="auto"/>
              <w:right w:val="single" w:sz="4" w:space="0" w:color="auto"/>
            </w:tcBorders>
            <w:hideMark/>
          </w:tcPr>
          <w:p w14:paraId="2866230A" w14:textId="77777777" w:rsidR="00484032" w:rsidRPr="00932B1A" w:rsidRDefault="00484032" w:rsidP="00484032">
            <w:pPr>
              <w:spacing w:before="75" w:after="75"/>
              <w:jc w:val="both"/>
              <w:rPr>
                <w:sz w:val="26"/>
                <w:szCs w:val="26"/>
              </w:rPr>
            </w:pPr>
            <w:r w:rsidRPr="00932B1A">
              <w:rPr>
                <w:sz w:val="26"/>
                <w:szCs w:val="26"/>
              </w:rPr>
              <w:t>Administratīvo izmaksu monetārs novērtējums</w:t>
            </w:r>
          </w:p>
        </w:tc>
        <w:tc>
          <w:tcPr>
            <w:tcW w:w="5990" w:type="dxa"/>
            <w:tcBorders>
              <w:top w:val="single" w:sz="4" w:space="0" w:color="auto"/>
              <w:left w:val="single" w:sz="4" w:space="0" w:color="auto"/>
              <w:bottom w:val="single" w:sz="4" w:space="0" w:color="auto"/>
              <w:right w:val="single" w:sz="4" w:space="0" w:color="auto"/>
            </w:tcBorders>
            <w:hideMark/>
          </w:tcPr>
          <w:p w14:paraId="715B0A2D" w14:textId="07DC14A8" w:rsidR="00484032" w:rsidRPr="00C37DA4" w:rsidRDefault="00484032" w:rsidP="00651773">
            <w:pPr>
              <w:spacing w:before="75" w:after="75"/>
              <w:jc w:val="both"/>
              <w:rPr>
                <w:sz w:val="26"/>
                <w:szCs w:val="26"/>
              </w:rPr>
            </w:pPr>
            <w:r w:rsidRPr="00932B1A">
              <w:rPr>
                <w:sz w:val="26"/>
                <w:szCs w:val="26"/>
              </w:rPr>
              <w:t xml:space="preserve"> </w:t>
            </w:r>
            <w:r w:rsidR="00C37DA4" w:rsidRPr="00B029E1">
              <w:rPr>
                <w:sz w:val="26"/>
                <w:szCs w:val="26"/>
              </w:rPr>
              <w:t>Projekts šo jomu neskar</w:t>
            </w:r>
            <w:r w:rsidR="00C37DA4">
              <w:rPr>
                <w:sz w:val="26"/>
                <w:szCs w:val="26"/>
              </w:rPr>
              <w:t>.</w:t>
            </w:r>
          </w:p>
        </w:tc>
      </w:tr>
      <w:tr w:rsidR="00484032" w:rsidRPr="00932B1A" w14:paraId="5F0BBD49" w14:textId="77777777" w:rsidTr="0007538D">
        <w:trPr>
          <w:tblCellSpacing w:w="0" w:type="dxa"/>
        </w:trPr>
        <w:tc>
          <w:tcPr>
            <w:tcW w:w="520" w:type="dxa"/>
            <w:tcBorders>
              <w:top w:val="single" w:sz="4" w:space="0" w:color="auto"/>
              <w:left w:val="single" w:sz="4" w:space="0" w:color="auto"/>
              <w:bottom w:val="single" w:sz="4" w:space="0" w:color="auto"/>
              <w:right w:val="single" w:sz="4" w:space="0" w:color="auto"/>
            </w:tcBorders>
            <w:hideMark/>
          </w:tcPr>
          <w:p w14:paraId="09AA1237" w14:textId="77777777" w:rsidR="00484032" w:rsidRPr="00932B1A" w:rsidRDefault="00484032" w:rsidP="00B652F8">
            <w:pPr>
              <w:spacing w:before="75" w:after="75"/>
              <w:jc w:val="both"/>
              <w:rPr>
                <w:sz w:val="26"/>
                <w:szCs w:val="26"/>
              </w:rPr>
            </w:pPr>
            <w:r w:rsidRPr="00932B1A">
              <w:rPr>
                <w:sz w:val="26"/>
                <w:szCs w:val="26"/>
              </w:rPr>
              <w:t> </w:t>
            </w:r>
            <w:r w:rsidR="00B652F8" w:rsidRPr="00932B1A">
              <w:rPr>
                <w:sz w:val="26"/>
                <w:szCs w:val="26"/>
              </w:rPr>
              <w:t>4</w:t>
            </w:r>
            <w:r w:rsidRPr="00932B1A">
              <w:rPr>
                <w:sz w:val="26"/>
                <w:szCs w:val="26"/>
              </w:rPr>
              <w:t>.</w:t>
            </w:r>
          </w:p>
        </w:tc>
        <w:tc>
          <w:tcPr>
            <w:tcW w:w="2591" w:type="dxa"/>
            <w:tcBorders>
              <w:top w:val="single" w:sz="4" w:space="0" w:color="auto"/>
              <w:left w:val="single" w:sz="4" w:space="0" w:color="auto"/>
              <w:bottom w:val="single" w:sz="4" w:space="0" w:color="auto"/>
              <w:right w:val="single" w:sz="4" w:space="0" w:color="auto"/>
            </w:tcBorders>
            <w:hideMark/>
          </w:tcPr>
          <w:p w14:paraId="5C8984AC" w14:textId="77777777" w:rsidR="00484032" w:rsidRPr="00932B1A" w:rsidRDefault="00484032" w:rsidP="00484032">
            <w:pPr>
              <w:spacing w:before="75" w:after="75"/>
              <w:jc w:val="both"/>
              <w:rPr>
                <w:sz w:val="26"/>
                <w:szCs w:val="26"/>
              </w:rPr>
            </w:pPr>
            <w:r w:rsidRPr="00932B1A">
              <w:rPr>
                <w:sz w:val="26"/>
                <w:szCs w:val="26"/>
              </w:rPr>
              <w:t> Cita informācija</w:t>
            </w:r>
          </w:p>
        </w:tc>
        <w:tc>
          <w:tcPr>
            <w:tcW w:w="5990" w:type="dxa"/>
            <w:tcBorders>
              <w:top w:val="single" w:sz="4" w:space="0" w:color="auto"/>
              <w:left w:val="single" w:sz="4" w:space="0" w:color="auto"/>
              <w:bottom w:val="single" w:sz="4" w:space="0" w:color="auto"/>
              <w:right w:val="single" w:sz="4" w:space="0" w:color="auto"/>
            </w:tcBorders>
            <w:hideMark/>
          </w:tcPr>
          <w:p w14:paraId="22B39945" w14:textId="77777777" w:rsidR="00484032" w:rsidRPr="00932B1A" w:rsidRDefault="00C05E32" w:rsidP="00C05E32">
            <w:pPr>
              <w:jc w:val="both"/>
              <w:rPr>
                <w:sz w:val="26"/>
                <w:szCs w:val="26"/>
              </w:rPr>
            </w:pPr>
            <w:r w:rsidRPr="00932B1A">
              <w:rPr>
                <w:sz w:val="26"/>
                <w:szCs w:val="26"/>
              </w:rPr>
              <w:t>Darba tirgus attīstības prognozes parāda, ka turpinoties līdzšin</w:t>
            </w:r>
            <w:r w:rsidR="00665321" w:rsidRPr="00932B1A">
              <w:rPr>
                <w:sz w:val="26"/>
                <w:szCs w:val="26"/>
              </w:rPr>
              <w:t>ējam studējošo sadalījumam pa izglītības tematiskajām grupām augstākajā izglītībā</w:t>
            </w:r>
            <w:r w:rsidRPr="00932B1A">
              <w:rPr>
                <w:sz w:val="26"/>
                <w:szCs w:val="26"/>
              </w:rPr>
              <w:t xml:space="preserve">, </w:t>
            </w:r>
            <w:r w:rsidR="00E84B23" w:rsidRPr="00932B1A">
              <w:rPr>
                <w:rStyle w:val="Strong"/>
                <w:rFonts w:eastAsia="Calibri"/>
                <w:b w:val="0"/>
                <w:color w:val="000000"/>
                <w:sz w:val="26"/>
                <w:szCs w:val="26"/>
              </w:rPr>
              <w:t>Sociālo zinātņu, komerczinību un tiesību izglītības tematiskajā grupā</w:t>
            </w:r>
            <w:r w:rsidR="00E84B23" w:rsidRPr="00932B1A">
              <w:rPr>
                <w:rStyle w:val="Strong"/>
                <w:rFonts w:eastAsia="Calibri"/>
                <w:color w:val="000000"/>
                <w:sz w:val="26"/>
                <w:szCs w:val="26"/>
              </w:rPr>
              <w:t xml:space="preserve"> </w:t>
            </w:r>
            <w:r w:rsidRPr="00932B1A">
              <w:rPr>
                <w:sz w:val="26"/>
                <w:szCs w:val="26"/>
              </w:rPr>
              <w:t>būs vērojams nozīmīgs darbaspēka piedāvājuma pārsvars pār pieprasījumu, kā rezultātā 2020.gadā apmēram 10%</w:t>
            </w:r>
            <w:r w:rsidR="003115CD" w:rsidRPr="00932B1A">
              <w:rPr>
                <w:sz w:val="26"/>
                <w:szCs w:val="26"/>
              </w:rPr>
              <w:t xml:space="preserve"> jeb</w:t>
            </w:r>
            <w:r w:rsidR="00BB64C4" w:rsidRPr="00932B1A">
              <w:rPr>
                <w:sz w:val="26"/>
                <w:szCs w:val="26"/>
              </w:rPr>
              <w:t xml:space="preserve"> 15,7 tūkstoši</w:t>
            </w:r>
            <w:r w:rsidRPr="00932B1A">
              <w:rPr>
                <w:sz w:val="26"/>
                <w:szCs w:val="26"/>
              </w:rPr>
              <w:t xml:space="preserve"> atbilstošās kvalifikācijas jauno speciālistu strādās izglītībai neatbilstošā darbā. Tas nozīmē, ka</w:t>
            </w:r>
            <w:r w:rsidR="003115CD" w:rsidRPr="00932B1A">
              <w:rPr>
                <w:sz w:val="26"/>
                <w:szCs w:val="26"/>
              </w:rPr>
              <w:t xml:space="preserve"> viņu darba ražīgums un efektivitāte būs zema atbilstošas izglītības trūkuma dēļ, bet</w:t>
            </w:r>
            <w:r w:rsidRPr="00932B1A">
              <w:rPr>
                <w:sz w:val="26"/>
                <w:szCs w:val="26"/>
              </w:rPr>
              <w:t xml:space="preserve"> būs nepieciešami līdzekļi darbaspēka pārkvalifikācijai un sociālās spriedzes mazinā</w:t>
            </w:r>
            <w:r w:rsidR="00BB64C4" w:rsidRPr="00932B1A">
              <w:rPr>
                <w:sz w:val="26"/>
                <w:szCs w:val="26"/>
              </w:rPr>
              <w:t>šanai</w:t>
            </w:r>
            <w:r w:rsidRPr="00932B1A">
              <w:rPr>
                <w:sz w:val="26"/>
                <w:szCs w:val="26"/>
              </w:rPr>
              <w:t xml:space="preserve">. </w:t>
            </w:r>
          </w:p>
        </w:tc>
      </w:tr>
    </w:tbl>
    <w:p w14:paraId="606995D3" w14:textId="77777777" w:rsidR="00482C33" w:rsidRPr="00932B1A" w:rsidRDefault="00482C33" w:rsidP="00F957DA">
      <w:pPr>
        <w:tabs>
          <w:tab w:val="right" w:pos="8820"/>
        </w:tabs>
        <w:rPr>
          <w:sz w:val="26"/>
          <w:szCs w:val="26"/>
        </w:rPr>
      </w:pPr>
    </w:p>
    <w:p w14:paraId="4DA5A69A" w14:textId="77777777" w:rsidR="00DF0865" w:rsidRPr="00932B1A" w:rsidRDefault="0041034C" w:rsidP="00DF0865">
      <w:pPr>
        <w:rPr>
          <w:iCs/>
          <w:sz w:val="26"/>
          <w:szCs w:val="26"/>
          <w:lang w:eastAsia="en-US"/>
        </w:rPr>
      </w:pPr>
      <w:r w:rsidRPr="00932B1A">
        <w:rPr>
          <w:sz w:val="26"/>
          <w:szCs w:val="26"/>
        </w:rPr>
        <w:t> Anotācijas III</w:t>
      </w:r>
      <w:r w:rsidR="004A3180" w:rsidRPr="00932B1A">
        <w:rPr>
          <w:sz w:val="26"/>
          <w:szCs w:val="26"/>
        </w:rPr>
        <w:t xml:space="preserve">, IV, </w:t>
      </w:r>
      <w:r w:rsidR="00E02213" w:rsidRPr="00932B1A">
        <w:rPr>
          <w:sz w:val="26"/>
          <w:szCs w:val="26"/>
        </w:rPr>
        <w:t>V</w:t>
      </w:r>
      <w:r w:rsidR="004A3180" w:rsidRPr="00932B1A">
        <w:rPr>
          <w:sz w:val="26"/>
          <w:szCs w:val="26"/>
        </w:rPr>
        <w:t xml:space="preserve"> un VI</w:t>
      </w:r>
      <w:r w:rsidR="00E02213" w:rsidRPr="00932B1A">
        <w:rPr>
          <w:sz w:val="26"/>
          <w:szCs w:val="26"/>
        </w:rPr>
        <w:t xml:space="preserve"> </w:t>
      </w:r>
      <w:r w:rsidRPr="00932B1A">
        <w:rPr>
          <w:sz w:val="26"/>
          <w:szCs w:val="26"/>
        </w:rPr>
        <w:t>sadaļa</w:t>
      </w:r>
      <w:r w:rsidRPr="00932B1A">
        <w:rPr>
          <w:b/>
          <w:sz w:val="26"/>
          <w:szCs w:val="26"/>
        </w:rPr>
        <w:t xml:space="preserve"> – </w:t>
      </w:r>
      <w:r w:rsidR="00E02213" w:rsidRPr="00932B1A">
        <w:rPr>
          <w:sz w:val="26"/>
          <w:szCs w:val="26"/>
        </w:rPr>
        <w:t>p</w:t>
      </w:r>
      <w:r w:rsidR="00013835" w:rsidRPr="00932B1A">
        <w:rPr>
          <w:sz w:val="26"/>
          <w:szCs w:val="26"/>
        </w:rPr>
        <w:t>rojekts š</w:t>
      </w:r>
      <w:r w:rsidR="00E02213" w:rsidRPr="00932B1A">
        <w:rPr>
          <w:sz w:val="26"/>
          <w:szCs w:val="26"/>
        </w:rPr>
        <w:t>īs</w:t>
      </w:r>
      <w:r w:rsidR="00013835" w:rsidRPr="00932B1A">
        <w:rPr>
          <w:sz w:val="26"/>
          <w:szCs w:val="26"/>
        </w:rPr>
        <w:t xml:space="preserve"> jom</w:t>
      </w:r>
      <w:r w:rsidR="00E02213" w:rsidRPr="00932B1A">
        <w:rPr>
          <w:sz w:val="26"/>
          <w:szCs w:val="26"/>
        </w:rPr>
        <w:t>as</w:t>
      </w:r>
      <w:r w:rsidR="00013835" w:rsidRPr="00932B1A">
        <w:rPr>
          <w:sz w:val="26"/>
          <w:szCs w:val="26"/>
        </w:rPr>
        <w:t xml:space="preserve"> neskar.</w:t>
      </w:r>
    </w:p>
    <w:p w14:paraId="66F551D0" w14:textId="77777777" w:rsidR="000B2517" w:rsidRPr="00932B1A" w:rsidRDefault="000B2517" w:rsidP="0041034C">
      <w:pPr>
        <w:spacing w:before="75" w:after="75"/>
        <w:ind w:firstLine="375"/>
        <w:jc w:val="both"/>
        <w:outlineLvl w:val="0"/>
        <w:rPr>
          <w:b/>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3197"/>
        <w:gridCol w:w="5400"/>
      </w:tblGrid>
      <w:tr w:rsidR="008644BB" w:rsidRPr="00932B1A" w14:paraId="66587E8B" w14:textId="77777777" w:rsidTr="0007538D">
        <w:trPr>
          <w:tblCellSpacing w:w="0" w:type="dxa"/>
        </w:trPr>
        <w:tc>
          <w:tcPr>
            <w:tcW w:w="9101" w:type="dxa"/>
            <w:gridSpan w:val="3"/>
            <w:tcBorders>
              <w:top w:val="single" w:sz="4" w:space="0" w:color="auto"/>
              <w:left w:val="single" w:sz="4" w:space="0" w:color="auto"/>
              <w:bottom w:val="single" w:sz="4" w:space="0" w:color="auto"/>
              <w:right w:val="single" w:sz="4" w:space="0" w:color="auto"/>
            </w:tcBorders>
          </w:tcPr>
          <w:p w14:paraId="6C5079AB" w14:textId="77777777" w:rsidR="008644BB" w:rsidRPr="00932B1A" w:rsidRDefault="008644BB" w:rsidP="00F81111">
            <w:pPr>
              <w:jc w:val="center"/>
              <w:rPr>
                <w:b/>
                <w:sz w:val="26"/>
                <w:szCs w:val="26"/>
              </w:rPr>
            </w:pPr>
            <w:r w:rsidRPr="00932B1A">
              <w:rPr>
                <w:b/>
                <w:bCs/>
                <w:sz w:val="26"/>
                <w:szCs w:val="26"/>
              </w:rPr>
              <w:t xml:space="preserve"> VII. Tiesību </w:t>
            </w:r>
            <w:smartTag w:uri="schemas-tilde-lv/tildestengine" w:element="veidnes">
              <w:smartTagPr>
                <w:attr w:name="text" w:val="akta"/>
                <w:attr w:name="id" w:val="-1"/>
                <w:attr w:name="baseform" w:val="akt|s"/>
              </w:smartTagPr>
              <w:r w:rsidRPr="00932B1A">
                <w:rPr>
                  <w:b/>
                  <w:bCs/>
                  <w:sz w:val="26"/>
                  <w:szCs w:val="26"/>
                </w:rPr>
                <w:t>akta</w:t>
              </w:r>
            </w:smartTag>
            <w:r w:rsidRPr="00932B1A">
              <w:rPr>
                <w:b/>
                <w:bCs/>
                <w:sz w:val="26"/>
                <w:szCs w:val="26"/>
              </w:rPr>
              <w:t xml:space="preserve"> projekta izpildes nodrošināšana un tās ietekme uz institūcijām</w:t>
            </w:r>
          </w:p>
        </w:tc>
      </w:tr>
      <w:tr w:rsidR="008644BB" w:rsidRPr="00932B1A" w14:paraId="12ECEC3B" w14:textId="77777777" w:rsidTr="0007538D">
        <w:trPr>
          <w:trHeight w:val="427"/>
          <w:tblCellSpacing w:w="0" w:type="dxa"/>
        </w:trPr>
        <w:tc>
          <w:tcPr>
            <w:tcW w:w="504" w:type="dxa"/>
            <w:tcBorders>
              <w:top w:val="single" w:sz="4" w:space="0" w:color="auto"/>
              <w:left w:val="single" w:sz="4" w:space="0" w:color="auto"/>
              <w:bottom w:val="single" w:sz="4" w:space="0" w:color="auto"/>
              <w:right w:val="single" w:sz="4" w:space="0" w:color="auto"/>
            </w:tcBorders>
          </w:tcPr>
          <w:p w14:paraId="6BFB8A36" w14:textId="77777777" w:rsidR="008644BB" w:rsidRPr="00932B1A" w:rsidRDefault="008644BB" w:rsidP="00F81111">
            <w:pPr>
              <w:jc w:val="both"/>
              <w:rPr>
                <w:sz w:val="26"/>
                <w:szCs w:val="26"/>
              </w:rPr>
            </w:pPr>
            <w:r w:rsidRPr="00932B1A">
              <w:rPr>
                <w:sz w:val="26"/>
                <w:szCs w:val="26"/>
              </w:rPr>
              <w:lastRenderedPageBreak/>
              <w:t> 1.</w:t>
            </w:r>
          </w:p>
        </w:tc>
        <w:tc>
          <w:tcPr>
            <w:tcW w:w="3197" w:type="dxa"/>
            <w:tcBorders>
              <w:top w:val="single" w:sz="4" w:space="0" w:color="auto"/>
              <w:left w:val="single" w:sz="4" w:space="0" w:color="auto"/>
              <w:bottom w:val="single" w:sz="4" w:space="0" w:color="auto"/>
              <w:right w:val="single" w:sz="4" w:space="0" w:color="auto"/>
            </w:tcBorders>
          </w:tcPr>
          <w:p w14:paraId="2BF23327" w14:textId="77777777" w:rsidR="008644BB" w:rsidRPr="00932B1A" w:rsidRDefault="008644BB" w:rsidP="00F81111">
            <w:pPr>
              <w:jc w:val="both"/>
              <w:rPr>
                <w:sz w:val="26"/>
                <w:szCs w:val="26"/>
              </w:rPr>
            </w:pPr>
            <w:r w:rsidRPr="00932B1A">
              <w:rPr>
                <w:sz w:val="26"/>
                <w:szCs w:val="26"/>
              </w:rPr>
              <w:t>Projekta izpildē iesaistītās institūcijas</w:t>
            </w:r>
          </w:p>
        </w:tc>
        <w:tc>
          <w:tcPr>
            <w:tcW w:w="5400" w:type="dxa"/>
            <w:tcBorders>
              <w:top w:val="single" w:sz="4" w:space="0" w:color="auto"/>
              <w:left w:val="single" w:sz="4" w:space="0" w:color="auto"/>
              <w:bottom w:val="single" w:sz="4" w:space="0" w:color="auto"/>
              <w:right w:val="single" w:sz="4" w:space="0" w:color="auto"/>
            </w:tcBorders>
          </w:tcPr>
          <w:p w14:paraId="05A12AA0" w14:textId="446EA2DB" w:rsidR="008644BB" w:rsidRPr="00932B1A" w:rsidRDefault="004A3180" w:rsidP="00EF63EC">
            <w:pPr>
              <w:jc w:val="both"/>
              <w:rPr>
                <w:sz w:val="26"/>
                <w:szCs w:val="26"/>
                <w:highlight w:val="yellow"/>
              </w:rPr>
            </w:pPr>
            <w:r w:rsidRPr="00932B1A">
              <w:rPr>
                <w:sz w:val="26"/>
                <w:szCs w:val="26"/>
              </w:rPr>
              <w:t xml:space="preserve">Rīkojuma projekta izpildē būs iesaistītas Studiju programmu licencēšanas komisija un </w:t>
            </w:r>
            <w:r w:rsidR="00EF63EC">
              <w:rPr>
                <w:sz w:val="26"/>
                <w:szCs w:val="26"/>
              </w:rPr>
              <w:t>a</w:t>
            </w:r>
            <w:r w:rsidR="00B36DE1">
              <w:rPr>
                <w:sz w:val="26"/>
                <w:szCs w:val="26"/>
              </w:rPr>
              <w:t>ugstskola</w:t>
            </w:r>
            <w:r w:rsidRPr="00932B1A">
              <w:rPr>
                <w:sz w:val="26"/>
                <w:szCs w:val="26"/>
              </w:rPr>
              <w:t>.</w:t>
            </w:r>
          </w:p>
        </w:tc>
      </w:tr>
      <w:tr w:rsidR="008644BB" w:rsidRPr="00932B1A" w14:paraId="6E2505D2" w14:textId="77777777" w:rsidTr="0007538D">
        <w:trPr>
          <w:trHeight w:val="463"/>
          <w:tblCellSpacing w:w="0" w:type="dxa"/>
        </w:trPr>
        <w:tc>
          <w:tcPr>
            <w:tcW w:w="504" w:type="dxa"/>
            <w:tcBorders>
              <w:top w:val="single" w:sz="4" w:space="0" w:color="auto"/>
              <w:left w:val="single" w:sz="4" w:space="0" w:color="auto"/>
              <w:bottom w:val="single" w:sz="4" w:space="0" w:color="auto"/>
              <w:right w:val="single" w:sz="4" w:space="0" w:color="auto"/>
            </w:tcBorders>
          </w:tcPr>
          <w:p w14:paraId="262F5E70" w14:textId="77777777" w:rsidR="008644BB" w:rsidRPr="00932B1A" w:rsidRDefault="008644BB" w:rsidP="00F81111">
            <w:pPr>
              <w:jc w:val="both"/>
              <w:rPr>
                <w:sz w:val="26"/>
                <w:szCs w:val="26"/>
              </w:rPr>
            </w:pPr>
            <w:r w:rsidRPr="00932B1A">
              <w:rPr>
                <w:sz w:val="26"/>
                <w:szCs w:val="26"/>
              </w:rPr>
              <w:t> 2.</w:t>
            </w:r>
          </w:p>
        </w:tc>
        <w:tc>
          <w:tcPr>
            <w:tcW w:w="3197" w:type="dxa"/>
            <w:tcBorders>
              <w:top w:val="single" w:sz="4" w:space="0" w:color="auto"/>
              <w:left w:val="single" w:sz="4" w:space="0" w:color="auto"/>
              <w:bottom w:val="single" w:sz="4" w:space="0" w:color="auto"/>
              <w:right w:val="single" w:sz="4" w:space="0" w:color="auto"/>
            </w:tcBorders>
          </w:tcPr>
          <w:p w14:paraId="0246C1B6" w14:textId="77777777" w:rsidR="008644BB" w:rsidRPr="00932B1A" w:rsidRDefault="008644BB" w:rsidP="00F81111">
            <w:pPr>
              <w:jc w:val="both"/>
              <w:rPr>
                <w:sz w:val="26"/>
                <w:szCs w:val="26"/>
              </w:rPr>
            </w:pPr>
            <w:r w:rsidRPr="00932B1A">
              <w:rPr>
                <w:sz w:val="26"/>
                <w:szCs w:val="26"/>
              </w:rPr>
              <w:t>Projekta izpildes ietekme uz pārvaldes funkcijām</w:t>
            </w:r>
            <w:r w:rsidR="00750DCE" w:rsidRPr="00932B1A">
              <w:rPr>
                <w:sz w:val="26"/>
                <w:szCs w:val="26"/>
              </w:rPr>
              <w:t xml:space="preserve"> un institucionālo struktūru. Jaunu institūciju izveide, esošo institūciju likvidācija vai reorganizācija, to ietekme uz institūcijas cilvēkresursiem</w:t>
            </w:r>
          </w:p>
        </w:tc>
        <w:tc>
          <w:tcPr>
            <w:tcW w:w="5400" w:type="dxa"/>
            <w:tcBorders>
              <w:top w:val="single" w:sz="4" w:space="0" w:color="auto"/>
              <w:left w:val="single" w:sz="4" w:space="0" w:color="auto"/>
              <w:bottom w:val="single" w:sz="4" w:space="0" w:color="auto"/>
              <w:right w:val="single" w:sz="4" w:space="0" w:color="auto"/>
            </w:tcBorders>
          </w:tcPr>
          <w:p w14:paraId="6F82207B" w14:textId="77777777" w:rsidR="008644BB" w:rsidRPr="00932B1A" w:rsidRDefault="00CF06CC" w:rsidP="00CF06CC">
            <w:pPr>
              <w:jc w:val="both"/>
              <w:rPr>
                <w:sz w:val="26"/>
                <w:szCs w:val="26"/>
                <w:highlight w:val="yellow"/>
              </w:rPr>
            </w:pPr>
            <w:r w:rsidRPr="00932B1A">
              <w:rPr>
                <w:sz w:val="26"/>
                <w:szCs w:val="26"/>
              </w:rPr>
              <w:t>Pārvaldes f</w:t>
            </w:r>
            <w:r w:rsidR="008644BB" w:rsidRPr="00932B1A">
              <w:rPr>
                <w:sz w:val="26"/>
                <w:szCs w:val="26"/>
              </w:rPr>
              <w:t xml:space="preserve">unkcijas un </w:t>
            </w:r>
            <w:r w:rsidRPr="00932B1A">
              <w:rPr>
                <w:sz w:val="26"/>
                <w:szCs w:val="26"/>
              </w:rPr>
              <w:t xml:space="preserve">uzdevumi netiek grozīti, institucionālā struktūra </w:t>
            </w:r>
            <w:r w:rsidR="008644BB" w:rsidRPr="00932B1A">
              <w:rPr>
                <w:sz w:val="26"/>
                <w:szCs w:val="26"/>
              </w:rPr>
              <w:t xml:space="preserve">netiek </w:t>
            </w:r>
            <w:r w:rsidRPr="00932B1A">
              <w:rPr>
                <w:sz w:val="26"/>
                <w:szCs w:val="26"/>
              </w:rPr>
              <w:t>mainīta</w:t>
            </w:r>
            <w:r w:rsidR="008644BB" w:rsidRPr="00932B1A">
              <w:rPr>
                <w:sz w:val="26"/>
                <w:szCs w:val="26"/>
              </w:rPr>
              <w:t>.</w:t>
            </w:r>
            <w:r w:rsidR="00750DCE" w:rsidRPr="00932B1A">
              <w:rPr>
                <w:sz w:val="26"/>
                <w:szCs w:val="26"/>
              </w:rPr>
              <w:t xml:space="preserve"> Jaunas institūcijas netiks izveidotas. Esošās institūcijas netiks likvidētas vai reorganizētas</w:t>
            </w:r>
          </w:p>
        </w:tc>
      </w:tr>
      <w:tr w:rsidR="008644BB" w:rsidRPr="00932B1A" w14:paraId="4F83E7B7" w14:textId="77777777" w:rsidTr="0007538D">
        <w:trPr>
          <w:trHeight w:val="312"/>
          <w:tblCellSpacing w:w="0" w:type="dxa"/>
        </w:trPr>
        <w:tc>
          <w:tcPr>
            <w:tcW w:w="504" w:type="dxa"/>
            <w:tcBorders>
              <w:top w:val="single" w:sz="4" w:space="0" w:color="auto"/>
              <w:left w:val="single" w:sz="4" w:space="0" w:color="auto"/>
              <w:bottom w:val="single" w:sz="4" w:space="0" w:color="auto"/>
              <w:right w:val="single" w:sz="4" w:space="0" w:color="auto"/>
            </w:tcBorders>
          </w:tcPr>
          <w:p w14:paraId="1D5D32DE" w14:textId="77777777" w:rsidR="008644BB" w:rsidRPr="00932B1A" w:rsidRDefault="008644BB" w:rsidP="00750DCE">
            <w:pPr>
              <w:rPr>
                <w:sz w:val="26"/>
                <w:szCs w:val="26"/>
              </w:rPr>
            </w:pPr>
            <w:r w:rsidRPr="00932B1A">
              <w:rPr>
                <w:sz w:val="26"/>
                <w:szCs w:val="26"/>
              </w:rPr>
              <w:t> </w:t>
            </w:r>
            <w:r w:rsidR="00750DCE" w:rsidRPr="00932B1A">
              <w:rPr>
                <w:sz w:val="26"/>
                <w:szCs w:val="26"/>
              </w:rPr>
              <w:t>3</w:t>
            </w:r>
            <w:r w:rsidRPr="00932B1A">
              <w:rPr>
                <w:sz w:val="26"/>
                <w:szCs w:val="26"/>
              </w:rPr>
              <w:t>.</w:t>
            </w:r>
          </w:p>
        </w:tc>
        <w:tc>
          <w:tcPr>
            <w:tcW w:w="3197" w:type="dxa"/>
            <w:tcBorders>
              <w:top w:val="single" w:sz="4" w:space="0" w:color="auto"/>
              <w:left w:val="single" w:sz="4" w:space="0" w:color="auto"/>
              <w:bottom w:val="single" w:sz="4" w:space="0" w:color="auto"/>
              <w:right w:val="single" w:sz="4" w:space="0" w:color="auto"/>
            </w:tcBorders>
          </w:tcPr>
          <w:p w14:paraId="1B751F94" w14:textId="77777777" w:rsidR="008644BB" w:rsidRPr="00932B1A" w:rsidRDefault="008644BB" w:rsidP="00F81111">
            <w:pPr>
              <w:rPr>
                <w:sz w:val="26"/>
                <w:szCs w:val="26"/>
              </w:rPr>
            </w:pPr>
            <w:r w:rsidRPr="00932B1A">
              <w:rPr>
                <w:sz w:val="26"/>
                <w:szCs w:val="26"/>
              </w:rPr>
              <w:t>Cita informācija</w:t>
            </w:r>
          </w:p>
        </w:tc>
        <w:tc>
          <w:tcPr>
            <w:tcW w:w="5400" w:type="dxa"/>
            <w:tcBorders>
              <w:top w:val="single" w:sz="4" w:space="0" w:color="auto"/>
              <w:left w:val="single" w:sz="4" w:space="0" w:color="auto"/>
              <w:bottom w:val="single" w:sz="4" w:space="0" w:color="auto"/>
              <w:right w:val="single" w:sz="4" w:space="0" w:color="auto"/>
            </w:tcBorders>
          </w:tcPr>
          <w:p w14:paraId="77493BB1" w14:textId="77777777" w:rsidR="008644BB" w:rsidRPr="00932B1A" w:rsidRDefault="008644BB" w:rsidP="00F81111">
            <w:pPr>
              <w:rPr>
                <w:sz w:val="26"/>
                <w:szCs w:val="26"/>
              </w:rPr>
            </w:pPr>
            <w:r w:rsidRPr="00932B1A">
              <w:rPr>
                <w:sz w:val="26"/>
                <w:szCs w:val="26"/>
              </w:rPr>
              <w:t>Nav</w:t>
            </w:r>
          </w:p>
        </w:tc>
      </w:tr>
    </w:tbl>
    <w:p w14:paraId="125D3F69" w14:textId="77777777" w:rsidR="008644BB" w:rsidRDefault="008644BB" w:rsidP="00F957DA">
      <w:pPr>
        <w:tabs>
          <w:tab w:val="right" w:pos="8820"/>
        </w:tabs>
        <w:rPr>
          <w:sz w:val="26"/>
          <w:szCs w:val="26"/>
        </w:rPr>
      </w:pPr>
    </w:p>
    <w:p w14:paraId="4F1D5CAB" w14:textId="77777777" w:rsidR="00EF63EC" w:rsidRPr="00932B1A" w:rsidRDefault="00EF63EC" w:rsidP="00F957DA">
      <w:pPr>
        <w:tabs>
          <w:tab w:val="right" w:pos="8820"/>
        </w:tabs>
        <w:rPr>
          <w:sz w:val="26"/>
          <w:szCs w:val="26"/>
        </w:rPr>
      </w:pPr>
    </w:p>
    <w:p w14:paraId="1E565026" w14:textId="5E6290C0" w:rsidR="0099121C" w:rsidRPr="00932B1A" w:rsidRDefault="00CD46D4" w:rsidP="0099121C">
      <w:pPr>
        <w:ind w:firstLine="720"/>
        <w:jc w:val="both"/>
        <w:rPr>
          <w:sz w:val="26"/>
          <w:szCs w:val="26"/>
        </w:rPr>
      </w:pPr>
      <w:r>
        <w:rPr>
          <w:sz w:val="26"/>
          <w:szCs w:val="26"/>
        </w:rPr>
        <w:t>M</w:t>
      </w:r>
      <w:r w:rsidR="00F34EBF" w:rsidRPr="00932B1A">
        <w:rPr>
          <w:sz w:val="26"/>
          <w:szCs w:val="26"/>
        </w:rPr>
        <w:t>inistr</w:t>
      </w:r>
      <w:r w:rsidR="00E351DD" w:rsidRPr="00932B1A">
        <w:rPr>
          <w:sz w:val="26"/>
          <w:szCs w:val="26"/>
        </w:rPr>
        <w:t>e</w:t>
      </w:r>
      <w:r w:rsidR="0099121C" w:rsidRPr="00932B1A">
        <w:rPr>
          <w:sz w:val="26"/>
          <w:szCs w:val="26"/>
        </w:rPr>
        <w:tab/>
      </w:r>
      <w:r w:rsidR="0099121C" w:rsidRPr="00932B1A">
        <w:rPr>
          <w:sz w:val="26"/>
          <w:szCs w:val="26"/>
        </w:rPr>
        <w:tab/>
      </w:r>
      <w:r w:rsidR="0099121C" w:rsidRPr="00932B1A">
        <w:rPr>
          <w:sz w:val="26"/>
          <w:szCs w:val="26"/>
        </w:rPr>
        <w:tab/>
      </w:r>
      <w:r w:rsidR="0099121C" w:rsidRPr="00932B1A">
        <w:rPr>
          <w:sz w:val="26"/>
          <w:szCs w:val="26"/>
        </w:rPr>
        <w:tab/>
      </w:r>
      <w:r w:rsidR="0099121C" w:rsidRPr="00932B1A">
        <w:rPr>
          <w:sz w:val="26"/>
          <w:szCs w:val="26"/>
        </w:rPr>
        <w:tab/>
      </w:r>
      <w:r w:rsidR="0099121C" w:rsidRPr="00932B1A">
        <w:rPr>
          <w:sz w:val="26"/>
          <w:szCs w:val="26"/>
        </w:rPr>
        <w:tab/>
      </w:r>
      <w:r w:rsidR="006F13E4" w:rsidRPr="00932B1A">
        <w:rPr>
          <w:sz w:val="26"/>
          <w:szCs w:val="26"/>
        </w:rPr>
        <w:tab/>
      </w:r>
      <w:r>
        <w:rPr>
          <w:sz w:val="26"/>
          <w:szCs w:val="26"/>
        </w:rPr>
        <w:tab/>
      </w:r>
      <w:r w:rsidR="00B36DE1">
        <w:rPr>
          <w:sz w:val="26"/>
          <w:szCs w:val="26"/>
        </w:rPr>
        <w:t>M.Seile</w:t>
      </w:r>
    </w:p>
    <w:p w14:paraId="704D93B3" w14:textId="77777777" w:rsidR="004F7CD4" w:rsidRPr="00932B1A" w:rsidRDefault="004F7CD4" w:rsidP="00C22A99">
      <w:pPr>
        <w:pStyle w:val="naisf"/>
        <w:spacing w:before="0" w:beforeAutospacing="0" w:after="0" w:afterAutospacing="0"/>
        <w:rPr>
          <w:sz w:val="26"/>
          <w:szCs w:val="26"/>
        </w:rPr>
      </w:pPr>
    </w:p>
    <w:p w14:paraId="6B282852" w14:textId="77777777" w:rsidR="0099121C" w:rsidRPr="00932B1A" w:rsidRDefault="0099121C" w:rsidP="00C22A99">
      <w:pPr>
        <w:pStyle w:val="naisf"/>
        <w:spacing w:before="0" w:beforeAutospacing="0" w:after="0" w:afterAutospacing="0"/>
        <w:rPr>
          <w:sz w:val="26"/>
          <w:szCs w:val="26"/>
        </w:rPr>
      </w:pPr>
    </w:p>
    <w:p w14:paraId="7E9FBA03" w14:textId="77777777" w:rsidR="00CB6DB2" w:rsidRPr="00932B1A" w:rsidRDefault="00CB6DB2" w:rsidP="00C22A99">
      <w:pPr>
        <w:pStyle w:val="naisf"/>
        <w:spacing w:before="0" w:beforeAutospacing="0" w:after="0" w:afterAutospacing="0"/>
        <w:rPr>
          <w:sz w:val="26"/>
          <w:szCs w:val="26"/>
        </w:rPr>
      </w:pPr>
    </w:p>
    <w:p w14:paraId="0AFAA0F5" w14:textId="77777777" w:rsidR="00003C2A" w:rsidRDefault="00003C2A" w:rsidP="00003C2A">
      <w:pPr>
        <w:ind w:firstLine="720"/>
        <w:jc w:val="both"/>
        <w:rPr>
          <w:bCs/>
          <w:kern w:val="32"/>
          <w:sz w:val="26"/>
          <w:szCs w:val="26"/>
        </w:rPr>
      </w:pPr>
      <w:r>
        <w:rPr>
          <w:bCs/>
          <w:kern w:val="32"/>
          <w:sz w:val="26"/>
          <w:szCs w:val="26"/>
        </w:rPr>
        <w:t xml:space="preserve">Valsts sekretāra vietniece – </w:t>
      </w:r>
      <w:r>
        <w:rPr>
          <w:bCs/>
          <w:kern w:val="32"/>
          <w:sz w:val="26"/>
          <w:szCs w:val="26"/>
        </w:rPr>
        <w:tab/>
      </w:r>
      <w:r>
        <w:rPr>
          <w:bCs/>
          <w:kern w:val="32"/>
          <w:sz w:val="26"/>
          <w:szCs w:val="26"/>
        </w:rPr>
        <w:tab/>
      </w:r>
      <w:r>
        <w:rPr>
          <w:bCs/>
          <w:kern w:val="32"/>
          <w:sz w:val="26"/>
          <w:szCs w:val="26"/>
        </w:rPr>
        <w:tab/>
      </w:r>
      <w:r>
        <w:rPr>
          <w:bCs/>
          <w:kern w:val="32"/>
          <w:sz w:val="26"/>
          <w:szCs w:val="26"/>
        </w:rPr>
        <w:tab/>
      </w:r>
      <w:r>
        <w:rPr>
          <w:bCs/>
          <w:kern w:val="32"/>
          <w:sz w:val="26"/>
          <w:szCs w:val="26"/>
        </w:rPr>
        <w:tab/>
      </w:r>
    </w:p>
    <w:p w14:paraId="4BFD914C" w14:textId="77777777" w:rsidR="00003C2A" w:rsidRDefault="00003C2A" w:rsidP="00003C2A">
      <w:pPr>
        <w:ind w:firstLine="720"/>
        <w:jc w:val="both"/>
        <w:rPr>
          <w:bCs/>
          <w:kern w:val="32"/>
          <w:sz w:val="26"/>
          <w:szCs w:val="26"/>
        </w:rPr>
      </w:pPr>
      <w:r>
        <w:rPr>
          <w:bCs/>
          <w:kern w:val="32"/>
          <w:sz w:val="26"/>
          <w:szCs w:val="26"/>
        </w:rPr>
        <w:t xml:space="preserve">Izglītības departamenta direktore, </w:t>
      </w:r>
    </w:p>
    <w:p w14:paraId="05917515" w14:textId="1AEFBA80" w:rsidR="00DF4A0E" w:rsidRPr="00932B1A" w:rsidRDefault="00003C2A" w:rsidP="00003C2A">
      <w:pPr>
        <w:rPr>
          <w:sz w:val="26"/>
          <w:szCs w:val="26"/>
        </w:rPr>
      </w:pPr>
      <w:r>
        <w:rPr>
          <w:bCs/>
          <w:kern w:val="32"/>
          <w:sz w:val="26"/>
          <w:szCs w:val="26"/>
        </w:rPr>
        <w:tab/>
        <w:t>valsts sekretāres pienākumu izpildītāja</w:t>
      </w:r>
      <w:r>
        <w:rPr>
          <w:bCs/>
          <w:kern w:val="32"/>
          <w:sz w:val="26"/>
          <w:szCs w:val="26"/>
        </w:rPr>
        <w:tab/>
      </w:r>
      <w:r>
        <w:rPr>
          <w:bCs/>
          <w:kern w:val="32"/>
          <w:sz w:val="26"/>
          <w:szCs w:val="26"/>
        </w:rPr>
        <w:tab/>
      </w:r>
      <w:r>
        <w:rPr>
          <w:bCs/>
          <w:kern w:val="32"/>
          <w:sz w:val="26"/>
          <w:szCs w:val="26"/>
        </w:rPr>
        <w:tab/>
      </w:r>
      <w:r>
        <w:rPr>
          <w:bCs/>
          <w:kern w:val="32"/>
          <w:sz w:val="26"/>
          <w:szCs w:val="26"/>
        </w:rPr>
        <w:tab/>
        <w:t>E.Papule</w:t>
      </w:r>
    </w:p>
    <w:p w14:paraId="38456ABD" w14:textId="77777777" w:rsidR="000E34B4" w:rsidRDefault="000E34B4" w:rsidP="00C22A99">
      <w:pPr>
        <w:rPr>
          <w:sz w:val="26"/>
          <w:szCs w:val="26"/>
        </w:rPr>
      </w:pPr>
    </w:p>
    <w:p w14:paraId="2BB9B1C1" w14:textId="77777777" w:rsidR="00332135" w:rsidRPr="00932B1A" w:rsidRDefault="00332135" w:rsidP="00C22A99">
      <w:pPr>
        <w:rPr>
          <w:sz w:val="26"/>
          <w:szCs w:val="26"/>
        </w:rPr>
      </w:pPr>
    </w:p>
    <w:p w14:paraId="5A1CB2C5" w14:textId="30493ABE" w:rsidR="00F957DA" w:rsidRPr="00D83694" w:rsidRDefault="00336889" w:rsidP="00332135">
      <w:pPr>
        <w:ind w:firstLine="720"/>
        <w:outlineLvl w:val="0"/>
        <w:rPr>
          <w:sz w:val="20"/>
          <w:szCs w:val="20"/>
        </w:rPr>
      </w:pPr>
      <w:r>
        <w:rPr>
          <w:sz w:val="20"/>
          <w:szCs w:val="20"/>
        </w:rPr>
        <w:t>09.01.2015</w:t>
      </w:r>
      <w:r w:rsidR="00E351DD" w:rsidRPr="00D83694">
        <w:rPr>
          <w:sz w:val="20"/>
          <w:szCs w:val="20"/>
        </w:rPr>
        <w:t>.</w:t>
      </w:r>
      <w:r w:rsidR="00410E9B" w:rsidRPr="00D83694">
        <w:rPr>
          <w:sz w:val="20"/>
          <w:szCs w:val="20"/>
        </w:rPr>
        <w:t xml:space="preserve"> </w:t>
      </w:r>
    </w:p>
    <w:p w14:paraId="1A030ECE" w14:textId="637F1D8A" w:rsidR="00F957DA" w:rsidRPr="00D83694" w:rsidRDefault="00576655" w:rsidP="00332135">
      <w:pPr>
        <w:ind w:firstLine="720"/>
        <w:outlineLvl w:val="0"/>
        <w:rPr>
          <w:sz w:val="20"/>
          <w:szCs w:val="20"/>
        </w:rPr>
      </w:pPr>
      <w:r>
        <w:rPr>
          <w:sz w:val="20"/>
          <w:szCs w:val="20"/>
        </w:rPr>
        <w:t>13</w:t>
      </w:r>
      <w:r w:rsidR="0043543E">
        <w:rPr>
          <w:sz w:val="20"/>
          <w:szCs w:val="20"/>
        </w:rPr>
        <w:t>70</w:t>
      </w:r>
      <w:bookmarkStart w:id="0" w:name="_GoBack"/>
      <w:bookmarkEnd w:id="0"/>
      <w:r w:rsidR="002D4E26" w:rsidRPr="00D83694">
        <w:rPr>
          <w:sz w:val="20"/>
          <w:szCs w:val="20"/>
        </w:rPr>
        <w:tab/>
      </w:r>
      <w:r w:rsidR="00E351DD" w:rsidRPr="00D83694">
        <w:rPr>
          <w:sz w:val="20"/>
          <w:szCs w:val="20"/>
        </w:rPr>
        <w:tab/>
      </w:r>
    </w:p>
    <w:p w14:paraId="025BA325" w14:textId="77777777" w:rsidR="00F957DA" w:rsidRPr="00D83694" w:rsidRDefault="00B36DE1" w:rsidP="00332135">
      <w:pPr>
        <w:pStyle w:val="StyleRight"/>
        <w:spacing w:after="0"/>
        <w:jc w:val="both"/>
        <w:rPr>
          <w:sz w:val="20"/>
          <w:szCs w:val="20"/>
        </w:rPr>
      </w:pPr>
      <w:r w:rsidRPr="00D83694">
        <w:rPr>
          <w:sz w:val="20"/>
          <w:szCs w:val="20"/>
        </w:rPr>
        <w:t>I.Stūre</w:t>
      </w:r>
    </w:p>
    <w:p w14:paraId="108E7FA9" w14:textId="77777777" w:rsidR="00B36DE1" w:rsidRPr="00D83694" w:rsidRDefault="000D0682" w:rsidP="00332135">
      <w:pPr>
        <w:pStyle w:val="StyleRight"/>
        <w:spacing w:after="0"/>
        <w:jc w:val="both"/>
        <w:rPr>
          <w:sz w:val="20"/>
          <w:szCs w:val="20"/>
        </w:rPr>
      </w:pPr>
      <w:r w:rsidRPr="00D83694">
        <w:rPr>
          <w:sz w:val="20"/>
          <w:szCs w:val="20"/>
        </w:rPr>
        <w:t>67047</w:t>
      </w:r>
      <w:r w:rsidR="00B36DE1" w:rsidRPr="00D83694">
        <w:rPr>
          <w:sz w:val="20"/>
          <w:szCs w:val="20"/>
        </w:rPr>
        <w:t>899</w:t>
      </w:r>
      <w:r w:rsidRPr="00D83694">
        <w:rPr>
          <w:sz w:val="20"/>
          <w:szCs w:val="20"/>
        </w:rPr>
        <w:t xml:space="preserve"> </w:t>
      </w:r>
    </w:p>
    <w:p w14:paraId="45C4393C" w14:textId="77777777" w:rsidR="00F70520" w:rsidRPr="00D83694" w:rsidRDefault="00B36DE1" w:rsidP="00332135">
      <w:pPr>
        <w:pStyle w:val="StyleRight"/>
        <w:spacing w:after="0"/>
        <w:jc w:val="both"/>
        <w:rPr>
          <w:sz w:val="20"/>
          <w:szCs w:val="20"/>
        </w:rPr>
      </w:pPr>
      <w:r w:rsidRPr="00D83694">
        <w:rPr>
          <w:sz w:val="20"/>
          <w:szCs w:val="20"/>
        </w:rPr>
        <w:t>Inese.Sture</w:t>
      </w:r>
      <w:r w:rsidR="00410E9B" w:rsidRPr="00D83694">
        <w:rPr>
          <w:sz w:val="20"/>
          <w:szCs w:val="20"/>
        </w:rPr>
        <w:t>@izm.gov.lv</w:t>
      </w:r>
    </w:p>
    <w:p w14:paraId="13D47E2E" w14:textId="77777777" w:rsidR="00F70520" w:rsidRPr="00932B1A" w:rsidRDefault="00F70520" w:rsidP="00F70520">
      <w:pPr>
        <w:rPr>
          <w:sz w:val="26"/>
          <w:szCs w:val="26"/>
          <w:lang w:eastAsia="en-US"/>
        </w:rPr>
      </w:pPr>
    </w:p>
    <w:p w14:paraId="59F953D8" w14:textId="77777777" w:rsidR="00F70520" w:rsidRPr="00932B1A" w:rsidRDefault="00F70520" w:rsidP="00F70520">
      <w:pPr>
        <w:rPr>
          <w:sz w:val="26"/>
          <w:szCs w:val="26"/>
          <w:lang w:eastAsia="en-US"/>
        </w:rPr>
      </w:pPr>
    </w:p>
    <w:p w14:paraId="4D127AF5" w14:textId="77777777" w:rsidR="00F70520" w:rsidRPr="00932B1A" w:rsidRDefault="00F70520" w:rsidP="00F70520">
      <w:pPr>
        <w:rPr>
          <w:sz w:val="26"/>
          <w:szCs w:val="26"/>
          <w:lang w:eastAsia="en-US"/>
        </w:rPr>
      </w:pPr>
    </w:p>
    <w:p w14:paraId="5903DBA6" w14:textId="77777777" w:rsidR="00F70520" w:rsidRPr="00932B1A" w:rsidRDefault="00F70520" w:rsidP="00F70520">
      <w:pPr>
        <w:rPr>
          <w:sz w:val="26"/>
          <w:szCs w:val="26"/>
          <w:lang w:eastAsia="en-US"/>
        </w:rPr>
      </w:pPr>
    </w:p>
    <w:p w14:paraId="040E568F" w14:textId="77777777" w:rsidR="00F70520" w:rsidRPr="00932B1A" w:rsidRDefault="00F70520" w:rsidP="00F70520">
      <w:pPr>
        <w:rPr>
          <w:sz w:val="26"/>
          <w:szCs w:val="26"/>
          <w:lang w:eastAsia="en-US"/>
        </w:rPr>
      </w:pPr>
    </w:p>
    <w:p w14:paraId="351B6AF7" w14:textId="77777777" w:rsidR="00F70520" w:rsidRPr="00932B1A" w:rsidRDefault="00F70520" w:rsidP="00F70520">
      <w:pPr>
        <w:rPr>
          <w:sz w:val="26"/>
          <w:szCs w:val="26"/>
          <w:lang w:eastAsia="en-US"/>
        </w:rPr>
      </w:pPr>
    </w:p>
    <w:p w14:paraId="77E3565A" w14:textId="77777777" w:rsidR="000C0825" w:rsidRPr="00932B1A" w:rsidRDefault="00F70520" w:rsidP="00F70520">
      <w:pPr>
        <w:tabs>
          <w:tab w:val="left" w:pos="3045"/>
        </w:tabs>
        <w:rPr>
          <w:sz w:val="26"/>
          <w:szCs w:val="26"/>
          <w:lang w:eastAsia="en-US"/>
        </w:rPr>
      </w:pPr>
      <w:r w:rsidRPr="00932B1A">
        <w:rPr>
          <w:sz w:val="26"/>
          <w:szCs w:val="26"/>
          <w:lang w:eastAsia="en-US"/>
        </w:rPr>
        <w:tab/>
      </w:r>
    </w:p>
    <w:sectPr w:rsidR="000C0825" w:rsidRPr="00932B1A" w:rsidSect="005E4462">
      <w:headerReference w:type="default" r:id="rId8"/>
      <w:footerReference w:type="default" r:id="rId9"/>
      <w:footerReference w:type="first" r:id="rId10"/>
      <w:pgSz w:w="11906" w:h="16838"/>
      <w:pgMar w:top="1418" w:right="851" w:bottom="1134" w:left="1701" w:header="709" w:footer="7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F94F3" w14:textId="77777777" w:rsidR="00423FB0" w:rsidRDefault="00423FB0" w:rsidP="00F450E7">
      <w:r>
        <w:separator/>
      </w:r>
    </w:p>
  </w:endnote>
  <w:endnote w:type="continuationSeparator" w:id="0">
    <w:p w14:paraId="6DEBC486" w14:textId="77777777" w:rsidR="00423FB0" w:rsidRDefault="00423FB0"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C3D90" w14:textId="71D4435C" w:rsidR="00330C0F" w:rsidRPr="005C6650" w:rsidRDefault="008F61B3" w:rsidP="00330C0F">
    <w:pPr>
      <w:pStyle w:val="Footer"/>
      <w:jc w:val="both"/>
    </w:pPr>
    <w:r w:rsidRPr="008F61B3">
      <w:rPr>
        <w:sz w:val="20"/>
        <w:szCs w:val="20"/>
      </w:rPr>
      <w:t>IZManot_090115_EKA_TZSV</w:t>
    </w:r>
    <w:r w:rsidR="00330C0F" w:rsidRPr="00640381">
      <w:rPr>
        <w:sz w:val="20"/>
        <w:szCs w:val="20"/>
        <w:lang w:val="en-US"/>
      </w:rPr>
      <w:t xml:space="preserve">; </w:t>
    </w:r>
    <w:r w:rsidR="00330C0F">
      <w:rPr>
        <w:sz w:val="20"/>
        <w:szCs w:val="20"/>
      </w:rPr>
      <w:t>MK</w:t>
    </w:r>
    <w:r w:rsidR="00330C0F" w:rsidRPr="00640381">
      <w:rPr>
        <w:sz w:val="20"/>
        <w:szCs w:val="20"/>
      </w:rPr>
      <w:t xml:space="preserve"> rīkojuma projekta </w:t>
    </w:r>
    <w:r w:rsidR="00330C0F" w:rsidRPr="00B029E1">
      <w:rPr>
        <w:sz w:val="20"/>
        <w:szCs w:val="20"/>
      </w:rPr>
      <w:t xml:space="preserve">“Par atteikumu atvērt studiju virzienu </w:t>
    </w:r>
    <w:r w:rsidR="00E8627C">
      <w:rPr>
        <w:sz w:val="20"/>
        <w:szCs w:val="20"/>
      </w:rPr>
      <w:t xml:space="preserve">“Tiesību zinātne” </w:t>
    </w:r>
    <w:r w:rsidR="00330C0F" w:rsidRPr="00B029E1">
      <w:rPr>
        <w:sz w:val="20"/>
        <w:szCs w:val="20"/>
      </w:rPr>
      <w:t xml:space="preserve">sabiedrībā ar ierobežotu atbildību „Ekonomikas un kultūras augstskola”” </w:t>
    </w:r>
    <w:r w:rsidR="00330C0F">
      <w:rPr>
        <w:sz w:val="20"/>
        <w:szCs w:val="20"/>
      </w:rPr>
      <w:t xml:space="preserve"> </w:t>
    </w:r>
    <w:r w:rsidR="00330C0F" w:rsidRPr="00EE2228">
      <w:rPr>
        <w:sz w:val="20"/>
        <w:szCs w:val="20"/>
      </w:rPr>
      <w:t>sākotnējās ietekmes novērtējuma ziņojums (anotācija)</w:t>
    </w:r>
  </w:p>
  <w:p w14:paraId="7AD90E39" w14:textId="7B9660CB" w:rsidR="00AB23DE" w:rsidRPr="00330C0F" w:rsidRDefault="00AB23DE" w:rsidP="00330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96C5D" w14:textId="01666423" w:rsidR="00C904DB" w:rsidRPr="005C6650" w:rsidRDefault="008F61B3" w:rsidP="00C904DB">
    <w:pPr>
      <w:pStyle w:val="Footer"/>
      <w:jc w:val="both"/>
    </w:pPr>
    <w:r w:rsidRPr="008F61B3">
      <w:rPr>
        <w:sz w:val="20"/>
        <w:szCs w:val="20"/>
      </w:rPr>
      <w:t>IZManot_090115_EKA_TZSV</w:t>
    </w:r>
    <w:r w:rsidR="00C904DB" w:rsidRPr="00640381">
      <w:rPr>
        <w:sz w:val="20"/>
        <w:szCs w:val="20"/>
        <w:lang w:val="en-US"/>
      </w:rPr>
      <w:t xml:space="preserve">; </w:t>
    </w:r>
    <w:r w:rsidR="00330C0F">
      <w:rPr>
        <w:sz w:val="20"/>
        <w:szCs w:val="20"/>
      </w:rPr>
      <w:t>MK</w:t>
    </w:r>
    <w:r w:rsidR="00C904DB" w:rsidRPr="00640381">
      <w:rPr>
        <w:sz w:val="20"/>
        <w:szCs w:val="20"/>
      </w:rPr>
      <w:t xml:space="preserve"> rīkojuma projekta </w:t>
    </w:r>
    <w:r w:rsidR="00640381" w:rsidRPr="00B029E1">
      <w:rPr>
        <w:sz w:val="20"/>
        <w:szCs w:val="20"/>
      </w:rPr>
      <w:t>“Par atteikumu atvērt studiju virzienu</w:t>
    </w:r>
    <w:r w:rsidR="00E8627C">
      <w:rPr>
        <w:sz w:val="20"/>
        <w:szCs w:val="20"/>
      </w:rPr>
      <w:t xml:space="preserve"> “Tiesību zinātne”</w:t>
    </w:r>
    <w:r w:rsidR="00640381" w:rsidRPr="00B029E1">
      <w:rPr>
        <w:sz w:val="20"/>
        <w:szCs w:val="20"/>
      </w:rPr>
      <w:t xml:space="preserve"> sabiedrībā ar ierobežotu atbildību „Ekonomikas un kultūras augstskola”” </w:t>
    </w:r>
    <w:r w:rsidR="00C904DB">
      <w:rPr>
        <w:sz w:val="20"/>
        <w:szCs w:val="20"/>
      </w:rPr>
      <w:t xml:space="preserve"> </w:t>
    </w:r>
    <w:r w:rsidR="00C904DB" w:rsidRPr="00EE2228">
      <w:rPr>
        <w:sz w:val="20"/>
        <w:szCs w:val="20"/>
      </w:rPr>
      <w:t>sākotnējās ietekmes novērtējuma ziņojums (anotācija)</w:t>
    </w:r>
  </w:p>
  <w:p w14:paraId="183EF8E4" w14:textId="77777777" w:rsidR="00765FE3" w:rsidRDefault="00765FE3">
    <w:pPr>
      <w:pStyle w:val="Footer"/>
    </w:pPr>
  </w:p>
  <w:p w14:paraId="42DEF2C8" w14:textId="77777777" w:rsidR="00AB23DE" w:rsidRPr="00A8506F" w:rsidRDefault="00AB23DE" w:rsidP="00A8506F">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4F53B" w14:textId="77777777" w:rsidR="00423FB0" w:rsidRDefault="00423FB0" w:rsidP="00F450E7">
      <w:r>
        <w:separator/>
      </w:r>
    </w:p>
  </w:footnote>
  <w:footnote w:type="continuationSeparator" w:id="0">
    <w:p w14:paraId="3673A228" w14:textId="77777777" w:rsidR="00423FB0" w:rsidRDefault="00423FB0" w:rsidP="00F450E7">
      <w:r>
        <w:continuationSeparator/>
      </w:r>
    </w:p>
  </w:footnote>
  <w:footnote w:id="1">
    <w:p w14:paraId="643C41BE" w14:textId="77777777" w:rsidR="003B14A5" w:rsidRPr="0051419E" w:rsidRDefault="003B14A5" w:rsidP="003B14A5">
      <w:pPr>
        <w:pStyle w:val="FootnoteText"/>
      </w:pPr>
      <w:r>
        <w:rPr>
          <w:rStyle w:val="FootnoteReference"/>
        </w:rPr>
        <w:footnoteRef/>
      </w:r>
      <w:r>
        <w:t xml:space="preserve"> Joint Report of Experts on the Study direction Law Science of the 12 Higher education institutions (HEI) in Latvia, Riga, March 3,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331D" w14:textId="77777777" w:rsidR="00AB23DE" w:rsidRDefault="0075298F">
    <w:pPr>
      <w:pStyle w:val="Header"/>
      <w:jc w:val="center"/>
    </w:pPr>
    <w:r>
      <w:fldChar w:fldCharType="begin"/>
    </w:r>
    <w:r w:rsidR="00A7019D">
      <w:instrText xml:space="preserve"> PAGE   \* MERGEFORMAT </w:instrText>
    </w:r>
    <w:r>
      <w:fldChar w:fldCharType="separate"/>
    </w:r>
    <w:r w:rsidR="0043543E">
      <w:rPr>
        <w:noProof/>
      </w:rPr>
      <w:t>5</w:t>
    </w:r>
    <w:r>
      <w:rPr>
        <w:noProof/>
      </w:rPr>
      <w:fldChar w:fldCharType="end"/>
    </w:r>
  </w:p>
  <w:p w14:paraId="19E58706" w14:textId="77777777" w:rsidR="00AB23DE" w:rsidRDefault="00AB2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2">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3C2A"/>
    <w:rsid w:val="00013835"/>
    <w:rsid w:val="00013E66"/>
    <w:rsid w:val="0002181F"/>
    <w:rsid w:val="00025831"/>
    <w:rsid w:val="000369E9"/>
    <w:rsid w:val="0003729B"/>
    <w:rsid w:val="00041440"/>
    <w:rsid w:val="000426A1"/>
    <w:rsid w:val="00042DE3"/>
    <w:rsid w:val="00046E49"/>
    <w:rsid w:val="0005098E"/>
    <w:rsid w:val="0005348C"/>
    <w:rsid w:val="0005639B"/>
    <w:rsid w:val="00056774"/>
    <w:rsid w:val="00062C17"/>
    <w:rsid w:val="00067070"/>
    <w:rsid w:val="00073F6B"/>
    <w:rsid w:val="0007538D"/>
    <w:rsid w:val="000773F4"/>
    <w:rsid w:val="00080621"/>
    <w:rsid w:val="000855E1"/>
    <w:rsid w:val="00086520"/>
    <w:rsid w:val="00090243"/>
    <w:rsid w:val="00090642"/>
    <w:rsid w:val="00097C8B"/>
    <w:rsid w:val="000B2517"/>
    <w:rsid w:val="000B30DF"/>
    <w:rsid w:val="000C013B"/>
    <w:rsid w:val="000C0825"/>
    <w:rsid w:val="000C2A3E"/>
    <w:rsid w:val="000C30A5"/>
    <w:rsid w:val="000C31B4"/>
    <w:rsid w:val="000D0020"/>
    <w:rsid w:val="000D023E"/>
    <w:rsid w:val="000D0682"/>
    <w:rsid w:val="000D533A"/>
    <w:rsid w:val="000D5DB9"/>
    <w:rsid w:val="000E2952"/>
    <w:rsid w:val="000E34B4"/>
    <w:rsid w:val="000F2CED"/>
    <w:rsid w:val="000F4AFE"/>
    <w:rsid w:val="000F5838"/>
    <w:rsid w:val="00103E00"/>
    <w:rsid w:val="00107552"/>
    <w:rsid w:val="00107D5C"/>
    <w:rsid w:val="00110F4F"/>
    <w:rsid w:val="00120177"/>
    <w:rsid w:val="0013337C"/>
    <w:rsid w:val="0014147A"/>
    <w:rsid w:val="00143FB1"/>
    <w:rsid w:val="0015151E"/>
    <w:rsid w:val="0015704A"/>
    <w:rsid w:val="001602A5"/>
    <w:rsid w:val="001613B7"/>
    <w:rsid w:val="00165115"/>
    <w:rsid w:val="001720A1"/>
    <w:rsid w:val="001728E5"/>
    <w:rsid w:val="00176662"/>
    <w:rsid w:val="0018050A"/>
    <w:rsid w:val="001828AB"/>
    <w:rsid w:val="0018600C"/>
    <w:rsid w:val="00196C79"/>
    <w:rsid w:val="00197A1E"/>
    <w:rsid w:val="001A02CE"/>
    <w:rsid w:val="001B0962"/>
    <w:rsid w:val="001B0D24"/>
    <w:rsid w:val="001B4D6B"/>
    <w:rsid w:val="001C0D22"/>
    <w:rsid w:val="001C1B2F"/>
    <w:rsid w:val="001D1837"/>
    <w:rsid w:val="001D4215"/>
    <w:rsid w:val="001D737F"/>
    <w:rsid w:val="001F7FD1"/>
    <w:rsid w:val="002031EB"/>
    <w:rsid w:val="00205E13"/>
    <w:rsid w:val="00211994"/>
    <w:rsid w:val="00225EB3"/>
    <w:rsid w:val="00227D8D"/>
    <w:rsid w:val="0023170A"/>
    <w:rsid w:val="00236240"/>
    <w:rsid w:val="002476C5"/>
    <w:rsid w:val="00251A1E"/>
    <w:rsid w:val="002621C0"/>
    <w:rsid w:val="002632A8"/>
    <w:rsid w:val="00263899"/>
    <w:rsid w:val="00265538"/>
    <w:rsid w:val="0027398B"/>
    <w:rsid w:val="00273D67"/>
    <w:rsid w:val="002743C5"/>
    <w:rsid w:val="002857BB"/>
    <w:rsid w:val="00292B1E"/>
    <w:rsid w:val="00293CC2"/>
    <w:rsid w:val="00295C26"/>
    <w:rsid w:val="002A28EF"/>
    <w:rsid w:val="002B0A4E"/>
    <w:rsid w:val="002B349D"/>
    <w:rsid w:val="002B46D5"/>
    <w:rsid w:val="002C5FB7"/>
    <w:rsid w:val="002C76FA"/>
    <w:rsid w:val="002D432A"/>
    <w:rsid w:val="002D4794"/>
    <w:rsid w:val="002D4E26"/>
    <w:rsid w:val="002E5614"/>
    <w:rsid w:val="00304EEC"/>
    <w:rsid w:val="003115CD"/>
    <w:rsid w:val="00312B15"/>
    <w:rsid w:val="003216D5"/>
    <w:rsid w:val="00321786"/>
    <w:rsid w:val="00322DD6"/>
    <w:rsid w:val="003309C0"/>
    <w:rsid w:val="00330C0F"/>
    <w:rsid w:val="00332135"/>
    <w:rsid w:val="00335307"/>
    <w:rsid w:val="00336594"/>
    <w:rsid w:val="00336889"/>
    <w:rsid w:val="00360902"/>
    <w:rsid w:val="003702EF"/>
    <w:rsid w:val="00370532"/>
    <w:rsid w:val="0037763C"/>
    <w:rsid w:val="00391E7A"/>
    <w:rsid w:val="003931ED"/>
    <w:rsid w:val="0039397A"/>
    <w:rsid w:val="00397DED"/>
    <w:rsid w:val="003A0971"/>
    <w:rsid w:val="003A31ED"/>
    <w:rsid w:val="003A41C0"/>
    <w:rsid w:val="003B14A5"/>
    <w:rsid w:val="003B2021"/>
    <w:rsid w:val="003B2A83"/>
    <w:rsid w:val="003B6AFE"/>
    <w:rsid w:val="003C0C91"/>
    <w:rsid w:val="003C138E"/>
    <w:rsid w:val="003C3B69"/>
    <w:rsid w:val="003C3BBF"/>
    <w:rsid w:val="003D6AC7"/>
    <w:rsid w:val="003E2D40"/>
    <w:rsid w:val="003F1795"/>
    <w:rsid w:val="003F4A0B"/>
    <w:rsid w:val="0041034C"/>
    <w:rsid w:val="00410E9B"/>
    <w:rsid w:val="0041772D"/>
    <w:rsid w:val="00421A43"/>
    <w:rsid w:val="00423FB0"/>
    <w:rsid w:val="00424EE1"/>
    <w:rsid w:val="0043543E"/>
    <w:rsid w:val="00441130"/>
    <w:rsid w:val="0044426F"/>
    <w:rsid w:val="0044493F"/>
    <w:rsid w:val="00461BA3"/>
    <w:rsid w:val="00464A9B"/>
    <w:rsid w:val="00470650"/>
    <w:rsid w:val="00474A1A"/>
    <w:rsid w:val="00482C33"/>
    <w:rsid w:val="00484032"/>
    <w:rsid w:val="0048573C"/>
    <w:rsid w:val="00485D86"/>
    <w:rsid w:val="00491313"/>
    <w:rsid w:val="004940EF"/>
    <w:rsid w:val="004A1C04"/>
    <w:rsid w:val="004A1CBA"/>
    <w:rsid w:val="004A3180"/>
    <w:rsid w:val="004B0016"/>
    <w:rsid w:val="004B0EAA"/>
    <w:rsid w:val="004B0F99"/>
    <w:rsid w:val="004B5452"/>
    <w:rsid w:val="004B773E"/>
    <w:rsid w:val="004D21A7"/>
    <w:rsid w:val="004D294C"/>
    <w:rsid w:val="004D7864"/>
    <w:rsid w:val="004D7C5C"/>
    <w:rsid w:val="004E3CF0"/>
    <w:rsid w:val="004E4C91"/>
    <w:rsid w:val="004F3C64"/>
    <w:rsid w:val="004F7CD4"/>
    <w:rsid w:val="00500505"/>
    <w:rsid w:val="00503DFF"/>
    <w:rsid w:val="005154A0"/>
    <w:rsid w:val="00515D51"/>
    <w:rsid w:val="00520A3F"/>
    <w:rsid w:val="00524094"/>
    <w:rsid w:val="0052533B"/>
    <w:rsid w:val="00527B96"/>
    <w:rsid w:val="005314B6"/>
    <w:rsid w:val="005414BC"/>
    <w:rsid w:val="00541E15"/>
    <w:rsid w:val="0054384A"/>
    <w:rsid w:val="0056458B"/>
    <w:rsid w:val="00566B66"/>
    <w:rsid w:val="00570CD6"/>
    <w:rsid w:val="00576655"/>
    <w:rsid w:val="005834C0"/>
    <w:rsid w:val="00584214"/>
    <w:rsid w:val="00584886"/>
    <w:rsid w:val="00596299"/>
    <w:rsid w:val="005A24E8"/>
    <w:rsid w:val="005A2A0B"/>
    <w:rsid w:val="005B7775"/>
    <w:rsid w:val="005C097B"/>
    <w:rsid w:val="005C0F20"/>
    <w:rsid w:val="005C51D7"/>
    <w:rsid w:val="005C6650"/>
    <w:rsid w:val="005D2898"/>
    <w:rsid w:val="005D4053"/>
    <w:rsid w:val="005D4E0C"/>
    <w:rsid w:val="005E407B"/>
    <w:rsid w:val="005E4462"/>
    <w:rsid w:val="005F157D"/>
    <w:rsid w:val="005F27DC"/>
    <w:rsid w:val="00601C18"/>
    <w:rsid w:val="0060297E"/>
    <w:rsid w:val="006044B4"/>
    <w:rsid w:val="00604834"/>
    <w:rsid w:val="00632891"/>
    <w:rsid w:val="00640381"/>
    <w:rsid w:val="00644559"/>
    <w:rsid w:val="00651773"/>
    <w:rsid w:val="00651BB7"/>
    <w:rsid w:val="00655FAB"/>
    <w:rsid w:val="00656702"/>
    <w:rsid w:val="00656762"/>
    <w:rsid w:val="006623D0"/>
    <w:rsid w:val="00665321"/>
    <w:rsid w:val="00667C6F"/>
    <w:rsid w:val="0067421A"/>
    <w:rsid w:val="00675C29"/>
    <w:rsid w:val="00681EA1"/>
    <w:rsid w:val="00682330"/>
    <w:rsid w:val="00687767"/>
    <w:rsid w:val="006A0D73"/>
    <w:rsid w:val="006A26D0"/>
    <w:rsid w:val="006B02CB"/>
    <w:rsid w:val="006C1900"/>
    <w:rsid w:val="006C21D4"/>
    <w:rsid w:val="006C29AF"/>
    <w:rsid w:val="006C3F34"/>
    <w:rsid w:val="006D79A4"/>
    <w:rsid w:val="006E1D0E"/>
    <w:rsid w:val="006E5CE4"/>
    <w:rsid w:val="006E6CA4"/>
    <w:rsid w:val="006F13E4"/>
    <w:rsid w:val="006F6FEA"/>
    <w:rsid w:val="006F7D26"/>
    <w:rsid w:val="00711743"/>
    <w:rsid w:val="00712ACF"/>
    <w:rsid w:val="007210B7"/>
    <w:rsid w:val="00742008"/>
    <w:rsid w:val="007461BC"/>
    <w:rsid w:val="0074642B"/>
    <w:rsid w:val="00746D1A"/>
    <w:rsid w:val="007476CA"/>
    <w:rsid w:val="0075085E"/>
    <w:rsid w:val="00750DCE"/>
    <w:rsid w:val="0075298F"/>
    <w:rsid w:val="00755FD5"/>
    <w:rsid w:val="00756268"/>
    <w:rsid w:val="007610F4"/>
    <w:rsid w:val="0076117D"/>
    <w:rsid w:val="00764ED0"/>
    <w:rsid w:val="00765FE3"/>
    <w:rsid w:val="0078487A"/>
    <w:rsid w:val="00785DAB"/>
    <w:rsid w:val="00794D07"/>
    <w:rsid w:val="007974F8"/>
    <w:rsid w:val="007B552D"/>
    <w:rsid w:val="007C00B1"/>
    <w:rsid w:val="007C099C"/>
    <w:rsid w:val="007C4AFE"/>
    <w:rsid w:val="007C4D95"/>
    <w:rsid w:val="007F09FF"/>
    <w:rsid w:val="007F2336"/>
    <w:rsid w:val="007F73BB"/>
    <w:rsid w:val="008026C2"/>
    <w:rsid w:val="008068F6"/>
    <w:rsid w:val="00813125"/>
    <w:rsid w:val="00814944"/>
    <w:rsid w:val="00815F1F"/>
    <w:rsid w:val="008305EE"/>
    <w:rsid w:val="0083118F"/>
    <w:rsid w:val="00831F32"/>
    <w:rsid w:val="00853287"/>
    <w:rsid w:val="00853451"/>
    <w:rsid w:val="0085381B"/>
    <w:rsid w:val="00855EE8"/>
    <w:rsid w:val="0085612B"/>
    <w:rsid w:val="00857F51"/>
    <w:rsid w:val="00861145"/>
    <w:rsid w:val="008631B6"/>
    <w:rsid w:val="008644BB"/>
    <w:rsid w:val="008653FE"/>
    <w:rsid w:val="00872CA2"/>
    <w:rsid w:val="00876804"/>
    <w:rsid w:val="00877B2E"/>
    <w:rsid w:val="00877E31"/>
    <w:rsid w:val="00885B61"/>
    <w:rsid w:val="008A06BF"/>
    <w:rsid w:val="008A13BB"/>
    <w:rsid w:val="008A2F82"/>
    <w:rsid w:val="008A5A9F"/>
    <w:rsid w:val="008B714F"/>
    <w:rsid w:val="008C1A0F"/>
    <w:rsid w:val="008E5221"/>
    <w:rsid w:val="008F61B3"/>
    <w:rsid w:val="00902465"/>
    <w:rsid w:val="00905CF9"/>
    <w:rsid w:val="00907431"/>
    <w:rsid w:val="009107B8"/>
    <w:rsid w:val="00927391"/>
    <w:rsid w:val="0093218D"/>
    <w:rsid w:val="00932B1A"/>
    <w:rsid w:val="00936323"/>
    <w:rsid w:val="00937CAF"/>
    <w:rsid w:val="00941C42"/>
    <w:rsid w:val="009526E2"/>
    <w:rsid w:val="00962313"/>
    <w:rsid w:val="00963183"/>
    <w:rsid w:val="00972D81"/>
    <w:rsid w:val="0097725D"/>
    <w:rsid w:val="00980923"/>
    <w:rsid w:val="00985E10"/>
    <w:rsid w:val="0099121C"/>
    <w:rsid w:val="00996F17"/>
    <w:rsid w:val="009A1081"/>
    <w:rsid w:val="009A11D6"/>
    <w:rsid w:val="009B78C0"/>
    <w:rsid w:val="009C391D"/>
    <w:rsid w:val="009C3E0A"/>
    <w:rsid w:val="009C57D0"/>
    <w:rsid w:val="009D0942"/>
    <w:rsid w:val="009D7210"/>
    <w:rsid w:val="009D7A4C"/>
    <w:rsid w:val="009E3331"/>
    <w:rsid w:val="009E426A"/>
    <w:rsid w:val="009E4B09"/>
    <w:rsid w:val="009F52F4"/>
    <w:rsid w:val="00A06016"/>
    <w:rsid w:val="00A060FE"/>
    <w:rsid w:val="00A11A4C"/>
    <w:rsid w:val="00A1229F"/>
    <w:rsid w:val="00A14D3F"/>
    <w:rsid w:val="00A27429"/>
    <w:rsid w:val="00A27B2C"/>
    <w:rsid w:val="00A300E9"/>
    <w:rsid w:val="00A416FD"/>
    <w:rsid w:val="00A534A6"/>
    <w:rsid w:val="00A57415"/>
    <w:rsid w:val="00A639DB"/>
    <w:rsid w:val="00A7019D"/>
    <w:rsid w:val="00A81F7A"/>
    <w:rsid w:val="00A8506F"/>
    <w:rsid w:val="00A94DC4"/>
    <w:rsid w:val="00A96651"/>
    <w:rsid w:val="00AA4D48"/>
    <w:rsid w:val="00AA6E98"/>
    <w:rsid w:val="00AB23DE"/>
    <w:rsid w:val="00AC0ED5"/>
    <w:rsid w:val="00AC1384"/>
    <w:rsid w:val="00AC2B12"/>
    <w:rsid w:val="00AD37DB"/>
    <w:rsid w:val="00AD7D90"/>
    <w:rsid w:val="00AE0D56"/>
    <w:rsid w:val="00AF073B"/>
    <w:rsid w:val="00AF10A4"/>
    <w:rsid w:val="00AF27DD"/>
    <w:rsid w:val="00AF60B4"/>
    <w:rsid w:val="00B029E1"/>
    <w:rsid w:val="00B069C0"/>
    <w:rsid w:val="00B073BF"/>
    <w:rsid w:val="00B101CF"/>
    <w:rsid w:val="00B20CF6"/>
    <w:rsid w:val="00B213A8"/>
    <w:rsid w:val="00B31B99"/>
    <w:rsid w:val="00B3268C"/>
    <w:rsid w:val="00B36DE1"/>
    <w:rsid w:val="00B37D4A"/>
    <w:rsid w:val="00B41874"/>
    <w:rsid w:val="00B44990"/>
    <w:rsid w:val="00B509EE"/>
    <w:rsid w:val="00B652F8"/>
    <w:rsid w:val="00B65DA1"/>
    <w:rsid w:val="00B72094"/>
    <w:rsid w:val="00B73776"/>
    <w:rsid w:val="00B76BF2"/>
    <w:rsid w:val="00B77105"/>
    <w:rsid w:val="00B84474"/>
    <w:rsid w:val="00B90D56"/>
    <w:rsid w:val="00B939B6"/>
    <w:rsid w:val="00B94D0D"/>
    <w:rsid w:val="00BA538C"/>
    <w:rsid w:val="00BB05DE"/>
    <w:rsid w:val="00BB64C4"/>
    <w:rsid w:val="00BD09C6"/>
    <w:rsid w:val="00BD177B"/>
    <w:rsid w:val="00BD2FA9"/>
    <w:rsid w:val="00BF5FF3"/>
    <w:rsid w:val="00C05E32"/>
    <w:rsid w:val="00C15595"/>
    <w:rsid w:val="00C16040"/>
    <w:rsid w:val="00C17760"/>
    <w:rsid w:val="00C20439"/>
    <w:rsid w:val="00C22A99"/>
    <w:rsid w:val="00C24CD1"/>
    <w:rsid w:val="00C32E9C"/>
    <w:rsid w:val="00C36EE9"/>
    <w:rsid w:val="00C37315"/>
    <w:rsid w:val="00C37DA4"/>
    <w:rsid w:val="00C44467"/>
    <w:rsid w:val="00C46032"/>
    <w:rsid w:val="00C50209"/>
    <w:rsid w:val="00C50CE8"/>
    <w:rsid w:val="00C51FE5"/>
    <w:rsid w:val="00C55574"/>
    <w:rsid w:val="00C563E2"/>
    <w:rsid w:val="00C608D8"/>
    <w:rsid w:val="00C62DE1"/>
    <w:rsid w:val="00C708AB"/>
    <w:rsid w:val="00C74397"/>
    <w:rsid w:val="00C8024F"/>
    <w:rsid w:val="00C856F8"/>
    <w:rsid w:val="00C87FE5"/>
    <w:rsid w:val="00C904DB"/>
    <w:rsid w:val="00C932EE"/>
    <w:rsid w:val="00CA4B70"/>
    <w:rsid w:val="00CA7540"/>
    <w:rsid w:val="00CB6DB2"/>
    <w:rsid w:val="00CB7038"/>
    <w:rsid w:val="00CC5E2E"/>
    <w:rsid w:val="00CD0CD6"/>
    <w:rsid w:val="00CD14DE"/>
    <w:rsid w:val="00CD1C07"/>
    <w:rsid w:val="00CD46D4"/>
    <w:rsid w:val="00CE662F"/>
    <w:rsid w:val="00CF00DB"/>
    <w:rsid w:val="00CF0695"/>
    <w:rsid w:val="00CF06CC"/>
    <w:rsid w:val="00D10F9E"/>
    <w:rsid w:val="00D12648"/>
    <w:rsid w:val="00D16199"/>
    <w:rsid w:val="00D16EB6"/>
    <w:rsid w:val="00D22FD1"/>
    <w:rsid w:val="00D3409D"/>
    <w:rsid w:val="00D47B61"/>
    <w:rsid w:val="00D518D4"/>
    <w:rsid w:val="00D56CF1"/>
    <w:rsid w:val="00D607E4"/>
    <w:rsid w:val="00D63252"/>
    <w:rsid w:val="00D648E5"/>
    <w:rsid w:val="00D740AE"/>
    <w:rsid w:val="00D80108"/>
    <w:rsid w:val="00D83694"/>
    <w:rsid w:val="00D86022"/>
    <w:rsid w:val="00D90192"/>
    <w:rsid w:val="00D92D02"/>
    <w:rsid w:val="00D96F27"/>
    <w:rsid w:val="00DB0B28"/>
    <w:rsid w:val="00DC4DE5"/>
    <w:rsid w:val="00DD3CDC"/>
    <w:rsid w:val="00DE0143"/>
    <w:rsid w:val="00DE1B27"/>
    <w:rsid w:val="00DE4CAF"/>
    <w:rsid w:val="00DF0865"/>
    <w:rsid w:val="00DF4A0E"/>
    <w:rsid w:val="00DF67B5"/>
    <w:rsid w:val="00E02213"/>
    <w:rsid w:val="00E064CF"/>
    <w:rsid w:val="00E209B6"/>
    <w:rsid w:val="00E24751"/>
    <w:rsid w:val="00E25137"/>
    <w:rsid w:val="00E34369"/>
    <w:rsid w:val="00E351DD"/>
    <w:rsid w:val="00E44BD6"/>
    <w:rsid w:val="00E54D9D"/>
    <w:rsid w:val="00E57913"/>
    <w:rsid w:val="00E57A6D"/>
    <w:rsid w:val="00E6313D"/>
    <w:rsid w:val="00E712E0"/>
    <w:rsid w:val="00E84830"/>
    <w:rsid w:val="00E84B23"/>
    <w:rsid w:val="00E8627C"/>
    <w:rsid w:val="00E9042F"/>
    <w:rsid w:val="00EA177E"/>
    <w:rsid w:val="00EA6E1C"/>
    <w:rsid w:val="00EB2811"/>
    <w:rsid w:val="00EB6DF1"/>
    <w:rsid w:val="00EC1D45"/>
    <w:rsid w:val="00ED0822"/>
    <w:rsid w:val="00ED79A6"/>
    <w:rsid w:val="00EE1B80"/>
    <w:rsid w:val="00EE2228"/>
    <w:rsid w:val="00EF270A"/>
    <w:rsid w:val="00EF2CD8"/>
    <w:rsid w:val="00EF4B99"/>
    <w:rsid w:val="00EF63EC"/>
    <w:rsid w:val="00EF7E12"/>
    <w:rsid w:val="00F00AF4"/>
    <w:rsid w:val="00F01A43"/>
    <w:rsid w:val="00F02B63"/>
    <w:rsid w:val="00F07B1A"/>
    <w:rsid w:val="00F12176"/>
    <w:rsid w:val="00F14CAC"/>
    <w:rsid w:val="00F26D3D"/>
    <w:rsid w:val="00F34B5C"/>
    <w:rsid w:val="00F34EBF"/>
    <w:rsid w:val="00F3699E"/>
    <w:rsid w:val="00F36AB8"/>
    <w:rsid w:val="00F450E7"/>
    <w:rsid w:val="00F50749"/>
    <w:rsid w:val="00F54188"/>
    <w:rsid w:val="00F635C5"/>
    <w:rsid w:val="00F67EBD"/>
    <w:rsid w:val="00F70520"/>
    <w:rsid w:val="00F75137"/>
    <w:rsid w:val="00F75198"/>
    <w:rsid w:val="00F75D85"/>
    <w:rsid w:val="00F80EBE"/>
    <w:rsid w:val="00F81111"/>
    <w:rsid w:val="00F90931"/>
    <w:rsid w:val="00F939F2"/>
    <w:rsid w:val="00F940BE"/>
    <w:rsid w:val="00F957DA"/>
    <w:rsid w:val="00FB09E7"/>
    <w:rsid w:val="00FB7732"/>
    <w:rsid w:val="00FB78B1"/>
    <w:rsid w:val="00FB7A57"/>
    <w:rsid w:val="00FC2A20"/>
    <w:rsid w:val="00FC4B0C"/>
    <w:rsid w:val="00FD085C"/>
    <w:rsid w:val="00FD31A4"/>
    <w:rsid w:val="00FE1D16"/>
    <w:rsid w:val="00FE1FBC"/>
    <w:rsid w:val="00FE2598"/>
    <w:rsid w:val="00FE3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4E390C"/>
  <w15:docId w15:val="{0C2EE547-F993-4B90-AA7F-4925813B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paragraph" w:styleId="Heading3">
    <w:name w:val="heading 3"/>
    <w:basedOn w:val="Normal"/>
    <w:next w:val="Normal"/>
    <w:link w:val="Heading3Char"/>
    <w:uiPriority w:val="9"/>
    <w:unhideWhenUsed/>
    <w:qFormat/>
    <w:rsid w:val="00932B1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uiPriority w:val="99"/>
    <w:rsid w:val="004B5452"/>
    <w:pPr>
      <w:tabs>
        <w:tab w:val="center" w:pos="4153"/>
        <w:tab w:val="right" w:pos="8306"/>
      </w:tabs>
    </w:p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Default">
    <w:name w:val="Default"/>
    <w:rsid w:val="006A26D0"/>
    <w:pPr>
      <w:autoSpaceDE w:val="0"/>
      <w:autoSpaceDN w:val="0"/>
      <w:adjustRightInd w:val="0"/>
    </w:pPr>
    <w:rPr>
      <w:rFonts w:ascii="Times New Roman" w:hAnsi="Times New Roman" w:cs="Times New Roman"/>
      <w:color w:val="000000"/>
      <w:sz w:val="24"/>
      <w:szCs w:val="24"/>
    </w:rPr>
  </w:style>
  <w:style w:type="character" w:styleId="Strong">
    <w:name w:val="Strong"/>
    <w:uiPriority w:val="22"/>
    <w:qFormat/>
    <w:rsid w:val="00E84B23"/>
    <w:rPr>
      <w:b/>
      <w:bCs/>
    </w:rPr>
  </w:style>
  <w:style w:type="character" w:styleId="FootnoteReference">
    <w:name w:val="footnote reference"/>
    <w:rsid w:val="003B14A5"/>
    <w:rPr>
      <w:rFonts w:cs="Times New Roman"/>
      <w:vertAlign w:val="superscript"/>
    </w:rPr>
  </w:style>
  <w:style w:type="character" w:customStyle="1" w:styleId="Heading3Char">
    <w:name w:val="Heading 3 Char"/>
    <w:basedOn w:val="DefaultParagraphFont"/>
    <w:link w:val="Heading3"/>
    <w:uiPriority w:val="9"/>
    <w:rsid w:val="00932B1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6D19-625B-45E8-924B-F20B3C35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7353</Words>
  <Characters>4192</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2014.gadā"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2014.gadā" anotācija</dc:title>
  <dc:subject>anotācijas projekts</dc:subject>
  <dc:creator>Vēsma Abizāre - Vagre</dc:creator>
  <cp:keywords/>
  <dc:description>vesma.abizares@izm.gov.lv; tālr. 67047752</dc:description>
  <cp:lastModifiedBy>Inese Stūre</cp:lastModifiedBy>
  <cp:revision>15</cp:revision>
  <cp:lastPrinted>2014-12-30T07:17:00Z</cp:lastPrinted>
  <dcterms:created xsi:type="dcterms:W3CDTF">2014-12-17T10:05:00Z</dcterms:created>
  <dcterms:modified xsi:type="dcterms:W3CDTF">2015-01-10T08:33:00Z</dcterms:modified>
</cp:coreProperties>
</file>