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33" w:rsidRPr="005E7884" w:rsidRDefault="00781C33" w:rsidP="00781C33">
      <w:pPr>
        <w:tabs>
          <w:tab w:val="left" w:pos="6480"/>
        </w:tabs>
        <w:jc w:val="right"/>
        <w:rPr>
          <w:sz w:val="26"/>
          <w:szCs w:val="26"/>
          <w:lang w:val="lv-LV"/>
        </w:rPr>
      </w:pPr>
      <w:r w:rsidRPr="005E7884">
        <w:rPr>
          <w:sz w:val="26"/>
          <w:szCs w:val="26"/>
          <w:lang w:val="lv-LV"/>
        </w:rPr>
        <w:t>Projekts</w:t>
      </w:r>
    </w:p>
    <w:p w:rsidR="00781C33" w:rsidRPr="005E7884" w:rsidRDefault="00781C33" w:rsidP="00781C33">
      <w:pPr>
        <w:tabs>
          <w:tab w:val="left" w:pos="6480"/>
        </w:tabs>
        <w:rPr>
          <w:sz w:val="26"/>
          <w:szCs w:val="26"/>
          <w:lang w:val="lv-LV"/>
        </w:rPr>
      </w:pPr>
    </w:p>
    <w:p w:rsidR="00781C33" w:rsidRPr="005E7884" w:rsidRDefault="00781C33" w:rsidP="00781C33">
      <w:pPr>
        <w:tabs>
          <w:tab w:val="left" w:pos="6480"/>
        </w:tabs>
        <w:rPr>
          <w:sz w:val="26"/>
          <w:szCs w:val="26"/>
          <w:lang w:val="lv-LV"/>
        </w:rPr>
      </w:pPr>
    </w:p>
    <w:p w:rsidR="00781C33" w:rsidRPr="005E7884" w:rsidRDefault="006A07C1" w:rsidP="00781C33">
      <w:pPr>
        <w:pStyle w:val="BodyText"/>
        <w:tabs>
          <w:tab w:val="left" w:pos="6480"/>
        </w:tabs>
        <w:jc w:val="left"/>
        <w:rPr>
          <w:b w:val="0"/>
          <w:bCs/>
          <w:sz w:val="26"/>
          <w:szCs w:val="26"/>
        </w:rPr>
      </w:pPr>
      <w:r>
        <w:rPr>
          <w:b w:val="0"/>
          <w:bCs/>
          <w:sz w:val="26"/>
          <w:szCs w:val="26"/>
        </w:rPr>
        <w:t>2015</w:t>
      </w:r>
      <w:r w:rsidR="00781C33" w:rsidRPr="005E7884">
        <w:rPr>
          <w:b w:val="0"/>
          <w:bCs/>
          <w:sz w:val="26"/>
          <w:szCs w:val="26"/>
        </w:rPr>
        <w:t xml:space="preserve">.gada          </w:t>
      </w:r>
      <w:r w:rsidR="00781C33" w:rsidRPr="005E7884">
        <w:rPr>
          <w:b w:val="0"/>
          <w:bCs/>
          <w:sz w:val="26"/>
          <w:szCs w:val="26"/>
        </w:rPr>
        <w:tab/>
        <w:t xml:space="preserve"> Rīkojums Nr.</w:t>
      </w:r>
    </w:p>
    <w:p w:rsidR="00781C33" w:rsidRPr="005E7884" w:rsidRDefault="00781C33" w:rsidP="00781C33">
      <w:pPr>
        <w:tabs>
          <w:tab w:val="left" w:pos="6480"/>
        </w:tabs>
        <w:rPr>
          <w:sz w:val="26"/>
          <w:szCs w:val="26"/>
          <w:lang w:val="lv-LV"/>
        </w:rPr>
      </w:pPr>
      <w:r w:rsidRPr="005E7884">
        <w:rPr>
          <w:sz w:val="26"/>
          <w:szCs w:val="26"/>
          <w:lang w:val="lv-LV"/>
        </w:rPr>
        <w:t>Rīgā</w:t>
      </w:r>
      <w:r w:rsidRPr="005E7884">
        <w:rPr>
          <w:sz w:val="26"/>
          <w:szCs w:val="26"/>
          <w:lang w:val="lv-LV"/>
        </w:rPr>
        <w:tab/>
        <w:t xml:space="preserve"> (prot. Nr.                .§)</w:t>
      </w:r>
    </w:p>
    <w:p w:rsidR="00781C33" w:rsidRPr="005E7884" w:rsidRDefault="00781C33" w:rsidP="00781C33">
      <w:pPr>
        <w:tabs>
          <w:tab w:val="left" w:pos="6480"/>
        </w:tabs>
        <w:rPr>
          <w:sz w:val="26"/>
          <w:szCs w:val="26"/>
          <w:lang w:val="lv-LV"/>
        </w:rPr>
      </w:pPr>
    </w:p>
    <w:p w:rsidR="00781C33" w:rsidRPr="005E7884" w:rsidRDefault="00781C33" w:rsidP="00781C33">
      <w:pPr>
        <w:tabs>
          <w:tab w:val="left" w:pos="6480"/>
        </w:tabs>
        <w:rPr>
          <w:sz w:val="26"/>
          <w:szCs w:val="26"/>
          <w:lang w:val="lv-LV"/>
        </w:rPr>
      </w:pPr>
    </w:p>
    <w:p w:rsidR="00781C33" w:rsidRPr="00DD59E3" w:rsidRDefault="00781C33" w:rsidP="00781C33">
      <w:pPr>
        <w:pStyle w:val="Heading3"/>
        <w:rPr>
          <w:sz w:val="26"/>
          <w:szCs w:val="26"/>
        </w:rPr>
      </w:pPr>
      <w:r w:rsidRPr="005E7884">
        <w:rPr>
          <w:sz w:val="26"/>
          <w:szCs w:val="26"/>
        </w:rPr>
        <w:t xml:space="preserve">Par atteikumu atvērt studiju virzienu </w:t>
      </w:r>
      <w:r w:rsidR="008B6439">
        <w:rPr>
          <w:sz w:val="26"/>
          <w:szCs w:val="26"/>
        </w:rPr>
        <w:t>“</w:t>
      </w:r>
      <w:r w:rsidR="008B6439" w:rsidRPr="00AB625A">
        <w:rPr>
          <w:sz w:val="26"/>
          <w:szCs w:val="26"/>
        </w:rPr>
        <w:t>Tiesību zinātne</w:t>
      </w:r>
      <w:r w:rsidR="008B6439">
        <w:rPr>
          <w:sz w:val="26"/>
          <w:szCs w:val="26"/>
        </w:rPr>
        <w:t xml:space="preserve">” </w:t>
      </w:r>
      <w:r w:rsidR="008C6553" w:rsidRPr="005E7884">
        <w:rPr>
          <w:sz w:val="26"/>
          <w:szCs w:val="26"/>
        </w:rPr>
        <w:t>sabiedrībā ar ierobežotu atbildību</w:t>
      </w:r>
      <w:r w:rsidRPr="005E7884">
        <w:rPr>
          <w:sz w:val="26"/>
          <w:szCs w:val="26"/>
        </w:rPr>
        <w:t xml:space="preserve"> </w:t>
      </w:r>
      <w:r w:rsidRPr="00AB625A">
        <w:rPr>
          <w:sz w:val="26"/>
          <w:szCs w:val="26"/>
        </w:rPr>
        <w:t>„</w:t>
      </w:r>
      <w:r w:rsidR="00905750" w:rsidRPr="00AB625A">
        <w:rPr>
          <w:sz w:val="26"/>
          <w:szCs w:val="26"/>
        </w:rPr>
        <w:t>Ekonomikas un kultūras augstskola</w:t>
      </w:r>
      <w:r w:rsidRPr="00AB625A">
        <w:rPr>
          <w:sz w:val="26"/>
          <w:szCs w:val="26"/>
        </w:rPr>
        <w:t>”</w:t>
      </w:r>
    </w:p>
    <w:p w:rsidR="00BE6D96" w:rsidRPr="00E06AA3" w:rsidRDefault="00BE6D96">
      <w:pPr>
        <w:rPr>
          <w:sz w:val="26"/>
          <w:szCs w:val="26"/>
          <w:lang w:val="lv-LV"/>
        </w:rPr>
      </w:pPr>
    </w:p>
    <w:p w:rsidR="00781C33" w:rsidRPr="00E06AA3" w:rsidRDefault="00781C33">
      <w:pPr>
        <w:rPr>
          <w:sz w:val="26"/>
          <w:szCs w:val="26"/>
          <w:lang w:val="lv-LV"/>
        </w:rPr>
      </w:pPr>
    </w:p>
    <w:p w:rsidR="00D86C04" w:rsidRPr="00AB625A" w:rsidRDefault="00A64937" w:rsidP="00C167D6">
      <w:pPr>
        <w:ind w:firstLine="720"/>
        <w:jc w:val="both"/>
        <w:rPr>
          <w:sz w:val="26"/>
          <w:szCs w:val="26"/>
          <w:lang w:val="lv-LV"/>
        </w:rPr>
      </w:pPr>
      <w:r>
        <w:rPr>
          <w:sz w:val="26"/>
          <w:szCs w:val="26"/>
          <w:lang w:val="lv-LV"/>
        </w:rPr>
        <w:t xml:space="preserve">1. </w:t>
      </w:r>
      <w:r w:rsidR="00781C33" w:rsidRPr="00AB625A">
        <w:rPr>
          <w:sz w:val="26"/>
          <w:szCs w:val="26"/>
          <w:lang w:val="lv-LV"/>
        </w:rPr>
        <w:t>Ministru kabinets (adrese – Brīvī</w:t>
      </w:r>
      <w:r w:rsidR="00D86C04" w:rsidRPr="00AB625A">
        <w:rPr>
          <w:sz w:val="26"/>
          <w:szCs w:val="26"/>
          <w:lang w:val="lv-LV"/>
        </w:rPr>
        <w:t xml:space="preserve">bas bulvāris 36, Rīga, LV-1520), </w:t>
      </w:r>
      <w:r w:rsidR="00D713D3" w:rsidRPr="00AB625A">
        <w:rPr>
          <w:sz w:val="26"/>
          <w:szCs w:val="26"/>
          <w:lang w:val="lv-LV"/>
        </w:rPr>
        <w:t xml:space="preserve">pamatojoties uz </w:t>
      </w:r>
      <w:r w:rsidR="00525000" w:rsidRPr="00AB625A">
        <w:rPr>
          <w:sz w:val="26"/>
          <w:szCs w:val="26"/>
          <w:lang w:val="lv-LV"/>
        </w:rPr>
        <w:t>Augstskolu likuma 55.</w:t>
      </w:r>
      <w:r w:rsidR="00525000" w:rsidRPr="00AB625A">
        <w:rPr>
          <w:sz w:val="26"/>
          <w:szCs w:val="26"/>
          <w:vertAlign w:val="superscript"/>
          <w:lang w:val="lv-LV"/>
        </w:rPr>
        <w:t>2</w:t>
      </w:r>
      <w:r w:rsidR="00525000" w:rsidRPr="00AB625A">
        <w:rPr>
          <w:sz w:val="26"/>
          <w:szCs w:val="26"/>
          <w:lang w:val="lv-LV"/>
        </w:rPr>
        <w:t xml:space="preserve"> panta trešo daļu, </w:t>
      </w:r>
      <w:r w:rsidR="00BE0458">
        <w:rPr>
          <w:sz w:val="26"/>
          <w:szCs w:val="26"/>
          <w:lang w:val="lv-LV"/>
        </w:rPr>
        <w:t xml:space="preserve">ir </w:t>
      </w:r>
      <w:r w:rsidR="00D86C04" w:rsidRPr="00AB625A">
        <w:rPr>
          <w:sz w:val="26"/>
          <w:szCs w:val="26"/>
          <w:lang w:val="lv-LV"/>
        </w:rPr>
        <w:t>izvērtē</w:t>
      </w:r>
      <w:r w:rsidR="00BE0458">
        <w:rPr>
          <w:sz w:val="26"/>
          <w:szCs w:val="26"/>
          <w:lang w:val="lv-LV"/>
        </w:rPr>
        <w:t>jis</w:t>
      </w:r>
      <w:r w:rsidR="00D86C04" w:rsidRPr="00AB625A">
        <w:rPr>
          <w:sz w:val="26"/>
          <w:szCs w:val="26"/>
          <w:lang w:val="lv-LV"/>
        </w:rPr>
        <w:t xml:space="preserve"> </w:t>
      </w:r>
      <w:r w:rsidR="005E1ABA" w:rsidRPr="00AB625A">
        <w:rPr>
          <w:sz w:val="26"/>
          <w:szCs w:val="26"/>
          <w:lang w:val="lv-LV"/>
        </w:rPr>
        <w:t>sabiedrības ar ierobežotu atbildību “</w:t>
      </w:r>
      <w:r w:rsidR="003D2581" w:rsidRPr="00AB625A">
        <w:rPr>
          <w:sz w:val="26"/>
          <w:szCs w:val="26"/>
          <w:lang w:val="lv-LV"/>
        </w:rPr>
        <w:t>Ekonomikas un kultūras augstskola</w:t>
      </w:r>
      <w:r w:rsidR="005E1ABA" w:rsidRPr="00AB625A">
        <w:rPr>
          <w:sz w:val="26"/>
          <w:szCs w:val="26"/>
          <w:lang w:val="lv-LV"/>
        </w:rPr>
        <w:t>”</w:t>
      </w:r>
      <w:r w:rsidR="00F4017C" w:rsidRPr="00AB625A">
        <w:rPr>
          <w:i/>
          <w:sz w:val="26"/>
          <w:szCs w:val="26"/>
          <w:lang w:val="lv-LV"/>
        </w:rPr>
        <w:t xml:space="preserve"> </w:t>
      </w:r>
      <w:r w:rsidR="005E1ABA" w:rsidRPr="00AB625A">
        <w:rPr>
          <w:sz w:val="26"/>
          <w:szCs w:val="26"/>
          <w:lang w:val="lv-LV"/>
        </w:rPr>
        <w:t xml:space="preserve">(izglītības iestādes reģistrācijas numurs </w:t>
      </w:r>
      <w:hyperlink r:id="rId7" w:history="1">
        <w:r w:rsidR="003D2581" w:rsidRPr="00A64937">
          <w:rPr>
            <w:rStyle w:val="Hyperlink"/>
            <w:color w:val="auto"/>
            <w:sz w:val="26"/>
            <w:szCs w:val="26"/>
            <w:u w:val="none"/>
            <w:lang w:val="lv-LV"/>
          </w:rPr>
          <w:t>3343800214</w:t>
        </w:r>
      </w:hyperlink>
      <w:r w:rsidR="005E1ABA" w:rsidRPr="00AB625A">
        <w:rPr>
          <w:sz w:val="26"/>
          <w:szCs w:val="26"/>
          <w:lang w:val="lv-LV"/>
        </w:rPr>
        <w:t xml:space="preserve">, adrese – </w:t>
      </w:r>
      <w:r w:rsidR="003D2581" w:rsidRPr="00AB625A">
        <w:rPr>
          <w:sz w:val="26"/>
          <w:szCs w:val="26"/>
          <w:lang w:val="lv-LV"/>
        </w:rPr>
        <w:t>Lomonosova</w:t>
      </w:r>
      <w:r w:rsidR="00BE0458">
        <w:rPr>
          <w:sz w:val="26"/>
          <w:szCs w:val="26"/>
          <w:lang w:val="lv-LV"/>
        </w:rPr>
        <w:t xml:space="preserve"> iela</w:t>
      </w:r>
      <w:r w:rsidR="003D2581" w:rsidRPr="00AB625A">
        <w:rPr>
          <w:sz w:val="26"/>
          <w:szCs w:val="26"/>
          <w:lang w:val="lv-LV"/>
        </w:rPr>
        <w:t xml:space="preserve"> 1/5, Rīga, LV-1019</w:t>
      </w:r>
      <w:r w:rsidR="005E1ABA" w:rsidRPr="00AB625A">
        <w:rPr>
          <w:sz w:val="26"/>
          <w:szCs w:val="26"/>
          <w:lang w:val="lv-LV"/>
        </w:rPr>
        <w:t>)</w:t>
      </w:r>
      <w:r w:rsidR="00540697" w:rsidRPr="00AB625A">
        <w:rPr>
          <w:sz w:val="26"/>
          <w:szCs w:val="26"/>
          <w:lang w:val="lv-LV"/>
        </w:rPr>
        <w:t xml:space="preserve"> (turpmāk - </w:t>
      </w:r>
      <w:r w:rsidR="00C167D6">
        <w:rPr>
          <w:sz w:val="26"/>
          <w:szCs w:val="26"/>
          <w:lang w:val="lv-LV"/>
        </w:rPr>
        <w:t>a</w:t>
      </w:r>
      <w:r w:rsidR="003D2581" w:rsidRPr="00AB625A">
        <w:rPr>
          <w:sz w:val="26"/>
          <w:szCs w:val="26"/>
          <w:lang w:val="lv-LV"/>
        </w:rPr>
        <w:t>ugstskola</w:t>
      </w:r>
      <w:r w:rsidR="00540697" w:rsidRPr="00AB625A">
        <w:rPr>
          <w:sz w:val="26"/>
          <w:szCs w:val="26"/>
          <w:lang w:val="lv-LV"/>
        </w:rPr>
        <w:t>)</w:t>
      </w:r>
      <w:r w:rsidR="00742BD3" w:rsidRPr="00AB625A">
        <w:rPr>
          <w:sz w:val="26"/>
          <w:szCs w:val="26"/>
          <w:lang w:val="lv-LV"/>
        </w:rPr>
        <w:t xml:space="preserve"> </w:t>
      </w:r>
      <w:r w:rsidR="00D86C04" w:rsidRPr="00AB625A">
        <w:rPr>
          <w:sz w:val="26"/>
          <w:szCs w:val="26"/>
          <w:lang w:val="lv-LV"/>
        </w:rPr>
        <w:t xml:space="preserve">pieejamos resursus un </w:t>
      </w:r>
      <w:r w:rsidR="00C167D6">
        <w:rPr>
          <w:sz w:val="26"/>
          <w:szCs w:val="26"/>
          <w:lang w:val="lv-LV"/>
        </w:rPr>
        <w:t>a</w:t>
      </w:r>
      <w:r w:rsidR="003D2581" w:rsidRPr="00AB625A">
        <w:rPr>
          <w:sz w:val="26"/>
          <w:szCs w:val="26"/>
          <w:lang w:val="lv-LV"/>
        </w:rPr>
        <w:t>ugstskolas</w:t>
      </w:r>
      <w:r w:rsidR="008C6553" w:rsidRPr="00AB625A">
        <w:rPr>
          <w:sz w:val="26"/>
          <w:szCs w:val="26"/>
          <w:lang w:val="lv-LV"/>
        </w:rPr>
        <w:t xml:space="preserve"> studiju virziena „</w:t>
      </w:r>
      <w:r w:rsidR="003D2581" w:rsidRPr="00AB625A">
        <w:rPr>
          <w:sz w:val="26"/>
          <w:szCs w:val="26"/>
          <w:lang w:val="lv-LV"/>
        </w:rPr>
        <w:t>Tiesību zinātne</w:t>
      </w:r>
      <w:r w:rsidR="008C6553" w:rsidRPr="00AB625A">
        <w:rPr>
          <w:sz w:val="26"/>
          <w:szCs w:val="26"/>
          <w:lang w:val="lv-LV"/>
        </w:rPr>
        <w:t xml:space="preserve">” </w:t>
      </w:r>
      <w:r w:rsidR="00D86C04" w:rsidRPr="00AB625A">
        <w:rPr>
          <w:sz w:val="26"/>
          <w:szCs w:val="26"/>
          <w:lang w:val="lv-LV"/>
        </w:rPr>
        <w:t>atbilstību valsts attīstības prioritātēm</w:t>
      </w:r>
      <w:r w:rsidR="00525000" w:rsidRPr="00AB625A">
        <w:rPr>
          <w:sz w:val="26"/>
          <w:szCs w:val="26"/>
          <w:lang w:val="lv-LV"/>
        </w:rPr>
        <w:t xml:space="preserve"> un</w:t>
      </w:r>
      <w:r w:rsidR="008C6553" w:rsidRPr="00AB625A">
        <w:rPr>
          <w:sz w:val="26"/>
          <w:szCs w:val="26"/>
          <w:lang w:val="lv-LV"/>
        </w:rPr>
        <w:t xml:space="preserve"> konstatē:</w:t>
      </w:r>
    </w:p>
    <w:p w:rsidR="00D86C04" w:rsidRPr="005E7884" w:rsidRDefault="00D86C04" w:rsidP="008C6553">
      <w:pPr>
        <w:pStyle w:val="ListParagraph"/>
        <w:ind w:left="360"/>
        <w:jc w:val="both"/>
        <w:rPr>
          <w:sz w:val="26"/>
          <w:szCs w:val="26"/>
          <w:lang w:val="lv-LV"/>
        </w:rPr>
      </w:pPr>
    </w:p>
    <w:p w:rsidR="00872058" w:rsidRPr="00AB625A" w:rsidRDefault="003829C3" w:rsidP="00C167D6">
      <w:pPr>
        <w:ind w:firstLine="720"/>
        <w:jc w:val="both"/>
        <w:rPr>
          <w:sz w:val="26"/>
          <w:szCs w:val="26"/>
          <w:lang w:val="lv-LV"/>
        </w:rPr>
      </w:pPr>
      <w:r>
        <w:rPr>
          <w:sz w:val="26"/>
          <w:szCs w:val="26"/>
          <w:lang w:val="lv-LV"/>
        </w:rPr>
        <w:t>1.1.</w:t>
      </w:r>
      <w:r w:rsidR="00A64937">
        <w:rPr>
          <w:sz w:val="26"/>
          <w:szCs w:val="26"/>
          <w:lang w:val="lv-LV"/>
        </w:rPr>
        <w:t xml:space="preserve"> </w:t>
      </w:r>
      <w:r w:rsidR="001B23CE">
        <w:rPr>
          <w:sz w:val="26"/>
          <w:szCs w:val="26"/>
          <w:lang w:val="lv-LV"/>
        </w:rPr>
        <w:t>a</w:t>
      </w:r>
      <w:r w:rsidR="00C16190" w:rsidRPr="00AB625A">
        <w:rPr>
          <w:sz w:val="26"/>
          <w:szCs w:val="26"/>
          <w:lang w:val="lv-LV"/>
        </w:rPr>
        <w:t>ugstskola</w:t>
      </w:r>
      <w:r w:rsidR="008C6553" w:rsidRPr="00AB625A">
        <w:rPr>
          <w:sz w:val="26"/>
          <w:szCs w:val="26"/>
          <w:lang w:val="lv-LV"/>
        </w:rPr>
        <w:t xml:space="preserve"> </w:t>
      </w:r>
      <w:r w:rsidR="00742BD3" w:rsidRPr="00AB625A">
        <w:rPr>
          <w:sz w:val="26"/>
          <w:szCs w:val="26"/>
          <w:lang w:val="lv-LV"/>
        </w:rPr>
        <w:t>201</w:t>
      </w:r>
      <w:r w:rsidR="0047194F" w:rsidRPr="00AB625A">
        <w:rPr>
          <w:sz w:val="26"/>
          <w:szCs w:val="26"/>
          <w:lang w:val="lv-LV"/>
        </w:rPr>
        <w:t>4</w:t>
      </w:r>
      <w:r w:rsidR="00742BD3" w:rsidRPr="00AB625A">
        <w:rPr>
          <w:sz w:val="26"/>
          <w:szCs w:val="26"/>
          <w:lang w:val="lv-LV"/>
        </w:rPr>
        <w:t xml:space="preserve">.gada </w:t>
      </w:r>
      <w:r w:rsidR="0047194F" w:rsidRPr="00AB625A">
        <w:rPr>
          <w:sz w:val="26"/>
          <w:szCs w:val="26"/>
          <w:lang w:val="lv-LV"/>
        </w:rPr>
        <w:t>23</w:t>
      </w:r>
      <w:r w:rsidR="00742BD3" w:rsidRPr="00AB625A">
        <w:rPr>
          <w:sz w:val="26"/>
          <w:szCs w:val="26"/>
          <w:lang w:val="lv-LV"/>
        </w:rPr>
        <w:t>.</w:t>
      </w:r>
      <w:r w:rsidR="0047194F" w:rsidRPr="00AB625A">
        <w:rPr>
          <w:sz w:val="26"/>
          <w:szCs w:val="26"/>
          <w:lang w:val="lv-LV"/>
        </w:rPr>
        <w:t>maijā</w:t>
      </w:r>
      <w:r w:rsidR="00742BD3" w:rsidRPr="00AB625A">
        <w:rPr>
          <w:sz w:val="26"/>
          <w:szCs w:val="26"/>
          <w:lang w:val="lv-LV"/>
        </w:rPr>
        <w:t xml:space="preserve"> </w:t>
      </w:r>
      <w:r w:rsidR="008C6553" w:rsidRPr="00AB625A">
        <w:rPr>
          <w:sz w:val="26"/>
          <w:szCs w:val="26"/>
          <w:lang w:val="lv-LV"/>
        </w:rPr>
        <w:t xml:space="preserve">iesniedza </w:t>
      </w:r>
      <w:r w:rsidR="00742BD3" w:rsidRPr="00AB625A">
        <w:rPr>
          <w:sz w:val="26"/>
          <w:szCs w:val="26"/>
          <w:lang w:val="lv-LV"/>
        </w:rPr>
        <w:t>Izglītības un zinātnes ministrijā</w:t>
      </w:r>
      <w:r w:rsidR="004E557F" w:rsidRPr="00AB625A">
        <w:rPr>
          <w:sz w:val="26"/>
          <w:szCs w:val="26"/>
          <w:lang w:val="lv-LV"/>
        </w:rPr>
        <w:t xml:space="preserve"> (turpmāk – </w:t>
      </w:r>
      <w:r w:rsidR="008B018A">
        <w:rPr>
          <w:sz w:val="26"/>
          <w:szCs w:val="26"/>
          <w:lang w:val="lv-LV"/>
        </w:rPr>
        <w:t>m</w:t>
      </w:r>
      <w:r w:rsidR="004E557F" w:rsidRPr="00AB625A">
        <w:rPr>
          <w:sz w:val="26"/>
          <w:szCs w:val="26"/>
          <w:lang w:val="lv-LV"/>
        </w:rPr>
        <w:t>inistrija)</w:t>
      </w:r>
      <w:r w:rsidR="00742BD3" w:rsidRPr="00AB625A">
        <w:rPr>
          <w:sz w:val="26"/>
          <w:szCs w:val="26"/>
          <w:lang w:val="lv-LV"/>
        </w:rPr>
        <w:t xml:space="preserve"> </w:t>
      </w:r>
      <w:r w:rsidR="006950A3" w:rsidRPr="00AB625A">
        <w:rPr>
          <w:sz w:val="26"/>
          <w:szCs w:val="26"/>
          <w:lang w:val="lv-LV"/>
        </w:rPr>
        <w:t>iesniegumu</w:t>
      </w:r>
      <w:r w:rsidR="00B238EC" w:rsidRPr="00AB625A">
        <w:rPr>
          <w:sz w:val="26"/>
          <w:szCs w:val="26"/>
          <w:lang w:val="lv-LV"/>
        </w:rPr>
        <w:t xml:space="preserve"> otrā līmeņa profesionālās augstākās izglītības bakalaura studiju programmas “Starptautiskās komercdarbības tiesības</w:t>
      </w:r>
      <w:r w:rsidR="00523216" w:rsidRPr="00AB625A">
        <w:rPr>
          <w:sz w:val="26"/>
          <w:szCs w:val="26"/>
          <w:lang w:val="lv-LV"/>
        </w:rPr>
        <w:t>” (turpmāk – studiju programma)</w:t>
      </w:r>
      <w:r w:rsidR="006950A3" w:rsidRPr="00AB625A">
        <w:rPr>
          <w:sz w:val="26"/>
          <w:szCs w:val="26"/>
          <w:lang w:val="lv-LV"/>
        </w:rPr>
        <w:t>, kura</w:t>
      </w:r>
      <w:r w:rsidR="00872058" w:rsidRPr="00AB625A">
        <w:rPr>
          <w:sz w:val="26"/>
          <w:szCs w:val="26"/>
          <w:lang w:val="lv-LV"/>
        </w:rPr>
        <w:t xml:space="preserve"> atbilst </w:t>
      </w:r>
      <w:r w:rsidR="0047194F" w:rsidRPr="00AB625A">
        <w:rPr>
          <w:sz w:val="26"/>
          <w:szCs w:val="26"/>
          <w:lang w:val="lv-LV"/>
        </w:rPr>
        <w:t>Augstskol</w:t>
      </w:r>
      <w:r w:rsidR="006950A3" w:rsidRPr="00AB625A">
        <w:rPr>
          <w:sz w:val="26"/>
          <w:szCs w:val="26"/>
          <w:lang w:val="lv-LV"/>
        </w:rPr>
        <w:t>as</w:t>
      </w:r>
      <w:r w:rsidR="001F02F1" w:rsidRPr="00AB625A">
        <w:rPr>
          <w:sz w:val="26"/>
          <w:szCs w:val="26"/>
          <w:lang w:val="lv-LV"/>
        </w:rPr>
        <w:t xml:space="preserve"> jaunajam </w:t>
      </w:r>
      <w:r w:rsidR="00872058" w:rsidRPr="00AB625A">
        <w:rPr>
          <w:sz w:val="26"/>
          <w:szCs w:val="26"/>
          <w:lang w:val="lv-LV"/>
        </w:rPr>
        <w:t>studiju virzienam „</w:t>
      </w:r>
      <w:r w:rsidR="0047194F" w:rsidRPr="00AB625A">
        <w:rPr>
          <w:sz w:val="26"/>
          <w:szCs w:val="26"/>
          <w:lang w:val="lv-LV"/>
        </w:rPr>
        <w:t>Tiesību zinātne</w:t>
      </w:r>
      <w:r w:rsidR="00872058" w:rsidRPr="00AB625A">
        <w:rPr>
          <w:sz w:val="26"/>
          <w:szCs w:val="26"/>
          <w:lang w:val="lv-LV"/>
        </w:rPr>
        <w:t>”, licencēšanai</w:t>
      </w:r>
      <w:r w:rsidR="005137BE">
        <w:rPr>
          <w:sz w:val="26"/>
          <w:szCs w:val="26"/>
          <w:lang w:val="lv-LV"/>
        </w:rPr>
        <w:t>;</w:t>
      </w:r>
    </w:p>
    <w:p w:rsidR="00540697" w:rsidRPr="005E7884" w:rsidRDefault="00540697" w:rsidP="00C167D6">
      <w:pPr>
        <w:pStyle w:val="ListParagraph"/>
        <w:ind w:left="792"/>
        <w:jc w:val="both"/>
        <w:rPr>
          <w:sz w:val="26"/>
          <w:szCs w:val="26"/>
          <w:lang w:val="lv-LV"/>
        </w:rPr>
      </w:pPr>
    </w:p>
    <w:p w:rsidR="00872058" w:rsidRPr="00AB625A" w:rsidRDefault="005137BE" w:rsidP="00C167D6">
      <w:pPr>
        <w:ind w:firstLine="720"/>
        <w:jc w:val="both"/>
        <w:rPr>
          <w:sz w:val="26"/>
          <w:szCs w:val="26"/>
          <w:lang w:val="lv-LV"/>
        </w:rPr>
      </w:pPr>
      <w:r>
        <w:rPr>
          <w:sz w:val="26"/>
          <w:szCs w:val="26"/>
          <w:lang w:val="lv-LV"/>
        </w:rPr>
        <w:t>1.2</w:t>
      </w:r>
      <w:r w:rsidR="003829C3">
        <w:rPr>
          <w:sz w:val="26"/>
          <w:szCs w:val="26"/>
          <w:lang w:val="lv-LV"/>
        </w:rPr>
        <w:t>.</w:t>
      </w:r>
      <w:r w:rsidR="00A64937">
        <w:rPr>
          <w:sz w:val="26"/>
          <w:szCs w:val="26"/>
          <w:lang w:val="lv-LV"/>
        </w:rPr>
        <w:t xml:space="preserve"> </w:t>
      </w:r>
      <w:r w:rsidR="001B23CE">
        <w:rPr>
          <w:sz w:val="26"/>
          <w:szCs w:val="26"/>
          <w:lang w:val="lv-LV"/>
        </w:rPr>
        <w:t>s</w:t>
      </w:r>
      <w:r w:rsidR="00872058" w:rsidRPr="00AB625A">
        <w:rPr>
          <w:sz w:val="26"/>
          <w:szCs w:val="26"/>
          <w:lang w:val="lv-LV"/>
        </w:rPr>
        <w:t>askaņā ar Augstskolu likuma 55.</w:t>
      </w:r>
      <w:r w:rsidR="00872058" w:rsidRPr="00AB625A">
        <w:rPr>
          <w:sz w:val="26"/>
          <w:szCs w:val="26"/>
          <w:vertAlign w:val="superscript"/>
          <w:lang w:val="lv-LV"/>
        </w:rPr>
        <w:t>2</w:t>
      </w:r>
      <w:r w:rsidR="00872058" w:rsidRPr="00AB625A">
        <w:rPr>
          <w:sz w:val="26"/>
          <w:szCs w:val="26"/>
          <w:lang w:val="lv-LV"/>
        </w:rPr>
        <w:t xml:space="preserve"> panta trešo daļu, ja augstskola vai koledža iesniedz licencēšanai studiju programmu jaunā augstskolas vai koledžas studiju virzienā, Ministru kabinets pieņem lēmumu par jauna studiju virziena atvēršanu attiec</w:t>
      </w:r>
      <w:r w:rsidR="009D473C" w:rsidRPr="00AB625A">
        <w:rPr>
          <w:sz w:val="26"/>
          <w:szCs w:val="26"/>
          <w:lang w:val="lv-LV"/>
        </w:rPr>
        <w:t>īgajā augstskolā vai kole</w:t>
      </w:r>
      <w:r w:rsidR="001B23CE">
        <w:rPr>
          <w:sz w:val="26"/>
          <w:szCs w:val="26"/>
          <w:lang w:val="lv-LV"/>
        </w:rPr>
        <w:t>džā;</w:t>
      </w:r>
    </w:p>
    <w:p w:rsidR="00872058" w:rsidRPr="005E7884" w:rsidRDefault="00872058" w:rsidP="00872058">
      <w:pPr>
        <w:jc w:val="both"/>
        <w:rPr>
          <w:sz w:val="26"/>
          <w:szCs w:val="26"/>
          <w:lang w:val="lv-LV"/>
        </w:rPr>
      </w:pPr>
    </w:p>
    <w:p w:rsidR="00217864" w:rsidRPr="00AB625A" w:rsidRDefault="001B23CE" w:rsidP="00C167D6">
      <w:pPr>
        <w:ind w:firstLine="720"/>
        <w:jc w:val="both"/>
        <w:rPr>
          <w:sz w:val="26"/>
          <w:szCs w:val="26"/>
          <w:lang w:val="lv-LV"/>
        </w:rPr>
      </w:pPr>
      <w:r>
        <w:rPr>
          <w:sz w:val="26"/>
          <w:szCs w:val="26"/>
          <w:lang w:val="lv-LV"/>
        </w:rPr>
        <w:t>1.3.</w:t>
      </w:r>
      <w:r w:rsidR="00A64937">
        <w:rPr>
          <w:sz w:val="26"/>
          <w:szCs w:val="26"/>
          <w:lang w:val="lv-LV"/>
        </w:rPr>
        <w:t xml:space="preserve"> </w:t>
      </w:r>
      <w:r>
        <w:rPr>
          <w:sz w:val="26"/>
          <w:szCs w:val="26"/>
          <w:lang w:val="lv-LV"/>
        </w:rPr>
        <w:t>s</w:t>
      </w:r>
      <w:r w:rsidR="00872058" w:rsidRPr="00AB625A">
        <w:rPr>
          <w:sz w:val="26"/>
          <w:szCs w:val="26"/>
          <w:lang w:val="lv-LV"/>
        </w:rPr>
        <w:t xml:space="preserve">askaņā ar Ministru kabineta 2013.gada 25.aprīļa noteikumu </w:t>
      </w:r>
      <w:r w:rsidR="006C09A0">
        <w:rPr>
          <w:sz w:val="26"/>
          <w:szCs w:val="26"/>
          <w:lang w:val="lv-LV"/>
        </w:rPr>
        <w:t>n</w:t>
      </w:r>
      <w:r w:rsidR="006C09A0" w:rsidRPr="00AB625A">
        <w:rPr>
          <w:sz w:val="26"/>
          <w:szCs w:val="26"/>
          <w:lang w:val="lv-LV"/>
        </w:rPr>
        <w:t>r</w:t>
      </w:r>
      <w:r w:rsidR="00872058" w:rsidRPr="00AB625A">
        <w:rPr>
          <w:sz w:val="26"/>
          <w:szCs w:val="26"/>
          <w:lang w:val="lv-LV"/>
        </w:rPr>
        <w:t xml:space="preserve">.230 „Studiju programmu licencēšanas noteikumi” </w:t>
      </w:r>
      <w:r w:rsidR="00217864" w:rsidRPr="00AB625A">
        <w:rPr>
          <w:sz w:val="26"/>
          <w:szCs w:val="26"/>
          <w:lang w:val="lv-LV"/>
        </w:rPr>
        <w:t xml:space="preserve">(turpmāk - </w:t>
      </w:r>
      <w:r w:rsidR="00002F1F">
        <w:rPr>
          <w:sz w:val="26"/>
          <w:szCs w:val="26"/>
          <w:lang w:val="lv-LV"/>
        </w:rPr>
        <w:t>l</w:t>
      </w:r>
      <w:r w:rsidR="00217864" w:rsidRPr="00AB625A">
        <w:rPr>
          <w:sz w:val="26"/>
          <w:szCs w:val="26"/>
          <w:lang w:val="lv-LV"/>
        </w:rPr>
        <w:t>icencēšanas noteikumi)</w:t>
      </w:r>
      <w:r w:rsidR="00AC41B4" w:rsidRPr="00AB625A">
        <w:rPr>
          <w:sz w:val="26"/>
          <w:szCs w:val="26"/>
          <w:lang w:val="lv-LV"/>
        </w:rPr>
        <w:t xml:space="preserve"> 1</w:t>
      </w:r>
      <w:r w:rsidR="00872058" w:rsidRPr="00AB625A">
        <w:rPr>
          <w:sz w:val="26"/>
          <w:szCs w:val="26"/>
          <w:lang w:val="lv-LV"/>
        </w:rPr>
        <w:t>4.punktu</w:t>
      </w:r>
      <w:r w:rsidR="00217864" w:rsidRPr="00AB625A">
        <w:rPr>
          <w:sz w:val="26"/>
          <w:szCs w:val="26"/>
          <w:lang w:val="lv-LV"/>
        </w:rPr>
        <w:t xml:space="preserve">, ja augstskola vai koledža iesniedz licencēšanai studiju programmu, kura atbilst jaunam studiju virzienam augstskolā vai koledžā, pirms jautājuma par studiju programmas licencēšanu izskatīšanas </w:t>
      </w:r>
      <w:r w:rsidR="001F02F1" w:rsidRPr="00AB625A">
        <w:rPr>
          <w:sz w:val="26"/>
          <w:szCs w:val="26"/>
          <w:lang w:val="lv-LV"/>
        </w:rPr>
        <w:t xml:space="preserve">Studiju programmu licencēšanas </w:t>
      </w:r>
      <w:r w:rsidR="00217864" w:rsidRPr="00AB625A">
        <w:rPr>
          <w:sz w:val="26"/>
          <w:szCs w:val="26"/>
          <w:lang w:val="lv-LV"/>
        </w:rPr>
        <w:t>komisija apstiprina ekspertu, kurš izvērtē augstskolai vai koledžai pieejamos resursus un mēneša laikā no iesnieguma saņemšanas dienas sniedz atzinumu Izg</w:t>
      </w:r>
      <w:r w:rsidR="009D6323">
        <w:rPr>
          <w:sz w:val="26"/>
          <w:szCs w:val="26"/>
          <w:lang w:val="lv-LV"/>
        </w:rPr>
        <w:t>lītības un zinātnes ministrijai;</w:t>
      </w:r>
    </w:p>
    <w:p w:rsidR="00217864" w:rsidRPr="005E7884" w:rsidRDefault="00217864" w:rsidP="00217864">
      <w:pPr>
        <w:pStyle w:val="ListParagraph"/>
        <w:rPr>
          <w:sz w:val="26"/>
          <w:szCs w:val="26"/>
          <w:lang w:val="lv-LV"/>
        </w:rPr>
      </w:pPr>
    </w:p>
    <w:p w:rsidR="00D972F5" w:rsidRPr="00AB625A" w:rsidRDefault="009D6323" w:rsidP="00C167D6">
      <w:pPr>
        <w:ind w:firstLine="720"/>
        <w:jc w:val="both"/>
        <w:rPr>
          <w:sz w:val="26"/>
          <w:szCs w:val="26"/>
          <w:lang w:val="lv-LV"/>
        </w:rPr>
      </w:pPr>
      <w:r>
        <w:rPr>
          <w:sz w:val="26"/>
          <w:szCs w:val="26"/>
          <w:lang w:val="lv-LV"/>
        </w:rPr>
        <w:t>1.4.</w:t>
      </w:r>
      <w:r w:rsidR="00B162F9">
        <w:rPr>
          <w:sz w:val="26"/>
          <w:szCs w:val="26"/>
          <w:lang w:val="lv-LV"/>
        </w:rPr>
        <w:t xml:space="preserve"> </w:t>
      </w:r>
      <w:r w:rsidR="00217864" w:rsidRPr="00AB625A">
        <w:rPr>
          <w:sz w:val="26"/>
          <w:szCs w:val="26"/>
          <w:lang w:val="lv-LV"/>
        </w:rPr>
        <w:t xml:space="preserve">Studiju programmu licencēšanas komisija, pamatojoties uz </w:t>
      </w:r>
      <w:r w:rsidR="00002F1F">
        <w:rPr>
          <w:sz w:val="26"/>
          <w:szCs w:val="26"/>
          <w:lang w:val="lv-LV"/>
        </w:rPr>
        <w:t>l</w:t>
      </w:r>
      <w:r w:rsidR="00217864" w:rsidRPr="00AB625A">
        <w:rPr>
          <w:sz w:val="26"/>
          <w:szCs w:val="26"/>
          <w:lang w:val="lv-LV"/>
        </w:rPr>
        <w:t>icencēšanas noteikumu 6.2.apakšpunktu</w:t>
      </w:r>
      <w:r w:rsidR="00474908" w:rsidRPr="00AB625A">
        <w:rPr>
          <w:sz w:val="26"/>
          <w:szCs w:val="26"/>
          <w:lang w:val="lv-LV"/>
        </w:rPr>
        <w:t xml:space="preserve">, </w:t>
      </w:r>
      <w:r w:rsidR="00235B03" w:rsidRPr="00AB625A">
        <w:rPr>
          <w:sz w:val="26"/>
          <w:szCs w:val="26"/>
          <w:lang w:val="lv-LV"/>
        </w:rPr>
        <w:t>2014</w:t>
      </w:r>
      <w:r w:rsidR="004D5073" w:rsidRPr="00AB625A">
        <w:rPr>
          <w:sz w:val="26"/>
          <w:szCs w:val="26"/>
          <w:lang w:val="lv-LV"/>
        </w:rPr>
        <w:t xml:space="preserve">.gada </w:t>
      </w:r>
      <w:r w:rsidR="00235B03" w:rsidRPr="00AB625A">
        <w:rPr>
          <w:sz w:val="26"/>
          <w:szCs w:val="26"/>
          <w:lang w:val="lv-LV"/>
        </w:rPr>
        <w:t>29.maija</w:t>
      </w:r>
      <w:r w:rsidR="004D5073" w:rsidRPr="00AB625A">
        <w:rPr>
          <w:sz w:val="26"/>
          <w:szCs w:val="26"/>
          <w:lang w:val="lv-LV"/>
        </w:rPr>
        <w:t xml:space="preserve"> sēdē </w:t>
      </w:r>
      <w:r w:rsidR="00474908" w:rsidRPr="00AB625A">
        <w:rPr>
          <w:sz w:val="26"/>
          <w:szCs w:val="26"/>
          <w:lang w:val="lv-LV"/>
        </w:rPr>
        <w:t>apstiprināja</w:t>
      </w:r>
      <w:r w:rsidR="00235B03" w:rsidRPr="00AB625A">
        <w:rPr>
          <w:sz w:val="26"/>
          <w:szCs w:val="26"/>
          <w:lang w:val="lv-LV"/>
        </w:rPr>
        <w:t xml:space="preserve"> atbilstošās nozares eksperti (turpmāk - apstiprinātā eksperte</w:t>
      </w:r>
      <w:r w:rsidR="00DB7C46" w:rsidRPr="00AB625A">
        <w:rPr>
          <w:sz w:val="26"/>
          <w:szCs w:val="26"/>
          <w:lang w:val="lv-LV"/>
        </w:rPr>
        <w:t>)</w:t>
      </w:r>
      <w:r w:rsidR="00AC41B4" w:rsidRPr="00AB625A">
        <w:rPr>
          <w:sz w:val="26"/>
          <w:szCs w:val="26"/>
          <w:lang w:val="lv-LV"/>
        </w:rPr>
        <w:t xml:space="preserve"> studiju programmas izvērtēšanai un </w:t>
      </w:r>
      <w:r w:rsidR="00002F1F">
        <w:rPr>
          <w:sz w:val="26"/>
          <w:szCs w:val="26"/>
          <w:lang w:val="lv-LV"/>
        </w:rPr>
        <w:t>a</w:t>
      </w:r>
      <w:r w:rsidR="00235B03" w:rsidRPr="00AB625A">
        <w:rPr>
          <w:sz w:val="26"/>
          <w:szCs w:val="26"/>
          <w:lang w:val="lv-LV"/>
        </w:rPr>
        <w:t>ugstskolai</w:t>
      </w:r>
      <w:r w:rsidR="00AC41B4" w:rsidRPr="00AB625A">
        <w:rPr>
          <w:sz w:val="26"/>
          <w:szCs w:val="26"/>
          <w:lang w:val="lv-LV"/>
        </w:rPr>
        <w:t xml:space="preserve"> pieejamo resursu izvērtēšanai </w:t>
      </w:r>
      <w:r w:rsidR="00002F1F">
        <w:rPr>
          <w:sz w:val="26"/>
          <w:szCs w:val="26"/>
          <w:lang w:val="lv-LV"/>
        </w:rPr>
        <w:t>l</w:t>
      </w:r>
      <w:r w:rsidR="00AC41B4" w:rsidRPr="00AB625A">
        <w:rPr>
          <w:sz w:val="26"/>
          <w:szCs w:val="26"/>
          <w:lang w:val="lv-LV"/>
        </w:rPr>
        <w:t>icencēšanas noteikumu</w:t>
      </w:r>
      <w:r>
        <w:rPr>
          <w:sz w:val="26"/>
          <w:szCs w:val="26"/>
          <w:lang w:val="lv-LV"/>
        </w:rPr>
        <w:t xml:space="preserve"> 14.punktā paredzētajā gadījumā;</w:t>
      </w:r>
      <w:r w:rsidR="00AC41B4" w:rsidRPr="00AB625A">
        <w:rPr>
          <w:sz w:val="26"/>
          <w:szCs w:val="26"/>
          <w:lang w:val="lv-LV"/>
        </w:rPr>
        <w:t xml:space="preserve"> </w:t>
      </w:r>
    </w:p>
    <w:p w:rsidR="00D972F5" w:rsidRPr="005E7884" w:rsidRDefault="00D972F5" w:rsidP="00D972F5">
      <w:pPr>
        <w:pStyle w:val="ListParagraph"/>
        <w:rPr>
          <w:sz w:val="26"/>
          <w:szCs w:val="26"/>
          <w:lang w:val="lv-LV"/>
        </w:rPr>
      </w:pPr>
    </w:p>
    <w:p w:rsidR="005C2E94" w:rsidRDefault="009D6323" w:rsidP="00C167D6">
      <w:pPr>
        <w:ind w:firstLine="720"/>
        <w:jc w:val="both"/>
        <w:rPr>
          <w:sz w:val="26"/>
          <w:szCs w:val="26"/>
          <w:lang w:val="lv-LV"/>
        </w:rPr>
      </w:pPr>
      <w:r>
        <w:rPr>
          <w:sz w:val="26"/>
          <w:szCs w:val="26"/>
          <w:lang w:val="lv-LV"/>
        </w:rPr>
        <w:t>1.5. m</w:t>
      </w:r>
      <w:r w:rsidR="004E557F" w:rsidRPr="00AB625A">
        <w:rPr>
          <w:sz w:val="26"/>
          <w:szCs w:val="26"/>
          <w:lang w:val="lv-LV"/>
        </w:rPr>
        <w:t>inistrijā</w:t>
      </w:r>
      <w:r w:rsidR="00235B03" w:rsidRPr="00AB625A">
        <w:rPr>
          <w:sz w:val="26"/>
          <w:szCs w:val="26"/>
          <w:lang w:val="lv-LV"/>
        </w:rPr>
        <w:t xml:space="preserve"> tika iesniegts</w:t>
      </w:r>
      <w:r w:rsidR="009048AF" w:rsidRPr="00AB625A">
        <w:rPr>
          <w:sz w:val="26"/>
          <w:szCs w:val="26"/>
          <w:lang w:val="lv-LV"/>
        </w:rPr>
        <w:t xml:space="preserve"> </w:t>
      </w:r>
      <w:r w:rsidR="00D7441F">
        <w:rPr>
          <w:sz w:val="26"/>
          <w:szCs w:val="26"/>
          <w:lang w:val="lv-LV"/>
        </w:rPr>
        <w:t xml:space="preserve">apstiprinātās </w:t>
      </w:r>
      <w:r w:rsidR="00235B03" w:rsidRPr="00AB625A">
        <w:rPr>
          <w:sz w:val="26"/>
          <w:szCs w:val="26"/>
          <w:lang w:val="lv-LV"/>
        </w:rPr>
        <w:t>ekspertes atzinums</w:t>
      </w:r>
      <w:r w:rsidR="009048AF" w:rsidRPr="00AB625A">
        <w:rPr>
          <w:sz w:val="26"/>
          <w:szCs w:val="26"/>
          <w:lang w:val="lv-LV"/>
        </w:rPr>
        <w:t xml:space="preserve"> par </w:t>
      </w:r>
      <w:r w:rsidR="00E76159">
        <w:rPr>
          <w:sz w:val="26"/>
          <w:szCs w:val="26"/>
          <w:lang w:val="lv-LV"/>
        </w:rPr>
        <w:t>a</w:t>
      </w:r>
      <w:r w:rsidR="00235B03" w:rsidRPr="00AB625A">
        <w:rPr>
          <w:sz w:val="26"/>
          <w:szCs w:val="26"/>
          <w:lang w:val="lv-LV"/>
        </w:rPr>
        <w:t xml:space="preserve">ugstskolai </w:t>
      </w:r>
      <w:r w:rsidR="009048AF" w:rsidRPr="00AB625A">
        <w:rPr>
          <w:sz w:val="26"/>
          <w:szCs w:val="26"/>
          <w:lang w:val="lv-LV"/>
        </w:rPr>
        <w:t xml:space="preserve">pieejamiem resursiem. </w:t>
      </w:r>
      <w:r w:rsidR="00501A9B">
        <w:rPr>
          <w:sz w:val="26"/>
          <w:szCs w:val="26"/>
          <w:lang w:val="lv-LV"/>
        </w:rPr>
        <w:t>Apstiprinātā e</w:t>
      </w:r>
      <w:r w:rsidR="00235B03" w:rsidRPr="00AB625A">
        <w:rPr>
          <w:sz w:val="26"/>
          <w:szCs w:val="26"/>
          <w:lang w:val="lv-LV"/>
        </w:rPr>
        <w:t>ksperte</w:t>
      </w:r>
      <w:r w:rsidR="009048AF" w:rsidRPr="00AB625A">
        <w:rPr>
          <w:sz w:val="26"/>
          <w:szCs w:val="26"/>
          <w:lang w:val="lv-LV"/>
        </w:rPr>
        <w:t xml:space="preserve">, izvērtējot </w:t>
      </w:r>
      <w:r w:rsidR="00E76159">
        <w:rPr>
          <w:sz w:val="26"/>
          <w:szCs w:val="26"/>
          <w:lang w:val="lv-LV"/>
        </w:rPr>
        <w:t>a</w:t>
      </w:r>
      <w:r w:rsidR="00235B03" w:rsidRPr="00AB625A">
        <w:rPr>
          <w:sz w:val="26"/>
          <w:szCs w:val="26"/>
          <w:lang w:val="lv-LV"/>
        </w:rPr>
        <w:t>ugstskolai</w:t>
      </w:r>
      <w:r w:rsidR="00D33461" w:rsidRPr="00AB625A">
        <w:rPr>
          <w:sz w:val="26"/>
          <w:szCs w:val="26"/>
          <w:lang w:val="lv-LV"/>
        </w:rPr>
        <w:t xml:space="preserve"> pieejamos resursus, norād</w:t>
      </w:r>
      <w:r w:rsidR="009048AF" w:rsidRPr="00AB625A">
        <w:rPr>
          <w:sz w:val="26"/>
          <w:szCs w:val="26"/>
          <w:lang w:val="lv-LV"/>
        </w:rPr>
        <w:t xml:space="preserve">a, ka </w:t>
      </w:r>
      <w:r w:rsidR="00E76159">
        <w:rPr>
          <w:sz w:val="26"/>
          <w:szCs w:val="26"/>
          <w:lang w:val="lv-LV"/>
        </w:rPr>
        <w:t>a</w:t>
      </w:r>
      <w:r w:rsidR="006B6616" w:rsidRPr="00AB625A">
        <w:rPr>
          <w:sz w:val="26"/>
          <w:szCs w:val="26"/>
          <w:lang w:val="lv-LV"/>
        </w:rPr>
        <w:t>ugstskolai</w:t>
      </w:r>
      <w:r w:rsidR="009048AF" w:rsidRPr="00AB625A">
        <w:rPr>
          <w:sz w:val="26"/>
          <w:szCs w:val="26"/>
          <w:lang w:val="lv-LV"/>
        </w:rPr>
        <w:t xml:space="preserve"> pieejamie</w:t>
      </w:r>
      <w:r w:rsidR="006B6616" w:rsidRPr="00AB625A">
        <w:rPr>
          <w:sz w:val="26"/>
          <w:szCs w:val="26"/>
          <w:lang w:val="lv-LV"/>
        </w:rPr>
        <w:t xml:space="preserve"> materiāli tehniskie</w:t>
      </w:r>
      <w:r w:rsidR="009048AF" w:rsidRPr="00AB625A">
        <w:rPr>
          <w:sz w:val="26"/>
          <w:szCs w:val="26"/>
          <w:lang w:val="lv-LV"/>
        </w:rPr>
        <w:t xml:space="preserve"> resursi nodrošina</w:t>
      </w:r>
      <w:r w:rsidR="006B6616" w:rsidRPr="00AB625A">
        <w:rPr>
          <w:sz w:val="26"/>
          <w:szCs w:val="26"/>
          <w:lang w:val="lv-LV"/>
        </w:rPr>
        <w:t xml:space="preserve"> labus apstākļus </w:t>
      </w:r>
      <w:r w:rsidR="006B6616" w:rsidRPr="00AB625A">
        <w:rPr>
          <w:sz w:val="26"/>
          <w:szCs w:val="26"/>
          <w:lang w:val="lv-LV"/>
        </w:rPr>
        <w:lastRenderedPageBreak/>
        <w:t>studiju programmas īstenošanai, izņemot bibliotēkas krājumus</w:t>
      </w:r>
      <w:r w:rsidR="001E40AC" w:rsidRPr="00AB625A">
        <w:rPr>
          <w:sz w:val="26"/>
          <w:szCs w:val="26"/>
          <w:lang w:val="lv-LV"/>
        </w:rPr>
        <w:t>, kuri ir nepietiekami studiju procesa nodrošināšanai.</w:t>
      </w:r>
      <w:r w:rsidR="006B6616" w:rsidRPr="00AB625A">
        <w:rPr>
          <w:sz w:val="26"/>
          <w:szCs w:val="26"/>
          <w:lang w:val="lv-LV"/>
        </w:rPr>
        <w:t xml:space="preserve"> </w:t>
      </w:r>
      <w:r w:rsidR="00202BBB" w:rsidRPr="00AB625A">
        <w:rPr>
          <w:sz w:val="26"/>
          <w:szCs w:val="26"/>
          <w:lang w:val="lv-LV"/>
        </w:rPr>
        <w:t>Par studiju, informatīvās bāzes (tai skaitā bibliotēkas), finansiālās un materiālteh</w:t>
      </w:r>
      <w:r w:rsidR="000C388C" w:rsidRPr="00AB625A">
        <w:rPr>
          <w:sz w:val="26"/>
          <w:szCs w:val="26"/>
          <w:lang w:val="lv-LV"/>
        </w:rPr>
        <w:t>niskās bāzes pietiekamību studiju programmas</w:t>
      </w:r>
      <w:r w:rsidR="00202BBB" w:rsidRPr="00AB625A">
        <w:rPr>
          <w:sz w:val="26"/>
          <w:szCs w:val="26"/>
          <w:lang w:val="lv-LV"/>
        </w:rPr>
        <w:t xml:space="preserve"> īsteno</w:t>
      </w:r>
      <w:r w:rsidR="00D33461" w:rsidRPr="00AB625A">
        <w:rPr>
          <w:sz w:val="26"/>
          <w:szCs w:val="26"/>
          <w:lang w:val="lv-LV"/>
        </w:rPr>
        <w:t>šanai</w:t>
      </w:r>
      <w:r w:rsidR="00202BBB" w:rsidRPr="00AB625A">
        <w:rPr>
          <w:sz w:val="26"/>
          <w:szCs w:val="26"/>
          <w:lang w:val="lv-LV"/>
        </w:rPr>
        <w:t xml:space="preserve"> lems Studiju </w:t>
      </w:r>
      <w:r w:rsidR="00D828CD">
        <w:rPr>
          <w:sz w:val="26"/>
          <w:szCs w:val="26"/>
          <w:lang w:val="lv-LV"/>
        </w:rPr>
        <w:t>programmu licencēšanas komisija;</w:t>
      </w:r>
    </w:p>
    <w:p w:rsidR="00C167D6" w:rsidRPr="00AB625A" w:rsidRDefault="00C167D6" w:rsidP="00C167D6">
      <w:pPr>
        <w:ind w:firstLine="720"/>
        <w:jc w:val="both"/>
        <w:rPr>
          <w:sz w:val="26"/>
          <w:szCs w:val="26"/>
          <w:lang w:val="lv-LV"/>
        </w:rPr>
      </w:pPr>
    </w:p>
    <w:p w:rsidR="000F0A14" w:rsidRPr="005E7884" w:rsidRDefault="005C2E94" w:rsidP="00AB625A">
      <w:pPr>
        <w:jc w:val="both"/>
        <w:rPr>
          <w:sz w:val="26"/>
          <w:szCs w:val="26"/>
          <w:lang w:val="lv-LV"/>
        </w:rPr>
      </w:pPr>
      <w:r>
        <w:rPr>
          <w:sz w:val="26"/>
          <w:szCs w:val="26"/>
          <w:lang w:val="lv-LV"/>
        </w:rPr>
        <w:tab/>
      </w:r>
      <w:r w:rsidR="00D828CD">
        <w:rPr>
          <w:sz w:val="26"/>
          <w:szCs w:val="26"/>
          <w:lang w:val="lv-LV"/>
        </w:rPr>
        <w:t>1.6.</w:t>
      </w:r>
      <w:r>
        <w:rPr>
          <w:sz w:val="26"/>
          <w:szCs w:val="26"/>
          <w:lang w:val="lv-LV"/>
        </w:rPr>
        <w:t xml:space="preserve"> </w:t>
      </w:r>
      <w:r w:rsidR="00D828CD">
        <w:rPr>
          <w:sz w:val="26"/>
          <w:szCs w:val="26"/>
          <w:lang w:val="lv-LV"/>
        </w:rPr>
        <w:t>a</w:t>
      </w:r>
      <w:r w:rsidR="00956E76">
        <w:rPr>
          <w:sz w:val="26"/>
          <w:szCs w:val="26"/>
          <w:lang w:val="lv-LV"/>
        </w:rPr>
        <w:t>pstiprinātā e</w:t>
      </w:r>
      <w:r w:rsidR="000C388C" w:rsidRPr="005E7884">
        <w:rPr>
          <w:sz w:val="26"/>
          <w:szCs w:val="26"/>
          <w:lang w:val="lv-LV"/>
        </w:rPr>
        <w:t>ksperte, izvērtējot studiju programmas īstenošanā iesaistīto mācībspēku radošās un zinātniskās biogrāfijas</w:t>
      </w:r>
      <w:r w:rsidR="000C388C" w:rsidRPr="005E7884">
        <w:rPr>
          <w:i/>
          <w:sz w:val="26"/>
          <w:szCs w:val="26"/>
          <w:lang w:val="lv-LV"/>
        </w:rPr>
        <w:t xml:space="preserve"> (</w:t>
      </w:r>
      <w:proofErr w:type="spellStart"/>
      <w:r w:rsidR="000C388C" w:rsidRPr="005E7884">
        <w:rPr>
          <w:i/>
          <w:sz w:val="26"/>
          <w:szCs w:val="26"/>
          <w:lang w:val="lv-LV"/>
        </w:rPr>
        <w:t>curriculum</w:t>
      </w:r>
      <w:proofErr w:type="spellEnd"/>
      <w:r w:rsidR="000C388C" w:rsidRPr="005E7884">
        <w:rPr>
          <w:i/>
          <w:sz w:val="26"/>
          <w:szCs w:val="26"/>
          <w:lang w:val="lv-LV"/>
        </w:rPr>
        <w:t xml:space="preserve"> </w:t>
      </w:r>
      <w:proofErr w:type="spellStart"/>
      <w:r w:rsidR="000C388C" w:rsidRPr="005E7884">
        <w:rPr>
          <w:i/>
          <w:sz w:val="26"/>
          <w:szCs w:val="26"/>
          <w:lang w:val="lv-LV"/>
        </w:rPr>
        <w:t>vitae</w:t>
      </w:r>
      <w:proofErr w:type="spellEnd"/>
      <w:r w:rsidR="000C388C" w:rsidRPr="005E7884">
        <w:rPr>
          <w:i/>
          <w:sz w:val="26"/>
          <w:szCs w:val="26"/>
          <w:lang w:val="lv-LV"/>
        </w:rPr>
        <w:t>)</w:t>
      </w:r>
      <w:r w:rsidR="00135C06" w:rsidRPr="005E7884">
        <w:rPr>
          <w:sz w:val="26"/>
          <w:szCs w:val="26"/>
          <w:lang w:val="lv-LV"/>
        </w:rPr>
        <w:t>,</w:t>
      </w:r>
      <w:r w:rsidR="000C388C" w:rsidRPr="005E7884">
        <w:rPr>
          <w:sz w:val="26"/>
          <w:szCs w:val="26"/>
          <w:lang w:val="lv-LV"/>
        </w:rPr>
        <w:t xml:space="preserve"> viņu kvalifikācijas līmeni un zinātniskās specializācijas virzienus iepretī </w:t>
      </w:r>
      <w:r w:rsidR="00C70A85" w:rsidRPr="005E7884">
        <w:rPr>
          <w:sz w:val="26"/>
          <w:szCs w:val="26"/>
          <w:lang w:val="lv-LV"/>
        </w:rPr>
        <w:t>viņiem paredzētajiem studiju kursiem,</w:t>
      </w:r>
      <w:r w:rsidR="000C388C" w:rsidRPr="005E7884">
        <w:rPr>
          <w:sz w:val="26"/>
          <w:szCs w:val="26"/>
          <w:lang w:val="lv-LV"/>
        </w:rPr>
        <w:t xml:space="preserve"> savā atzinumā norāda uz akadēmiskā</w:t>
      </w:r>
      <w:r w:rsidR="00135C06" w:rsidRPr="005E7884">
        <w:rPr>
          <w:sz w:val="26"/>
          <w:szCs w:val="26"/>
          <w:lang w:val="lv-LV"/>
        </w:rPr>
        <w:t xml:space="preserve"> personāla nepietiekamību studiju programmas īstenošanai, kas izpaužas</w:t>
      </w:r>
      <w:r w:rsidR="00F15CA6" w:rsidRPr="005E7884">
        <w:rPr>
          <w:sz w:val="26"/>
          <w:szCs w:val="26"/>
          <w:lang w:val="lv-LV"/>
        </w:rPr>
        <w:t xml:space="preserve"> dažādos veidos attiecībā uz lielāko daļu no mācībspēkiem:</w:t>
      </w:r>
      <w:r w:rsidR="00135C06" w:rsidRPr="005E7884">
        <w:rPr>
          <w:sz w:val="26"/>
          <w:szCs w:val="26"/>
          <w:lang w:val="lv-LV"/>
        </w:rPr>
        <w:t xml:space="preserve"> kā </w:t>
      </w:r>
      <w:r w:rsidR="00F15CA6" w:rsidRPr="005E7884">
        <w:rPr>
          <w:sz w:val="26"/>
          <w:szCs w:val="26"/>
          <w:lang w:val="lv-LV"/>
        </w:rPr>
        <w:t xml:space="preserve">specializācijas noteiktā tiesību zinātņu </w:t>
      </w:r>
      <w:proofErr w:type="spellStart"/>
      <w:r w:rsidR="00F15CA6" w:rsidRPr="005E7884">
        <w:rPr>
          <w:sz w:val="26"/>
          <w:szCs w:val="26"/>
          <w:lang w:val="lv-LV"/>
        </w:rPr>
        <w:t>apakšnozarē</w:t>
      </w:r>
      <w:proofErr w:type="spellEnd"/>
      <w:r w:rsidR="00F15CA6" w:rsidRPr="005E7884">
        <w:rPr>
          <w:sz w:val="26"/>
          <w:szCs w:val="26"/>
          <w:lang w:val="lv-LV"/>
        </w:rPr>
        <w:t xml:space="preserve"> neatbilstība pasniedzamajiem studiju kursiem,</w:t>
      </w:r>
      <w:r w:rsidR="0004674C" w:rsidRPr="005E7884">
        <w:rPr>
          <w:sz w:val="26"/>
          <w:szCs w:val="26"/>
          <w:lang w:val="lv-LV"/>
        </w:rPr>
        <w:t xml:space="preserve"> kas īpaši nozīmīgi ir attiecībā uz docētāju trūkumu ar specializāciju </w:t>
      </w:r>
      <w:r w:rsidR="0004674C" w:rsidRPr="00E06AA3">
        <w:rPr>
          <w:sz w:val="26"/>
          <w:szCs w:val="26"/>
          <w:lang w:val="lv-LV" w:eastAsia="lv-LV"/>
        </w:rPr>
        <w:t xml:space="preserve">komerctiesību un starptautisko privāttiesību jomās, </w:t>
      </w:r>
      <w:r w:rsidR="00046703" w:rsidRPr="00E06AA3">
        <w:rPr>
          <w:sz w:val="26"/>
          <w:szCs w:val="26"/>
          <w:lang w:val="lv-LV" w:eastAsia="lv-LV"/>
        </w:rPr>
        <w:t xml:space="preserve">dažiem no pasniedzējiem </w:t>
      </w:r>
      <w:r w:rsidR="00F15CA6" w:rsidRPr="005E7884">
        <w:rPr>
          <w:sz w:val="26"/>
          <w:szCs w:val="26"/>
          <w:lang w:val="lv-LV"/>
        </w:rPr>
        <w:t>iegūtā izglītība neatbilst</w:t>
      </w:r>
      <w:r w:rsidR="00B75116" w:rsidRPr="005E7884">
        <w:rPr>
          <w:sz w:val="26"/>
          <w:szCs w:val="26"/>
          <w:lang w:val="lv-LV"/>
        </w:rPr>
        <w:t xml:space="preserve"> noteiktā nozarē docējamiem studiju kursiem,</w:t>
      </w:r>
      <w:r w:rsidR="000F0A14" w:rsidRPr="005E7884">
        <w:rPr>
          <w:sz w:val="26"/>
          <w:szCs w:val="26"/>
          <w:lang w:val="lv-LV"/>
        </w:rPr>
        <w:t xml:space="preserve"> kas rada riskus tam, ka </w:t>
      </w:r>
      <w:r w:rsidR="000F0A14" w:rsidRPr="00E06AA3">
        <w:rPr>
          <w:iCs/>
          <w:sz w:val="26"/>
          <w:szCs w:val="26"/>
          <w:lang w:val="lv-LV" w:eastAsia="lv-LV"/>
        </w:rPr>
        <w:t>studentu zināšanas neatbildīs juriskonsulta profesijas standartā noteikto prasību izpildei</w:t>
      </w:r>
      <w:r w:rsidR="00342B2C" w:rsidRPr="00E06AA3">
        <w:rPr>
          <w:iCs/>
          <w:sz w:val="26"/>
          <w:szCs w:val="26"/>
          <w:lang w:val="lv-LV" w:eastAsia="lv-LV"/>
        </w:rPr>
        <w:t xml:space="preserve"> virknē studiju priekšmetu</w:t>
      </w:r>
      <w:r w:rsidR="000F0A14" w:rsidRPr="00E06AA3">
        <w:rPr>
          <w:iCs/>
          <w:sz w:val="26"/>
          <w:szCs w:val="26"/>
          <w:lang w:val="lv-LV" w:eastAsia="lv-LV"/>
        </w:rPr>
        <w:t>,</w:t>
      </w:r>
      <w:r w:rsidR="00B75116" w:rsidRPr="005E7884">
        <w:rPr>
          <w:sz w:val="26"/>
          <w:szCs w:val="26"/>
          <w:lang w:val="lv-LV"/>
        </w:rPr>
        <w:t xml:space="preserve"> </w:t>
      </w:r>
      <w:r w:rsidR="00D0040E" w:rsidRPr="005E7884">
        <w:rPr>
          <w:sz w:val="26"/>
          <w:szCs w:val="26"/>
          <w:lang w:val="lv-LV"/>
        </w:rPr>
        <w:t>nepietiekama kvalifikācija un zinātniskā</w:t>
      </w:r>
      <w:r w:rsidR="00F15CA6" w:rsidRPr="005E7884">
        <w:rPr>
          <w:sz w:val="26"/>
          <w:szCs w:val="26"/>
          <w:lang w:val="lv-LV"/>
        </w:rPr>
        <w:t xml:space="preserve"> </w:t>
      </w:r>
      <w:r w:rsidR="00D0040E" w:rsidRPr="005E7884">
        <w:rPr>
          <w:sz w:val="26"/>
          <w:szCs w:val="26"/>
          <w:lang w:val="lv-LV"/>
        </w:rPr>
        <w:t>kapacitāte, ko apliecina publikāciju un zinātniskas pētniecības trūkums docējamiem studiju kursiem atbilstošās jomās</w:t>
      </w:r>
      <w:r w:rsidR="003C6EF2" w:rsidRPr="005E7884">
        <w:rPr>
          <w:sz w:val="26"/>
          <w:szCs w:val="26"/>
          <w:lang w:val="lv-LV"/>
        </w:rPr>
        <w:t xml:space="preserve">. </w:t>
      </w:r>
      <w:r w:rsidR="00BD65BB" w:rsidRPr="005E7884">
        <w:rPr>
          <w:sz w:val="26"/>
          <w:szCs w:val="26"/>
          <w:lang w:val="lv-LV"/>
        </w:rPr>
        <w:t>No studiju programmas pasniegšanā 32 iesaistītajiem mācībspēkiem tikai 19 pasniedzējiem ir zinātniskās publik</w:t>
      </w:r>
      <w:r w:rsidR="00815F15" w:rsidRPr="005E7884">
        <w:rPr>
          <w:sz w:val="26"/>
          <w:szCs w:val="26"/>
          <w:lang w:val="lv-LV"/>
        </w:rPr>
        <w:t>ācijas</w:t>
      </w:r>
      <w:r w:rsidR="004E5CDE" w:rsidRPr="005E7884">
        <w:rPr>
          <w:sz w:val="26"/>
          <w:szCs w:val="26"/>
          <w:lang w:val="lv-LV"/>
        </w:rPr>
        <w:t xml:space="preserve">. </w:t>
      </w:r>
      <w:r w:rsidR="003C6EF2" w:rsidRPr="005E7884">
        <w:rPr>
          <w:sz w:val="26"/>
          <w:szCs w:val="26"/>
          <w:lang w:val="lv-LV"/>
        </w:rPr>
        <w:t xml:space="preserve">Programmas īstenošanā iesaistītajam augstākās kvalifikācijas akadēmiskajam personālam, kam ir doktora zinātniskais grāds un kas ir ievēlēts </w:t>
      </w:r>
      <w:r w:rsidR="00E76159">
        <w:rPr>
          <w:sz w:val="26"/>
          <w:szCs w:val="26"/>
          <w:lang w:val="lv-LV"/>
        </w:rPr>
        <w:t>a</w:t>
      </w:r>
      <w:r w:rsidR="003C6EF2" w:rsidRPr="005E7884">
        <w:rPr>
          <w:sz w:val="26"/>
          <w:szCs w:val="26"/>
          <w:lang w:val="lv-LV"/>
        </w:rPr>
        <w:t xml:space="preserve">ugstskolā, nav specializācijas privāto tiesību </w:t>
      </w:r>
      <w:proofErr w:type="spellStart"/>
      <w:r w:rsidR="003C6EF2" w:rsidRPr="005E7884">
        <w:rPr>
          <w:sz w:val="26"/>
          <w:szCs w:val="26"/>
          <w:lang w:val="lv-LV"/>
        </w:rPr>
        <w:t>apakšnozarē</w:t>
      </w:r>
      <w:proofErr w:type="spellEnd"/>
      <w:r w:rsidR="003C6EF2" w:rsidRPr="005E7884">
        <w:rPr>
          <w:sz w:val="26"/>
          <w:szCs w:val="26"/>
          <w:lang w:val="lv-LV"/>
        </w:rPr>
        <w:t>, līdz ar to nav iespējams sasniegt studiju programmas mēr</w:t>
      </w:r>
      <w:r w:rsidR="000F0A14" w:rsidRPr="005E7884">
        <w:rPr>
          <w:sz w:val="26"/>
          <w:szCs w:val="26"/>
          <w:lang w:val="lv-LV"/>
        </w:rPr>
        <w:t xml:space="preserve">ķus, jo </w:t>
      </w:r>
      <w:r w:rsidR="000F0A14" w:rsidRPr="00E06AA3">
        <w:rPr>
          <w:iCs/>
          <w:sz w:val="26"/>
          <w:szCs w:val="26"/>
          <w:lang w:val="lv-LV" w:eastAsia="lv-LV"/>
        </w:rPr>
        <w:t>kaut arī krimināltiesības un administratīvās tiesības ir svarīgas komerctiesību regulēšanā un zināšanas publiskajā tiesībās sniedz plašāku izpratni, tomēr ar tām vien nevar veidot pilnīgu ainu par komerctiesību vidi, jo īpaši starptautisko komerct</w:t>
      </w:r>
      <w:r w:rsidR="00035F63">
        <w:rPr>
          <w:iCs/>
          <w:sz w:val="26"/>
          <w:szCs w:val="26"/>
          <w:lang w:val="lv-LV" w:eastAsia="lv-LV"/>
        </w:rPr>
        <w:t>iesību nozari;</w:t>
      </w:r>
    </w:p>
    <w:p w:rsidR="00135C06" w:rsidRPr="005E7884" w:rsidRDefault="00135C06" w:rsidP="00135C06">
      <w:pPr>
        <w:pStyle w:val="ListParagraph"/>
        <w:rPr>
          <w:sz w:val="26"/>
          <w:szCs w:val="26"/>
          <w:lang w:val="lv-LV"/>
        </w:rPr>
      </w:pPr>
    </w:p>
    <w:p w:rsidR="00E000AF" w:rsidRPr="00AB625A" w:rsidRDefault="00035F63" w:rsidP="00C167D6">
      <w:pPr>
        <w:ind w:firstLine="720"/>
        <w:jc w:val="both"/>
        <w:rPr>
          <w:sz w:val="26"/>
          <w:szCs w:val="26"/>
          <w:lang w:val="lv-LV"/>
        </w:rPr>
      </w:pPr>
      <w:r>
        <w:rPr>
          <w:sz w:val="26"/>
          <w:szCs w:val="26"/>
          <w:lang w:val="lv-LV"/>
        </w:rPr>
        <w:t xml:space="preserve">1.7. </w:t>
      </w:r>
      <w:r w:rsidR="00E000AF" w:rsidRPr="00AB625A">
        <w:rPr>
          <w:sz w:val="26"/>
          <w:szCs w:val="26"/>
          <w:lang w:val="lv-LV"/>
        </w:rPr>
        <w:t xml:space="preserve">2014.gada 23.jūlijā </w:t>
      </w:r>
      <w:r w:rsidR="00E76159">
        <w:rPr>
          <w:sz w:val="26"/>
          <w:szCs w:val="26"/>
          <w:lang w:val="lv-LV"/>
        </w:rPr>
        <w:t>a</w:t>
      </w:r>
      <w:r w:rsidR="00E000AF" w:rsidRPr="00AB625A">
        <w:rPr>
          <w:sz w:val="26"/>
          <w:szCs w:val="26"/>
          <w:lang w:val="lv-LV"/>
        </w:rPr>
        <w:t xml:space="preserve">ugstskola </w:t>
      </w:r>
      <w:r w:rsidR="00E76159">
        <w:rPr>
          <w:sz w:val="26"/>
          <w:szCs w:val="26"/>
          <w:lang w:val="lv-LV"/>
        </w:rPr>
        <w:t>m</w:t>
      </w:r>
      <w:r w:rsidR="00E000AF" w:rsidRPr="00AB625A">
        <w:rPr>
          <w:sz w:val="26"/>
          <w:szCs w:val="26"/>
          <w:lang w:val="lv-LV"/>
        </w:rPr>
        <w:t>inistrijā iesniedza dokumentu kopu “Precizējumi profesionālā bakalaura programmai “Starptautiskās komercdarbības tiesības”</w:t>
      </w:r>
      <w:r w:rsidR="004F2904" w:rsidRPr="00AB625A">
        <w:rPr>
          <w:sz w:val="26"/>
          <w:szCs w:val="26"/>
          <w:lang w:val="lv-LV"/>
        </w:rPr>
        <w:t>”</w:t>
      </w:r>
      <w:r w:rsidR="00E000AF" w:rsidRPr="00AB625A">
        <w:rPr>
          <w:sz w:val="26"/>
          <w:szCs w:val="26"/>
          <w:lang w:val="lv-LV"/>
        </w:rPr>
        <w:t xml:space="preserve">, apliecinot, ka atbilstoši </w:t>
      </w:r>
      <w:r w:rsidR="00184595">
        <w:rPr>
          <w:sz w:val="26"/>
          <w:szCs w:val="26"/>
          <w:lang w:val="lv-LV"/>
        </w:rPr>
        <w:t xml:space="preserve">apstiprinātās </w:t>
      </w:r>
      <w:r w:rsidR="00E000AF" w:rsidRPr="00AB625A">
        <w:rPr>
          <w:sz w:val="26"/>
          <w:szCs w:val="26"/>
          <w:lang w:val="lv-LV"/>
        </w:rPr>
        <w:t xml:space="preserve">ekspertes ieteikumiem ir izslēgusi trīs studiju kursus no studiju programmas, vairākiem studiju kursiem ir pilnveidots plānojums un kursu apraksti, papildināts mācību literatūras saraksts. Augstskola nepiekrīt </w:t>
      </w:r>
      <w:r w:rsidR="00417426">
        <w:rPr>
          <w:sz w:val="26"/>
          <w:szCs w:val="26"/>
          <w:lang w:val="lv-LV"/>
        </w:rPr>
        <w:t xml:space="preserve">apstiprinātās </w:t>
      </w:r>
      <w:r w:rsidR="00E000AF" w:rsidRPr="00AB625A">
        <w:rPr>
          <w:sz w:val="26"/>
          <w:szCs w:val="26"/>
          <w:lang w:val="lv-LV"/>
        </w:rPr>
        <w:t>ekspertes vērtējumam attiecībā uz studiju programmā iesaistīto docētāju kvalifikāciju, norādot, ka studiju programmas īstenošanai tiek piesaistīti dažādu tiesību jomas speciālisti. Augstskola paredz 2014.-2020.g. īstenot akadēmiskā personāla atjaunošanas, attīstības un apmācību plānu, kā arī pētniecības plānu studiju programmā</w:t>
      </w:r>
      <w:r w:rsidR="002868FE">
        <w:rPr>
          <w:sz w:val="26"/>
          <w:szCs w:val="26"/>
          <w:lang w:val="lv-LV"/>
        </w:rPr>
        <w:t>;</w:t>
      </w:r>
    </w:p>
    <w:p w:rsidR="00E000AF" w:rsidRPr="005E7884" w:rsidRDefault="00E000AF" w:rsidP="00E000AF">
      <w:pPr>
        <w:pStyle w:val="ListParagraph"/>
        <w:rPr>
          <w:sz w:val="26"/>
          <w:szCs w:val="26"/>
          <w:lang w:val="lv-LV"/>
        </w:rPr>
      </w:pPr>
    </w:p>
    <w:p w:rsidR="00E000AF" w:rsidRPr="00AB625A" w:rsidRDefault="002868FE" w:rsidP="00C167D6">
      <w:pPr>
        <w:ind w:firstLine="720"/>
        <w:jc w:val="both"/>
        <w:rPr>
          <w:sz w:val="26"/>
          <w:szCs w:val="26"/>
          <w:lang w:val="lv-LV"/>
        </w:rPr>
      </w:pPr>
      <w:r>
        <w:rPr>
          <w:sz w:val="26"/>
          <w:szCs w:val="26"/>
          <w:lang w:val="lv-LV"/>
        </w:rPr>
        <w:t>1.8.</w:t>
      </w:r>
      <w:r w:rsidR="00CC5C5E">
        <w:rPr>
          <w:sz w:val="26"/>
          <w:szCs w:val="26"/>
          <w:lang w:val="lv-LV"/>
        </w:rPr>
        <w:t xml:space="preserve"> </w:t>
      </w:r>
      <w:r w:rsidR="00E000AF" w:rsidRPr="00AB625A">
        <w:rPr>
          <w:sz w:val="26"/>
          <w:szCs w:val="26"/>
          <w:lang w:val="lv-LV"/>
        </w:rPr>
        <w:t xml:space="preserve">2014.gada 24.oktobrī </w:t>
      </w:r>
      <w:r w:rsidR="003969C9">
        <w:rPr>
          <w:sz w:val="26"/>
          <w:szCs w:val="26"/>
          <w:lang w:val="lv-LV"/>
        </w:rPr>
        <w:t>a</w:t>
      </w:r>
      <w:r w:rsidR="00E000AF" w:rsidRPr="00AB625A">
        <w:rPr>
          <w:sz w:val="26"/>
          <w:szCs w:val="26"/>
          <w:lang w:val="lv-LV"/>
        </w:rPr>
        <w:t xml:space="preserve">ugstskola iesniedza Ministrijā dokumentu kopu “Studiju programmas akadēmiskā personāla izmaiņas atbilstoši </w:t>
      </w:r>
      <w:r w:rsidR="00417426">
        <w:rPr>
          <w:sz w:val="26"/>
          <w:szCs w:val="26"/>
          <w:lang w:val="lv-LV"/>
        </w:rPr>
        <w:t xml:space="preserve">apstiprinātās </w:t>
      </w:r>
      <w:r w:rsidR="00E000AF" w:rsidRPr="00AB625A">
        <w:rPr>
          <w:sz w:val="26"/>
          <w:szCs w:val="26"/>
          <w:lang w:val="lv-LV"/>
        </w:rPr>
        <w:t xml:space="preserve">ekspertes ieteikumiem”, kas informē par akadēmiskā personāla izmaiņām </w:t>
      </w:r>
      <w:r w:rsidR="004331D2" w:rsidRPr="00AB625A">
        <w:rPr>
          <w:sz w:val="26"/>
          <w:szCs w:val="26"/>
          <w:lang w:val="lv-LV"/>
        </w:rPr>
        <w:t>astoņos</w:t>
      </w:r>
      <w:r w:rsidR="00E000AF" w:rsidRPr="00AB625A">
        <w:rPr>
          <w:sz w:val="26"/>
          <w:szCs w:val="26"/>
          <w:lang w:val="lv-LV"/>
        </w:rPr>
        <w:t xml:space="preserve"> studiju kursos un satur noslēgtu Nodomu līgumu kopijas, apliecinot, ka </w:t>
      </w:r>
      <w:r w:rsidR="004331D2" w:rsidRPr="00AB625A">
        <w:rPr>
          <w:sz w:val="26"/>
          <w:szCs w:val="26"/>
          <w:lang w:val="lv-LV"/>
        </w:rPr>
        <w:t>seši</w:t>
      </w:r>
      <w:r w:rsidR="00E000AF" w:rsidRPr="00AB625A">
        <w:rPr>
          <w:sz w:val="26"/>
          <w:szCs w:val="26"/>
          <w:lang w:val="lv-LV"/>
        </w:rPr>
        <w:t xml:space="preserve"> no piesaistītajiem docētājiem gatavi pretendēt uz ievēlēša</w:t>
      </w:r>
      <w:r w:rsidR="004331D2" w:rsidRPr="00AB625A">
        <w:rPr>
          <w:sz w:val="26"/>
          <w:szCs w:val="26"/>
          <w:lang w:val="lv-LV"/>
        </w:rPr>
        <w:t xml:space="preserve">nu akadēmiskā amatā </w:t>
      </w:r>
      <w:r w:rsidR="003969C9">
        <w:rPr>
          <w:sz w:val="26"/>
          <w:szCs w:val="26"/>
          <w:lang w:val="lv-LV"/>
        </w:rPr>
        <w:t>a</w:t>
      </w:r>
      <w:r w:rsidR="004331D2" w:rsidRPr="00AB625A">
        <w:rPr>
          <w:sz w:val="26"/>
          <w:szCs w:val="26"/>
          <w:lang w:val="lv-LV"/>
        </w:rPr>
        <w:t>ugstskolā, tostarp divi no tiem</w:t>
      </w:r>
      <w:r w:rsidR="004F2904" w:rsidRPr="00AB625A">
        <w:rPr>
          <w:sz w:val="26"/>
          <w:szCs w:val="26"/>
          <w:lang w:val="lv-LV"/>
        </w:rPr>
        <w:t>, kuriem ir tiesību zinātņu maģistra grāds,</w:t>
      </w:r>
      <w:r w:rsidR="004331D2" w:rsidRPr="00AB625A">
        <w:rPr>
          <w:sz w:val="26"/>
          <w:szCs w:val="26"/>
          <w:lang w:val="lv-LV"/>
        </w:rPr>
        <w:t xml:space="preserve"> ir specializējušies komerctiesību un starptautisko tiesību nozar</w:t>
      </w:r>
      <w:r w:rsidR="00881FE3" w:rsidRPr="00AB625A">
        <w:rPr>
          <w:sz w:val="26"/>
          <w:szCs w:val="26"/>
          <w:lang w:val="lv-LV"/>
        </w:rPr>
        <w:t xml:space="preserve">ēs. Pievienotie nodomu līgumi par </w:t>
      </w:r>
      <w:r w:rsidR="00C37F26" w:rsidRPr="00AB625A">
        <w:rPr>
          <w:sz w:val="26"/>
          <w:szCs w:val="26"/>
          <w:lang w:val="lv-LV"/>
        </w:rPr>
        <w:t xml:space="preserve">darba līgumu noslēgšanu starp </w:t>
      </w:r>
      <w:r w:rsidR="003969C9">
        <w:rPr>
          <w:sz w:val="26"/>
          <w:szCs w:val="26"/>
          <w:lang w:val="lv-LV"/>
        </w:rPr>
        <w:t>a</w:t>
      </w:r>
      <w:r w:rsidR="00C37F26" w:rsidRPr="00AB625A">
        <w:rPr>
          <w:sz w:val="26"/>
          <w:szCs w:val="26"/>
          <w:lang w:val="lv-LV"/>
        </w:rPr>
        <w:t xml:space="preserve">ugstskolu un potenciālajiem mācībspēkiem liecina, ka komerctiesību un </w:t>
      </w:r>
      <w:r w:rsidR="00C37F26" w:rsidRPr="00AB625A">
        <w:rPr>
          <w:sz w:val="26"/>
          <w:szCs w:val="26"/>
          <w:lang w:val="lv-LV"/>
        </w:rPr>
        <w:lastRenderedPageBreak/>
        <w:t xml:space="preserve">starptautisko tiesību nozarēs specializējušies mācībspēki pasniegs studiju kursus astoņu kredītpunktu jeb </w:t>
      </w:r>
      <w:r w:rsidR="00931830" w:rsidRPr="00AB625A">
        <w:rPr>
          <w:sz w:val="26"/>
          <w:szCs w:val="26"/>
          <w:lang w:val="lv-LV"/>
        </w:rPr>
        <w:t>piecu procentu</w:t>
      </w:r>
      <w:r w:rsidR="004E7EA3">
        <w:rPr>
          <w:sz w:val="26"/>
          <w:szCs w:val="26"/>
          <w:lang w:val="lv-LV"/>
        </w:rPr>
        <w:t xml:space="preserve"> apjomā no studiju programmas;</w:t>
      </w:r>
    </w:p>
    <w:p w:rsidR="00E000AF" w:rsidRPr="005E7884" w:rsidRDefault="00E000AF" w:rsidP="00843F9F">
      <w:pPr>
        <w:rPr>
          <w:sz w:val="26"/>
          <w:szCs w:val="26"/>
          <w:lang w:val="lv-LV"/>
        </w:rPr>
      </w:pPr>
    </w:p>
    <w:p w:rsidR="0093740D" w:rsidRPr="00AB625A" w:rsidRDefault="004E7EA3" w:rsidP="00C167D6">
      <w:pPr>
        <w:ind w:firstLine="720"/>
        <w:jc w:val="both"/>
        <w:rPr>
          <w:sz w:val="26"/>
          <w:szCs w:val="26"/>
          <w:lang w:val="lv-LV"/>
        </w:rPr>
      </w:pPr>
      <w:r>
        <w:rPr>
          <w:sz w:val="26"/>
          <w:szCs w:val="26"/>
          <w:lang w:val="lv-LV"/>
        </w:rPr>
        <w:t>1.9.</w:t>
      </w:r>
      <w:r w:rsidR="00F82EA1">
        <w:rPr>
          <w:sz w:val="26"/>
          <w:szCs w:val="26"/>
          <w:lang w:val="lv-LV"/>
        </w:rPr>
        <w:t xml:space="preserve"> </w:t>
      </w:r>
      <w:r>
        <w:rPr>
          <w:sz w:val="26"/>
          <w:szCs w:val="26"/>
          <w:lang w:val="lv-LV"/>
        </w:rPr>
        <w:t>s</w:t>
      </w:r>
      <w:r w:rsidR="000F7027" w:rsidRPr="00AB625A">
        <w:rPr>
          <w:sz w:val="26"/>
          <w:szCs w:val="26"/>
          <w:lang w:val="lv-LV"/>
        </w:rPr>
        <w:t xml:space="preserve">askaņā ar </w:t>
      </w:r>
      <w:r w:rsidR="003969C9">
        <w:rPr>
          <w:sz w:val="26"/>
          <w:szCs w:val="26"/>
          <w:lang w:val="lv-LV"/>
        </w:rPr>
        <w:t>l</w:t>
      </w:r>
      <w:r w:rsidR="000F7027" w:rsidRPr="00AB625A">
        <w:rPr>
          <w:sz w:val="26"/>
          <w:szCs w:val="26"/>
          <w:lang w:val="lv-LV"/>
        </w:rPr>
        <w:t xml:space="preserve">icencēšanas noteikumu 14.punktu Izglītības un zinātnes ministrija, Ekonomikas ministrija, </w:t>
      </w:r>
      <w:proofErr w:type="spellStart"/>
      <w:r w:rsidR="000F7027" w:rsidRPr="00AB625A">
        <w:rPr>
          <w:sz w:val="26"/>
          <w:szCs w:val="26"/>
          <w:lang w:val="lv-LV"/>
        </w:rPr>
        <w:t>Pārresoru</w:t>
      </w:r>
      <w:proofErr w:type="spellEnd"/>
      <w:r w:rsidR="000F7027" w:rsidRPr="00AB625A">
        <w:rPr>
          <w:sz w:val="26"/>
          <w:szCs w:val="26"/>
          <w:lang w:val="lv-LV"/>
        </w:rPr>
        <w:t xml:space="preserve"> koordinācijas cen</w:t>
      </w:r>
      <w:r w:rsidR="00C81B59" w:rsidRPr="00AB625A">
        <w:rPr>
          <w:sz w:val="26"/>
          <w:szCs w:val="26"/>
          <w:lang w:val="lv-LV"/>
        </w:rPr>
        <w:t>trs, Augstākās izglītības padome un Latvijas Darba devēju konfederācija</w:t>
      </w:r>
      <w:r w:rsidR="007B4929" w:rsidRPr="00AB625A">
        <w:rPr>
          <w:sz w:val="26"/>
          <w:szCs w:val="26"/>
          <w:lang w:val="lv-LV"/>
        </w:rPr>
        <w:t>, pamatojoties uz Latvijas ilgt</w:t>
      </w:r>
      <w:r w:rsidR="0093740D" w:rsidRPr="00AB625A">
        <w:rPr>
          <w:sz w:val="26"/>
          <w:szCs w:val="26"/>
          <w:lang w:val="lv-LV"/>
        </w:rPr>
        <w:t>spējīgas attīstības stratēģiju, Nacionālo attīstības plānu un citiem attīstības plānoš</w:t>
      </w:r>
      <w:r w:rsidR="009D473C" w:rsidRPr="00AB625A">
        <w:rPr>
          <w:sz w:val="26"/>
          <w:szCs w:val="26"/>
          <w:lang w:val="lv-LV"/>
        </w:rPr>
        <w:t>a</w:t>
      </w:r>
      <w:r w:rsidR="0093740D" w:rsidRPr="00AB625A">
        <w:rPr>
          <w:sz w:val="26"/>
          <w:szCs w:val="26"/>
          <w:lang w:val="lv-LV"/>
        </w:rPr>
        <w:t>nas dokumentiem, sniedz</w:t>
      </w:r>
      <w:r w:rsidR="00474908" w:rsidRPr="00AB625A">
        <w:rPr>
          <w:sz w:val="26"/>
          <w:szCs w:val="26"/>
          <w:lang w:val="lv-LV"/>
        </w:rPr>
        <w:t>a</w:t>
      </w:r>
      <w:r w:rsidR="0093740D" w:rsidRPr="00AB625A">
        <w:rPr>
          <w:sz w:val="26"/>
          <w:szCs w:val="26"/>
          <w:lang w:val="lv-LV"/>
        </w:rPr>
        <w:t xml:space="preserve"> viedokli par augstskolas vai koledžas jaunā studiju virziena atbilstīb</w:t>
      </w:r>
      <w:r>
        <w:rPr>
          <w:sz w:val="26"/>
          <w:szCs w:val="26"/>
          <w:lang w:val="lv-LV"/>
        </w:rPr>
        <w:t>u valsts attīstības prioritātēm;</w:t>
      </w:r>
    </w:p>
    <w:p w:rsidR="0093740D" w:rsidRPr="005E7884" w:rsidRDefault="0093740D" w:rsidP="0093740D">
      <w:pPr>
        <w:pStyle w:val="ListParagraph"/>
        <w:rPr>
          <w:sz w:val="26"/>
          <w:szCs w:val="26"/>
          <w:lang w:val="lv-LV"/>
        </w:rPr>
      </w:pPr>
    </w:p>
    <w:p w:rsidR="0093740D" w:rsidRPr="00AB625A" w:rsidRDefault="004E7EA3" w:rsidP="00C167D6">
      <w:pPr>
        <w:ind w:firstLine="720"/>
        <w:jc w:val="both"/>
        <w:rPr>
          <w:sz w:val="26"/>
          <w:szCs w:val="26"/>
          <w:lang w:val="lv-LV"/>
        </w:rPr>
      </w:pPr>
      <w:r>
        <w:rPr>
          <w:sz w:val="26"/>
          <w:szCs w:val="26"/>
          <w:lang w:val="lv-LV"/>
        </w:rPr>
        <w:t>1.10.</w:t>
      </w:r>
      <w:r w:rsidR="00301B8F">
        <w:rPr>
          <w:sz w:val="26"/>
          <w:szCs w:val="26"/>
          <w:lang w:val="lv-LV"/>
        </w:rPr>
        <w:t xml:space="preserve"> </w:t>
      </w:r>
      <w:r w:rsidR="006C779C" w:rsidRPr="00AB625A">
        <w:rPr>
          <w:sz w:val="26"/>
          <w:szCs w:val="26"/>
          <w:lang w:val="lv-LV"/>
        </w:rPr>
        <w:t>Ekonomikas ministrija 2014</w:t>
      </w:r>
      <w:r w:rsidR="0093740D" w:rsidRPr="00AB625A">
        <w:rPr>
          <w:sz w:val="26"/>
          <w:szCs w:val="26"/>
          <w:lang w:val="lv-LV"/>
        </w:rPr>
        <w:t xml:space="preserve">.gada </w:t>
      </w:r>
      <w:r w:rsidR="006C779C" w:rsidRPr="00AB625A">
        <w:rPr>
          <w:sz w:val="26"/>
          <w:szCs w:val="26"/>
          <w:lang w:val="lv-LV"/>
        </w:rPr>
        <w:t xml:space="preserve">3.jūlija vēstulē </w:t>
      </w:r>
      <w:r w:rsidR="003969C9">
        <w:rPr>
          <w:sz w:val="26"/>
          <w:szCs w:val="26"/>
          <w:lang w:val="lv-LV"/>
        </w:rPr>
        <w:t>N</w:t>
      </w:r>
      <w:r w:rsidR="006C09A0" w:rsidRPr="00AB625A">
        <w:rPr>
          <w:sz w:val="26"/>
          <w:szCs w:val="26"/>
          <w:lang w:val="lv-LV"/>
        </w:rPr>
        <w:t>r</w:t>
      </w:r>
      <w:r w:rsidR="006C779C" w:rsidRPr="00AB625A">
        <w:rPr>
          <w:sz w:val="26"/>
          <w:szCs w:val="26"/>
          <w:lang w:val="lv-LV"/>
        </w:rPr>
        <w:t>.325-1-9966</w:t>
      </w:r>
      <w:r w:rsidR="0093740D" w:rsidRPr="00AB625A">
        <w:rPr>
          <w:sz w:val="26"/>
          <w:szCs w:val="26"/>
          <w:lang w:val="lv-LV"/>
        </w:rPr>
        <w:t xml:space="preserve"> secina,</w:t>
      </w:r>
      <w:r w:rsidR="00933B68" w:rsidRPr="00AB625A">
        <w:rPr>
          <w:sz w:val="26"/>
          <w:szCs w:val="26"/>
          <w:lang w:val="lv-LV"/>
        </w:rPr>
        <w:t xml:space="preserve"> ka</w:t>
      </w:r>
      <w:r w:rsidR="0093740D" w:rsidRPr="00AB625A">
        <w:rPr>
          <w:sz w:val="26"/>
          <w:szCs w:val="26"/>
          <w:lang w:val="lv-LV"/>
        </w:rPr>
        <w:t xml:space="preserve"> </w:t>
      </w:r>
      <w:r w:rsidR="00933B68" w:rsidRPr="00AB625A">
        <w:rPr>
          <w:sz w:val="26"/>
          <w:szCs w:val="26"/>
          <w:lang w:val="lv-LV"/>
        </w:rPr>
        <w:t xml:space="preserve">nākotnē liela nozīme tautsaimniecības izaugsmē būs Latvijas uzņēmēju konkurētspējai globālajā tirgū, kas ir atkarīga, cita starpā, arī no uzņēmumu darbinieku kompetences un spējas orientēties starptautiskajā komercdarbības vidē. </w:t>
      </w:r>
      <w:r w:rsidR="00523216" w:rsidRPr="00AB625A">
        <w:rPr>
          <w:sz w:val="26"/>
          <w:szCs w:val="26"/>
          <w:lang w:val="lv-LV"/>
        </w:rPr>
        <w:t>Tā kā studiju programmas studiju kursu uzsvars tiek orientēts gan uz vispārīgo tiesību zinātnes apguvi, gan arī to sasaisti ar komercdarbību, specializējoties starptautiskajās tiesībās, darījumu veikšanā starptautiskā vidē, darījumu aizsardzībā un citās k</w:t>
      </w:r>
      <w:r w:rsidR="001E6467" w:rsidRPr="00AB625A">
        <w:rPr>
          <w:sz w:val="26"/>
          <w:szCs w:val="26"/>
          <w:lang w:val="lv-LV"/>
        </w:rPr>
        <w:t>omercdarbības un tiesību jomās,</w:t>
      </w:r>
      <w:r w:rsidR="00933B68" w:rsidRPr="00AB625A">
        <w:rPr>
          <w:sz w:val="26"/>
          <w:szCs w:val="26"/>
          <w:lang w:val="lv-LV"/>
        </w:rPr>
        <w:t xml:space="preserve"> studiju programma kopumā atbilst attīstības plānošanas dokumentos noteiktajām prioritātēm ekonomikas politikas jomā, kas galvenokārt orientētas uz Latvijas uzņēmēju konkurētspējas stiprināšanu globālajā tirgū. </w:t>
      </w:r>
      <w:r w:rsidR="00485C8C" w:rsidRPr="00AB625A">
        <w:rPr>
          <w:sz w:val="26"/>
          <w:szCs w:val="26"/>
          <w:lang w:val="lv-LV"/>
        </w:rPr>
        <w:t xml:space="preserve">Vienlaicīgi Ekonomikas ministrija norāda, ka atbilstoši darba tirgus vidēja un ilgtermiņa prognozēm, saglabājoties līdzšinējai izglītības piedāvājuma struktūrai, sociālo zinātņu, </w:t>
      </w:r>
      <w:proofErr w:type="spellStart"/>
      <w:r w:rsidR="00485C8C" w:rsidRPr="00AB625A">
        <w:rPr>
          <w:sz w:val="26"/>
          <w:szCs w:val="26"/>
          <w:lang w:val="lv-LV"/>
        </w:rPr>
        <w:t>komerczinību</w:t>
      </w:r>
      <w:proofErr w:type="spellEnd"/>
      <w:r w:rsidR="00485C8C" w:rsidRPr="00AB625A">
        <w:rPr>
          <w:sz w:val="26"/>
          <w:szCs w:val="26"/>
          <w:lang w:val="lv-LV"/>
        </w:rPr>
        <w:t xml:space="preserve"> un tiesību zinību jomās sagaidāms vislielākais darbaspēka pieaugums ar augstāko izglītību un būs vērojams nozīmīgs darbaspēka piedāvājuma pārsvars pār pieprasījumu, kā rezultātā 2020.gadā apmēram 10% atbilstošās kvalifikācijas jauno speciālistu strādās sava</w:t>
      </w:r>
      <w:r w:rsidR="00266D46">
        <w:rPr>
          <w:sz w:val="26"/>
          <w:szCs w:val="26"/>
          <w:lang w:val="lv-LV"/>
        </w:rPr>
        <w:t>i izglītībai neatbilstošā darbā;</w:t>
      </w:r>
      <w:r w:rsidR="00485C8C" w:rsidRPr="00AB625A">
        <w:rPr>
          <w:sz w:val="26"/>
          <w:szCs w:val="26"/>
          <w:lang w:val="lv-LV"/>
        </w:rPr>
        <w:t xml:space="preserve"> </w:t>
      </w:r>
    </w:p>
    <w:p w:rsidR="00933B68" w:rsidRPr="005E7884" w:rsidRDefault="00933B68" w:rsidP="00933B68">
      <w:pPr>
        <w:jc w:val="both"/>
        <w:rPr>
          <w:sz w:val="26"/>
          <w:szCs w:val="26"/>
          <w:lang w:val="lv-LV"/>
        </w:rPr>
      </w:pPr>
    </w:p>
    <w:p w:rsidR="007A3F28" w:rsidRPr="00AB625A" w:rsidRDefault="00266D46" w:rsidP="00C167D6">
      <w:pPr>
        <w:ind w:firstLine="720"/>
        <w:jc w:val="both"/>
        <w:rPr>
          <w:sz w:val="26"/>
          <w:szCs w:val="26"/>
          <w:lang w:val="lv-LV"/>
        </w:rPr>
      </w:pPr>
      <w:r>
        <w:rPr>
          <w:sz w:val="26"/>
          <w:szCs w:val="26"/>
          <w:lang w:val="lv-LV"/>
        </w:rPr>
        <w:t>1.11.</w:t>
      </w:r>
      <w:r w:rsidR="009C63AB">
        <w:rPr>
          <w:sz w:val="26"/>
          <w:szCs w:val="26"/>
          <w:lang w:val="lv-LV"/>
        </w:rPr>
        <w:t xml:space="preserve"> </w:t>
      </w:r>
      <w:proofErr w:type="spellStart"/>
      <w:r w:rsidR="0093740D" w:rsidRPr="00AB625A">
        <w:rPr>
          <w:sz w:val="26"/>
          <w:szCs w:val="26"/>
          <w:lang w:val="lv-LV"/>
        </w:rPr>
        <w:t>Pār</w:t>
      </w:r>
      <w:r w:rsidR="007A3F28" w:rsidRPr="00AB625A">
        <w:rPr>
          <w:sz w:val="26"/>
          <w:szCs w:val="26"/>
          <w:lang w:val="lv-LV"/>
        </w:rPr>
        <w:t>resoru</w:t>
      </w:r>
      <w:proofErr w:type="spellEnd"/>
      <w:r w:rsidR="007A3F28" w:rsidRPr="00AB625A">
        <w:rPr>
          <w:sz w:val="26"/>
          <w:szCs w:val="26"/>
          <w:lang w:val="lv-LV"/>
        </w:rPr>
        <w:t xml:space="preserve"> koordinācijas centrs 2014</w:t>
      </w:r>
      <w:r w:rsidR="0093740D" w:rsidRPr="00AB625A">
        <w:rPr>
          <w:sz w:val="26"/>
          <w:szCs w:val="26"/>
          <w:lang w:val="lv-LV"/>
        </w:rPr>
        <w:t xml:space="preserve">.gada </w:t>
      </w:r>
      <w:r w:rsidR="007A3F28" w:rsidRPr="00AB625A">
        <w:rPr>
          <w:sz w:val="26"/>
          <w:szCs w:val="26"/>
          <w:lang w:val="lv-LV"/>
        </w:rPr>
        <w:t xml:space="preserve">30.jūnija vēstulē </w:t>
      </w:r>
      <w:r w:rsidR="003969C9">
        <w:rPr>
          <w:sz w:val="26"/>
          <w:szCs w:val="26"/>
          <w:lang w:val="lv-LV"/>
        </w:rPr>
        <w:t>N</w:t>
      </w:r>
      <w:r w:rsidR="00222AC9" w:rsidRPr="00AB625A">
        <w:rPr>
          <w:sz w:val="26"/>
          <w:szCs w:val="26"/>
          <w:lang w:val="lv-LV"/>
        </w:rPr>
        <w:t>r</w:t>
      </w:r>
      <w:r w:rsidR="007A3F28" w:rsidRPr="00AB625A">
        <w:rPr>
          <w:sz w:val="26"/>
          <w:szCs w:val="26"/>
          <w:lang w:val="lv-LV"/>
        </w:rPr>
        <w:t>.1.2-5/57</w:t>
      </w:r>
      <w:r w:rsidR="0093740D" w:rsidRPr="00AB625A">
        <w:rPr>
          <w:sz w:val="26"/>
          <w:szCs w:val="26"/>
          <w:lang w:val="lv-LV"/>
        </w:rPr>
        <w:t xml:space="preserve"> norāda, ka </w:t>
      </w:r>
      <w:r w:rsidR="00C167D6">
        <w:rPr>
          <w:sz w:val="26"/>
          <w:szCs w:val="26"/>
          <w:lang w:val="lv-LV"/>
        </w:rPr>
        <w:t>a</w:t>
      </w:r>
      <w:r w:rsidR="007A3F28" w:rsidRPr="00AB625A">
        <w:rPr>
          <w:sz w:val="26"/>
          <w:szCs w:val="26"/>
          <w:lang w:val="lv-LV"/>
        </w:rPr>
        <w:t>ugstskolas</w:t>
      </w:r>
      <w:r w:rsidR="0093740D" w:rsidRPr="00AB625A">
        <w:rPr>
          <w:sz w:val="26"/>
          <w:szCs w:val="26"/>
          <w:lang w:val="lv-LV"/>
        </w:rPr>
        <w:t xml:space="preserve"> jaunais studiju virziens</w:t>
      </w:r>
      <w:r w:rsidR="00814C57" w:rsidRPr="00AB625A">
        <w:rPr>
          <w:sz w:val="26"/>
          <w:szCs w:val="26"/>
          <w:lang w:val="lv-LV"/>
        </w:rPr>
        <w:t xml:space="preserve"> “</w:t>
      </w:r>
      <w:r w:rsidR="007A3F28" w:rsidRPr="00AB625A">
        <w:rPr>
          <w:sz w:val="26"/>
          <w:szCs w:val="26"/>
          <w:lang w:val="lv-LV"/>
        </w:rPr>
        <w:t>Tiesību zinātne</w:t>
      </w:r>
      <w:r w:rsidR="00814C57" w:rsidRPr="00AB625A">
        <w:rPr>
          <w:sz w:val="26"/>
          <w:szCs w:val="26"/>
          <w:lang w:val="lv-LV"/>
        </w:rPr>
        <w:t>”</w:t>
      </w:r>
      <w:r w:rsidR="0093740D" w:rsidRPr="00AB625A">
        <w:rPr>
          <w:sz w:val="26"/>
          <w:szCs w:val="26"/>
          <w:lang w:val="lv-LV"/>
        </w:rPr>
        <w:t xml:space="preserve"> saskan ar prioritātēm, kas noteiktas Latvija ilgtspējīgas attīstības stratēģijā līdz 2030.gadam</w:t>
      </w:r>
      <w:r w:rsidR="00124B64">
        <w:rPr>
          <w:sz w:val="26"/>
          <w:szCs w:val="26"/>
          <w:lang w:val="lv-LV"/>
        </w:rPr>
        <w:t xml:space="preserve"> </w:t>
      </w:r>
      <w:r w:rsidR="00124B64" w:rsidRPr="00BF5FFF">
        <w:rPr>
          <w:color w:val="000000"/>
          <w:sz w:val="26"/>
          <w:szCs w:val="26"/>
          <w:lang w:val="lv-LV"/>
        </w:rPr>
        <w:t>(turpmāk - Latvija 2030)</w:t>
      </w:r>
      <w:r w:rsidR="0093740D" w:rsidRPr="00AB625A">
        <w:rPr>
          <w:sz w:val="26"/>
          <w:szCs w:val="26"/>
          <w:lang w:val="lv-LV"/>
        </w:rPr>
        <w:t xml:space="preserve"> un Nacionālajā attīstības plānā 2014.-2020.gadam</w:t>
      </w:r>
      <w:r w:rsidR="00814C57" w:rsidRPr="00AB625A">
        <w:rPr>
          <w:sz w:val="26"/>
          <w:szCs w:val="26"/>
          <w:lang w:val="lv-LV"/>
        </w:rPr>
        <w:t xml:space="preserve"> (turpmāk – NAP</w:t>
      </w:r>
      <w:r w:rsidR="00EC0B91">
        <w:rPr>
          <w:sz w:val="26"/>
          <w:szCs w:val="26"/>
          <w:lang w:val="lv-LV"/>
        </w:rPr>
        <w:t xml:space="preserve"> </w:t>
      </w:r>
      <w:r w:rsidR="00814C57" w:rsidRPr="00AB625A">
        <w:rPr>
          <w:sz w:val="26"/>
          <w:szCs w:val="26"/>
          <w:lang w:val="lv-LV"/>
        </w:rPr>
        <w:t>2020)</w:t>
      </w:r>
      <w:r w:rsidR="0093740D" w:rsidRPr="00AB625A">
        <w:rPr>
          <w:sz w:val="26"/>
          <w:szCs w:val="26"/>
          <w:lang w:val="lv-LV"/>
        </w:rPr>
        <w:t>.</w:t>
      </w:r>
      <w:r w:rsidR="004B29EE" w:rsidRPr="00AB625A">
        <w:rPr>
          <w:sz w:val="26"/>
          <w:szCs w:val="26"/>
          <w:lang w:val="lv-LV"/>
        </w:rPr>
        <w:t xml:space="preserve"> </w:t>
      </w:r>
      <w:r w:rsidR="007C332B" w:rsidRPr="00AB625A">
        <w:rPr>
          <w:sz w:val="26"/>
          <w:szCs w:val="26"/>
          <w:lang w:val="lv-LV"/>
        </w:rPr>
        <w:t>Lai radītu pamatu kvalitatīvai un savlaicīgai lietu izmeklēšanai un iztiesāšanai NAP</w:t>
      </w:r>
      <w:r w:rsidR="00EC0B91">
        <w:rPr>
          <w:sz w:val="26"/>
          <w:szCs w:val="26"/>
          <w:lang w:val="lv-LV"/>
        </w:rPr>
        <w:t xml:space="preserve"> </w:t>
      </w:r>
      <w:r w:rsidR="007C332B" w:rsidRPr="00AB625A">
        <w:rPr>
          <w:sz w:val="26"/>
          <w:szCs w:val="26"/>
          <w:lang w:val="lv-LV"/>
        </w:rPr>
        <w:t xml:space="preserve">2020 darbība paredz pasākumus tiesu sistēmas un </w:t>
      </w:r>
      <w:proofErr w:type="spellStart"/>
      <w:r w:rsidR="007C332B" w:rsidRPr="00AB625A">
        <w:rPr>
          <w:sz w:val="26"/>
          <w:szCs w:val="26"/>
          <w:lang w:val="lv-LV"/>
        </w:rPr>
        <w:t>tiesībsargājošo</w:t>
      </w:r>
      <w:proofErr w:type="spellEnd"/>
      <w:r w:rsidR="007C332B" w:rsidRPr="00AB625A">
        <w:rPr>
          <w:sz w:val="26"/>
          <w:szCs w:val="26"/>
          <w:lang w:val="lv-LV"/>
        </w:rPr>
        <w:t xml:space="preserve"> institūciju kapacitātes stiprināšanai. Viens no šīs jomas kapacitātes celšanas aspektiem ir kvalitatīva, konkurētspējīga juridiskā izglītība. </w:t>
      </w:r>
      <w:proofErr w:type="spellStart"/>
      <w:r w:rsidR="007C332B" w:rsidRPr="00AB625A">
        <w:rPr>
          <w:sz w:val="26"/>
          <w:szCs w:val="26"/>
          <w:lang w:val="lv-LV"/>
        </w:rPr>
        <w:t>Pārresoru</w:t>
      </w:r>
      <w:proofErr w:type="spellEnd"/>
      <w:r w:rsidR="007C332B" w:rsidRPr="00AB625A">
        <w:rPr>
          <w:sz w:val="26"/>
          <w:szCs w:val="26"/>
          <w:lang w:val="lv-LV"/>
        </w:rPr>
        <w:t xml:space="preserve"> koordinācijas centrs norāda uz</w:t>
      </w:r>
      <w:r w:rsidR="00D403FA" w:rsidRPr="00AB625A">
        <w:rPr>
          <w:sz w:val="26"/>
          <w:szCs w:val="26"/>
          <w:lang w:val="lv-LV"/>
        </w:rPr>
        <w:t xml:space="preserve"> darba tirgus attīstības prognozēm, kas paredz tiesību zinātņu speciālistu </w:t>
      </w:r>
      <w:r w:rsidR="0034689D" w:rsidRPr="00AB625A">
        <w:rPr>
          <w:sz w:val="26"/>
          <w:szCs w:val="26"/>
          <w:lang w:val="lv-LV"/>
        </w:rPr>
        <w:t xml:space="preserve">pārpalikumu vidējā un ilgtermiņā. </w:t>
      </w:r>
      <w:r w:rsidR="00600675" w:rsidRPr="00AB625A">
        <w:rPr>
          <w:sz w:val="26"/>
          <w:szCs w:val="26"/>
          <w:lang w:val="lv-LV"/>
        </w:rPr>
        <w:t>Lai</w:t>
      </w:r>
      <w:r w:rsidR="000C61FA" w:rsidRPr="00AB625A">
        <w:rPr>
          <w:sz w:val="26"/>
          <w:szCs w:val="26"/>
          <w:lang w:val="lv-LV"/>
        </w:rPr>
        <w:t xml:space="preserve"> arī </w:t>
      </w:r>
      <w:proofErr w:type="spellStart"/>
      <w:r w:rsidR="000C61FA" w:rsidRPr="00AB625A">
        <w:rPr>
          <w:sz w:val="26"/>
          <w:szCs w:val="26"/>
          <w:lang w:val="lv-LV"/>
        </w:rPr>
        <w:t>Pārresoru</w:t>
      </w:r>
      <w:proofErr w:type="spellEnd"/>
      <w:r w:rsidR="000C61FA" w:rsidRPr="00AB625A">
        <w:rPr>
          <w:sz w:val="26"/>
          <w:szCs w:val="26"/>
          <w:lang w:val="lv-LV"/>
        </w:rPr>
        <w:t xml:space="preserve"> koordinācijas centrs </w:t>
      </w:r>
      <w:r w:rsidR="00923FB3" w:rsidRPr="00AB625A">
        <w:rPr>
          <w:sz w:val="26"/>
          <w:szCs w:val="26"/>
          <w:lang w:val="lv-LV"/>
        </w:rPr>
        <w:t xml:space="preserve">neiebilst studiju virziena “Tiesību zinātne” atvēršanai, </w:t>
      </w:r>
      <w:r w:rsidR="0032080B" w:rsidRPr="00AB625A">
        <w:rPr>
          <w:sz w:val="26"/>
          <w:szCs w:val="26"/>
          <w:lang w:val="lv-LV"/>
        </w:rPr>
        <w:t xml:space="preserve">tas uzsver, ka studiju virziena “Tiesību zinātne” atvēršana ir izvērtējama sasaistē ar </w:t>
      </w:r>
      <w:r w:rsidR="004239E2">
        <w:rPr>
          <w:sz w:val="26"/>
          <w:szCs w:val="26"/>
          <w:lang w:val="lv-LV"/>
        </w:rPr>
        <w:t>a</w:t>
      </w:r>
      <w:r w:rsidR="0032080B" w:rsidRPr="00AB625A">
        <w:rPr>
          <w:sz w:val="26"/>
          <w:szCs w:val="26"/>
          <w:lang w:val="lv-LV"/>
        </w:rPr>
        <w:t xml:space="preserve">ugstskolas iespējām veidot ilglaicīgu studiju programmu, kurā ir </w:t>
      </w:r>
      <w:r w:rsidR="00600675" w:rsidRPr="00AB625A">
        <w:rPr>
          <w:sz w:val="26"/>
          <w:szCs w:val="26"/>
          <w:lang w:val="lv-LV"/>
        </w:rPr>
        <w:t>nodrošinātas augstas prasīb</w:t>
      </w:r>
      <w:r>
        <w:rPr>
          <w:sz w:val="26"/>
          <w:szCs w:val="26"/>
          <w:lang w:val="lv-LV"/>
        </w:rPr>
        <w:t>as pasniedzējiem un studentiem;</w:t>
      </w:r>
    </w:p>
    <w:p w:rsidR="007A3F28" w:rsidRPr="005E7884" w:rsidRDefault="007A3F28" w:rsidP="007A3F28">
      <w:pPr>
        <w:pStyle w:val="ListParagraph"/>
        <w:ind w:left="360"/>
        <w:jc w:val="both"/>
        <w:rPr>
          <w:sz w:val="26"/>
          <w:szCs w:val="26"/>
          <w:lang w:val="lv-LV"/>
        </w:rPr>
      </w:pPr>
    </w:p>
    <w:p w:rsidR="004660FA" w:rsidRPr="00AB625A" w:rsidRDefault="00266D46" w:rsidP="00C167D6">
      <w:pPr>
        <w:ind w:firstLine="720"/>
        <w:jc w:val="both"/>
        <w:rPr>
          <w:sz w:val="26"/>
          <w:szCs w:val="26"/>
          <w:lang w:val="lv-LV"/>
        </w:rPr>
      </w:pPr>
      <w:r>
        <w:rPr>
          <w:sz w:val="26"/>
          <w:szCs w:val="26"/>
          <w:lang w:val="lv-LV"/>
        </w:rPr>
        <w:t>1.12.</w:t>
      </w:r>
      <w:r w:rsidR="006A04CA">
        <w:rPr>
          <w:sz w:val="26"/>
          <w:szCs w:val="26"/>
          <w:lang w:val="lv-LV"/>
        </w:rPr>
        <w:t xml:space="preserve"> </w:t>
      </w:r>
      <w:r w:rsidR="00814C57" w:rsidRPr="00AB625A">
        <w:rPr>
          <w:sz w:val="26"/>
          <w:szCs w:val="26"/>
          <w:lang w:val="lv-LV"/>
        </w:rPr>
        <w:t>Augstākās izglītības padome 201</w:t>
      </w:r>
      <w:r w:rsidR="002B5C31" w:rsidRPr="00AB625A">
        <w:rPr>
          <w:sz w:val="26"/>
          <w:szCs w:val="26"/>
          <w:lang w:val="lv-LV"/>
        </w:rPr>
        <w:t>4</w:t>
      </w:r>
      <w:r w:rsidR="00814C57" w:rsidRPr="00AB625A">
        <w:rPr>
          <w:sz w:val="26"/>
          <w:szCs w:val="26"/>
          <w:lang w:val="lv-LV"/>
        </w:rPr>
        <w:t xml:space="preserve">.gada </w:t>
      </w:r>
      <w:r w:rsidR="002B5C31" w:rsidRPr="00AB625A">
        <w:rPr>
          <w:sz w:val="26"/>
          <w:szCs w:val="26"/>
          <w:lang w:val="lv-LV"/>
        </w:rPr>
        <w:t>2</w:t>
      </w:r>
      <w:r w:rsidR="00814C57" w:rsidRPr="00AB625A">
        <w:rPr>
          <w:sz w:val="26"/>
          <w:szCs w:val="26"/>
          <w:lang w:val="lv-LV"/>
        </w:rPr>
        <w:t>5.</w:t>
      </w:r>
      <w:r w:rsidR="002B5C31" w:rsidRPr="00AB625A">
        <w:rPr>
          <w:sz w:val="26"/>
          <w:szCs w:val="26"/>
          <w:lang w:val="lv-LV"/>
        </w:rPr>
        <w:t>sept</w:t>
      </w:r>
      <w:r w:rsidR="002A72BB" w:rsidRPr="00AB625A">
        <w:rPr>
          <w:sz w:val="26"/>
          <w:szCs w:val="26"/>
          <w:lang w:val="lv-LV"/>
        </w:rPr>
        <w:t>em</w:t>
      </w:r>
      <w:r w:rsidR="002B5C31" w:rsidRPr="00AB625A">
        <w:rPr>
          <w:sz w:val="26"/>
          <w:szCs w:val="26"/>
          <w:lang w:val="lv-LV"/>
        </w:rPr>
        <w:t>bra</w:t>
      </w:r>
      <w:r w:rsidR="00814C57" w:rsidRPr="00AB625A">
        <w:rPr>
          <w:sz w:val="26"/>
          <w:szCs w:val="26"/>
          <w:lang w:val="lv-LV"/>
        </w:rPr>
        <w:t xml:space="preserve"> vēstulē </w:t>
      </w:r>
      <w:r w:rsidR="003969C9">
        <w:rPr>
          <w:sz w:val="26"/>
          <w:szCs w:val="26"/>
          <w:lang w:val="lv-LV"/>
        </w:rPr>
        <w:t>N</w:t>
      </w:r>
      <w:r w:rsidR="00222AC9" w:rsidRPr="00AB625A">
        <w:rPr>
          <w:sz w:val="26"/>
          <w:szCs w:val="26"/>
          <w:lang w:val="lv-LV"/>
        </w:rPr>
        <w:t>r</w:t>
      </w:r>
      <w:r w:rsidR="00814C57" w:rsidRPr="00AB625A">
        <w:rPr>
          <w:sz w:val="26"/>
          <w:szCs w:val="26"/>
          <w:lang w:val="lv-LV"/>
        </w:rPr>
        <w:t>.1.12./</w:t>
      </w:r>
      <w:r w:rsidR="002B5C31" w:rsidRPr="00AB625A">
        <w:rPr>
          <w:sz w:val="26"/>
          <w:szCs w:val="26"/>
          <w:lang w:val="lv-LV"/>
        </w:rPr>
        <w:t>57</w:t>
      </w:r>
      <w:r w:rsidR="00814C57" w:rsidRPr="00AB625A">
        <w:rPr>
          <w:sz w:val="26"/>
          <w:szCs w:val="26"/>
          <w:lang w:val="lv-LV"/>
        </w:rPr>
        <w:t xml:space="preserve"> norāda, ka </w:t>
      </w:r>
      <w:r w:rsidR="002B5C31" w:rsidRPr="00AB625A">
        <w:rPr>
          <w:sz w:val="26"/>
          <w:szCs w:val="26"/>
          <w:lang w:val="lv-LV"/>
        </w:rPr>
        <w:t xml:space="preserve">balsojot ir nolēmusi atbalstīt studiju virziena „Tiesību zinātne” atvēršanu Ekonomikas un kultūras augstskolā. </w:t>
      </w:r>
      <w:r w:rsidR="002A72BB" w:rsidRPr="00AB625A">
        <w:rPr>
          <w:sz w:val="26"/>
          <w:szCs w:val="26"/>
          <w:lang w:val="lv-LV"/>
        </w:rPr>
        <w:t xml:space="preserve">Augstākā izglītības padome savu lēmumu neargumentē un nemin, tieši kurām valsts attīstības prioritātēm </w:t>
      </w:r>
      <w:r w:rsidR="00104217" w:rsidRPr="00AB625A">
        <w:rPr>
          <w:sz w:val="26"/>
          <w:szCs w:val="26"/>
          <w:lang w:val="lv-LV"/>
        </w:rPr>
        <w:t xml:space="preserve">šis studiju virziens </w:t>
      </w:r>
      <w:r w:rsidR="004239E2">
        <w:rPr>
          <w:sz w:val="26"/>
          <w:szCs w:val="26"/>
          <w:lang w:val="lv-LV"/>
        </w:rPr>
        <w:t>atbilst;</w:t>
      </w:r>
    </w:p>
    <w:p w:rsidR="002B5C31" w:rsidRPr="005E7884" w:rsidRDefault="002B5C31" w:rsidP="002B5C31">
      <w:pPr>
        <w:pStyle w:val="ListParagraph"/>
        <w:ind w:left="360"/>
        <w:jc w:val="both"/>
        <w:rPr>
          <w:sz w:val="26"/>
          <w:szCs w:val="26"/>
          <w:lang w:val="lv-LV"/>
        </w:rPr>
      </w:pPr>
    </w:p>
    <w:p w:rsidR="006C4594" w:rsidRPr="00AB625A" w:rsidRDefault="004239E2" w:rsidP="002373DA">
      <w:pPr>
        <w:ind w:firstLine="720"/>
        <w:jc w:val="both"/>
        <w:rPr>
          <w:sz w:val="26"/>
          <w:szCs w:val="26"/>
          <w:lang w:val="lv-LV"/>
        </w:rPr>
      </w:pPr>
      <w:r>
        <w:rPr>
          <w:sz w:val="26"/>
          <w:szCs w:val="26"/>
          <w:lang w:val="lv-LV"/>
        </w:rPr>
        <w:t>1.13.</w:t>
      </w:r>
      <w:r w:rsidR="00DD19E7">
        <w:rPr>
          <w:sz w:val="26"/>
          <w:szCs w:val="26"/>
          <w:lang w:val="lv-LV"/>
        </w:rPr>
        <w:t xml:space="preserve"> </w:t>
      </w:r>
      <w:r w:rsidR="009A1D16" w:rsidRPr="00AB625A">
        <w:rPr>
          <w:sz w:val="26"/>
          <w:szCs w:val="26"/>
          <w:lang w:val="lv-LV"/>
        </w:rPr>
        <w:t>Latvijas</w:t>
      </w:r>
      <w:r w:rsidR="00CC1185" w:rsidRPr="00AB625A">
        <w:rPr>
          <w:sz w:val="26"/>
          <w:szCs w:val="26"/>
          <w:lang w:val="lv-LV"/>
        </w:rPr>
        <w:t xml:space="preserve"> Darba devēju konfederācija 2014</w:t>
      </w:r>
      <w:r w:rsidR="009A1D16" w:rsidRPr="00AB625A">
        <w:rPr>
          <w:sz w:val="26"/>
          <w:szCs w:val="26"/>
          <w:lang w:val="lv-LV"/>
        </w:rPr>
        <w:t xml:space="preserve">.gada </w:t>
      </w:r>
      <w:r w:rsidR="00CC1185" w:rsidRPr="00AB625A">
        <w:rPr>
          <w:sz w:val="26"/>
          <w:szCs w:val="26"/>
          <w:lang w:val="lv-LV"/>
        </w:rPr>
        <w:t xml:space="preserve">27.jūnija vēstulē </w:t>
      </w:r>
      <w:r w:rsidR="003969C9">
        <w:rPr>
          <w:sz w:val="26"/>
          <w:szCs w:val="26"/>
          <w:lang w:val="lv-LV"/>
        </w:rPr>
        <w:t>N</w:t>
      </w:r>
      <w:r w:rsidR="00222AC9" w:rsidRPr="00AB625A">
        <w:rPr>
          <w:sz w:val="26"/>
          <w:szCs w:val="26"/>
          <w:lang w:val="lv-LV"/>
        </w:rPr>
        <w:t>r</w:t>
      </w:r>
      <w:r w:rsidR="00CC1185" w:rsidRPr="00AB625A">
        <w:rPr>
          <w:sz w:val="26"/>
          <w:szCs w:val="26"/>
          <w:lang w:val="lv-LV"/>
        </w:rPr>
        <w:t>.2-9/110 norāda, ka, iepazīstoties ar piedāvāto studiju programmu „Starptautiskās komercdarbības tiesības”, secina, ka tās saturs nodrošinās studentiem augstu teorētisko un praktisko sagatavotību komercdarbības un tiesību jomā</w:t>
      </w:r>
      <w:r w:rsidR="00A41B0A" w:rsidRPr="00AB625A">
        <w:rPr>
          <w:sz w:val="26"/>
          <w:szCs w:val="26"/>
          <w:lang w:val="lv-LV"/>
        </w:rPr>
        <w:t>, kas nepieciešama darbam Latvijas uzņēmējdarbības vidē</w:t>
      </w:r>
      <w:r w:rsidR="00864D13" w:rsidRPr="00AB625A">
        <w:rPr>
          <w:sz w:val="26"/>
          <w:szCs w:val="26"/>
          <w:lang w:val="lv-LV"/>
        </w:rPr>
        <w:t>, tai skaitā, kopuzņēmumos un eksportējošos uzņēmumos</w:t>
      </w:r>
      <w:r w:rsidR="002C5D6E" w:rsidRPr="00AB625A">
        <w:rPr>
          <w:sz w:val="26"/>
          <w:szCs w:val="26"/>
          <w:lang w:val="lv-LV"/>
        </w:rPr>
        <w:t>, kā arī Latvijas uzņēmumiem un speciālistiem dos iespēju</w:t>
      </w:r>
      <w:r w:rsidR="008A7FCD" w:rsidRPr="00AB625A">
        <w:rPr>
          <w:sz w:val="26"/>
          <w:szCs w:val="26"/>
          <w:lang w:val="lv-LV"/>
        </w:rPr>
        <w:t xml:space="preserve"> sekmīgi darboties E</w:t>
      </w:r>
      <w:r w:rsidR="00CE37E7">
        <w:rPr>
          <w:sz w:val="26"/>
          <w:szCs w:val="26"/>
          <w:lang w:val="lv-LV"/>
        </w:rPr>
        <w:t>iropas Savienības</w:t>
      </w:r>
      <w:r w:rsidR="008A7FCD" w:rsidRPr="00AB625A">
        <w:rPr>
          <w:sz w:val="26"/>
          <w:szCs w:val="26"/>
          <w:lang w:val="lv-LV"/>
        </w:rPr>
        <w:t xml:space="preserve"> kopējā tirgū</w:t>
      </w:r>
      <w:r w:rsidR="00F8172C">
        <w:rPr>
          <w:sz w:val="26"/>
          <w:szCs w:val="26"/>
          <w:lang w:val="lv-LV"/>
        </w:rPr>
        <w:t>;</w:t>
      </w:r>
    </w:p>
    <w:p w:rsidR="006C4594" w:rsidRPr="006C4594" w:rsidRDefault="006C4594" w:rsidP="006C4594">
      <w:pPr>
        <w:pStyle w:val="ListParagraph"/>
        <w:rPr>
          <w:sz w:val="26"/>
          <w:szCs w:val="26"/>
          <w:lang w:val="lv-LV"/>
        </w:rPr>
      </w:pPr>
    </w:p>
    <w:p w:rsidR="006C4594" w:rsidRPr="00EC7206" w:rsidRDefault="00F8172C" w:rsidP="00C167D6">
      <w:pPr>
        <w:ind w:firstLine="720"/>
        <w:jc w:val="both"/>
        <w:rPr>
          <w:sz w:val="26"/>
          <w:szCs w:val="26"/>
          <w:lang w:val="lv-LV"/>
        </w:rPr>
      </w:pPr>
      <w:r>
        <w:rPr>
          <w:sz w:val="26"/>
          <w:szCs w:val="26"/>
          <w:lang w:val="lv-LV"/>
        </w:rPr>
        <w:t>1.14.</w:t>
      </w:r>
      <w:r w:rsidR="00BF5FFF">
        <w:rPr>
          <w:sz w:val="26"/>
          <w:szCs w:val="26"/>
          <w:lang w:val="lv-LV"/>
        </w:rPr>
        <w:t xml:space="preserve"> </w:t>
      </w:r>
      <w:r w:rsidR="004E557F" w:rsidRPr="00AB625A">
        <w:rPr>
          <w:sz w:val="26"/>
          <w:szCs w:val="26"/>
          <w:lang w:val="lv-LV"/>
        </w:rPr>
        <w:t>Ministrija</w:t>
      </w:r>
      <w:r w:rsidR="009A1D16" w:rsidRPr="00AB625A">
        <w:rPr>
          <w:sz w:val="26"/>
          <w:szCs w:val="26"/>
          <w:lang w:val="lv-LV"/>
        </w:rPr>
        <w:t xml:space="preserve"> </w:t>
      </w:r>
      <w:r w:rsidR="004E557F" w:rsidRPr="00AB625A">
        <w:rPr>
          <w:sz w:val="26"/>
          <w:szCs w:val="26"/>
          <w:lang w:val="lv-LV"/>
        </w:rPr>
        <w:t>sniedz šādu</w:t>
      </w:r>
      <w:r w:rsidR="00B21144" w:rsidRPr="00AB625A">
        <w:rPr>
          <w:sz w:val="26"/>
          <w:szCs w:val="26"/>
          <w:lang w:val="lv-LV"/>
        </w:rPr>
        <w:t xml:space="preserve"> viedokli par studiju virziena atbilstīb</w:t>
      </w:r>
      <w:r w:rsidR="004E557F" w:rsidRPr="00AB625A">
        <w:rPr>
          <w:sz w:val="26"/>
          <w:szCs w:val="26"/>
          <w:lang w:val="lv-LV"/>
        </w:rPr>
        <w:t>u valsts attīstības prioritātēm.</w:t>
      </w:r>
      <w:r w:rsidR="00C02842">
        <w:rPr>
          <w:sz w:val="26"/>
          <w:szCs w:val="26"/>
          <w:lang w:val="lv-LV"/>
        </w:rPr>
        <w:t xml:space="preserve"> Augstākās izglītība tiesību zinātnēs ir pieejama gan Rīgā, gan ārpus Rīgas darbojošās augstskolās un to filiālēs. </w:t>
      </w:r>
      <w:r w:rsidR="00C02842" w:rsidRPr="001B23CE">
        <w:rPr>
          <w:sz w:val="26"/>
          <w:szCs w:val="26"/>
          <w:lang w:val="lv-LV"/>
        </w:rPr>
        <w:t xml:space="preserve">Studiju virzienam „Tiesību zinātne” atbilst 42 studiju programmas, kas pašlaik tiek īstenotas 12 augstākajās izglītības iestādēs un to filiālēs, t.sk., ir 18 otrā līmeņa profesionālās augstākās izglītības studiju </w:t>
      </w:r>
      <w:r w:rsidR="00C02842" w:rsidRPr="00EC7206">
        <w:rPr>
          <w:sz w:val="26"/>
          <w:szCs w:val="26"/>
          <w:lang w:val="lv-LV"/>
        </w:rPr>
        <w:t xml:space="preserve">programmas, kuras īsteno 8 augstākās izglītības iestādes. </w:t>
      </w:r>
      <w:r w:rsidR="006C4594" w:rsidRPr="00EC7206">
        <w:rPr>
          <w:color w:val="000000"/>
          <w:sz w:val="26"/>
          <w:szCs w:val="26"/>
          <w:lang w:val="lv-LV"/>
        </w:rPr>
        <w:t xml:space="preserve">Latvija 2030 ir </w:t>
      </w:r>
      <w:r w:rsidR="00EC7206" w:rsidRPr="00A87382">
        <w:rPr>
          <w:sz w:val="26"/>
          <w:szCs w:val="26"/>
        </w:rPr>
        <w:t xml:space="preserve"> </w:t>
      </w:r>
      <w:proofErr w:type="spellStart"/>
      <w:r w:rsidR="00EC7206" w:rsidRPr="00A87382">
        <w:rPr>
          <w:sz w:val="26"/>
          <w:szCs w:val="26"/>
        </w:rPr>
        <w:t>h</w:t>
      </w:r>
      <w:r w:rsidR="00EC7206" w:rsidRPr="00A87382">
        <w:rPr>
          <w:sz w:val="26"/>
          <w:szCs w:val="26"/>
        </w:rPr>
        <w:t>ierarhiski</w:t>
      </w:r>
      <w:proofErr w:type="spellEnd"/>
      <w:r w:rsidR="00EC7206" w:rsidRPr="00A87382">
        <w:rPr>
          <w:sz w:val="26"/>
          <w:szCs w:val="26"/>
        </w:rPr>
        <w:t xml:space="preserve"> </w:t>
      </w:r>
      <w:proofErr w:type="spellStart"/>
      <w:r w:rsidR="00EC7206" w:rsidRPr="00A87382">
        <w:rPr>
          <w:sz w:val="26"/>
          <w:szCs w:val="26"/>
        </w:rPr>
        <w:t>augstākais</w:t>
      </w:r>
      <w:proofErr w:type="spellEnd"/>
      <w:r w:rsidR="00EC7206" w:rsidRPr="00A87382">
        <w:rPr>
          <w:sz w:val="26"/>
          <w:szCs w:val="26"/>
        </w:rPr>
        <w:t xml:space="preserve"> </w:t>
      </w:r>
      <w:proofErr w:type="spellStart"/>
      <w:r w:rsidR="00EC7206" w:rsidRPr="00A87382">
        <w:rPr>
          <w:sz w:val="26"/>
          <w:szCs w:val="26"/>
        </w:rPr>
        <w:t>ilgtermiņa</w:t>
      </w:r>
      <w:proofErr w:type="spellEnd"/>
      <w:r w:rsidR="00EC7206" w:rsidRPr="00A87382">
        <w:rPr>
          <w:sz w:val="26"/>
          <w:szCs w:val="26"/>
        </w:rPr>
        <w:t xml:space="preserve"> </w:t>
      </w:r>
      <w:proofErr w:type="spellStart"/>
      <w:r w:rsidR="00EC7206" w:rsidRPr="00A87382">
        <w:rPr>
          <w:sz w:val="26"/>
          <w:szCs w:val="26"/>
        </w:rPr>
        <w:t>attīstības</w:t>
      </w:r>
      <w:proofErr w:type="spellEnd"/>
      <w:r w:rsidR="00EC7206" w:rsidRPr="00A87382">
        <w:rPr>
          <w:sz w:val="26"/>
          <w:szCs w:val="26"/>
        </w:rPr>
        <w:t xml:space="preserve"> </w:t>
      </w:r>
      <w:proofErr w:type="spellStart"/>
      <w:r w:rsidR="00EC7206" w:rsidRPr="00A87382">
        <w:rPr>
          <w:sz w:val="26"/>
          <w:szCs w:val="26"/>
        </w:rPr>
        <w:t>plānošanas</w:t>
      </w:r>
      <w:proofErr w:type="spellEnd"/>
      <w:r w:rsidR="00EC7206" w:rsidRPr="00A87382">
        <w:rPr>
          <w:sz w:val="26"/>
          <w:szCs w:val="26"/>
        </w:rPr>
        <w:t xml:space="preserve"> </w:t>
      </w:r>
      <w:proofErr w:type="spellStart"/>
      <w:r w:rsidR="00EC7206" w:rsidRPr="00A87382">
        <w:rPr>
          <w:sz w:val="26"/>
          <w:szCs w:val="26"/>
        </w:rPr>
        <w:t>dokuments</w:t>
      </w:r>
      <w:proofErr w:type="spellEnd"/>
      <w:r w:rsidR="00EC7206">
        <w:rPr>
          <w:sz w:val="26"/>
          <w:szCs w:val="26"/>
        </w:rPr>
        <w:t xml:space="preserve">, </w:t>
      </w:r>
      <w:proofErr w:type="spellStart"/>
      <w:r w:rsidR="00EC7206">
        <w:rPr>
          <w:sz w:val="26"/>
          <w:szCs w:val="26"/>
        </w:rPr>
        <w:t>kas</w:t>
      </w:r>
      <w:proofErr w:type="spellEnd"/>
      <w:r w:rsidR="005E3D1A">
        <w:rPr>
          <w:sz w:val="26"/>
          <w:szCs w:val="26"/>
        </w:rPr>
        <w:t xml:space="preserve"> </w:t>
      </w:r>
      <w:proofErr w:type="spellStart"/>
      <w:r w:rsidR="00EC7206">
        <w:rPr>
          <w:sz w:val="26"/>
          <w:szCs w:val="26"/>
        </w:rPr>
        <w:t>jāņem</w:t>
      </w:r>
      <w:proofErr w:type="spellEnd"/>
      <w:r w:rsidR="00EC7206">
        <w:rPr>
          <w:sz w:val="26"/>
          <w:szCs w:val="26"/>
        </w:rPr>
        <w:t xml:space="preserve"> </w:t>
      </w:r>
      <w:proofErr w:type="spellStart"/>
      <w:r w:rsidR="00EC7206">
        <w:rPr>
          <w:sz w:val="26"/>
          <w:szCs w:val="26"/>
        </w:rPr>
        <w:t>vērā</w:t>
      </w:r>
      <w:proofErr w:type="spellEnd"/>
      <w:r w:rsidR="00EC7206">
        <w:rPr>
          <w:sz w:val="26"/>
          <w:szCs w:val="26"/>
        </w:rPr>
        <w:t xml:space="preserve">, </w:t>
      </w:r>
      <w:proofErr w:type="spellStart"/>
      <w:r w:rsidR="00EC7206">
        <w:rPr>
          <w:sz w:val="26"/>
          <w:szCs w:val="26"/>
        </w:rPr>
        <w:t>izstrādājot</w:t>
      </w:r>
      <w:proofErr w:type="spellEnd"/>
      <w:r w:rsidR="00EC7206">
        <w:rPr>
          <w:sz w:val="26"/>
          <w:szCs w:val="26"/>
        </w:rPr>
        <w:t xml:space="preserve"> </w:t>
      </w:r>
      <w:proofErr w:type="spellStart"/>
      <w:r w:rsidR="00EC7206" w:rsidRPr="00EC7206">
        <w:rPr>
          <w:sz w:val="26"/>
          <w:szCs w:val="26"/>
        </w:rPr>
        <w:t>normatīvos</w:t>
      </w:r>
      <w:proofErr w:type="spellEnd"/>
      <w:r w:rsidR="00EC7206" w:rsidRPr="00EC7206">
        <w:rPr>
          <w:sz w:val="26"/>
          <w:szCs w:val="26"/>
        </w:rPr>
        <w:t xml:space="preserve"> </w:t>
      </w:r>
      <w:proofErr w:type="spellStart"/>
      <w:r w:rsidR="00EC7206" w:rsidRPr="00EC7206">
        <w:rPr>
          <w:sz w:val="26"/>
          <w:szCs w:val="26"/>
        </w:rPr>
        <w:t>aktus</w:t>
      </w:r>
      <w:proofErr w:type="spellEnd"/>
      <w:r w:rsidR="006C4594" w:rsidRPr="00EC7206">
        <w:rPr>
          <w:color w:val="000000"/>
          <w:sz w:val="26"/>
          <w:szCs w:val="26"/>
          <w:lang w:val="lv-LV"/>
        </w:rPr>
        <w:t xml:space="preserve">. Latvija 2030 nosaka, ka „efektīva … augstākās izglītības sistēma ir izšķirošs Latvijas konkurētspējas un </w:t>
      </w:r>
      <w:proofErr w:type="spellStart"/>
      <w:r w:rsidR="006C4594" w:rsidRPr="00EC7206">
        <w:rPr>
          <w:color w:val="000000"/>
          <w:sz w:val="26"/>
          <w:szCs w:val="26"/>
          <w:lang w:val="lv-LV"/>
        </w:rPr>
        <w:t>cilvēkkapitāla</w:t>
      </w:r>
      <w:proofErr w:type="spellEnd"/>
      <w:r w:rsidR="006C4594" w:rsidRPr="00EC7206">
        <w:rPr>
          <w:color w:val="000000"/>
          <w:sz w:val="26"/>
          <w:szCs w:val="26"/>
          <w:lang w:val="lv-LV"/>
        </w:rPr>
        <w:t xml:space="preserve"> vērtības faktors.”</w:t>
      </w:r>
      <w:r w:rsidR="006C4594" w:rsidRPr="00EC7206">
        <w:rPr>
          <w:rStyle w:val="FootnoteReference"/>
          <w:color w:val="000000"/>
          <w:sz w:val="26"/>
          <w:szCs w:val="26"/>
        </w:rPr>
        <w:footnoteReference w:id="1"/>
      </w:r>
      <w:r w:rsidR="006C4594" w:rsidRPr="00EC7206">
        <w:rPr>
          <w:color w:val="000000"/>
          <w:sz w:val="26"/>
          <w:szCs w:val="26"/>
          <w:lang w:val="lv-LV"/>
        </w:rPr>
        <w:t xml:space="preserve"> </w:t>
      </w:r>
    </w:p>
    <w:p w:rsidR="006C4594" w:rsidRDefault="006C4594" w:rsidP="00AB625A">
      <w:pPr>
        <w:ind w:firstLine="720"/>
        <w:jc w:val="both"/>
        <w:rPr>
          <w:sz w:val="26"/>
          <w:szCs w:val="26"/>
          <w:lang w:val="lv-LV"/>
        </w:rPr>
      </w:pPr>
      <w:r w:rsidRPr="00E06AA3">
        <w:rPr>
          <w:sz w:val="26"/>
          <w:szCs w:val="26"/>
          <w:lang w:val="lv-LV"/>
        </w:rPr>
        <w:t xml:space="preserve">Izglītības attīstības pamatnostādnes 2014.-2020.gadam kā vienu no Latvijas augstākās izglītības pamatproblēmām izvirza sistēmas pārlieko sadrumstalotību, par ko liecina studējošo skaitam un dinamikai neatbilstoši liels augstskolu un studiju programmu skaits. </w:t>
      </w:r>
      <w:r w:rsidRPr="005E7884">
        <w:rPr>
          <w:sz w:val="26"/>
          <w:szCs w:val="26"/>
          <w:lang w:val="lv-LV"/>
        </w:rPr>
        <w:t>NAP</w:t>
      </w:r>
      <w:r w:rsidR="005F744F">
        <w:rPr>
          <w:sz w:val="26"/>
          <w:szCs w:val="26"/>
          <w:lang w:val="lv-LV"/>
        </w:rPr>
        <w:t xml:space="preserve"> </w:t>
      </w:r>
      <w:r w:rsidRPr="005E7884">
        <w:rPr>
          <w:sz w:val="26"/>
          <w:szCs w:val="26"/>
          <w:lang w:val="lv-LV"/>
        </w:rPr>
        <w:t>2020 kā prioritāte rīcības virzienā „Attīstīta pētniecības, inovācija un augstākā izglītība” ir noteikts uzdevums „augstākās izglītības konkurētspēja un konsolidācija […]”. Esoša Latvijas augstākās izglītības iestāžu tīkla sadrumstalotība pazemina augstākās izglītības kvalitāti un mazina augstskolu iespējas kļūt konkurētspējīgām starptautiskā līmenī. Šīs</w:t>
      </w:r>
      <w:bookmarkStart w:id="0" w:name="_GoBack"/>
      <w:bookmarkEnd w:id="0"/>
      <w:r w:rsidRPr="005E7884">
        <w:rPr>
          <w:sz w:val="26"/>
          <w:szCs w:val="26"/>
          <w:lang w:val="lv-LV"/>
        </w:rPr>
        <w:t xml:space="preserve"> problēmas izpausme ir lielais augstākās izglītības iestāžu un studiju programmu skaits un nelielais studējošo skaits. Augstākās izglītības iestāžu tīkls pašreizējai demogrāfiskajai situācijai</w:t>
      </w:r>
      <w:r>
        <w:rPr>
          <w:sz w:val="26"/>
          <w:szCs w:val="26"/>
          <w:lang w:val="lv-LV"/>
        </w:rPr>
        <w:t>, kuras pamatiezīme ir rūkošais studējošo skaits un prognozējamais studējošo skaita samazinājums ilgtermiņā,</w:t>
      </w:r>
      <w:r w:rsidRPr="005E7884">
        <w:rPr>
          <w:sz w:val="26"/>
          <w:szCs w:val="26"/>
          <w:lang w:val="lv-LV"/>
        </w:rPr>
        <w:t xml:space="preserve"> un ārzemju studentu piesaistes kapacitātei ir pārāk plašs. Sadrumstalotība ne tikai paaugstina administratīvās izmaksas, bet arī samazina augstskolu iespēju kļūt konkurētspējīgām starptautiskā līmenī. Tādējādi ir spēcīga konkurence, zemas iestāšanās prasības augstākās izglītības iestādēs un nepietiekama akadēmisko resursu sadale. </w:t>
      </w:r>
    </w:p>
    <w:p w:rsidR="006C4594" w:rsidRDefault="006C4594" w:rsidP="00AB625A">
      <w:pPr>
        <w:ind w:firstLine="720"/>
        <w:jc w:val="both"/>
        <w:rPr>
          <w:sz w:val="26"/>
          <w:szCs w:val="26"/>
          <w:lang w:val="lv-LV"/>
        </w:rPr>
      </w:pPr>
      <w:r w:rsidRPr="00E06AA3">
        <w:rPr>
          <w:rStyle w:val="Strong"/>
          <w:rFonts w:eastAsia="Calibri"/>
          <w:b w:val="0"/>
          <w:color w:val="000000"/>
          <w:sz w:val="26"/>
          <w:szCs w:val="26"/>
          <w:lang w:val="lv-LV"/>
        </w:rPr>
        <w:t xml:space="preserve">Atbilstoši Ekonomikas ministrijas izstrādātajām </w:t>
      </w:r>
      <w:r w:rsidRPr="00E06AA3">
        <w:rPr>
          <w:rStyle w:val="Strong"/>
          <w:b w:val="0"/>
          <w:color w:val="000000"/>
          <w:sz w:val="26"/>
          <w:szCs w:val="26"/>
          <w:lang w:val="lv-LV"/>
        </w:rPr>
        <w:t>darba tirgus vidēja un ilgtermiņa prognozēm</w:t>
      </w:r>
      <w:r w:rsidRPr="005E7884">
        <w:rPr>
          <w:rStyle w:val="FootnoteReference"/>
          <w:b/>
          <w:bCs/>
          <w:color w:val="000000"/>
          <w:sz w:val="26"/>
          <w:szCs w:val="26"/>
        </w:rPr>
        <w:footnoteReference w:id="2"/>
      </w:r>
      <w:r w:rsidRPr="00E06AA3">
        <w:rPr>
          <w:rStyle w:val="Strong"/>
          <w:rFonts w:eastAsia="Calibri"/>
          <w:b w:val="0"/>
          <w:color w:val="000000"/>
          <w:sz w:val="26"/>
          <w:szCs w:val="26"/>
          <w:lang w:val="lv-LV"/>
        </w:rPr>
        <w:t xml:space="preserve">, turpinoties līdzšinējām tendencēm, Sociālo zinātņu, </w:t>
      </w:r>
      <w:proofErr w:type="spellStart"/>
      <w:r w:rsidRPr="00E06AA3">
        <w:rPr>
          <w:rStyle w:val="Strong"/>
          <w:rFonts w:eastAsia="Calibri"/>
          <w:b w:val="0"/>
          <w:color w:val="000000"/>
          <w:sz w:val="26"/>
          <w:szCs w:val="26"/>
          <w:lang w:val="lv-LV"/>
        </w:rPr>
        <w:t>komerczinību</w:t>
      </w:r>
      <w:proofErr w:type="spellEnd"/>
      <w:r w:rsidRPr="00E06AA3">
        <w:rPr>
          <w:rStyle w:val="Strong"/>
          <w:rFonts w:eastAsia="Calibri"/>
          <w:b w:val="0"/>
          <w:color w:val="000000"/>
          <w:sz w:val="26"/>
          <w:szCs w:val="26"/>
          <w:lang w:val="lv-LV"/>
        </w:rPr>
        <w:t xml:space="preserve"> un tiesību izglītības tematiskajā grupā speciālistu ar augstāko izglītību piedāvājums 2020.gadā pārsniegs pieprasījumu par 15,7 tūkstošiem cilvēku, bet 2030.gadā šī disproporcija attieksies jau uz 42,5 tūkstošiem cilvēku. </w:t>
      </w:r>
      <w:r w:rsidRPr="005E7884">
        <w:rPr>
          <w:sz w:val="26"/>
          <w:szCs w:val="26"/>
          <w:lang w:val="lv-LV"/>
        </w:rPr>
        <w:t xml:space="preserve">Papildus šādu speciālistu sagatavošana nav lietderīga, ņemot vērā valsts attīstības prioritātes. Saglabājoties esošai augstākās izglītības struktūrai un prognozētajai tautsaimniecības attīstībai, Latvijā turpmāko 20 gadu laikā pastiprināsies speciālistu ar augstāko izglītību skaita  neatbilstība darba tirgus pieprasījumam, īpaši humanitārajās zinātnēs, mākslā, izglītībā, </w:t>
      </w:r>
      <w:r w:rsidRPr="005E7884">
        <w:rPr>
          <w:sz w:val="26"/>
          <w:szCs w:val="26"/>
          <w:lang w:val="lv-LV"/>
        </w:rPr>
        <w:lastRenderedPageBreak/>
        <w:t>sociālās un tiesību zinātnēs, proti, šo speciālistu skaits pārsniegs pieprasījumu, vienlaikus palielināsies deficīts tādās nozarēs kā inženierzinātnes, ražošana un būvniecība, dabas zinātnes, matemātika un informācijas tehnoloģijas.</w:t>
      </w:r>
    </w:p>
    <w:p w:rsidR="004F63ED" w:rsidRPr="006C4594" w:rsidRDefault="00E8643A" w:rsidP="00AB625A">
      <w:pPr>
        <w:ind w:firstLine="720"/>
        <w:jc w:val="both"/>
        <w:rPr>
          <w:sz w:val="26"/>
          <w:szCs w:val="26"/>
          <w:lang w:val="lv-LV"/>
        </w:rPr>
      </w:pPr>
      <w:r w:rsidRPr="006C4594">
        <w:rPr>
          <w:sz w:val="26"/>
          <w:szCs w:val="26"/>
          <w:lang w:val="lv-LV"/>
        </w:rPr>
        <w:t>Tieslietu ministrijas</w:t>
      </w:r>
      <w:r w:rsidR="004E557F" w:rsidRPr="006C4594">
        <w:rPr>
          <w:sz w:val="26"/>
          <w:szCs w:val="26"/>
          <w:lang w:val="lv-LV"/>
        </w:rPr>
        <w:t xml:space="preserve">, kas saskaņā ar Ministru kabineta 2003. gada 29.aprīļa noteikumiem </w:t>
      </w:r>
      <w:r w:rsidR="003969C9">
        <w:rPr>
          <w:sz w:val="26"/>
          <w:szCs w:val="26"/>
          <w:lang w:val="lv-LV"/>
        </w:rPr>
        <w:t>N</w:t>
      </w:r>
      <w:r w:rsidR="004E557F" w:rsidRPr="006C4594">
        <w:rPr>
          <w:sz w:val="26"/>
          <w:szCs w:val="26"/>
          <w:lang w:val="lv-LV"/>
        </w:rPr>
        <w:t xml:space="preserve">r.243 “Tieslietu ministrijas nolikums” </w:t>
      </w:r>
      <w:r w:rsidR="004E557F" w:rsidRPr="00E06AA3">
        <w:rPr>
          <w:sz w:val="26"/>
          <w:szCs w:val="26"/>
          <w:lang w:val="lv-LV"/>
        </w:rPr>
        <w:t>ir vadošā valsts pārvaldes iestāde tieslietu (tiesību politikas un tiesu administrēšanas) nozarēs,</w:t>
      </w:r>
      <w:r w:rsidRPr="006C4594">
        <w:rPr>
          <w:sz w:val="26"/>
          <w:szCs w:val="26"/>
          <w:lang w:val="lv-LV"/>
        </w:rPr>
        <w:t xml:space="preserve"> vērtējumā jau pašlaik s</w:t>
      </w:r>
      <w:r w:rsidR="001317E0" w:rsidRPr="006C4594">
        <w:rPr>
          <w:sz w:val="26"/>
          <w:szCs w:val="26"/>
          <w:lang w:val="lv-LV"/>
        </w:rPr>
        <w:t>tudiju programmu skaits</w:t>
      </w:r>
      <w:r w:rsidR="008C6669" w:rsidRPr="006C4594">
        <w:rPr>
          <w:sz w:val="26"/>
          <w:szCs w:val="26"/>
          <w:lang w:val="lv-LV"/>
        </w:rPr>
        <w:t xml:space="preserve"> tiesību zinātnes nozarē</w:t>
      </w:r>
      <w:r w:rsidR="001317E0" w:rsidRPr="006C4594">
        <w:rPr>
          <w:sz w:val="26"/>
          <w:szCs w:val="26"/>
          <w:lang w:val="lv-LV"/>
        </w:rPr>
        <w:t xml:space="preserve"> ir vērtējams kā pārlieku liels un</w:t>
      </w:r>
      <w:r w:rsidR="008C6669" w:rsidRPr="006C4594">
        <w:rPr>
          <w:sz w:val="26"/>
          <w:szCs w:val="26"/>
          <w:lang w:val="lv-LV"/>
        </w:rPr>
        <w:t xml:space="preserve"> negatīvi ietekmē to kvalitāti</w:t>
      </w:r>
      <w:r w:rsidRPr="006C4594">
        <w:rPr>
          <w:sz w:val="26"/>
          <w:szCs w:val="26"/>
          <w:lang w:val="lv-LV"/>
        </w:rPr>
        <w:t xml:space="preserve">, kā to </w:t>
      </w:r>
      <w:r w:rsidRPr="00E06AA3">
        <w:rPr>
          <w:sz w:val="26"/>
          <w:szCs w:val="26"/>
          <w:lang w:val="lv-LV"/>
        </w:rPr>
        <w:t xml:space="preserve">Tieslietu ministrija </w:t>
      </w:r>
      <w:r w:rsidR="009A0FCD" w:rsidRPr="006C4594">
        <w:rPr>
          <w:sz w:val="26"/>
          <w:szCs w:val="26"/>
          <w:lang w:val="lv-LV"/>
        </w:rPr>
        <w:t>atzīst</w:t>
      </w:r>
      <w:r w:rsidR="009A0FCD" w:rsidRPr="00E06AA3">
        <w:rPr>
          <w:sz w:val="26"/>
          <w:szCs w:val="26"/>
          <w:lang w:val="lv-LV"/>
        </w:rPr>
        <w:t xml:space="preserve"> </w:t>
      </w:r>
      <w:r w:rsidRPr="00E06AA3">
        <w:rPr>
          <w:sz w:val="26"/>
          <w:szCs w:val="26"/>
          <w:lang w:val="lv-LV"/>
        </w:rPr>
        <w:t>2014.</w:t>
      </w:r>
      <w:r w:rsidR="002B7981">
        <w:rPr>
          <w:sz w:val="26"/>
          <w:szCs w:val="26"/>
          <w:lang w:val="lv-LV"/>
        </w:rPr>
        <w:t>gada 10.aprīļa</w:t>
      </w:r>
      <w:r w:rsidRPr="00E06AA3">
        <w:rPr>
          <w:sz w:val="26"/>
          <w:szCs w:val="26"/>
          <w:lang w:val="lv-LV"/>
        </w:rPr>
        <w:t xml:space="preserve"> vēstulē </w:t>
      </w:r>
      <w:r w:rsidR="003969C9">
        <w:rPr>
          <w:sz w:val="26"/>
          <w:szCs w:val="26"/>
          <w:lang w:val="lv-LV"/>
        </w:rPr>
        <w:t>N</w:t>
      </w:r>
      <w:r w:rsidRPr="00E06AA3">
        <w:rPr>
          <w:sz w:val="26"/>
          <w:szCs w:val="26"/>
          <w:lang w:val="lv-LV"/>
        </w:rPr>
        <w:t xml:space="preserve">r. 1-11/1444 </w:t>
      </w:r>
      <w:r w:rsidR="00D83671" w:rsidRPr="00E06AA3">
        <w:rPr>
          <w:sz w:val="26"/>
          <w:szCs w:val="26"/>
          <w:lang w:val="lv-LV"/>
        </w:rPr>
        <w:t>“Par vienoto jurista kvalifikācijas eksāmenu”</w:t>
      </w:r>
      <w:r w:rsidR="00D83671">
        <w:rPr>
          <w:sz w:val="26"/>
          <w:szCs w:val="26"/>
          <w:lang w:val="lv-LV"/>
        </w:rPr>
        <w:t xml:space="preserve"> </w:t>
      </w:r>
      <w:r w:rsidRPr="00E06AA3">
        <w:rPr>
          <w:sz w:val="26"/>
          <w:szCs w:val="26"/>
          <w:lang w:val="lv-LV"/>
        </w:rPr>
        <w:t>Latvijas Republikas Saeimas Juridiskās komisijas Tiesu politikas apakškomisijai</w:t>
      </w:r>
      <w:r w:rsidRPr="006C4594">
        <w:rPr>
          <w:sz w:val="26"/>
          <w:szCs w:val="26"/>
          <w:lang w:val="lv-LV"/>
        </w:rPr>
        <w:t>.</w:t>
      </w:r>
      <w:r w:rsidR="001317E0" w:rsidRPr="006C4594">
        <w:rPr>
          <w:sz w:val="26"/>
          <w:szCs w:val="26"/>
          <w:lang w:val="lv-LV"/>
        </w:rPr>
        <w:t xml:space="preserve"> </w:t>
      </w:r>
      <w:r w:rsidR="009A1D16" w:rsidRPr="006C4594">
        <w:rPr>
          <w:sz w:val="26"/>
          <w:szCs w:val="26"/>
          <w:lang w:val="lv-LV"/>
        </w:rPr>
        <w:t xml:space="preserve"> </w:t>
      </w:r>
    </w:p>
    <w:p w:rsidR="004F63ED" w:rsidRPr="005E7884" w:rsidRDefault="00E8643A" w:rsidP="00AB625A">
      <w:pPr>
        <w:ind w:firstLine="720"/>
        <w:jc w:val="both"/>
        <w:rPr>
          <w:sz w:val="26"/>
          <w:szCs w:val="26"/>
          <w:lang w:val="lv-LV"/>
        </w:rPr>
      </w:pPr>
      <w:r w:rsidRPr="005E7884">
        <w:rPr>
          <w:sz w:val="26"/>
          <w:szCs w:val="26"/>
          <w:lang w:val="lv-LV"/>
        </w:rPr>
        <w:t xml:space="preserve">2012.gadā </w:t>
      </w:r>
      <w:r w:rsidR="003F4751" w:rsidRPr="00E06AA3">
        <w:rPr>
          <w:sz w:val="26"/>
          <w:szCs w:val="26"/>
          <w:lang w:val="lv-LV"/>
        </w:rPr>
        <w:t>Augstākās izglītības padomes vadītā Eiropas Sociālā fonda projekta „Augstākās izglītības studiju programmu izvērtēšana un priekšlikumi kvalitātes paaugstināšanai” (Vienošanās</w:t>
      </w:r>
      <w:r w:rsidR="0067474F">
        <w:rPr>
          <w:sz w:val="26"/>
          <w:szCs w:val="26"/>
          <w:lang w:val="lv-LV"/>
        </w:rPr>
        <w:t xml:space="preserve"> n</w:t>
      </w:r>
      <w:r w:rsidR="0067474F" w:rsidRPr="00E06AA3">
        <w:rPr>
          <w:sz w:val="26"/>
          <w:szCs w:val="26"/>
          <w:lang w:val="lv-LV"/>
        </w:rPr>
        <w:t>r</w:t>
      </w:r>
      <w:r w:rsidR="003F4751" w:rsidRPr="00E06AA3">
        <w:rPr>
          <w:sz w:val="26"/>
          <w:szCs w:val="26"/>
          <w:lang w:val="lv-LV"/>
        </w:rPr>
        <w:t>.</w:t>
      </w:r>
      <w:r w:rsidR="003F4751" w:rsidRPr="00E06AA3">
        <w:rPr>
          <w:sz w:val="26"/>
          <w:szCs w:val="26"/>
          <w:lang w:val="lv-LV"/>
        </w:rPr>
        <w:noBreakHyphen/>
        <w:t xml:space="preserve">2011/0012/1DP/1.1.2.2.1/11/IPIA/011) ietvaros </w:t>
      </w:r>
      <w:r w:rsidRPr="005E7884">
        <w:rPr>
          <w:sz w:val="26"/>
          <w:szCs w:val="26"/>
          <w:lang w:val="lv-LV"/>
        </w:rPr>
        <w:t>veikta</w:t>
      </w:r>
      <w:r w:rsidR="005F725C" w:rsidRPr="005E7884">
        <w:rPr>
          <w:sz w:val="26"/>
          <w:szCs w:val="26"/>
          <w:lang w:val="lv-LV"/>
        </w:rPr>
        <w:t>jā</w:t>
      </w:r>
      <w:r w:rsidRPr="005E7884">
        <w:rPr>
          <w:sz w:val="26"/>
          <w:szCs w:val="26"/>
          <w:lang w:val="lv-LV"/>
        </w:rPr>
        <w:t xml:space="preserve"> studiju virziena „Tiesību zinātne” kvalitātes </w:t>
      </w:r>
      <w:proofErr w:type="spellStart"/>
      <w:r w:rsidRPr="005E7884">
        <w:rPr>
          <w:sz w:val="26"/>
          <w:szCs w:val="26"/>
          <w:lang w:val="lv-LV"/>
        </w:rPr>
        <w:t>izvērtējumā</w:t>
      </w:r>
      <w:proofErr w:type="spellEnd"/>
      <w:r w:rsidRPr="005E7884">
        <w:rPr>
          <w:sz w:val="26"/>
          <w:szCs w:val="26"/>
          <w:lang w:val="lv-LV"/>
        </w:rPr>
        <w:t xml:space="preserve"> secināts, ka tikai dažās no Latvijas augstskolām tiesību zinātnes tiek pasniegtas augstā līmenī. </w:t>
      </w:r>
      <w:r w:rsidRPr="00E06AA3">
        <w:rPr>
          <w:sz w:val="26"/>
          <w:szCs w:val="26"/>
          <w:lang w:val="lv-LV"/>
        </w:rPr>
        <w:t>Starp vājajām pusēm ir minēts fakts, ka daudzās augstskolās tiesību zinātņu studiju programmas pasniedz vieni un tie paši docētāji, viņiem ir vāji sasniegumi pētniecībā, novecojušās bibliotēkas, sadarbības trūkums. Kā pirmo no rekomendācijā</w:t>
      </w:r>
      <w:r w:rsidR="00927D26">
        <w:rPr>
          <w:sz w:val="26"/>
          <w:szCs w:val="26"/>
          <w:lang w:val="lv-LV"/>
        </w:rPr>
        <w:t>m</w:t>
      </w:r>
      <w:r w:rsidRPr="00E06AA3">
        <w:rPr>
          <w:sz w:val="26"/>
          <w:szCs w:val="26"/>
          <w:lang w:val="lv-LV"/>
        </w:rPr>
        <w:t xml:space="preserve"> starptautiskā ekspertu grupa iesaka “būtiski samazināt augstskolu skaitu, kas iesaistītas tiesību zinātņu studiju programmu īstenošanā”</w:t>
      </w:r>
      <w:r w:rsidR="003F4751" w:rsidRPr="00E06AA3">
        <w:rPr>
          <w:sz w:val="26"/>
          <w:szCs w:val="26"/>
          <w:lang w:val="lv-LV"/>
        </w:rPr>
        <w:t xml:space="preserve">. </w:t>
      </w:r>
    </w:p>
    <w:p w:rsidR="000F5BD7" w:rsidRPr="00AB625A" w:rsidRDefault="000F5BD7" w:rsidP="00AB625A">
      <w:pPr>
        <w:ind w:firstLine="720"/>
        <w:jc w:val="both"/>
        <w:rPr>
          <w:sz w:val="26"/>
          <w:szCs w:val="26"/>
          <w:lang w:val="lv-LV"/>
        </w:rPr>
      </w:pPr>
      <w:r w:rsidRPr="00AB625A">
        <w:rPr>
          <w:sz w:val="26"/>
          <w:szCs w:val="26"/>
          <w:lang w:val="lv-LV"/>
        </w:rPr>
        <w:t>Ņemot vērā minēto, ministrija neatbalsta šī studiju</w:t>
      </w:r>
      <w:r w:rsidR="000D51B9">
        <w:rPr>
          <w:sz w:val="26"/>
          <w:szCs w:val="26"/>
          <w:lang w:val="lv-LV"/>
        </w:rPr>
        <w:t xml:space="preserve"> virziena atvēršanu Augstskolā</w:t>
      </w:r>
      <w:r w:rsidR="00A44A8E">
        <w:rPr>
          <w:sz w:val="26"/>
          <w:szCs w:val="26"/>
          <w:lang w:val="lv-LV"/>
        </w:rPr>
        <w:t>.</w:t>
      </w:r>
    </w:p>
    <w:p w:rsidR="000F5BD7" w:rsidRPr="005E7884" w:rsidRDefault="000F5BD7" w:rsidP="004660FA">
      <w:pPr>
        <w:jc w:val="both"/>
        <w:rPr>
          <w:sz w:val="26"/>
          <w:szCs w:val="26"/>
          <w:lang w:val="lv-LV"/>
        </w:rPr>
      </w:pPr>
    </w:p>
    <w:p w:rsidR="00872058" w:rsidRPr="00AB625A" w:rsidRDefault="00A44A8E" w:rsidP="00C167D6">
      <w:pPr>
        <w:ind w:firstLine="720"/>
        <w:jc w:val="both"/>
        <w:rPr>
          <w:sz w:val="26"/>
          <w:szCs w:val="26"/>
          <w:lang w:val="lv-LV"/>
        </w:rPr>
      </w:pPr>
      <w:r>
        <w:rPr>
          <w:sz w:val="26"/>
          <w:szCs w:val="26"/>
          <w:lang w:val="lv-LV"/>
        </w:rPr>
        <w:t xml:space="preserve">2. </w:t>
      </w:r>
      <w:r w:rsidR="000F4894">
        <w:rPr>
          <w:sz w:val="26"/>
          <w:szCs w:val="26"/>
          <w:lang w:val="lv-LV"/>
        </w:rPr>
        <w:t xml:space="preserve"> </w:t>
      </w:r>
      <w:r w:rsidR="00DA4F1D" w:rsidRPr="00AB625A">
        <w:rPr>
          <w:sz w:val="26"/>
          <w:szCs w:val="26"/>
          <w:lang w:val="lv-LV"/>
        </w:rPr>
        <w:t xml:space="preserve">Saskaņā ar </w:t>
      </w:r>
      <w:r w:rsidR="003969C9">
        <w:rPr>
          <w:sz w:val="26"/>
          <w:szCs w:val="26"/>
          <w:lang w:val="lv-LV"/>
        </w:rPr>
        <w:t>l</w:t>
      </w:r>
      <w:r w:rsidR="00DA4F1D" w:rsidRPr="00AB625A">
        <w:rPr>
          <w:sz w:val="26"/>
          <w:szCs w:val="26"/>
          <w:lang w:val="lv-LV"/>
        </w:rPr>
        <w:t xml:space="preserve">icencēšanas noteikumu 14.punktu </w:t>
      </w:r>
      <w:r w:rsidR="00872058" w:rsidRPr="00AB625A">
        <w:rPr>
          <w:sz w:val="26"/>
          <w:szCs w:val="26"/>
          <w:lang w:val="lv-LV"/>
        </w:rPr>
        <w:t xml:space="preserve">ministrija sagatavo un iesniedz Ministru kabinetā tiesību akta projektu par jauna studiju virziena atvēršanu vai par atteikumu atvērt jaunu studiju virzienu </w:t>
      </w:r>
      <w:r w:rsidR="003969C9">
        <w:rPr>
          <w:sz w:val="26"/>
          <w:szCs w:val="26"/>
          <w:lang w:val="lv-LV"/>
        </w:rPr>
        <w:t xml:space="preserve">augstskolā vai </w:t>
      </w:r>
      <w:r w:rsidR="00872058" w:rsidRPr="00AB625A">
        <w:rPr>
          <w:sz w:val="26"/>
          <w:szCs w:val="26"/>
          <w:lang w:val="lv-LV"/>
        </w:rPr>
        <w:t xml:space="preserve">koledžā. Minētajam tiesību akta projektam tiek pievienots </w:t>
      </w:r>
      <w:r w:rsidR="007577D0">
        <w:rPr>
          <w:sz w:val="26"/>
          <w:szCs w:val="26"/>
          <w:lang w:val="lv-LV"/>
        </w:rPr>
        <w:t xml:space="preserve">apstiprinātā </w:t>
      </w:r>
      <w:r w:rsidR="00872058" w:rsidRPr="00AB625A">
        <w:rPr>
          <w:sz w:val="26"/>
          <w:szCs w:val="26"/>
          <w:lang w:val="lv-LV"/>
        </w:rPr>
        <w:t xml:space="preserve">eksperta atzinums par augstskolai vai koledžai pieejamiem resursiem, kā arī Izglītības un zinātnes ministrijas, Ekonomikas ministrijas, </w:t>
      </w:r>
      <w:proofErr w:type="spellStart"/>
      <w:r w:rsidR="00872058" w:rsidRPr="00AB625A">
        <w:rPr>
          <w:sz w:val="26"/>
          <w:szCs w:val="26"/>
          <w:lang w:val="lv-LV"/>
        </w:rPr>
        <w:t>Pārresoru</w:t>
      </w:r>
      <w:proofErr w:type="spellEnd"/>
      <w:r w:rsidR="00872058" w:rsidRPr="00AB625A">
        <w:rPr>
          <w:sz w:val="26"/>
          <w:szCs w:val="26"/>
          <w:lang w:val="lv-LV"/>
        </w:rPr>
        <w:t xml:space="preserve"> koordinācijas centra, Augstākās izglītības padomes un Latvijas Darba devēju konfederācijas viedoklis par augstskolas vai koledžas jaunā studiju virziena atbilstību valsts attīstības prioritātēm</w:t>
      </w:r>
      <w:r w:rsidR="0093740D" w:rsidRPr="00AB625A">
        <w:rPr>
          <w:sz w:val="26"/>
          <w:szCs w:val="26"/>
          <w:lang w:val="lv-LV"/>
        </w:rPr>
        <w:t>.</w:t>
      </w:r>
    </w:p>
    <w:p w:rsidR="00872058" w:rsidRPr="005E7884" w:rsidRDefault="00872058" w:rsidP="00872058">
      <w:pPr>
        <w:pStyle w:val="ListParagraph"/>
        <w:rPr>
          <w:sz w:val="26"/>
          <w:szCs w:val="26"/>
          <w:lang w:val="lv-LV"/>
        </w:rPr>
      </w:pPr>
    </w:p>
    <w:p w:rsidR="005130CC" w:rsidRDefault="00FE6314" w:rsidP="00C167D6">
      <w:pPr>
        <w:ind w:firstLine="720"/>
        <w:jc w:val="both"/>
        <w:rPr>
          <w:sz w:val="26"/>
          <w:szCs w:val="26"/>
          <w:lang w:val="lv-LV"/>
        </w:rPr>
      </w:pPr>
      <w:r>
        <w:rPr>
          <w:sz w:val="26"/>
          <w:szCs w:val="26"/>
          <w:lang w:val="lv-LV"/>
        </w:rPr>
        <w:t>3.</w:t>
      </w:r>
      <w:r w:rsidR="00F51EC1">
        <w:rPr>
          <w:sz w:val="26"/>
          <w:szCs w:val="26"/>
          <w:lang w:val="lv-LV"/>
        </w:rPr>
        <w:t xml:space="preserve"> </w:t>
      </w:r>
      <w:r w:rsidR="00E043C2" w:rsidRPr="00AB625A">
        <w:rPr>
          <w:sz w:val="26"/>
          <w:szCs w:val="26"/>
          <w:lang w:val="lv-LV"/>
        </w:rPr>
        <w:t>Izvērtējot iepriekš minēto, secināms, ka studiju virziena “</w:t>
      </w:r>
      <w:r w:rsidR="000F5BD7" w:rsidRPr="00AB625A">
        <w:rPr>
          <w:sz w:val="26"/>
          <w:szCs w:val="26"/>
          <w:lang w:val="lv-LV"/>
        </w:rPr>
        <w:t>Tiesību zinātne” atvēršana Augstskolā</w:t>
      </w:r>
      <w:r w:rsidR="00E043C2" w:rsidRPr="00AB625A">
        <w:rPr>
          <w:sz w:val="26"/>
          <w:szCs w:val="26"/>
          <w:lang w:val="lv-LV"/>
        </w:rPr>
        <w:t xml:space="preserve"> nav atbalstāma:</w:t>
      </w:r>
    </w:p>
    <w:p w:rsidR="00FE6314" w:rsidRPr="00AB625A" w:rsidRDefault="00FE6314" w:rsidP="00C167D6">
      <w:pPr>
        <w:ind w:firstLine="720"/>
        <w:jc w:val="both"/>
        <w:rPr>
          <w:sz w:val="26"/>
          <w:szCs w:val="26"/>
          <w:lang w:val="lv-LV"/>
        </w:rPr>
      </w:pPr>
    </w:p>
    <w:p w:rsidR="00D155D2" w:rsidRDefault="00FE6314" w:rsidP="00C167D6">
      <w:pPr>
        <w:ind w:firstLine="720"/>
        <w:jc w:val="both"/>
        <w:rPr>
          <w:sz w:val="26"/>
          <w:szCs w:val="26"/>
          <w:lang w:val="lv-LV"/>
        </w:rPr>
      </w:pPr>
      <w:r>
        <w:rPr>
          <w:sz w:val="26"/>
          <w:szCs w:val="26"/>
          <w:lang w:val="lv-LV"/>
        </w:rPr>
        <w:t>3</w:t>
      </w:r>
      <w:r w:rsidR="00F51EC1">
        <w:rPr>
          <w:sz w:val="26"/>
          <w:szCs w:val="26"/>
          <w:lang w:val="lv-LV"/>
        </w:rPr>
        <w:t xml:space="preserve">.1. </w:t>
      </w:r>
      <w:r w:rsidR="00EA74E0" w:rsidRPr="00AB625A">
        <w:rPr>
          <w:sz w:val="26"/>
          <w:szCs w:val="26"/>
          <w:lang w:val="lv-LV"/>
        </w:rPr>
        <w:t>paredzams</w:t>
      </w:r>
      <w:r w:rsidR="005130CC" w:rsidRPr="00AB625A">
        <w:rPr>
          <w:sz w:val="26"/>
          <w:szCs w:val="26"/>
          <w:lang w:val="lv-LV"/>
        </w:rPr>
        <w:t xml:space="preserve"> darba tirgus piesātinājums, tāpēc piesardzīgi vērtējama ierosme veidot jaun</w:t>
      </w:r>
      <w:r w:rsidR="00EA74E0" w:rsidRPr="00AB625A">
        <w:rPr>
          <w:sz w:val="26"/>
          <w:szCs w:val="26"/>
          <w:lang w:val="lv-LV"/>
        </w:rPr>
        <w:t>as</w:t>
      </w:r>
      <w:r w:rsidR="005130CC" w:rsidRPr="00AB625A">
        <w:rPr>
          <w:sz w:val="26"/>
          <w:szCs w:val="26"/>
          <w:lang w:val="lv-LV"/>
        </w:rPr>
        <w:t xml:space="preserve"> studiju programm</w:t>
      </w:r>
      <w:r w:rsidR="00EA74E0" w:rsidRPr="00AB625A">
        <w:rPr>
          <w:sz w:val="26"/>
          <w:szCs w:val="26"/>
          <w:lang w:val="lv-LV"/>
        </w:rPr>
        <w:t>as</w:t>
      </w:r>
      <w:r w:rsidR="0078595C" w:rsidRPr="00AB625A">
        <w:rPr>
          <w:sz w:val="26"/>
          <w:szCs w:val="26"/>
          <w:lang w:val="lv-LV"/>
        </w:rPr>
        <w:t>, jo</w:t>
      </w:r>
      <w:r w:rsidR="005130CC" w:rsidRPr="00AB625A">
        <w:rPr>
          <w:sz w:val="26"/>
          <w:szCs w:val="26"/>
          <w:lang w:val="lv-LV"/>
        </w:rPr>
        <w:t xml:space="preserve"> jau</w:t>
      </w:r>
      <w:r w:rsidR="0078595C" w:rsidRPr="00AB625A">
        <w:rPr>
          <w:sz w:val="26"/>
          <w:szCs w:val="26"/>
          <w:lang w:val="lv-LV"/>
        </w:rPr>
        <w:t xml:space="preserve"> pašlaik ir liels tāda paša līmeņa un izglītības tematiskās grupas</w:t>
      </w:r>
      <w:r w:rsidR="005130CC" w:rsidRPr="00AB625A">
        <w:rPr>
          <w:sz w:val="26"/>
          <w:szCs w:val="26"/>
          <w:lang w:val="lv-LV"/>
        </w:rPr>
        <w:t xml:space="preserve"> studiju programmu piedāvājum</w:t>
      </w:r>
      <w:r w:rsidR="0078595C" w:rsidRPr="00AB625A">
        <w:rPr>
          <w:sz w:val="26"/>
          <w:szCs w:val="26"/>
          <w:lang w:val="lv-LV"/>
        </w:rPr>
        <w:t>s</w:t>
      </w:r>
      <w:r w:rsidR="005130CC" w:rsidRPr="00AB625A">
        <w:rPr>
          <w:sz w:val="26"/>
          <w:szCs w:val="26"/>
          <w:lang w:val="lv-LV"/>
        </w:rPr>
        <w:t>;</w:t>
      </w:r>
    </w:p>
    <w:p w:rsidR="00FE6314" w:rsidRPr="00AB625A" w:rsidRDefault="00FE6314" w:rsidP="00C167D6">
      <w:pPr>
        <w:ind w:firstLine="720"/>
        <w:jc w:val="both"/>
        <w:rPr>
          <w:sz w:val="26"/>
          <w:szCs w:val="26"/>
          <w:lang w:val="lv-LV"/>
        </w:rPr>
      </w:pPr>
    </w:p>
    <w:p w:rsidR="005130CC" w:rsidRDefault="00FE6314" w:rsidP="00C167D6">
      <w:pPr>
        <w:ind w:firstLine="720"/>
        <w:jc w:val="both"/>
        <w:rPr>
          <w:sz w:val="26"/>
          <w:szCs w:val="26"/>
          <w:lang w:val="lv-LV"/>
        </w:rPr>
      </w:pPr>
      <w:r>
        <w:rPr>
          <w:sz w:val="26"/>
          <w:szCs w:val="26"/>
          <w:lang w:val="lv-LV"/>
        </w:rPr>
        <w:t>3</w:t>
      </w:r>
      <w:r w:rsidR="00F51EC1" w:rsidRPr="00624426">
        <w:rPr>
          <w:sz w:val="26"/>
          <w:szCs w:val="26"/>
          <w:lang w:val="lv-LV"/>
        </w:rPr>
        <w:t xml:space="preserve">.2. </w:t>
      </w:r>
      <w:r w:rsidR="00610501" w:rsidRPr="00624426">
        <w:rPr>
          <w:sz w:val="26"/>
          <w:szCs w:val="26"/>
          <w:lang w:val="lv-LV"/>
        </w:rPr>
        <w:t>š</w:t>
      </w:r>
      <w:r w:rsidR="006001ED" w:rsidRPr="00624426">
        <w:rPr>
          <w:sz w:val="26"/>
          <w:szCs w:val="26"/>
          <w:lang w:val="lv-LV"/>
        </w:rPr>
        <w:t>i</w:t>
      </w:r>
      <w:r w:rsidR="001D7CD6" w:rsidRPr="00624426">
        <w:rPr>
          <w:sz w:val="26"/>
          <w:szCs w:val="26"/>
          <w:lang w:val="lv-LV"/>
        </w:rPr>
        <w:t>m</w:t>
      </w:r>
      <w:r w:rsidR="00EA74E0" w:rsidRPr="00624426">
        <w:rPr>
          <w:sz w:val="26"/>
          <w:szCs w:val="26"/>
          <w:lang w:val="lv-LV"/>
        </w:rPr>
        <w:t xml:space="preserve"> studiju virzien</w:t>
      </w:r>
      <w:r w:rsidR="001D7CD6" w:rsidRPr="00624426">
        <w:rPr>
          <w:sz w:val="26"/>
          <w:szCs w:val="26"/>
          <w:lang w:val="lv-LV"/>
        </w:rPr>
        <w:t>am atbilstošas studiju programmas</w:t>
      </w:r>
      <w:r w:rsidR="00EA74E0" w:rsidRPr="00624426">
        <w:rPr>
          <w:sz w:val="26"/>
          <w:szCs w:val="26"/>
          <w:lang w:val="lv-LV"/>
        </w:rPr>
        <w:t xml:space="preserve"> </w:t>
      </w:r>
      <w:r w:rsidR="00624426" w:rsidRPr="001B23CE">
        <w:rPr>
          <w:sz w:val="26"/>
          <w:szCs w:val="26"/>
          <w:lang w:val="lv-LV"/>
        </w:rPr>
        <w:t xml:space="preserve">pašlaik tiek īstenotas 12 augstākajās izglītības iestādēs, t.sk., ir 18 otrā līmeņa profesionālās augstākās izglītības studiju programmas, kuras īsteno 8 augstākās izglītības iestādes. </w:t>
      </w:r>
      <w:r w:rsidR="002A2B90">
        <w:rPr>
          <w:sz w:val="26"/>
          <w:szCs w:val="26"/>
          <w:lang w:val="lv-LV"/>
        </w:rPr>
        <w:t xml:space="preserve"> T</w:t>
      </w:r>
      <w:r w:rsidR="00EA74E0" w:rsidRPr="00AB625A">
        <w:rPr>
          <w:sz w:val="26"/>
          <w:szCs w:val="26"/>
          <w:lang w:val="lv-LV"/>
        </w:rPr>
        <w:t>āpēc jau</w:t>
      </w:r>
      <w:r w:rsidR="006C4594" w:rsidRPr="00AB625A">
        <w:rPr>
          <w:sz w:val="26"/>
          <w:szCs w:val="26"/>
          <w:lang w:val="lv-LV"/>
        </w:rPr>
        <w:t xml:space="preserve"> pašlaik</w:t>
      </w:r>
      <w:r w:rsidR="00EA74E0" w:rsidRPr="00AB625A">
        <w:rPr>
          <w:sz w:val="26"/>
          <w:szCs w:val="26"/>
          <w:lang w:val="lv-LV"/>
        </w:rPr>
        <w:t xml:space="preserve"> tiek nodrošināts</w:t>
      </w:r>
      <w:r w:rsidR="006C4594" w:rsidRPr="00AB625A">
        <w:rPr>
          <w:sz w:val="26"/>
          <w:szCs w:val="26"/>
          <w:lang w:val="lv-LV"/>
        </w:rPr>
        <w:t xml:space="preserve"> teritoriāli izkliedēts un apjoma ziņā</w:t>
      </w:r>
      <w:r w:rsidR="00EA74E0" w:rsidRPr="00AB625A">
        <w:rPr>
          <w:sz w:val="26"/>
          <w:szCs w:val="26"/>
          <w:lang w:val="lv-LV"/>
        </w:rPr>
        <w:t xml:space="preserve"> pietiekams augstākās izglītības piedāvājums šajā studiju virzienā, proti, šāda studiju virziena atvēršana būtu pretrunā ar N</w:t>
      </w:r>
      <w:r w:rsidR="00DA7C96">
        <w:rPr>
          <w:sz w:val="26"/>
          <w:szCs w:val="26"/>
          <w:lang w:val="lv-LV"/>
        </w:rPr>
        <w:t xml:space="preserve">AP </w:t>
      </w:r>
      <w:r w:rsidR="00EA74E0" w:rsidRPr="00AB625A">
        <w:rPr>
          <w:sz w:val="26"/>
          <w:szCs w:val="26"/>
          <w:lang w:val="lv-LV"/>
        </w:rPr>
        <w:t xml:space="preserve">2020 uzdevumu par augstākās izglītības </w:t>
      </w:r>
      <w:r w:rsidR="0077203F" w:rsidRPr="00AB625A">
        <w:rPr>
          <w:sz w:val="26"/>
          <w:szCs w:val="26"/>
          <w:lang w:val="lv-LV"/>
        </w:rPr>
        <w:t xml:space="preserve">konkurētspēju un </w:t>
      </w:r>
      <w:r w:rsidR="00EA74E0" w:rsidRPr="00AB625A">
        <w:rPr>
          <w:sz w:val="26"/>
          <w:szCs w:val="26"/>
          <w:lang w:val="lv-LV"/>
        </w:rPr>
        <w:t>konsolidāciju</w:t>
      </w:r>
      <w:r w:rsidR="00AB625A">
        <w:rPr>
          <w:sz w:val="26"/>
          <w:szCs w:val="26"/>
          <w:lang w:val="lv-LV"/>
        </w:rPr>
        <w:t>;</w:t>
      </w:r>
    </w:p>
    <w:p w:rsidR="00FE6314" w:rsidRPr="00AB625A" w:rsidRDefault="00FE6314" w:rsidP="00C167D6">
      <w:pPr>
        <w:ind w:firstLine="720"/>
        <w:jc w:val="both"/>
        <w:rPr>
          <w:sz w:val="26"/>
          <w:szCs w:val="26"/>
          <w:lang w:val="lv-LV"/>
        </w:rPr>
      </w:pPr>
    </w:p>
    <w:p w:rsidR="00C524FC" w:rsidRDefault="00FE6314" w:rsidP="00C524FC">
      <w:pPr>
        <w:ind w:firstLine="720"/>
        <w:jc w:val="both"/>
        <w:rPr>
          <w:sz w:val="26"/>
          <w:szCs w:val="26"/>
          <w:lang w:val="lv-LV"/>
        </w:rPr>
      </w:pPr>
      <w:r>
        <w:rPr>
          <w:sz w:val="26"/>
          <w:szCs w:val="26"/>
          <w:lang w:val="lv-LV"/>
        </w:rPr>
        <w:t>3</w:t>
      </w:r>
      <w:r w:rsidR="0066072A">
        <w:rPr>
          <w:sz w:val="26"/>
          <w:szCs w:val="26"/>
          <w:lang w:val="lv-LV"/>
        </w:rPr>
        <w:t xml:space="preserve">.3. </w:t>
      </w:r>
      <w:r w:rsidR="00EA74E0" w:rsidRPr="00AB625A">
        <w:rPr>
          <w:sz w:val="26"/>
          <w:szCs w:val="26"/>
          <w:lang w:val="lv-LV"/>
        </w:rPr>
        <w:t>Latvijā turpmāko 20 gadu laikā pastiprināsies speciālistu ar augstāko izglītību skaita neatbilstība darba tirgus pieprasījumam, īpaši sociālajās zinātnēs, proti, šo speciālist</w:t>
      </w:r>
      <w:r w:rsidR="005E500F" w:rsidRPr="00AB625A">
        <w:rPr>
          <w:sz w:val="26"/>
          <w:szCs w:val="26"/>
          <w:lang w:val="lv-LV"/>
        </w:rPr>
        <w:t>u skaits pārsniegs pieprasījumu, vienlaikus deficīts pieaugs tādās nozarēs kā inženierzinātnes, ražošana un būvniecība, dabas zinātnes, matemāti</w:t>
      </w:r>
      <w:r w:rsidR="00610501" w:rsidRPr="00AB625A">
        <w:rPr>
          <w:sz w:val="26"/>
          <w:szCs w:val="26"/>
          <w:lang w:val="lv-LV"/>
        </w:rPr>
        <w:t>ka un informācijas tehnoloģijas.</w:t>
      </w:r>
    </w:p>
    <w:p w:rsidR="000B407B" w:rsidRDefault="00C524FC" w:rsidP="00C524FC">
      <w:pPr>
        <w:ind w:firstLine="720"/>
        <w:jc w:val="both"/>
        <w:rPr>
          <w:sz w:val="26"/>
          <w:szCs w:val="26"/>
          <w:lang w:val="lv-LV"/>
        </w:rPr>
      </w:pPr>
      <w:r>
        <w:rPr>
          <w:sz w:val="26"/>
          <w:szCs w:val="26"/>
          <w:lang w:val="lv-LV"/>
        </w:rPr>
        <w:t>3.4</w:t>
      </w:r>
      <w:r w:rsidR="00702694">
        <w:rPr>
          <w:sz w:val="26"/>
          <w:szCs w:val="26"/>
          <w:lang w:val="lv-LV"/>
        </w:rPr>
        <w:t xml:space="preserve">. </w:t>
      </w:r>
      <w:r w:rsidR="00702694" w:rsidRPr="00702694">
        <w:rPr>
          <w:sz w:val="26"/>
          <w:szCs w:val="26"/>
          <w:lang w:val="lv-LV"/>
        </w:rPr>
        <w:t>Augstskolai nav pietiekošu cilvēkresursu studiju programmas īstenošanai</w:t>
      </w:r>
      <w:r w:rsidR="004342F0">
        <w:rPr>
          <w:sz w:val="26"/>
          <w:szCs w:val="26"/>
          <w:lang w:val="lv-LV"/>
        </w:rPr>
        <w:t>,</w:t>
      </w:r>
      <w:r w:rsidR="00702694" w:rsidRPr="00702694">
        <w:rPr>
          <w:sz w:val="26"/>
          <w:szCs w:val="26"/>
          <w:lang w:val="lv-LV"/>
        </w:rPr>
        <w:t xml:space="preserve"> nepieciešamā akadēmiskā personāla ar specializāciju komerctiesību un starptautisko tiesību jomā nodrošināšanai.</w:t>
      </w:r>
    </w:p>
    <w:p w:rsidR="004342F0" w:rsidRPr="00C524FC" w:rsidRDefault="004342F0" w:rsidP="00C524FC">
      <w:pPr>
        <w:ind w:firstLine="720"/>
        <w:jc w:val="both"/>
        <w:rPr>
          <w:sz w:val="26"/>
          <w:szCs w:val="26"/>
          <w:lang w:val="lv-LV"/>
        </w:rPr>
      </w:pPr>
    </w:p>
    <w:p w:rsidR="00E043C2" w:rsidRPr="00AB625A" w:rsidRDefault="00FE6314" w:rsidP="00C167D6">
      <w:pPr>
        <w:ind w:firstLine="720"/>
        <w:jc w:val="both"/>
        <w:rPr>
          <w:sz w:val="26"/>
          <w:szCs w:val="26"/>
          <w:lang w:val="lv-LV"/>
        </w:rPr>
      </w:pPr>
      <w:r>
        <w:rPr>
          <w:sz w:val="26"/>
          <w:szCs w:val="26"/>
          <w:lang w:val="lv-LV"/>
        </w:rPr>
        <w:t>4</w:t>
      </w:r>
      <w:r w:rsidR="00C259BF">
        <w:rPr>
          <w:sz w:val="26"/>
          <w:szCs w:val="26"/>
          <w:lang w:val="lv-LV"/>
        </w:rPr>
        <w:t xml:space="preserve">. </w:t>
      </w:r>
      <w:r w:rsidR="00E043C2" w:rsidRPr="00AB625A">
        <w:rPr>
          <w:sz w:val="26"/>
          <w:szCs w:val="26"/>
          <w:lang w:val="lv-LV"/>
        </w:rPr>
        <w:t>Izvērtējot atteikuma izsniegšanas lietderību, jāsecina, ka konkrēta satura administratīvais akts ir nepieciešams leģitīma mērķa sasniegšanai, proti, lai nodrošinātu valsts tautsaimniecības attīstību</w:t>
      </w:r>
      <w:r w:rsidR="0008487E" w:rsidRPr="00AB625A">
        <w:rPr>
          <w:sz w:val="26"/>
          <w:szCs w:val="26"/>
          <w:lang w:val="lv-LV"/>
        </w:rPr>
        <w:t>,</w:t>
      </w:r>
      <w:r w:rsidR="00E043C2" w:rsidRPr="00AB625A">
        <w:rPr>
          <w:sz w:val="26"/>
          <w:szCs w:val="26"/>
          <w:lang w:val="lv-LV"/>
        </w:rPr>
        <w:t xml:space="preserve"> būtu atbalstāma jaunu studiju programmu veidošana, ievērojot </w:t>
      </w:r>
      <w:r w:rsidR="00CA0E86" w:rsidRPr="00AB625A">
        <w:rPr>
          <w:sz w:val="26"/>
          <w:szCs w:val="26"/>
          <w:lang w:val="lv-LV"/>
        </w:rPr>
        <w:t xml:space="preserve">Latvijas </w:t>
      </w:r>
      <w:r w:rsidR="00E043C2" w:rsidRPr="00AB625A">
        <w:rPr>
          <w:sz w:val="26"/>
          <w:szCs w:val="26"/>
          <w:lang w:val="lv-LV"/>
        </w:rPr>
        <w:t>darba tirgus pieprasījumu, kas šobrīd pieprasa speciālistus inženierzinātnēs, dabas zinātnēs, ražošanā un būvniecībā, matemātikā un informācijas tehnoloģijās</w:t>
      </w:r>
      <w:r w:rsidR="00587CF0" w:rsidRPr="00AB625A">
        <w:rPr>
          <w:sz w:val="26"/>
          <w:szCs w:val="26"/>
          <w:lang w:val="lv-LV"/>
        </w:rPr>
        <w:t xml:space="preserve">. </w:t>
      </w:r>
      <w:r w:rsidR="00CA0E86" w:rsidRPr="00AB625A">
        <w:rPr>
          <w:sz w:val="26"/>
          <w:szCs w:val="26"/>
          <w:lang w:val="lv-LV"/>
        </w:rPr>
        <w:t xml:space="preserve">Valsts tautsaimniecības attīstība nav tikai valsts dibinātu augstskolu un koledžu uzdevums, jo jebkura augstskola un koledža izsniedz diplomu valsts vārdā, tādējādi </w:t>
      </w:r>
      <w:r w:rsidR="00B21144" w:rsidRPr="00AB625A">
        <w:rPr>
          <w:sz w:val="26"/>
          <w:szCs w:val="26"/>
          <w:lang w:val="lv-LV"/>
        </w:rPr>
        <w:t>piedāvājot</w:t>
      </w:r>
      <w:r w:rsidR="00CA0E86" w:rsidRPr="00AB625A">
        <w:rPr>
          <w:sz w:val="26"/>
          <w:szCs w:val="26"/>
          <w:lang w:val="lv-LV"/>
        </w:rPr>
        <w:t xml:space="preserve"> augstāko izglītību. </w:t>
      </w:r>
      <w:r w:rsidR="00587CF0" w:rsidRPr="00AB625A">
        <w:rPr>
          <w:sz w:val="26"/>
          <w:szCs w:val="26"/>
          <w:lang w:val="lv-LV"/>
        </w:rPr>
        <w:t>Šāda mērķa sasniegšanai nav iespējams noteikt mazāk ierobežojošus līdzekļus, jo Augstskolu likuma 55.</w:t>
      </w:r>
      <w:r w:rsidR="00587CF0" w:rsidRPr="00AB625A">
        <w:rPr>
          <w:sz w:val="26"/>
          <w:szCs w:val="26"/>
          <w:vertAlign w:val="superscript"/>
          <w:lang w:val="lv-LV"/>
        </w:rPr>
        <w:t>2</w:t>
      </w:r>
      <w:r w:rsidR="00587CF0" w:rsidRPr="00AB625A">
        <w:rPr>
          <w:sz w:val="26"/>
          <w:szCs w:val="26"/>
          <w:lang w:val="lv-LV"/>
        </w:rPr>
        <w:t xml:space="preserve">panta trešā daļa un </w:t>
      </w:r>
      <w:r w:rsidR="00702472">
        <w:rPr>
          <w:sz w:val="26"/>
          <w:szCs w:val="26"/>
          <w:lang w:val="lv-LV"/>
        </w:rPr>
        <w:t>l</w:t>
      </w:r>
      <w:r w:rsidR="00587CF0" w:rsidRPr="00AB625A">
        <w:rPr>
          <w:sz w:val="26"/>
          <w:szCs w:val="26"/>
          <w:lang w:val="lv-LV"/>
        </w:rPr>
        <w:t xml:space="preserve">icencēšanas noteikumu 14.punkts paredz tikai divas iespējas lēmuma pieņemšanai, respektīvi, atvērt </w:t>
      </w:r>
      <w:r w:rsidR="00702472">
        <w:rPr>
          <w:sz w:val="26"/>
          <w:szCs w:val="26"/>
          <w:lang w:val="lv-LV"/>
        </w:rPr>
        <w:t>a</w:t>
      </w:r>
      <w:r w:rsidR="00B65258" w:rsidRPr="00AB625A">
        <w:rPr>
          <w:sz w:val="26"/>
          <w:szCs w:val="26"/>
          <w:lang w:val="lv-LV"/>
        </w:rPr>
        <w:t>ugstskolā</w:t>
      </w:r>
      <w:r w:rsidR="00587CF0" w:rsidRPr="00AB625A">
        <w:rPr>
          <w:sz w:val="26"/>
          <w:szCs w:val="26"/>
          <w:lang w:val="lv-LV"/>
        </w:rPr>
        <w:t xml:space="preserve"> studiju virzienu vai atteikt atvērt studiju virzienu. Nodrošinot valsts tautsaimniecības attīstības intereses, augstākās izglītības jomai būtu jākoncentrējas uz </w:t>
      </w:r>
      <w:r w:rsidR="002357A6">
        <w:rPr>
          <w:sz w:val="26"/>
          <w:szCs w:val="26"/>
          <w:lang w:val="lv-LV"/>
        </w:rPr>
        <w:t>nepieciešamo</w:t>
      </w:r>
      <w:r w:rsidR="002357A6" w:rsidRPr="00AB625A">
        <w:rPr>
          <w:sz w:val="26"/>
          <w:szCs w:val="26"/>
          <w:lang w:val="lv-LV"/>
        </w:rPr>
        <w:t xml:space="preserve"> </w:t>
      </w:r>
      <w:r w:rsidR="00587CF0" w:rsidRPr="00AB625A">
        <w:rPr>
          <w:sz w:val="26"/>
          <w:szCs w:val="26"/>
          <w:lang w:val="lv-LV"/>
        </w:rPr>
        <w:t xml:space="preserve">speciālistu </w:t>
      </w:r>
      <w:r w:rsidR="007D491F" w:rsidRPr="00AB625A">
        <w:rPr>
          <w:sz w:val="26"/>
          <w:szCs w:val="26"/>
          <w:lang w:val="lv-LV"/>
        </w:rPr>
        <w:t xml:space="preserve">radīšanu, nevis </w:t>
      </w:r>
      <w:r w:rsidR="004B7031" w:rsidRPr="00AB625A">
        <w:rPr>
          <w:sz w:val="26"/>
          <w:szCs w:val="26"/>
          <w:lang w:val="lv-LV"/>
        </w:rPr>
        <w:t>palielināt</w:t>
      </w:r>
      <w:r w:rsidR="009D5662" w:rsidRPr="00AB625A">
        <w:rPr>
          <w:sz w:val="26"/>
          <w:szCs w:val="26"/>
          <w:lang w:val="lv-LV"/>
        </w:rPr>
        <w:t xml:space="preserve"> </w:t>
      </w:r>
      <w:proofErr w:type="spellStart"/>
      <w:r w:rsidR="009D5662" w:rsidRPr="00AB625A">
        <w:rPr>
          <w:sz w:val="26"/>
          <w:szCs w:val="26"/>
          <w:lang w:val="lv-LV"/>
        </w:rPr>
        <w:t>pārprodukciju</w:t>
      </w:r>
      <w:proofErr w:type="spellEnd"/>
      <w:r w:rsidR="009D5662" w:rsidRPr="00AB625A">
        <w:rPr>
          <w:sz w:val="26"/>
          <w:szCs w:val="26"/>
          <w:lang w:val="lv-LV"/>
        </w:rPr>
        <w:t xml:space="preserve"> jau tā lielajā sociālo zinātņu speciālistu jomā. </w:t>
      </w:r>
      <w:r w:rsidR="00B65258" w:rsidRPr="00AB625A">
        <w:rPr>
          <w:sz w:val="26"/>
          <w:szCs w:val="26"/>
          <w:lang w:val="lv-LV"/>
        </w:rPr>
        <w:t>Augstskolai</w:t>
      </w:r>
      <w:r w:rsidR="009D5662" w:rsidRPr="00AB625A">
        <w:rPr>
          <w:sz w:val="26"/>
          <w:szCs w:val="26"/>
          <w:lang w:val="lv-LV"/>
        </w:rPr>
        <w:t xml:space="preserve"> uzliktais ierobežojums ir mazāks nekā sabiedrības ieguvums, jo ar atteikumu atvērt </w:t>
      </w:r>
      <w:r w:rsidR="00702472">
        <w:rPr>
          <w:sz w:val="26"/>
          <w:szCs w:val="26"/>
          <w:lang w:val="lv-LV"/>
        </w:rPr>
        <w:t>a</w:t>
      </w:r>
      <w:r w:rsidR="00B65258" w:rsidRPr="00AB625A">
        <w:rPr>
          <w:sz w:val="26"/>
          <w:szCs w:val="26"/>
          <w:lang w:val="lv-LV"/>
        </w:rPr>
        <w:t>ugstskolā</w:t>
      </w:r>
      <w:r w:rsidR="009D5662" w:rsidRPr="00AB625A">
        <w:rPr>
          <w:sz w:val="26"/>
          <w:szCs w:val="26"/>
          <w:lang w:val="lv-LV"/>
        </w:rPr>
        <w:t xml:space="preserve"> studiju </w:t>
      </w:r>
      <w:r w:rsidR="00B65258" w:rsidRPr="00AB625A">
        <w:rPr>
          <w:sz w:val="26"/>
          <w:szCs w:val="26"/>
          <w:lang w:val="lv-LV"/>
        </w:rPr>
        <w:t>virzienu „Tiesību zinātne</w:t>
      </w:r>
      <w:r w:rsidR="009D5662" w:rsidRPr="00AB625A">
        <w:rPr>
          <w:sz w:val="26"/>
          <w:szCs w:val="26"/>
          <w:lang w:val="lv-LV"/>
        </w:rPr>
        <w:t>” ne</w:t>
      </w:r>
      <w:r w:rsidR="00B65258" w:rsidRPr="00AB625A">
        <w:rPr>
          <w:sz w:val="26"/>
          <w:szCs w:val="26"/>
          <w:lang w:val="lv-LV"/>
        </w:rPr>
        <w:t xml:space="preserve">tiek uzlikts aizliegums </w:t>
      </w:r>
      <w:r w:rsidR="00702472">
        <w:rPr>
          <w:sz w:val="26"/>
          <w:szCs w:val="26"/>
          <w:lang w:val="lv-LV"/>
        </w:rPr>
        <w:t>a</w:t>
      </w:r>
      <w:r w:rsidR="00B65258" w:rsidRPr="00AB625A">
        <w:rPr>
          <w:sz w:val="26"/>
          <w:szCs w:val="26"/>
          <w:lang w:val="lv-LV"/>
        </w:rPr>
        <w:t>ugstskolai</w:t>
      </w:r>
      <w:r w:rsidR="009D5662" w:rsidRPr="00AB625A">
        <w:rPr>
          <w:sz w:val="26"/>
          <w:szCs w:val="26"/>
          <w:lang w:val="lv-LV"/>
        </w:rPr>
        <w:t xml:space="preserve"> nodarboties ar augstākās izglītības īstenošanu, </w:t>
      </w:r>
      <w:r w:rsidR="00472570" w:rsidRPr="00AB625A">
        <w:rPr>
          <w:sz w:val="26"/>
          <w:szCs w:val="26"/>
          <w:lang w:val="lv-LV"/>
        </w:rPr>
        <w:t xml:space="preserve">bet </w:t>
      </w:r>
      <w:r w:rsidR="009D5662" w:rsidRPr="00AB625A">
        <w:rPr>
          <w:sz w:val="26"/>
          <w:szCs w:val="26"/>
          <w:lang w:val="lv-LV"/>
        </w:rPr>
        <w:t>tiek atteikts atvērt konkrēto studiju virzienu, kas nenodrošinās sabiedrības intereses iegūt izglītību tajā jomā, kas nepieciešama valsts tautsaimniecības attīstībai</w:t>
      </w:r>
      <w:r w:rsidR="00051440" w:rsidRPr="00AB625A">
        <w:rPr>
          <w:sz w:val="26"/>
          <w:szCs w:val="26"/>
          <w:lang w:val="lv-LV"/>
        </w:rPr>
        <w:t xml:space="preserve"> un nepalielinās riskus kvalitatīvas augstākās izglītības sistēmas attīstībai</w:t>
      </w:r>
      <w:r w:rsidR="009D5662" w:rsidRPr="00AB625A">
        <w:rPr>
          <w:sz w:val="26"/>
          <w:szCs w:val="26"/>
          <w:lang w:val="lv-LV"/>
        </w:rPr>
        <w:t>.</w:t>
      </w:r>
      <w:r w:rsidR="00D155D2" w:rsidRPr="00AB625A">
        <w:rPr>
          <w:sz w:val="26"/>
          <w:szCs w:val="26"/>
          <w:lang w:val="lv-LV"/>
        </w:rPr>
        <w:t xml:space="preserve"> Augstskolu likuma 4.pants nosaka, ka augstskolas ir autonomas institūcijas, bet tas neatceļ valsts pienākumu nodrošināt tādu augstāko izglītību un nodrošināt to studiju programmu īstenošanu, kuras rada speciālistus, pēc kuriem </w:t>
      </w:r>
      <w:r w:rsidR="00A15DD3" w:rsidRPr="00AB625A">
        <w:rPr>
          <w:sz w:val="26"/>
          <w:szCs w:val="26"/>
          <w:lang w:val="lv-LV"/>
        </w:rPr>
        <w:t xml:space="preserve">valstī </w:t>
      </w:r>
      <w:r w:rsidR="00D155D2" w:rsidRPr="00AB625A">
        <w:rPr>
          <w:sz w:val="26"/>
          <w:szCs w:val="26"/>
          <w:lang w:val="lv-LV"/>
        </w:rPr>
        <w:t>ir liels pieprasījums jau tagad.</w:t>
      </w:r>
    </w:p>
    <w:p w:rsidR="00E043C2" w:rsidRPr="005E7884" w:rsidRDefault="00E043C2" w:rsidP="00E043C2">
      <w:pPr>
        <w:pStyle w:val="ListParagraph"/>
        <w:ind w:left="0"/>
        <w:rPr>
          <w:sz w:val="26"/>
          <w:szCs w:val="26"/>
          <w:lang w:val="lv-LV"/>
        </w:rPr>
      </w:pPr>
    </w:p>
    <w:p w:rsidR="009D473C" w:rsidRPr="00AB625A" w:rsidRDefault="00FE6314" w:rsidP="00C167D6">
      <w:pPr>
        <w:ind w:firstLine="720"/>
        <w:jc w:val="both"/>
        <w:rPr>
          <w:sz w:val="26"/>
          <w:szCs w:val="26"/>
          <w:lang w:val="lv-LV"/>
        </w:rPr>
      </w:pPr>
      <w:r>
        <w:rPr>
          <w:sz w:val="26"/>
          <w:szCs w:val="26"/>
          <w:lang w:val="lv-LV"/>
        </w:rPr>
        <w:t>5</w:t>
      </w:r>
      <w:r w:rsidR="000D2731">
        <w:rPr>
          <w:sz w:val="26"/>
          <w:szCs w:val="26"/>
          <w:lang w:val="lv-LV"/>
        </w:rPr>
        <w:t xml:space="preserve">. </w:t>
      </w:r>
      <w:r w:rsidR="009D473C" w:rsidRPr="00AB625A">
        <w:rPr>
          <w:sz w:val="26"/>
          <w:szCs w:val="26"/>
          <w:lang w:val="lv-LV"/>
        </w:rPr>
        <w:t>Ievērojot minētos apsvērumus un pamatojoties uz Augstskolu likuma 55.</w:t>
      </w:r>
      <w:r w:rsidR="009D473C" w:rsidRPr="00AB625A">
        <w:rPr>
          <w:sz w:val="26"/>
          <w:szCs w:val="26"/>
          <w:vertAlign w:val="superscript"/>
          <w:lang w:val="lv-LV"/>
        </w:rPr>
        <w:t>2</w:t>
      </w:r>
      <w:r w:rsidR="005E500F" w:rsidRPr="00AB625A">
        <w:rPr>
          <w:sz w:val="26"/>
          <w:szCs w:val="26"/>
          <w:lang w:val="lv-LV"/>
        </w:rPr>
        <w:t xml:space="preserve"> panta trešo daļu, </w:t>
      </w:r>
      <w:r w:rsidR="00702472">
        <w:rPr>
          <w:sz w:val="26"/>
          <w:szCs w:val="26"/>
          <w:lang w:val="lv-LV"/>
        </w:rPr>
        <w:t>l</w:t>
      </w:r>
      <w:r w:rsidR="00610501" w:rsidRPr="00AB625A">
        <w:rPr>
          <w:sz w:val="26"/>
          <w:szCs w:val="26"/>
          <w:lang w:val="lv-LV"/>
        </w:rPr>
        <w:t>icencēšanas noteikumu 14.punktu</w:t>
      </w:r>
      <w:r w:rsidR="009D473C" w:rsidRPr="00AB625A">
        <w:rPr>
          <w:sz w:val="26"/>
          <w:szCs w:val="26"/>
          <w:lang w:val="lv-LV"/>
        </w:rPr>
        <w:t>, Ministru kabinets nolemj atteikt atvērt studiju virzienu “</w:t>
      </w:r>
      <w:r w:rsidR="00B65258" w:rsidRPr="00AB625A">
        <w:rPr>
          <w:sz w:val="26"/>
          <w:szCs w:val="26"/>
          <w:lang w:val="lv-LV"/>
        </w:rPr>
        <w:t>Tiesību zinātne</w:t>
      </w:r>
      <w:r w:rsidR="009D473C" w:rsidRPr="00AB625A">
        <w:rPr>
          <w:sz w:val="26"/>
          <w:szCs w:val="26"/>
          <w:lang w:val="lv-LV"/>
        </w:rPr>
        <w:t xml:space="preserve">” </w:t>
      </w:r>
      <w:r w:rsidR="00FA3180">
        <w:rPr>
          <w:sz w:val="26"/>
          <w:szCs w:val="26"/>
          <w:lang w:val="lv-LV"/>
        </w:rPr>
        <w:t>sabiedrībā ar ierobežotu atbildību</w:t>
      </w:r>
      <w:r w:rsidR="00FA3180" w:rsidRPr="00AB625A">
        <w:rPr>
          <w:sz w:val="26"/>
          <w:szCs w:val="26"/>
          <w:lang w:val="lv-LV"/>
        </w:rPr>
        <w:t xml:space="preserve"> </w:t>
      </w:r>
      <w:r w:rsidR="009D473C" w:rsidRPr="00AB625A">
        <w:rPr>
          <w:sz w:val="26"/>
          <w:szCs w:val="26"/>
          <w:lang w:val="lv-LV"/>
        </w:rPr>
        <w:t>“</w:t>
      </w:r>
      <w:r w:rsidR="008C257C" w:rsidRPr="00AB625A">
        <w:rPr>
          <w:sz w:val="26"/>
          <w:szCs w:val="26"/>
          <w:lang w:val="lv-LV"/>
        </w:rPr>
        <w:t>Ekonomikas un kultūras augstskola</w:t>
      </w:r>
      <w:r w:rsidR="009D473C" w:rsidRPr="00AB625A">
        <w:rPr>
          <w:sz w:val="26"/>
          <w:szCs w:val="26"/>
          <w:lang w:val="lv-LV"/>
        </w:rPr>
        <w:t>”</w:t>
      </w:r>
      <w:r w:rsidR="009D473C" w:rsidRPr="00AB625A">
        <w:rPr>
          <w:i/>
          <w:sz w:val="26"/>
          <w:szCs w:val="26"/>
          <w:lang w:val="lv-LV"/>
        </w:rPr>
        <w:t>.</w:t>
      </w:r>
    </w:p>
    <w:p w:rsidR="002325F5" w:rsidRPr="005E7884" w:rsidRDefault="002325F5" w:rsidP="002325F5">
      <w:pPr>
        <w:pStyle w:val="ListParagraph"/>
        <w:rPr>
          <w:sz w:val="26"/>
          <w:szCs w:val="26"/>
          <w:lang w:val="lv-LV"/>
        </w:rPr>
      </w:pPr>
    </w:p>
    <w:p w:rsidR="002325F5" w:rsidRPr="00AB625A" w:rsidRDefault="00FE6314" w:rsidP="00C167D6">
      <w:pPr>
        <w:ind w:firstLine="720"/>
        <w:jc w:val="both"/>
        <w:rPr>
          <w:sz w:val="26"/>
          <w:szCs w:val="26"/>
          <w:lang w:val="lv-LV"/>
        </w:rPr>
      </w:pPr>
      <w:r>
        <w:rPr>
          <w:sz w:val="26"/>
          <w:szCs w:val="26"/>
          <w:lang w:val="lv-LV"/>
        </w:rPr>
        <w:t>6</w:t>
      </w:r>
      <w:r w:rsidR="00BD0673">
        <w:rPr>
          <w:sz w:val="26"/>
          <w:szCs w:val="26"/>
          <w:lang w:val="lv-LV"/>
        </w:rPr>
        <w:t xml:space="preserve">. </w:t>
      </w:r>
      <w:r w:rsidR="002325F5" w:rsidRPr="00AB625A">
        <w:rPr>
          <w:sz w:val="26"/>
          <w:szCs w:val="26"/>
          <w:lang w:val="lv-LV"/>
        </w:rPr>
        <w:t>Šo rīkojumu saskaņā ar Administratīvā procesa likuma 76.panta otro daļu, 188.panta pirmo</w:t>
      </w:r>
      <w:r w:rsidR="00EB1D3C" w:rsidRPr="00AB625A">
        <w:rPr>
          <w:sz w:val="26"/>
          <w:szCs w:val="26"/>
          <w:lang w:val="lv-LV"/>
        </w:rPr>
        <w:t xml:space="preserve"> un otro daļu un 189.panta pirmo</w:t>
      </w:r>
      <w:r w:rsidR="002325F5" w:rsidRPr="00AB625A">
        <w:rPr>
          <w:sz w:val="26"/>
          <w:szCs w:val="26"/>
          <w:lang w:val="lv-LV"/>
        </w:rPr>
        <w:t xml:space="preserve"> daļu var </w:t>
      </w:r>
      <w:r w:rsidR="00BC6D66">
        <w:rPr>
          <w:sz w:val="26"/>
          <w:szCs w:val="26"/>
          <w:lang w:val="lv-LV"/>
        </w:rPr>
        <w:t xml:space="preserve">apstrīdēt Ministru kabinetā vai </w:t>
      </w:r>
      <w:r w:rsidR="002325F5" w:rsidRPr="00AB625A">
        <w:rPr>
          <w:sz w:val="26"/>
          <w:szCs w:val="26"/>
          <w:lang w:val="lv-LV"/>
        </w:rPr>
        <w:t>pārsūdzēt Administratī</w:t>
      </w:r>
      <w:r w:rsidR="004B7031" w:rsidRPr="00AB625A">
        <w:rPr>
          <w:sz w:val="26"/>
          <w:szCs w:val="26"/>
          <w:lang w:val="lv-LV"/>
        </w:rPr>
        <w:t>vajā rajona tiesā</w:t>
      </w:r>
      <w:r w:rsidR="002325F5" w:rsidRPr="00AB625A">
        <w:rPr>
          <w:sz w:val="26"/>
          <w:szCs w:val="26"/>
          <w:lang w:val="lv-LV"/>
        </w:rPr>
        <w:t xml:space="preserve"> mēneša laikā n</w:t>
      </w:r>
      <w:r w:rsidR="00EF03C6">
        <w:rPr>
          <w:sz w:val="26"/>
          <w:szCs w:val="26"/>
          <w:lang w:val="lv-LV"/>
        </w:rPr>
        <w:t>o šā rīkojuma spēkā stāšanās dienas</w:t>
      </w:r>
      <w:r w:rsidR="002325F5" w:rsidRPr="00AB625A">
        <w:rPr>
          <w:sz w:val="26"/>
          <w:szCs w:val="26"/>
          <w:lang w:val="lv-LV"/>
        </w:rPr>
        <w:t>.</w:t>
      </w:r>
    </w:p>
    <w:p w:rsidR="002325F5" w:rsidRPr="005E7884" w:rsidRDefault="002325F5" w:rsidP="002325F5">
      <w:pPr>
        <w:pStyle w:val="ListParagraph"/>
        <w:rPr>
          <w:sz w:val="26"/>
          <w:szCs w:val="26"/>
          <w:lang w:val="lv-LV"/>
        </w:rPr>
      </w:pPr>
    </w:p>
    <w:p w:rsidR="002A21FD" w:rsidRPr="005E7884" w:rsidRDefault="002A21FD" w:rsidP="002325F5">
      <w:pPr>
        <w:pStyle w:val="ListParagraph"/>
        <w:rPr>
          <w:sz w:val="26"/>
          <w:szCs w:val="26"/>
          <w:lang w:val="lv-LV"/>
        </w:rPr>
      </w:pPr>
    </w:p>
    <w:p w:rsidR="00877425" w:rsidRPr="005E7884" w:rsidRDefault="00877425" w:rsidP="00877425">
      <w:pPr>
        <w:ind w:firstLine="720"/>
        <w:jc w:val="both"/>
        <w:rPr>
          <w:sz w:val="26"/>
          <w:szCs w:val="26"/>
          <w:lang w:val="lv-LV"/>
        </w:rPr>
      </w:pPr>
      <w:r w:rsidRPr="005E7884">
        <w:rPr>
          <w:sz w:val="26"/>
          <w:szCs w:val="26"/>
          <w:lang w:val="lv-LV"/>
        </w:rPr>
        <w:t>Ministru prezidente</w:t>
      </w:r>
      <w:r w:rsidRPr="005E7884">
        <w:rPr>
          <w:sz w:val="26"/>
          <w:szCs w:val="26"/>
          <w:lang w:val="lv-LV"/>
        </w:rPr>
        <w:tab/>
      </w:r>
      <w:r w:rsidRPr="005E7884">
        <w:rPr>
          <w:sz w:val="26"/>
          <w:szCs w:val="26"/>
          <w:lang w:val="lv-LV"/>
        </w:rPr>
        <w:tab/>
      </w:r>
      <w:r w:rsidRPr="005E7884">
        <w:rPr>
          <w:sz w:val="26"/>
          <w:szCs w:val="26"/>
          <w:lang w:val="lv-LV"/>
        </w:rPr>
        <w:tab/>
      </w:r>
      <w:r w:rsidRPr="005E7884">
        <w:rPr>
          <w:sz w:val="26"/>
          <w:szCs w:val="26"/>
          <w:lang w:val="lv-LV"/>
        </w:rPr>
        <w:tab/>
      </w:r>
      <w:r w:rsidRPr="005E7884">
        <w:rPr>
          <w:sz w:val="26"/>
          <w:szCs w:val="26"/>
          <w:lang w:val="lv-LV"/>
        </w:rPr>
        <w:tab/>
      </w:r>
      <w:r w:rsidRPr="005E7884">
        <w:rPr>
          <w:sz w:val="26"/>
          <w:szCs w:val="26"/>
          <w:lang w:val="lv-LV"/>
        </w:rPr>
        <w:tab/>
      </w:r>
      <w:r w:rsidR="00D40CDD">
        <w:rPr>
          <w:sz w:val="26"/>
          <w:szCs w:val="26"/>
          <w:lang w:val="lv-LV"/>
        </w:rPr>
        <w:tab/>
      </w:r>
      <w:proofErr w:type="spellStart"/>
      <w:r w:rsidRPr="005E7884">
        <w:rPr>
          <w:sz w:val="26"/>
          <w:szCs w:val="26"/>
          <w:lang w:val="lv-LV"/>
        </w:rPr>
        <w:t>L.Straujuma</w:t>
      </w:r>
      <w:proofErr w:type="spellEnd"/>
    </w:p>
    <w:p w:rsidR="00877425" w:rsidRPr="005E7884" w:rsidRDefault="00877425" w:rsidP="00877425">
      <w:pPr>
        <w:ind w:firstLine="720"/>
        <w:jc w:val="both"/>
        <w:rPr>
          <w:sz w:val="26"/>
          <w:szCs w:val="26"/>
          <w:lang w:val="lv-LV"/>
        </w:rPr>
      </w:pPr>
      <w:r w:rsidRPr="005E7884">
        <w:rPr>
          <w:sz w:val="26"/>
          <w:szCs w:val="26"/>
          <w:lang w:val="lv-LV"/>
        </w:rPr>
        <w:lastRenderedPageBreak/>
        <w:tab/>
      </w:r>
      <w:r w:rsidRPr="005E7884">
        <w:rPr>
          <w:sz w:val="26"/>
          <w:szCs w:val="26"/>
          <w:lang w:val="lv-LV"/>
        </w:rPr>
        <w:tab/>
      </w:r>
      <w:r w:rsidRPr="005E7884">
        <w:rPr>
          <w:sz w:val="26"/>
          <w:szCs w:val="26"/>
          <w:lang w:val="lv-LV"/>
        </w:rPr>
        <w:tab/>
      </w:r>
      <w:r w:rsidRPr="005E7884">
        <w:rPr>
          <w:sz w:val="26"/>
          <w:szCs w:val="26"/>
          <w:lang w:val="lv-LV"/>
        </w:rPr>
        <w:tab/>
      </w:r>
    </w:p>
    <w:p w:rsidR="00877425" w:rsidRPr="005E7884" w:rsidRDefault="00877425" w:rsidP="00877425">
      <w:pPr>
        <w:ind w:firstLine="720"/>
        <w:jc w:val="both"/>
        <w:rPr>
          <w:sz w:val="26"/>
          <w:szCs w:val="26"/>
          <w:lang w:val="lv-LV"/>
        </w:rPr>
      </w:pPr>
      <w:r w:rsidRPr="005E7884">
        <w:rPr>
          <w:sz w:val="26"/>
          <w:szCs w:val="26"/>
          <w:lang w:val="lv-LV"/>
        </w:rPr>
        <w:tab/>
      </w:r>
      <w:r w:rsidRPr="005E7884">
        <w:rPr>
          <w:sz w:val="26"/>
          <w:szCs w:val="26"/>
          <w:lang w:val="lv-LV"/>
        </w:rPr>
        <w:tab/>
      </w:r>
      <w:r w:rsidRPr="005E7884">
        <w:rPr>
          <w:sz w:val="26"/>
          <w:szCs w:val="26"/>
          <w:lang w:val="lv-LV"/>
        </w:rPr>
        <w:tab/>
      </w:r>
    </w:p>
    <w:p w:rsidR="00877425" w:rsidRPr="005E7884" w:rsidRDefault="00877425" w:rsidP="00877425">
      <w:pPr>
        <w:ind w:firstLine="720"/>
        <w:jc w:val="both"/>
        <w:rPr>
          <w:sz w:val="26"/>
          <w:szCs w:val="26"/>
          <w:lang w:val="lv-LV"/>
        </w:rPr>
      </w:pPr>
      <w:r w:rsidRPr="005E7884">
        <w:rPr>
          <w:sz w:val="26"/>
          <w:szCs w:val="26"/>
          <w:lang w:val="lv-LV"/>
        </w:rPr>
        <w:t>Izglītības un zinātnes ministre</w:t>
      </w:r>
      <w:r w:rsidRPr="005E7884">
        <w:rPr>
          <w:sz w:val="26"/>
          <w:szCs w:val="26"/>
          <w:lang w:val="lv-LV"/>
        </w:rPr>
        <w:tab/>
      </w:r>
      <w:r w:rsidRPr="005E7884">
        <w:rPr>
          <w:sz w:val="26"/>
          <w:szCs w:val="26"/>
          <w:lang w:val="lv-LV"/>
        </w:rPr>
        <w:tab/>
      </w:r>
      <w:r w:rsidRPr="005E7884">
        <w:rPr>
          <w:sz w:val="26"/>
          <w:szCs w:val="26"/>
          <w:lang w:val="lv-LV"/>
        </w:rPr>
        <w:tab/>
      </w:r>
      <w:r w:rsidRPr="005E7884">
        <w:rPr>
          <w:sz w:val="26"/>
          <w:szCs w:val="26"/>
          <w:lang w:val="lv-LV"/>
        </w:rPr>
        <w:tab/>
      </w:r>
      <w:r w:rsidRPr="005E7884">
        <w:rPr>
          <w:sz w:val="26"/>
          <w:szCs w:val="26"/>
          <w:lang w:val="lv-LV"/>
        </w:rPr>
        <w:tab/>
      </w:r>
      <w:proofErr w:type="spellStart"/>
      <w:r w:rsidR="00D40CDD">
        <w:rPr>
          <w:sz w:val="26"/>
          <w:szCs w:val="26"/>
          <w:lang w:val="lv-LV"/>
        </w:rPr>
        <w:t>M.Seile</w:t>
      </w:r>
      <w:proofErr w:type="spellEnd"/>
    </w:p>
    <w:p w:rsidR="00877425" w:rsidRPr="005E7884" w:rsidRDefault="00877425" w:rsidP="00877425">
      <w:pPr>
        <w:ind w:firstLine="720"/>
        <w:jc w:val="both"/>
        <w:rPr>
          <w:sz w:val="26"/>
          <w:szCs w:val="26"/>
          <w:lang w:val="lv-LV"/>
        </w:rPr>
      </w:pPr>
    </w:p>
    <w:p w:rsidR="00877425" w:rsidRPr="005E7884" w:rsidRDefault="00877425" w:rsidP="00877425">
      <w:pPr>
        <w:ind w:firstLine="720"/>
        <w:jc w:val="both"/>
        <w:rPr>
          <w:sz w:val="26"/>
          <w:szCs w:val="26"/>
          <w:lang w:val="lv-LV"/>
        </w:rPr>
      </w:pPr>
    </w:p>
    <w:p w:rsidR="00877425" w:rsidRPr="005E7884" w:rsidRDefault="00877425" w:rsidP="00877425">
      <w:pPr>
        <w:ind w:firstLine="720"/>
        <w:jc w:val="both"/>
        <w:rPr>
          <w:sz w:val="26"/>
          <w:szCs w:val="26"/>
          <w:lang w:val="lv-LV"/>
        </w:rPr>
      </w:pPr>
    </w:p>
    <w:p w:rsidR="00877425" w:rsidRPr="005E7884" w:rsidRDefault="00877425" w:rsidP="00877425">
      <w:pPr>
        <w:ind w:firstLine="720"/>
        <w:jc w:val="both"/>
        <w:rPr>
          <w:sz w:val="26"/>
          <w:szCs w:val="26"/>
          <w:lang w:val="lv-LV"/>
        </w:rPr>
      </w:pPr>
      <w:r w:rsidRPr="005E7884">
        <w:rPr>
          <w:sz w:val="26"/>
          <w:szCs w:val="26"/>
          <w:lang w:val="lv-LV"/>
        </w:rPr>
        <w:t xml:space="preserve">Iesniedzējs: Izglītības un zinātnes ministre </w:t>
      </w:r>
      <w:r w:rsidRPr="005E7884">
        <w:rPr>
          <w:sz w:val="26"/>
          <w:szCs w:val="26"/>
          <w:lang w:val="lv-LV"/>
        </w:rPr>
        <w:tab/>
      </w:r>
      <w:r w:rsidRPr="005E7884">
        <w:rPr>
          <w:sz w:val="26"/>
          <w:szCs w:val="26"/>
          <w:lang w:val="lv-LV"/>
        </w:rPr>
        <w:tab/>
      </w:r>
      <w:r w:rsidRPr="005E7884">
        <w:rPr>
          <w:sz w:val="26"/>
          <w:szCs w:val="26"/>
          <w:lang w:val="lv-LV"/>
        </w:rPr>
        <w:tab/>
      </w:r>
      <w:proofErr w:type="spellStart"/>
      <w:r w:rsidR="00D40CDD">
        <w:rPr>
          <w:sz w:val="26"/>
          <w:szCs w:val="26"/>
          <w:lang w:val="lv-LV"/>
        </w:rPr>
        <w:t>M.Seile</w:t>
      </w:r>
      <w:proofErr w:type="spellEnd"/>
    </w:p>
    <w:p w:rsidR="00877425" w:rsidRPr="005E7884" w:rsidRDefault="00877425" w:rsidP="00877425">
      <w:pPr>
        <w:ind w:firstLine="720"/>
        <w:jc w:val="both"/>
        <w:rPr>
          <w:sz w:val="26"/>
          <w:szCs w:val="26"/>
          <w:lang w:val="lv-LV"/>
        </w:rPr>
      </w:pPr>
    </w:p>
    <w:p w:rsidR="00877425" w:rsidRPr="005E7884" w:rsidRDefault="00877425" w:rsidP="00877425">
      <w:pPr>
        <w:tabs>
          <w:tab w:val="left" w:pos="3120"/>
        </w:tabs>
        <w:ind w:firstLine="720"/>
        <w:jc w:val="both"/>
        <w:rPr>
          <w:sz w:val="26"/>
          <w:szCs w:val="26"/>
          <w:lang w:val="lv-LV"/>
        </w:rPr>
      </w:pPr>
      <w:r w:rsidRPr="005E7884">
        <w:rPr>
          <w:sz w:val="26"/>
          <w:szCs w:val="26"/>
          <w:lang w:val="lv-LV"/>
        </w:rPr>
        <w:tab/>
      </w:r>
    </w:p>
    <w:p w:rsidR="003B4307" w:rsidRPr="005E7884" w:rsidRDefault="003B4307" w:rsidP="003B4307">
      <w:pPr>
        <w:ind w:firstLine="720"/>
        <w:jc w:val="both"/>
        <w:rPr>
          <w:bCs/>
          <w:kern w:val="32"/>
          <w:sz w:val="26"/>
          <w:szCs w:val="26"/>
          <w:lang w:val="lv-LV"/>
        </w:rPr>
      </w:pPr>
      <w:r w:rsidRPr="005E7884">
        <w:rPr>
          <w:bCs/>
          <w:kern w:val="32"/>
          <w:sz w:val="26"/>
          <w:szCs w:val="26"/>
          <w:lang w:val="lv-LV"/>
        </w:rPr>
        <w:t>Vizē:</w:t>
      </w:r>
    </w:p>
    <w:p w:rsidR="003B4307" w:rsidRDefault="003B4307" w:rsidP="003B4307">
      <w:pPr>
        <w:ind w:firstLine="720"/>
        <w:jc w:val="both"/>
        <w:rPr>
          <w:bCs/>
          <w:kern w:val="32"/>
          <w:sz w:val="26"/>
          <w:szCs w:val="26"/>
          <w:lang w:val="lv-LV"/>
        </w:rPr>
      </w:pPr>
      <w:r>
        <w:rPr>
          <w:bCs/>
          <w:kern w:val="32"/>
          <w:sz w:val="26"/>
          <w:szCs w:val="26"/>
          <w:lang w:val="lv-LV"/>
        </w:rPr>
        <w:t xml:space="preserve">Valsts sekretāra vietniece – </w:t>
      </w:r>
      <w:r>
        <w:rPr>
          <w:bCs/>
          <w:kern w:val="32"/>
          <w:sz w:val="26"/>
          <w:szCs w:val="26"/>
          <w:lang w:val="lv-LV"/>
        </w:rPr>
        <w:tab/>
      </w:r>
      <w:r>
        <w:rPr>
          <w:bCs/>
          <w:kern w:val="32"/>
          <w:sz w:val="26"/>
          <w:szCs w:val="26"/>
          <w:lang w:val="lv-LV"/>
        </w:rPr>
        <w:tab/>
      </w:r>
      <w:r>
        <w:rPr>
          <w:bCs/>
          <w:kern w:val="32"/>
          <w:sz w:val="26"/>
          <w:szCs w:val="26"/>
          <w:lang w:val="lv-LV"/>
        </w:rPr>
        <w:tab/>
      </w:r>
      <w:r>
        <w:rPr>
          <w:bCs/>
          <w:kern w:val="32"/>
          <w:sz w:val="26"/>
          <w:szCs w:val="26"/>
          <w:lang w:val="lv-LV"/>
        </w:rPr>
        <w:tab/>
      </w:r>
      <w:r>
        <w:rPr>
          <w:bCs/>
          <w:kern w:val="32"/>
          <w:sz w:val="26"/>
          <w:szCs w:val="26"/>
          <w:lang w:val="lv-LV"/>
        </w:rPr>
        <w:tab/>
      </w:r>
    </w:p>
    <w:p w:rsidR="003B4307" w:rsidRDefault="003B4307" w:rsidP="003B4307">
      <w:pPr>
        <w:ind w:firstLine="720"/>
        <w:jc w:val="both"/>
        <w:rPr>
          <w:bCs/>
          <w:kern w:val="32"/>
          <w:sz w:val="26"/>
          <w:szCs w:val="26"/>
          <w:lang w:val="lv-LV"/>
        </w:rPr>
      </w:pPr>
      <w:r>
        <w:rPr>
          <w:bCs/>
          <w:kern w:val="32"/>
          <w:sz w:val="26"/>
          <w:szCs w:val="26"/>
          <w:lang w:val="lv-LV"/>
        </w:rPr>
        <w:t xml:space="preserve">Izglītības departamenta direktore, </w:t>
      </w:r>
    </w:p>
    <w:p w:rsidR="00877425" w:rsidRPr="00D40CDD" w:rsidRDefault="003B4307" w:rsidP="003B4307">
      <w:pPr>
        <w:ind w:firstLine="720"/>
        <w:jc w:val="both"/>
        <w:rPr>
          <w:bCs/>
          <w:kern w:val="32"/>
          <w:sz w:val="26"/>
          <w:szCs w:val="26"/>
          <w:lang w:val="lv-LV"/>
        </w:rPr>
      </w:pPr>
      <w:r>
        <w:rPr>
          <w:bCs/>
          <w:kern w:val="32"/>
          <w:sz w:val="26"/>
          <w:szCs w:val="26"/>
          <w:lang w:val="lv-LV"/>
        </w:rPr>
        <w:t>valsts sekretāres pienākumu izpildītāja</w:t>
      </w:r>
      <w:r>
        <w:rPr>
          <w:bCs/>
          <w:kern w:val="32"/>
          <w:sz w:val="26"/>
          <w:szCs w:val="26"/>
          <w:lang w:val="lv-LV"/>
        </w:rPr>
        <w:tab/>
      </w:r>
      <w:r>
        <w:rPr>
          <w:bCs/>
          <w:kern w:val="32"/>
          <w:sz w:val="26"/>
          <w:szCs w:val="26"/>
          <w:lang w:val="lv-LV"/>
        </w:rPr>
        <w:tab/>
      </w:r>
      <w:r>
        <w:rPr>
          <w:bCs/>
          <w:kern w:val="32"/>
          <w:sz w:val="26"/>
          <w:szCs w:val="26"/>
          <w:lang w:val="lv-LV"/>
        </w:rPr>
        <w:tab/>
      </w:r>
      <w:r>
        <w:rPr>
          <w:bCs/>
          <w:kern w:val="32"/>
          <w:sz w:val="26"/>
          <w:szCs w:val="26"/>
          <w:lang w:val="lv-LV"/>
        </w:rPr>
        <w:tab/>
      </w:r>
      <w:proofErr w:type="spellStart"/>
      <w:r>
        <w:rPr>
          <w:bCs/>
          <w:kern w:val="32"/>
          <w:sz w:val="26"/>
          <w:szCs w:val="26"/>
          <w:lang w:val="lv-LV"/>
        </w:rPr>
        <w:t>E.Papule</w:t>
      </w:r>
      <w:proofErr w:type="spellEnd"/>
      <w:r w:rsidR="00D40CDD">
        <w:rPr>
          <w:bCs/>
          <w:kern w:val="32"/>
          <w:sz w:val="26"/>
          <w:szCs w:val="26"/>
          <w:lang w:val="lv-LV"/>
        </w:rPr>
        <w:tab/>
      </w:r>
      <w:r w:rsidR="009C0FB2" w:rsidRPr="005E7884">
        <w:rPr>
          <w:bCs/>
          <w:kern w:val="32"/>
          <w:sz w:val="26"/>
          <w:szCs w:val="26"/>
          <w:lang w:val="lv-LV"/>
        </w:rPr>
        <w:tab/>
      </w:r>
      <w:r w:rsidR="009C0FB2" w:rsidRPr="005E7884">
        <w:rPr>
          <w:bCs/>
          <w:kern w:val="32"/>
          <w:sz w:val="26"/>
          <w:szCs w:val="26"/>
          <w:lang w:val="lv-LV"/>
        </w:rPr>
        <w:tab/>
      </w:r>
      <w:r w:rsidR="009C0FB2" w:rsidRPr="005E7884">
        <w:rPr>
          <w:bCs/>
          <w:kern w:val="32"/>
          <w:sz w:val="26"/>
          <w:szCs w:val="26"/>
          <w:lang w:val="lv-LV"/>
        </w:rPr>
        <w:tab/>
      </w:r>
      <w:r w:rsidR="009C0FB2" w:rsidRPr="005E7884">
        <w:rPr>
          <w:bCs/>
          <w:kern w:val="32"/>
          <w:sz w:val="26"/>
          <w:szCs w:val="26"/>
          <w:lang w:val="lv-LV"/>
        </w:rPr>
        <w:tab/>
      </w:r>
      <w:r w:rsidR="00D75350">
        <w:rPr>
          <w:bCs/>
          <w:kern w:val="32"/>
          <w:sz w:val="26"/>
          <w:szCs w:val="26"/>
          <w:lang w:val="lv-LV"/>
        </w:rPr>
        <w:tab/>
      </w:r>
      <w:r w:rsidR="00D75350">
        <w:rPr>
          <w:bCs/>
          <w:kern w:val="32"/>
          <w:sz w:val="26"/>
          <w:szCs w:val="26"/>
          <w:lang w:val="lv-LV"/>
        </w:rPr>
        <w:tab/>
      </w:r>
      <w:r w:rsidR="00D75350">
        <w:rPr>
          <w:bCs/>
          <w:kern w:val="32"/>
          <w:sz w:val="26"/>
          <w:szCs w:val="26"/>
          <w:lang w:val="lv-LV"/>
        </w:rPr>
        <w:tab/>
      </w:r>
      <w:r w:rsidR="00D75350">
        <w:rPr>
          <w:bCs/>
          <w:kern w:val="32"/>
          <w:sz w:val="26"/>
          <w:szCs w:val="26"/>
          <w:lang w:val="lv-LV"/>
        </w:rPr>
        <w:tab/>
      </w:r>
      <w:r w:rsidR="00D75350">
        <w:rPr>
          <w:bCs/>
          <w:kern w:val="32"/>
          <w:sz w:val="26"/>
          <w:szCs w:val="26"/>
          <w:lang w:val="lv-LV"/>
        </w:rPr>
        <w:tab/>
      </w:r>
      <w:r w:rsidR="00D75350">
        <w:rPr>
          <w:bCs/>
          <w:kern w:val="32"/>
          <w:sz w:val="26"/>
          <w:szCs w:val="26"/>
          <w:lang w:val="lv-LV"/>
        </w:rPr>
        <w:tab/>
      </w:r>
      <w:r w:rsidR="00D75350">
        <w:rPr>
          <w:bCs/>
          <w:kern w:val="32"/>
          <w:sz w:val="26"/>
          <w:szCs w:val="26"/>
          <w:lang w:val="lv-LV"/>
        </w:rPr>
        <w:tab/>
      </w:r>
      <w:r w:rsidR="00D75350">
        <w:rPr>
          <w:bCs/>
          <w:kern w:val="32"/>
          <w:sz w:val="26"/>
          <w:szCs w:val="26"/>
          <w:lang w:val="lv-LV"/>
        </w:rPr>
        <w:tab/>
      </w:r>
      <w:r w:rsidR="00D75350">
        <w:rPr>
          <w:bCs/>
          <w:kern w:val="32"/>
          <w:sz w:val="26"/>
          <w:szCs w:val="26"/>
          <w:lang w:val="lv-LV"/>
        </w:rPr>
        <w:tab/>
      </w:r>
      <w:r w:rsidR="00877425" w:rsidRPr="005E7884">
        <w:rPr>
          <w:sz w:val="26"/>
          <w:szCs w:val="26"/>
          <w:lang w:val="lv-LV"/>
        </w:rPr>
        <w:tab/>
      </w:r>
      <w:r w:rsidR="00877425" w:rsidRPr="005E7884">
        <w:rPr>
          <w:sz w:val="26"/>
          <w:szCs w:val="26"/>
          <w:lang w:val="lv-LV"/>
        </w:rPr>
        <w:tab/>
      </w:r>
      <w:r w:rsidR="00877425" w:rsidRPr="005E7884">
        <w:rPr>
          <w:sz w:val="26"/>
          <w:szCs w:val="26"/>
          <w:lang w:val="lv-LV"/>
        </w:rPr>
        <w:tab/>
      </w:r>
      <w:r w:rsidR="00877425" w:rsidRPr="005E7884">
        <w:rPr>
          <w:sz w:val="26"/>
          <w:szCs w:val="26"/>
          <w:lang w:val="lv-LV"/>
        </w:rPr>
        <w:tab/>
      </w:r>
      <w:r w:rsidR="00877425" w:rsidRPr="005E7884">
        <w:rPr>
          <w:sz w:val="26"/>
          <w:szCs w:val="26"/>
          <w:lang w:val="lv-LV"/>
        </w:rPr>
        <w:tab/>
      </w:r>
    </w:p>
    <w:p w:rsidR="00877425" w:rsidRPr="005E7884" w:rsidRDefault="00877425" w:rsidP="00877425">
      <w:pPr>
        <w:ind w:firstLine="720"/>
        <w:jc w:val="center"/>
        <w:rPr>
          <w:sz w:val="26"/>
          <w:szCs w:val="26"/>
          <w:lang w:val="lv-LV"/>
        </w:rPr>
      </w:pPr>
    </w:p>
    <w:p w:rsidR="00877425" w:rsidRPr="005E7884" w:rsidRDefault="00877425" w:rsidP="00877425">
      <w:pPr>
        <w:ind w:firstLine="720"/>
        <w:jc w:val="center"/>
        <w:rPr>
          <w:sz w:val="26"/>
          <w:szCs w:val="26"/>
          <w:lang w:val="lv-LV"/>
        </w:rPr>
      </w:pPr>
    </w:p>
    <w:p w:rsidR="00877425" w:rsidRPr="00AB625A" w:rsidRDefault="006A07C1" w:rsidP="00877425">
      <w:pPr>
        <w:rPr>
          <w:sz w:val="20"/>
          <w:szCs w:val="20"/>
          <w:lang w:val="lv-LV"/>
        </w:rPr>
      </w:pPr>
      <w:r>
        <w:rPr>
          <w:sz w:val="20"/>
          <w:szCs w:val="20"/>
          <w:lang w:val="lv-LV"/>
        </w:rPr>
        <w:t>09.01.2015.</w:t>
      </w:r>
    </w:p>
    <w:p w:rsidR="00877425" w:rsidRPr="00AB625A" w:rsidRDefault="00C16079" w:rsidP="00877425">
      <w:pPr>
        <w:rPr>
          <w:sz w:val="20"/>
          <w:szCs w:val="20"/>
          <w:lang w:val="lv-LV"/>
        </w:rPr>
      </w:pPr>
      <w:r w:rsidRPr="00AB625A">
        <w:rPr>
          <w:sz w:val="20"/>
          <w:szCs w:val="20"/>
          <w:lang w:val="lv-LV"/>
        </w:rPr>
        <w:t>2</w:t>
      </w:r>
      <w:r w:rsidR="006A07C1">
        <w:rPr>
          <w:sz w:val="20"/>
          <w:szCs w:val="20"/>
          <w:lang w:val="lv-LV"/>
        </w:rPr>
        <w:t>19</w:t>
      </w:r>
      <w:r w:rsidR="00FB4931">
        <w:rPr>
          <w:sz w:val="20"/>
          <w:szCs w:val="20"/>
          <w:lang w:val="lv-LV"/>
        </w:rPr>
        <w:t>8</w:t>
      </w:r>
    </w:p>
    <w:p w:rsidR="00877425" w:rsidRPr="00AB625A" w:rsidRDefault="002724E0" w:rsidP="00877425">
      <w:pPr>
        <w:rPr>
          <w:sz w:val="20"/>
          <w:szCs w:val="20"/>
          <w:lang w:val="lv-LV"/>
        </w:rPr>
      </w:pPr>
      <w:proofErr w:type="spellStart"/>
      <w:r w:rsidRPr="00AB625A">
        <w:rPr>
          <w:sz w:val="20"/>
          <w:szCs w:val="20"/>
          <w:lang w:val="lv-LV"/>
        </w:rPr>
        <w:t>I.Stūre</w:t>
      </w:r>
      <w:proofErr w:type="spellEnd"/>
    </w:p>
    <w:p w:rsidR="00877425" w:rsidRPr="00AB625A" w:rsidRDefault="00877425" w:rsidP="00877425">
      <w:pPr>
        <w:rPr>
          <w:sz w:val="20"/>
          <w:szCs w:val="20"/>
          <w:lang w:val="lv-LV"/>
        </w:rPr>
      </w:pPr>
      <w:r w:rsidRPr="00AB625A">
        <w:rPr>
          <w:sz w:val="20"/>
          <w:szCs w:val="20"/>
          <w:lang w:val="lv-LV"/>
        </w:rPr>
        <w:t>67047</w:t>
      </w:r>
      <w:r w:rsidR="002724E0" w:rsidRPr="00AB625A">
        <w:rPr>
          <w:sz w:val="20"/>
          <w:szCs w:val="20"/>
          <w:lang w:val="lv-LV"/>
        </w:rPr>
        <w:t>899</w:t>
      </w:r>
    </w:p>
    <w:p w:rsidR="00877425" w:rsidRPr="00AB625A" w:rsidRDefault="00DB31EA" w:rsidP="00877425">
      <w:pPr>
        <w:rPr>
          <w:rStyle w:val="Hyperlink"/>
          <w:sz w:val="20"/>
          <w:szCs w:val="20"/>
          <w:lang w:val="lv-LV"/>
        </w:rPr>
      </w:pPr>
      <w:hyperlink r:id="rId8" w:history="1">
        <w:r w:rsidR="002724E0" w:rsidRPr="00AB625A">
          <w:rPr>
            <w:rStyle w:val="Hyperlink"/>
            <w:sz w:val="20"/>
            <w:szCs w:val="20"/>
            <w:lang w:val="lv-LV"/>
          </w:rPr>
          <w:t>Inese.Sture@izm.gov.lv</w:t>
        </w:r>
      </w:hyperlink>
    </w:p>
    <w:p w:rsidR="00610501" w:rsidRPr="00271167" w:rsidRDefault="00610501" w:rsidP="00877425">
      <w:pPr>
        <w:rPr>
          <w:sz w:val="26"/>
          <w:szCs w:val="26"/>
          <w:lang w:val="lv-LV"/>
        </w:rPr>
      </w:pPr>
    </w:p>
    <w:p w:rsidR="002325F5" w:rsidRPr="00271167" w:rsidRDefault="002325F5" w:rsidP="002325F5">
      <w:pPr>
        <w:pStyle w:val="ListParagraph"/>
        <w:ind w:left="360"/>
        <w:jc w:val="both"/>
        <w:rPr>
          <w:sz w:val="26"/>
          <w:szCs w:val="26"/>
          <w:lang w:val="lv-LV"/>
        </w:rPr>
      </w:pPr>
    </w:p>
    <w:p w:rsidR="004D5073" w:rsidRPr="00271167" w:rsidRDefault="004D5073" w:rsidP="002325F5">
      <w:pPr>
        <w:pStyle w:val="ListParagraph"/>
        <w:ind w:left="360"/>
        <w:jc w:val="both"/>
        <w:rPr>
          <w:sz w:val="26"/>
          <w:szCs w:val="26"/>
          <w:lang w:val="lv-LV"/>
        </w:rPr>
      </w:pPr>
    </w:p>
    <w:p w:rsidR="004D5073" w:rsidRPr="00271167" w:rsidRDefault="004D5073" w:rsidP="002325F5">
      <w:pPr>
        <w:pStyle w:val="ListParagraph"/>
        <w:ind w:left="360"/>
        <w:jc w:val="both"/>
        <w:rPr>
          <w:sz w:val="26"/>
          <w:szCs w:val="26"/>
          <w:lang w:val="lv-LV"/>
        </w:rPr>
      </w:pPr>
    </w:p>
    <w:sectPr w:rsidR="004D5073" w:rsidRPr="00271167" w:rsidSect="0087742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EA" w:rsidRDefault="00DB31EA" w:rsidP="00877425">
      <w:r>
        <w:separator/>
      </w:r>
    </w:p>
  </w:endnote>
  <w:endnote w:type="continuationSeparator" w:id="0">
    <w:p w:rsidR="00DB31EA" w:rsidRDefault="00DB31EA" w:rsidP="0087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0F9" w:rsidRPr="00986370" w:rsidRDefault="006A07C1" w:rsidP="00C970F9">
    <w:pPr>
      <w:jc w:val="both"/>
      <w:rPr>
        <w:i/>
        <w:sz w:val="20"/>
        <w:szCs w:val="20"/>
        <w:lang w:val="en-US"/>
      </w:rPr>
    </w:pPr>
    <w:r>
      <w:rPr>
        <w:sz w:val="20"/>
        <w:szCs w:val="20"/>
        <w:lang w:val="en-US"/>
      </w:rPr>
      <w:t>IZMrik_090115</w:t>
    </w:r>
    <w:r w:rsidR="00C970F9" w:rsidRPr="00385E0D">
      <w:rPr>
        <w:sz w:val="20"/>
        <w:szCs w:val="20"/>
        <w:lang w:val="en-US"/>
      </w:rPr>
      <w:t>_EKA_TZSV</w:t>
    </w:r>
    <w:r w:rsidR="00C970F9" w:rsidRPr="00986370">
      <w:rPr>
        <w:sz w:val="20"/>
        <w:szCs w:val="20"/>
        <w:lang w:val="en-US"/>
      </w:rPr>
      <w:t xml:space="preserve">; </w:t>
    </w:r>
    <w:r w:rsidR="00C970F9">
      <w:rPr>
        <w:sz w:val="20"/>
        <w:szCs w:val="20"/>
        <w:lang w:val="en-US"/>
      </w:rPr>
      <w:t xml:space="preserve">MK </w:t>
    </w:r>
    <w:proofErr w:type="spellStart"/>
    <w:r w:rsidR="00C970F9">
      <w:rPr>
        <w:sz w:val="20"/>
        <w:szCs w:val="20"/>
        <w:lang w:val="en-US"/>
      </w:rPr>
      <w:t>rīkojuma</w:t>
    </w:r>
    <w:proofErr w:type="spellEnd"/>
    <w:r w:rsidR="00C970F9">
      <w:rPr>
        <w:sz w:val="20"/>
        <w:szCs w:val="20"/>
        <w:lang w:val="en-US"/>
      </w:rPr>
      <w:t xml:space="preserve"> </w:t>
    </w:r>
    <w:proofErr w:type="spellStart"/>
    <w:r w:rsidR="00C970F9">
      <w:rPr>
        <w:sz w:val="20"/>
        <w:szCs w:val="20"/>
        <w:lang w:val="en-US"/>
      </w:rPr>
      <w:t>projekts</w:t>
    </w:r>
    <w:proofErr w:type="spellEnd"/>
    <w:r w:rsidR="00C970F9">
      <w:rPr>
        <w:sz w:val="20"/>
        <w:szCs w:val="20"/>
        <w:lang w:val="en-US"/>
      </w:rPr>
      <w:t xml:space="preserve"> “</w:t>
    </w:r>
    <w:r w:rsidR="00C970F9" w:rsidRPr="00986370">
      <w:rPr>
        <w:sz w:val="20"/>
        <w:szCs w:val="20"/>
        <w:lang w:val="en-US"/>
      </w:rPr>
      <w:t>Par</w:t>
    </w:r>
    <w:r w:rsidR="00C970F9">
      <w:rPr>
        <w:sz w:val="20"/>
        <w:szCs w:val="20"/>
        <w:lang w:val="en-US"/>
      </w:rPr>
      <w:t xml:space="preserve"> </w:t>
    </w:r>
    <w:proofErr w:type="spellStart"/>
    <w:r w:rsidR="00C970F9">
      <w:rPr>
        <w:sz w:val="20"/>
        <w:szCs w:val="20"/>
        <w:lang w:val="en-US"/>
      </w:rPr>
      <w:t>atteikumu</w:t>
    </w:r>
    <w:proofErr w:type="spellEnd"/>
    <w:r w:rsidR="00C970F9">
      <w:rPr>
        <w:sz w:val="20"/>
        <w:szCs w:val="20"/>
        <w:lang w:val="en-US"/>
      </w:rPr>
      <w:t xml:space="preserve"> </w:t>
    </w:r>
    <w:proofErr w:type="spellStart"/>
    <w:r w:rsidR="00C970F9">
      <w:rPr>
        <w:sz w:val="20"/>
        <w:szCs w:val="20"/>
        <w:lang w:val="en-US"/>
      </w:rPr>
      <w:t>atvērt</w:t>
    </w:r>
    <w:proofErr w:type="spellEnd"/>
    <w:r w:rsidR="00C970F9">
      <w:rPr>
        <w:sz w:val="20"/>
        <w:szCs w:val="20"/>
        <w:lang w:val="en-US"/>
      </w:rPr>
      <w:t xml:space="preserve"> </w:t>
    </w:r>
    <w:proofErr w:type="spellStart"/>
    <w:r w:rsidR="00C970F9" w:rsidRPr="00986370">
      <w:rPr>
        <w:sz w:val="20"/>
        <w:szCs w:val="20"/>
        <w:lang w:val="en-US"/>
      </w:rPr>
      <w:t>studiju</w:t>
    </w:r>
    <w:proofErr w:type="spellEnd"/>
    <w:r w:rsidR="00C970F9" w:rsidRPr="00986370">
      <w:rPr>
        <w:sz w:val="20"/>
        <w:szCs w:val="20"/>
        <w:lang w:val="en-US"/>
      </w:rPr>
      <w:t xml:space="preserve"> </w:t>
    </w:r>
    <w:proofErr w:type="spellStart"/>
    <w:r w:rsidR="00C970F9" w:rsidRPr="00986370">
      <w:rPr>
        <w:sz w:val="20"/>
        <w:szCs w:val="20"/>
        <w:lang w:val="en-US"/>
      </w:rPr>
      <w:t>virzien</w:t>
    </w:r>
    <w:r w:rsidR="00C970F9">
      <w:rPr>
        <w:sz w:val="20"/>
        <w:szCs w:val="20"/>
        <w:lang w:val="en-US"/>
      </w:rPr>
      <w:t>u</w:t>
    </w:r>
    <w:proofErr w:type="spellEnd"/>
    <w:r w:rsidR="00C970F9">
      <w:rPr>
        <w:sz w:val="20"/>
        <w:szCs w:val="20"/>
        <w:lang w:val="en-US"/>
      </w:rPr>
      <w:t xml:space="preserve"> </w:t>
    </w:r>
    <w:r w:rsidR="00D4090A">
      <w:rPr>
        <w:sz w:val="20"/>
        <w:szCs w:val="20"/>
        <w:lang w:val="en-US"/>
      </w:rPr>
      <w:t>“</w:t>
    </w:r>
    <w:proofErr w:type="spellStart"/>
    <w:r w:rsidR="00D4090A">
      <w:rPr>
        <w:sz w:val="20"/>
        <w:szCs w:val="20"/>
        <w:lang w:val="en-US"/>
      </w:rPr>
      <w:t>Tiesību</w:t>
    </w:r>
    <w:proofErr w:type="spellEnd"/>
    <w:r w:rsidR="00D4090A">
      <w:rPr>
        <w:sz w:val="20"/>
        <w:szCs w:val="20"/>
        <w:lang w:val="en-US"/>
      </w:rPr>
      <w:t xml:space="preserve"> </w:t>
    </w:r>
    <w:proofErr w:type="spellStart"/>
    <w:r w:rsidR="00D4090A">
      <w:rPr>
        <w:sz w:val="20"/>
        <w:szCs w:val="20"/>
        <w:lang w:val="en-US"/>
      </w:rPr>
      <w:t>zinātne</w:t>
    </w:r>
    <w:proofErr w:type="spellEnd"/>
    <w:r w:rsidR="00D4090A">
      <w:rPr>
        <w:sz w:val="20"/>
        <w:szCs w:val="20"/>
        <w:lang w:val="en-US"/>
      </w:rPr>
      <w:t xml:space="preserve">” </w:t>
    </w:r>
    <w:proofErr w:type="spellStart"/>
    <w:r w:rsidR="00D4090A">
      <w:rPr>
        <w:sz w:val="20"/>
        <w:szCs w:val="20"/>
        <w:lang w:val="en-US"/>
      </w:rPr>
      <w:t>sabiedrībā</w:t>
    </w:r>
    <w:proofErr w:type="spellEnd"/>
    <w:r w:rsidR="00D4090A">
      <w:rPr>
        <w:sz w:val="20"/>
        <w:szCs w:val="20"/>
        <w:lang w:val="en-US"/>
      </w:rPr>
      <w:t xml:space="preserve"> </w:t>
    </w:r>
    <w:proofErr w:type="spellStart"/>
    <w:r w:rsidR="00D4090A">
      <w:rPr>
        <w:sz w:val="20"/>
        <w:szCs w:val="20"/>
        <w:lang w:val="en-US"/>
      </w:rPr>
      <w:t>ar</w:t>
    </w:r>
    <w:proofErr w:type="spellEnd"/>
    <w:r w:rsidR="00D4090A">
      <w:rPr>
        <w:sz w:val="20"/>
        <w:szCs w:val="20"/>
        <w:lang w:val="en-US"/>
      </w:rPr>
      <w:t xml:space="preserve"> </w:t>
    </w:r>
    <w:proofErr w:type="spellStart"/>
    <w:r w:rsidR="00D4090A">
      <w:rPr>
        <w:sz w:val="20"/>
        <w:szCs w:val="20"/>
        <w:lang w:val="en-US"/>
      </w:rPr>
      <w:t>ierobežotu</w:t>
    </w:r>
    <w:proofErr w:type="spellEnd"/>
    <w:r w:rsidR="00D4090A">
      <w:rPr>
        <w:sz w:val="20"/>
        <w:szCs w:val="20"/>
        <w:lang w:val="en-US"/>
      </w:rPr>
      <w:t xml:space="preserve"> </w:t>
    </w:r>
    <w:proofErr w:type="spellStart"/>
    <w:r w:rsidR="00D4090A">
      <w:rPr>
        <w:sz w:val="20"/>
        <w:szCs w:val="20"/>
        <w:lang w:val="en-US"/>
      </w:rPr>
      <w:t>atbildību</w:t>
    </w:r>
    <w:proofErr w:type="spellEnd"/>
    <w:r w:rsidR="00C970F9" w:rsidRPr="00986370">
      <w:rPr>
        <w:sz w:val="20"/>
        <w:szCs w:val="20"/>
        <w:lang w:val="en-US"/>
      </w:rPr>
      <w:t xml:space="preserve"> </w:t>
    </w:r>
    <w:r w:rsidR="00C970F9" w:rsidRPr="008D3B3E">
      <w:rPr>
        <w:sz w:val="20"/>
        <w:szCs w:val="20"/>
        <w:lang w:val="en-US"/>
      </w:rPr>
      <w:t>„</w:t>
    </w:r>
    <w:proofErr w:type="spellStart"/>
    <w:r w:rsidR="00C970F9" w:rsidRPr="00AB625A">
      <w:rPr>
        <w:sz w:val="20"/>
        <w:szCs w:val="20"/>
        <w:lang w:val="en-US"/>
      </w:rPr>
      <w:t>Ekonomikas</w:t>
    </w:r>
    <w:proofErr w:type="spellEnd"/>
    <w:r w:rsidR="00C970F9" w:rsidRPr="00AB625A">
      <w:rPr>
        <w:sz w:val="20"/>
        <w:szCs w:val="20"/>
        <w:lang w:val="en-US"/>
      </w:rPr>
      <w:t xml:space="preserve"> un </w:t>
    </w:r>
    <w:proofErr w:type="spellStart"/>
    <w:r w:rsidR="00C970F9" w:rsidRPr="00AB625A">
      <w:rPr>
        <w:sz w:val="20"/>
        <w:szCs w:val="20"/>
        <w:lang w:val="en-US"/>
      </w:rPr>
      <w:t>kultūras</w:t>
    </w:r>
    <w:proofErr w:type="spellEnd"/>
    <w:r w:rsidR="00C970F9" w:rsidRPr="00AB625A">
      <w:rPr>
        <w:sz w:val="20"/>
        <w:szCs w:val="20"/>
        <w:lang w:val="en-US"/>
      </w:rPr>
      <w:t xml:space="preserve"> </w:t>
    </w:r>
    <w:proofErr w:type="spellStart"/>
    <w:r w:rsidR="00C970F9" w:rsidRPr="00AB625A">
      <w:rPr>
        <w:sz w:val="20"/>
        <w:szCs w:val="20"/>
        <w:lang w:val="en-US"/>
      </w:rPr>
      <w:t>augstskola</w:t>
    </w:r>
    <w:proofErr w:type="spellEnd"/>
    <w:r w:rsidR="00C970F9" w:rsidRPr="00AB625A">
      <w:rPr>
        <w:sz w:val="20"/>
        <w:szCs w:val="20"/>
        <w:lang w:val="en-US"/>
      </w:rPr>
      <w:t>”</w:t>
    </w:r>
  </w:p>
  <w:p w:rsidR="00587CF0" w:rsidRPr="00385E0D" w:rsidRDefault="006A07C1" w:rsidP="006A07C1">
    <w:pPr>
      <w:pStyle w:val="Footer"/>
      <w:tabs>
        <w:tab w:val="clear" w:pos="4153"/>
        <w:tab w:val="clear" w:pos="8306"/>
        <w:tab w:val="left" w:pos="159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35F" w:rsidRPr="00986370" w:rsidRDefault="006A07C1" w:rsidP="00BD735F">
    <w:pPr>
      <w:jc w:val="both"/>
      <w:rPr>
        <w:i/>
        <w:sz w:val="20"/>
        <w:szCs w:val="20"/>
        <w:lang w:val="en-US"/>
      </w:rPr>
    </w:pPr>
    <w:r>
      <w:rPr>
        <w:sz w:val="20"/>
        <w:szCs w:val="20"/>
        <w:lang w:val="en-US"/>
      </w:rPr>
      <w:t>IZMrik_090115</w:t>
    </w:r>
    <w:r w:rsidR="00385E0D" w:rsidRPr="00385E0D">
      <w:rPr>
        <w:sz w:val="20"/>
        <w:szCs w:val="20"/>
        <w:lang w:val="en-US"/>
      </w:rPr>
      <w:t>_EKA_TZSV</w:t>
    </w:r>
    <w:r w:rsidR="00BD735F" w:rsidRPr="00986370">
      <w:rPr>
        <w:sz w:val="20"/>
        <w:szCs w:val="20"/>
        <w:lang w:val="en-US"/>
      </w:rPr>
      <w:t xml:space="preserve">; </w:t>
    </w:r>
    <w:r w:rsidR="00385E0D">
      <w:rPr>
        <w:sz w:val="20"/>
        <w:szCs w:val="20"/>
        <w:lang w:val="en-US"/>
      </w:rPr>
      <w:t xml:space="preserve">MK </w:t>
    </w:r>
    <w:proofErr w:type="spellStart"/>
    <w:r w:rsidR="00385E0D">
      <w:rPr>
        <w:sz w:val="20"/>
        <w:szCs w:val="20"/>
        <w:lang w:val="en-US"/>
      </w:rPr>
      <w:t>rīkojuma</w:t>
    </w:r>
    <w:proofErr w:type="spellEnd"/>
    <w:r w:rsidR="00385E0D">
      <w:rPr>
        <w:sz w:val="20"/>
        <w:szCs w:val="20"/>
        <w:lang w:val="en-US"/>
      </w:rPr>
      <w:t xml:space="preserve"> </w:t>
    </w:r>
    <w:proofErr w:type="spellStart"/>
    <w:r w:rsidR="00385E0D">
      <w:rPr>
        <w:sz w:val="20"/>
        <w:szCs w:val="20"/>
        <w:lang w:val="en-US"/>
      </w:rPr>
      <w:t>projekts</w:t>
    </w:r>
    <w:proofErr w:type="spellEnd"/>
    <w:r w:rsidR="00385E0D">
      <w:rPr>
        <w:sz w:val="20"/>
        <w:szCs w:val="20"/>
        <w:lang w:val="en-US"/>
      </w:rPr>
      <w:t xml:space="preserve"> </w:t>
    </w:r>
    <w:r w:rsidR="00C970F9">
      <w:rPr>
        <w:sz w:val="20"/>
        <w:szCs w:val="20"/>
        <w:lang w:val="en-US"/>
      </w:rPr>
      <w:t>“</w:t>
    </w:r>
    <w:r w:rsidR="00BD735F" w:rsidRPr="00986370">
      <w:rPr>
        <w:sz w:val="20"/>
        <w:szCs w:val="20"/>
        <w:lang w:val="en-US"/>
      </w:rPr>
      <w:t>Par</w:t>
    </w:r>
    <w:r w:rsidR="00BD735F">
      <w:rPr>
        <w:sz w:val="20"/>
        <w:szCs w:val="20"/>
        <w:lang w:val="en-US"/>
      </w:rPr>
      <w:t xml:space="preserve"> </w:t>
    </w:r>
    <w:proofErr w:type="spellStart"/>
    <w:r w:rsidR="00BD735F">
      <w:rPr>
        <w:sz w:val="20"/>
        <w:szCs w:val="20"/>
        <w:lang w:val="en-US"/>
      </w:rPr>
      <w:t>atteikumu</w:t>
    </w:r>
    <w:proofErr w:type="spellEnd"/>
    <w:r w:rsidR="00BD735F">
      <w:rPr>
        <w:sz w:val="20"/>
        <w:szCs w:val="20"/>
        <w:lang w:val="en-US"/>
      </w:rPr>
      <w:t xml:space="preserve"> </w:t>
    </w:r>
    <w:proofErr w:type="spellStart"/>
    <w:r w:rsidR="00BD735F">
      <w:rPr>
        <w:sz w:val="20"/>
        <w:szCs w:val="20"/>
        <w:lang w:val="en-US"/>
      </w:rPr>
      <w:t>atvērt</w:t>
    </w:r>
    <w:proofErr w:type="spellEnd"/>
    <w:r w:rsidR="00BD735F">
      <w:rPr>
        <w:sz w:val="20"/>
        <w:szCs w:val="20"/>
        <w:lang w:val="en-US"/>
      </w:rPr>
      <w:t xml:space="preserve"> </w:t>
    </w:r>
    <w:proofErr w:type="spellStart"/>
    <w:r w:rsidR="00BD735F" w:rsidRPr="00986370">
      <w:rPr>
        <w:sz w:val="20"/>
        <w:szCs w:val="20"/>
        <w:lang w:val="en-US"/>
      </w:rPr>
      <w:t>studiju</w:t>
    </w:r>
    <w:proofErr w:type="spellEnd"/>
    <w:r w:rsidR="00BD735F" w:rsidRPr="00986370">
      <w:rPr>
        <w:sz w:val="20"/>
        <w:szCs w:val="20"/>
        <w:lang w:val="en-US"/>
      </w:rPr>
      <w:t xml:space="preserve"> </w:t>
    </w:r>
    <w:proofErr w:type="spellStart"/>
    <w:r w:rsidR="00BD735F" w:rsidRPr="00986370">
      <w:rPr>
        <w:sz w:val="20"/>
        <w:szCs w:val="20"/>
        <w:lang w:val="en-US"/>
      </w:rPr>
      <w:t>virzien</w:t>
    </w:r>
    <w:r w:rsidR="00BD735F">
      <w:rPr>
        <w:sz w:val="20"/>
        <w:szCs w:val="20"/>
        <w:lang w:val="en-US"/>
      </w:rPr>
      <w:t>u</w:t>
    </w:r>
    <w:proofErr w:type="spellEnd"/>
    <w:r w:rsidR="00BD735F">
      <w:rPr>
        <w:sz w:val="20"/>
        <w:szCs w:val="20"/>
        <w:lang w:val="en-US"/>
      </w:rPr>
      <w:t xml:space="preserve"> </w:t>
    </w:r>
    <w:r w:rsidR="00D4090A">
      <w:rPr>
        <w:sz w:val="20"/>
        <w:szCs w:val="20"/>
        <w:lang w:val="en-US"/>
      </w:rPr>
      <w:t>“</w:t>
    </w:r>
    <w:proofErr w:type="spellStart"/>
    <w:r w:rsidR="00D4090A">
      <w:rPr>
        <w:sz w:val="20"/>
        <w:szCs w:val="20"/>
        <w:lang w:val="en-US"/>
      </w:rPr>
      <w:t>Tiesību</w:t>
    </w:r>
    <w:proofErr w:type="spellEnd"/>
    <w:r w:rsidR="00D4090A">
      <w:rPr>
        <w:sz w:val="20"/>
        <w:szCs w:val="20"/>
        <w:lang w:val="en-US"/>
      </w:rPr>
      <w:t xml:space="preserve"> </w:t>
    </w:r>
    <w:proofErr w:type="spellStart"/>
    <w:r w:rsidR="00D4090A">
      <w:rPr>
        <w:sz w:val="20"/>
        <w:szCs w:val="20"/>
        <w:lang w:val="en-US"/>
      </w:rPr>
      <w:t>zinātne</w:t>
    </w:r>
    <w:proofErr w:type="spellEnd"/>
    <w:r w:rsidR="00D4090A">
      <w:rPr>
        <w:sz w:val="20"/>
        <w:szCs w:val="20"/>
        <w:lang w:val="en-US"/>
      </w:rPr>
      <w:t xml:space="preserve">” </w:t>
    </w:r>
    <w:proofErr w:type="spellStart"/>
    <w:r w:rsidR="00D4090A">
      <w:rPr>
        <w:sz w:val="20"/>
        <w:szCs w:val="20"/>
        <w:lang w:val="en-US"/>
      </w:rPr>
      <w:t>sabiedrībā</w:t>
    </w:r>
    <w:proofErr w:type="spellEnd"/>
    <w:r w:rsidR="00D4090A">
      <w:rPr>
        <w:sz w:val="20"/>
        <w:szCs w:val="20"/>
        <w:lang w:val="en-US"/>
      </w:rPr>
      <w:t xml:space="preserve"> </w:t>
    </w:r>
    <w:proofErr w:type="spellStart"/>
    <w:r w:rsidR="00D4090A">
      <w:rPr>
        <w:sz w:val="20"/>
        <w:szCs w:val="20"/>
        <w:lang w:val="en-US"/>
      </w:rPr>
      <w:t>ar</w:t>
    </w:r>
    <w:proofErr w:type="spellEnd"/>
    <w:r w:rsidR="00D4090A">
      <w:rPr>
        <w:sz w:val="20"/>
        <w:szCs w:val="20"/>
        <w:lang w:val="en-US"/>
      </w:rPr>
      <w:t xml:space="preserve"> </w:t>
    </w:r>
    <w:proofErr w:type="spellStart"/>
    <w:r w:rsidR="00D4090A">
      <w:rPr>
        <w:sz w:val="20"/>
        <w:szCs w:val="20"/>
        <w:lang w:val="en-US"/>
      </w:rPr>
      <w:t>ierobežotu</w:t>
    </w:r>
    <w:proofErr w:type="spellEnd"/>
    <w:r w:rsidR="00D4090A">
      <w:rPr>
        <w:sz w:val="20"/>
        <w:szCs w:val="20"/>
        <w:lang w:val="en-US"/>
      </w:rPr>
      <w:t xml:space="preserve"> </w:t>
    </w:r>
    <w:proofErr w:type="spellStart"/>
    <w:r w:rsidR="00D4090A">
      <w:rPr>
        <w:sz w:val="20"/>
        <w:szCs w:val="20"/>
        <w:lang w:val="en-US"/>
      </w:rPr>
      <w:t>atbildību</w:t>
    </w:r>
    <w:proofErr w:type="spellEnd"/>
    <w:r w:rsidR="00BD735F" w:rsidRPr="00986370">
      <w:rPr>
        <w:sz w:val="20"/>
        <w:szCs w:val="20"/>
        <w:lang w:val="en-US"/>
      </w:rPr>
      <w:t xml:space="preserve"> </w:t>
    </w:r>
    <w:r w:rsidR="00BD735F" w:rsidRPr="008D3B3E">
      <w:rPr>
        <w:sz w:val="20"/>
        <w:szCs w:val="20"/>
        <w:lang w:val="en-US"/>
      </w:rPr>
      <w:t>„</w:t>
    </w:r>
    <w:proofErr w:type="spellStart"/>
    <w:r w:rsidR="00BD735F" w:rsidRPr="00AB625A">
      <w:rPr>
        <w:sz w:val="20"/>
        <w:szCs w:val="20"/>
        <w:lang w:val="en-US"/>
      </w:rPr>
      <w:t>Ekonomikas</w:t>
    </w:r>
    <w:proofErr w:type="spellEnd"/>
    <w:r w:rsidR="00BD735F" w:rsidRPr="00AB625A">
      <w:rPr>
        <w:sz w:val="20"/>
        <w:szCs w:val="20"/>
        <w:lang w:val="en-US"/>
      </w:rPr>
      <w:t xml:space="preserve"> un </w:t>
    </w:r>
    <w:proofErr w:type="spellStart"/>
    <w:r w:rsidR="00BD735F" w:rsidRPr="00AB625A">
      <w:rPr>
        <w:sz w:val="20"/>
        <w:szCs w:val="20"/>
        <w:lang w:val="en-US"/>
      </w:rPr>
      <w:t>kultūras</w:t>
    </w:r>
    <w:proofErr w:type="spellEnd"/>
    <w:r w:rsidR="00BD735F" w:rsidRPr="00AB625A">
      <w:rPr>
        <w:sz w:val="20"/>
        <w:szCs w:val="20"/>
        <w:lang w:val="en-US"/>
      </w:rPr>
      <w:t xml:space="preserve"> </w:t>
    </w:r>
    <w:proofErr w:type="spellStart"/>
    <w:r w:rsidR="00BD735F" w:rsidRPr="00AB625A">
      <w:rPr>
        <w:sz w:val="20"/>
        <w:szCs w:val="20"/>
        <w:lang w:val="en-US"/>
      </w:rPr>
      <w:t>augstskola</w:t>
    </w:r>
    <w:proofErr w:type="spellEnd"/>
    <w:r w:rsidR="00BD735F" w:rsidRPr="00AB625A">
      <w:rPr>
        <w:sz w:val="20"/>
        <w:szCs w:val="20"/>
        <w:lang w:val="en-US"/>
      </w:rPr>
      <w:t>”</w:t>
    </w:r>
  </w:p>
  <w:p w:rsidR="004F2904" w:rsidRDefault="004F2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EA" w:rsidRDefault="00DB31EA" w:rsidP="00877425">
      <w:r>
        <w:separator/>
      </w:r>
    </w:p>
  </w:footnote>
  <w:footnote w:type="continuationSeparator" w:id="0">
    <w:p w:rsidR="00DB31EA" w:rsidRDefault="00DB31EA" w:rsidP="00877425">
      <w:r>
        <w:continuationSeparator/>
      </w:r>
    </w:p>
  </w:footnote>
  <w:footnote w:id="1">
    <w:p w:rsidR="006C4594" w:rsidRPr="00DE553A" w:rsidRDefault="006C4594" w:rsidP="006C4594">
      <w:pPr>
        <w:pStyle w:val="FootnoteText"/>
        <w:rPr>
          <w:sz w:val="22"/>
          <w:szCs w:val="22"/>
        </w:rPr>
      </w:pPr>
      <w:r w:rsidRPr="00DE553A">
        <w:rPr>
          <w:rStyle w:val="FootnoteReference"/>
          <w:sz w:val="22"/>
          <w:szCs w:val="22"/>
        </w:rPr>
        <w:footnoteRef/>
      </w:r>
      <w:r w:rsidRPr="00DE553A">
        <w:rPr>
          <w:sz w:val="22"/>
          <w:szCs w:val="22"/>
        </w:rPr>
        <w:t xml:space="preserve"> </w:t>
      </w:r>
      <w:r w:rsidRPr="00DE553A">
        <w:rPr>
          <w:color w:val="000000"/>
          <w:sz w:val="22"/>
          <w:szCs w:val="22"/>
        </w:rPr>
        <w:t>Latvijas ilgtspējīgas attīstības stratēģija līdz 2030.gadam, (138)</w:t>
      </w:r>
    </w:p>
  </w:footnote>
  <w:footnote w:id="2">
    <w:p w:rsidR="006C4594" w:rsidRPr="00DE553A" w:rsidRDefault="006C4594" w:rsidP="006C4594">
      <w:pPr>
        <w:pStyle w:val="FootnoteText"/>
        <w:rPr>
          <w:sz w:val="22"/>
          <w:szCs w:val="22"/>
        </w:rPr>
      </w:pPr>
      <w:r w:rsidRPr="00D86FE3">
        <w:rPr>
          <w:rStyle w:val="FootnoteReference"/>
          <w:b/>
        </w:rPr>
        <w:footnoteRef/>
      </w:r>
      <w:r w:rsidRPr="00D86FE3">
        <w:rPr>
          <w:b/>
        </w:rPr>
        <w:t xml:space="preserve"> </w:t>
      </w:r>
      <w:r w:rsidRPr="00D86FE3">
        <w:rPr>
          <w:rStyle w:val="Strong"/>
          <w:rFonts w:ascii="Open Sans" w:hAnsi="Open Sans"/>
          <w:b w:val="0"/>
          <w:color w:val="000000"/>
          <w:sz w:val="22"/>
          <w:szCs w:val="22"/>
        </w:rPr>
        <w:t>Informatīvais ziņojums par darba tirgus vidēja un ilgtermiņa prognozēm</w:t>
      </w:r>
      <w:r w:rsidRPr="00D86FE3">
        <w:rPr>
          <w:rFonts w:ascii="Open Sans" w:hAnsi="Open Sans"/>
          <w:b/>
          <w:bCs/>
          <w:color w:val="000000"/>
          <w:sz w:val="22"/>
          <w:szCs w:val="22"/>
        </w:rPr>
        <w:br/>
      </w:r>
      <w:r w:rsidRPr="00D86FE3">
        <w:rPr>
          <w:rStyle w:val="Strong"/>
          <w:rFonts w:ascii="Open Sans" w:hAnsi="Open Sans"/>
          <w:b w:val="0"/>
          <w:color w:val="000000"/>
          <w:sz w:val="22"/>
          <w:szCs w:val="22"/>
        </w:rPr>
        <w:t>2014.gada jūnijs</w:t>
      </w:r>
      <w:r w:rsidRPr="00D86FE3">
        <w:rPr>
          <w:rStyle w:val="Strong"/>
          <w:rFonts w:ascii="Open Sans" w:eastAsia="Calibri" w:hAnsi="Open Sans"/>
          <w:b w:val="0"/>
          <w:color w:val="000000"/>
          <w:sz w:val="22"/>
          <w:szCs w:val="22"/>
        </w:rPr>
        <w:t>.</w:t>
      </w:r>
      <w:r w:rsidRPr="00DE553A">
        <w:rPr>
          <w:sz w:val="22"/>
          <w:szCs w:val="22"/>
        </w:rPr>
        <w:t xml:space="preserve"> Pieejams: https://em.gov.lv/files/tautsaimniecibas_attistiba/EMZino_150814.pdf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135686"/>
      <w:docPartObj>
        <w:docPartGallery w:val="Page Numbers (Top of Page)"/>
        <w:docPartUnique/>
      </w:docPartObj>
    </w:sdtPr>
    <w:sdtEndPr>
      <w:rPr>
        <w:noProof/>
      </w:rPr>
    </w:sdtEndPr>
    <w:sdtContent>
      <w:p w:rsidR="00587CF0" w:rsidRDefault="0000598F">
        <w:pPr>
          <w:pStyle w:val="Header"/>
          <w:jc w:val="center"/>
        </w:pPr>
        <w:r>
          <w:fldChar w:fldCharType="begin"/>
        </w:r>
        <w:r w:rsidR="00BD3436">
          <w:instrText xml:space="preserve"> PAGE   \* MERGEFORMAT </w:instrText>
        </w:r>
        <w:r>
          <w:fldChar w:fldCharType="separate"/>
        </w:r>
        <w:r w:rsidR="00A87382">
          <w:rPr>
            <w:noProof/>
          </w:rPr>
          <w:t>5</w:t>
        </w:r>
        <w:r>
          <w:rPr>
            <w:noProof/>
          </w:rPr>
          <w:fldChar w:fldCharType="end"/>
        </w:r>
      </w:p>
    </w:sdtContent>
  </w:sdt>
  <w:p w:rsidR="00587CF0" w:rsidRDefault="00587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A6F6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69B2F7E"/>
    <w:multiLevelType w:val="hybridMultilevel"/>
    <w:tmpl w:val="4D345B8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6E90DD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33"/>
    <w:rsid w:val="00001719"/>
    <w:rsid w:val="00002F1F"/>
    <w:rsid w:val="0000598F"/>
    <w:rsid w:val="00023A8C"/>
    <w:rsid w:val="0003313F"/>
    <w:rsid w:val="00035F63"/>
    <w:rsid w:val="00036931"/>
    <w:rsid w:val="00046703"/>
    <w:rsid w:val="0004674C"/>
    <w:rsid w:val="00051440"/>
    <w:rsid w:val="000524EA"/>
    <w:rsid w:val="0008487E"/>
    <w:rsid w:val="000A6907"/>
    <w:rsid w:val="000B407B"/>
    <w:rsid w:val="000B65A4"/>
    <w:rsid w:val="000C388C"/>
    <w:rsid w:val="000C61FA"/>
    <w:rsid w:val="000D2731"/>
    <w:rsid w:val="000D51B9"/>
    <w:rsid w:val="000F0A14"/>
    <w:rsid w:val="000F4894"/>
    <w:rsid w:val="000F5BD7"/>
    <w:rsid w:val="000F7027"/>
    <w:rsid w:val="00104217"/>
    <w:rsid w:val="00124B64"/>
    <w:rsid w:val="001317E0"/>
    <w:rsid w:val="00135C06"/>
    <w:rsid w:val="00157B93"/>
    <w:rsid w:val="00184595"/>
    <w:rsid w:val="0018722D"/>
    <w:rsid w:val="001B23CE"/>
    <w:rsid w:val="001B57E0"/>
    <w:rsid w:val="001C38D1"/>
    <w:rsid w:val="001D7CD6"/>
    <w:rsid w:val="001E40AC"/>
    <w:rsid w:val="001E6467"/>
    <w:rsid w:val="001F02F1"/>
    <w:rsid w:val="002014CB"/>
    <w:rsid w:val="00202BBB"/>
    <w:rsid w:val="002038CF"/>
    <w:rsid w:val="00205B43"/>
    <w:rsid w:val="00213AD8"/>
    <w:rsid w:val="002151F7"/>
    <w:rsid w:val="00217864"/>
    <w:rsid w:val="00222AC9"/>
    <w:rsid w:val="00231D27"/>
    <w:rsid w:val="002325F5"/>
    <w:rsid w:val="002357A6"/>
    <w:rsid w:val="00235B03"/>
    <w:rsid w:val="002373DA"/>
    <w:rsid w:val="002668A5"/>
    <w:rsid w:val="00266D46"/>
    <w:rsid w:val="00271167"/>
    <w:rsid w:val="00271820"/>
    <w:rsid w:val="002724E0"/>
    <w:rsid w:val="00273952"/>
    <w:rsid w:val="002868FE"/>
    <w:rsid w:val="002A21FD"/>
    <w:rsid w:val="002A2B90"/>
    <w:rsid w:val="002A565A"/>
    <w:rsid w:val="002A6C84"/>
    <w:rsid w:val="002A72BB"/>
    <w:rsid w:val="002B5C31"/>
    <w:rsid w:val="002B6EEC"/>
    <w:rsid w:val="002B7981"/>
    <w:rsid w:val="002C1BBF"/>
    <w:rsid w:val="002C5D6E"/>
    <w:rsid w:val="00301B8F"/>
    <w:rsid w:val="0031146F"/>
    <w:rsid w:val="00316179"/>
    <w:rsid w:val="00317868"/>
    <w:rsid w:val="0032080B"/>
    <w:rsid w:val="00337768"/>
    <w:rsid w:val="00342B2C"/>
    <w:rsid w:val="0034689D"/>
    <w:rsid w:val="003477D5"/>
    <w:rsid w:val="003829C3"/>
    <w:rsid w:val="00385E0D"/>
    <w:rsid w:val="00386C6E"/>
    <w:rsid w:val="003969C9"/>
    <w:rsid w:val="003A1EDF"/>
    <w:rsid w:val="003B4307"/>
    <w:rsid w:val="003C6EF2"/>
    <w:rsid w:val="003D2581"/>
    <w:rsid w:val="003F4751"/>
    <w:rsid w:val="00417426"/>
    <w:rsid w:val="00417CAA"/>
    <w:rsid w:val="004239E2"/>
    <w:rsid w:val="004331D2"/>
    <w:rsid w:val="004342F0"/>
    <w:rsid w:val="0046432D"/>
    <w:rsid w:val="004660FA"/>
    <w:rsid w:val="0047194F"/>
    <w:rsid w:val="00472570"/>
    <w:rsid w:val="00474908"/>
    <w:rsid w:val="00476CA6"/>
    <w:rsid w:val="00485C8C"/>
    <w:rsid w:val="00490B74"/>
    <w:rsid w:val="004B29EE"/>
    <w:rsid w:val="004B7031"/>
    <w:rsid w:val="004D5073"/>
    <w:rsid w:val="004E557F"/>
    <w:rsid w:val="004E5CDE"/>
    <w:rsid w:val="004E7EA3"/>
    <w:rsid w:val="004F2904"/>
    <w:rsid w:val="004F63ED"/>
    <w:rsid w:val="00501745"/>
    <w:rsid w:val="00501A9B"/>
    <w:rsid w:val="005130CC"/>
    <w:rsid w:val="005137BE"/>
    <w:rsid w:val="005140E0"/>
    <w:rsid w:val="00515AE8"/>
    <w:rsid w:val="00523216"/>
    <w:rsid w:val="00525000"/>
    <w:rsid w:val="005301A2"/>
    <w:rsid w:val="00540697"/>
    <w:rsid w:val="005465FF"/>
    <w:rsid w:val="00554B52"/>
    <w:rsid w:val="00561A6A"/>
    <w:rsid w:val="00564AF4"/>
    <w:rsid w:val="00587CF0"/>
    <w:rsid w:val="005A1058"/>
    <w:rsid w:val="005A3FCA"/>
    <w:rsid w:val="005A617B"/>
    <w:rsid w:val="005C2E94"/>
    <w:rsid w:val="005E1ABA"/>
    <w:rsid w:val="005E36C4"/>
    <w:rsid w:val="005E3D1A"/>
    <w:rsid w:val="005E500F"/>
    <w:rsid w:val="005E7884"/>
    <w:rsid w:val="005F64BA"/>
    <w:rsid w:val="005F725C"/>
    <w:rsid w:val="005F744F"/>
    <w:rsid w:val="006001ED"/>
    <w:rsid w:val="00600675"/>
    <w:rsid w:val="00610501"/>
    <w:rsid w:val="00624426"/>
    <w:rsid w:val="00650427"/>
    <w:rsid w:val="0066072A"/>
    <w:rsid w:val="00667910"/>
    <w:rsid w:val="0067474F"/>
    <w:rsid w:val="006950A3"/>
    <w:rsid w:val="006A02B7"/>
    <w:rsid w:val="006A04CA"/>
    <w:rsid w:val="006A07C1"/>
    <w:rsid w:val="006B15C0"/>
    <w:rsid w:val="006B6616"/>
    <w:rsid w:val="006C09A0"/>
    <w:rsid w:val="006C4594"/>
    <w:rsid w:val="006C779C"/>
    <w:rsid w:val="006D436C"/>
    <w:rsid w:val="006E6334"/>
    <w:rsid w:val="00702472"/>
    <w:rsid w:val="00702694"/>
    <w:rsid w:val="00727B54"/>
    <w:rsid w:val="00734CE6"/>
    <w:rsid w:val="00742BD3"/>
    <w:rsid w:val="00750053"/>
    <w:rsid w:val="007577D0"/>
    <w:rsid w:val="00762078"/>
    <w:rsid w:val="00765910"/>
    <w:rsid w:val="0077203F"/>
    <w:rsid w:val="00780CDA"/>
    <w:rsid w:val="00781C19"/>
    <w:rsid w:val="00781C33"/>
    <w:rsid w:val="007846A1"/>
    <w:rsid w:val="0078595C"/>
    <w:rsid w:val="007869D7"/>
    <w:rsid w:val="007A16CE"/>
    <w:rsid w:val="007A3F28"/>
    <w:rsid w:val="007A7B02"/>
    <w:rsid w:val="007A7F2B"/>
    <w:rsid w:val="007B4929"/>
    <w:rsid w:val="007C332B"/>
    <w:rsid w:val="007D491F"/>
    <w:rsid w:val="00814C57"/>
    <w:rsid w:val="00815F15"/>
    <w:rsid w:val="00820BA0"/>
    <w:rsid w:val="00824103"/>
    <w:rsid w:val="008426EB"/>
    <w:rsid w:val="00843F9F"/>
    <w:rsid w:val="008534A5"/>
    <w:rsid w:val="00853509"/>
    <w:rsid w:val="00864D13"/>
    <w:rsid w:val="0086606B"/>
    <w:rsid w:val="00872058"/>
    <w:rsid w:val="00877425"/>
    <w:rsid w:val="00881A56"/>
    <w:rsid w:val="00881FE3"/>
    <w:rsid w:val="008A60F1"/>
    <w:rsid w:val="008A7FCD"/>
    <w:rsid w:val="008B018A"/>
    <w:rsid w:val="008B6439"/>
    <w:rsid w:val="008B6F61"/>
    <w:rsid w:val="008C1D10"/>
    <w:rsid w:val="008C257C"/>
    <w:rsid w:val="008C3E44"/>
    <w:rsid w:val="008C6553"/>
    <w:rsid w:val="008C6669"/>
    <w:rsid w:val="008D0FFA"/>
    <w:rsid w:val="008D3B3E"/>
    <w:rsid w:val="008D41F8"/>
    <w:rsid w:val="008D6E86"/>
    <w:rsid w:val="008F35AA"/>
    <w:rsid w:val="008F6E21"/>
    <w:rsid w:val="009048AF"/>
    <w:rsid w:val="00905750"/>
    <w:rsid w:val="00914D95"/>
    <w:rsid w:val="00922359"/>
    <w:rsid w:val="00923FB3"/>
    <w:rsid w:val="00927D26"/>
    <w:rsid w:val="00931830"/>
    <w:rsid w:val="00933B68"/>
    <w:rsid w:val="0093740D"/>
    <w:rsid w:val="00956E76"/>
    <w:rsid w:val="00972830"/>
    <w:rsid w:val="0098514D"/>
    <w:rsid w:val="0098541F"/>
    <w:rsid w:val="009970F4"/>
    <w:rsid w:val="009A0FCD"/>
    <w:rsid w:val="009A1D16"/>
    <w:rsid w:val="009A2936"/>
    <w:rsid w:val="009C03CD"/>
    <w:rsid w:val="009C0FB2"/>
    <w:rsid w:val="009C63AB"/>
    <w:rsid w:val="009D473C"/>
    <w:rsid w:val="009D5662"/>
    <w:rsid w:val="009D6323"/>
    <w:rsid w:val="009E20AF"/>
    <w:rsid w:val="009E5818"/>
    <w:rsid w:val="00A15DD3"/>
    <w:rsid w:val="00A41B0A"/>
    <w:rsid w:val="00A44A8E"/>
    <w:rsid w:val="00A570F4"/>
    <w:rsid w:val="00A64937"/>
    <w:rsid w:val="00A87382"/>
    <w:rsid w:val="00A92A20"/>
    <w:rsid w:val="00A94CED"/>
    <w:rsid w:val="00AB4174"/>
    <w:rsid w:val="00AB625A"/>
    <w:rsid w:val="00AC41B4"/>
    <w:rsid w:val="00AE6C0A"/>
    <w:rsid w:val="00AF4785"/>
    <w:rsid w:val="00B13528"/>
    <w:rsid w:val="00B15329"/>
    <w:rsid w:val="00B1574E"/>
    <w:rsid w:val="00B162F9"/>
    <w:rsid w:val="00B2000E"/>
    <w:rsid w:val="00B21144"/>
    <w:rsid w:val="00B238EC"/>
    <w:rsid w:val="00B24275"/>
    <w:rsid w:val="00B45F80"/>
    <w:rsid w:val="00B65258"/>
    <w:rsid w:val="00B75116"/>
    <w:rsid w:val="00B7720B"/>
    <w:rsid w:val="00BC6D66"/>
    <w:rsid w:val="00BD0673"/>
    <w:rsid w:val="00BD3436"/>
    <w:rsid w:val="00BD65BB"/>
    <w:rsid w:val="00BD735F"/>
    <w:rsid w:val="00BE0458"/>
    <w:rsid w:val="00BE6D96"/>
    <w:rsid w:val="00BF5FFF"/>
    <w:rsid w:val="00C02842"/>
    <w:rsid w:val="00C16079"/>
    <w:rsid w:val="00C16190"/>
    <w:rsid w:val="00C167D6"/>
    <w:rsid w:val="00C259BF"/>
    <w:rsid w:val="00C36EB4"/>
    <w:rsid w:val="00C37F26"/>
    <w:rsid w:val="00C524FC"/>
    <w:rsid w:val="00C7001A"/>
    <w:rsid w:val="00C70A85"/>
    <w:rsid w:val="00C81B59"/>
    <w:rsid w:val="00C970F9"/>
    <w:rsid w:val="00CA0E86"/>
    <w:rsid w:val="00CC1185"/>
    <w:rsid w:val="00CC5C5E"/>
    <w:rsid w:val="00CE37E7"/>
    <w:rsid w:val="00CF7B4A"/>
    <w:rsid w:val="00D0040E"/>
    <w:rsid w:val="00D11585"/>
    <w:rsid w:val="00D146B7"/>
    <w:rsid w:val="00D155D2"/>
    <w:rsid w:val="00D20C8A"/>
    <w:rsid w:val="00D26EB3"/>
    <w:rsid w:val="00D27DA4"/>
    <w:rsid w:val="00D33461"/>
    <w:rsid w:val="00D34CC4"/>
    <w:rsid w:val="00D37056"/>
    <w:rsid w:val="00D403FA"/>
    <w:rsid w:val="00D4090A"/>
    <w:rsid w:val="00D40CDD"/>
    <w:rsid w:val="00D51D36"/>
    <w:rsid w:val="00D713D3"/>
    <w:rsid w:val="00D7441F"/>
    <w:rsid w:val="00D75350"/>
    <w:rsid w:val="00D828CD"/>
    <w:rsid w:val="00D83671"/>
    <w:rsid w:val="00D86C04"/>
    <w:rsid w:val="00D86FE3"/>
    <w:rsid w:val="00D972F5"/>
    <w:rsid w:val="00DA4F1D"/>
    <w:rsid w:val="00DA7C96"/>
    <w:rsid w:val="00DB31EA"/>
    <w:rsid w:val="00DB7C46"/>
    <w:rsid w:val="00DB7F0A"/>
    <w:rsid w:val="00DD19E7"/>
    <w:rsid w:val="00DD3924"/>
    <w:rsid w:val="00DD3959"/>
    <w:rsid w:val="00DD59E3"/>
    <w:rsid w:val="00DF0126"/>
    <w:rsid w:val="00E000AF"/>
    <w:rsid w:val="00E00C57"/>
    <w:rsid w:val="00E043C2"/>
    <w:rsid w:val="00E06AA3"/>
    <w:rsid w:val="00E10E4B"/>
    <w:rsid w:val="00E11C75"/>
    <w:rsid w:val="00E11CEF"/>
    <w:rsid w:val="00E5439A"/>
    <w:rsid w:val="00E66C48"/>
    <w:rsid w:val="00E72DF7"/>
    <w:rsid w:val="00E73525"/>
    <w:rsid w:val="00E76159"/>
    <w:rsid w:val="00E8643A"/>
    <w:rsid w:val="00EA74E0"/>
    <w:rsid w:val="00EB1D3C"/>
    <w:rsid w:val="00EC0B91"/>
    <w:rsid w:val="00EC7206"/>
    <w:rsid w:val="00EF03C6"/>
    <w:rsid w:val="00EF5FD5"/>
    <w:rsid w:val="00F15CA6"/>
    <w:rsid w:val="00F20215"/>
    <w:rsid w:val="00F20730"/>
    <w:rsid w:val="00F27BC1"/>
    <w:rsid w:val="00F4017C"/>
    <w:rsid w:val="00F516C1"/>
    <w:rsid w:val="00F51EC1"/>
    <w:rsid w:val="00F646DD"/>
    <w:rsid w:val="00F8172C"/>
    <w:rsid w:val="00F82EA1"/>
    <w:rsid w:val="00F962A3"/>
    <w:rsid w:val="00F97DA8"/>
    <w:rsid w:val="00FA04A0"/>
    <w:rsid w:val="00FA3180"/>
    <w:rsid w:val="00FB018F"/>
    <w:rsid w:val="00FB0B19"/>
    <w:rsid w:val="00FB4931"/>
    <w:rsid w:val="00FC7AA2"/>
    <w:rsid w:val="00FD1F41"/>
    <w:rsid w:val="00FD4794"/>
    <w:rsid w:val="00FE2914"/>
    <w:rsid w:val="00FE6314"/>
    <w:rsid w:val="00FE6331"/>
    <w:rsid w:val="00FE7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61F8F-2E38-4345-9AB2-09685F51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33"/>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781C33"/>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1C33"/>
    <w:rPr>
      <w:rFonts w:ascii="Times New Roman" w:eastAsia="Times New Roman" w:hAnsi="Times New Roman" w:cs="Times New Roman"/>
      <w:b/>
      <w:bCs/>
      <w:sz w:val="28"/>
      <w:szCs w:val="24"/>
    </w:rPr>
  </w:style>
  <w:style w:type="paragraph" w:styleId="BodyText">
    <w:name w:val="Body Text"/>
    <w:basedOn w:val="Normal"/>
    <w:link w:val="BodyTextChar"/>
    <w:rsid w:val="00781C33"/>
    <w:pPr>
      <w:jc w:val="center"/>
    </w:pPr>
    <w:rPr>
      <w:b/>
      <w:szCs w:val="20"/>
      <w:lang w:val="lv-LV" w:eastAsia="lv-LV"/>
    </w:rPr>
  </w:style>
  <w:style w:type="character" w:customStyle="1" w:styleId="BodyTextChar">
    <w:name w:val="Body Text Char"/>
    <w:basedOn w:val="DefaultParagraphFont"/>
    <w:link w:val="BodyText"/>
    <w:rsid w:val="00781C33"/>
    <w:rPr>
      <w:rFonts w:ascii="Times New Roman" w:eastAsia="Times New Roman" w:hAnsi="Times New Roman" w:cs="Times New Roman"/>
      <w:b/>
      <w:sz w:val="24"/>
      <w:szCs w:val="20"/>
      <w:lang w:eastAsia="lv-LV"/>
    </w:rPr>
  </w:style>
  <w:style w:type="paragraph" w:styleId="ListParagraph">
    <w:name w:val="List Paragraph"/>
    <w:basedOn w:val="Normal"/>
    <w:uiPriority w:val="34"/>
    <w:qFormat/>
    <w:rsid w:val="00781C33"/>
    <w:pPr>
      <w:ind w:left="720"/>
      <w:contextualSpacing/>
    </w:pPr>
  </w:style>
  <w:style w:type="character" w:styleId="Hyperlink">
    <w:name w:val="Hyperlink"/>
    <w:uiPriority w:val="99"/>
    <w:unhideWhenUsed/>
    <w:rsid w:val="00877425"/>
    <w:rPr>
      <w:color w:val="0000FF"/>
      <w:u w:val="single"/>
    </w:rPr>
  </w:style>
  <w:style w:type="paragraph" w:styleId="Header">
    <w:name w:val="header"/>
    <w:basedOn w:val="Normal"/>
    <w:link w:val="HeaderChar"/>
    <w:uiPriority w:val="99"/>
    <w:unhideWhenUsed/>
    <w:rsid w:val="00877425"/>
    <w:pPr>
      <w:tabs>
        <w:tab w:val="center" w:pos="4153"/>
        <w:tab w:val="right" w:pos="8306"/>
      </w:tabs>
    </w:pPr>
  </w:style>
  <w:style w:type="character" w:customStyle="1" w:styleId="HeaderChar">
    <w:name w:val="Header Char"/>
    <w:basedOn w:val="DefaultParagraphFont"/>
    <w:link w:val="Header"/>
    <w:uiPriority w:val="99"/>
    <w:rsid w:val="008774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7425"/>
    <w:pPr>
      <w:tabs>
        <w:tab w:val="center" w:pos="4153"/>
        <w:tab w:val="right" w:pos="8306"/>
      </w:tabs>
    </w:pPr>
  </w:style>
  <w:style w:type="character" w:customStyle="1" w:styleId="FooterChar">
    <w:name w:val="Footer Char"/>
    <w:basedOn w:val="DefaultParagraphFont"/>
    <w:link w:val="Footer"/>
    <w:uiPriority w:val="99"/>
    <w:rsid w:val="00877425"/>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151F7"/>
    <w:rPr>
      <w:sz w:val="16"/>
      <w:szCs w:val="16"/>
    </w:rPr>
  </w:style>
  <w:style w:type="paragraph" w:styleId="CommentText">
    <w:name w:val="annotation text"/>
    <w:basedOn w:val="Normal"/>
    <w:link w:val="CommentTextChar"/>
    <w:uiPriority w:val="99"/>
    <w:semiHidden/>
    <w:unhideWhenUsed/>
    <w:rsid w:val="002151F7"/>
    <w:rPr>
      <w:sz w:val="20"/>
      <w:szCs w:val="20"/>
    </w:rPr>
  </w:style>
  <w:style w:type="character" w:customStyle="1" w:styleId="CommentTextChar">
    <w:name w:val="Comment Text Char"/>
    <w:basedOn w:val="DefaultParagraphFont"/>
    <w:link w:val="CommentText"/>
    <w:uiPriority w:val="99"/>
    <w:semiHidden/>
    <w:rsid w:val="002151F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151F7"/>
    <w:rPr>
      <w:b/>
      <w:bCs/>
    </w:rPr>
  </w:style>
  <w:style w:type="character" w:customStyle="1" w:styleId="CommentSubjectChar">
    <w:name w:val="Comment Subject Char"/>
    <w:basedOn w:val="CommentTextChar"/>
    <w:link w:val="CommentSubject"/>
    <w:uiPriority w:val="99"/>
    <w:semiHidden/>
    <w:rsid w:val="002151F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15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F7"/>
    <w:rPr>
      <w:rFonts w:ascii="Segoe UI" w:eastAsia="Times New Roman" w:hAnsi="Segoe UI" w:cs="Segoe UI"/>
      <w:sz w:val="18"/>
      <w:szCs w:val="18"/>
      <w:lang w:val="en-GB"/>
    </w:rPr>
  </w:style>
  <w:style w:type="paragraph" w:styleId="ListBullet">
    <w:name w:val="List Bullet"/>
    <w:basedOn w:val="Normal"/>
    <w:uiPriority w:val="99"/>
    <w:unhideWhenUsed/>
    <w:rsid w:val="005F64BA"/>
    <w:pPr>
      <w:numPr>
        <w:numId w:val="2"/>
      </w:numPr>
      <w:contextualSpacing/>
    </w:pPr>
  </w:style>
  <w:style w:type="paragraph" w:customStyle="1" w:styleId="Default">
    <w:name w:val="Default"/>
    <w:rsid w:val="00B2114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7C332B"/>
    <w:rPr>
      <w:sz w:val="20"/>
      <w:szCs w:val="20"/>
      <w:lang w:val="lv-LV"/>
    </w:rPr>
  </w:style>
  <w:style w:type="character" w:customStyle="1" w:styleId="FootnoteTextChar">
    <w:name w:val="Footnote Text Char"/>
    <w:basedOn w:val="DefaultParagraphFont"/>
    <w:link w:val="FootnoteText"/>
    <w:rsid w:val="007C332B"/>
    <w:rPr>
      <w:rFonts w:ascii="Times New Roman" w:eastAsia="Times New Roman" w:hAnsi="Times New Roman" w:cs="Times New Roman"/>
      <w:sz w:val="20"/>
      <w:szCs w:val="20"/>
    </w:rPr>
  </w:style>
  <w:style w:type="character" w:styleId="FootnoteReference">
    <w:name w:val="footnote reference"/>
    <w:unhideWhenUsed/>
    <w:rsid w:val="007C332B"/>
    <w:rPr>
      <w:vertAlign w:val="superscript"/>
    </w:rPr>
  </w:style>
  <w:style w:type="character" w:styleId="Strong">
    <w:name w:val="Strong"/>
    <w:uiPriority w:val="22"/>
    <w:qFormat/>
    <w:rsid w:val="005A1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ure@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is.lv/Pages/Institutions/Default.aspx?institutionId=3791&amp;Source=https%253a%252f%252fviis.lv%252fPages%252fInstitutions%252fSearch.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12187</Words>
  <Characters>6947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Par atteikumu atvērt studiju virzienu SIA "Ekonomikas un kultūras augstskola"</vt:lpstr>
    </vt:vector>
  </TitlesOfParts>
  <Company>IZM</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atteikumu atvērt studiju virzienu SIA "Ekonomikas un kultūras augstskola"</dc:title>
  <dc:creator>Inese Stūre</dc:creator>
  <cp:lastModifiedBy>Inese Stūre</cp:lastModifiedBy>
  <cp:revision>12</cp:revision>
  <cp:lastPrinted>2014-12-30T09:27:00Z</cp:lastPrinted>
  <dcterms:created xsi:type="dcterms:W3CDTF">2015-01-09T11:25:00Z</dcterms:created>
  <dcterms:modified xsi:type="dcterms:W3CDTF">2015-01-12T12:24:00Z</dcterms:modified>
</cp:coreProperties>
</file>