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5D" w:rsidRPr="00C0281A" w:rsidRDefault="00C4715D" w:rsidP="00C471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C0281A">
        <w:rPr>
          <w:rFonts w:ascii="Times New Roman" w:hAnsi="Times New Roman"/>
          <w:b/>
          <w:bCs/>
          <w:sz w:val="28"/>
          <w:szCs w:val="28"/>
          <w:lang w:val="lv-LV"/>
        </w:rPr>
        <w:t>Ministru kabineta noteikumu projekta</w:t>
      </w:r>
    </w:p>
    <w:p w:rsidR="00C4715D" w:rsidRPr="009C1023" w:rsidRDefault="00C4715D" w:rsidP="00DA5EB0">
      <w:pPr>
        <w:pStyle w:val="Footer"/>
        <w:tabs>
          <w:tab w:val="clear" w:pos="4320"/>
          <w:tab w:val="clear" w:pos="8640"/>
        </w:tabs>
        <w:spacing w:after="240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/>
          <w:b/>
          <w:bCs/>
          <w:sz w:val="28"/>
          <w:szCs w:val="28"/>
          <w:lang w:val="lv-LV"/>
        </w:rPr>
        <w:t xml:space="preserve"> „</w:t>
      </w:r>
      <w:r w:rsidRPr="00C0281A">
        <w:rPr>
          <w:rFonts w:ascii="Times New Roman" w:hAnsi="Times New Roman"/>
          <w:b/>
          <w:bCs/>
          <w:sz w:val="28"/>
          <w:szCs w:val="28"/>
          <w:lang w:val="lv-LV"/>
        </w:rPr>
        <w:t xml:space="preserve">Grozījumi </w:t>
      </w:r>
      <w:r w:rsidRPr="00C0281A">
        <w:rPr>
          <w:rFonts w:ascii="Times New Roman" w:hAnsi="Times New Roman"/>
          <w:b/>
          <w:sz w:val="28"/>
          <w:szCs w:val="28"/>
          <w:lang w:val="lv-LV"/>
        </w:rPr>
        <w:t>Ministru kabineta 2004.gada 13.aprīļa noteikumos Nr.282 „</w:t>
      </w:r>
      <w:r w:rsidRPr="00C0281A">
        <w:rPr>
          <w:rFonts w:ascii="Times New Roman" w:hAnsi="Times New Roman"/>
          <w:b/>
          <w:bCs/>
          <w:sz w:val="28"/>
          <w:szCs w:val="28"/>
          <w:lang w:val="lv-LV"/>
        </w:rPr>
        <w:t>Ugunsdrošības preču, ugunsdzēsības iekārtu un ierīču atbilstības novērtēšanas noteikumi”</w:t>
      </w:r>
      <w:r>
        <w:rPr>
          <w:rFonts w:ascii="Times New Roman" w:hAnsi="Times New Roman"/>
          <w:b/>
          <w:bCs/>
          <w:sz w:val="28"/>
          <w:szCs w:val="28"/>
          <w:lang w:val="lv-LV"/>
        </w:rPr>
        <w:t xml:space="preserve">” </w:t>
      </w:r>
      <w:r w:rsidRPr="008E6B09">
        <w:rPr>
          <w:rFonts w:ascii="Times New Roman" w:hAnsi="Times New Roman"/>
          <w:b/>
          <w:bCs/>
          <w:sz w:val="28"/>
          <w:szCs w:val="28"/>
          <w:lang w:val="lv-LV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8E6B09">
          <w:rPr>
            <w:rFonts w:ascii="Times New Roman" w:hAnsi="Times New Roman"/>
            <w:b/>
            <w:bCs/>
            <w:sz w:val="28"/>
            <w:szCs w:val="28"/>
            <w:lang w:val="lv-LV"/>
          </w:rPr>
          <w:t>ziņojums</w:t>
        </w:r>
      </w:smartTag>
      <w:r w:rsidRPr="008E6B09">
        <w:rPr>
          <w:rFonts w:ascii="Times New Roman" w:hAnsi="Times New Roman"/>
          <w:b/>
          <w:bCs/>
          <w:sz w:val="28"/>
          <w:szCs w:val="28"/>
          <w:lang w:val="lv-LV"/>
        </w:rPr>
        <w:t xml:space="preserve"> (anotācija)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3"/>
        <w:gridCol w:w="2967"/>
        <w:gridCol w:w="5648"/>
      </w:tblGrid>
      <w:tr w:rsidR="00C4715D" w:rsidRPr="0032645B" w:rsidTr="00C4715D">
        <w:trPr>
          <w:jc w:val="center"/>
        </w:trPr>
        <w:tc>
          <w:tcPr>
            <w:tcW w:w="9322" w:type="dxa"/>
            <w:gridSpan w:val="3"/>
          </w:tcPr>
          <w:p w:rsidR="00C4715D" w:rsidRDefault="00C4715D" w:rsidP="00C4715D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A0D2F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I. Tiesību akta projekta izstrādes nepieciešamība</w:t>
            </w:r>
          </w:p>
        </w:tc>
      </w:tr>
      <w:tr w:rsidR="00C4715D" w:rsidRPr="0032645B" w:rsidTr="00C4715D">
        <w:trPr>
          <w:jc w:val="center"/>
        </w:trPr>
        <w:tc>
          <w:tcPr>
            <w:tcW w:w="675" w:type="dxa"/>
          </w:tcPr>
          <w:p w:rsidR="00C4715D" w:rsidRPr="00C4715D" w:rsidRDefault="00C4715D" w:rsidP="00C4715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715D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2977" w:type="dxa"/>
          </w:tcPr>
          <w:p w:rsidR="00C4715D" w:rsidRPr="00C4715D" w:rsidRDefault="00C4715D" w:rsidP="00C4715D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715D">
              <w:rPr>
                <w:rFonts w:ascii="Times New Roman" w:hAnsi="Times New Roman"/>
                <w:sz w:val="24"/>
                <w:szCs w:val="24"/>
                <w:lang w:val="lv-LV"/>
              </w:rPr>
              <w:t>Pamatojums</w:t>
            </w:r>
          </w:p>
        </w:tc>
        <w:tc>
          <w:tcPr>
            <w:tcW w:w="5670" w:type="dxa"/>
          </w:tcPr>
          <w:p w:rsidR="00C4715D" w:rsidRDefault="00C4715D" w:rsidP="00C4715D">
            <w:pPr>
              <w:tabs>
                <w:tab w:val="left" w:pos="443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ab/>
            </w:r>
            <w:r w:rsidRPr="00EA0D2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Ministru kabineta noteikumu projekts </w:t>
            </w:r>
            <w:r w:rsidRPr="00EA0D2F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„Grozījumi </w:t>
            </w:r>
            <w:r w:rsidRPr="00EA0D2F">
              <w:rPr>
                <w:rFonts w:ascii="Times New Roman" w:hAnsi="Times New Roman"/>
                <w:sz w:val="24"/>
                <w:szCs w:val="24"/>
                <w:lang w:val="lv-LV"/>
              </w:rPr>
              <w:t>Ministru kabineta 2004.gada 13.aprīļa noteikumos Nr.282 „</w:t>
            </w:r>
            <w:r w:rsidRPr="00EA0D2F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Ugunsdrošības preču, ugunsdzēsības iekārtu un ierīču atbilstības novērtēšanas noteikumi”” (turpmāk – projekts) izstrādāts </w:t>
            </w: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pēc Iekšlietu ministrijas iniciatīvas.</w:t>
            </w:r>
          </w:p>
        </w:tc>
      </w:tr>
      <w:tr w:rsidR="00C4715D" w:rsidRPr="0032645B" w:rsidTr="00C4715D">
        <w:trPr>
          <w:jc w:val="center"/>
        </w:trPr>
        <w:tc>
          <w:tcPr>
            <w:tcW w:w="675" w:type="dxa"/>
          </w:tcPr>
          <w:p w:rsidR="00C4715D" w:rsidRPr="00C4715D" w:rsidRDefault="00C4715D" w:rsidP="00C4715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2977" w:type="dxa"/>
          </w:tcPr>
          <w:p w:rsidR="00C4715D" w:rsidRPr="00C4715D" w:rsidRDefault="00C4715D" w:rsidP="00C4715D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715D">
              <w:rPr>
                <w:rFonts w:ascii="Times New Roman" w:hAnsi="Times New Roman"/>
                <w:sz w:val="24"/>
                <w:szCs w:val="24"/>
                <w:lang w:val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670" w:type="dxa"/>
          </w:tcPr>
          <w:p w:rsidR="00C4715D" w:rsidRDefault="00C4715D" w:rsidP="00C4715D">
            <w:pPr>
              <w:tabs>
                <w:tab w:val="left" w:pos="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ab/>
            </w:r>
            <w:r w:rsidRPr="00EA0D2F">
              <w:rPr>
                <w:rFonts w:ascii="Times New Roman" w:hAnsi="Times New Roman"/>
                <w:sz w:val="24"/>
                <w:szCs w:val="24"/>
                <w:lang w:val="lv-LV"/>
              </w:rPr>
              <w:t>Ugunsdrošības preču, ugunsdzēsības iekārtu un ierīču atbilstības novērtē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šana veicama saskaņā ar likumu „Par atbilstības novērtēšanu”</w:t>
            </w:r>
            <w:r w:rsidRPr="00EA0D2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</w:t>
            </w:r>
          </w:p>
          <w:p w:rsidR="00C4715D" w:rsidRPr="00EA0D2F" w:rsidRDefault="00C4715D" w:rsidP="00C4715D">
            <w:pPr>
              <w:tabs>
                <w:tab w:val="left" w:pos="44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ab/>
            </w:r>
            <w:r w:rsidRPr="00EA0D2F">
              <w:rPr>
                <w:rFonts w:ascii="Times New Roman" w:hAnsi="Times New Roman"/>
                <w:sz w:val="24"/>
                <w:szCs w:val="24"/>
                <w:lang w:val="lv-LV"/>
              </w:rPr>
              <w:t>Ministru kabinets apstiprina obligātajai atbilstības novērtēšanai pakļauto ugunsdrošības preču, ugunsdzēsības iekārtu un ierīču sarakstu, kā arī nosaka attiecībā uz tām izvirzāmās būtiskās prasības.</w:t>
            </w:r>
          </w:p>
          <w:p w:rsidR="00C4715D" w:rsidRPr="00EA0D2F" w:rsidRDefault="00C4715D" w:rsidP="00C4715D">
            <w:pPr>
              <w:pStyle w:val="Footer"/>
              <w:tabs>
                <w:tab w:val="clear" w:pos="4320"/>
                <w:tab w:val="clear" w:pos="8640"/>
                <w:tab w:val="left" w:pos="45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EA0D2F">
              <w:rPr>
                <w:rFonts w:ascii="Times New Roman" w:hAnsi="Times New Roman"/>
                <w:sz w:val="24"/>
                <w:szCs w:val="24"/>
                <w:lang w:val="lv-LV"/>
              </w:rPr>
              <w:tab/>
              <w:t>Šobrīd obligātajai atbilstības novērtēšanai pakļauto ugunsdrošības preču, ugunsdzēsības iekārtu un ierīču sarakstu un tām izvirzāmās būtiskās prasības nosaka Ministru kabineta 2004.gada 13.aprīļa noteikumi Nr.282 „</w:t>
            </w:r>
            <w:r w:rsidRPr="00EA0D2F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Ugunsdrošības preču, ugunsdzēsības iekārtu un ierīču atbilstības novērtēšanas noteikumi” (turpmāk – Noteikumi Nr.282).</w:t>
            </w:r>
          </w:p>
          <w:p w:rsidR="00C4715D" w:rsidRPr="00EA0D2F" w:rsidRDefault="00C4715D" w:rsidP="00C4715D">
            <w:pPr>
              <w:pStyle w:val="Footer"/>
              <w:tabs>
                <w:tab w:val="clear" w:pos="4320"/>
                <w:tab w:val="clear" w:pos="8640"/>
                <w:tab w:val="left" w:pos="458"/>
              </w:tabs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A0D2F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ab/>
              <w:t>O</w:t>
            </w:r>
            <w:r w:rsidRPr="00EA0D2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bligātajai atbilstības novērtēšanai pakļauto ugunsdrošības preču, ugunsdzēsības iekārtu un ierīču saraksts un tām izvirzāmās būtiskās prasības Noteikumos Nr.282 tiek noteiktas, izmantojot tiešās atsauces uz </w:t>
            </w:r>
            <w:r w:rsidRPr="00EA0D2F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piemērojamo tehnisko noteikumu (standartu) numuriem un nosaukumiem (turpmāk – standarts).</w:t>
            </w:r>
          </w:p>
          <w:p w:rsidR="00C4715D" w:rsidRPr="00EA0D2F" w:rsidRDefault="00C4715D" w:rsidP="00C4715D">
            <w:pPr>
              <w:pStyle w:val="Footer"/>
              <w:tabs>
                <w:tab w:val="clear" w:pos="4320"/>
                <w:tab w:val="clear" w:pos="8640"/>
                <w:tab w:val="left" w:pos="470"/>
              </w:tabs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A0D2F">
              <w:rPr>
                <w:rFonts w:ascii="Times New Roman" w:hAnsi="Times New Roman"/>
                <w:sz w:val="24"/>
                <w:szCs w:val="24"/>
                <w:lang w:val="lv-LV"/>
              </w:rPr>
              <w:tab/>
            </w:r>
            <w:r w:rsidRPr="00EA0D2F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Pēdējie grozījumi Noteikumos Nr.282 veikti 2005.gada 31. maijā (Latvi</w:t>
            </w: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jas Vēstnesis, 2005, </w:t>
            </w:r>
            <w:r w:rsidRPr="00EA0D2F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88</w:t>
            </w: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.nr.)</w:t>
            </w:r>
            <w:r w:rsidRPr="00EA0D2F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 un saskaņā ar </w:t>
            </w:r>
            <w:r w:rsidRPr="00EA0D2F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SIA „Standartizācijas, akreditācijas un metroloģijas centrs”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Standartizācijas biroja (turpmāk – Standartizācijas birojs) oficiālajā tīmekļa vietnē (</w:t>
            </w:r>
            <w:hyperlink r:id="rId7" w:history="1">
              <w:r w:rsidRPr="00220AF6">
                <w:rPr>
                  <w:rStyle w:val="Hyperlink"/>
                  <w:rFonts w:ascii="Times New Roman" w:hAnsi="Times New Roman"/>
                  <w:sz w:val="24"/>
                  <w:szCs w:val="24"/>
                  <w:lang w:val="lv-LV"/>
                </w:rPr>
                <w:t>www.lvs.lv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) </w:t>
            </w:r>
            <w:r w:rsidRPr="00EA0D2F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publicēto </w:t>
            </w:r>
            <w:r w:rsidRPr="00EA0D2F">
              <w:rPr>
                <w:rFonts w:ascii="Times New Roman" w:hAnsi="Times New Roman"/>
                <w:sz w:val="24"/>
                <w:szCs w:val="24"/>
                <w:lang w:val="lv-LV"/>
              </w:rPr>
              <w:t>Latvijas standartu sistemātisko katalogu,</w:t>
            </w:r>
            <w:r w:rsidRPr="00EA0D2F">
              <w:rPr>
                <w:lang w:val="lv-LV"/>
              </w:rPr>
              <w:t xml:space="preserve"> </w:t>
            </w:r>
            <w:r w:rsidRPr="00EA0D2F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Noteikumos Nr.282 ir atsauces uz standartiem, kas šobrīd ir atcelti vai aizstāti ar jaunākām standartu versijām.</w:t>
            </w:r>
          </w:p>
          <w:p w:rsidR="006D09BB" w:rsidRDefault="00C4715D" w:rsidP="00C4715D">
            <w:pPr>
              <w:pStyle w:val="Footer"/>
              <w:tabs>
                <w:tab w:val="clear" w:pos="4320"/>
                <w:tab w:val="clear" w:pos="8640"/>
                <w:tab w:val="left" w:pos="44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EA0D2F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ab/>
              <w:t xml:space="preserve">Šobrīd </w:t>
            </w: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ir iz</w:t>
            </w:r>
            <w:r w:rsidRPr="00EA0D2F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veidoj</w:t>
            </w: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usies</w:t>
            </w:r>
            <w:r w:rsidRPr="00EA0D2F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 situācija, ka </w:t>
            </w:r>
            <w:r w:rsidRPr="00EA0D2F">
              <w:rPr>
                <w:rFonts w:ascii="Times New Roman" w:hAnsi="Times New Roman"/>
                <w:sz w:val="24"/>
                <w:szCs w:val="24"/>
                <w:lang w:val="lv-LV"/>
              </w:rPr>
              <w:t>ugunsdrošības preču, ugunsdzēsības iekārtu un ierīču sarakstu un tām izvirzāmās būtiskās prasības nosaka</w:t>
            </w:r>
            <w:r w:rsidRPr="00EA0D2F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 </w:t>
            </w:r>
            <w:r w:rsidRPr="00EA0D2F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tceltie vai aizstātie standarti. </w:t>
            </w:r>
          </w:p>
          <w:p w:rsidR="002A59D3" w:rsidRPr="006D09BB" w:rsidRDefault="006D09BB" w:rsidP="0032645B">
            <w:pPr>
              <w:pStyle w:val="Footer"/>
              <w:tabs>
                <w:tab w:val="clear" w:pos="4320"/>
                <w:tab w:val="clear" w:pos="8640"/>
                <w:tab w:val="left" w:pos="447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ab/>
            </w:r>
            <w:r w:rsidR="00C4715D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P</w:t>
            </w:r>
            <w:r w:rsidR="00C4715D" w:rsidRPr="00EA0D2F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rojekts nepieciešams, lai novērstu situāciju, kad tiek izmantota</w:t>
            </w:r>
            <w:r w:rsidR="00C4715D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s</w:t>
            </w:r>
            <w:r w:rsidR="00C4715D" w:rsidRPr="00EA0D2F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 standartu spēkā neesošās versijas atbilstoši atsaucei </w:t>
            </w:r>
            <w:r w:rsidR="00C4715D" w:rsidRPr="00EA0D2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Noteikumos Nr.282, un </w:t>
            </w:r>
            <w:r w:rsidR="00C4715D" w:rsidRPr="00EA0D2F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nodrošinātu </w:t>
            </w:r>
            <w:r w:rsidR="00C4715D" w:rsidRPr="00EA0D2F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lastRenderedPageBreak/>
              <w:t>atbilstoš</w:t>
            </w:r>
            <w:r w:rsidR="00125F98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o standartu versiju piemērošanu, </w:t>
            </w:r>
            <w:r w:rsidR="00125F98" w:rsidRPr="00596956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kā arī projekts paredz svītrot Noteikumu Nr.282</w:t>
            </w:r>
            <w:r w:rsidR="007965F8" w:rsidRPr="00596956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 pielikuma 3.punktu</w:t>
            </w:r>
            <w:r w:rsidR="00125F98" w:rsidRPr="00596956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, jo dūmu ventilatoru atbilstības apliecināšanas un tirgus uzraudzības kārtība ir noteikta Ministru kabineta 2014.gada 25.marta noteikumos Nr.156 „Būvizstrādājumu tirgus uzraudzības kārtība”.</w:t>
            </w:r>
            <w:bookmarkStart w:id="0" w:name="_GoBack"/>
            <w:bookmarkEnd w:id="0"/>
          </w:p>
        </w:tc>
      </w:tr>
      <w:tr w:rsidR="00C4715D" w:rsidRPr="0032645B" w:rsidTr="00C4715D">
        <w:trPr>
          <w:jc w:val="center"/>
        </w:trPr>
        <w:tc>
          <w:tcPr>
            <w:tcW w:w="675" w:type="dxa"/>
          </w:tcPr>
          <w:p w:rsidR="00C4715D" w:rsidRPr="00C4715D" w:rsidRDefault="00C4715D" w:rsidP="00C4715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3.</w:t>
            </w:r>
          </w:p>
        </w:tc>
        <w:tc>
          <w:tcPr>
            <w:tcW w:w="2977" w:type="dxa"/>
          </w:tcPr>
          <w:p w:rsidR="00C4715D" w:rsidRPr="00C4715D" w:rsidRDefault="00C4715D" w:rsidP="00C4715D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715D">
              <w:rPr>
                <w:rFonts w:ascii="Times New Roman" w:hAnsi="Times New Roman"/>
                <w:sz w:val="24"/>
                <w:szCs w:val="24"/>
                <w:lang w:val="lv-LV"/>
              </w:rPr>
              <w:t>Projekta izstrādē iesaistītās institūcijas</w:t>
            </w:r>
          </w:p>
        </w:tc>
        <w:tc>
          <w:tcPr>
            <w:tcW w:w="5670" w:type="dxa"/>
          </w:tcPr>
          <w:p w:rsidR="00C4715D" w:rsidRPr="00C4715D" w:rsidRDefault="00C4715D" w:rsidP="00C4715D">
            <w:pPr>
              <w:tabs>
                <w:tab w:val="left" w:pos="455"/>
              </w:tabs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715D">
              <w:rPr>
                <w:rFonts w:ascii="Times New Roman" w:hAnsi="Times New Roman"/>
                <w:sz w:val="24"/>
                <w:szCs w:val="24"/>
                <w:lang w:val="lv-LV"/>
              </w:rPr>
              <w:t>Iekšlietu ministrija, Valsts ugunsdzēsības un glābšanas dienests.</w:t>
            </w:r>
          </w:p>
        </w:tc>
      </w:tr>
      <w:tr w:rsidR="00C4715D" w:rsidTr="00C4715D">
        <w:trPr>
          <w:jc w:val="center"/>
        </w:trPr>
        <w:tc>
          <w:tcPr>
            <w:tcW w:w="675" w:type="dxa"/>
          </w:tcPr>
          <w:p w:rsidR="00C4715D" w:rsidRPr="00C4715D" w:rsidRDefault="00C4715D" w:rsidP="00C4715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715D">
              <w:rPr>
                <w:rFonts w:ascii="Times New Roman" w:hAnsi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2977" w:type="dxa"/>
          </w:tcPr>
          <w:p w:rsidR="00C4715D" w:rsidRPr="00C4715D" w:rsidRDefault="00C4715D" w:rsidP="00C4715D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715D">
              <w:rPr>
                <w:rFonts w:ascii="Times New Roman" w:hAnsi="Times New Roman"/>
                <w:sz w:val="24"/>
                <w:szCs w:val="24"/>
                <w:lang w:val="lv-LV"/>
              </w:rPr>
              <w:t>Cita informācija</w:t>
            </w:r>
          </w:p>
        </w:tc>
        <w:tc>
          <w:tcPr>
            <w:tcW w:w="5670" w:type="dxa"/>
          </w:tcPr>
          <w:p w:rsidR="00C4715D" w:rsidRPr="00C4715D" w:rsidRDefault="00C4715D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715D">
              <w:rPr>
                <w:rFonts w:ascii="Times New Roman" w:hAnsi="Times New Roman"/>
                <w:sz w:val="24"/>
                <w:szCs w:val="24"/>
                <w:lang w:val="lv-LV"/>
              </w:rPr>
              <w:t>Nav</w:t>
            </w:r>
          </w:p>
        </w:tc>
      </w:tr>
    </w:tbl>
    <w:p w:rsidR="00C4715D" w:rsidRDefault="00C4715D" w:rsidP="00701F37">
      <w:pPr>
        <w:spacing w:after="120" w:line="240" w:lineRule="auto"/>
        <w:rPr>
          <w:rFonts w:ascii="Times New Roman" w:hAnsi="Times New Roman"/>
          <w:sz w:val="28"/>
          <w:szCs w:val="28"/>
          <w:lang w:val="lv-LV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3"/>
        <w:gridCol w:w="2935"/>
        <w:gridCol w:w="5550"/>
      </w:tblGrid>
      <w:tr w:rsidR="00C4715D" w:rsidRPr="0032645B" w:rsidTr="00DA5EB0">
        <w:trPr>
          <w:jc w:val="center"/>
        </w:trPr>
        <w:tc>
          <w:tcPr>
            <w:tcW w:w="9464" w:type="dxa"/>
            <w:gridSpan w:val="3"/>
          </w:tcPr>
          <w:p w:rsidR="00C4715D" w:rsidRPr="00C4715D" w:rsidRDefault="00C4715D" w:rsidP="00C4715D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715D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II. Tiesību akta projekta ietekme uz sabiedrību, tautsaimniecības attīstību un administratīvo slogu</w:t>
            </w:r>
          </w:p>
        </w:tc>
      </w:tr>
      <w:tr w:rsidR="00C4715D" w:rsidRPr="0032645B" w:rsidTr="00DA5EB0">
        <w:trPr>
          <w:jc w:val="center"/>
        </w:trPr>
        <w:tc>
          <w:tcPr>
            <w:tcW w:w="817" w:type="dxa"/>
          </w:tcPr>
          <w:p w:rsidR="00C4715D" w:rsidRPr="00C4715D" w:rsidRDefault="00C4715D" w:rsidP="00C4715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715D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2977" w:type="dxa"/>
          </w:tcPr>
          <w:p w:rsidR="00C4715D" w:rsidRPr="00C4715D" w:rsidRDefault="00C4715D" w:rsidP="00C4715D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715D">
              <w:rPr>
                <w:rFonts w:ascii="Times New Roman" w:hAnsi="Times New Roman"/>
                <w:sz w:val="24"/>
                <w:szCs w:val="24"/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5670" w:type="dxa"/>
          </w:tcPr>
          <w:p w:rsidR="00C4715D" w:rsidRPr="00C4715D" w:rsidRDefault="00C4715D" w:rsidP="00C4715D">
            <w:pPr>
              <w:tabs>
                <w:tab w:val="left" w:pos="476"/>
              </w:tabs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ab/>
            </w:r>
            <w:r w:rsidRPr="00EA0D2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Projekts attiecas uz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u</w:t>
            </w:r>
            <w:r w:rsidRPr="00EA0D2F">
              <w:rPr>
                <w:rFonts w:ascii="Times New Roman" w:hAnsi="Times New Roman"/>
                <w:sz w:val="24"/>
                <w:szCs w:val="24"/>
                <w:lang w:val="lv-LV"/>
              </w:rPr>
              <w:t>gunsdrošības preču, ugunsdzēsības iekārtu un ierīču ražotājiem, importētājiem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</w:tr>
      <w:tr w:rsidR="00C4715D" w:rsidRPr="0032645B" w:rsidTr="00DA5EB0">
        <w:trPr>
          <w:jc w:val="center"/>
        </w:trPr>
        <w:tc>
          <w:tcPr>
            <w:tcW w:w="817" w:type="dxa"/>
          </w:tcPr>
          <w:p w:rsidR="00C4715D" w:rsidRPr="00C4715D" w:rsidRDefault="00C4715D" w:rsidP="00C4715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715D"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2977" w:type="dxa"/>
          </w:tcPr>
          <w:p w:rsidR="00C4715D" w:rsidRPr="00C4715D" w:rsidRDefault="00C4715D" w:rsidP="00C4715D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715D">
              <w:rPr>
                <w:rFonts w:ascii="Times New Roman" w:hAnsi="Times New Roman"/>
                <w:sz w:val="24"/>
                <w:szCs w:val="24"/>
                <w:lang w:val="lv-LV"/>
              </w:rPr>
              <w:t>Tiesiskā regulējuma ietekme uz tautsaimniecību un administratīvo slogu</w:t>
            </w:r>
          </w:p>
        </w:tc>
        <w:tc>
          <w:tcPr>
            <w:tcW w:w="5670" w:type="dxa"/>
          </w:tcPr>
          <w:p w:rsidR="00392072" w:rsidRPr="00C4715D" w:rsidRDefault="007F139B" w:rsidP="007965F8">
            <w:pPr>
              <w:tabs>
                <w:tab w:val="left" w:pos="448"/>
              </w:tabs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ab/>
            </w:r>
            <w:r w:rsidR="00C4715D">
              <w:rPr>
                <w:rFonts w:ascii="Times New Roman" w:hAnsi="Times New Roman"/>
                <w:sz w:val="24"/>
                <w:szCs w:val="24"/>
                <w:lang w:val="lv-LV"/>
              </w:rPr>
              <w:t>U</w:t>
            </w:r>
            <w:r w:rsidR="00C4715D" w:rsidRPr="00EA0D2F">
              <w:rPr>
                <w:rFonts w:ascii="Times New Roman" w:hAnsi="Times New Roman"/>
                <w:sz w:val="24"/>
                <w:szCs w:val="24"/>
                <w:lang w:val="lv-LV"/>
              </w:rPr>
              <w:t>gunsdrošības preču, ugunsdzēsības iekārtu un i</w:t>
            </w:r>
            <w:r w:rsidR="00C4715D">
              <w:rPr>
                <w:rFonts w:ascii="Times New Roman" w:hAnsi="Times New Roman"/>
                <w:sz w:val="24"/>
                <w:szCs w:val="24"/>
                <w:lang w:val="lv-LV"/>
              </w:rPr>
              <w:t>erīču ražotājiem, importētājiem administratīvais slogs nemainās un projekta tiesiskais regulējums nemaina to tiesības un pienākumus, kā arī veicamās darbības, jo projekts paredz</w:t>
            </w:r>
            <w:r w:rsidR="008A062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7965F8">
              <w:rPr>
                <w:rFonts w:ascii="Times New Roman" w:hAnsi="Times New Roman"/>
                <w:sz w:val="24"/>
                <w:szCs w:val="24"/>
                <w:lang w:val="lv-LV"/>
              </w:rPr>
              <w:t>aizstāt spēkā neesoš</w:t>
            </w:r>
            <w:r w:rsidR="00392072">
              <w:rPr>
                <w:rFonts w:ascii="Times New Roman" w:hAnsi="Times New Roman"/>
                <w:sz w:val="24"/>
                <w:szCs w:val="24"/>
                <w:lang w:val="lv-LV"/>
              </w:rPr>
              <w:t>ās standartu versijas.</w:t>
            </w:r>
          </w:p>
        </w:tc>
      </w:tr>
      <w:tr w:rsidR="00C4715D" w:rsidRPr="0032645B" w:rsidTr="00DA5EB0">
        <w:trPr>
          <w:jc w:val="center"/>
        </w:trPr>
        <w:tc>
          <w:tcPr>
            <w:tcW w:w="817" w:type="dxa"/>
          </w:tcPr>
          <w:p w:rsidR="00C4715D" w:rsidRPr="00C4715D" w:rsidRDefault="00C4715D" w:rsidP="00C4715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715D"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2977" w:type="dxa"/>
          </w:tcPr>
          <w:p w:rsidR="00C4715D" w:rsidRPr="006D09BB" w:rsidRDefault="00C4715D" w:rsidP="00C4715D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D09BB">
              <w:rPr>
                <w:rFonts w:ascii="Times New Roman" w:hAnsi="Times New Roman"/>
                <w:sz w:val="24"/>
                <w:szCs w:val="24"/>
                <w:lang w:val="lv-LV"/>
              </w:rPr>
              <w:t>Administratīvo izmaksu monetārs novērtējums</w:t>
            </w:r>
          </w:p>
        </w:tc>
        <w:tc>
          <w:tcPr>
            <w:tcW w:w="5670" w:type="dxa"/>
          </w:tcPr>
          <w:p w:rsidR="00125F98" w:rsidRDefault="00C4715D" w:rsidP="00C4715D">
            <w:pPr>
              <w:tabs>
                <w:tab w:val="left" w:pos="448"/>
              </w:tabs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D09BB">
              <w:rPr>
                <w:rFonts w:ascii="Times New Roman" w:hAnsi="Times New Roman"/>
                <w:sz w:val="24"/>
                <w:szCs w:val="24"/>
                <w:lang w:val="lv-LV"/>
              </w:rPr>
              <w:tab/>
              <w:t xml:space="preserve">Projekts rada vienreizējas administratīvās izmaksas ugunsdrošības preču, ugunsdzēsības iekārtu un ierīču ražotājiem, importētājiem. </w:t>
            </w:r>
          </w:p>
          <w:p w:rsidR="00C4715D" w:rsidRPr="006D09BB" w:rsidRDefault="00125F98" w:rsidP="00C4715D">
            <w:pPr>
              <w:tabs>
                <w:tab w:val="left" w:pos="448"/>
              </w:tabs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ab/>
            </w:r>
            <w:r w:rsidR="00C4715D" w:rsidRPr="006D09B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Lai nodrošinātu ugunsdrošības preču, ugunsdzēsības iekārtu un ierīču atbilstību būtiskajām prasībām, minētajai mērķgrupai par maksu ir jāiegādājas spēkā esošās standartu versijas. </w:t>
            </w:r>
          </w:p>
          <w:p w:rsidR="00C4715D" w:rsidRPr="006D09BB" w:rsidRDefault="00C4715D" w:rsidP="00C4715D">
            <w:pPr>
              <w:tabs>
                <w:tab w:val="left" w:pos="451"/>
              </w:tabs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D09BB">
              <w:rPr>
                <w:rFonts w:ascii="Times New Roman" w:hAnsi="Times New Roman"/>
                <w:sz w:val="24"/>
                <w:szCs w:val="24"/>
                <w:lang w:val="lv-LV"/>
              </w:rPr>
              <w:tab/>
              <w:t xml:space="preserve">Saskaņā ar </w:t>
            </w:r>
            <w:r w:rsidRPr="006D09BB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Standartizācijas biroja </w:t>
            </w:r>
            <w:r w:rsidRPr="006D09BB">
              <w:rPr>
                <w:rFonts w:ascii="Times New Roman" w:hAnsi="Times New Roman"/>
                <w:sz w:val="24"/>
                <w:szCs w:val="24"/>
                <w:lang w:val="lv-LV"/>
              </w:rPr>
              <w:t>norādīto standartu izcenojumu, administratīvo izmaksu monetārajā novērtējumā ugunsdrošības preču, ugunsdzēsības iekārtu un ierīču ražotājiem, importētājiem, lai iegādātos projektā norādītās spēkā esošās standartu versijas, tiek paredzētas administratīvās izmaksas ~ 350 EUR apmērā.</w:t>
            </w:r>
          </w:p>
        </w:tc>
      </w:tr>
      <w:tr w:rsidR="00C4715D" w:rsidRPr="00C4715D" w:rsidTr="00DA5EB0">
        <w:trPr>
          <w:jc w:val="center"/>
        </w:trPr>
        <w:tc>
          <w:tcPr>
            <w:tcW w:w="817" w:type="dxa"/>
          </w:tcPr>
          <w:p w:rsidR="00C4715D" w:rsidRPr="00C4715D" w:rsidRDefault="00C4715D" w:rsidP="00C4715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715D">
              <w:rPr>
                <w:rFonts w:ascii="Times New Roman" w:hAnsi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2977" w:type="dxa"/>
          </w:tcPr>
          <w:p w:rsidR="00C4715D" w:rsidRPr="00C4715D" w:rsidRDefault="00C4715D" w:rsidP="00C4715D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715D">
              <w:rPr>
                <w:rFonts w:ascii="Times New Roman" w:hAnsi="Times New Roman"/>
                <w:sz w:val="24"/>
                <w:szCs w:val="24"/>
                <w:lang w:val="lv-LV"/>
              </w:rPr>
              <w:t>Cita informācija</w:t>
            </w:r>
          </w:p>
        </w:tc>
        <w:tc>
          <w:tcPr>
            <w:tcW w:w="5670" w:type="dxa"/>
          </w:tcPr>
          <w:p w:rsidR="00C4715D" w:rsidRPr="00C4715D" w:rsidRDefault="00C4715D" w:rsidP="00C4715D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Nav</w:t>
            </w:r>
          </w:p>
        </w:tc>
      </w:tr>
    </w:tbl>
    <w:p w:rsidR="00C4715D" w:rsidRDefault="00C4715D" w:rsidP="00701F37">
      <w:pPr>
        <w:spacing w:after="120" w:line="240" w:lineRule="auto"/>
        <w:rPr>
          <w:rFonts w:ascii="Times New Roman" w:hAnsi="Times New Roman"/>
          <w:sz w:val="28"/>
          <w:szCs w:val="28"/>
          <w:lang w:val="lv-LV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4"/>
        <w:gridCol w:w="2939"/>
        <w:gridCol w:w="5545"/>
      </w:tblGrid>
      <w:tr w:rsidR="00DA5EB0" w:rsidRPr="0032645B" w:rsidTr="00DA5EB0">
        <w:trPr>
          <w:jc w:val="center"/>
        </w:trPr>
        <w:tc>
          <w:tcPr>
            <w:tcW w:w="9464" w:type="dxa"/>
            <w:gridSpan w:val="3"/>
          </w:tcPr>
          <w:p w:rsidR="00DA5EB0" w:rsidRDefault="00DA5EB0" w:rsidP="00DA5EB0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A0D2F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VII. Tiesību akta projekta izpildes nodrošināšana un tās ietekme uz institūcijām</w:t>
            </w:r>
          </w:p>
        </w:tc>
      </w:tr>
      <w:tr w:rsidR="00DA5EB0" w:rsidRPr="0032645B" w:rsidTr="00DA5EB0">
        <w:trPr>
          <w:jc w:val="center"/>
        </w:trPr>
        <w:tc>
          <w:tcPr>
            <w:tcW w:w="817" w:type="dxa"/>
          </w:tcPr>
          <w:p w:rsidR="00DA5EB0" w:rsidRPr="00DA5EB0" w:rsidRDefault="00DA5EB0" w:rsidP="00DA5EB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A5EB0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2977" w:type="dxa"/>
          </w:tcPr>
          <w:p w:rsidR="00DA5EB0" w:rsidRPr="00DA5EB0" w:rsidRDefault="00DA5EB0" w:rsidP="00DA5EB0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A5EB0">
              <w:rPr>
                <w:rFonts w:ascii="Times New Roman" w:hAnsi="Times New Roman"/>
                <w:sz w:val="24"/>
                <w:szCs w:val="24"/>
                <w:lang w:val="lv-LV"/>
              </w:rPr>
              <w:t>Projekta izpildē iesaistītās institūcijas</w:t>
            </w:r>
          </w:p>
        </w:tc>
        <w:tc>
          <w:tcPr>
            <w:tcW w:w="5670" w:type="dxa"/>
          </w:tcPr>
          <w:p w:rsidR="00DA5EB0" w:rsidRPr="00DA5EB0" w:rsidRDefault="00DA5EB0" w:rsidP="00DA5EB0">
            <w:pPr>
              <w:tabs>
                <w:tab w:val="left" w:pos="488"/>
              </w:tabs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ab/>
            </w:r>
            <w:r w:rsidRPr="00EA0D2F">
              <w:rPr>
                <w:rFonts w:ascii="Times New Roman" w:hAnsi="Times New Roman"/>
                <w:sz w:val="24"/>
                <w:szCs w:val="24"/>
                <w:lang w:val="lv-LV"/>
              </w:rPr>
              <w:t>Valsts ugunsdzēsības un glābšanas dienests, Patērētāju tiesību aizsardzības centrs.</w:t>
            </w:r>
          </w:p>
        </w:tc>
      </w:tr>
      <w:tr w:rsidR="00DA5EB0" w:rsidRPr="0032645B" w:rsidTr="00DA5EB0">
        <w:trPr>
          <w:jc w:val="center"/>
        </w:trPr>
        <w:tc>
          <w:tcPr>
            <w:tcW w:w="817" w:type="dxa"/>
          </w:tcPr>
          <w:p w:rsidR="00DA5EB0" w:rsidRPr="00DA5EB0" w:rsidRDefault="00DA5EB0" w:rsidP="00DA5EB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2977" w:type="dxa"/>
          </w:tcPr>
          <w:p w:rsidR="00DA5EB0" w:rsidRPr="00DA5EB0" w:rsidRDefault="00DA5EB0" w:rsidP="00DA5EB0">
            <w:pPr>
              <w:pStyle w:val="naisf"/>
              <w:spacing w:before="0" w:beforeAutospacing="0" w:after="0" w:afterAutospacing="0"/>
              <w:ind w:right="57"/>
              <w:jc w:val="both"/>
            </w:pPr>
            <w:r w:rsidRPr="00DA5EB0">
              <w:t>Projekta izpildes ietekme uz pār</w:t>
            </w:r>
            <w:r w:rsidRPr="00DA5EB0">
              <w:softHyphen/>
              <w:t>valdes funkcijām un institucionālo struktūru.</w:t>
            </w:r>
          </w:p>
          <w:p w:rsidR="00DA5EB0" w:rsidRPr="00DA5EB0" w:rsidRDefault="00DA5EB0" w:rsidP="00DA5EB0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A5EB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Jaunu institūciju izveide, esošu institūciju likvidācija vai reorganizācija, to </w:t>
            </w:r>
            <w:r w:rsidRPr="00DA5EB0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ietekme uz institūcijas cilvēkresursiem</w:t>
            </w:r>
          </w:p>
        </w:tc>
        <w:tc>
          <w:tcPr>
            <w:tcW w:w="5670" w:type="dxa"/>
          </w:tcPr>
          <w:p w:rsidR="00DA5EB0" w:rsidRPr="00EA0D2F" w:rsidRDefault="00DA5EB0" w:rsidP="00DA5EB0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A0D2F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Projekts šo jomu neskar.</w:t>
            </w:r>
          </w:p>
          <w:p w:rsidR="00DA5EB0" w:rsidRPr="00EA0D2F" w:rsidRDefault="00DA5EB0" w:rsidP="00DA5EB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  <w:p w:rsidR="00DA5EB0" w:rsidRPr="00EA0D2F" w:rsidRDefault="00DA5EB0" w:rsidP="00DA5EB0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  <w:p w:rsidR="00DA5EB0" w:rsidRPr="00DA5EB0" w:rsidRDefault="00DA5EB0" w:rsidP="00DA5EB0">
            <w:pPr>
              <w:tabs>
                <w:tab w:val="left" w:pos="463"/>
              </w:tabs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A0D2F">
              <w:rPr>
                <w:rFonts w:ascii="Times New Roman" w:hAnsi="Times New Roman"/>
                <w:sz w:val="24"/>
                <w:szCs w:val="24"/>
                <w:lang w:val="lv-LV"/>
              </w:rPr>
              <w:t>Projekta izpildes rezultātā nav paredzēta esošu institūciju likvidācija vai reorganizācija.</w:t>
            </w:r>
          </w:p>
        </w:tc>
      </w:tr>
      <w:tr w:rsidR="00DA5EB0" w:rsidTr="00DA5EB0">
        <w:trPr>
          <w:jc w:val="center"/>
        </w:trPr>
        <w:tc>
          <w:tcPr>
            <w:tcW w:w="817" w:type="dxa"/>
          </w:tcPr>
          <w:p w:rsidR="00DA5EB0" w:rsidRPr="00DA5EB0" w:rsidRDefault="00DA5EB0" w:rsidP="00DA5EB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3.</w:t>
            </w:r>
          </w:p>
        </w:tc>
        <w:tc>
          <w:tcPr>
            <w:tcW w:w="2977" w:type="dxa"/>
          </w:tcPr>
          <w:p w:rsidR="00DA5EB0" w:rsidRPr="00DA5EB0" w:rsidRDefault="00DA5EB0" w:rsidP="00DA5EB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A5EB0">
              <w:rPr>
                <w:rFonts w:ascii="Times New Roman" w:hAnsi="Times New Roman"/>
                <w:sz w:val="24"/>
                <w:szCs w:val="24"/>
                <w:lang w:val="lv-LV"/>
              </w:rPr>
              <w:t>Cita informācija</w:t>
            </w:r>
          </w:p>
        </w:tc>
        <w:tc>
          <w:tcPr>
            <w:tcW w:w="5670" w:type="dxa"/>
          </w:tcPr>
          <w:p w:rsidR="00DA5EB0" w:rsidRPr="00DA5EB0" w:rsidRDefault="00DA5EB0" w:rsidP="00DA5EB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Nav</w:t>
            </w:r>
          </w:p>
        </w:tc>
      </w:tr>
    </w:tbl>
    <w:p w:rsidR="00476714" w:rsidRDefault="00476714" w:rsidP="00DB7CFC">
      <w:pPr>
        <w:spacing w:after="0" w:line="240" w:lineRule="auto"/>
        <w:rPr>
          <w:rFonts w:ascii="Times New Roman" w:hAnsi="Times New Roman"/>
          <w:i/>
          <w:sz w:val="24"/>
          <w:szCs w:val="24"/>
          <w:lang w:val="lv-LV" w:eastAsia="lv-LV"/>
        </w:rPr>
      </w:pPr>
    </w:p>
    <w:p w:rsidR="00DB7CFC" w:rsidRPr="00DC214A" w:rsidRDefault="00DB7CFC" w:rsidP="00DB7CFC">
      <w:pPr>
        <w:spacing w:after="0" w:line="240" w:lineRule="auto"/>
        <w:rPr>
          <w:rFonts w:ascii="Times New Roman" w:hAnsi="Times New Roman"/>
          <w:i/>
          <w:sz w:val="24"/>
          <w:szCs w:val="24"/>
          <w:lang w:val="lv-LV" w:eastAsia="lv-LV"/>
        </w:rPr>
      </w:pPr>
      <w:r>
        <w:rPr>
          <w:rFonts w:ascii="Times New Roman" w:hAnsi="Times New Roman"/>
          <w:i/>
          <w:sz w:val="24"/>
          <w:szCs w:val="24"/>
          <w:lang w:val="lv-LV" w:eastAsia="lv-LV"/>
        </w:rPr>
        <w:t>A</w:t>
      </w:r>
      <w:r w:rsidRPr="00DC214A">
        <w:rPr>
          <w:rFonts w:ascii="Times New Roman" w:hAnsi="Times New Roman"/>
          <w:i/>
          <w:sz w:val="24"/>
          <w:szCs w:val="24"/>
          <w:lang w:val="lv-LV" w:eastAsia="lv-LV"/>
        </w:rPr>
        <w:t xml:space="preserve">notācijas III, IV, V un VI sadaļa – </w:t>
      </w:r>
      <w:r w:rsidRPr="00DC214A">
        <w:rPr>
          <w:rFonts w:ascii="Times New Roman" w:hAnsi="Times New Roman"/>
          <w:sz w:val="24"/>
          <w:szCs w:val="24"/>
          <w:lang w:val="lv-LV" w:eastAsia="lv-LV"/>
        </w:rPr>
        <w:t>projekts šīs jomas neskar.</w:t>
      </w:r>
    </w:p>
    <w:p w:rsidR="00DA5EB0" w:rsidRDefault="00DA5EB0" w:rsidP="00C4715D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DA5EB0" w:rsidRDefault="00DA5EB0" w:rsidP="00C4715D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DA5EB0" w:rsidRDefault="00DA5EB0" w:rsidP="00DA5EB0">
      <w:pPr>
        <w:tabs>
          <w:tab w:val="right" w:pos="9072"/>
        </w:tabs>
        <w:spacing w:after="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DA5EB0" w:rsidRDefault="00DA5EB0" w:rsidP="00DA5EB0">
      <w:pPr>
        <w:tabs>
          <w:tab w:val="right" w:pos="9072"/>
        </w:tabs>
        <w:spacing w:after="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Iesniedzējs:</w:t>
      </w:r>
    </w:p>
    <w:p w:rsidR="00DA5EB0" w:rsidRPr="00C0281A" w:rsidRDefault="00DA5EB0" w:rsidP="00DA5EB0">
      <w:pPr>
        <w:spacing w:after="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Iekšlietu ministrs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 w:rsidRPr="00C0281A">
        <w:rPr>
          <w:rFonts w:ascii="Times New Roman" w:hAnsi="Times New Roman"/>
          <w:sz w:val="28"/>
          <w:szCs w:val="28"/>
          <w:lang w:val="lv-LV"/>
        </w:rPr>
        <w:t>R.Kozlovskis</w:t>
      </w:r>
    </w:p>
    <w:p w:rsidR="00DA5EB0" w:rsidRDefault="00DA5EB0" w:rsidP="00DA5EB0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DA5EB0" w:rsidRDefault="00DA5EB0" w:rsidP="00DA5EB0">
      <w:pPr>
        <w:tabs>
          <w:tab w:val="left" w:pos="6521"/>
        </w:tabs>
        <w:jc w:val="both"/>
        <w:rPr>
          <w:rFonts w:ascii="Times New Roman" w:hAnsi="Times New Roman"/>
          <w:sz w:val="28"/>
          <w:szCs w:val="28"/>
          <w:lang w:val="lv-LV"/>
        </w:rPr>
      </w:pPr>
      <w:r w:rsidRPr="00C0281A">
        <w:rPr>
          <w:rFonts w:ascii="Times New Roman" w:hAnsi="Times New Roman"/>
          <w:sz w:val="28"/>
          <w:szCs w:val="28"/>
          <w:lang w:val="lv-LV"/>
        </w:rPr>
        <w:t>Vīza: valsts sekretāre</w:t>
      </w:r>
      <w:r w:rsidRPr="00C0281A">
        <w:rPr>
          <w:rFonts w:ascii="Times New Roman" w:hAnsi="Times New Roman"/>
          <w:sz w:val="28"/>
          <w:szCs w:val="28"/>
          <w:lang w:val="lv-LV"/>
        </w:rPr>
        <w:tab/>
        <w:t>I.Pētersone-Godmane</w:t>
      </w:r>
    </w:p>
    <w:p w:rsidR="00DA5EB0" w:rsidRDefault="00DA5EB0" w:rsidP="00DA5EB0">
      <w:pPr>
        <w:tabs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392072" w:rsidRDefault="00392072" w:rsidP="00DA5EB0">
      <w:pPr>
        <w:tabs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392072" w:rsidRDefault="00392072" w:rsidP="00DA5EB0">
      <w:pPr>
        <w:tabs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392072" w:rsidRDefault="00392072" w:rsidP="00DA5EB0">
      <w:pPr>
        <w:tabs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392072" w:rsidRDefault="00392072" w:rsidP="00DA5EB0">
      <w:pPr>
        <w:tabs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392072" w:rsidRDefault="00392072" w:rsidP="00DA5EB0">
      <w:pPr>
        <w:pStyle w:val="naisf"/>
        <w:tabs>
          <w:tab w:val="left" w:pos="2091"/>
        </w:tabs>
        <w:spacing w:before="0" w:beforeAutospacing="0" w:after="0" w:afterAutospacing="0"/>
        <w:rPr>
          <w:sz w:val="20"/>
          <w:szCs w:val="20"/>
        </w:rPr>
      </w:pPr>
    </w:p>
    <w:p w:rsidR="00392072" w:rsidRDefault="00392072" w:rsidP="00DA5EB0">
      <w:pPr>
        <w:pStyle w:val="naisf"/>
        <w:tabs>
          <w:tab w:val="left" w:pos="2091"/>
        </w:tabs>
        <w:spacing w:before="0" w:beforeAutospacing="0" w:after="0" w:afterAutospacing="0"/>
        <w:rPr>
          <w:sz w:val="20"/>
          <w:szCs w:val="20"/>
        </w:rPr>
      </w:pPr>
    </w:p>
    <w:p w:rsidR="00392072" w:rsidRDefault="00392072" w:rsidP="00DA5EB0">
      <w:pPr>
        <w:pStyle w:val="naisf"/>
        <w:tabs>
          <w:tab w:val="left" w:pos="2091"/>
        </w:tabs>
        <w:spacing w:before="0" w:beforeAutospacing="0" w:after="0" w:afterAutospacing="0"/>
        <w:rPr>
          <w:sz w:val="20"/>
          <w:szCs w:val="20"/>
        </w:rPr>
      </w:pPr>
    </w:p>
    <w:p w:rsidR="00392072" w:rsidRDefault="00392072" w:rsidP="00DA5EB0">
      <w:pPr>
        <w:pStyle w:val="naisf"/>
        <w:tabs>
          <w:tab w:val="left" w:pos="2091"/>
        </w:tabs>
        <w:spacing w:before="0" w:beforeAutospacing="0" w:after="0" w:afterAutospacing="0"/>
        <w:rPr>
          <w:sz w:val="20"/>
          <w:szCs w:val="20"/>
        </w:rPr>
      </w:pPr>
    </w:p>
    <w:p w:rsidR="00392072" w:rsidRDefault="00392072" w:rsidP="00DA5EB0">
      <w:pPr>
        <w:pStyle w:val="naisf"/>
        <w:tabs>
          <w:tab w:val="left" w:pos="2091"/>
        </w:tabs>
        <w:spacing w:before="0" w:beforeAutospacing="0" w:after="0" w:afterAutospacing="0"/>
        <w:rPr>
          <w:sz w:val="20"/>
          <w:szCs w:val="20"/>
        </w:rPr>
      </w:pPr>
    </w:p>
    <w:p w:rsidR="00392072" w:rsidRDefault="00392072" w:rsidP="00DA5EB0">
      <w:pPr>
        <w:pStyle w:val="naisf"/>
        <w:tabs>
          <w:tab w:val="left" w:pos="2091"/>
        </w:tabs>
        <w:spacing w:before="0" w:beforeAutospacing="0" w:after="0" w:afterAutospacing="0"/>
        <w:rPr>
          <w:sz w:val="20"/>
          <w:szCs w:val="20"/>
        </w:rPr>
      </w:pPr>
    </w:p>
    <w:p w:rsidR="00392072" w:rsidRDefault="00392072" w:rsidP="00DA5EB0">
      <w:pPr>
        <w:pStyle w:val="naisf"/>
        <w:tabs>
          <w:tab w:val="left" w:pos="2091"/>
        </w:tabs>
        <w:spacing w:before="0" w:beforeAutospacing="0" w:after="0" w:afterAutospacing="0"/>
        <w:rPr>
          <w:sz w:val="20"/>
          <w:szCs w:val="20"/>
        </w:rPr>
      </w:pPr>
    </w:p>
    <w:p w:rsidR="00392072" w:rsidRDefault="00392072" w:rsidP="00DA5EB0">
      <w:pPr>
        <w:pStyle w:val="naisf"/>
        <w:tabs>
          <w:tab w:val="left" w:pos="2091"/>
        </w:tabs>
        <w:spacing w:before="0" w:beforeAutospacing="0" w:after="0" w:afterAutospacing="0"/>
        <w:rPr>
          <w:sz w:val="20"/>
          <w:szCs w:val="20"/>
        </w:rPr>
      </w:pPr>
    </w:p>
    <w:p w:rsidR="00392072" w:rsidRDefault="00392072" w:rsidP="00DA5EB0">
      <w:pPr>
        <w:pStyle w:val="naisf"/>
        <w:tabs>
          <w:tab w:val="left" w:pos="2091"/>
        </w:tabs>
        <w:spacing w:before="0" w:beforeAutospacing="0" w:after="0" w:afterAutospacing="0"/>
        <w:rPr>
          <w:sz w:val="20"/>
          <w:szCs w:val="20"/>
        </w:rPr>
      </w:pPr>
    </w:p>
    <w:p w:rsidR="00392072" w:rsidRDefault="00392072" w:rsidP="00DA5EB0">
      <w:pPr>
        <w:pStyle w:val="naisf"/>
        <w:tabs>
          <w:tab w:val="left" w:pos="2091"/>
        </w:tabs>
        <w:spacing w:before="0" w:beforeAutospacing="0" w:after="0" w:afterAutospacing="0"/>
        <w:rPr>
          <w:sz w:val="20"/>
          <w:szCs w:val="20"/>
        </w:rPr>
      </w:pPr>
    </w:p>
    <w:p w:rsidR="00392072" w:rsidRDefault="00392072" w:rsidP="00DA5EB0">
      <w:pPr>
        <w:pStyle w:val="naisf"/>
        <w:tabs>
          <w:tab w:val="left" w:pos="2091"/>
        </w:tabs>
        <w:spacing w:before="0" w:beforeAutospacing="0" w:after="0" w:afterAutospacing="0"/>
        <w:rPr>
          <w:sz w:val="20"/>
          <w:szCs w:val="20"/>
        </w:rPr>
      </w:pPr>
    </w:p>
    <w:p w:rsidR="00392072" w:rsidRDefault="00392072" w:rsidP="00DA5EB0">
      <w:pPr>
        <w:pStyle w:val="naisf"/>
        <w:tabs>
          <w:tab w:val="left" w:pos="2091"/>
        </w:tabs>
        <w:spacing w:before="0" w:beforeAutospacing="0" w:after="0" w:afterAutospacing="0"/>
        <w:rPr>
          <w:sz w:val="20"/>
          <w:szCs w:val="20"/>
        </w:rPr>
      </w:pPr>
    </w:p>
    <w:p w:rsidR="00392072" w:rsidRDefault="00392072" w:rsidP="00DA5EB0">
      <w:pPr>
        <w:pStyle w:val="naisf"/>
        <w:tabs>
          <w:tab w:val="left" w:pos="2091"/>
        </w:tabs>
        <w:spacing w:before="0" w:beforeAutospacing="0" w:after="0" w:afterAutospacing="0"/>
        <w:rPr>
          <w:sz w:val="20"/>
          <w:szCs w:val="20"/>
        </w:rPr>
      </w:pPr>
    </w:p>
    <w:p w:rsidR="00392072" w:rsidRDefault="00392072" w:rsidP="00DA5EB0">
      <w:pPr>
        <w:pStyle w:val="naisf"/>
        <w:tabs>
          <w:tab w:val="left" w:pos="2091"/>
        </w:tabs>
        <w:spacing w:before="0" w:beforeAutospacing="0" w:after="0" w:afterAutospacing="0"/>
        <w:rPr>
          <w:sz w:val="20"/>
          <w:szCs w:val="20"/>
        </w:rPr>
      </w:pPr>
    </w:p>
    <w:p w:rsidR="00392072" w:rsidRDefault="00392072" w:rsidP="00DA5EB0">
      <w:pPr>
        <w:pStyle w:val="naisf"/>
        <w:tabs>
          <w:tab w:val="left" w:pos="2091"/>
        </w:tabs>
        <w:spacing w:before="0" w:beforeAutospacing="0" w:after="0" w:afterAutospacing="0"/>
        <w:rPr>
          <w:sz w:val="20"/>
          <w:szCs w:val="20"/>
        </w:rPr>
      </w:pPr>
    </w:p>
    <w:p w:rsidR="00392072" w:rsidRDefault="00392072" w:rsidP="00DA5EB0">
      <w:pPr>
        <w:pStyle w:val="naisf"/>
        <w:tabs>
          <w:tab w:val="left" w:pos="2091"/>
        </w:tabs>
        <w:spacing w:before="0" w:beforeAutospacing="0" w:after="0" w:afterAutospacing="0"/>
        <w:rPr>
          <w:sz w:val="20"/>
          <w:szCs w:val="20"/>
        </w:rPr>
      </w:pPr>
    </w:p>
    <w:p w:rsidR="00392072" w:rsidRDefault="00392072" w:rsidP="00DA5EB0">
      <w:pPr>
        <w:pStyle w:val="naisf"/>
        <w:tabs>
          <w:tab w:val="left" w:pos="2091"/>
        </w:tabs>
        <w:spacing w:before="0" w:beforeAutospacing="0" w:after="0" w:afterAutospacing="0"/>
        <w:rPr>
          <w:sz w:val="20"/>
          <w:szCs w:val="20"/>
        </w:rPr>
      </w:pPr>
    </w:p>
    <w:p w:rsidR="00392072" w:rsidRDefault="00392072" w:rsidP="00DA5EB0">
      <w:pPr>
        <w:pStyle w:val="naisf"/>
        <w:tabs>
          <w:tab w:val="left" w:pos="2091"/>
        </w:tabs>
        <w:spacing w:before="0" w:beforeAutospacing="0" w:after="0" w:afterAutospacing="0"/>
        <w:rPr>
          <w:sz w:val="20"/>
          <w:szCs w:val="20"/>
        </w:rPr>
      </w:pPr>
    </w:p>
    <w:p w:rsidR="00392072" w:rsidRDefault="00392072" w:rsidP="00DA5EB0">
      <w:pPr>
        <w:pStyle w:val="naisf"/>
        <w:tabs>
          <w:tab w:val="left" w:pos="2091"/>
        </w:tabs>
        <w:spacing w:before="0" w:beforeAutospacing="0" w:after="0" w:afterAutospacing="0"/>
        <w:rPr>
          <w:sz w:val="20"/>
          <w:szCs w:val="20"/>
        </w:rPr>
      </w:pPr>
    </w:p>
    <w:p w:rsidR="00392072" w:rsidRDefault="00392072" w:rsidP="00DA5EB0">
      <w:pPr>
        <w:pStyle w:val="naisf"/>
        <w:tabs>
          <w:tab w:val="left" w:pos="2091"/>
        </w:tabs>
        <w:spacing w:before="0" w:beforeAutospacing="0" w:after="0" w:afterAutospacing="0"/>
        <w:rPr>
          <w:sz w:val="20"/>
          <w:szCs w:val="20"/>
        </w:rPr>
      </w:pPr>
    </w:p>
    <w:p w:rsidR="00392072" w:rsidRDefault="00392072" w:rsidP="00DA5EB0">
      <w:pPr>
        <w:pStyle w:val="naisf"/>
        <w:tabs>
          <w:tab w:val="left" w:pos="2091"/>
        </w:tabs>
        <w:spacing w:before="0" w:beforeAutospacing="0" w:after="0" w:afterAutospacing="0"/>
        <w:rPr>
          <w:sz w:val="20"/>
          <w:szCs w:val="20"/>
        </w:rPr>
      </w:pPr>
    </w:p>
    <w:p w:rsidR="00392072" w:rsidRDefault="00392072" w:rsidP="00DA5EB0">
      <w:pPr>
        <w:pStyle w:val="naisf"/>
        <w:tabs>
          <w:tab w:val="left" w:pos="2091"/>
        </w:tabs>
        <w:spacing w:before="0" w:beforeAutospacing="0" w:after="0" w:afterAutospacing="0"/>
        <w:rPr>
          <w:sz w:val="20"/>
          <w:szCs w:val="20"/>
        </w:rPr>
      </w:pPr>
    </w:p>
    <w:p w:rsidR="00392072" w:rsidRDefault="00392072" w:rsidP="00DA5EB0">
      <w:pPr>
        <w:pStyle w:val="naisf"/>
        <w:tabs>
          <w:tab w:val="left" w:pos="2091"/>
        </w:tabs>
        <w:spacing w:before="0" w:beforeAutospacing="0" w:after="0" w:afterAutospacing="0"/>
        <w:rPr>
          <w:sz w:val="20"/>
          <w:szCs w:val="20"/>
        </w:rPr>
      </w:pPr>
    </w:p>
    <w:p w:rsidR="00392072" w:rsidRDefault="00392072" w:rsidP="00DA5EB0">
      <w:pPr>
        <w:pStyle w:val="naisf"/>
        <w:tabs>
          <w:tab w:val="left" w:pos="2091"/>
        </w:tabs>
        <w:spacing w:before="0" w:beforeAutospacing="0" w:after="0" w:afterAutospacing="0"/>
        <w:rPr>
          <w:sz w:val="20"/>
          <w:szCs w:val="20"/>
        </w:rPr>
      </w:pPr>
    </w:p>
    <w:p w:rsidR="00096DAF" w:rsidRDefault="00096DAF" w:rsidP="00DA5EB0">
      <w:pPr>
        <w:pStyle w:val="naisf"/>
        <w:tabs>
          <w:tab w:val="left" w:pos="2091"/>
        </w:tabs>
        <w:spacing w:before="0" w:beforeAutospacing="0" w:after="0" w:afterAutospacing="0"/>
        <w:rPr>
          <w:sz w:val="20"/>
          <w:szCs w:val="20"/>
        </w:rPr>
      </w:pPr>
    </w:p>
    <w:p w:rsidR="00096DAF" w:rsidRDefault="00096DAF" w:rsidP="00DA5EB0">
      <w:pPr>
        <w:pStyle w:val="naisf"/>
        <w:tabs>
          <w:tab w:val="left" w:pos="2091"/>
        </w:tabs>
        <w:spacing w:before="0" w:beforeAutospacing="0" w:after="0" w:afterAutospacing="0"/>
        <w:rPr>
          <w:sz w:val="20"/>
          <w:szCs w:val="20"/>
        </w:rPr>
      </w:pPr>
    </w:p>
    <w:p w:rsidR="00096DAF" w:rsidRDefault="00096DAF" w:rsidP="00DA5EB0">
      <w:pPr>
        <w:pStyle w:val="naisf"/>
        <w:tabs>
          <w:tab w:val="left" w:pos="2091"/>
        </w:tabs>
        <w:spacing w:before="0" w:beforeAutospacing="0" w:after="0" w:afterAutospacing="0"/>
        <w:rPr>
          <w:sz w:val="20"/>
          <w:szCs w:val="20"/>
        </w:rPr>
      </w:pPr>
    </w:p>
    <w:p w:rsidR="00096DAF" w:rsidRDefault="00096DAF" w:rsidP="00DA5EB0">
      <w:pPr>
        <w:pStyle w:val="naisf"/>
        <w:tabs>
          <w:tab w:val="left" w:pos="2091"/>
        </w:tabs>
        <w:spacing w:before="0" w:beforeAutospacing="0" w:after="0" w:afterAutospacing="0"/>
        <w:rPr>
          <w:sz w:val="20"/>
          <w:szCs w:val="20"/>
        </w:rPr>
      </w:pPr>
    </w:p>
    <w:p w:rsidR="00096DAF" w:rsidRDefault="00096DAF" w:rsidP="00DA5EB0">
      <w:pPr>
        <w:pStyle w:val="naisf"/>
        <w:tabs>
          <w:tab w:val="left" w:pos="2091"/>
        </w:tabs>
        <w:spacing w:before="0" w:beforeAutospacing="0" w:after="0" w:afterAutospacing="0"/>
        <w:rPr>
          <w:sz w:val="20"/>
          <w:szCs w:val="20"/>
        </w:rPr>
      </w:pPr>
    </w:p>
    <w:p w:rsidR="00DA5EB0" w:rsidRPr="00C0281A" w:rsidRDefault="00DA5EB0" w:rsidP="00DA5EB0">
      <w:pPr>
        <w:pStyle w:val="naisf"/>
        <w:tabs>
          <w:tab w:val="left" w:pos="2091"/>
        </w:tabs>
        <w:spacing w:before="0" w:beforeAutospacing="0" w:after="0" w:afterAutospacing="0"/>
        <w:rPr>
          <w:sz w:val="20"/>
          <w:szCs w:val="20"/>
        </w:rPr>
      </w:pPr>
      <w:r w:rsidRPr="00C0281A">
        <w:rPr>
          <w:sz w:val="20"/>
          <w:szCs w:val="20"/>
          <w:lang w:val="ru-RU"/>
        </w:rPr>
        <w:fldChar w:fldCharType="begin"/>
      </w:r>
      <w:r w:rsidRPr="00C0281A">
        <w:rPr>
          <w:sz w:val="20"/>
          <w:szCs w:val="20"/>
          <w:lang w:val="ru-RU"/>
        </w:rPr>
        <w:instrText xml:space="preserve"> TIME \@ "dd.MM.yyyy H:mm" </w:instrText>
      </w:r>
      <w:r w:rsidRPr="00C0281A">
        <w:rPr>
          <w:sz w:val="20"/>
          <w:szCs w:val="20"/>
          <w:lang w:val="ru-RU"/>
        </w:rPr>
        <w:fldChar w:fldCharType="separate"/>
      </w:r>
      <w:r w:rsidR="00596956">
        <w:rPr>
          <w:noProof/>
          <w:sz w:val="20"/>
          <w:szCs w:val="20"/>
          <w:lang w:val="ru-RU"/>
        </w:rPr>
        <w:t>03.12.2014 11:16</w:t>
      </w:r>
      <w:r w:rsidRPr="00C0281A">
        <w:rPr>
          <w:sz w:val="20"/>
          <w:szCs w:val="20"/>
          <w:lang w:val="ru-RU"/>
        </w:rPr>
        <w:fldChar w:fldCharType="end"/>
      </w:r>
      <w:r w:rsidRPr="00C0281A">
        <w:rPr>
          <w:sz w:val="20"/>
          <w:szCs w:val="20"/>
          <w:lang w:val="en-US"/>
        </w:rPr>
        <w:tab/>
      </w:r>
    </w:p>
    <w:p w:rsidR="00DA5EB0" w:rsidRPr="00C0281A" w:rsidRDefault="00E15C75" w:rsidP="00DA5E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32645B" w:rsidRPr="0032645B">
        <w:rPr>
          <w:rFonts w:ascii="Times New Roman" w:hAnsi="Times New Roman"/>
          <w:noProof/>
          <w:sz w:val="20"/>
          <w:szCs w:val="20"/>
        </w:rPr>
        <w:t>567</w:t>
      </w:r>
      <w:r>
        <w:rPr>
          <w:rFonts w:ascii="Times New Roman" w:hAnsi="Times New Roman"/>
          <w:noProof/>
          <w:sz w:val="20"/>
          <w:szCs w:val="20"/>
        </w:rPr>
        <w:fldChar w:fldCharType="end"/>
      </w:r>
    </w:p>
    <w:p w:rsidR="00DA5EB0" w:rsidRPr="00C0281A" w:rsidRDefault="00DA5EB0" w:rsidP="00DA5EB0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C0281A">
        <w:rPr>
          <w:rFonts w:ascii="Times New Roman" w:hAnsi="Times New Roman"/>
          <w:sz w:val="20"/>
          <w:szCs w:val="20"/>
        </w:rPr>
        <w:t>G.Nikitina</w:t>
      </w:r>
      <w:proofErr w:type="spellEnd"/>
    </w:p>
    <w:p w:rsidR="00DA5EB0" w:rsidRPr="00C0281A" w:rsidRDefault="00DA5EB0" w:rsidP="00DA5E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281A">
        <w:rPr>
          <w:rFonts w:ascii="Times New Roman" w:hAnsi="Times New Roman"/>
          <w:sz w:val="20"/>
          <w:szCs w:val="20"/>
        </w:rPr>
        <w:t>67075931, gunita.nikitina@vugd.gov.lv</w:t>
      </w:r>
    </w:p>
    <w:sectPr w:rsidR="00DA5EB0" w:rsidRPr="00C0281A" w:rsidSect="00701F37">
      <w:headerReference w:type="default" r:id="rId8"/>
      <w:footerReference w:type="default" r:id="rId9"/>
      <w:pgSz w:w="11907" w:h="16839" w:code="9"/>
      <w:pgMar w:top="1701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C75" w:rsidRDefault="00E15C75" w:rsidP="00C4715D">
      <w:pPr>
        <w:spacing w:after="0" w:line="240" w:lineRule="auto"/>
      </w:pPr>
      <w:r>
        <w:separator/>
      </w:r>
    </w:p>
  </w:endnote>
  <w:endnote w:type="continuationSeparator" w:id="0">
    <w:p w:rsidR="00E15C75" w:rsidRDefault="00E15C75" w:rsidP="00C4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15D" w:rsidRPr="00C4715D" w:rsidRDefault="00C4715D" w:rsidP="00C4715D">
    <w:pPr>
      <w:spacing w:after="0" w:line="240" w:lineRule="auto"/>
      <w:jc w:val="both"/>
      <w:outlineLvl w:val="0"/>
      <w:rPr>
        <w:rFonts w:ascii="Times New Roman" w:hAnsi="Times New Roman"/>
        <w:bCs/>
        <w:sz w:val="20"/>
        <w:szCs w:val="20"/>
        <w:lang w:val="lv-LV"/>
      </w:rPr>
    </w:pPr>
    <w:r w:rsidRPr="00C0281A">
      <w:rPr>
        <w:rFonts w:ascii="Times New Roman" w:hAnsi="Times New Roman"/>
        <w:sz w:val="20"/>
        <w:szCs w:val="20"/>
        <w:lang w:val="lv-LV"/>
      </w:rPr>
      <w:t>IeMAnot_</w:t>
    </w:r>
    <w:r>
      <w:rPr>
        <w:rFonts w:ascii="Times New Roman" w:hAnsi="Times New Roman"/>
        <w:sz w:val="20"/>
        <w:szCs w:val="20"/>
        <w:lang w:val="lv-LV"/>
      </w:rPr>
      <w:t>0</w:t>
    </w:r>
    <w:r w:rsidR="0032645B">
      <w:rPr>
        <w:rFonts w:ascii="Times New Roman" w:hAnsi="Times New Roman"/>
        <w:sz w:val="20"/>
        <w:szCs w:val="20"/>
        <w:lang w:val="lv-LV"/>
      </w:rPr>
      <w:t>3</w:t>
    </w:r>
    <w:r w:rsidR="00DA5EB0">
      <w:rPr>
        <w:rFonts w:ascii="Times New Roman" w:hAnsi="Times New Roman"/>
        <w:sz w:val="20"/>
        <w:szCs w:val="20"/>
        <w:lang w:val="lv-LV"/>
      </w:rPr>
      <w:t>12</w:t>
    </w:r>
    <w:r>
      <w:rPr>
        <w:rFonts w:ascii="Times New Roman" w:hAnsi="Times New Roman"/>
        <w:sz w:val="20"/>
        <w:szCs w:val="20"/>
        <w:lang w:val="lv-LV"/>
      </w:rPr>
      <w:t>14_groz_not</w:t>
    </w:r>
    <w:r>
      <w:rPr>
        <w:rFonts w:ascii="Times New Roman" w:hAnsi="Times New Roman"/>
        <w:sz w:val="20"/>
        <w:szCs w:val="20"/>
        <w:lang w:val="lv-LV"/>
      </w:rPr>
      <w:softHyphen/>
      <w:t>_</w:t>
    </w:r>
    <w:r w:rsidRPr="00C0281A">
      <w:rPr>
        <w:rFonts w:ascii="Times New Roman" w:hAnsi="Times New Roman"/>
        <w:sz w:val="20"/>
        <w:szCs w:val="20"/>
        <w:lang w:val="lv-LV"/>
      </w:rPr>
      <w:t xml:space="preserve">Nr.282; </w:t>
    </w:r>
    <w:r w:rsidRPr="00C0281A">
      <w:rPr>
        <w:rFonts w:ascii="Times New Roman" w:hAnsi="Times New Roman"/>
        <w:bCs/>
        <w:sz w:val="20"/>
        <w:szCs w:val="20"/>
        <w:lang w:val="lv-LV"/>
      </w:rPr>
      <w:t xml:space="preserve">Ministru kabineta noteikumu projekta „Grozījumi </w:t>
    </w:r>
    <w:r w:rsidRPr="00C0281A">
      <w:rPr>
        <w:rFonts w:ascii="Times New Roman" w:hAnsi="Times New Roman"/>
        <w:sz w:val="20"/>
        <w:szCs w:val="20"/>
        <w:lang w:val="lv-LV"/>
      </w:rPr>
      <w:t>Ministru kabineta 2004.gada 13.aprīļa noteikumos Nr.282 „</w:t>
    </w:r>
    <w:r w:rsidRPr="00C0281A">
      <w:rPr>
        <w:rFonts w:ascii="Times New Roman" w:hAnsi="Times New Roman"/>
        <w:bCs/>
        <w:sz w:val="20"/>
        <w:szCs w:val="20"/>
        <w:lang w:val="lv-LV"/>
      </w:rPr>
      <w:t xml:space="preserve">Ugunsdrošības preču, ugunsdzēsības iekārtu un ierīču atbilstības novērtēšanas noteikumi””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C0281A">
        <w:rPr>
          <w:rFonts w:ascii="Times New Roman" w:hAnsi="Times New Roman"/>
          <w:bCs/>
          <w:sz w:val="20"/>
          <w:szCs w:val="20"/>
          <w:lang w:val="lv-LV"/>
        </w:rPr>
        <w:t>ziņojums</w:t>
      </w:r>
    </w:smartTag>
    <w:r w:rsidRPr="00C0281A">
      <w:rPr>
        <w:rFonts w:ascii="Times New Roman" w:hAnsi="Times New Roman"/>
        <w:bCs/>
        <w:sz w:val="20"/>
        <w:szCs w:val="20"/>
        <w:lang w:val="lv-LV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C75" w:rsidRDefault="00E15C75" w:rsidP="00C4715D">
      <w:pPr>
        <w:spacing w:after="0" w:line="240" w:lineRule="auto"/>
      </w:pPr>
      <w:r>
        <w:separator/>
      </w:r>
    </w:p>
  </w:footnote>
  <w:footnote w:type="continuationSeparator" w:id="0">
    <w:p w:rsidR="00E15C75" w:rsidRDefault="00E15C75" w:rsidP="00C4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209497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:rsidR="00DB7CFC" w:rsidRPr="006B59AB" w:rsidRDefault="00DB7CFC">
        <w:pPr>
          <w:pStyle w:val="Header"/>
          <w:jc w:val="center"/>
          <w:rPr>
            <w:rFonts w:ascii="Times New Roman" w:hAnsi="Times New Roman"/>
            <w:sz w:val="20"/>
            <w:szCs w:val="20"/>
          </w:rPr>
        </w:pPr>
        <w:r w:rsidRPr="006B59AB">
          <w:rPr>
            <w:rFonts w:ascii="Times New Roman" w:hAnsi="Times New Roman"/>
            <w:sz w:val="20"/>
            <w:szCs w:val="20"/>
          </w:rPr>
          <w:fldChar w:fldCharType="begin"/>
        </w:r>
        <w:r w:rsidRPr="006B59AB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B59AB">
          <w:rPr>
            <w:rFonts w:ascii="Times New Roman" w:hAnsi="Times New Roman"/>
            <w:sz w:val="20"/>
            <w:szCs w:val="20"/>
          </w:rPr>
          <w:fldChar w:fldCharType="separate"/>
        </w:r>
        <w:r w:rsidR="00596956">
          <w:rPr>
            <w:rFonts w:ascii="Times New Roman" w:hAnsi="Times New Roman"/>
            <w:noProof/>
            <w:sz w:val="20"/>
            <w:szCs w:val="20"/>
          </w:rPr>
          <w:t>3</w:t>
        </w:r>
        <w:r w:rsidRPr="006B59AB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5D"/>
    <w:rsid w:val="00007BA1"/>
    <w:rsid w:val="00033295"/>
    <w:rsid w:val="00067334"/>
    <w:rsid w:val="00086B71"/>
    <w:rsid w:val="00096DAF"/>
    <w:rsid w:val="00125F98"/>
    <w:rsid w:val="002A59D3"/>
    <w:rsid w:val="0032645B"/>
    <w:rsid w:val="00392072"/>
    <w:rsid w:val="00476714"/>
    <w:rsid w:val="00596956"/>
    <w:rsid w:val="006B59AB"/>
    <w:rsid w:val="006B6811"/>
    <w:rsid w:val="006D09BB"/>
    <w:rsid w:val="00701F37"/>
    <w:rsid w:val="00716EEF"/>
    <w:rsid w:val="007965F8"/>
    <w:rsid w:val="007F139B"/>
    <w:rsid w:val="008A062D"/>
    <w:rsid w:val="0093125D"/>
    <w:rsid w:val="00AB6F12"/>
    <w:rsid w:val="00B02027"/>
    <w:rsid w:val="00B265B7"/>
    <w:rsid w:val="00C4715D"/>
    <w:rsid w:val="00CB3166"/>
    <w:rsid w:val="00D34461"/>
    <w:rsid w:val="00DA5EB0"/>
    <w:rsid w:val="00DB7CFC"/>
    <w:rsid w:val="00E15C75"/>
    <w:rsid w:val="00F4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471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5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4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C4715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1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5D"/>
    <w:rPr>
      <w:rFonts w:ascii="Calibri" w:eastAsia="Calibri" w:hAnsi="Calibri" w:cs="Times New Roman"/>
    </w:rPr>
  </w:style>
  <w:style w:type="paragraph" w:customStyle="1" w:styleId="naisf">
    <w:name w:val="naisf"/>
    <w:basedOn w:val="Normal"/>
    <w:uiPriority w:val="99"/>
    <w:rsid w:val="00DA5E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471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5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4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C4715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1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5D"/>
    <w:rPr>
      <w:rFonts w:ascii="Calibri" w:eastAsia="Calibri" w:hAnsi="Calibri" w:cs="Times New Roman"/>
    </w:rPr>
  </w:style>
  <w:style w:type="paragraph" w:customStyle="1" w:styleId="naisf">
    <w:name w:val="naisf"/>
    <w:basedOn w:val="Normal"/>
    <w:uiPriority w:val="99"/>
    <w:rsid w:val="00DA5E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021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99034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vs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VUGD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Gunita Ņikitina</dc:creator>
  <cp:lastModifiedBy>Gunita Ņikitina</cp:lastModifiedBy>
  <cp:revision>22</cp:revision>
  <cp:lastPrinted>2014-12-02T09:33:00Z</cp:lastPrinted>
  <dcterms:created xsi:type="dcterms:W3CDTF">2014-12-02T08:25:00Z</dcterms:created>
  <dcterms:modified xsi:type="dcterms:W3CDTF">2014-12-03T09:16:00Z</dcterms:modified>
</cp:coreProperties>
</file>