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20" w:rsidRPr="00FA4D88" w:rsidRDefault="00F1778F" w:rsidP="001F322D">
      <w:pPr>
        <w:spacing w:after="0" w:line="240" w:lineRule="auto"/>
        <w:jc w:val="center"/>
        <w:rPr>
          <w:rFonts w:ascii="Times New Roman" w:hAnsi="Times New Roman"/>
          <w:b/>
          <w:sz w:val="28"/>
          <w:szCs w:val="28"/>
        </w:rPr>
      </w:pPr>
      <w:r w:rsidRPr="00FA4D88">
        <w:rPr>
          <w:rFonts w:ascii="Times New Roman" w:hAnsi="Times New Roman"/>
          <w:b/>
          <w:sz w:val="28"/>
          <w:szCs w:val="28"/>
        </w:rPr>
        <w:t>Likumprojekta „</w:t>
      </w:r>
      <w:r w:rsidR="001F322D" w:rsidRPr="00FA4D88">
        <w:rPr>
          <w:rFonts w:ascii="Times New Roman" w:hAnsi="Times New Roman"/>
          <w:b/>
          <w:sz w:val="28"/>
          <w:szCs w:val="28"/>
        </w:rPr>
        <w:t xml:space="preserve">Par Latvijas Republikas pievienošanos </w:t>
      </w:r>
      <w:proofErr w:type="gramStart"/>
      <w:r w:rsidR="002B7FF2">
        <w:rPr>
          <w:rFonts w:ascii="Times New Roman" w:hAnsi="Times New Roman"/>
          <w:b/>
          <w:sz w:val="28"/>
          <w:szCs w:val="28"/>
        </w:rPr>
        <w:t>2012.gada</w:t>
      </w:r>
      <w:proofErr w:type="gramEnd"/>
      <w:r w:rsidR="002B7FF2">
        <w:rPr>
          <w:rFonts w:ascii="Times New Roman" w:hAnsi="Times New Roman"/>
          <w:b/>
          <w:sz w:val="28"/>
          <w:szCs w:val="28"/>
        </w:rPr>
        <w:t xml:space="preserve"> 24.maija</w:t>
      </w:r>
      <w:r w:rsidR="001F322D" w:rsidRPr="00FA4D88">
        <w:rPr>
          <w:rFonts w:ascii="Times New Roman" w:hAnsi="Times New Roman"/>
          <w:b/>
          <w:sz w:val="28"/>
          <w:szCs w:val="28"/>
        </w:rPr>
        <w:t xml:space="preserve"> </w:t>
      </w:r>
      <w:r w:rsidR="002B7FF2">
        <w:rPr>
          <w:rFonts w:ascii="Times New Roman" w:hAnsi="Times New Roman"/>
          <w:b/>
          <w:sz w:val="28"/>
          <w:szCs w:val="28"/>
        </w:rPr>
        <w:t>L</w:t>
      </w:r>
      <w:r w:rsidR="001F322D" w:rsidRPr="00FA4D88">
        <w:rPr>
          <w:rFonts w:ascii="Times New Roman" w:hAnsi="Times New Roman"/>
          <w:b/>
          <w:sz w:val="28"/>
          <w:szCs w:val="28"/>
        </w:rPr>
        <w:t xml:space="preserve">īgumam </w:t>
      </w:r>
      <w:r w:rsidR="002B7FF2">
        <w:rPr>
          <w:rFonts w:ascii="Times New Roman" w:hAnsi="Times New Roman"/>
          <w:b/>
          <w:sz w:val="28"/>
          <w:szCs w:val="28"/>
        </w:rPr>
        <w:t>p</w:t>
      </w:r>
      <w:r w:rsidR="001F322D" w:rsidRPr="00FA4D88">
        <w:rPr>
          <w:rFonts w:ascii="Times New Roman" w:hAnsi="Times New Roman"/>
          <w:b/>
          <w:sz w:val="28"/>
          <w:szCs w:val="28"/>
        </w:rPr>
        <w:t>ar sadarbību liecinieku aizsardzības jomā</w:t>
      </w:r>
      <w:r w:rsidR="00CA3E9B" w:rsidRPr="00FA4D88">
        <w:rPr>
          <w:rFonts w:ascii="Times New Roman" w:hAnsi="Times New Roman"/>
          <w:b/>
          <w:sz w:val="28"/>
          <w:szCs w:val="28"/>
        </w:rPr>
        <w:t>”</w:t>
      </w:r>
      <w:r w:rsidR="00671C4E" w:rsidRPr="00FA4D88">
        <w:rPr>
          <w:rFonts w:ascii="Times New Roman" w:hAnsi="Times New Roman"/>
          <w:b/>
          <w:sz w:val="28"/>
          <w:szCs w:val="28"/>
        </w:rPr>
        <w:t xml:space="preserve"> sākotnējās ietekmes novērtējuma ziņojums (anotācija)</w:t>
      </w:r>
    </w:p>
    <w:p w:rsidR="00671C4E" w:rsidRPr="00943BCC" w:rsidRDefault="00671C4E" w:rsidP="00671C4E">
      <w:pPr>
        <w:spacing w:after="0" w:line="240" w:lineRule="auto"/>
        <w:jc w:val="center"/>
        <w:rPr>
          <w:rFonts w:ascii="Times New Roman" w:hAnsi="Times New Roman"/>
          <w:sz w:val="28"/>
          <w:szCs w:val="28"/>
        </w:rPr>
      </w:pPr>
    </w:p>
    <w:tbl>
      <w:tblPr>
        <w:tblStyle w:val="TableGrid"/>
        <w:tblW w:w="9611" w:type="dxa"/>
        <w:tblInd w:w="-289" w:type="dxa"/>
        <w:tblLook w:val="04A0" w:firstRow="1" w:lastRow="0" w:firstColumn="1" w:lastColumn="0" w:noHBand="0" w:noVBand="1"/>
      </w:tblPr>
      <w:tblGrid>
        <w:gridCol w:w="823"/>
        <w:gridCol w:w="2693"/>
        <w:gridCol w:w="6095"/>
      </w:tblGrid>
      <w:tr w:rsidR="007C06A2" w:rsidRPr="00943BCC" w:rsidTr="007803E1">
        <w:tc>
          <w:tcPr>
            <w:tcW w:w="9611" w:type="dxa"/>
            <w:gridSpan w:val="3"/>
          </w:tcPr>
          <w:p w:rsidR="007C06A2" w:rsidRPr="00943BCC" w:rsidRDefault="007C06A2" w:rsidP="00BB4BA0">
            <w:pPr>
              <w:pStyle w:val="BodyText"/>
              <w:spacing w:after="0"/>
              <w:jc w:val="center"/>
              <w:rPr>
                <w:lang w:val="lv-LV"/>
              </w:rPr>
            </w:pPr>
            <w:r w:rsidRPr="00BB4BA0">
              <w:rPr>
                <w:b/>
                <w:lang w:val="lv-LV"/>
              </w:rPr>
              <w:t>I. Tiesību</w:t>
            </w:r>
            <w:r w:rsidRPr="00943BCC">
              <w:rPr>
                <w:b/>
                <w:lang w:val="lv-LV"/>
              </w:rPr>
              <w:t xml:space="preserve"> akta projekta izstrādes nepieciešamība</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1.</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Pamatojums</w:t>
            </w:r>
          </w:p>
        </w:tc>
        <w:tc>
          <w:tcPr>
            <w:tcW w:w="6095" w:type="dxa"/>
          </w:tcPr>
          <w:p w:rsidR="007C06A2" w:rsidRPr="00943BCC" w:rsidRDefault="007748EC" w:rsidP="00CC5D5B">
            <w:pPr>
              <w:jc w:val="both"/>
              <w:rPr>
                <w:rFonts w:ascii="Times New Roman" w:hAnsi="Times New Roman"/>
                <w:sz w:val="24"/>
                <w:szCs w:val="24"/>
              </w:rPr>
            </w:pPr>
            <w:r w:rsidRPr="00172E51">
              <w:rPr>
                <w:rFonts w:ascii="Times New Roman" w:hAnsi="Times New Roman"/>
                <w:sz w:val="24"/>
                <w:szCs w:val="24"/>
              </w:rPr>
              <w:t>Personu speciālās aizsardzības likum</w:t>
            </w:r>
            <w:r>
              <w:rPr>
                <w:rFonts w:ascii="Times New Roman" w:hAnsi="Times New Roman"/>
                <w:sz w:val="24"/>
                <w:szCs w:val="24"/>
              </w:rPr>
              <w:t xml:space="preserve">a </w:t>
            </w:r>
            <w:proofErr w:type="gramStart"/>
            <w:r w:rsidRPr="00172E51">
              <w:rPr>
                <w:rFonts w:ascii="Times New Roman" w:hAnsi="Times New Roman"/>
                <w:sz w:val="24"/>
                <w:szCs w:val="24"/>
              </w:rPr>
              <w:t>16.panta</w:t>
            </w:r>
            <w:proofErr w:type="gramEnd"/>
            <w:r w:rsidRPr="00172E51">
              <w:rPr>
                <w:rFonts w:ascii="Times New Roman" w:hAnsi="Times New Roman"/>
                <w:sz w:val="24"/>
                <w:szCs w:val="24"/>
              </w:rPr>
              <w:t xml:space="preserve"> pirmās daļas 7.punkts</w:t>
            </w:r>
            <w:r>
              <w:rPr>
                <w:rFonts w:ascii="Times New Roman" w:hAnsi="Times New Roman"/>
                <w:sz w:val="24"/>
                <w:szCs w:val="24"/>
              </w:rPr>
              <w:t>.</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2.</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Pašreizējā situācija un problēmas, kuru risināšanai tiesību akta projekts izstrādāts, tiesiskā regulējuma mērķis un būtība</w:t>
            </w:r>
          </w:p>
        </w:tc>
        <w:tc>
          <w:tcPr>
            <w:tcW w:w="6095" w:type="dxa"/>
          </w:tcPr>
          <w:p w:rsidR="00010DD1" w:rsidRPr="00172E51" w:rsidRDefault="005A0F31" w:rsidP="00671C4E">
            <w:pPr>
              <w:jc w:val="both"/>
              <w:rPr>
                <w:rFonts w:ascii="Times New Roman" w:hAnsi="Times New Roman"/>
                <w:sz w:val="24"/>
                <w:szCs w:val="24"/>
              </w:rPr>
            </w:pPr>
            <w:proofErr w:type="gramStart"/>
            <w:r>
              <w:rPr>
                <w:rFonts w:ascii="Times New Roman" w:hAnsi="Times New Roman"/>
                <w:sz w:val="24"/>
                <w:szCs w:val="24"/>
              </w:rPr>
              <w:t>2000.gada</w:t>
            </w:r>
            <w:proofErr w:type="gramEnd"/>
            <w:r>
              <w:rPr>
                <w:rFonts w:ascii="Times New Roman" w:hAnsi="Times New Roman"/>
                <w:sz w:val="24"/>
                <w:szCs w:val="24"/>
              </w:rPr>
              <w:t xml:space="preserve"> 15.novembra </w:t>
            </w:r>
            <w:r w:rsidR="00D5799E" w:rsidRPr="00172E51">
              <w:rPr>
                <w:rFonts w:ascii="Times New Roman" w:hAnsi="Times New Roman"/>
                <w:sz w:val="24"/>
                <w:szCs w:val="24"/>
              </w:rPr>
              <w:t>Apvienoto Nāciju Organizācijas Konvencijā pret transnacionālo organizēto noziedzību,</w:t>
            </w:r>
            <w:r>
              <w:rPr>
                <w:rFonts w:ascii="Times New Roman" w:hAnsi="Times New Roman"/>
                <w:sz w:val="24"/>
                <w:szCs w:val="24"/>
              </w:rPr>
              <w:t xml:space="preserve"> kas ir spēkā kopš 2003.gada 29.septambra,</w:t>
            </w:r>
            <w:r w:rsidR="00D5799E" w:rsidRPr="00172E51">
              <w:rPr>
                <w:rFonts w:ascii="Times New Roman" w:hAnsi="Times New Roman"/>
                <w:sz w:val="24"/>
                <w:szCs w:val="24"/>
              </w:rPr>
              <w:t xml:space="preserve"> kuru parakstījusi arī Latvija, liecinieku aizsardzība atzīta par vienu no stūrakmeņiem cīņā ar organizēto noziedzību. </w:t>
            </w:r>
          </w:p>
          <w:p w:rsidR="00010DD1" w:rsidRPr="00172E51" w:rsidRDefault="00010DD1" w:rsidP="00671C4E">
            <w:pPr>
              <w:jc w:val="both"/>
              <w:rPr>
                <w:rFonts w:ascii="Times New Roman" w:hAnsi="Times New Roman"/>
                <w:sz w:val="24"/>
                <w:szCs w:val="24"/>
              </w:rPr>
            </w:pPr>
            <w:r w:rsidRPr="00172E51">
              <w:rPr>
                <w:rFonts w:ascii="Times New Roman" w:hAnsi="Times New Roman"/>
                <w:sz w:val="24"/>
                <w:szCs w:val="24"/>
              </w:rPr>
              <w:t xml:space="preserve">Liecinošo personu aizsardzība ir nozīmīgs elements smagus un sevišķi smagus noziegumus izdarījušu personu saukšanai pie kriminālatbildības. </w:t>
            </w:r>
            <w:r w:rsidR="00172E51" w:rsidRPr="00172E51">
              <w:rPr>
                <w:rFonts w:ascii="Times New Roman" w:hAnsi="Times New Roman"/>
                <w:sz w:val="24"/>
                <w:szCs w:val="24"/>
              </w:rPr>
              <w:t xml:space="preserve">Liecinošo personu aizsardzība </w:t>
            </w:r>
            <w:r w:rsidRPr="00172E51">
              <w:rPr>
                <w:rFonts w:ascii="Times New Roman" w:hAnsi="Times New Roman"/>
                <w:sz w:val="24"/>
                <w:szCs w:val="24"/>
              </w:rPr>
              <w:t>ir viens no atslēgas elementiem, lai iegūtu liecības un pi</w:t>
            </w:r>
            <w:r w:rsidR="0015648F">
              <w:rPr>
                <w:rFonts w:ascii="Times New Roman" w:hAnsi="Times New Roman"/>
                <w:sz w:val="24"/>
                <w:szCs w:val="24"/>
              </w:rPr>
              <w:t>etiekamus pierādījumus notiesājo</w:t>
            </w:r>
            <w:r w:rsidRPr="00172E51">
              <w:rPr>
                <w:rFonts w:ascii="Times New Roman" w:hAnsi="Times New Roman"/>
                <w:sz w:val="24"/>
                <w:szCs w:val="24"/>
              </w:rPr>
              <w:t xml:space="preserve">šam spriedumam. </w:t>
            </w:r>
          </w:p>
          <w:p w:rsidR="00614F93" w:rsidRPr="00172E51" w:rsidRDefault="00614F93" w:rsidP="00671C4E">
            <w:pPr>
              <w:jc w:val="both"/>
              <w:rPr>
                <w:rFonts w:ascii="Times New Roman" w:hAnsi="Times New Roman"/>
                <w:sz w:val="24"/>
                <w:szCs w:val="24"/>
              </w:rPr>
            </w:pPr>
          </w:p>
          <w:p w:rsidR="00614F93" w:rsidRPr="00172E51" w:rsidRDefault="00614F93" w:rsidP="00671C4E">
            <w:pPr>
              <w:jc w:val="both"/>
              <w:rPr>
                <w:rFonts w:ascii="Times New Roman" w:hAnsi="Times New Roman"/>
                <w:sz w:val="24"/>
                <w:szCs w:val="24"/>
              </w:rPr>
            </w:pPr>
            <w:r w:rsidRPr="00172E51">
              <w:rPr>
                <w:rFonts w:ascii="Times New Roman" w:hAnsi="Times New Roman"/>
                <w:sz w:val="24"/>
                <w:szCs w:val="24"/>
              </w:rPr>
              <w:t>Latvijas Republikas Krimin</w:t>
            </w:r>
            <w:r w:rsidR="00911FD1" w:rsidRPr="00172E51">
              <w:rPr>
                <w:rFonts w:ascii="Times New Roman" w:hAnsi="Times New Roman"/>
                <w:sz w:val="24"/>
                <w:szCs w:val="24"/>
              </w:rPr>
              <w:t>ālprocesa likuma ceturtā sadaļa</w:t>
            </w:r>
            <w:r w:rsidRPr="00172E51">
              <w:rPr>
                <w:rFonts w:ascii="Times New Roman" w:hAnsi="Times New Roman"/>
                <w:sz w:val="24"/>
                <w:szCs w:val="24"/>
              </w:rPr>
              <w:t xml:space="preserve"> paredz </w:t>
            </w:r>
            <w:r w:rsidR="00911FD1" w:rsidRPr="00172E51">
              <w:rPr>
                <w:rFonts w:ascii="Times New Roman" w:hAnsi="Times New Roman"/>
                <w:sz w:val="24"/>
                <w:szCs w:val="24"/>
              </w:rPr>
              <w:t>speciālās procesuālās aizsardzīb</w:t>
            </w:r>
            <w:r w:rsidR="00172E51" w:rsidRPr="00172E51">
              <w:rPr>
                <w:rFonts w:ascii="Times New Roman" w:hAnsi="Times New Roman"/>
                <w:sz w:val="24"/>
                <w:szCs w:val="24"/>
              </w:rPr>
              <w:t>as noteikumus, piemērām, kārtību</w:t>
            </w:r>
            <w:r w:rsidR="00911FD1" w:rsidRPr="00172E51">
              <w:rPr>
                <w:rFonts w:ascii="Times New Roman" w:hAnsi="Times New Roman"/>
                <w:sz w:val="24"/>
                <w:szCs w:val="24"/>
              </w:rPr>
              <w:t xml:space="preserve"> par p</w:t>
            </w:r>
            <w:r w:rsidR="00911FD1" w:rsidRPr="00172E51">
              <w:rPr>
                <w:rFonts w:ascii="Times New Roman" w:hAnsi="Times New Roman"/>
                <w:bCs/>
                <w:sz w:val="24"/>
                <w:szCs w:val="24"/>
              </w:rPr>
              <w:t>ersonas atzīšanu par speciāli procesuāli aizsargājamu, speciālās procesuālās aizsardzības iemesl</w:t>
            </w:r>
            <w:r w:rsidR="00172E51" w:rsidRPr="00172E51">
              <w:rPr>
                <w:rFonts w:ascii="Times New Roman" w:hAnsi="Times New Roman"/>
                <w:bCs/>
                <w:sz w:val="24"/>
                <w:szCs w:val="24"/>
              </w:rPr>
              <w:t>u</w:t>
            </w:r>
            <w:r w:rsidR="00911FD1" w:rsidRPr="00172E51">
              <w:rPr>
                <w:rFonts w:ascii="Times New Roman" w:hAnsi="Times New Roman"/>
                <w:bCs/>
                <w:sz w:val="24"/>
                <w:szCs w:val="24"/>
              </w:rPr>
              <w:t>s un pamat</w:t>
            </w:r>
            <w:r w:rsidR="00172E51" w:rsidRPr="00172E51">
              <w:rPr>
                <w:rFonts w:ascii="Times New Roman" w:hAnsi="Times New Roman"/>
                <w:bCs/>
                <w:sz w:val="24"/>
                <w:szCs w:val="24"/>
              </w:rPr>
              <w:t>u</w:t>
            </w:r>
            <w:r w:rsidR="00911FD1" w:rsidRPr="00172E51">
              <w:rPr>
                <w:rFonts w:ascii="Times New Roman" w:hAnsi="Times New Roman"/>
                <w:bCs/>
                <w:sz w:val="24"/>
                <w:szCs w:val="24"/>
              </w:rPr>
              <w:t>.</w:t>
            </w:r>
          </w:p>
          <w:p w:rsidR="00D002C9" w:rsidRPr="00172E51" w:rsidRDefault="00D002C9" w:rsidP="00671C4E">
            <w:pPr>
              <w:jc w:val="both"/>
              <w:rPr>
                <w:rFonts w:ascii="Times New Roman" w:hAnsi="Times New Roman"/>
                <w:sz w:val="24"/>
                <w:szCs w:val="24"/>
              </w:rPr>
            </w:pPr>
          </w:p>
          <w:p w:rsidR="00010DD1" w:rsidRPr="00172E51" w:rsidRDefault="0015648F" w:rsidP="00010DD1">
            <w:pPr>
              <w:jc w:val="both"/>
              <w:rPr>
                <w:rFonts w:ascii="Times New Roman" w:hAnsi="Times New Roman"/>
                <w:sz w:val="24"/>
                <w:szCs w:val="24"/>
              </w:rPr>
            </w:pPr>
            <w:r>
              <w:rPr>
                <w:rFonts w:ascii="Times New Roman" w:hAnsi="Times New Roman"/>
                <w:sz w:val="24"/>
                <w:szCs w:val="24"/>
              </w:rPr>
              <w:t xml:space="preserve">Latvijas Republikā </w:t>
            </w:r>
            <w:proofErr w:type="gramStart"/>
            <w:r>
              <w:rPr>
                <w:rFonts w:ascii="Times New Roman" w:hAnsi="Times New Roman"/>
                <w:sz w:val="24"/>
                <w:szCs w:val="24"/>
              </w:rPr>
              <w:t>2005.gada</w:t>
            </w:r>
            <w:proofErr w:type="gramEnd"/>
            <w:r>
              <w:rPr>
                <w:rFonts w:ascii="Times New Roman" w:hAnsi="Times New Roman"/>
                <w:sz w:val="24"/>
                <w:szCs w:val="24"/>
              </w:rPr>
              <w:t xml:space="preserve"> 1.oktobrī</w:t>
            </w:r>
            <w:r w:rsidR="00010DD1" w:rsidRPr="00172E51">
              <w:rPr>
                <w:rFonts w:ascii="Times New Roman" w:hAnsi="Times New Roman"/>
                <w:sz w:val="24"/>
                <w:szCs w:val="24"/>
              </w:rPr>
              <w:t xml:space="preserve"> spēkā stājās Personu speciālās aizsardzības likums</w:t>
            </w:r>
            <w:r w:rsidR="001F322D" w:rsidRPr="00172E51">
              <w:rPr>
                <w:rFonts w:ascii="Times New Roman" w:hAnsi="Times New Roman"/>
                <w:sz w:val="24"/>
                <w:szCs w:val="24"/>
              </w:rPr>
              <w:t xml:space="preserve"> (turpmāk – likums)</w:t>
            </w:r>
            <w:r w:rsidR="00010DD1" w:rsidRPr="00172E51">
              <w:rPr>
                <w:rFonts w:ascii="Times New Roman" w:hAnsi="Times New Roman"/>
                <w:sz w:val="24"/>
                <w:szCs w:val="24"/>
              </w:rPr>
              <w:t>, kas nodrošina to personu dzīvības, veselības un citu likumisko interešu aizsardzību, kuras liecina kriminālprocesā vai piedalās smaga vai sevišķi smaga nozieguma atklāšanā, izmeklēšanā vai iztiesāšanā.</w:t>
            </w:r>
          </w:p>
          <w:p w:rsidR="00010DD1" w:rsidRPr="00172E51" w:rsidRDefault="00010DD1" w:rsidP="00010DD1">
            <w:pPr>
              <w:jc w:val="both"/>
              <w:rPr>
                <w:rFonts w:ascii="Times New Roman" w:hAnsi="Times New Roman"/>
                <w:sz w:val="24"/>
                <w:szCs w:val="24"/>
              </w:rPr>
            </w:pPr>
            <w:r w:rsidRPr="00172E51">
              <w:rPr>
                <w:rFonts w:ascii="Times New Roman" w:hAnsi="Times New Roman"/>
                <w:sz w:val="24"/>
                <w:szCs w:val="24"/>
              </w:rPr>
              <w:t xml:space="preserve">Likuma </w:t>
            </w:r>
            <w:proofErr w:type="gramStart"/>
            <w:r w:rsidRPr="00172E51">
              <w:rPr>
                <w:rFonts w:ascii="Times New Roman" w:hAnsi="Times New Roman"/>
                <w:sz w:val="24"/>
                <w:szCs w:val="24"/>
              </w:rPr>
              <w:t>16.panta</w:t>
            </w:r>
            <w:proofErr w:type="gramEnd"/>
            <w:r w:rsidRPr="00172E51">
              <w:rPr>
                <w:rFonts w:ascii="Times New Roman" w:hAnsi="Times New Roman"/>
                <w:sz w:val="24"/>
                <w:szCs w:val="24"/>
              </w:rPr>
              <w:t xml:space="preserve"> pirmās daļas 7.punkts, paredz iespēju pārvietot aizsargājamo personu uz citu valsti saskaņā ar noslēgtajiem starptautiskajiem līgumiem.</w:t>
            </w:r>
          </w:p>
          <w:p w:rsidR="00D002C9" w:rsidRPr="00172E51" w:rsidRDefault="00D002C9" w:rsidP="00010DD1">
            <w:pPr>
              <w:jc w:val="both"/>
              <w:rPr>
                <w:rFonts w:ascii="Times New Roman" w:hAnsi="Times New Roman"/>
                <w:sz w:val="24"/>
                <w:szCs w:val="24"/>
              </w:rPr>
            </w:pPr>
          </w:p>
          <w:p w:rsidR="00264CE0" w:rsidRPr="00172E51" w:rsidRDefault="00D5799E" w:rsidP="00671C4E">
            <w:pPr>
              <w:jc w:val="both"/>
              <w:rPr>
                <w:rFonts w:ascii="Times New Roman" w:hAnsi="Times New Roman"/>
                <w:sz w:val="24"/>
                <w:szCs w:val="24"/>
              </w:rPr>
            </w:pPr>
            <w:proofErr w:type="gramStart"/>
            <w:r w:rsidRPr="00172E51">
              <w:rPr>
                <w:rFonts w:ascii="Times New Roman" w:hAnsi="Times New Roman"/>
                <w:sz w:val="24"/>
                <w:szCs w:val="24"/>
              </w:rPr>
              <w:t>2000.gadā</w:t>
            </w:r>
            <w:proofErr w:type="gramEnd"/>
            <w:r w:rsidRPr="00172E51">
              <w:rPr>
                <w:rFonts w:ascii="Times New Roman" w:hAnsi="Times New Roman"/>
                <w:sz w:val="24"/>
                <w:szCs w:val="24"/>
              </w:rPr>
              <w:t xml:space="preserve"> parakstīta Latvijas, Lietuvas un Igaunijas valdības vienošanās par s</w:t>
            </w:r>
            <w:r w:rsidR="00172E51" w:rsidRPr="00172E51">
              <w:rPr>
                <w:rFonts w:ascii="Times New Roman" w:hAnsi="Times New Roman"/>
                <w:sz w:val="24"/>
                <w:szCs w:val="24"/>
              </w:rPr>
              <w:t>adarbību liecinieku aizsardzībā</w:t>
            </w:r>
            <w:r w:rsidR="005A0F31">
              <w:rPr>
                <w:rFonts w:ascii="Times New Roman" w:hAnsi="Times New Roman"/>
                <w:sz w:val="24"/>
                <w:szCs w:val="24"/>
              </w:rPr>
              <w:t>, kas stājās spēkā 2006.gada 9.martā</w:t>
            </w:r>
            <w:r w:rsidRPr="00172E51">
              <w:rPr>
                <w:rFonts w:ascii="Times New Roman" w:hAnsi="Times New Roman"/>
                <w:sz w:val="24"/>
                <w:szCs w:val="24"/>
              </w:rPr>
              <w:t>.</w:t>
            </w:r>
          </w:p>
          <w:p w:rsidR="00911FD1" w:rsidRPr="00172E51" w:rsidRDefault="00911FD1" w:rsidP="00911FD1">
            <w:pPr>
              <w:jc w:val="both"/>
              <w:rPr>
                <w:rFonts w:ascii="Times New Roman" w:hAnsi="Times New Roman"/>
                <w:sz w:val="24"/>
                <w:szCs w:val="24"/>
              </w:rPr>
            </w:pPr>
          </w:p>
          <w:p w:rsidR="00010DD1" w:rsidRPr="00172E51" w:rsidRDefault="00614F93" w:rsidP="001F322D">
            <w:pPr>
              <w:jc w:val="both"/>
              <w:rPr>
                <w:rFonts w:ascii="Times New Roman" w:hAnsi="Times New Roman"/>
                <w:iCs/>
                <w:sz w:val="24"/>
                <w:szCs w:val="24"/>
              </w:rPr>
            </w:pPr>
            <w:proofErr w:type="gramStart"/>
            <w:r w:rsidRPr="00172E51">
              <w:rPr>
                <w:rFonts w:ascii="Times New Roman" w:hAnsi="Times New Roman"/>
                <w:sz w:val="24"/>
                <w:szCs w:val="24"/>
              </w:rPr>
              <w:t>2012</w:t>
            </w:r>
            <w:r w:rsidR="001F322D" w:rsidRPr="00172E51">
              <w:rPr>
                <w:rFonts w:ascii="Times New Roman" w:hAnsi="Times New Roman"/>
                <w:sz w:val="24"/>
                <w:szCs w:val="24"/>
              </w:rPr>
              <w:t>.gada</w:t>
            </w:r>
            <w:proofErr w:type="gramEnd"/>
            <w:r w:rsidR="001F322D" w:rsidRPr="00172E51">
              <w:rPr>
                <w:rFonts w:ascii="Times New Roman" w:hAnsi="Times New Roman"/>
                <w:sz w:val="24"/>
                <w:szCs w:val="24"/>
              </w:rPr>
              <w:t xml:space="preserve"> </w:t>
            </w:r>
            <w:r w:rsidRPr="00172E51">
              <w:rPr>
                <w:rFonts w:ascii="Times New Roman" w:hAnsi="Times New Roman"/>
                <w:sz w:val="24"/>
                <w:szCs w:val="24"/>
              </w:rPr>
              <w:t>24.maija</w:t>
            </w:r>
            <w:r w:rsidR="001F322D" w:rsidRPr="00172E51">
              <w:rPr>
                <w:rFonts w:ascii="Times New Roman" w:hAnsi="Times New Roman"/>
                <w:sz w:val="24"/>
                <w:szCs w:val="24"/>
              </w:rPr>
              <w:t xml:space="preserve"> tika parakstīts</w:t>
            </w:r>
            <w:r w:rsidR="00E2677D" w:rsidRPr="00172E51">
              <w:rPr>
                <w:rFonts w:ascii="Times New Roman" w:hAnsi="Times New Roman"/>
                <w:sz w:val="24"/>
                <w:szCs w:val="24"/>
              </w:rPr>
              <w:t xml:space="preserve"> un 20</w:t>
            </w:r>
            <w:r w:rsidRPr="00172E51">
              <w:rPr>
                <w:rFonts w:ascii="Times New Roman" w:hAnsi="Times New Roman"/>
                <w:sz w:val="24"/>
                <w:szCs w:val="24"/>
              </w:rPr>
              <w:t>12</w:t>
            </w:r>
            <w:r w:rsidR="00E2677D" w:rsidRPr="00172E51">
              <w:rPr>
                <w:rFonts w:ascii="Times New Roman" w:hAnsi="Times New Roman"/>
                <w:sz w:val="24"/>
                <w:szCs w:val="24"/>
              </w:rPr>
              <w:t xml:space="preserve">.gada </w:t>
            </w:r>
            <w:r w:rsidRPr="00172E51">
              <w:rPr>
                <w:rFonts w:ascii="Times New Roman" w:hAnsi="Times New Roman"/>
                <w:sz w:val="24"/>
                <w:szCs w:val="24"/>
              </w:rPr>
              <w:t>1.decembrī</w:t>
            </w:r>
            <w:r w:rsidR="00E2677D" w:rsidRPr="00172E51">
              <w:rPr>
                <w:rFonts w:ascii="Times New Roman" w:hAnsi="Times New Roman"/>
                <w:sz w:val="24"/>
                <w:szCs w:val="24"/>
              </w:rPr>
              <w:t xml:space="preserve"> stājās spēkā</w:t>
            </w:r>
            <w:r w:rsidR="001F322D" w:rsidRPr="00172E51">
              <w:rPr>
                <w:rFonts w:ascii="Times New Roman" w:hAnsi="Times New Roman"/>
                <w:sz w:val="24"/>
                <w:szCs w:val="24"/>
              </w:rPr>
              <w:t xml:space="preserve"> </w:t>
            </w:r>
            <w:r w:rsidR="002B7FF2">
              <w:rPr>
                <w:rFonts w:ascii="Times New Roman" w:hAnsi="Times New Roman"/>
                <w:sz w:val="24"/>
                <w:szCs w:val="24"/>
              </w:rPr>
              <w:t>L</w:t>
            </w:r>
            <w:r w:rsidR="001F322D" w:rsidRPr="00172E51">
              <w:rPr>
                <w:rFonts w:ascii="Times New Roman" w:hAnsi="Times New Roman"/>
                <w:sz w:val="24"/>
                <w:szCs w:val="24"/>
              </w:rPr>
              <w:t xml:space="preserve">īgums </w:t>
            </w:r>
            <w:r w:rsidR="00C64DE6">
              <w:rPr>
                <w:rFonts w:ascii="Times New Roman" w:hAnsi="Times New Roman"/>
                <w:sz w:val="24"/>
                <w:szCs w:val="24"/>
              </w:rPr>
              <w:t>p</w:t>
            </w:r>
            <w:r w:rsidR="001F322D" w:rsidRPr="00172E51">
              <w:rPr>
                <w:rFonts w:ascii="Times New Roman" w:hAnsi="Times New Roman"/>
                <w:sz w:val="24"/>
                <w:szCs w:val="24"/>
              </w:rPr>
              <w:t xml:space="preserve">ar sadarbību liecinieku aizsardzības jomā (turpmāk – līgums), kura normas paredz iespēju arī visām Eiropas Savienības dalībvalstīm un citas valstīm, kuras piemēro Šengenas </w:t>
            </w:r>
            <w:proofErr w:type="spellStart"/>
            <w:r w:rsidR="001F322D" w:rsidRPr="00172E51">
              <w:rPr>
                <w:rFonts w:ascii="Times New Roman" w:hAnsi="Times New Roman"/>
                <w:i/>
                <w:iCs/>
                <w:sz w:val="24"/>
                <w:szCs w:val="24"/>
              </w:rPr>
              <w:t>acquis</w:t>
            </w:r>
            <w:proofErr w:type="spellEnd"/>
            <w:r w:rsidR="001F322D" w:rsidRPr="00172E51">
              <w:rPr>
                <w:rFonts w:ascii="Times New Roman" w:hAnsi="Times New Roman"/>
                <w:iCs/>
                <w:sz w:val="24"/>
                <w:szCs w:val="24"/>
              </w:rPr>
              <w:t xml:space="preserve"> pievienoties šīm līgumam.</w:t>
            </w:r>
            <w:r w:rsidR="00AB0EE7" w:rsidRPr="00172E51">
              <w:rPr>
                <w:rFonts w:ascii="Times New Roman" w:hAnsi="Times New Roman"/>
                <w:iCs/>
                <w:sz w:val="24"/>
                <w:szCs w:val="24"/>
              </w:rPr>
              <w:t xml:space="preserve"> 2013.gada 15.novembrī līgumam pievienojās Igaunijas Republika.</w:t>
            </w:r>
          </w:p>
          <w:p w:rsidR="00614F93" w:rsidRDefault="001F322D" w:rsidP="001F322D">
            <w:pPr>
              <w:jc w:val="both"/>
              <w:rPr>
                <w:rFonts w:ascii="Times New Roman" w:hAnsi="Times New Roman"/>
                <w:sz w:val="24"/>
                <w:szCs w:val="24"/>
              </w:rPr>
            </w:pPr>
            <w:r w:rsidRPr="00172E51">
              <w:rPr>
                <w:rFonts w:ascii="Times New Roman" w:hAnsi="Times New Roman"/>
                <w:sz w:val="24"/>
                <w:szCs w:val="24"/>
              </w:rPr>
              <w:t xml:space="preserve">Līguma mērķis ir attīstīt un uzlabot līgumslēdzēju pušu savstarpējo sadarbību ar liecinieku aizsardzību saistītos jautājumos. Līgums paredz noteikumus par aizsargājamo personu pārvietošanu un aizsardzību, informācijas apmaiņu, </w:t>
            </w:r>
            <w:r w:rsidRPr="00172E51">
              <w:rPr>
                <w:rFonts w:ascii="Times New Roman" w:hAnsi="Times New Roman"/>
                <w:sz w:val="24"/>
                <w:szCs w:val="24"/>
              </w:rPr>
              <w:lastRenderedPageBreak/>
              <w:t>administratīvo, tehnisko un loģistikas atbalstu un liecinieku aizsardzības vienību darbinieku apmācību.</w:t>
            </w:r>
          </w:p>
          <w:p w:rsidR="0071321A" w:rsidRDefault="0071321A" w:rsidP="001F322D">
            <w:pPr>
              <w:jc w:val="both"/>
              <w:rPr>
                <w:rFonts w:ascii="Times New Roman" w:hAnsi="Times New Roman"/>
                <w:sz w:val="24"/>
                <w:szCs w:val="24"/>
              </w:rPr>
            </w:pPr>
          </w:p>
          <w:p w:rsidR="00D90445" w:rsidRDefault="00D90445" w:rsidP="001F322D">
            <w:pPr>
              <w:jc w:val="both"/>
              <w:rPr>
                <w:rFonts w:ascii="Times New Roman" w:hAnsi="Times New Roman"/>
                <w:sz w:val="24"/>
                <w:szCs w:val="24"/>
              </w:rPr>
            </w:pPr>
            <w:r>
              <w:rPr>
                <w:rFonts w:ascii="Times New Roman" w:hAnsi="Times New Roman"/>
                <w:sz w:val="24"/>
                <w:szCs w:val="24"/>
              </w:rPr>
              <w:t xml:space="preserve">Saskaņā ar Līguma </w:t>
            </w:r>
            <w:proofErr w:type="gramStart"/>
            <w:r>
              <w:rPr>
                <w:rFonts w:ascii="Times New Roman" w:hAnsi="Times New Roman"/>
                <w:sz w:val="24"/>
                <w:szCs w:val="24"/>
              </w:rPr>
              <w:t>3.pantu</w:t>
            </w:r>
            <w:proofErr w:type="gramEnd"/>
            <w:r>
              <w:rPr>
                <w:rFonts w:ascii="Times New Roman" w:hAnsi="Times New Roman"/>
                <w:sz w:val="24"/>
                <w:szCs w:val="24"/>
              </w:rPr>
              <w:t xml:space="preserve"> Līguma puses visus nosacījumus, saskaņā ar kuriem personas tiek pārvietotas, aizsargātas un saņem palīdzību katrā atsevišķā gadījumā, nosaka atsevišķā dokumentā, kas būs attiecināms uz konkrēto personu.</w:t>
            </w:r>
          </w:p>
          <w:p w:rsidR="00CD7481" w:rsidRPr="00172E51" w:rsidRDefault="00D90445" w:rsidP="001F322D">
            <w:pPr>
              <w:jc w:val="both"/>
              <w:rPr>
                <w:rFonts w:ascii="Times New Roman" w:hAnsi="Times New Roman"/>
                <w:sz w:val="24"/>
                <w:szCs w:val="24"/>
              </w:rPr>
            </w:pPr>
            <w:r>
              <w:rPr>
                <w:rFonts w:ascii="Times New Roman" w:hAnsi="Times New Roman"/>
                <w:sz w:val="24"/>
                <w:szCs w:val="24"/>
              </w:rPr>
              <w:t xml:space="preserve">Līguma </w:t>
            </w:r>
            <w:proofErr w:type="gramStart"/>
            <w:r>
              <w:rPr>
                <w:rFonts w:ascii="Times New Roman" w:hAnsi="Times New Roman"/>
                <w:sz w:val="24"/>
                <w:szCs w:val="24"/>
              </w:rPr>
              <w:t>2.panta</w:t>
            </w:r>
            <w:proofErr w:type="gramEnd"/>
            <w:r>
              <w:rPr>
                <w:rFonts w:ascii="Times New Roman" w:hAnsi="Times New Roman"/>
                <w:sz w:val="24"/>
                <w:szCs w:val="24"/>
              </w:rPr>
              <w:t xml:space="preserve"> 3.punktā ir minēts, ka aizsargājamā persona, ko plānots pārvietot, ir jāiekļauj valsts aizsardzības programmā. Savukārt likuma 7.-</w:t>
            </w:r>
            <w:proofErr w:type="gramStart"/>
            <w:r>
              <w:rPr>
                <w:rFonts w:ascii="Times New Roman" w:hAnsi="Times New Roman"/>
                <w:sz w:val="24"/>
                <w:szCs w:val="24"/>
              </w:rPr>
              <w:t>10.panti</w:t>
            </w:r>
            <w:proofErr w:type="gramEnd"/>
            <w:r>
              <w:rPr>
                <w:rFonts w:ascii="Times New Roman" w:hAnsi="Times New Roman"/>
                <w:sz w:val="24"/>
                <w:szCs w:val="24"/>
              </w:rPr>
              <w:t xml:space="preserve"> nosaka procedūru kādā veidā Latvijas Republikā tiek pieņemts lēmums par speciālās aizsardzības noteikšanu konkrētai personai, ar to saprotot personas iekļaušanu valsts aizsardzības programmā Līguma izpratnē.</w:t>
            </w:r>
          </w:p>
          <w:p w:rsidR="00690339" w:rsidRPr="00172E51" w:rsidRDefault="00690339" w:rsidP="00FD4112">
            <w:pPr>
              <w:jc w:val="both"/>
              <w:rPr>
                <w:rFonts w:ascii="Times New Roman" w:hAnsi="Times New Roman"/>
                <w:sz w:val="24"/>
                <w:szCs w:val="24"/>
              </w:rPr>
            </w:pPr>
          </w:p>
          <w:p w:rsidR="00172E51" w:rsidRPr="00172E51" w:rsidRDefault="00172E51" w:rsidP="00CD7481">
            <w:pPr>
              <w:jc w:val="both"/>
              <w:rPr>
                <w:rFonts w:ascii="Times New Roman" w:hAnsi="Times New Roman"/>
                <w:sz w:val="24"/>
                <w:szCs w:val="24"/>
              </w:rPr>
            </w:pPr>
            <w:r w:rsidRPr="00CD7481">
              <w:rPr>
                <w:rFonts w:ascii="Times New Roman" w:hAnsi="Times New Roman"/>
                <w:sz w:val="24"/>
                <w:szCs w:val="24"/>
              </w:rPr>
              <w:t xml:space="preserve">Likumprojekts </w:t>
            </w:r>
            <w:r w:rsidR="00CD7481" w:rsidRPr="007803E1">
              <w:rPr>
                <w:rFonts w:ascii="Times New Roman" w:hAnsi="Times New Roman"/>
                <w:sz w:val="24"/>
                <w:szCs w:val="24"/>
              </w:rPr>
              <w:t xml:space="preserve">Par Latvijas Republikas pievienošanos </w:t>
            </w:r>
            <w:proofErr w:type="gramStart"/>
            <w:r w:rsidR="00CD7481" w:rsidRPr="007803E1">
              <w:rPr>
                <w:rFonts w:ascii="Times New Roman" w:hAnsi="Times New Roman"/>
                <w:sz w:val="24"/>
                <w:szCs w:val="24"/>
              </w:rPr>
              <w:t>2012.gada</w:t>
            </w:r>
            <w:proofErr w:type="gramEnd"/>
            <w:r w:rsidR="00CD7481" w:rsidRPr="007803E1">
              <w:rPr>
                <w:rFonts w:ascii="Times New Roman" w:hAnsi="Times New Roman"/>
                <w:sz w:val="24"/>
                <w:szCs w:val="24"/>
              </w:rPr>
              <w:t xml:space="preserve"> 24.maija Līgumam par sadarbību liecinieku aizsardzības jomā </w:t>
            </w:r>
            <w:r w:rsidRPr="00CD7481">
              <w:rPr>
                <w:rFonts w:ascii="Times New Roman" w:hAnsi="Times New Roman"/>
                <w:sz w:val="24"/>
                <w:szCs w:val="24"/>
              </w:rPr>
              <w:t xml:space="preserve"> (turpmāk –</w:t>
            </w:r>
            <w:r w:rsidRPr="00172E51">
              <w:rPr>
                <w:rFonts w:ascii="Times New Roman" w:hAnsi="Times New Roman"/>
                <w:color w:val="000000"/>
                <w:sz w:val="24"/>
                <w:szCs w:val="24"/>
              </w:rPr>
              <w:t xml:space="preserve"> Likumprojekts</w:t>
            </w:r>
            <w:r w:rsidRPr="00172E51">
              <w:rPr>
                <w:rFonts w:ascii="Times New Roman" w:hAnsi="Times New Roman"/>
                <w:sz w:val="24"/>
                <w:szCs w:val="24"/>
              </w:rPr>
              <w:t xml:space="preserve">) paredz pieņemt un apstiprināt līgumu. </w:t>
            </w:r>
          </w:p>
          <w:p w:rsidR="00172E51" w:rsidRDefault="00172E51" w:rsidP="00172E51">
            <w:pPr>
              <w:jc w:val="both"/>
              <w:rPr>
                <w:rFonts w:ascii="Times New Roman" w:hAnsi="Times New Roman"/>
                <w:sz w:val="24"/>
                <w:szCs w:val="24"/>
              </w:rPr>
            </w:pPr>
            <w:r w:rsidRPr="00172E51">
              <w:rPr>
                <w:rFonts w:ascii="Times New Roman" w:hAnsi="Times New Roman"/>
                <w:sz w:val="24"/>
                <w:szCs w:val="24"/>
              </w:rPr>
              <w:t xml:space="preserve">Likumprojekta </w:t>
            </w:r>
            <w:proofErr w:type="gramStart"/>
            <w:r w:rsidR="00CD7481">
              <w:rPr>
                <w:rFonts w:ascii="Times New Roman" w:hAnsi="Times New Roman"/>
                <w:sz w:val="24"/>
                <w:szCs w:val="24"/>
              </w:rPr>
              <w:t>2</w:t>
            </w:r>
            <w:r w:rsidRPr="00172E51">
              <w:rPr>
                <w:rFonts w:ascii="Times New Roman" w:hAnsi="Times New Roman"/>
                <w:sz w:val="24"/>
                <w:szCs w:val="24"/>
              </w:rPr>
              <w:t>.pants</w:t>
            </w:r>
            <w:proofErr w:type="gramEnd"/>
            <w:r w:rsidRPr="00172E51">
              <w:rPr>
                <w:rFonts w:ascii="Times New Roman" w:hAnsi="Times New Roman"/>
                <w:sz w:val="24"/>
                <w:szCs w:val="24"/>
              </w:rPr>
              <w:t xml:space="preserve"> paredz, ka līguma izpratnē Latvijas Republikas valsts kontaktpunkts ir Valsts policija.</w:t>
            </w:r>
          </w:p>
          <w:p w:rsidR="007621A6" w:rsidRDefault="007621A6" w:rsidP="00172E51">
            <w:pPr>
              <w:jc w:val="both"/>
              <w:rPr>
                <w:rFonts w:ascii="Times New Roman" w:hAnsi="Times New Roman"/>
                <w:sz w:val="24"/>
                <w:szCs w:val="24"/>
              </w:rPr>
            </w:pPr>
          </w:p>
          <w:p w:rsidR="00CD7481" w:rsidRPr="00F61529" w:rsidRDefault="007748EC" w:rsidP="00BF2BED">
            <w:pPr>
              <w:jc w:val="both"/>
              <w:rPr>
                <w:rFonts w:ascii="Times New Roman" w:hAnsi="Times New Roman"/>
                <w:sz w:val="24"/>
                <w:szCs w:val="24"/>
              </w:rPr>
            </w:pPr>
            <w:r w:rsidRPr="00F61529">
              <w:rPr>
                <w:rFonts w:ascii="Times New Roman" w:hAnsi="Times New Roman"/>
                <w:sz w:val="24"/>
                <w:szCs w:val="24"/>
              </w:rPr>
              <w:t>Līgums tiks apstiprināts ar Saeimas pieņemtu likumu, uz kura pamata Ārlietu ministrija</w:t>
            </w:r>
            <w:r w:rsidR="00BF2BED" w:rsidRPr="00F61529">
              <w:rPr>
                <w:rFonts w:ascii="Times New Roman" w:hAnsi="Times New Roman"/>
                <w:sz w:val="24"/>
                <w:szCs w:val="24"/>
              </w:rPr>
              <w:t xml:space="preserve"> sagatavos un Līguma depozitārijam iesniegs ratifikācijas dokumentu</w:t>
            </w:r>
            <w:r w:rsidRPr="00F61529">
              <w:rPr>
                <w:rFonts w:ascii="Times New Roman" w:hAnsi="Times New Roman"/>
                <w:sz w:val="24"/>
                <w:szCs w:val="24"/>
              </w:rPr>
              <w:t>.</w:t>
            </w:r>
          </w:p>
        </w:tc>
      </w:tr>
      <w:tr w:rsidR="007C06A2" w:rsidRPr="00943BCC" w:rsidTr="007803E1">
        <w:tc>
          <w:tcPr>
            <w:tcW w:w="823"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lastRenderedPageBreak/>
              <w:t>3.</w:t>
            </w:r>
          </w:p>
        </w:tc>
        <w:tc>
          <w:tcPr>
            <w:tcW w:w="2693"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Projekta izstrādē iesaistītās institūcijas</w:t>
            </w:r>
          </w:p>
        </w:tc>
        <w:tc>
          <w:tcPr>
            <w:tcW w:w="6095" w:type="dxa"/>
            <w:tcBorders>
              <w:bottom w:val="single" w:sz="4" w:space="0" w:color="auto"/>
            </w:tcBorders>
          </w:tcPr>
          <w:p w:rsidR="007C06A2" w:rsidRPr="00264CE0" w:rsidRDefault="007C06A2" w:rsidP="002D76A7">
            <w:pPr>
              <w:autoSpaceDE w:val="0"/>
              <w:autoSpaceDN w:val="0"/>
              <w:adjustRightInd w:val="0"/>
              <w:jc w:val="both"/>
              <w:rPr>
                <w:rFonts w:ascii="Times New Roman" w:hAnsi="Times New Roman"/>
                <w:sz w:val="24"/>
                <w:szCs w:val="24"/>
              </w:rPr>
            </w:pPr>
            <w:r w:rsidRPr="00264CE0">
              <w:rPr>
                <w:rFonts w:ascii="Times New Roman" w:hAnsi="Times New Roman"/>
                <w:sz w:val="24"/>
                <w:szCs w:val="24"/>
              </w:rPr>
              <w:t>Iekšlietu ministrija</w:t>
            </w:r>
            <w:r w:rsidR="002D76A7">
              <w:rPr>
                <w:rFonts w:ascii="Times New Roman" w:hAnsi="Times New Roman"/>
                <w:sz w:val="24"/>
                <w:szCs w:val="24"/>
              </w:rPr>
              <w:t>, Valsts policija</w:t>
            </w:r>
            <w:r w:rsidR="00172E51">
              <w:rPr>
                <w:rFonts w:ascii="Times New Roman" w:hAnsi="Times New Roman"/>
                <w:sz w:val="24"/>
                <w:szCs w:val="24"/>
              </w:rPr>
              <w:t>.</w:t>
            </w:r>
          </w:p>
        </w:tc>
      </w:tr>
      <w:tr w:rsidR="007C06A2" w:rsidRPr="00943BCC" w:rsidTr="007803E1">
        <w:tc>
          <w:tcPr>
            <w:tcW w:w="823"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4.</w:t>
            </w:r>
          </w:p>
        </w:tc>
        <w:tc>
          <w:tcPr>
            <w:tcW w:w="2693"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 xml:space="preserve">Cita informācija </w:t>
            </w:r>
          </w:p>
        </w:tc>
        <w:tc>
          <w:tcPr>
            <w:tcW w:w="6095" w:type="dxa"/>
            <w:tcBorders>
              <w:bottom w:val="single" w:sz="4" w:space="0" w:color="auto"/>
            </w:tcBorders>
          </w:tcPr>
          <w:p w:rsidR="003E40B3" w:rsidRPr="007748EC" w:rsidRDefault="007748EC" w:rsidP="00CC5D5B">
            <w:pPr>
              <w:jc w:val="both"/>
              <w:rPr>
                <w:rFonts w:ascii="Times New Roman" w:hAnsi="Times New Roman"/>
                <w:sz w:val="24"/>
                <w:szCs w:val="24"/>
              </w:rPr>
            </w:pPr>
            <w:r w:rsidRPr="007748EC">
              <w:rPr>
                <w:rFonts w:ascii="Times New Roman" w:hAnsi="Times New Roman"/>
                <w:sz w:val="24"/>
                <w:szCs w:val="24"/>
              </w:rPr>
              <w:t>Līguma noteikumus Eiropas Savienības dalībvalstis piemēro, ciktāl tie nav pretrunā Eiropas Savienības tiesību aktiem. Ja Eiropas Savienība nākotnē ievieš noteikumus, kas ietekmē šā līguma darbības jomu, tad, piemērojot attiecīgos šā līguma noteikumus, prioritāte ir Eiropas Savienības tiesību aktiem.</w:t>
            </w:r>
          </w:p>
          <w:p w:rsidR="007748EC" w:rsidRPr="007748EC" w:rsidRDefault="007748EC" w:rsidP="00CC5D5B">
            <w:pPr>
              <w:jc w:val="both"/>
              <w:rPr>
                <w:rFonts w:ascii="Times New Roman" w:hAnsi="Times New Roman"/>
                <w:sz w:val="24"/>
                <w:szCs w:val="24"/>
              </w:rPr>
            </w:pPr>
            <w:r w:rsidRPr="007748EC">
              <w:rPr>
                <w:rFonts w:ascii="Times New Roman" w:hAnsi="Times New Roman"/>
                <w:sz w:val="24"/>
                <w:szCs w:val="24"/>
              </w:rPr>
              <w:t>Līgums neskar tiesības un pienākumus, kas izriet no jebkādiem spēkā esošiem līgumslēdzēju pušu divpusējiem vai daudzpusējiem līgumiem.</w:t>
            </w:r>
          </w:p>
        </w:tc>
      </w:tr>
      <w:tr w:rsidR="00F1778F" w:rsidRPr="00943BCC" w:rsidTr="007803E1">
        <w:tc>
          <w:tcPr>
            <w:tcW w:w="823" w:type="dxa"/>
            <w:tcBorders>
              <w:top w:val="single" w:sz="4" w:space="0" w:color="auto"/>
              <w:left w:val="nil"/>
              <w:bottom w:val="single" w:sz="4" w:space="0" w:color="auto"/>
              <w:right w:val="nil"/>
            </w:tcBorders>
          </w:tcPr>
          <w:p w:rsidR="00016C20" w:rsidRPr="00943BCC" w:rsidRDefault="00016C20" w:rsidP="00CC5D5B">
            <w:pPr>
              <w:rPr>
                <w:rFonts w:ascii="Times New Roman" w:hAnsi="Times New Roman"/>
                <w:sz w:val="24"/>
                <w:szCs w:val="24"/>
              </w:rPr>
            </w:pPr>
          </w:p>
        </w:tc>
        <w:tc>
          <w:tcPr>
            <w:tcW w:w="2693" w:type="dxa"/>
            <w:tcBorders>
              <w:top w:val="single" w:sz="4" w:space="0" w:color="auto"/>
              <w:left w:val="nil"/>
              <w:bottom w:val="single" w:sz="4" w:space="0" w:color="auto"/>
              <w:right w:val="nil"/>
            </w:tcBorders>
          </w:tcPr>
          <w:p w:rsidR="00F1778F" w:rsidRPr="00943BCC" w:rsidRDefault="00F1778F" w:rsidP="00CC5D5B">
            <w:pPr>
              <w:rPr>
                <w:rFonts w:ascii="Times New Roman" w:hAnsi="Times New Roman"/>
                <w:sz w:val="24"/>
                <w:szCs w:val="24"/>
              </w:rPr>
            </w:pPr>
          </w:p>
        </w:tc>
        <w:tc>
          <w:tcPr>
            <w:tcW w:w="6095" w:type="dxa"/>
            <w:tcBorders>
              <w:top w:val="single" w:sz="4" w:space="0" w:color="auto"/>
              <w:left w:val="nil"/>
              <w:bottom w:val="single" w:sz="4" w:space="0" w:color="auto"/>
              <w:right w:val="nil"/>
            </w:tcBorders>
          </w:tcPr>
          <w:p w:rsidR="00FA4D88" w:rsidRPr="00943BCC" w:rsidRDefault="00FA4D88" w:rsidP="00CC5D5B">
            <w:pPr>
              <w:jc w:val="both"/>
              <w:rPr>
                <w:rFonts w:ascii="Times New Roman" w:hAnsi="Times New Roman"/>
                <w:sz w:val="24"/>
                <w:szCs w:val="24"/>
              </w:rPr>
            </w:pPr>
          </w:p>
        </w:tc>
      </w:tr>
      <w:tr w:rsidR="007C06A2" w:rsidRPr="00943BCC" w:rsidTr="007803E1">
        <w:tc>
          <w:tcPr>
            <w:tcW w:w="9611" w:type="dxa"/>
            <w:gridSpan w:val="3"/>
            <w:tcBorders>
              <w:top w:val="single" w:sz="4" w:space="0" w:color="auto"/>
            </w:tcBorders>
          </w:tcPr>
          <w:p w:rsidR="007C06A2" w:rsidRPr="00943BCC" w:rsidRDefault="007C06A2" w:rsidP="00CC5D5B">
            <w:pPr>
              <w:jc w:val="center"/>
              <w:rPr>
                <w:rFonts w:ascii="Times New Roman" w:hAnsi="Times New Roman"/>
                <w:sz w:val="24"/>
                <w:szCs w:val="24"/>
              </w:rPr>
            </w:pPr>
            <w:r w:rsidRPr="00943BCC">
              <w:rPr>
                <w:rFonts w:ascii="Times New Roman" w:hAnsi="Times New Roman"/>
                <w:b/>
                <w:sz w:val="24"/>
                <w:szCs w:val="24"/>
              </w:rPr>
              <w:t>II. Tiesību akta projekta ietekme uz sabiedrību, tautsaimniecības attīstību un administratīvo slogu</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 xml:space="preserve">1. </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Sabiedrības mērķgrupas, kuras tiesiskais regulējums ietekmē vai varētu ietekmēt</w:t>
            </w:r>
          </w:p>
        </w:tc>
        <w:tc>
          <w:tcPr>
            <w:tcW w:w="6095" w:type="dxa"/>
          </w:tcPr>
          <w:p w:rsidR="007C06A2" w:rsidRPr="005C3541" w:rsidRDefault="00AD62D6" w:rsidP="00135756">
            <w:pPr>
              <w:jc w:val="both"/>
              <w:rPr>
                <w:rFonts w:ascii="Times New Roman" w:hAnsi="Times New Roman"/>
                <w:iCs/>
                <w:sz w:val="24"/>
                <w:szCs w:val="24"/>
              </w:rPr>
            </w:pPr>
            <w:r>
              <w:rPr>
                <w:rFonts w:ascii="Times New Roman" w:hAnsi="Times New Roman"/>
                <w:color w:val="000000"/>
                <w:sz w:val="24"/>
                <w:szCs w:val="24"/>
              </w:rPr>
              <w:t>Likum</w:t>
            </w:r>
            <w:r w:rsidR="007902F0">
              <w:rPr>
                <w:rFonts w:ascii="Times New Roman" w:hAnsi="Times New Roman"/>
                <w:color w:val="000000"/>
                <w:sz w:val="24"/>
                <w:szCs w:val="24"/>
              </w:rPr>
              <w:t>p</w:t>
            </w:r>
            <w:r w:rsidR="007C06A2" w:rsidRPr="005C3541">
              <w:rPr>
                <w:rFonts w:ascii="Times New Roman" w:hAnsi="Times New Roman"/>
                <w:color w:val="000000"/>
                <w:sz w:val="24"/>
                <w:szCs w:val="24"/>
              </w:rPr>
              <w:t>rojekts attiecas uz</w:t>
            </w:r>
            <w:r w:rsidR="00C82002" w:rsidRPr="005C3541">
              <w:rPr>
                <w:rFonts w:ascii="Times New Roman" w:hAnsi="Times New Roman"/>
                <w:color w:val="000000"/>
                <w:sz w:val="24"/>
                <w:szCs w:val="24"/>
              </w:rPr>
              <w:t xml:space="preserve"> </w:t>
            </w:r>
            <w:r w:rsidR="00FA4D88">
              <w:rPr>
                <w:rFonts w:ascii="Times New Roman" w:hAnsi="Times New Roman"/>
                <w:color w:val="000000"/>
                <w:sz w:val="24"/>
                <w:szCs w:val="24"/>
              </w:rPr>
              <w:t>to</w:t>
            </w:r>
            <w:r w:rsidR="005C3541" w:rsidRPr="005C3541">
              <w:rPr>
                <w:rFonts w:ascii="Times New Roman" w:hAnsi="Times New Roman"/>
                <w:sz w:val="24"/>
                <w:szCs w:val="24"/>
              </w:rPr>
              <w:t xml:space="preserve"> valst</w:t>
            </w:r>
            <w:r w:rsidR="00FA4D88">
              <w:rPr>
                <w:rFonts w:ascii="Times New Roman" w:hAnsi="Times New Roman"/>
                <w:sz w:val="24"/>
                <w:szCs w:val="24"/>
              </w:rPr>
              <w:t>u aizsargājamām personām (lieciniekiem), kuras ir pievienojuš</w:t>
            </w:r>
            <w:r w:rsidR="00135756">
              <w:rPr>
                <w:rFonts w:ascii="Times New Roman" w:hAnsi="Times New Roman"/>
                <w:sz w:val="24"/>
                <w:szCs w:val="24"/>
              </w:rPr>
              <w:t>ā</w:t>
            </w:r>
            <w:r w:rsidR="00FA4D88">
              <w:rPr>
                <w:rFonts w:ascii="Times New Roman" w:hAnsi="Times New Roman"/>
                <w:sz w:val="24"/>
                <w:szCs w:val="24"/>
              </w:rPr>
              <w:t>s minēt</w:t>
            </w:r>
            <w:r w:rsidR="00135756">
              <w:rPr>
                <w:rFonts w:ascii="Times New Roman" w:hAnsi="Times New Roman"/>
                <w:sz w:val="24"/>
                <w:szCs w:val="24"/>
              </w:rPr>
              <w:t>aja</w:t>
            </w:r>
            <w:r w:rsidR="00FA4D88">
              <w:rPr>
                <w:rFonts w:ascii="Times New Roman" w:hAnsi="Times New Roman"/>
                <w:sz w:val="24"/>
                <w:szCs w:val="24"/>
              </w:rPr>
              <w:t>m līgumam.</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2.</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Tiesiskā regulējuma ietekme uz tautsaimniecību un administratīvo slogu</w:t>
            </w:r>
          </w:p>
        </w:tc>
        <w:tc>
          <w:tcPr>
            <w:tcW w:w="6095" w:type="dxa"/>
          </w:tcPr>
          <w:p w:rsidR="007C06A2" w:rsidRPr="00943BCC" w:rsidRDefault="00AD62D6" w:rsidP="00AD62D6">
            <w:pPr>
              <w:jc w:val="both"/>
              <w:rPr>
                <w:rFonts w:ascii="Times New Roman" w:hAnsi="Times New Roman"/>
                <w:sz w:val="24"/>
                <w:szCs w:val="24"/>
              </w:rPr>
            </w:pPr>
            <w:r>
              <w:rPr>
                <w:rFonts w:ascii="Times New Roman" w:hAnsi="Times New Roman"/>
                <w:color w:val="000000"/>
                <w:sz w:val="24"/>
                <w:szCs w:val="24"/>
              </w:rPr>
              <w:t>Likump</w:t>
            </w:r>
            <w:r w:rsidRPr="005C3541">
              <w:rPr>
                <w:rFonts w:ascii="Times New Roman" w:hAnsi="Times New Roman"/>
                <w:color w:val="000000"/>
                <w:sz w:val="24"/>
                <w:szCs w:val="24"/>
              </w:rPr>
              <w:t>rojekt</w:t>
            </w:r>
            <w:r>
              <w:rPr>
                <w:rFonts w:ascii="Times New Roman" w:hAnsi="Times New Roman"/>
                <w:color w:val="000000"/>
                <w:sz w:val="24"/>
                <w:szCs w:val="24"/>
              </w:rPr>
              <w:t>a</w:t>
            </w:r>
            <w:r w:rsidRPr="005C3541">
              <w:rPr>
                <w:rFonts w:ascii="Times New Roman" w:hAnsi="Times New Roman"/>
                <w:color w:val="000000"/>
                <w:sz w:val="24"/>
                <w:szCs w:val="24"/>
              </w:rPr>
              <w:t xml:space="preserve"> </w:t>
            </w:r>
            <w:r w:rsidR="007C06A2" w:rsidRPr="00943BCC">
              <w:rPr>
                <w:rFonts w:ascii="Times New Roman" w:hAnsi="Times New Roman"/>
                <w:sz w:val="24"/>
                <w:szCs w:val="24"/>
              </w:rPr>
              <w:t xml:space="preserve">tiesiskais regulējums </w:t>
            </w:r>
            <w:r w:rsidR="007963F8">
              <w:rPr>
                <w:rFonts w:ascii="Times New Roman" w:hAnsi="Times New Roman"/>
                <w:sz w:val="24"/>
                <w:szCs w:val="24"/>
              </w:rPr>
              <w:t>neietekmē tautsaimniecību un nerada papildu administratīvo slogu</w:t>
            </w:r>
            <w:r w:rsidR="007C06A2" w:rsidRPr="00943BCC">
              <w:rPr>
                <w:rFonts w:ascii="Times New Roman" w:hAnsi="Times New Roman"/>
                <w:sz w:val="24"/>
                <w:szCs w:val="24"/>
              </w:rPr>
              <w:t>.</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3.</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Administratīvo izmaksu monetārs novērtējums</w:t>
            </w:r>
          </w:p>
        </w:tc>
        <w:tc>
          <w:tcPr>
            <w:tcW w:w="6095" w:type="dxa"/>
          </w:tcPr>
          <w:p w:rsidR="007C06A2" w:rsidRPr="00943BCC" w:rsidRDefault="00AD62D6" w:rsidP="00CC5D5B">
            <w:pPr>
              <w:jc w:val="both"/>
              <w:rPr>
                <w:rFonts w:ascii="Times New Roman" w:hAnsi="Times New Roman"/>
                <w:sz w:val="24"/>
                <w:szCs w:val="24"/>
              </w:rPr>
            </w:pPr>
            <w:r>
              <w:rPr>
                <w:rFonts w:ascii="Times New Roman" w:hAnsi="Times New Roman"/>
                <w:color w:val="000000"/>
                <w:sz w:val="24"/>
                <w:szCs w:val="24"/>
              </w:rPr>
              <w:t>Likump</w:t>
            </w:r>
            <w:r w:rsidRPr="005C3541">
              <w:rPr>
                <w:rFonts w:ascii="Times New Roman" w:hAnsi="Times New Roman"/>
                <w:color w:val="000000"/>
                <w:sz w:val="24"/>
                <w:szCs w:val="24"/>
              </w:rPr>
              <w:t xml:space="preserve">rojekts </w:t>
            </w:r>
            <w:r w:rsidR="00D02170" w:rsidRPr="00943BCC">
              <w:rPr>
                <w:rFonts w:ascii="Times New Roman" w:hAnsi="Times New Roman"/>
                <w:sz w:val="24"/>
                <w:szCs w:val="24"/>
              </w:rPr>
              <w:t>šo jomu neskar</w:t>
            </w:r>
            <w:r w:rsidR="007963F8">
              <w:rPr>
                <w:rFonts w:ascii="Times New Roman" w:hAnsi="Times New Roman"/>
                <w:sz w:val="24"/>
                <w:szCs w:val="24"/>
              </w:rPr>
              <w:t>.</w:t>
            </w:r>
          </w:p>
        </w:tc>
      </w:tr>
      <w:tr w:rsidR="007C06A2" w:rsidRPr="00943BCC" w:rsidTr="007803E1">
        <w:tc>
          <w:tcPr>
            <w:tcW w:w="82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4.</w:t>
            </w:r>
          </w:p>
        </w:tc>
        <w:tc>
          <w:tcPr>
            <w:tcW w:w="2693"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Cita informācija</w:t>
            </w:r>
          </w:p>
        </w:tc>
        <w:tc>
          <w:tcPr>
            <w:tcW w:w="6095" w:type="dxa"/>
          </w:tcPr>
          <w:p w:rsidR="007C06A2" w:rsidRPr="00943BCC" w:rsidRDefault="007C06A2" w:rsidP="00CC5D5B">
            <w:pPr>
              <w:jc w:val="both"/>
              <w:rPr>
                <w:rFonts w:ascii="Times New Roman" w:hAnsi="Times New Roman"/>
                <w:sz w:val="24"/>
                <w:szCs w:val="24"/>
              </w:rPr>
            </w:pPr>
            <w:r w:rsidRPr="00943BCC">
              <w:rPr>
                <w:rFonts w:ascii="Times New Roman" w:hAnsi="Times New Roman"/>
                <w:sz w:val="24"/>
                <w:szCs w:val="24"/>
              </w:rPr>
              <w:t>Nav.</w:t>
            </w:r>
          </w:p>
        </w:tc>
      </w:tr>
    </w:tbl>
    <w:p w:rsidR="00FA4D88" w:rsidRDefault="00FA4D88" w:rsidP="00CC5D5B">
      <w:pPr>
        <w:spacing w:after="0" w:line="240" w:lineRule="auto"/>
      </w:pPr>
    </w:p>
    <w:p w:rsidR="00C45D75" w:rsidRPr="00943BCC" w:rsidRDefault="00C45D75" w:rsidP="00CC5D5B">
      <w:pPr>
        <w:spacing w:after="0" w:line="240" w:lineRule="auto"/>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1"/>
      </w:tblGrid>
      <w:tr w:rsidR="007C06A2" w:rsidRPr="00943BCC" w:rsidTr="007803E1">
        <w:tc>
          <w:tcPr>
            <w:tcW w:w="9611"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jc w:val="center"/>
              <w:rPr>
                <w:rFonts w:ascii="Times New Roman" w:hAnsi="Times New Roman"/>
                <w:b/>
                <w:sz w:val="24"/>
                <w:szCs w:val="24"/>
              </w:rPr>
            </w:pPr>
            <w:r w:rsidRPr="00943BCC">
              <w:rPr>
                <w:rFonts w:ascii="Times New Roman" w:hAnsi="Times New Roman"/>
                <w:b/>
                <w:sz w:val="24"/>
                <w:szCs w:val="24"/>
              </w:rPr>
              <w:br w:type="page"/>
              <w:t>III. Tiesību akta projekta ietekme uz valsts budžetu un pašvaldību budžetiem</w:t>
            </w:r>
          </w:p>
        </w:tc>
      </w:tr>
      <w:tr w:rsidR="00F1778F" w:rsidRPr="00943BCC" w:rsidTr="007803E1">
        <w:tc>
          <w:tcPr>
            <w:tcW w:w="9611" w:type="dxa"/>
            <w:tcBorders>
              <w:top w:val="single" w:sz="4" w:space="0" w:color="auto"/>
              <w:left w:val="single" w:sz="4" w:space="0" w:color="auto"/>
              <w:bottom w:val="single" w:sz="4" w:space="0" w:color="auto"/>
              <w:right w:val="single" w:sz="4" w:space="0" w:color="auto"/>
            </w:tcBorders>
          </w:tcPr>
          <w:p w:rsidR="00F1778F" w:rsidRPr="00943BCC" w:rsidRDefault="00AD62D6" w:rsidP="00CC5D5B">
            <w:pPr>
              <w:spacing w:after="0" w:line="240" w:lineRule="auto"/>
              <w:jc w:val="center"/>
              <w:rPr>
                <w:rFonts w:ascii="Times New Roman" w:hAnsi="Times New Roman"/>
                <w:b/>
                <w:sz w:val="24"/>
                <w:szCs w:val="24"/>
              </w:rPr>
            </w:pPr>
            <w:r>
              <w:rPr>
                <w:rFonts w:ascii="Times New Roman" w:hAnsi="Times New Roman"/>
                <w:color w:val="000000"/>
                <w:sz w:val="24"/>
                <w:szCs w:val="24"/>
              </w:rPr>
              <w:t>Likump</w:t>
            </w:r>
            <w:r w:rsidRPr="005C3541">
              <w:rPr>
                <w:rFonts w:ascii="Times New Roman" w:hAnsi="Times New Roman"/>
                <w:color w:val="000000"/>
                <w:sz w:val="24"/>
                <w:szCs w:val="24"/>
              </w:rPr>
              <w:t xml:space="preserve">rojekts </w:t>
            </w:r>
            <w:r w:rsidR="00F1778F" w:rsidRPr="00943BCC">
              <w:rPr>
                <w:rFonts w:ascii="Times New Roman" w:hAnsi="Times New Roman"/>
                <w:sz w:val="24"/>
                <w:szCs w:val="24"/>
              </w:rPr>
              <w:t xml:space="preserve">šo jomu </w:t>
            </w:r>
            <w:r w:rsidR="00F1778F" w:rsidRPr="00BB4BA0">
              <w:rPr>
                <w:rFonts w:ascii="Times New Roman" w:hAnsi="Times New Roman"/>
                <w:sz w:val="24"/>
                <w:szCs w:val="24"/>
              </w:rPr>
              <w:t>neskar.</w:t>
            </w:r>
          </w:p>
        </w:tc>
      </w:tr>
    </w:tbl>
    <w:p w:rsidR="00FA4D88" w:rsidRPr="00943BCC" w:rsidRDefault="00FA4D88" w:rsidP="00CC5D5B">
      <w:pPr>
        <w:spacing w:after="0" w:line="240" w:lineRule="auto"/>
        <w:jc w:val="cente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706"/>
        <w:gridCol w:w="267"/>
        <w:gridCol w:w="740"/>
        <w:gridCol w:w="1083"/>
        <w:gridCol w:w="1279"/>
        <w:gridCol w:w="1378"/>
        <w:gridCol w:w="2576"/>
        <w:gridCol w:w="9"/>
      </w:tblGrid>
      <w:tr w:rsidR="007C06A2" w:rsidRPr="00943BCC" w:rsidTr="007803E1">
        <w:trPr>
          <w:gridAfter w:val="1"/>
          <w:wAfter w:w="9" w:type="dxa"/>
          <w:trHeight w:val="461"/>
          <w:jc w:val="center"/>
        </w:trPr>
        <w:tc>
          <w:tcPr>
            <w:tcW w:w="9526" w:type="dxa"/>
            <w:gridSpan w:val="8"/>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jc w:val="center"/>
              <w:rPr>
                <w:b/>
              </w:rPr>
            </w:pPr>
            <w:r w:rsidRPr="00943BCC">
              <w:br w:type="page"/>
            </w:r>
            <w:r w:rsidRPr="00943BCC">
              <w:rPr>
                <w:b/>
              </w:rPr>
              <w:t>IV. Tiesību akta projekta ietekme uz spēkā esošo tiesību normu sistēmu</w:t>
            </w:r>
          </w:p>
        </w:tc>
      </w:tr>
      <w:tr w:rsidR="00AE6B01" w:rsidRPr="00943BCC" w:rsidTr="007803E1">
        <w:trPr>
          <w:gridAfter w:val="1"/>
          <w:wAfter w:w="9" w:type="dxa"/>
          <w:trHeight w:val="270"/>
          <w:jc w:val="center"/>
        </w:trPr>
        <w:tc>
          <w:tcPr>
            <w:tcW w:w="9526" w:type="dxa"/>
            <w:gridSpan w:val="8"/>
            <w:tcBorders>
              <w:top w:val="single" w:sz="4" w:space="0" w:color="auto"/>
              <w:left w:val="single" w:sz="4" w:space="0" w:color="auto"/>
              <w:bottom w:val="single" w:sz="4" w:space="0" w:color="auto"/>
              <w:right w:val="single" w:sz="4" w:space="0" w:color="auto"/>
            </w:tcBorders>
            <w:vAlign w:val="center"/>
          </w:tcPr>
          <w:p w:rsidR="00AE6B01" w:rsidRPr="00BB4BA0" w:rsidRDefault="00AD62D6" w:rsidP="00CC5D5B">
            <w:pPr>
              <w:pStyle w:val="naisnod"/>
              <w:spacing w:before="0" w:beforeAutospacing="0" w:after="0" w:afterAutospacing="0"/>
              <w:jc w:val="center"/>
            </w:pPr>
            <w:r>
              <w:rPr>
                <w:color w:val="000000"/>
              </w:rPr>
              <w:t>Likump</w:t>
            </w:r>
            <w:r w:rsidRPr="005C3541">
              <w:rPr>
                <w:color w:val="000000"/>
              </w:rPr>
              <w:t xml:space="preserve">rojekts </w:t>
            </w:r>
            <w:r w:rsidR="00AE6B01" w:rsidRPr="00BB4BA0">
              <w:t>šo jomu neskar.</w:t>
            </w:r>
          </w:p>
        </w:tc>
      </w:tr>
      <w:tr w:rsidR="0087447C" w:rsidRPr="00DD49B6" w:rsidTr="007803E1">
        <w:trPr>
          <w:gridAfter w:val="1"/>
          <w:wAfter w:w="9" w:type="dxa"/>
          <w:trHeight w:val="270"/>
          <w:jc w:val="center"/>
        </w:trPr>
        <w:tc>
          <w:tcPr>
            <w:tcW w:w="9526" w:type="dxa"/>
            <w:gridSpan w:val="8"/>
            <w:tcBorders>
              <w:top w:val="single" w:sz="4" w:space="0" w:color="auto"/>
              <w:left w:val="single" w:sz="4" w:space="0" w:color="auto"/>
              <w:bottom w:val="single" w:sz="4" w:space="0" w:color="auto"/>
              <w:right w:val="single" w:sz="4" w:space="0" w:color="auto"/>
            </w:tcBorders>
            <w:vAlign w:val="center"/>
          </w:tcPr>
          <w:p w:rsidR="0087447C" w:rsidRPr="007803E1" w:rsidRDefault="0087447C" w:rsidP="007803E1">
            <w:pPr>
              <w:pStyle w:val="naisnod"/>
              <w:jc w:val="center"/>
              <w:rPr>
                <w:b/>
                <w:color w:val="000000"/>
              </w:rPr>
            </w:pPr>
            <w:r w:rsidRPr="007803E1">
              <w:rPr>
                <w:b/>
                <w:color w:val="000000"/>
              </w:rPr>
              <w:t>V. Tiesību akta projekta atbilstība Latvijas Republikas starptautiskajām saistībām</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97" w:type="dxa"/>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Saistības pret Eiropas Savienību</w:t>
            </w:r>
          </w:p>
        </w:tc>
        <w:tc>
          <w:tcPr>
            <w:tcW w:w="6325" w:type="dxa"/>
            <w:gridSpan w:val="5"/>
            <w:tcBorders>
              <w:top w:val="outset" w:sz="6" w:space="0" w:color="auto"/>
              <w:left w:val="outset" w:sz="6" w:space="0" w:color="auto"/>
              <w:bottom w:val="outset" w:sz="6" w:space="0" w:color="auto"/>
              <w:right w:val="outset" w:sz="6" w:space="0" w:color="auto"/>
            </w:tcBorders>
          </w:tcPr>
          <w:p w:rsidR="0087447C" w:rsidRPr="0087447C" w:rsidRDefault="0087447C" w:rsidP="007803E1">
            <w:pPr>
              <w:spacing w:after="0" w:line="240" w:lineRule="auto"/>
              <w:jc w:val="both"/>
              <w:rPr>
                <w:rFonts w:ascii="Times New Roman" w:hAnsi="Times New Roman"/>
                <w:sz w:val="24"/>
                <w:szCs w:val="24"/>
              </w:rPr>
            </w:pPr>
            <w:r w:rsidRPr="007803E1">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97" w:type="dxa"/>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Citas starptautiskās saistības</w:t>
            </w:r>
          </w:p>
        </w:tc>
        <w:tc>
          <w:tcPr>
            <w:tcW w:w="6325" w:type="dxa"/>
            <w:gridSpan w:val="5"/>
            <w:tcBorders>
              <w:top w:val="outset" w:sz="6" w:space="0" w:color="auto"/>
              <w:left w:val="outset" w:sz="6" w:space="0" w:color="auto"/>
              <w:bottom w:val="outset" w:sz="6" w:space="0" w:color="auto"/>
              <w:right w:val="outset" w:sz="6" w:space="0" w:color="auto"/>
            </w:tcBorders>
          </w:tcPr>
          <w:p w:rsidR="0087447C" w:rsidRPr="007803E1" w:rsidRDefault="0087447C" w:rsidP="00166035">
            <w:pPr>
              <w:spacing w:after="0" w:line="240" w:lineRule="auto"/>
              <w:ind w:left="57"/>
              <w:jc w:val="both"/>
              <w:rPr>
                <w:rFonts w:ascii="Times New Roman" w:hAnsi="Times New Roman"/>
                <w:sz w:val="24"/>
                <w:szCs w:val="24"/>
              </w:rPr>
            </w:pPr>
          </w:p>
          <w:p w:rsidR="0087447C" w:rsidRPr="00923AD7" w:rsidRDefault="0087447C" w:rsidP="00166035">
            <w:pPr>
              <w:spacing w:after="0" w:line="240" w:lineRule="auto"/>
              <w:jc w:val="both"/>
              <w:rPr>
                <w:rFonts w:ascii="Times New Roman" w:hAnsi="Times New Roman"/>
                <w:sz w:val="24"/>
                <w:szCs w:val="24"/>
              </w:rPr>
            </w:pPr>
            <w:r w:rsidRPr="007803E1">
              <w:rPr>
                <w:rFonts w:ascii="Times New Roman" w:hAnsi="Times New Roman"/>
                <w:sz w:val="24"/>
                <w:szCs w:val="24"/>
              </w:rPr>
              <w:t>Projekts nav pretrunā un neiet</w:t>
            </w:r>
            <w:r>
              <w:rPr>
                <w:rFonts w:ascii="Times New Roman" w:hAnsi="Times New Roman"/>
                <w:sz w:val="24"/>
                <w:szCs w:val="24"/>
              </w:rPr>
              <w:t>e</w:t>
            </w:r>
            <w:r w:rsidRPr="007803E1">
              <w:rPr>
                <w:rFonts w:ascii="Times New Roman" w:hAnsi="Times New Roman"/>
                <w:sz w:val="24"/>
                <w:szCs w:val="24"/>
              </w:rPr>
              <w:t xml:space="preserve">kmē </w:t>
            </w:r>
            <w:proofErr w:type="gramStart"/>
            <w:r w:rsidRPr="0087447C">
              <w:rPr>
                <w:rFonts w:ascii="Times New Roman" w:hAnsi="Times New Roman"/>
                <w:sz w:val="24"/>
                <w:szCs w:val="24"/>
              </w:rPr>
              <w:t>2000.gadā</w:t>
            </w:r>
            <w:proofErr w:type="gramEnd"/>
            <w:r w:rsidRPr="0087447C">
              <w:rPr>
                <w:rFonts w:ascii="Times New Roman" w:hAnsi="Times New Roman"/>
                <w:sz w:val="24"/>
                <w:szCs w:val="24"/>
              </w:rPr>
              <w:t xml:space="preserve"> parakstīta Latvijas, Lietuvas un Igaunijas valdības vienošanās par s</w:t>
            </w:r>
            <w:r w:rsidRPr="00923AD7">
              <w:rPr>
                <w:rFonts w:ascii="Times New Roman" w:hAnsi="Times New Roman"/>
                <w:sz w:val="24"/>
                <w:szCs w:val="24"/>
              </w:rPr>
              <w:t>adarbību liecinieku aizsardzībā, kas stājās spēkā 2006.gada 9.martā.</w:t>
            </w:r>
          </w:p>
          <w:p w:rsidR="0087447C" w:rsidRPr="00923AD7" w:rsidRDefault="0087447C" w:rsidP="007803E1">
            <w:pPr>
              <w:spacing w:after="0" w:line="240" w:lineRule="auto"/>
              <w:jc w:val="both"/>
              <w:rPr>
                <w:rFonts w:ascii="Times New Roman" w:hAnsi="Times New Roman"/>
                <w:sz w:val="24"/>
                <w:szCs w:val="24"/>
              </w:rPr>
            </w:pP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97" w:type="dxa"/>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Cita informācija</w:t>
            </w:r>
          </w:p>
        </w:tc>
        <w:tc>
          <w:tcPr>
            <w:tcW w:w="6325" w:type="dxa"/>
            <w:gridSpan w:val="5"/>
            <w:tcBorders>
              <w:top w:val="outset" w:sz="6" w:space="0" w:color="auto"/>
              <w:left w:val="outset" w:sz="6" w:space="0" w:color="auto"/>
              <w:bottom w:val="outset" w:sz="6" w:space="0" w:color="auto"/>
              <w:right w:val="outset" w:sz="6" w:space="0" w:color="auto"/>
            </w:tcBorders>
          </w:tcPr>
          <w:p w:rsidR="0087447C" w:rsidRPr="0087447C" w:rsidRDefault="0087447C" w:rsidP="0087447C">
            <w:pPr>
              <w:spacing w:after="0" w:line="240" w:lineRule="auto"/>
              <w:ind w:left="57"/>
              <w:jc w:val="both"/>
              <w:rPr>
                <w:rFonts w:ascii="Times New Roman" w:hAnsi="Times New Roman"/>
                <w:sz w:val="24"/>
                <w:szCs w:val="24"/>
              </w:rPr>
            </w:pPr>
            <w:r w:rsidRPr="007803E1">
              <w:rPr>
                <w:rFonts w:ascii="Times New Roman" w:hAnsi="Times New Roman"/>
                <w:sz w:val="24"/>
                <w:szCs w:val="24"/>
              </w:rPr>
              <w:t>Nav.</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35" w:type="dxa"/>
            <w:gridSpan w:val="9"/>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b/>
                <w:sz w:val="24"/>
                <w:szCs w:val="24"/>
              </w:rPr>
            </w:pPr>
            <w:r w:rsidRPr="00DD49B6">
              <w:rPr>
                <w:rFonts w:ascii="Times New Roman" w:hAnsi="Times New Roman"/>
                <w:b/>
                <w:sz w:val="24"/>
                <w:szCs w:val="24"/>
              </w:rPr>
              <w:t>1.tabula</w:t>
            </w:r>
          </w:p>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b/>
                <w:sz w:val="24"/>
                <w:szCs w:val="24"/>
              </w:rPr>
              <w:t>Tiesību akta projekta atbilstība ES tiesību aktiem</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Attiecīgā ES tiesību akta datums, numurs un nosaukums</w:t>
            </w:r>
          </w:p>
        </w:tc>
        <w:tc>
          <w:tcPr>
            <w:tcW w:w="7332" w:type="dxa"/>
            <w:gridSpan w:val="7"/>
            <w:tcBorders>
              <w:top w:val="outset" w:sz="6" w:space="0" w:color="auto"/>
              <w:left w:val="outset" w:sz="6" w:space="0" w:color="auto"/>
              <w:bottom w:val="outset" w:sz="6" w:space="0" w:color="auto"/>
              <w:right w:val="outset" w:sz="6" w:space="0" w:color="auto"/>
            </w:tcBorders>
          </w:tcPr>
          <w:p w:rsidR="0087447C" w:rsidRPr="007E400F" w:rsidRDefault="007E400F" w:rsidP="00F371E7">
            <w:pPr>
              <w:spacing w:after="0" w:line="240" w:lineRule="auto"/>
              <w:ind w:left="57"/>
              <w:rPr>
                <w:rFonts w:ascii="Times New Roman" w:hAnsi="Times New Roman"/>
                <w:sz w:val="24"/>
                <w:szCs w:val="24"/>
              </w:rPr>
            </w:pPr>
            <w:r w:rsidRPr="007803E1">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C</w:t>
            </w:r>
          </w:p>
        </w:tc>
        <w:tc>
          <w:tcPr>
            <w:tcW w:w="2585" w:type="dxa"/>
            <w:gridSpan w:val="2"/>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D</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Informācija par to, vai šīs tabulas A ailē minētās ES tiesību akta vienības tiek pārņemtas vai ieviestas pilnībā vai daļēji.</w:t>
            </w:r>
          </w:p>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Norāda institūciju, kas ir atbildīga par šo saistību izpildi pilnībā</w:t>
            </w:r>
          </w:p>
        </w:tc>
        <w:tc>
          <w:tcPr>
            <w:tcW w:w="2585"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pacing w:val="-3"/>
                <w:sz w:val="24"/>
                <w:szCs w:val="24"/>
              </w:rPr>
              <w:t xml:space="preserve">Informācija par to, vai šīs </w:t>
            </w:r>
            <w:r w:rsidRPr="00DD49B6">
              <w:rPr>
                <w:rFonts w:ascii="Times New Roman" w:hAnsi="Times New Roman"/>
                <w:sz w:val="24"/>
                <w:szCs w:val="24"/>
              </w:rPr>
              <w:t>tabulas B ailē minētās projekta vienības paredz stingrākas prasības nekā šīs tabulas A ailē minētās ES tiesību akta vienības.</w:t>
            </w:r>
          </w:p>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Ja projekts satur stingrā</w:t>
            </w:r>
            <w:r>
              <w:rPr>
                <w:rFonts w:ascii="Times New Roman" w:hAnsi="Times New Roman"/>
                <w:sz w:val="24"/>
                <w:szCs w:val="24"/>
              </w:rPr>
              <w:softHyphen/>
            </w:r>
            <w:r w:rsidRPr="00DD49B6">
              <w:rPr>
                <w:rFonts w:ascii="Times New Roman" w:hAnsi="Times New Roman"/>
                <w:sz w:val="24"/>
                <w:szCs w:val="24"/>
              </w:rPr>
              <w:t>kas prasības nekā attie</w:t>
            </w:r>
            <w:r>
              <w:rPr>
                <w:rFonts w:ascii="Times New Roman" w:hAnsi="Times New Roman"/>
                <w:sz w:val="24"/>
                <w:szCs w:val="24"/>
              </w:rPr>
              <w:softHyphen/>
            </w:r>
            <w:r w:rsidRPr="00DD49B6">
              <w:rPr>
                <w:rFonts w:ascii="Times New Roman" w:hAnsi="Times New Roman"/>
                <w:sz w:val="24"/>
                <w:szCs w:val="24"/>
              </w:rPr>
              <w:t>cīgais ES tiesību akts,</w:t>
            </w:r>
            <w:r>
              <w:rPr>
                <w:rFonts w:ascii="Times New Roman" w:hAnsi="Times New Roman"/>
                <w:sz w:val="24"/>
                <w:szCs w:val="24"/>
              </w:rPr>
              <w:t xml:space="preserve"> </w:t>
            </w:r>
            <w:r w:rsidRPr="00DD49B6">
              <w:rPr>
                <w:rFonts w:ascii="Times New Roman" w:hAnsi="Times New Roman"/>
                <w:sz w:val="24"/>
                <w:szCs w:val="24"/>
              </w:rPr>
              <w:t>norāda pamatojumu un samērīgumu.</w:t>
            </w:r>
          </w:p>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spacing w:val="-3"/>
                <w:sz w:val="24"/>
                <w:szCs w:val="24"/>
              </w:rPr>
              <w:t xml:space="preserve"> noteikšanas, nekā paredzēts attiecīgajos ES tiesību aktos</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7E400F" w:rsidP="00F371E7">
            <w:pPr>
              <w:spacing w:after="0" w:line="240" w:lineRule="auto"/>
              <w:ind w:left="57"/>
              <w:rPr>
                <w:rFonts w:ascii="Times New Roman" w:hAnsi="Times New Roman"/>
                <w:spacing w:val="-2"/>
                <w:sz w:val="24"/>
                <w:szCs w:val="24"/>
              </w:rPr>
            </w:pPr>
            <w:r w:rsidRPr="00F371E7">
              <w:rPr>
                <w:rFonts w:ascii="Times New Roman" w:hAnsi="Times New Roman"/>
                <w:color w:val="000000"/>
                <w:sz w:val="24"/>
                <w:szCs w:val="24"/>
              </w:rPr>
              <w:t>Projekts šo jomu neskar</w:t>
            </w:r>
          </w:p>
        </w:tc>
        <w:tc>
          <w:tcPr>
            <w:tcW w:w="2090" w:type="dxa"/>
            <w:gridSpan w:val="3"/>
            <w:tcBorders>
              <w:top w:val="outset" w:sz="6" w:space="0" w:color="auto"/>
              <w:left w:val="outset" w:sz="6" w:space="0" w:color="auto"/>
              <w:bottom w:val="outset" w:sz="6" w:space="0" w:color="auto"/>
              <w:right w:val="outset" w:sz="6" w:space="0" w:color="auto"/>
            </w:tcBorders>
          </w:tcPr>
          <w:p w:rsidR="0087447C" w:rsidRPr="00DD49B6" w:rsidRDefault="007E400F" w:rsidP="00F371E7">
            <w:pPr>
              <w:spacing w:after="0" w:line="240" w:lineRule="auto"/>
              <w:ind w:left="57"/>
              <w:rPr>
                <w:rFonts w:ascii="Times New Roman" w:hAnsi="Times New Roman"/>
                <w:spacing w:val="-2"/>
                <w:sz w:val="24"/>
                <w:szCs w:val="24"/>
              </w:rPr>
            </w:pPr>
            <w:r w:rsidRPr="00F371E7">
              <w:rPr>
                <w:rFonts w:ascii="Times New Roman" w:hAnsi="Times New Roman"/>
                <w:color w:val="000000"/>
                <w:sz w:val="24"/>
                <w:szCs w:val="24"/>
              </w:rPr>
              <w:t>Projekts šo jomu neskar</w:t>
            </w:r>
          </w:p>
        </w:tc>
        <w:tc>
          <w:tcPr>
            <w:tcW w:w="2657" w:type="dxa"/>
            <w:gridSpan w:val="2"/>
            <w:tcBorders>
              <w:top w:val="outset" w:sz="6" w:space="0" w:color="auto"/>
              <w:left w:val="outset" w:sz="6" w:space="0" w:color="auto"/>
              <w:bottom w:val="outset" w:sz="6" w:space="0" w:color="auto"/>
              <w:right w:val="outset" w:sz="6" w:space="0" w:color="auto"/>
            </w:tcBorders>
          </w:tcPr>
          <w:p w:rsidR="0087447C" w:rsidRPr="00DD49B6" w:rsidRDefault="007E400F" w:rsidP="00F371E7">
            <w:pPr>
              <w:spacing w:after="0" w:line="240" w:lineRule="auto"/>
              <w:ind w:left="57"/>
              <w:rPr>
                <w:rFonts w:ascii="Times New Roman" w:hAnsi="Times New Roman"/>
                <w:spacing w:val="-2"/>
                <w:sz w:val="24"/>
                <w:szCs w:val="24"/>
              </w:rPr>
            </w:pPr>
            <w:r w:rsidRPr="00F371E7">
              <w:rPr>
                <w:rFonts w:ascii="Times New Roman" w:hAnsi="Times New Roman"/>
                <w:color w:val="000000"/>
                <w:sz w:val="24"/>
                <w:szCs w:val="24"/>
              </w:rPr>
              <w:t>Projekts šo jomu neskar</w:t>
            </w:r>
          </w:p>
        </w:tc>
        <w:tc>
          <w:tcPr>
            <w:tcW w:w="2585" w:type="dxa"/>
            <w:gridSpan w:val="2"/>
            <w:tcBorders>
              <w:top w:val="outset" w:sz="6" w:space="0" w:color="auto"/>
              <w:left w:val="outset" w:sz="6" w:space="0" w:color="auto"/>
              <w:bottom w:val="outset" w:sz="6" w:space="0" w:color="auto"/>
              <w:right w:val="outset" w:sz="6" w:space="0" w:color="auto"/>
            </w:tcBorders>
          </w:tcPr>
          <w:p w:rsidR="0087447C" w:rsidRPr="00DD49B6" w:rsidRDefault="007E400F" w:rsidP="00F371E7">
            <w:pPr>
              <w:spacing w:after="0" w:line="240" w:lineRule="auto"/>
              <w:ind w:left="57"/>
              <w:rPr>
                <w:rFonts w:ascii="Times New Roman" w:hAnsi="Times New Roman"/>
                <w:spacing w:val="-2"/>
                <w:sz w:val="24"/>
                <w:szCs w:val="24"/>
              </w:rPr>
            </w:pPr>
            <w:r w:rsidRPr="00F371E7">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pacing w:val="-3"/>
                <w:sz w:val="24"/>
                <w:szCs w:val="24"/>
              </w:rPr>
            </w:pPr>
            <w:proofErr w:type="gramStart"/>
            <w:r w:rsidRPr="00DD49B6">
              <w:rPr>
                <w:rFonts w:ascii="Times New Roman" w:hAnsi="Times New Roman"/>
                <w:spacing w:val="-3"/>
                <w:sz w:val="24"/>
                <w:szCs w:val="24"/>
              </w:rPr>
              <w:lastRenderedPageBreak/>
              <w:t>Kā ir izmantota ES tiesību aktā paredzētā rīcības brīvība dalīb</w:t>
            </w:r>
            <w:r>
              <w:rPr>
                <w:rFonts w:ascii="Times New Roman" w:hAnsi="Times New Roman"/>
                <w:spacing w:val="-3"/>
                <w:sz w:val="24"/>
                <w:szCs w:val="24"/>
              </w:rPr>
              <w:softHyphen/>
            </w:r>
            <w:r w:rsidRPr="00DD49B6">
              <w:rPr>
                <w:rFonts w:ascii="Times New Roman" w:hAnsi="Times New Roman"/>
                <w:spacing w:val="-3"/>
                <w:sz w:val="24"/>
                <w:szCs w:val="24"/>
              </w:rPr>
              <w:t>valstij pārņemt vai ieviest</w:t>
            </w:r>
            <w:proofErr w:type="gramEnd"/>
            <w:r w:rsidRPr="00DD49B6">
              <w:rPr>
                <w:rFonts w:ascii="Times New Roman" w:hAnsi="Times New Roman"/>
                <w:spacing w:val="-3"/>
                <w:sz w:val="24"/>
                <w:szCs w:val="24"/>
              </w:rPr>
              <w:t xml:space="preserve"> noteiktas ES tiesību akta normas?</w:t>
            </w:r>
          </w:p>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3"/>
                <w:sz w:val="24"/>
                <w:szCs w:val="24"/>
              </w:rPr>
              <w:t>Kādēļ?</w:t>
            </w:r>
          </w:p>
        </w:tc>
        <w:tc>
          <w:tcPr>
            <w:tcW w:w="7332" w:type="dxa"/>
            <w:gridSpan w:val="7"/>
            <w:tcBorders>
              <w:top w:val="outset" w:sz="6" w:space="0" w:color="auto"/>
              <w:left w:val="outset" w:sz="6" w:space="0" w:color="auto"/>
              <w:bottom w:val="outset" w:sz="6" w:space="0" w:color="auto"/>
              <w:right w:val="outset" w:sz="6" w:space="0" w:color="auto"/>
            </w:tcBorders>
          </w:tcPr>
          <w:p w:rsidR="0087447C" w:rsidRPr="007E400F" w:rsidRDefault="007E400F" w:rsidP="00F371E7">
            <w:pPr>
              <w:spacing w:after="0" w:line="240" w:lineRule="auto"/>
              <w:ind w:left="57"/>
              <w:rPr>
                <w:rFonts w:ascii="Times New Roman" w:hAnsi="Times New Roman"/>
                <w:sz w:val="24"/>
                <w:szCs w:val="24"/>
              </w:rPr>
            </w:pPr>
            <w:r w:rsidRPr="007803E1">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pacing w:val="-3"/>
                <w:sz w:val="24"/>
                <w:szCs w:val="24"/>
              </w:rPr>
            </w:pPr>
            <w:r w:rsidRPr="00DD49B6">
              <w:rPr>
                <w:rFonts w:ascii="Times New Roman" w:hAnsi="Times New Roman"/>
                <w:spacing w:val="-4"/>
                <w:sz w:val="24"/>
                <w:szCs w:val="24"/>
              </w:rPr>
              <w:t>Saistības sniegt paziņojumu ES</w:t>
            </w:r>
            <w:r>
              <w:rPr>
                <w:rFonts w:ascii="Times New Roman" w:hAnsi="Times New Roman"/>
                <w:spacing w:val="-4"/>
                <w:sz w:val="24"/>
                <w:szCs w:val="24"/>
              </w:rPr>
              <w:t xml:space="preserve"> </w:t>
            </w:r>
            <w:r w:rsidRPr="00DD49B6">
              <w:rPr>
                <w:rFonts w:ascii="Times New Roman" w:hAnsi="Times New Roman"/>
                <w:spacing w:val="-4"/>
                <w:sz w:val="24"/>
                <w:szCs w:val="24"/>
              </w:rPr>
              <w:t>insti</w:t>
            </w:r>
            <w:r>
              <w:rPr>
                <w:rFonts w:ascii="Times New Roman" w:hAnsi="Times New Roman"/>
                <w:spacing w:val="-4"/>
                <w:sz w:val="24"/>
                <w:szCs w:val="24"/>
              </w:rPr>
              <w:softHyphen/>
            </w:r>
            <w:r w:rsidRPr="00DD49B6">
              <w:rPr>
                <w:rFonts w:ascii="Times New Roman" w:hAnsi="Times New Roman"/>
                <w:spacing w:val="-4"/>
                <w:sz w:val="24"/>
                <w:szCs w:val="24"/>
              </w:rPr>
              <w:t>tūcijām un ES dalīb</w:t>
            </w:r>
            <w:r>
              <w:rPr>
                <w:rFonts w:ascii="Times New Roman" w:hAnsi="Times New Roman"/>
                <w:spacing w:val="-4"/>
                <w:sz w:val="24"/>
                <w:szCs w:val="24"/>
              </w:rPr>
              <w:softHyphen/>
            </w:r>
            <w:r w:rsidRPr="00DD49B6">
              <w:rPr>
                <w:rFonts w:ascii="Times New Roman" w:hAnsi="Times New Roman"/>
                <w:spacing w:val="-4"/>
                <w:sz w:val="24"/>
                <w:szCs w:val="24"/>
              </w:rPr>
              <w:t>valstīm atbilstoši normatīvajiem aktiem, kas regulē informā</w:t>
            </w:r>
            <w:r>
              <w:rPr>
                <w:rFonts w:ascii="Times New Roman" w:hAnsi="Times New Roman"/>
                <w:spacing w:val="-4"/>
                <w:sz w:val="24"/>
                <w:szCs w:val="24"/>
              </w:rPr>
              <w:softHyphen/>
            </w:r>
            <w:r w:rsidRPr="00DD49B6">
              <w:rPr>
                <w:rFonts w:ascii="Times New Roman" w:hAnsi="Times New Roman"/>
                <w:spacing w:val="-4"/>
                <w:sz w:val="24"/>
                <w:szCs w:val="24"/>
              </w:rPr>
              <w:t>cijas sniegšanu par tehnisko noteikumu, valsts atbalsta piešķir</w:t>
            </w:r>
            <w:r>
              <w:rPr>
                <w:rFonts w:ascii="Times New Roman" w:hAnsi="Times New Roman"/>
                <w:spacing w:val="-4"/>
                <w:sz w:val="24"/>
                <w:szCs w:val="24"/>
              </w:rPr>
              <w:softHyphen/>
            </w:r>
            <w:r w:rsidRPr="00DD49B6">
              <w:rPr>
                <w:rFonts w:ascii="Times New Roman" w:hAnsi="Times New Roman"/>
                <w:spacing w:val="-4"/>
                <w:sz w:val="24"/>
                <w:szCs w:val="24"/>
              </w:rPr>
              <w:t>šanas un finanšu noteikumu (attiecībā uz monetāro politiku) projektiem</w:t>
            </w:r>
          </w:p>
        </w:tc>
        <w:tc>
          <w:tcPr>
            <w:tcW w:w="7332" w:type="dxa"/>
            <w:gridSpan w:val="7"/>
            <w:tcBorders>
              <w:top w:val="outset" w:sz="6" w:space="0" w:color="auto"/>
              <w:left w:val="outset" w:sz="6" w:space="0" w:color="auto"/>
              <w:bottom w:val="outset" w:sz="6" w:space="0" w:color="auto"/>
              <w:right w:val="outset" w:sz="6" w:space="0" w:color="auto"/>
            </w:tcBorders>
          </w:tcPr>
          <w:p w:rsidR="0087447C" w:rsidRPr="007E400F" w:rsidRDefault="007E400F" w:rsidP="00F371E7">
            <w:pPr>
              <w:spacing w:after="0" w:line="240" w:lineRule="auto"/>
              <w:ind w:left="57"/>
              <w:rPr>
                <w:rFonts w:ascii="Times New Roman" w:hAnsi="Times New Roman"/>
                <w:sz w:val="24"/>
                <w:szCs w:val="24"/>
              </w:rPr>
            </w:pPr>
            <w:r w:rsidRPr="007803E1">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203" w:type="dxa"/>
            <w:gridSpan w:val="2"/>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Cita informācija</w:t>
            </w:r>
          </w:p>
        </w:tc>
        <w:tc>
          <w:tcPr>
            <w:tcW w:w="7332" w:type="dxa"/>
            <w:gridSpan w:val="7"/>
            <w:tcBorders>
              <w:top w:val="outset" w:sz="6" w:space="0" w:color="auto"/>
              <w:left w:val="outset" w:sz="6" w:space="0" w:color="auto"/>
              <w:bottom w:val="outset" w:sz="6" w:space="0" w:color="auto"/>
              <w:right w:val="outset" w:sz="6" w:space="0" w:color="auto"/>
            </w:tcBorders>
          </w:tcPr>
          <w:p w:rsidR="0087447C" w:rsidRPr="007E400F" w:rsidRDefault="007E400F" w:rsidP="00F371E7">
            <w:pPr>
              <w:spacing w:after="0" w:line="240" w:lineRule="auto"/>
              <w:ind w:left="57"/>
              <w:rPr>
                <w:rFonts w:ascii="Times New Roman" w:hAnsi="Times New Roman"/>
                <w:sz w:val="24"/>
                <w:szCs w:val="24"/>
              </w:rPr>
            </w:pPr>
            <w:r w:rsidRPr="007E400F">
              <w:rPr>
                <w:rFonts w:ascii="Times New Roman" w:hAnsi="Times New Roman"/>
                <w:sz w:val="24"/>
                <w:szCs w:val="24"/>
              </w:rPr>
              <w:t>Nav</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35" w:type="dxa"/>
            <w:gridSpan w:val="9"/>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b/>
                <w:sz w:val="24"/>
                <w:szCs w:val="24"/>
              </w:rPr>
            </w:pPr>
            <w:r w:rsidRPr="00DD49B6">
              <w:rPr>
                <w:rFonts w:ascii="Times New Roman" w:hAnsi="Times New Roman"/>
                <w:b/>
                <w:sz w:val="24"/>
                <w:szCs w:val="24"/>
              </w:rPr>
              <w:t>2.tabula</w:t>
            </w:r>
          </w:p>
          <w:p w:rsidR="0087447C" w:rsidRPr="00DD49B6" w:rsidRDefault="0087447C" w:rsidP="00F371E7">
            <w:pPr>
              <w:spacing w:after="0" w:line="240" w:lineRule="auto"/>
              <w:ind w:left="57"/>
              <w:jc w:val="center"/>
              <w:rPr>
                <w:rFonts w:ascii="Times New Roman" w:hAnsi="Times New Roman"/>
                <w:b/>
                <w:sz w:val="24"/>
                <w:szCs w:val="24"/>
              </w:rPr>
            </w:pPr>
            <w:r w:rsidRPr="00DD49B6">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87447C" w:rsidRPr="00DD49B6" w:rsidRDefault="0087447C" w:rsidP="00F371E7">
            <w:pPr>
              <w:spacing w:after="0" w:line="240" w:lineRule="auto"/>
              <w:ind w:left="57"/>
              <w:jc w:val="center"/>
              <w:rPr>
                <w:rFonts w:ascii="Times New Roman" w:hAnsi="Times New Roman"/>
                <w:b/>
                <w:sz w:val="24"/>
                <w:szCs w:val="24"/>
              </w:rPr>
            </w:pPr>
            <w:r w:rsidRPr="00DD49B6">
              <w:rPr>
                <w:rFonts w:ascii="Times New Roman" w:hAnsi="Times New Roman"/>
                <w:b/>
                <w:sz w:val="24"/>
                <w:szCs w:val="24"/>
              </w:rPr>
              <w:t>Pasākumi šo saistību izpildei</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065" w:type="dxa"/>
            <w:gridSpan w:val="6"/>
            <w:tcBorders>
              <w:top w:val="outset" w:sz="6" w:space="0" w:color="auto"/>
              <w:left w:val="outset" w:sz="6" w:space="0" w:color="auto"/>
              <w:bottom w:val="outset" w:sz="6" w:space="0" w:color="auto"/>
              <w:right w:val="outset" w:sz="6" w:space="0" w:color="auto"/>
            </w:tcBorders>
          </w:tcPr>
          <w:p w:rsidR="0087447C" w:rsidRPr="00DD49B6" w:rsidRDefault="00923AD7" w:rsidP="00F371E7">
            <w:pPr>
              <w:spacing w:after="0" w:line="240" w:lineRule="auto"/>
              <w:ind w:left="57"/>
              <w:rPr>
                <w:rFonts w:ascii="Times New Roman" w:hAnsi="Times New Roman"/>
                <w:sz w:val="24"/>
                <w:szCs w:val="24"/>
              </w:rPr>
            </w:pPr>
            <w:r w:rsidRPr="00F371E7">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B</w:t>
            </w:r>
          </w:p>
        </w:tc>
        <w:tc>
          <w:tcPr>
            <w:tcW w:w="3963" w:type="dxa"/>
            <w:gridSpan w:val="3"/>
            <w:tcBorders>
              <w:top w:val="outset" w:sz="6" w:space="0" w:color="auto"/>
              <w:left w:val="outset" w:sz="6" w:space="0" w:color="auto"/>
              <w:bottom w:val="outset" w:sz="6" w:space="0" w:color="auto"/>
              <w:right w:val="outset" w:sz="6" w:space="0" w:color="auto"/>
            </w:tcBorders>
            <w:vAlign w:val="center"/>
          </w:tcPr>
          <w:p w:rsidR="0087447C" w:rsidRPr="00DD49B6" w:rsidRDefault="0087447C" w:rsidP="00F371E7">
            <w:pPr>
              <w:spacing w:after="0" w:line="240" w:lineRule="auto"/>
              <w:ind w:left="57"/>
              <w:jc w:val="center"/>
              <w:rPr>
                <w:rFonts w:ascii="Times New Roman" w:hAnsi="Times New Roman"/>
                <w:sz w:val="24"/>
                <w:szCs w:val="24"/>
              </w:rPr>
            </w:pPr>
            <w:r w:rsidRPr="00DD49B6">
              <w:rPr>
                <w:rFonts w:ascii="Times New Roman" w:hAnsi="Times New Roman"/>
                <w:sz w:val="24"/>
                <w:szCs w:val="24"/>
              </w:rPr>
              <w:t>C</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Starptautiskās saistības (pēc būtības), kas izriet no norādītā starptautis</w:t>
            </w:r>
            <w:r>
              <w:rPr>
                <w:rFonts w:ascii="Times New Roman" w:hAnsi="Times New Roman"/>
                <w:sz w:val="24"/>
                <w:szCs w:val="24"/>
              </w:rPr>
              <w:softHyphen/>
            </w:r>
            <w:r w:rsidRPr="00DD49B6">
              <w:rPr>
                <w:rFonts w:ascii="Times New Roman" w:hAnsi="Times New Roman"/>
                <w:sz w:val="24"/>
                <w:szCs w:val="24"/>
              </w:rPr>
              <w:t>kā dokumenta.</w:t>
            </w:r>
          </w:p>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Informācija par to, vai starptautiskās saistības, kas minētas šīs tabulas A ailē, tiek izpildītas pilnībā vai daļēji.</w:t>
            </w:r>
          </w:p>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87447C" w:rsidRPr="00DD49B6" w:rsidRDefault="0087447C" w:rsidP="00F371E7">
            <w:pPr>
              <w:spacing w:after="0" w:line="240" w:lineRule="auto"/>
              <w:ind w:left="57" w:right="57"/>
              <w:rPr>
                <w:rFonts w:ascii="Times New Roman" w:hAnsi="Times New Roman"/>
                <w:sz w:val="24"/>
                <w:szCs w:val="24"/>
              </w:rPr>
            </w:pPr>
            <w:r w:rsidRPr="00DD49B6">
              <w:rPr>
                <w:rFonts w:ascii="Times New Roman" w:hAnsi="Times New Roman"/>
                <w:sz w:val="24"/>
                <w:szCs w:val="24"/>
              </w:rPr>
              <w:t>Norāda institūciju, kas ir atbildīga par šo saistību izpildi pilnībā</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87447C" w:rsidRPr="00DD49B6" w:rsidRDefault="00923AD7" w:rsidP="00F371E7">
            <w:pPr>
              <w:spacing w:after="0" w:line="240" w:lineRule="auto"/>
              <w:ind w:left="57"/>
              <w:rPr>
                <w:rFonts w:ascii="Times New Roman" w:hAnsi="Times New Roman"/>
                <w:sz w:val="24"/>
                <w:szCs w:val="24"/>
              </w:rPr>
            </w:pPr>
            <w:r w:rsidRPr="00F371E7">
              <w:rPr>
                <w:rFonts w:ascii="Times New Roman" w:hAnsi="Times New Roman"/>
                <w:color w:val="000000"/>
                <w:sz w:val="24"/>
                <w:szCs w:val="24"/>
              </w:rPr>
              <w:t>Projekts šo jomu neskar</w:t>
            </w:r>
          </w:p>
        </w:tc>
        <w:tc>
          <w:tcPr>
            <w:tcW w:w="3102" w:type="dxa"/>
            <w:gridSpan w:val="3"/>
            <w:tcBorders>
              <w:top w:val="outset" w:sz="6" w:space="0" w:color="auto"/>
              <w:left w:val="outset" w:sz="6" w:space="0" w:color="auto"/>
              <w:bottom w:val="outset" w:sz="6" w:space="0" w:color="auto"/>
              <w:right w:val="outset" w:sz="6" w:space="0" w:color="auto"/>
            </w:tcBorders>
          </w:tcPr>
          <w:p w:rsidR="0087447C" w:rsidRPr="00DD49B6" w:rsidRDefault="00923AD7" w:rsidP="00F371E7">
            <w:pPr>
              <w:spacing w:after="0" w:line="240" w:lineRule="auto"/>
              <w:ind w:left="57"/>
              <w:rPr>
                <w:rFonts w:ascii="Times New Roman" w:hAnsi="Times New Roman"/>
                <w:sz w:val="24"/>
                <w:szCs w:val="24"/>
              </w:rPr>
            </w:pPr>
            <w:r w:rsidRPr="00F371E7">
              <w:rPr>
                <w:rFonts w:ascii="Times New Roman" w:hAnsi="Times New Roman"/>
                <w:color w:val="000000"/>
                <w:sz w:val="24"/>
                <w:szCs w:val="24"/>
              </w:rPr>
              <w:t>Projekts šo jomu neskar</w:t>
            </w:r>
          </w:p>
        </w:tc>
        <w:tc>
          <w:tcPr>
            <w:tcW w:w="3963" w:type="dxa"/>
            <w:gridSpan w:val="3"/>
            <w:tcBorders>
              <w:top w:val="outset" w:sz="6" w:space="0" w:color="auto"/>
              <w:left w:val="outset" w:sz="6" w:space="0" w:color="auto"/>
              <w:bottom w:val="outset" w:sz="6" w:space="0" w:color="auto"/>
              <w:right w:val="outset" w:sz="6" w:space="0" w:color="auto"/>
            </w:tcBorders>
          </w:tcPr>
          <w:p w:rsidR="0087447C" w:rsidRPr="00DD49B6" w:rsidRDefault="00923AD7" w:rsidP="00F371E7">
            <w:pPr>
              <w:spacing w:after="0" w:line="240" w:lineRule="auto"/>
              <w:ind w:left="57"/>
              <w:rPr>
                <w:rFonts w:ascii="Times New Roman" w:hAnsi="Times New Roman"/>
                <w:sz w:val="24"/>
                <w:szCs w:val="24"/>
              </w:rPr>
            </w:pPr>
            <w:r w:rsidRPr="00F371E7">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lastRenderedPageBreak/>
              <w:t>Vai starptautiskajā dokumentā paredzētās saistības nav pretrunā ar jau esošajām Latvijas Republikas starptautis</w:t>
            </w:r>
            <w:r>
              <w:rPr>
                <w:rFonts w:ascii="Times New Roman" w:hAnsi="Times New Roman"/>
                <w:sz w:val="24"/>
                <w:szCs w:val="24"/>
              </w:rPr>
              <w:softHyphen/>
            </w:r>
            <w:r w:rsidRPr="00DD49B6">
              <w:rPr>
                <w:rFonts w:ascii="Times New Roman" w:hAnsi="Times New Roman"/>
                <w:sz w:val="24"/>
                <w:szCs w:val="24"/>
              </w:rPr>
              <w:t>kajām saistībām</w:t>
            </w:r>
          </w:p>
        </w:tc>
        <w:tc>
          <w:tcPr>
            <w:tcW w:w="7065" w:type="dxa"/>
            <w:gridSpan w:val="6"/>
            <w:tcBorders>
              <w:top w:val="outset" w:sz="6" w:space="0" w:color="auto"/>
              <w:left w:val="outset" w:sz="6" w:space="0" w:color="auto"/>
              <w:bottom w:val="outset" w:sz="6" w:space="0" w:color="auto"/>
              <w:right w:val="outset" w:sz="6" w:space="0" w:color="auto"/>
            </w:tcBorders>
          </w:tcPr>
          <w:p w:rsidR="0087447C" w:rsidRPr="00DD49B6" w:rsidRDefault="00923AD7" w:rsidP="00F371E7">
            <w:pPr>
              <w:spacing w:after="0" w:line="240" w:lineRule="auto"/>
              <w:ind w:left="57"/>
              <w:jc w:val="both"/>
              <w:rPr>
                <w:rFonts w:ascii="Times New Roman" w:hAnsi="Times New Roman"/>
                <w:sz w:val="24"/>
                <w:szCs w:val="24"/>
              </w:rPr>
            </w:pPr>
            <w:r w:rsidRPr="00F371E7">
              <w:rPr>
                <w:rFonts w:ascii="Times New Roman" w:hAnsi="Times New Roman"/>
                <w:color w:val="000000"/>
                <w:sz w:val="24"/>
                <w:szCs w:val="24"/>
              </w:rPr>
              <w:t>Projekts šo jomu neskar</w:t>
            </w:r>
          </w:p>
        </w:tc>
      </w:tr>
      <w:tr w:rsidR="0087447C" w:rsidRPr="00DD49B6" w:rsidTr="007803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70" w:type="dxa"/>
            <w:gridSpan w:val="3"/>
            <w:tcBorders>
              <w:top w:val="outset" w:sz="6" w:space="0" w:color="auto"/>
              <w:left w:val="outset" w:sz="6" w:space="0" w:color="auto"/>
              <w:bottom w:val="outset" w:sz="6" w:space="0" w:color="auto"/>
              <w:right w:val="outset" w:sz="6" w:space="0" w:color="auto"/>
            </w:tcBorders>
          </w:tcPr>
          <w:p w:rsidR="0087447C" w:rsidRPr="00DD49B6" w:rsidRDefault="0087447C" w:rsidP="00F371E7">
            <w:pPr>
              <w:spacing w:after="0" w:line="240" w:lineRule="auto"/>
              <w:ind w:left="57"/>
              <w:rPr>
                <w:rFonts w:ascii="Times New Roman" w:hAnsi="Times New Roman"/>
                <w:sz w:val="24"/>
                <w:szCs w:val="24"/>
              </w:rPr>
            </w:pPr>
            <w:r w:rsidRPr="00DD49B6">
              <w:rPr>
                <w:rFonts w:ascii="Times New Roman" w:hAnsi="Times New Roman"/>
                <w:sz w:val="24"/>
                <w:szCs w:val="24"/>
              </w:rPr>
              <w:t>Cita informācija</w:t>
            </w:r>
          </w:p>
        </w:tc>
        <w:tc>
          <w:tcPr>
            <w:tcW w:w="7065" w:type="dxa"/>
            <w:gridSpan w:val="6"/>
            <w:tcBorders>
              <w:top w:val="outset" w:sz="6" w:space="0" w:color="auto"/>
              <w:left w:val="outset" w:sz="6" w:space="0" w:color="auto"/>
              <w:bottom w:val="outset" w:sz="6" w:space="0" w:color="auto"/>
              <w:right w:val="outset" w:sz="6" w:space="0" w:color="auto"/>
            </w:tcBorders>
          </w:tcPr>
          <w:p w:rsidR="0087447C" w:rsidRPr="00DD49B6" w:rsidRDefault="007E400F" w:rsidP="00F371E7">
            <w:pPr>
              <w:spacing w:after="0" w:line="240" w:lineRule="auto"/>
              <w:ind w:left="57"/>
              <w:jc w:val="both"/>
              <w:rPr>
                <w:rFonts w:ascii="Times New Roman" w:hAnsi="Times New Roman"/>
                <w:sz w:val="24"/>
                <w:szCs w:val="24"/>
              </w:rPr>
            </w:pPr>
            <w:r>
              <w:rPr>
                <w:rFonts w:ascii="Times New Roman" w:hAnsi="Times New Roman"/>
                <w:sz w:val="24"/>
                <w:szCs w:val="24"/>
              </w:rPr>
              <w:t>Nav</w:t>
            </w:r>
          </w:p>
        </w:tc>
      </w:tr>
    </w:tbl>
    <w:p w:rsidR="00AD62D6" w:rsidRPr="00943BCC" w:rsidRDefault="00AD62D6" w:rsidP="00135756">
      <w:pPr>
        <w:pStyle w:val="naisf"/>
        <w:spacing w:before="0" w:beforeAutospacing="0" w:after="0" w:afterAutospacing="0"/>
        <w:rPr>
          <w:lang w:eastAsia="lv-LV"/>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3827"/>
        <w:gridCol w:w="4932"/>
      </w:tblGrid>
      <w:tr w:rsidR="007C06A2" w:rsidRPr="00943BCC" w:rsidTr="007803E1">
        <w:trPr>
          <w:trHeight w:val="421"/>
          <w:jc w:val="center"/>
        </w:trPr>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ind w:right="57"/>
              <w:jc w:val="center"/>
            </w:pPr>
            <w:r w:rsidRPr="00943BCC">
              <w:rPr>
                <w:b/>
              </w:rPr>
              <w:t>VI. Sabiedrības līdzdalība un komunikācijas aktivitātes</w:t>
            </w:r>
          </w:p>
        </w:tc>
      </w:tr>
      <w:tr w:rsidR="007C06A2" w:rsidRPr="00943BCC" w:rsidTr="007803E1">
        <w:trPr>
          <w:trHeight w:val="553"/>
          <w:jc w:val="center"/>
        </w:trPr>
        <w:tc>
          <w:tcPr>
            <w:tcW w:w="7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tabs>
                <w:tab w:val="left" w:pos="170"/>
              </w:tabs>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Plānotās sabiedrības līdzdalības un komunikācijas aktivitātes saistībā ar projektu</w:t>
            </w:r>
          </w:p>
        </w:tc>
        <w:tc>
          <w:tcPr>
            <w:tcW w:w="4932" w:type="dxa"/>
            <w:tcBorders>
              <w:top w:val="single" w:sz="4" w:space="0" w:color="auto"/>
              <w:left w:val="single" w:sz="4" w:space="0" w:color="auto"/>
              <w:bottom w:val="single" w:sz="4" w:space="0" w:color="auto"/>
              <w:right w:val="single" w:sz="4" w:space="0" w:color="auto"/>
            </w:tcBorders>
            <w:hideMark/>
          </w:tcPr>
          <w:p w:rsidR="007C06A2" w:rsidRPr="00943BCC" w:rsidRDefault="00FA4D88" w:rsidP="002C209A">
            <w:pPr>
              <w:autoSpaceDE w:val="0"/>
              <w:autoSpaceDN w:val="0"/>
              <w:adjustRightInd w:val="0"/>
              <w:spacing w:after="0" w:line="240" w:lineRule="auto"/>
              <w:jc w:val="both"/>
              <w:rPr>
                <w:rFonts w:ascii="Times New Roman" w:hAnsi="Times New Roman"/>
                <w:sz w:val="24"/>
                <w:szCs w:val="24"/>
              </w:rPr>
            </w:pPr>
            <w:bookmarkStart w:id="0" w:name="p61"/>
            <w:bookmarkEnd w:id="0"/>
            <w:r>
              <w:rPr>
                <w:rFonts w:ascii="Times New Roman" w:hAnsi="Times New Roman"/>
                <w:sz w:val="24"/>
                <w:szCs w:val="24"/>
              </w:rPr>
              <w:t xml:space="preserve">Nav plānots iesaistīt sabiedrību komunikācijas </w:t>
            </w:r>
            <w:r w:rsidRPr="002C209A">
              <w:rPr>
                <w:rFonts w:ascii="Times New Roman" w:hAnsi="Times New Roman"/>
                <w:sz w:val="24"/>
                <w:szCs w:val="24"/>
              </w:rPr>
              <w:t>aktivitātēs saistībā ar šo projektu</w:t>
            </w:r>
            <w:r w:rsidR="002C209A" w:rsidRPr="002C209A">
              <w:rPr>
                <w:rFonts w:ascii="Times New Roman" w:hAnsi="Times New Roman"/>
                <w:sz w:val="24"/>
                <w:szCs w:val="24"/>
              </w:rPr>
              <w:t xml:space="preserve">, jo </w:t>
            </w:r>
            <w:r w:rsidR="002C209A" w:rsidRPr="002C209A">
              <w:rPr>
                <w:rFonts w:ascii="Times New Roman" w:hAnsi="Times New Roman"/>
                <w:color w:val="000000"/>
                <w:sz w:val="24"/>
                <w:szCs w:val="24"/>
              </w:rPr>
              <w:t>likumprojekts paredz kompetento iestāžu sadarbību liecinieku aizsardzības jautājumos</w:t>
            </w:r>
            <w:r w:rsidR="002C209A" w:rsidRPr="002C209A">
              <w:rPr>
                <w:rFonts w:ascii="Times New Roman" w:hAnsi="Times New Roman"/>
                <w:sz w:val="24"/>
                <w:szCs w:val="24"/>
              </w:rPr>
              <w:t>.</w:t>
            </w:r>
          </w:p>
        </w:tc>
      </w:tr>
      <w:tr w:rsidR="007C06A2" w:rsidRPr="00943BCC" w:rsidTr="007803E1">
        <w:trPr>
          <w:trHeight w:val="266"/>
          <w:jc w:val="center"/>
        </w:trPr>
        <w:tc>
          <w:tcPr>
            <w:tcW w:w="7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 projekta izstrādē</w:t>
            </w:r>
          </w:p>
        </w:tc>
        <w:tc>
          <w:tcPr>
            <w:tcW w:w="4932" w:type="dxa"/>
            <w:tcBorders>
              <w:top w:val="single" w:sz="4" w:space="0" w:color="auto"/>
              <w:left w:val="single" w:sz="4" w:space="0" w:color="auto"/>
              <w:bottom w:val="single" w:sz="4" w:space="0" w:color="auto"/>
              <w:right w:val="single" w:sz="4" w:space="0" w:color="auto"/>
            </w:tcBorders>
            <w:hideMark/>
          </w:tcPr>
          <w:p w:rsidR="007C06A2" w:rsidRPr="00943BCC" w:rsidRDefault="007C06A2" w:rsidP="005C3541">
            <w:pPr>
              <w:autoSpaceDE w:val="0"/>
              <w:autoSpaceDN w:val="0"/>
              <w:adjustRightInd w:val="0"/>
              <w:spacing w:after="0" w:line="240" w:lineRule="auto"/>
              <w:jc w:val="both"/>
              <w:rPr>
                <w:rFonts w:ascii="Times New Roman" w:hAnsi="Times New Roman"/>
                <w:color w:val="000000"/>
                <w:sz w:val="24"/>
                <w:szCs w:val="24"/>
              </w:rPr>
            </w:pPr>
            <w:bookmarkStart w:id="1" w:name="p62"/>
            <w:bookmarkEnd w:id="1"/>
            <w:r w:rsidRPr="00943BCC">
              <w:rPr>
                <w:rFonts w:ascii="Times New Roman" w:hAnsi="Times New Roman"/>
                <w:sz w:val="24"/>
                <w:szCs w:val="24"/>
              </w:rPr>
              <w:t xml:space="preserve">  </w:t>
            </w:r>
          </w:p>
        </w:tc>
      </w:tr>
      <w:tr w:rsidR="007C06A2" w:rsidRPr="00943BCC" w:rsidTr="007803E1">
        <w:trPr>
          <w:trHeight w:val="274"/>
          <w:jc w:val="center"/>
        </w:trPr>
        <w:tc>
          <w:tcPr>
            <w:tcW w:w="7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līdzdalības rezultāti</w:t>
            </w:r>
          </w:p>
        </w:tc>
        <w:tc>
          <w:tcPr>
            <w:tcW w:w="4932"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oSpacing"/>
              <w:ind w:right="27"/>
              <w:jc w:val="both"/>
              <w:rPr>
                <w:rFonts w:ascii="Times New Roman" w:eastAsia="Times New Roman" w:hAnsi="Times New Roman"/>
                <w:sz w:val="24"/>
                <w:szCs w:val="24"/>
                <w:lang w:val="lv-LV"/>
              </w:rPr>
            </w:pPr>
          </w:p>
        </w:tc>
      </w:tr>
      <w:tr w:rsidR="007C06A2" w:rsidRPr="00943BCC" w:rsidTr="007803E1">
        <w:trPr>
          <w:trHeight w:val="476"/>
          <w:jc w:val="center"/>
        </w:trPr>
        <w:tc>
          <w:tcPr>
            <w:tcW w:w="7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7C06A2" w:rsidRPr="00AC4F3E" w:rsidRDefault="007C06A2" w:rsidP="00CC5D5B">
            <w:pPr>
              <w:spacing w:after="0" w:line="240" w:lineRule="auto"/>
              <w:ind w:right="57"/>
              <w:rPr>
                <w:rFonts w:ascii="Times New Roman" w:hAnsi="Times New Roman"/>
                <w:sz w:val="24"/>
                <w:szCs w:val="24"/>
                <w:lang w:eastAsia="lv-LV"/>
              </w:rPr>
            </w:pPr>
            <w:r w:rsidRPr="00AC4F3E">
              <w:rPr>
                <w:rFonts w:ascii="Times New Roman" w:hAnsi="Times New Roman"/>
                <w:sz w:val="24"/>
                <w:szCs w:val="24"/>
                <w:lang w:eastAsia="lv-LV"/>
              </w:rPr>
              <w:t>Cita informācija</w:t>
            </w:r>
          </w:p>
        </w:tc>
        <w:tc>
          <w:tcPr>
            <w:tcW w:w="4932" w:type="dxa"/>
            <w:tcBorders>
              <w:top w:val="single" w:sz="4" w:space="0" w:color="auto"/>
              <w:left w:val="single" w:sz="4" w:space="0" w:color="auto"/>
              <w:bottom w:val="single" w:sz="4" w:space="0" w:color="auto"/>
              <w:right w:val="single" w:sz="4" w:space="0" w:color="auto"/>
            </w:tcBorders>
            <w:hideMark/>
          </w:tcPr>
          <w:p w:rsidR="007C06A2" w:rsidRPr="00AC4F3E" w:rsidRDefault="007C06A2" w:rsidP="00BB4BA0">
            <w:pPr>
              <w:spacing w:after="0" w:line="240" w:lineRule="auto"/>
              <w:ind w:right="57"/>
              <w:jc w:val="both"/>
              <w:rPr>
                <w:rFonts w:ascii="Times New Roman" w:hAnsi="Times New Roman"/>
                <w:sz w:val="24"/>
                <w:szCs w:val="24"/>
                <w:lang w:eastAsia="lv-LV"/>
              </w:rPr>
            </w:pPr>
          </w:p>
        </w:tc>
      </w:tr>
    </w:tbl>
    <w:p w:rsidR="00FA4D88" w:rsidRPr="00943BCC" w:rsidRDefault="00FA4D88" w:rsidP="00CC5D5B">
      <w:pPr>
        <w:spacing w:after="0" w:line="240" w:lineRule="auto"/>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7C06A2" w:rsidRPr="00943BCC" w:rsidTr="007803E1">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ind w:right="57"/>
              <w:jc w:val="center"/>
            </w:pPr>
            <w:r w:rsidRPr="00943BCC">
              <w:rPr>
                <w:b/>
              </w:rPr>
              <w:t>VII. Tiesību akta projekta izpildes nodrošināšana un tās ietekme uz institūcijām</w:t>
            </w:r>
          </w:p>
        </w:tc>
      </w:tr>
      <w:tr w:rsidR="007C06A2" w:rsidRPr="00943BCC" w:rsidTr="007803E1">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t>1.</w:t>
            </w:r>
          </w:p>
        </w:tc>
        <w:tc>
          <w:tcPr>
            <w:tcW w:w="378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pPr>
            <w:r w:rsidRPr="00943BCC">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7C06A2" w:rsidRPr="00943BCC" w:rsidRDefault="00FA4D88" w:rsidP="005C3541">
            <w:pPr>
              <w:spacing w:after="0" w:line="240" w:lineRule="auto"/>
              <w:jc w:val="both"/>
              <w:rPr>
                <w:rFonts w:ascii="Times New Roman" w:hAnsi="Times New Roman"/>
                <w:sz w:val="24"/>
                <w:szCs w:val="24"/>
              </w:rPr>
            </w:pPr>
            <w:bookmarkStart w:id="2" w:name="p69"/>
            <w:bookmarkStart w:id="3" w:name="p68"/>
            <w:bookmarkStart w:id="4" w:name="p67"/>
            <w:bookmarkStart w:id="5" w:name="p66"/>
            <w:bookmarkEnd w:id="2"/>
            <w:bookmarkEnd w:id="3"/>
            <w:bookmarkEnd w:id="4"/>
            <w:bookmarkEnd w:id="5"/>
            <w:r>
              <w:rPr>
                <w:rFonts w:ascii="Times New Roman" w:hAnsi="Times New Roman"/>
                <w:sz w:val="24"/>
                <w:szCs w:val="24"/>
              </w:rPr>
              <w:t>Valsts policija.</w:t>
            </w:r>
          </w:p>
        </w:tc>
      </w:tr>
      <w:tr w:rsidR="007C06A2" w:rsidRPr="00943BCC" w:rsidTr="007803E1">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t>2.</w:t>
            </w:r>
          </w:p>
        </w:tc>
        <w:tc>
          <w:tcPr>
            <w:tcW w:w="378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rPr>
                <w:lang w:eastAsia="lv-LV"/>
              </w:rPr>
            </w:pPr>
            <w:r w:rsidRPr="00943BCC">
              <w:t>Projekta izpildes ietekme uz pār</w:t>
            </w:r>
            <w:r w:rsidRPr="00943BCC">
              <w:softHyphen/>
              <w:t>valdes funkcijām un institucionālo struktūru.</w:t>
            </w:r>
          </w:p>
          <w:p w:rsidR="007C06A2" w:rsidRPr="00943BCC" w:rsidRDefault="007C06A2" w:rsidP="00CC5D5B">
            <w:pPr>
              <w:pStyle w:val="naisf"/>
              <w:spacing w:before="0" w:beforeAutospacing="0" w:after="0" w:afterAutospacing="0"/>
              <w:ind w:right="57"/>
            </w:pPr>
            <w:r w:rsidRPr="00943BCC">
              <w:t>Jaunu institūciju izveide, esošu institūciju likvidācija vai reorga</w:t>
            </w:r>
            <w:r w:rsidRPr="00943BCC">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7C06A2" w:rsidRPr="00943BCC" w:rsidRDefault="00E8754A" w:rsidP="007902F0">
            <w:pPr>
              <w:spacing w:after="0" w:line="240" w:lineRule="auto"/>
              <w:jc w:val="both"/>
              <w:rPr>
                <w:rFonts w:ascii="Times New Roman" w:hAnsi="Times New Roman"/>
                <w:sz w:val="24"/>
                <w:szCs w:val="24"/>
              </w:rPr>
            </w:pPr>
            <w:r>
              <w:rPr>
                <w:rFonts w:ascii="Times New Roman" w:hAnsi="Times New Roman"/>
                <w:color w:val="000000"/>
                <w:sz w:val="24"/>
                <w:szCs w:val="24"/>
              </w:rPr>
              <w:t>Likump</w:t>
            </w:r>
            <w:r w:rsidRPr="005C3541">
              <w:rPr>
                <w:rFonts w:ascii="Times New Roman" w:hAnsi="Times New Roman"/>
                <w:color w:val="000000"/>
                <w:sz w:val="24"/>
                <w:szCs w:val="24"/>
              </w:rPr>
              <w:t xml:space="preserve">rojekts </w:t>
            </w:r>
            <w:r w:rsidR="00D02170" w:rsidRPr="00943BCC">
              <w:rPr>
                <w:rFonts w:ascii="Times New Roman" w:hAnsi="Times New Roman"/>
                <w:color w:val="000000"/>
                <w:sz w:val="24"/>
                <w:szCs w:val="24"/>
              </w:rPr>
              <w:t>nemaina iesaistīto institūciju kompetenci</w:t>
            </w:r>
            <w:r w:rsidR="000A11E6">
              <w:rPr>
                <w:rFonts w:ascii="Times New Roman" w:hAnsi="Times New Roman"/>
                <w:sz w:val="24"/>
                <w:szCs w:val="24"/>
              </w:rPr>
              <w:t>.</w:t>
            </w:r>
          </w:p>
        </w:tc>
      </w:tr>
      <w:tr w:rsidR="007C06A2" w:rsidRPr="00943BCC" w:rsidTr="007803E1">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t>3.</w:t>
            </w:r>
          </w:p>
        </w:tc>
        <w:tc>
          <w:tcPr>
            <w:tcW w:w="378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pPr>
            <w:r w:rsidRPr="00943BCC">
              <w:t>Cita informācija</w:t>
            </w:r>
          </w:p>
        </w:tc>
        <w:tc>
          <w:tcPr>
            <w:tcW w:w="5142"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sz w:val="24"/>
                <w:szCs w:val="24"/>
                <w:lang w:eastAsia="lv-LV"/>
              </w:rPr>
            </w:pPr>
            <w:r w:rsidRPr="00943BCC">
              <w:rPr>
                <w:rFonts w:ascii="Times New Roman" w:hAnsi="Times New Roman"/>
                <w:sz w:val="24"/>
                <w:szCs w:val="24"/>
              </w:rPr>
              <w:t>Nav.</w:t>
            </w:r>
          </w:p>
        </w:tc>
      </w:tr>
    </w:tbl>
    <w:p w:rsidR="007C06A2" w:rsidRDefault="007C06A2" w:rsidP="00CC5D5B">
      <w:pPr>
        <w:spacing w:after="0" w:line="240" w:lineRule="auto"/>
      </w:pPr>
    </w:p>
    <w:p w:rsidR="00016C20" w:rsidRPr="00943BCC" w:rsidRDefault="00016C20" w:rsidP="00CC5D5B">
      <w:pPr>
        <w:spacing w:after="0" w:line="240" w:lineRule="auto"/>
        <w:rPr>
          <w:rFonts w:ascii="Times New Roman" w:hAnsi="Times New Roman"/>
          <w:sz w:val="26"/>
          <w:szCs w:val="26"/>
        </w:rPr>
      </w:pPr>
    </w:p>
    <w:p w:rsidR="00D02170" w:rsidRPr="00943BCC" w:rsidRDefault="00D02170" w:rsidP="00CC5D5B">
      <w:pPr>
        <w:spacing w:after="0" w:line="240" w:lineRule="auto"/>
        <w:jc w:val="both"/>
        <w:rPr>
          <w:rFonts w:ascii="Times New Roman" w:hAnsi="Times New Roman"/>
          <w:sz w:val="26"/>
          <w:szCs w:val="26"/>
        </w:rPr>
      </w:pPr>
      <w:r w:rsidRPr="00943BCC">
        <w:rPr>
          <w:rFonts w:ascii="Times New Roman" w:hAnsi="Times New Roman"/>
          <w:sz w:val="26"/>
          <w:szCs w:val="26"/>
        </w:rPr>
        <w:t>Iekšlietu ministrs</w:t>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proofErr w:type="gramStart"/>
      <w:r w:rsidRPr="00943BCC">
        <w:rPr>
          <w:rFonts w:ascii="Times New Roman" w:hAnsi="Times New Roman"/>
          <w:sz w:val="26"/>
          <w:szCs w:val="26"/>
        </w:rPr>
        <w:t xml:space="preserve">        </w:t>
      </w:r>
      <w:proofErr w:type="gramEnd"/>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t xml:space="preserve">      R. Kozlovskis</w:t>
      </w:r>
    </w:p>
    <w:p w:rsidR="00D02170" w:rsidRPr="00943BCC" w:rsidRDefault="00D02170" w:rsidP="00CC5D5B">
      <w:pPr>
        <w:spacing w:after="0" w:line="240" w:lineRule="auto"/>
        <w:jc w:val="both"/>
        <w:rPr>
          <w:rFonts w:ascii="Times New Roman" w:hAnsi="Times New Roman"/>
          <w:b/>
          <w:sz w:val="26"/>
          <w:szCs w:val="26"/>
        </w:rPr>
      </w:pPr>
    </w:p>
    <w:p w:rsidR="00FA4D88" w:rsidRDefault="00FA4D88" w:rsidP="00CC5D5B">
      <w:pPr>
        <w:pStyle w:val="naisf"/>
        <w:spacing w:before="0" w:beforeAutospacing="0" w:after="0" w:afterAutospacing="0"/>
        <w:rPr>
          <w:sz w:val="26"/>
          <w:szCs w:val="26"/>
        </w:rPr>
      </w:pPr>
    </w:p>
    <w:p w:rsidR="00FA4D88" w:rsidRDefault="00FA4D88" w:rsidP="00CC5D5B">
      <w:pPr>
        <w:pStyle w:val="naisf"/>
        <w:spacing w:before="0" w:beforeAutospacing="0" w:after="0" w:afterAutospacing="0"/>
        <w:rPr>
          <w:sz w:val="26"/>
          <w:szCs w:val="26"/>
        </w:rPr>
      </w:pPr>
    </w:p>
    <w:p w:rsidR="00D02170" w:rsidRPr="00943BCC" w:rsidRDefault="00D02170" w:rsidP="00CC5D5B">
      <w:pPr>
        <w:pStyle w:val="naisf"/>
        <w:spacing w:before="0" w:beforeAutospacing="0" w:after="0" w:afterAutospacing="0"/>
        <w:rPr>
          <w:color w:val="000000"/>
          <w:sz w:val="26"/>
          <w:szCs w:val="26"/>
        </w:rPr>
      </w:pPr>
      <w:r w:rsidRPr="00943BCC">
        <w:rPr>
          <w:sz w:val="26"/>
          <w:szCs w:val="26"/>
        </w:rPr>
        <w:t>Vīza: valsts sekretāre</w:t>
      </w:r>
      <w:r w:rsidRPr="00943BCC">
        <w:rPr>
          <w:sz w:val="26"/>
          <w:szCs w:val="26"/>
        </w:rPr>
        <w:tab/>
      </w:r>
      <w:r w:rsidRPr="00943BCC">
        <w:rPr>
          <w:sz w:val="26"/>
          <w:szCs w:val="26"/>
        </w:rPr>
        <w:tab/>
      </w:r>
      <w:r w:rsidRPr="00943BCC">
        <w:rPr>
          <w:sz w:val="26"/>
          <w:szCs w:val="26"/>
        </w:rPr>
        <w:tab/>
      </w:r>
      <w:r w:rsidRPr="00943BCC">
        <w:rPr>
          <w:sz w:val="26"/>
          <w:szCs w:val="26"/>
        </w:rPr>
        <w:tab/>
      </w:r>
      <w:r w:rsidRPr="00943BCC">
        <w:rPr>
          <w:sz w:val="26"/>
          <w:szCs w:val="26"/>
        </w:rPr>
        <w:tab/>
      </w:r>
      <w:r w:rsidRPr="00943BCC">
        <w:rPr>
          <w:sz w:val="26"/>
          <w:szCs w:val="26"/>
        </w:rPr>
        <w:tab/>
      </w:r>
      <w:proofErr w:type="gramStart"/>
      <w:r w:rsidRPr="00943BCC">
        <w:rPr>
          <w:sz w:val="26"/>
          <w:szCs w:val="26"/>
        </w:rPr>
        <w:t xml:space="preserve">    </w:t>
      </w:r>
      <w:proofErr w:type="gramEnd"/>
      <w:r w:rsidRPr="00943BCC">
        <w:rPr>
          <w:sz w:val="26"/>
          <w:szCs w:val="26"/>
        </w:rPr>
        <w:t>I.Pētersone–Godmane</w:t>
      </w:r>
    </w:p>
    <w:p w:rsidR="006606A9" w:rsidRPr="00943BCC" w:rsidRDefault="006606A9" w:rsidP="00CC5D5B">
      <w:pPr>
        <w:spacing w:after="0" w:line="240" w:lineRule="auto"/>
        <w:rPr>
          <w:rFonts w:ascii="Times New Roman" w:hAnsi="Times New Roman"/>
          <w:sz w:val="26"/>
          <w:szCs w:val="26"/>
        </w:rPr>
      </w:pPr>
    </w:p>
    <w:p w:rsidR="00FA4D88" w:rsidRDefault="00FA4D88" w:rsidP="00CC5D5B">
      <w:pPr>
        <w:spacing w:after="0" w:line="240" w:lineRule="auto"/>
        <w:rPr>
          <w:rFonts w:ascii="Times New Roman" w:hAnsi="Times New Roman"/>
          <w:sz w:val="26"/>
          <w:szCs w:val="26"/>
        </w:rPr>
      </w:pPr>
    </w:p>
    <w:p w:rsidR="00FA4D88" w:rsidRDefault="00FA4D88" w:rsidP="00CC5D5B">
      <w:pPr>
        <w:spacing w:after="0" w:line="240" w:lineRule="auto"/>
        <w:rPr>
          <w:rFonts w:ascii="Times New Roman" w:hAnsi="Times New Roman"/>
          <w:sz w:val="26"/>
          <w:szCs w:val="26"/>
        </w:rPr>
      </w:pPr>
      <w:bookmarkStart w:id="6" w:name="_GoBack"/>
      <w:bookmarkEnd w:id="6"/>
    </w:p>
    <w:p w:rsidR="00FA4D88" w:rsidRDefault="00FA4D88" w:rsidP="00CC5D5B">
      <w:pPr>
        <w:spacing w:after="0" w:line="240" w:lineRule="auto"/>
        <w:rPr>
          <w:rFonts w:ascii="Times New Roman" w:hAnsi="Times New Roman"/>
          <w:sz w:val="26"/>
          <w:szCs w:val="26"/>
        </w:rPr>
      </w:pPr>
    </w:p>
    <w:p w:rsidR="00FA4D88" w:rsidRPr="00943BCC" w:rsidRDefault="00FA4D88" w:rsidP="00CC5D5B">
      <w:pPr>
        <w:spacing w:after="0" w:line="240" w:lineRule="auto"/>
        <w:rPr>
          <w:rFonts w:ascii="Times New Roman" w:hAnsi="Times New Roman"/>
          <w:sz w:val="26"/>
          <w:szCs w:val="26"/>
        </w:rPr>
      </w:pPr>
    </w:p>
    <w:p w:rsidR="00D02170" w:rsidRPr="00943BCC" w:rsidRDefault="00A128D3" w:rsidP="00CC5D5B">
      <w:pPr>
        <w:spacing w:after="0" w:line="240" w:lineRule="auto"/>
        <w:rPr>
          <w:rFonts w:ascii="Times New Roman" w:hAnsi="Times New Roman"/>
          <w:sz w:val="20"/>
          <w:szCs w:val="20"/>
        </w:rPr>
      </w:pPr>
      <w:r>
        <w:rPr>
          <w:rFonts w:ascii="Times New Roman" w:hAnsi="Times New Roman"/>
          <w:sz w:val="20"/>
          <w:szCs w:val="20"/>
        </w:rPr>
        <w:t>10.10</w:t>
      </w:r>
      <w:r w:rsidR="00D02170" w:rsidRPr="00943BCC">
        <w:rPr>
          <w:rFonts w:ascii="Times New Roman" w:hAnsi="Times New Roman"/>
          <w:sz w:val="20"/>
          <w:szCs w:val="20"/>
        </w:rPr>
        <w:t xml:space="preserve">.2014. </w:t>
      </w:r>
      <w:r>
        <w:rPr>
          <w:rFonts w:ascii="Times New Roman" w:hAnsi="Times New Roman"/>
          <w:sz w:val="20"/>
          <w:szCs w:val="20"/>
        </w:rPr>
        <w:t>9</w:t>
      </w:r>
      <w:r w:rsidR="00D02170" w:rsidRPr="00943BCC">
        <w:rPr>
          <w:rFonts w:ascii="Times New Roman" w:hAnsi="Times New Roman"/>
          <w:sz w:val="20"/>
          <w:szCs w:val="20"/>
        </w:rPr>
        <w:t>:</w:t>
      </w:r>
      <w:r w:rsidR="007621A6">
        <w:rPr>
          <w:rFonts w:ascii="Times New Roman" w:hAnsi="Times New Roman"/>
          <w:sz w:val="20"/>
          <w:szCs w:val="20"/>
        </w:rPr>
        <w:t>50</w:t>
      </w:r>
    </w:p>
    <w:p w:rsidR="00D02170" w:rsidRPr="00943BCC" w:rsidRDefault="008F7D70" w:rsidP="00CC5D5B">
      <w:pPr>
        <w:spacing w:after="0" w:line="240" w:lineRule="auto"/>
        <w:rPr>
          <w:rFonts w:ascii="Times New Roman" w:hAnsi="Times New Roman"/>
          <w:sz w:val="20"/>
          <w:szCs w:val="20"/>
        </w:rPr>
      </w:pPr>
      <w:r>
        <w:rPr>
          <w:rFonts w:ascii="Times New Roman" w:hAnsi="Times New Roman"/>
          <w:sz w:val="20"/>
          <w:szCs w:val="20"/>
        </w:rPr>
        <w:t>1189</w:t>
      </w:r>
    </w:p>
    <w:p w:rsidR="00D02170" w:rsidRPr="00943BCC" w:rsidRDefault="000A11E6" w:rsidP="00CC5D5B">
      <w:pPr>
        <w:spacing w:after="0" w:line="240" w:lineRule="auto"/>
        <w:rPr>
          <w:rFonts w:ascii="Times New Roman" w:hAnsi="Times New Roman"/>
          <w:sz w:val="20"/>
          <w:szCs w:val="20"/>
        </w:rPr>
      </w:pPr>
      <w:r>
        <w:rPr>
          <w:rFonts w:ascii="Times New Roman" w:hAnsi="Times New Roman"/>
          <w:sz w:val="20"/>
          <w:szCs w:val="20"/>
        </w:rPr>
        <w:t>O.Pavļuka</w:t>
      </w:r>
      <w:r w:rsidR="00D02170" w:rsidRPr="00943BCC">
        <w:rPr>
          <w:rFonts w:ascii="Times New Roman" w:hAnsi="Times New Roman"/>
          <w:sz w:val="20"/>
          <w:szCs w:val="20"/>
        </w:rPr>
        <w:tab/>
      </w:r>
    </w:p>
    <w:p w:rsidR="00D02170" w:rsidRPr="00943BCC" w:rsidRDefault="00D02170" w:rsidP="00CC5D5B">
      <w:pPr>
        <w:spacing w:after="0" w:line="240" w:lineRule="auto"/>
        <w:rPr>
          <w:rFonts w:ascii="Times New Roman" w:hAnsi="Times New Roman"/>
          <w:sz w:val="20"/>
          <w:szCs w:val="20"/>
        </w:rPr>
      </w:pPr>
      <w:r w:rsidRPr="00943BCC">
        <w:rPr>
          <w:rFonts w:ascii="Times New Roman" w:hAnsi="Times New Roman"/>
          <w:sz w:val="20"/>
          <w:szCs w:val="20"/>
        </w:rPr>
        <w:t>67219</w:t>
      </w:r>
      <w:r w:rsidR="0033761F">
        <w:rPr>
          <w:rFonts w:ascii="Times New Roman" w:hAnsi="Times New Roman"/>
          <w:sz w:val="20"/>
          <w:szCs w:val="20"/>
        </w:rPr>
        <w:t>0</w:t>
      </w:r>
      <w:r w:rsidR="000A11E6">
        <w:rPr>
          <w:rFonts w:ascii="Times New Roman" w:hAnsi="Times New Roman"/>
          <w:sz w:val="20"/>
          <w:szCs w:val="20"/>
        </w:rPr>
        <w:t>03</w:t>
      </w:r>
      <w:r w:rsidRPr="00943BCC">
        <w:rPr>
          <w:rFonts w:ascii="Times New Roman" w:hAnsi="Times New Roman"/>
          <w:sz w:val="20"/>
          <w:szCs w:val="20"/>
        </w:rPr>
        <w:t xml:space="preserve">, </w:t>
      </w:r>
      <w:r w:rsidR="000A11E6">
        <w:rPr>
          <w:rFonts w:ascii="Times New Roman" w:hAnsi="Times New Roman"/>
          <w:sz w:val="20"/>
          <w:szCs w:val="20"/>
        </w:rPr>
        <w:t>olesja.pavluka</w:t>
      </w:r>
      <w:r w:rsidRPr="00943BCC">
        <w:rPr>
          <w:rFonts w:ascii="Times New Roman" w:hAnsi="Times New Roman"/>
          <w:sz w:val="20"/>
          <w:szCs w:val="20"/>
        </w:rPr>
        <w:t>@iem.gov.lv</w:t>
      </w:r>
    </w:p>
    <w:sectPr w:rsidR="00D02170" w:rsidRPr="00943BCC" w:rsidSect="00AC4F3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DD" w:rsidRDefault="009865DD" w:rsidP="00D02170">
      <w:pPr>
        <w:spacing w:after="0" w:line="240" w:lineRule="auto"/>
      </w:pPr>
      <w:r>
        <w:separator/>
      </w:r>
    </w:p>
  </w:endnote>
  <w:endnote w:type="continuationSeparator" w:id="0">
    <w:p w:rsidR="009865DD" w:rsidRDefault="009865DD" w:rsidP="00D0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7803E1" w:rsidRDefault="007748EC" w:rsidP="007803E1">
    <w:pPr>
      <w:jc w:val="both"/>
      <w:rPr>
        <w:rFonts w:ascii="Times New Roman" w:hAnsi="Times New Roman"/>
        <w:bCs/>
        <w:sz w:val="20"/>
        <w:szCs w:val="20"/>
      </w:rPr>
    </w:pPr>
    <w:r>
      <w:rPr>
        <w:rFonts w:ascii="Times New Roman" w:hAnsi="Times New Roman"/>
        <w:sz w:val="20"/>
        <w:szCs w:val="20"/>
      </w:rPr>
      <w:t>IEMAnot</w:t>
    </w:r>
    <w:r w:rsidR="007803E1" w:rsidRPr="007803E1">
      <w:rPr>
        <w:rFonts w:ascii="Times New Roman" w:hAnsi="Times New Roman"/>
        <w:sz w:val="20"/>
        <w:szCs w:val="20"/>
      </w:rPr>
      <w:t>_Liecin_aizsardziba</w:t>
    </w:r>
    <w:r w:rsidR="004D09F8">
      <w:rPr>
        <w:rFonts w:ascii="Times New Roman" w:hAnsi="Times New Roman"/>
        <w:sz w:val="20"/>
        <w:szCs w:val="20"/>
      </w:rPr>
      <w:t>_</w:t>
    </w:r>
    <w:r w:rsidR="00A128D3">
      <w:rPr>
        <w:rFonts w:ascii="Times New Roman" w:hAnsi="Times New Roman"/>
        <w:sz w:val="20"/>
        <w:szCs w:val="20"/>
      </w:rPr>
      <w:t>1010</w:t>
    </w:r>
    <w:r w:rsidR="004D09F8" w:rsidRPr="007803E1">
      <w:rPr>
        <w:rFonts w:ascii="Times New Roman" w:hAnsi="Times New Roman"/>
        <w:sz w:val="20"/>
        <w:szCs w:val="20"/>
      </w:rPr>
      <w:t>14</w:t>
    </w:r>
    <w:r w:rsidR="007803E1" w:rsidRPr="007803E1">
      <w:rPr>
        <w:rFonts w:ascii="Times New Roman" w:hAnsi="Times New Roman"/>
        <w:sz w:val="20"/>
        <w:szCs w:val="20"/>
      </w:rPr>
      <w:t xml:space="preserve">; Likumprojekta “Par Latvijas Republikas pievienošanos </w:t>
    </w:r>
    <w:proofErr w:type="gramStart"/>
    <w:r w:rsidR="007803E1" w:rsidRPr="007803E1">
      <w:rPr>
        <w:rFonts w:ascii="Times New Roman" w:hAnsi="Times New Roman"/>
        <w:sz w:val="20"/>
        <w:szCs w:val="20"/>
      </w:rPr>
      <w:t>2012.gada</w:t>
    </w:r>
    <w:proofErr w:type="gramEnd"/>
    <w:r w:rsidR="007803E1" w:rsidRPr="007803E1">
      <w:rPr>
        <w:rFonts w:ascii="Times New Roman" w:hAnsi="Times New Roman"/>
        <w:sz w:val="20"/>
        <w:szCs w:val="20"/>
      </w:rPr>
      <w:t xml:space="preserve"> 24.maija Līgumam par sadarbību liecinieku aizsardzības jomā” </w:t>
    </w:r>
    <w:r w:rsidR="007803E1" w:rsidRPr="007803E1">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007803E1" w:rsidRPr="007803E1">
        <w:rPr>
          <w:rFonts w:ascii="Times New Roman" w:hAnsi="Times New Roman"/>
          <w:bCs/>
          <w:sz w:val="20"/>
          <w:szCs w:val="20"/>
        </w:rPr>
        <w:t>ziņojums</w:t>
      </w:r>
    </w:smartTag>
    <w:r w:rsidR="007803E1" w:rsidRPr="007803E1">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4E" w:rsidRPr="007803E1" w:rsidRDefault="00671C4E" w:rsidP="00671C4E">
    <w:pPr>
      <w:jc w:val="both"/>
      <w:rPr>
        <w:rFonts w:ascii="Times New Roman" w:hAnsi="Times New Roman"/>
        <w:bCs/>
        <w:sz w:val="20"/>
        <w:szCs w:val="20"/>
      </w:rPr>
    </w:pPr>
    <w:r w:rsidRPr="007803E1">
      <w:rPr>
        <w:rFonts w:ascii="Times New Roman" w:hAnsi="Times New Roman"/>
        <w:sz w:val="20"/>
        <w:szCs w:val="20"/>
      </w:rPr>
      <w:t>IEMAnot_</w:t>
    </w:r>
    <w:r w:rsidR="00FA4D88" w:rsidRPr="007803E1">
      <w:rPr>
        <w:rFonts w:ascii="Times New Roman" w:hAnsi="Times New Roman"/>
        <w:sz w:val="20"/>
        <w:szCs w:val="20"/>
      </w:rPr>
      <w:t>Liecin_aizsardziba</w:t>
    </w:r>
    <w:r w:rsidR="004D09F8" w:rsidRPr="007803E1">
      <w:rPr>
        <w:rFonts w:ascii="Times New Roman" w:hAnsi="Times New Roman"/>
        <w:sz w:val="20"/>
        <w:szCs w:val="20"/>
      </w:rPr>
      <w:t>_</w:t>
    </w:r>
    <w:r w:rsidR="00A128D3">
      <w:rPr>
        <w:rFonts w:ascii="Times New Roman" w:hAnsi="Times New Roman"/>
        <w:sz w:val="20"/>
        <w:szCs w:val="20"/>
      </w:rPr>
      <w:t>1010</w:t>
    </w:r>
    <w:r w:rsidR="004D09F8" w:rsidRPr="007803E1">
      <w:rPr>
        <w:rFonts w:ascii="Times New Roman" w:hAnsi="Times New Roman"/>
        <w:sz w:val="20"/>
        <w:szCs w:val="20"/>
      </w:rPr>
      <w:t>14</w:t>
    </w:r>
    <w:r w:rsidRPr="007803E1">
      <w:rPr>
        <w:rFonts w:ascii="Times New Roman" w:hAnsi="Times New Roman"/>
        <w:sz w:val="20"/>
        <w:szCs w:val="20"/>
      </w:rPr>
      <w:t xml:space="preserve">; Likumprojekta </w:t>
    </w:r>
    <w:r w:rsidR="007803E1" w:rsidRPr="007803E1">
      <w:rPr>
        <w:rFonts w:ascii="Times New Roman" w:hAnsi="Times New Roman"/>
        <w:sz w:val="20"/>
        <w:szCs w:val="20"/>
      </w:rPr>
      <w:t xml:space="preserve">“Par Latvijas Republikas pievienošanos </w:t>
    </w:r>
    <w:proofErr w:type="gramStart"/>
    <w:r w:rsidR="007803E1" w:rsidRPr="007803E1">
      <w:rPr>
        <w:rFonts w:ascii="Times New Roman" w:hAnsi="Times New Roman"/>
        <w:sz w:val="20"/>
        <w:szCs w:val="20"/>
      </w:rPr>
      <w:t>2012.gada</w:t>
    </w:r>
    <w:proofErr w:type="gramEnd"/>
    <w:r w:rsidR="007803E1" w:rsidRPr="007803E1">
      <w:rPr>
        <w:rFonts w:ascii="Times New Roman" w:hAnsi="Times New Roman"/>
        <w:sz w:val="20"/>
        <w:szCs w:val="20"/>
      </w:rPr>
      <w:t xml:space="preserve"> 24.maija Līgumam par sadarbību liecinieku aizsardzības jomā” </w:t>
    </w:r>
    <w:r w:rsidRPr="007803E1">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7803E1">
        <w:rPr>
          <w:rFonts w:ascii="Times New Roman" w:hAnsi="Times New Roman"/>
          <w:bCs/>
          <w:sz w:val="20"/>
          <w:szCs w:val="20"/>
        </w:rPr>
        <w:t>ziņojums</w:t>
      </w:r>
    </w:smartTag>
    <w:r w:rsidRPr="007803E1">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DD" w:rsidRDefault="009865DD" w:rsidP="00D02170">
      <w:pPr>
        <w:spacing w:after="0" w:line="240" w:lineRule="auto"/>
      </w:pPr>
      <w:r>
        <w:separator/>
      </w:r>
    </w:p>
  </w:footnote>
  <w:footnote w:type="continuationSeparator" w:id="0">
    <w:p w:rsidR="009865DD" w:rsidRDefault="009865DD" w:rsidP="00D0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31209"/>
      <w:docPartObj>
        <w:docPartGallery w:val="Page Numbers (Top of Page)"/>
        <w:docPartUnique/>
      </w:docPartObj>
    </w:sdtPr>
    <w:sdtEndPr>
      <w:rPr>
        <w:noProof/>
      </w:rPr>
    </w:sdtEndPr>
    <w:sdtContent>
      <w:p w:rsidR="00AC4F3E" w:rsidRDefault="00AC4F3E">
        <w:pPr>
          <w:pStyle w:val="Header"/>
          <w:jc w:val="center"/>
        </w:pPr>
        <w:r>
          <w:fldChar w:fldCharType="begin"/>
        </w:r>
        <w:r>
          <w:instrText xml:space="preserve"> PAGE   \* MERGEFORMAT </w:instrText>
        </w:r>
        <w:r>
          <w:fldChar w:fldCharType="separate"/>
        </w:r>
        <w:r w:rsidR="00A128D3">
          <w:rPr>
            <w:noProof/>
          </w:rPr>
          <w:t>4</w:t>
        </w:r>
        <w:r>
          <w:rPr>
            <w:noProof/>
          </w:rPr>
          <w:fldChar w:fldCharType="end"/>
        </w:r>
      </w:p>
    </w:sdtContent>
  </w:sdt>
  <w:p w:rsidR="00AC4F3E" w:rsidRDefault="00AC4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947BC"/>
    <w:multiLevelType w:val="hybridMultilevel"/>
    <w:tmpl w:val="96EC4A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5B55B3F"/>
    <w:multiLevelType w:val="hybridMultilevel"/>
    <w:tmpl w:val="37481934"/>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A2"/>
    <w:rsid w:val="00010DD1"/>
    <w:rsid w:val="00016C20"/>
    <w:rsid w:val="0009228E"/>
    <w:rsid w:val="000A11E6"/>
    <w:rsid w:val="000C10F2"/>
    <w:rsid w:val="000C3CAF"/>
    <w:rsid w:val="000C5D83"/>
    <w:rsid w:val="000D1E06"/>
    <w:rsid w:val="000E792B"/>
    <w:rsid w:val="00135756"/>
    <w:rsid w:val="0015648F"/>
    <w:rsid w:val="00166035"/>
    <w:rsid w:val="00166ADD"/>
    <w:rsid w:val="00172E51"/>
    <w:rsid w:val="001815B1"/>
    <w:rsid w:val="00183F0A"/>
    <w:rsid w:val="00187313"/>
    <w:rsid w:val="001A4519"/>
    <w:rsid w:val="001F322D"/>
    <w:rsid w:val="00202B2A"/>
    <w:rsid w:val="00213F4F"/>
    <w:rsid w:val="00215711"/>
    <w:rsid w:val="00260394"/>
    <w:rsid w:val="00264CE0"/>
    <w:rsid w:val="00266AC6"/>
    <w:rsid w:val="002A3ABD"/>
    <w:rsid w:val="002A5617"/>
    <w:rsid w:val="002A6FB1"/>
    <w:rsid w:val="002B7FF2"/>
    <w:rsid w:val="002C209A"/>
    <w:rsid w:val="002D76A7"/>
    <w:rsid w:val="002E4CB3"/>
    <w:rsid w:val="00310381"/>
    <w:rsid w:val="0033761F"/>
    <w:rsid w:val="00347237"/>
    <w:rsid w:val="00381A11"/>
    <w:rsid w:val="003C5C07"/>
    <w:rsid w:val="003E40B3"/>
    <w:rsid w:val="00431BDC"/>
    <w:rsid w:val="004512C0"/>
    <w:rsid w:val="0045409F"/>
    <w:rsid w:val="00473E45"/>
    <w:rsid w:val="004D09F8"/>
    <w:rsid w:val="005A0F31"/>
    <w:rsid w:val="005B7A2C"/>
    <w:rsid w:val="005C2159"/>
    <w:rsid w:val="005C3541"/>
    <w:rsid w:val="00612F64"/>
    <w:rsid w:val="00613181"/>
    <w:rsid w:val="00614F93"/>
    <w:rsid w:val="00624AE4"/>
    <w:rsid w:val="006575BF"/>
    <w:rsid w:val="006606A9"/>
    <w:rsid w:val="00666238"/>
    <w:rsid w:val="00670F84"/>
    <w:rsid w:val="00671C4E"/>
    <w:rsid w:val="0068039A"/>
    <w:rsid w:val="00690339"/>
    <w:rsid w:val="006E629D"/>
    <w:rsid w:val="0071321A"/>
    <w:rsid w:val="00734FE8"/>
    <w:rsid w:val="0075354F"/>
    <w:rsid w:val="007621A6"/>
    <w:rsid w:val="007748EC"/>
    <w:rsid w:val="00775E5F"/>
    <w:rsid w:val="007803E1"/>
    <w:rsid w:val="007902F0"/>
    <w:rsid w:val="00793505"/>
    <w:rsid w:val="007963F8"/>
    <w:rsid w:val="007C06A2"/>
    <w:rsid w:val="007C6DC9"/>
    <w:rsid w:val="007E400F"/>
    <w:rsid w:val="00805CF7"/>
    <w:rsid w:val="00823368"/>
    <w:rsid w:val="00826992"/>
    <w:rsid w:val="00872F5C"/>
    <w:rsid w:val="0087447C"/>
    <w:rsid w:val="008F7D70"/>
    <w:rsid w:val="00911FD1"/>
    <w:rsid w:val="009159D1"/>
    <w:rsid w:val="00916A9D"/>
    <w:rsid w:val="00923AD7"/>
    <w:rsid w:val="00925C44"/>
    <w:rsid w:val="00943BCC"/>
    <w:rsid w:val="009865DD"/>
    <w:rsid w:val="00991B84"/>
    <w:rsid w:val="009D6D0B"/>
    <w:rsid w:val="00A04396"/>
    <w:rsid w:val="00A128D3"/>
    <w:rsid w:val="00A34A8E"/>
    <w:rsid w:val="00A63160"/>
    <w:rsid w:val="00A706E4"/>
    <w:rsid w:val="00A90A86"/>
    <w:rsid w:val="00A93078"/>
    <w:rsid w:val="00AB0EE7"/>
    <w:rsid w:val="00AC4F3E"/>
    <w:rsid w:val="00AD62D6"/>
    <w:rsid w:val="00AE6B01"/>
    <w:rsid w:val="00BB4BA0"/>
    <w:rsid w:val="00BF2BED"/>
    <w:rsid w:val="00C45D75"/>
    <w:rsid w:val="00C64DE6"/>
    <w:rsid w:val="00C82002"/>
    <w:rsid w:val="00CA3207"/>
    <w:rsid w:val="00CA3E9B"/>
    <w:rsid w:val="00CB2D40"/>
    <w:rsid w:val="00CC5D5B"/>
    <w:rsid w:val="00CD7481"/>
    <w:rsid w:val="00D002C9"/>
    <w:rsid w:val="00D02170"/>
    <w:rsid w:val="00D06608"/>
    <w:rsid w:val="00D20FF7"/>
    <w:rsid w:val="00D5799E"/>
    <w:rsid w:val="00D82968"/>
    <w:rsid w:val="00D90445"/>
    <w:rsid w:val="00E2677D"/>
    <w:rsid w:val="00E565CE"/>
    <w:rsid w:val="00E8754A"/>
    <w:rsid w:val="00ED0127"/>
    <w:rsid w:val="00F10795"/>
    <w:rsid w:val="00F1778F"/>
    <w:rsid w:val="00F2070D"/>
    <w:rsid w:val="00F54EA5"/>
    <w:rsid w:val="00F61529"/>
    <w:rsid w:val="00F64596"/>
    <w:rsid w:val="00F73F3F"/>
    <w:rsid w:val="00FA4D88"/>
    <w:rsid w:val="00FB4F4E"/>
    <w:rsid w:val="00FD4112"/>
    <w:rsid w:val="00FD62E7"/>
    <w:rsid w:val="00FE6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34C817D-CDAC-4329-93DF-90458FB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A2"/>
    <w:rPr>
      <w:rFonts w:ascii="Calibri" w:eastAsia="Calibri" w:hAnsi="Calibri" w:cs="Times New Roman"/>
    </w:rPr>
  </w:style>
  <w:style w:type="paragraph" w:styleId="Heading3">
    <w:name w:val="heading 3"/>
    <w:basedOn w:val="Normal"/>
    <w:link w:val="Heading3Char"/>
    <w:uiPriority w:val="9"/>
    <w:unhideWhenUsed/>
    <w:qFormat/>
    <w:rsid w:val="007C06A2"/>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6A2"/>
    <w:rPr>
      <w:rFonts w:ascii="Times New Roman" w:eastAsia="Times New Roman" w:hAnsi="Times New Roman" w:cs="Times New Roman"/>
      <w:b/>
      <w:bCs/>
      <w:sz w:val="27"/>
      <w:szCs w:val="27"/>
      <w:lang w:eastAsia="lv-LV"/>
    </w:rPr>
  </w:style>
  <w:style w:type="character" w:styleId="Hyperlink">
    <w:name w:val="Hyperlink"/>
    <w:uiPriority w:val="99"/>
    <w:semiHidden/>
    <w:unhideWhenUsed/>
    <w:rsid w:val="007C06A2"/>
    <w:rPr>
      <w:color w:val="0000FF"/>
      <w:u w:val="single"/>
    </w:rPr>
  </w:style>
  <w:style w:type="paragraph" w:styleId="Footer">
    <w:name w:val="footer"/>
    <w:basedOn w:val="Normal"/>
    <w:link w:val="FooterChar"/>
    <w:uiPriority w:val="99"/>
    <w:unhideWhenUsed/>
    <w:rsid w:val="007C06A2"/>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C06A2"/>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C06A2"/>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C06A2"/>
    <w:rPr>
      <w:rFonts w:ascii="Times New Roman" w:eastAsia="Times New Roman" w:hAnsi="Times New Roman" w:cs="Times New Roman"/>
      <w:sz w:val="24"/>
      <w:szCs w:val="24"/>
      <w:lang w:val="en-GB"/>
    </w:rPr>
  </w:style>
  <w:style w:type="paragraph" w:styleId="NoSpacing">
    <w:name w:val="No Spacing"/>
    <w:qFormat/>
    <w:rsid w:val="007C06A2"/>
    <w:pPr>
      <w:spacing w:after="0" w:line="240" w:lineRule="auto"/>
    </w:pPr>
    <w:rPr>
      <w:rFonts w:ascii="Calibri" w:eastAsia="Calibri" w:hAnsi="Calibri" w:cs="Times New Roman"/>
      <w:lang w:val="en-US"/>
    </w:rPr>
  </w:style>
  <w:style w:type="character" w:customStyle="1" w:styleId="naisfChar">
    <w:name w:val="naisf Char"/>
    <w:link w:val="naisf"/>
    <w:locked/>
    <w:rsid w:val="007C06A2"/>
    <w:rPr>
      <w:rFonts w:ascii="Times New Roman" w:eastAsia="Times New Roman" w:hAnsi="Times New Roman" w:cs="Times New Roman"/>
      <w:sz w:val="24"/>
      <w:szCs w:val="24"/>
    </w:rPr>
  </w:style>
  <w:style w:type="paragraph" w:customStyle="1" w:styleId="naisf">
    <w:name w:val="naisf"/>
    <w:basedOn w:val="Normal"/>
    <w:link w:val="naisfChar"/>
    <w:rsid w:val="007C06A2"/>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C06A2"/>
    <w:pPr>
      <w:spacing w:before="400" w:after="0" w:line="360" w:lineRule="auto"/>
      <w:jc w:val="center"/>
    </w:pPr>
    <w:rPr>
      <w:rFonts w:ascii="Verdana" w:eastAsia="Times New Roman" w:hAnsi="Verdana"/>
      <w:b/>
      <w:bCs/>
      <w:sz w:val="20"/>
      <w:szCs w:val="20"/>
      <w:lang w:eastAsia="lv-LV"/>
    </w:rPr>
  </w:style>
  <w:style w:type="paragraph" w:styleId="BalloonText">
    <w:name w:val="Balloon Text"/>
    <w:basedOn w:val="Normal"/>
    <w:link w:val="BalloonTextChar"/>
    <w:uiPriority w:val="99"/>
    <w:semiHidden/>
    <w:unhideWhenUsed/>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A2"/>
    <w:rPr>
      <w:rFonts w:ascii="Tahoma" w:eastAsia="Calibri" w:hAnsi="Tahoma" w:cs="Tahoma"/>
      <w:sz w:val="16"/>
      <w:szCs w:val="16"/>
    </w:rPr>
  </w:style>
  <w:style w:type="table" w:styleId="TableGrid">
    <w:name w:val="Table Grid"/>
    <w:basedOn w:val="TableNormal"/>
    <w:uiPriority w:val="59"/>
    <w:rsid w:val="007C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C06A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06A2"/>
    <w:rPr>
      <w:rFonts w:ascii="Consolas" w:hAnsi="Consolas"/>
      <w:sz w:val="21"/>
      <w:szCs w:val="21"/>
    </w:rPr>
  </w:style>
  <w:style w:type="paragraph" w:customStyle="1" w:styleId="Char">
    <w:name w:val="Char"/>
    <w:basedOn w:val="Normal"/>
    <w:rsid w:val="00D02170"/>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unhideWhenUsed/>
    <w:rsid w:val="00D02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170"/>
    <w:rPr>
      <w:rFonts w:ascii="Calibri" w:eastAsia="Calibri" w:hAnsi="Calibri" w:cs="Times New Roman"/>
    </w:rPr>
  </w:style>
  <w:style w:type="paragraph" w:customStyle="1" w:styleId="CM1">
    <w:name w:val="CM1"/>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7160">
      <w:bodyDiv w:val="1"/>
      <w:marLeft w:val="0"/>
      <w:marRight w:val="0"/>
      <w:marTop w:val="0"/>
      <w:marBottom w:val="0"/>
      <w:divBdr>
        <w:top w:val="none" w:sz="0" w:space="0" w:color="auto"/>
        <w:left w:val="none" w:sz="0" w:space="0" w:color="auto"/>
        <w:bottom w:val="none" w:sz="0" w:space="0" w:color="auto"/>
        <w:right w:val="none" w:sz="0" w:space="0" w:color="auto"/>
      </w:divBdr>
    </w:div>
    <w:div w:id="1979727927">
      <w:bodyDiv w:val="1"/>
      <w:marLeft w:val="0"/>
      <w:marRight w:val="0"/>
      <w:marTop w:val="0"/>
      <w:marBottom w:val="0"/>
      <w:divBdr>
        <w:top w:val="none" w:sz="0" w:space="0" w:color="auto"/>
        <w:left w:val="none" w:sz="0" w:space="0" w:color="auto"/>
        <w:bottom w:val="none" w:sz="0" w:space="0" w:color="auto"/>
        <w:right w:val="none" w:sz="0" w:space="0" w:color="auto"/>
      </w:divBdr>
    </w:div>
    <w:div w:id="20815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9BD5-8263-4A22-A993-85777E9E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Pages>
  <Words>1189</Words>
  <Characters>8361</Characters>
  <Application>Microsoft Office Word</Application>
  <DocSecurity>0</DocSecurity>
  <Lines>350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Oļesja Pavļuka</cp:lastModifiedBy>
  <cp:revision>30</cp:revision>
  <cp:lastPrinted>2014-06-27T10:56:00Z</cp:lastPrinted>
  <dcterms:created xsi:type="dcterms:W3CDTF">2014-08-26T08:51:00Z</dcterms:created>
  <dcterms:modified xsi:type="dcterms:W3CDTF">2014-10-10T05:49:00Z</dcterms:modified>
</cp:coreProperties>
</file>