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AA" w:rsidRDefault="00EB43AA" w:rsidP="0039011F">
      <w:pPr>
        <w:spacing w:line="240" w:lineRule="auto"/>
        <w:jc w:val="center"/>
        <w:rPr>
          <w:b/>
          <w:sz w:val="28"/>
          <w:szCs w:val="28"/>
        </w:rPr>
      </w:pPr>
    </w:p>
    <w:p w:rsidR="00B404EF" w:rsidRDefault="00B404EF" w:rsidP="0039011F">
      <w:pPr>
        <w:spacing w:line="240" w:lineRule="auto"/>
        <w:jc w:val="center"/>
        <w:rPr>
          <w:b/>
          <w:sz w:val="28"/>
          <w:szCs w:val="28"/>
        </w:rPr>
      </w:pPr>
    </w:p>
    <w:p w:rsidR="00C23AB8" w:rsidRPr="00B06EDE" w:rsidRDefault="000546CF" w:rsidP="0039011F">
      <w:pPr>
        <w:spacing w:line="240" w:lineRule="auto"/>
        <w:jc w:val="center"/>
        <w:rPr>
          <w:b/>
          <w:sz w:val="28"/>
          <w:szCs w:val="28"/>
        </w:rPr>
      </w:pPr>
      <w:r w:rsidRPr="00B06EDE">
        <w:rPr>
          <w:b/>
          <w:sz w:val="28"/>
          <w:szCs w:val="28"/>
        </w:rPr>
        <w:t>Informatīvais ziņojums</w:t>
      </w:r>
    </w:p>
    <w:p w:rsidR="000546CF" w:rsidRDefault="007D6356" w:rsidP="0039011F">
      <w:pPr>
        <w:spacing w:before="120" w:line="240" w:lineRule="auto"/>
        <w:jc w:val="center"/>
        <w:rPr>
          <w:b/>
          <w:sz w:val="28"/>
          <w:szCs w:val="28"/>
        </w:rPr>
      </w:pPr>
      <w:r w:rsidRPr="007D6356">
        <w:rPr>
          <w:b/>
          <w:sz w:val="28"/>
          <w:szCs w:val="28"/>
        </w:rPr>
        <w:t>par Ministru kabinetā apstiprināmām Latvijas Republikas nacionālajām pozīcijām Eiropas Savienības Tieslietu un iekšlietu ministru padomes sanāksmei</w:t>
      </w:r>
      <w:r w:rsidR="000512A7" w:rsidRPr="00AE19C5">
        <w:rPr>
          <w:b/>
          <w:sz w:val="28"/>
          <w:szCs w:val="28"/>
        </w:rPr>
        <w:t xml:space="preserve"> </w:t>
      </w:r>
      <w:proofErr w:type="gramStart"/>
      <w:r w:rsidR="000512A7" w:rsidRPr="00AE19C5">
        <w:rPr>
          <w:b/>
          <w:sz w:val="28"/>
          <w:szCs w:val="28"/>
        </w:rPr>
        <w:t>201</w:t>
      </w:r>
      <w:r w:rsidR="0023513E">
        <w:rPr>
          <w:b/>
          <w:sz w:val="28"/>
          <w:szCs w:val="28"/>
        </w:rPr>
        <w:t>4</w:t>
      </w:r>
      <w:r w:rsidR="000512A7" w:rsidRPr="00AE19C5">
        <w:rPr>
          <w:b/>
          <w:sz w:val="28"/>
          <w:szCs w:val="28"/>
        </w:rPr>
        <w:t>.gada</w:t>
      </w:r>
      <w:proofErr w:type="gramEnd"/>
      <w:r w:rsidR="000512A7" w:rsidRPr="00AE19C5">
        <w:rPr>
          <w:b/>
          <w:sz w:val="28"/>
          <w:szCs w:val="28"/>
        </w:rPr>
        <w:t xml:space="preserve"> </w:t>
      </w:r>
      <w:r w:rsidR="00492A74">
        <w:rPr>
          <w:b/>
          <w:sz w:val="28"/>
          <w:szCs w:val="28"/>
        </w:rPr>
        <w:t>5</w:t>
      </w:r>
      <w:r w:rsidR="0023513E">
        <w:rPr>
          <w:b/>
          <w:sz w:val="28"/>
          <w:szCs w:val="28"/>
        </w:rPr>
        <w:t xml:space="preserve">. – </w:t>
      </w:r>
      <w:r w:rsidR="00492A74">
        <w:rPr>
          <w:b/>
          <w:sz w:val="28"/>
          <w:szCs w:val="28"/>
        </w:rPr>
        <w:t>6</w:t>
      </w:r>
      <w:r w:rsidR="0023513E">
        <w:rPr>
          <w:b/>
          <w:sz w:val="28"/>
          <w:szCs w:val="28"/>
        </w:rPr>
        <w:t>.</w:t>
      </w:r>
      <w:r w:rsidR="00492A74">
        <w:rPr>
          <w:b/>
          <w:sz w:val="28"/>
          <w:szCs w:val="28"/>
        </w:rPr>
        <w:t>jūnijā</w:t>
      </w:r>
    </w:p>
    <w:p w:rsidR="008E1A79" w:rsidRPr="00B06EDE" w:rsidRDefault="008E1A79" w:rsidP="0039011F">
      <w:pPr>
        <w:spacing w:before="120" w:line="240" w:lineRule="auto"/>
        <w:jc w:val="center"/>
        <w:rPr>
          <w:b/>
          <w:sz w:val="28"/>
          <w:szCs w:val="28"/>
        </w:rPr>
      </w:pPr>
    </w:p>
    <w:p w:rsidR="000546CF" w:rsidRPr="0039011F" w:rsidRDefault="0047262F" w:rsidP="0039011F">
      <w:pPr>
        <w:spacing w:line="240" w:lineRule="auto"/>
        <w:jc w:val="center"/>
        <w:rPr>
          <w:b/>
          <w:sz w:val="28"/>
          <w:szCs w:val="28"/>
        </w:rPr>
      </w:pPr>
      <w:r>
        <w:rPr>
          <w:b/>
          <w:sz w:val="28"/>
          <w:szCs w:val="28"/>
        </w:rPr>
        <w:t>I</w:t>
      </w:r>
      <w:r w:rsidR="000546CF" w:rsidRPr="0039011F">
        <w:rPr>
          <w:b/>
          <w:sz w:val="28"/>
          <w:szCs w:val="28"/>
        </w:rPr>
        <w:t xml:space="preserve"> Eiropas Savienības Tieslietu un iekšlietu ministru padomes sanāksmes darba kārtība</w:t>
      </w:r>
    </w:p>
    <w:p w:rsidR="000546CF" w:rsidRDefault="000546CF" w:rsidP="0039011F">
      <w:pPr>
        <w:spacing w:line="240" w:lineRule="auto"/>
        <w:jc w:val="both"/>
        <w:rPr>
          <w:sz w:val="28"/>
          <w:szCs w:val="28"/>
        </w:rPr>
      </w:pPr>
    </w:p>
    <w:p w:rsidR="000500C2" w:rsidRDefault="000546CF" w:rsidP="007D6356">
      <w:pPr>
        <w:spacing w:after="240" w:line="240" w:lineRule="auto"/>
        <w:ind w:firstLine="567"/>
        <w:jc w:val="both"/>
        <w:rPr>
          <w:sz w:val="28"/>
          <w:szCs w:val="28"/>
        </w:rPr>
      </w:pPr>
      <w:proofErr w:type="gramStart"/>
      <w:r w:rsidRPr="0039011F">
        <w:rPr>
          <w:sz w:val="28"/>
          <w:szCs w:val="28"/>
        </w:rPr>
        <w:t>201</w:t>
      </w:r>
      <w:r w:rsidR="0023513E">
        <w:rPr>
          <w:sz w:val="28"/>
          <w:szCs w:val="28"/>
        </w:rPr>
        <w:t>4</w:t>
      </w:r>
      <w:r w:rsidRPr="0039011F">
        <w:rPr>
          <w:sz w:val="28"/>
          <w:szCs w:val="28"/>
        </w:rPr>
        <w:t>.gada</w:t>
      </w:r>
      <w:proofErr w:type="gramEnd"/>
      <w:r w:rsidRPr="0039011F">
        <w:rPr>
          <w:sz w:val="28"/>
          <w:szCs w:val="28"/>
        </w:rPr>
        <w:t xml:space="preserve"> </w:t>
      </w:r>
      <w:r w:rsidR="00375EB8">
        <w:rPr>
          <w:sz w:val="28"/>
          <w:szCs w:val="28"/>
        </w:rPr>
        <w:t>5.</w:t>
      </w:r>
      <w:r w:rsidR="0023513E">
        <w:rPr>
          <w:sz w:val="28"/>
          <w:szCs w:val="28"/>
        </w:rPr>
        <w:t xml:space="preserve">– </w:t>
      </w:r>
      <w:r w:rsidR="00375EB8">
        <w:rPr>
          <w:sz w:val="28"/>
          <w:szCs w:val="28"/>
        </w:rPr>
        <w:t>6</w:t>
      </w:r>
      <w:r w:rsidR="0023513E">
        <w:rPr>
          <w:sz w:val="28"/>
          <w:szCs w:val="28"/>
        </w:rPr>
        <w:t>.</w:t>
      </w:r>
      <w:r w:rsidR="00375EB8">
        <w:rPr>
          <w:sz w:val="28"/>
          <w:szCs w:val="28"/>
        </w:rPr>
        <w:t>jūnijā</w:t>
      </w:r>
      <w:r w:rsidR="00B2159B">
        <w:rPr>
          <w:sz w:val="28"/>
          <w:szCs w:val="28"/>
        </w:rPr>
        <w:t xml:space="preserve"> </w:t>
      </w:r>
      <w:r w:rsidR="00375EB8">
        <w:rPr>
          <w:sz w:val="28"/>
          <w:szCs w:val="28"/>
        </w:rPr>
        <w:t>Luksemburgā</w:t>
      </w:r>
      <w:r w:rsidRPr="0039011F">
        <w:rPr>
          <w:sz w:val="28"/>
          <w:szCs w:val="28"/>
        </w:rPr>
        <w:t xml:space="preserve"> notiks Eiropas Savienības (turpmāk – ES) Tieslietu un iekšlietu ministru padomes (turpmāk – Padome) kārtējā sanāksme. </w:t>
      </w:r>
      <w:r w:rsidR="00352BE9" w:rsidRPr="0039011F">
        <w:rPr>
          <w:sz w:val="28"/>
          <w:szCs w:val="28"/>
        </w:rPr>
        <w:t xml:space="preserve">Dalības </w:t>
      </w:r>
      <w:r w:rsidR="00B2159B">
        <w:rPr>
          <w:sz w:val="28"/>
          <w:szCs w:val="28"/>
        </w:rPr>
        <w:t>nodrošināšanai Padomes sanāksmē</w:t>
      </w:r>
      <w:r w:rsidR="000500C2">
        <w:rPr>
          <w:sz w:val="28"/>
          <w:szCs w:val="28"/>
        </w:rPr>
        <w:t>:</w:t>
      </w:r>
    </w:p>
    <w:p w:rsidR="007D6356" w:rsidRDefault="000500C2" w:rsidP="000500C2">
      <w:pPr>
        <w:spacing w:after="240" w:line="240" w:lineRule="auto"/>
        <w:jc w:val="both"/>
        <w:rPr>
          <w:sz w:val="28"/>
          <w:szCs w:val="28"/>
        </w:rPr>
      </w:pPr>
      <w:r>
        <w:rPr>
          <w:sz w:val="28"/>
          <w:szCs w:val="28"/>
        </w:rPr>
        <w:t xml:space="preserve">1. </w:t>
      </w:r>
      <w:r w:rsidR="00352BE9" w:rsidRPr="0039011F">
        <w:rPr>
          <w:sz w:val="28"/>
          <w:szCs w:val="28"/>
        </w:rPr>
        <w:t xml:space="preserve">Iekšlietu ministrija ir sagatavojusi </w:t>
      </w:r>
      <w:r w:rsidR="007D6356" w:rsidRPr="007D6356">
        <w:rPr>
          <w:sz w:val="28"/>
          <w:szCs w:val="28"/>
        </w:rPr>
        <w:t>nacionālo pozīciju par šādu jautājumu:</w:t>
      </w:r>
    </w:p>
    <w:p w:rsidR="007D6356" w:rsidRPr="007D6356" w:rsidRDefault="007D6356" w:rsidP="007D6356">
      <w:pPr>
        <w:numPr>
          <w:ilvl w:val="0"/>
          <w:numId w:val="35"/>
        </w:numPr>
        <w:spacing w:after="240" w:line="240" w:lineRule="auto"/>
        <w:ind w:left="567" w:hanging="207"/>
        <w:jc w:val="both"/>
        <w:rPr>
          <w:sz w:val="28"/>
          <w:szCs w:val="28"/>
        </w:rPr>
      </w:pPr>
      <w:r w:rsidRPr="007D6356">
        <w:rPr>
          <w:b/>
          <w:i/>
          <w:sz w:val="28"/>
          <w:szCs w:val="28"/>
          <w:lang w:bidi="lv-LV"/>
        </w:rPr>
        <w:t>Priekšlikums – Eiropas Parlamenta un Padomes Regula par Eiropas Savienības Aģentūru tiesībaizsardzības sadarbībai un apmācībai (Eiropolu), un ar kuru atceļ Lēmumu 2009/371/TI un Lēmumu 2005/681/TI</w:t>
      </w:r>
    </w:p>
    <w:p w:rsidR="000500C2" w:rsidRPr="000500C2" w:rsidRDefault="000500C2" w:rsidP="00CD2C2F">
      <w:pPr>
        <w:widowControl/>
        <w:spacing w:line="240" w:lineRule="auto"/>
        <w:ind w:firstLine="567"/>
        <w:jc w:val="both"/>
        <w:rPr>
          <w:sz w:val="28"/>
          <w:szCs w:val="28"/>
          <w:lang w:eastAsia="lv-LV"/>
        </w:rPr>
      </w:pPr>
      <w:proofErr w:type="gramStart"/>
      <w:r w:rsidRPr="000500C2">
        <w:rPr>
          <w:sz w:val="28"/>
          <w:szCs w:val="28"/>
          <w:lang w:eastAsia="lv-LV"/>
        </w:rPr>
        <w:t>2013.gada</w:t>
      </w:r>
      <w:proofErr w:type="gramEnd"/>
      <w:r w:rsidRPr="000500C2">
        <w:rPr>
          <w:sz w:val="28"/>
          <w:szCs w:val="28"/>
          <w:lang w:eastAsia="lv-LV"/>
        </w:rPr>
        <w:t xml:space="preserve"> aprīlī </w:t>
      </w:r>
      <w:r>
        <w:rPr>
          <w:sz w:val="28"/>
          <w:szCs w:val="28"/>
          <w:lang w:eastAsia="lv-LV"/>
        </w:rPr>
        <w:t xml:space="preserve">Eiropas </w:t>
      </w:r>
      <w:r w:rsidRPr="000500C2">
        <w:rPr>
          <w:sz w:val="28"/>
          <w:szCs w:val="28"/>
          <w:lang w:eastAsia="lv-LV"/>
        </w:rPr>
        <w:t>Komisija prezentēja priekšlikumu Eiropas Parlamenta un Padomes regulai par Eiropas Savienības Aģentūru tiesībaizsardzības sadarbībai un apmācībai (Eiropolu), un ar kuru atceļ Lēmumu 2009/371/TI un Lēmumu 2005/681/TI  (turpmāk – Regulas projekts).</w:t>
      </w:r>
    </w:p>
    <w:p w:rsidR="000500C2" w:rsidRPr="000500C2" w:rsidRDefault="000500C2" w:rsidP="00CD2C2F">
      <w:pPr>
        <w:widowControl/>
        <w:spacing w:line="240" w:lineRule="auto"/>
        <w:ind w:firstLine="567"/>
        <w:jc w:val="both"/>
        <w:rPr>
          <w:sz w:val="28"/>
          <w:szCs w:val="28"/>
          <w:lang w:eastAsia="lv-LV"/>
        </w:rPr>
      </w:pPr>
      <w:r w:rsidRPr="000500C2">
        <w:rPr>
          <w:sz w:val="28"/>
          <w:szCs w:val="28"/>
          <w:lang w:eastAsia="lv-LV"/>
        </w:rPr>
        <w:t xml:space="preserve">Diskusijas par Regulas projektu ekspertu līmenī tika uzsāktas </w:t>
      </w:r>
      <w:proofErr w:type="gramStart"/>
      <w:r w:rsidRPr="000500C2">
        <w:rPr>
          <w:sz w:val="28"/>
          <w:szCs w:val="28"/>
          <w:lang w:eastAsia="lv-LV"/>
        </w:rPr>
        <w:t>2013.gada</w:t>
      </w:r>
      <w:proofErr w:type="gramEnd"/>
      <w:r w:rsidRPr="000500C2">
        <w:rPr>
          <w:sz w:val="28"/>
          <w:szCs w:val="28"/>
          <w:lang w:eastAsia="lv-LV"/>
        </w:rPr>
        <w:t xml:space="preserve"> 20.jūnijā Īrijas prezidentūras laikā, tad sekoja diskusijas Lietuvas un Grieķijas prezidentūras ietvaros.</w:t>
      </w:r>
    </w:p>
    <w:p w:rsidR="000500C2" w:rsidRPr="000500C2" w:rsidRDefault="000500C2" w:rsidP="00CD2C2F">
      <w:pPr>
        <w:widowControl/>
        <w:spacing w:line="240" w:lineRule="auto"/>
        <w:ind w:firstLine="567"/>
        <w:jc w:val="both"/>
        <w:rPr>
          <w:sz w:val="28"/>
          <w:szCs w:val="28"/>
          <w:lang w:eastAsia="lv-LV"/>
        </w:rPr>
      </w:pPr>
      <w:r w:rsidRPr="000500C2">
        <w:rPr>
          <w:sz w:val="28"/>
          <w:szCs w:val="28"/>
          <w:lang w:eastAsia="lv-LV"/>
        </w:rPr>
        <w:t xml:space="preserve">Pamatojoties uz š.g. </w:t>
      </w:r>
      <w:proofErr w:type="gramStart"/>
      <w:r w:rsidRPr="000500C2">
        <w:rPr>
          <w:sz w:val="28"/>
          <w:szCs w:val="28"/>
          <w:lang w:eastAsia="lv-LV"/>
        </w:rPr>
        <w:t>3.marta</w:t>
      </w:r>
      <w:proofErr w:type="gramEnd"/>
      <w:r w:rsidRPr="000500C2">
        <w:rPr>
          <w:sz w:val="28"/>
          <w:szCs w:val="28"/>
          <w:lang w:eastAsia="lv-LV"/>
        </w:rPr>
        <w:t xml:space="preserve"> Tieslietu un iekšlietu ministru </w:t>
      </w:r>
      <w:r>
        <w:rPr>
          <w:sz w:val="28"/>
          <w:szCs w:val="28"/>
          <w:lang w:eastAsia="lv-LV"/>
        </w:rPr>
        <w:t>p</w:t>
      </w:r>
      <w:r w:rsidRPr="000500C2">
        <w:rPr>
          <w:sz w:val="28"/>
          <w:szCs w:val="28"/>
          <w:lang w:eastAsia="lv-LV"/>
        </w:rPr>
        <w:t xml:space="preserve">adomes iznākumu, kompromisa tekstā tika dzēstas atsauces uz Eiropola un Eiropas Policijas koledžas (CEPOL) apvienošanu (kā to paredzēja Eiropas Komisijas sākotnējais priekšlikums), kā arī normas par Eiropola akadēmijas izveidi. Eiropas Parlaments apstiprināja savu pozīciju pirmajā lasījumā š.g. </w:t>
      </w:r>
      <w:proofErr w:type="gramStart"/>
      <w:r w:rsidRPr="000500C2">
        <w:rPr>
          <w:sz w:val="28"/>
          <w:szCs w:val="28"/>
          <w:lang w:eastAsia="lv-LV"/>
        </w:rPr>
        <w:t>25.februārī</w:t>
      </w:r>
      <w:proofErr w:type="gramEnd"/>
      <w:r w:rsidRPr="000500C2">
        <w:rPr>
          <w:sz w:val="28"/>
          <w:szCs w:val="28"/>
          <w:lang w:eastAsia="lv-LV"/>
        </w:rPr>
        <w:t>.</w:t>
      </w:r>
    </w:p>
    <w:p w:rsidR="000500C2" w:rsidRPr="000500C2" w:rsidRDefault="000500C2" w:rsidP="00CD2C2F">
      <w:pPr>
        <w:widowControl/>
        <w:spacing w:line="240" w:lineRule="auto"/>
        <w:ind w:firstLine="567"/>
        <w:jc w:val="both"/>
        <w:rPr>
          <w:sz w:val="28"/>
          <w:szCs w:val="28"/>
          <w:lang w:eastAsia="lv-LV"/>
        </w:rPr>
      </w:pPr>
      <w:r w:rsidRPr="000500C2">
        <w:rPr>
          <w:sz w:val="28"/>
          <w:szCs w:val="28"/>
          <w:lang w:eastAsia="lv-LV"/>
        </w:rPr>
        <w:t xml:space="preserve">Š.g. </w:t>
      </w:r>
      <w:proofErr w:type="gramStart"/>
      <w:r w:rsidRPr="000500C2">
        <w:rPr>
          <w:sz w:val="28"/>
          <w:szCs w:val="28"/>
          <w:lang w:eastAsia="lv-LV"/>
        </w:rPr>
        <w:t>15.maija</w:t>
      </w:r>
      <w:proofErr w:type="gramEnd"/>
      <w:r w:rsidRPr="000500C2">
        <w:rPr>
          <w:sz w:val="28"/>
          <w:szCs w:val="28"/>
          <w:lang w:eastAsia="lv-LV"/>
        </w:rPr>
        <w:t xml:space="preserve"> Patstāvīgo pārstāvju komitejas (COREPER II) sanāksmē netika panākta vispārējā vienošanā</w:t>
      </w:r>
      <w:r>
        <w:rPr>
          <w:sz w:val="28"/>
          <w:szCs w:val="28"/>
          <w:lang w:eastAsia="lv-LV"/>
        </w:rPr>
        <w:t>s</w:t>
      </w:r>
      <w:r w:rsidRPr="000500C2">
        <w:rPr>
          <w:sz w:val="28"/>
          <w:szCs w:val="28"/>
          <w:lang w:eastAsia="lv-LV"/>
        </w:rPr>
        <w:t xml:space="preserve"> (</w:t>
      </w:r>
      <w:proofErr w:type="spellStart"/>
      <w:r w:rsidRPr="000500C2">
        <w:rPr>
          <w:i/>
          <w:sz w:val="28"/>
          <w:szCs w:val="28"/>
          <w:lang w:eastAsia="lv-LV"/>
        </w:rPr>
        <w:t>general</w:t>
      </w:r>
      <w:proofErr w:type="spellEnd"/>
      <w:r w:rsidRPr="000500C2">
        <w:rPr>
          <w:i/>
          <w:sz w:val="28"/>
          <w:szCs w:val="28"/>
          <w:lang w:eastAsia="lv-LV"/>
        </w:rPr>
        <w:t xml:space="preserve"> </w:t>
      </w:r>
      <w:proofErr w:type="spellStart"/>
      <w:r w:rsidRPr="000500C2">
        <w:rPr>
          <w:i/>
          <w:sz w:val="28"/>
          <w:szCs w:val="28"/>
          <w:lang w:eastAsia="lv-LV"/>
        </w:rPr>
        <w:t>approach</w:t>
      </w:r>
      <w:proofErr w:type="spellEnd"/>
      <w:r w:rsidRPr="000500C2">
        <w:rPr>
          <w:i/>
          <w:sz w:val="28"/>
          <w:szCs w:val="28"/>
          <w:lang w:eastAsia="lv-LV"/>
        </w:rPr>
        <w:t>)</w:t>
      </w:r>
      <w:r w:rsidRPr="000500C2">
        <w:rPr>
          <w:sz w:val="28"/>
          <w:szCs w:val="28"/>
          <w:lang w:eastAsia="lv-LV"/>
        </w:rPr>
        <w:t xml:space="preserve"> par Regulas projektu, tāpēc jautājums tika nodots izskatīšanai š.g. 21.maija Tieslietu un iekšlietu padomnieku sanāksmē, uz kuru Prezidentūra sagatavoja precizētu regulas projekta redakciju (grozījumi regulas projekta 7.sadaļas 39.un 47.pantos – paredzēts izveidot Eiropas Datu aizsardzības uzraugu (</w:t>
      </w:r>
      <w:r w:rsidRPr="000500C2">
        <w:rPr>
          <w:i/>
          <w:sz w:val="28"/>
          <w:szCs w:val="28"/>
          <w:lang w:eastAsia="lv-LV"/>
        </w:rPr>
        <w:t>EDPS)</w:t>
      </w:r>
      <w:r w:rsidRPr="000500C2">
        <w:rPr>
          <w:sz w:val="28"/>
          <w:szCs w:val="28"/>
          <w:lang w:eastAsia="lv-LV"/>
        </w:rPr>
        <w:t xml:space="preserve"> un nacionālā datu aizsardzības uzrauga sadarbības formātu (</w:t>
      </w:r>
      <w:proofErr w:type="spellStart"/>
      <w:r w:rsidRPr="000500C2">
        <w:rPr>
          <w:i/>
          <w:sz w:val="28"/>
          <w:szCs w:val="28"/>
          <w:lang w:eastAsia="lv-LV"/>
        </w:rPr>
        <w:t>Cooperation</w:t>
      </w:r>
      <w:proofErr w:type="spellEnd"/>
      <w:r w:rsidRPr="000500C2">
        <w:rPr>
          <w:i/>
          <w:sz w:val="28"/>
          <w:szCs w:val="28"/>
          <w:lang w:eastAsia="lv-LV"/>
        </w:rPr>
        <w:t xml:space="preserve"> </w:t>
      </w:r>
      <w:proofErr w:type="spellStart"/>
      <w:r w:rsidRPr="000500C2">
        <w:rPr>
          <w:i/>
          <w:sz w:val="28"/>
          <w:szCs w:val="28"/>
          <w:lang w:eastAsia="lv-LV"/>
        </w:rPr>
        <w:t>Board</w:t>
      </w:r>
      <w:proofErr w:type="spellEnd"/>
      <w:r w:rsidRPr="000500C2">
        <w:rPr>
          <w:sz w:val="28"/>
          <w:szCs w:val="28"/>
          <w:lang w:eastAsia="lv-LV"/>
        </w:rPr>
        <w:t xml:space="preserve">). </w:t>
      </w:r>
    </w:p>
    <w:p w:rsidR="000500C2" w:rsidRDefault="000500C2" w:rsidP="008E1A79">
      <w:pPr>
        <w:spacing w:line="240" w:lineRule="auto"/>
        <w:ind w:firstLine="360"/>
        <w:jc w:val="both"/>
        <w:rPr>
          <w:sz w:val="28"/>
          <w:szCs w:val="28"/>
          <w:lang w:eastAsia="lv-LV"/>
        </w:rPr>
      </w:pPr>
      <w:r w:rsidRPr="000500C2">
        <w:rPr>
          <w:sz w:val="28"/>
          <w:szCs w:val="28"/>
          <w:lang w:eastAsia="lv-LV"/>
        </w:rPr>
        <w:t>Vispārējā vienošanās par Regulas projektu tika panākta š.g</w:t>
      </w:r>
      <w:r>
        <w:rPr>
          <w:sz w:val="28"/>
          <w:szCs w:val="28"/>
          <w:lang w:eastAsia="lv-LV"/>
        </w:rPr>
        <w:t xml:space="preserve">. </w:t>
      </w:r>
      <w:proofErr w:type="gramStart"/>
      <w:r>
        <w:rPr>
          <w:sz w:val="28"/>
          <w:szCs w:val="28"/>
          <w:lang w:eastAsia="lv-LV"/>
        </w:rPr>
        <w:t>28.maija</w:t>
      </w:r>
      <w:proofErr w:type="gramEnd"/>
      <w:r>
        <w:rPr>
          <w:sz w:val="28"/>
          <w:szCs w:val="28"/>
          <w:lang w:eastAsia="lv-LV"/>
        </w:rPr>
        <w:t xml:space="preserve"> COREPER II  sanāksmē.</w:t>
      </w:r>
      <w:r w:rsidRPr="000500C2">
        <w:rPr>
          <w:sz w:val="28"/>
          <w:szCs w:val="28"/>
          <w:lang w:eastAsia="lv-LV"/>
        </w:rPr>
        <w:t xml:space="preserve"> </w:t>
      </w:r>
    </w:p>
    <w:p w:rsidR="007D6356" w:rsidRPr="007D6356" w:rsidRDefault="000500C2" w:rsidP="00B404EF">
      <w:pPr>
        <w:spacing w:after="240" w:line="240" w:lineRule="auto"/>
        <w:ind w:firstLine="567"/>
        <w:jc w:val="both"/>
        <w:rPr>
          <w:sz w:val="28"/>
          <w:szCs w:val="28"/>
        </w:rPr>
      </w:pPr>
      <w:r w:rsidRPr="000500C2">
        <w:rPr>
          <w:sz w:val="28"/>
          <w:szCs w:val="28"/>
          <w:lang w:eastAsia="lv-LV"/>
        </w:rPr>
        <w:t xml:space="preserve">Tieslietu un iekšlietu ministru padome tiks aicināta apstiprināt </w:t>
      </w:r>
      <w:r>
        <w:rPr>
          <w:sz w:val="28"/>
          <w:szCs w:val="28"/>
          <w:lang w:eastAsia="lv-LV"/>
        </w:rPr>
        <w:t>vispārējo</w:t>
      </w:r>
      <w:r w:rsidRPr="000500C2">
        <w:rPr>
          <w:sz w:val="28"/>
          <w:szCs w:val="28"/>
          <w:lang w:eastAsia="lv-LV"/>
        </w:rPr>
        <w:t xml:space="preserve"> vienošan</w:t>
      </w:r>
      <w:r>
        <w:rPr>
          <w:sz w:val="28"/>
          <w:szCs w:val="28"/>
          <w:lang w:eastAsia="lv-LV"/>
        </w:rPr>
        <w:t>os</w:t>
      </w:r>
      <w:r w:rsidRPr="000500C2">
        <w:rPr>
          <w:sz w:val="28"/>
          <w:szCs w:val="28"/>
          <w:lang w:eastAsia="lv-LV"/>
        </w:rPr>
        <w:t xml:space="preserve"> par Regulas projektu.</w:t>
      </w:r>
    </w:p>
    <w:p w:rsidR="000500C2" w:rsidRPr="000500C2" w:rsidRDefault="000500C2" w:rsidP="000500C2">
      <w:pPr>
        <w:spacing w:after="240" w:line="240" w:lineRule="auto"/>
        <w:jc w:val="both"/>
        <w:rPr>
          <w:sz w:val="28"/>
          <w:szCs w:val="28"/>
        </w:rPr>
      </w:pPr>
      <w:r>
        <w:rPr>
          <w:sz w:val="28"/>
          <w:szCs w:val="28"/>
        </w:rPr>
        <w:lastRenderedPageBreak/>
        <w:t xml:space="preserve">2. </w:t>
      </w:r>
      <w:r w:rsidRPr="000500C2">
        <w:rPr>
          <w:sz w:val="28"/>
          <w:szCs w:val="28"/>
        </w:rPr>
        <w:t>Iekšlietu ministrija ir sagatavojusi informatīvo ziņojumu par citiem Padomes sanāksmes darba kārtībā ietvertajiem jautājumiem un Latvijas nostāju par tiem. Ziņojumā ietverta informācija par šādiem jautājumiem:</w:t>
      </w:r>
    </w:p>
    <w:p w:rsidR="0023513E" w:rsidRPr="0023513E" w:rsidRDefault="004A5F04" w:rsidP="004A5F04">
      <w:pPr>
        <w:numPr>
          <w:ilvl w:val="0"/>
          <w:numId w:val="35"/>
        </w:numPr>
        <w:spacing w:after="240" w:line="240" w:lineRule="auto"/>
        <w:ind w:left="567" w:hanging="207"/>
        <w:jc w:val="both"/>
        <w:rPr>
          <w:b/>
          <w:i/>
          <w:sz w:val="28"/>
          <w:szCs w:val="28"/>
        </w:rPr>
      </w:pPr>
      <w:r w:rsidRPr="004A5F04">
        <w:rPr>
          <w:b/>
          <w:i/>
          <w:iCs/>
          <w:sz w:val="28"/>
          <w:szCs w:val="28"/>
          <w:lang w:bidi="lv-LV"/>
        </w:rPr>
        <w:t>Ārvalstu kaujinieki un repatrianti no terorisma apkarošanas viedokļa, jo īpaši saistībā ar Sīriju</w:t>
      </w:r>
    </w:p>
    <w:p w:rsidR="004A5F04" w:rsidRPr="00755082" w:rsidRDefault="004A5F04" w:rsidP="004A5F04">
      <w:pPr>
        <w:widowControl/>
        <w:tabs>
          <w:tab w:val="left" w:pos="993"/>
        </w:tabs>
        <w:spacing w:line="240" w:lineRule="auto"/>
        <w:ind w:firstLine="567"/>
        <w:jc w:val="both"/>
        <w:rPr>
          <w:sz w:val="28"/>
          <w:szCs w:val="28"/>
          <w:lang w:eastAsia="lv-LV"/>
        </w:rPr>
      </w:pPr>
      <w:r w:rsidRPr="00755082">
        <w:rPr>
          <w:sz w:val="28"/>
          <w:szCs w:val="28"/>
          <w:lang w:eastAsia="lv-LV"/>
        </w:rPr>
        <w:t>Ārvalstu kaujinieki vēl arvien ir būtisks drauds Eiropas Savienībai un tās dalībvalstīm, kā arī Tuvo Austrumu un Ziemeļāfrikas reģionam – Sīrijā turpina pieaugt ārvalstu kaujinieku skaits, tostarp no Eiropas. Ir ticams, ka šī parādība turpmāko gadu laikā turpinās pastāvēt. Lai reakcija uz to būtu iedarbīga, tai jābūt visaptverošai, un tā prasa ilgtermiņa iesaisti.</w:t>
      </w:r>
    </w:p>
    <w:p w:rsidR="004A5F04" w:rsidRPr="00755082" w:rsidRDefault="004A5F04" w:rsidP="004A5F04">
      <w:pPr>
        <w:widowControl/>
        <w:spacing w:line="240" w:lineRule="auto"/>
        <w:ind w:firstLine="567"/>
        <w:jc w:val="both"/>
        <w:rPr>
          <w:sz w:val="28"/>
          <w:szCs w:val="28"/>
          <w:lang w:eastAsia="lv-LV"/>
        </w:rPr>
      </w:pPr>
      <w:r w:rsidRPr="00755082">
        <w:rPr>
          <w:sz w:val="28"/>
          <w:szCs w:val="28"/>
          <w:lang w:eastAsia="lv-LV"/>
        </w:rPr>
        <w:t xml:space="preserve">Ievērojot minēto, terorisma apkarošanas koordinators, cieši konsultējoties ar Komisijas dienestiem un EĀDD (Eiropas Ārējās Drošības Dienests), ir, sagatavojis dokumentu, kurā ir iekļauti dažādi priekšlikumi pastāvošo problēmu risināšanai. </w:t>
      </w:r>
    </w:p>
    <w:p w:rsidR="00C70FDD" w:rsidRDefault="004A5F04" w:rsidP="007D6356">
      <w:pPr>
        <w:spacing w:after="240" w:line="240" w:lineRule="auto"/>
        <w:ind w:firstLine="567"/>
        <w:jc w:val="both"/>
        <w:rPr>
          <w:sz w:val="28"/>
          <w:szCs w:val="28"/>
        </w:rPr>
      </w:pPr>
      <w:r w:rsidRPr="00755082">
        <w:rPr>
          <w:sz w:val="28"/>
          <w:szCs w:val="28"/>
          <w:lang w:eastAsia="lv-LV"/>
        </w:rPr>
        <w:t>Tieslietu un iekšlietu ministru padome tiks aicināta sniegt politisku atbalstu nākotnē ierosinātajam darbam.</w:t>
      </w:r>
    </w:p>
    <w:p w:rsidR="00A20F92" w:rsidRPr="00A20F92" w:rsidRDefault="004A5F04" w:rsidP="004A5F04">
      <w:pPr>
        <w:numPr>
          <w:ilvl w:val="0"/>
          <w:numId w:val="34"/>
        </w:numPr>
        <w:spacing w:after="240" w:line="240" w:lineRule="auto"/>
        <w:ind w:left="567" w:hanging="207"/>
        <w:jc w:val="both"/>
        <w:rPr>
          <w:b/>
          <w:i/>
          <w:sz w:val="28"/>
          <w:szCs w:val="28"/>
        </w:rPr>
      </w:pPr>
      <w:r w:rsidRPr="004A5F04">
        <w:rPr>
          <w:b/>
          <w:i/>
          <w:sz w:val="28"/>
          <w:szCs w:val="28"/>
          <w:lang w:bidi="lv-LV"/>
        </w:rPr>
        <w:t xml:space="preserve">Pārskatīta ES </w:t>
      </w:r>
      <w:proofErr w:type="spellStart"/>
      <w:r w:rsidRPr="004A5F04">
        <w:rPr>
          <w:b/>
          <w:i/>
          <w:sz w:val="28"/>
          <w:szCs w:val="28"/>
          <w:lang w:bidi="lv-LV"/>
        </w:rPr>
        <w:t>Radikalizācijas</w:t>
      </w:r>
      <w:proofErr w:type="spellEnd"/>
      <w:r w:rsidRPr="004A5F04">
        <w:rPr>
          <w:b/>
          <w:i/>
          <w:sz w:val="28"/>
          <w:szCs w:val="28"/>
          <w:lang w:bidi="lv-LV"/>
        </w:rPr>
        <w:t xml:space="preserve"> un teroristu vervēšanas apkarošanas stratēģija</w:t>
      </w:r>
    </w:p>
    <w:p w:rsidR="004A5F04" w:rsidRDefault="004A5F04" w:rsidP="004A5F04">
      <w:pPr>
        <w:spacing w:line="240" w:lineRule="auto"/>
        <w:ind w:firstLine="567"/>
        <w:jc w:val="both"/>
        <w:rPr>
          <w:sz w:val="28"/>
          <w:szCs w:val="28"/>
        </w:rPr>
      </w:pPr>
      <w:r w:rsidRPr="00F66257">
        <w:rPr>
          <w:sz w:val="28"/>
          <w:szCs w:val="28"/>
        </w:rPr>
        <w:t xml:space="preserve">Lai stiprinātu ES politiku </w:t>
      </w:r>
      <w:proofErr w:type="spellStart"/>
      <w:r w:rsidRPr="00F66257">
        <w:rPr>
          <w:sz w:val="28"/>
          <w:szCs w:val="28"/>
        </w:rPr>
        <w:t>radikalizācijas</w:t>
      </w:r>
      <w:proofErr w:type="spellEnd"/>
      <w:r w:rsidRPr="00F66257">
        <w:rPr>
          <w:sz w:val="28"/>
          <w:szCs w:val="28"/>
        </w:rPr>
        <w:t xml:space="preserve"> un teroristu vervēšanas novēršanai, </w:t>
      </w:r>
      <w:proofErr w:type="gramStart"/>
      <w:r w:rsidRPr="00F66257">
        <w:rPr>
          <w:sz w:val="28"/>
          <w:szCs w:val="28"/>
        </w:rPr>
        <w:t>2005.gadā</w:t>
      </w:r>
      <w:proofErr w:type="gramEnd"/>
      <w:r w:rsidRPr="00F66257">
        <w:rPr>
          <w:sz w:val="28"/>
          <w:szCs w:val="28"/>
        </w:rPr>
        <w:t xml:space="preserve"> tika pieņemta stratēģija un rīcības plāns. Stratēģija tika atjauninā</w:t>
      </w:r>
      <w:r>
        <w:rPr>
          <w:sz w:val="28"/>
          <w:szCs w:val="28"/>
        </w:rPr>
        <w:t xml:space="preserve">ta </w:t>
      </w:r>
      <w:proofErr w:type="gramStart"/>
      <w:r>
        <w:rPr>
          <w:sz w:val="28"/>
          <w:szCs w:val="28"/>
        </w:rPr>
        <w:t>2008.gada</w:t>
      </w:r>
      <w:proofErr w:type="gramEnd"/>
      <w:r>
        <w:rPr>
          <w:sz w:val="28"/>
          <w:szCs w:val="28"/>
        </w:rPr>
        <w:t xml:space="preserve"> novembrī.</w:t>
      </w:r>
      <w:r w:rsidRPr="00F66257">
        <w:rPr>
          <w:sz w:val="28"/>
          <w:szCs w:val="28"/>
        </w:rPr>
        <w:t xml:space="preserve"> </w:t>
      </w:r>
      <w:r>
        <w:rPr>
          <w:sz w:val="28"/>
          <w:szCs w:val="28"/>
        </w:rPr>
        <w:t>Savukārt</w:t>
      </w:r>
      <w:r w:rsidRPr="00F66257">
        <w:rPr>
          <w:sz w:val="28"/>
          <w:szCs w:val="28"/>
        </w:rPr>
        <w:t xml:space="preserve"> pēc </w:t>
      </w:r>
      <w:proofErr w:type="gramStart"/>
      <w:r w:rsidRPr="00F66257">
        <w:rPr>
          <w:sz w:val="28"/>
          <w:szCs w:val="28"/>
        </w:rPr>
        <w:t>2013.gada</w:t>
      </w:r>
      <w:proofErr w:type="gramEnd"/>
      <w:r w:rsidRPr="00F66257">
        <w:rPr>
          <w:sz w:val="28"/>
          <w:szCs w:val="28"/>
        </w:rPr>
        <w:t xml:space="preserve"> martā notikušajām diskusijām, Padome vienojās atkārtoti atjaunināt stratēģiju.</w:t>
      </w:r>
    </w:p>
    <w:p w:rsidR="004A5F04" w:rsidRDefault="004A5F04" w:rsidP="004A5F04">
      <w:pPr>
        <w:spacing w:line="240" w:lineRule="auto"/>
        <w:ind w:firstLine="567"/>
        <w:jc w:val="both"/>
        <w:rPr>
          <w:sz w:val="28"/>
          <w:szCs w:val="28"/>
        </w:rPr>
      </w:pPr>
      <w:r w:rsidRPr="00F66257">
        <w:rPr>
          <w:sz w:val="28"/>
          <w:szCs w:val="28"/>
        </w:rPr>
        <w:t xml:space="preserve">Ievērojot minēto, ir sagatavota atjaunināta stratēģija, kas </w:t>
      </w:r>
      <w:r>
        <w:rPr>
          <w:sz w:val="28"/>
          <w:szCs w:val="28"/>
        </w:rPr>
        <w:t>apkopo aktivitātes</w:t>
      </w:r>
      <w:r w:rsidRPr="00F66257">
        <w:rPr>
          <w:sz w:val="28"/>
          <w:szCs w:val="28"/>
        </w:rPr>
        <w:t xml:space="preserve">, kā ES un dalībvalstis cīnīsies pret </w:t>
      </w:r>
      <w:proofErr w:type="spellStart"/>
      <w:r w:rsidRPr="00F66257">
        <w:rPr>
          <w:sz w:val="28"/>
          <w:szCs w:val="28"/>
        </w:rPr>
        <w:t>radikalizāciju</w:t>
      </w:r>
      <w:proofErr w:type="spellEnd"/>
      <w:r w:rsidRPr="00F66257">
        <w:rPr>
          <w:sz w:val="28"/>
          <w:szCs w:val="28"/>
        </w:rPr>
        <w:t xml:space="preserve"> un vervēšanu terorismam, ņemot vērā šī fenomena mainīgo dabu un pieaugošo izpratni šajā jomā.</w:t>
      </w:r>
    </w:p>
    <w:p w:rsidR="004A5F04" w:rsidRDefault="004A5F04" w:rsidP="004A5F04">
      <w:pPr>
        <w:spacing w:line="240" w:lineRule="auto"/>
        <w:ind w:firstLine="567"/>
        <w:jc w:val="both"/>
        <w:rPr>
          <w:sz w:val="28"/>
          <w:szCs w:val="28"/>
        </w:rPr>
      </w:pPr>
      <w:r w:rsidRPr="00F66257">
        <w:rPr>
          <w:sz w:val="28"/>
          <w:szCs w:val="28"/>
        </w:rPr>
        <w:t xml:space="preserve">Galvenais stratēģijas mērķis ir novērst cilvēku </w:t>
      </w:r>
      <w:proofErr w:type="spellStart"/>
      <w:r w:rsidRPr="00F66257">
        <w:rPr>
          <w:sz w:val="28"/>
          <w:szCs w:val="28"/>
        </w:rPr>
        <w:t>radikalizēšanos</w:t>
      </w:r>
      <w:proofErr w:type="spellEnd"/>
      <w:r w:rsidRPr="00F66257">
        <w:rPr>
          <w:sz w:val="28"/>
          <w:szCs w:val="28"/>
        </w:rPr>
        <w:t xml:space="preserve">, viņu </w:t>
      </w:r>
      <w:proofErr w:type="spellStart"/>
      <w:r w:rsidRPr="00F66257">
        <w:rPr>
          <w:sz w:val="28"/>
          <w:szCs w:val="28"/>
        </w:rPr>
        <w:t>radikalizēšanu</w:t>
      </w:r>
      <w:proofErr w:type="spellEnd"/>
      <w:r w:rsidRPr="00F66257">
        <w:rPr>
          <w:sz w:val="28"/>
          <w:szCs w:val="28"/>
        </w:rPr>
        <w:t>, ko veic citas personas, kā arī novērst jaunas teroristu paaudzes rašanos.</w:t>
      </w:r>
    </w:p>
    <w:p w:rsidR="00A20F92" w:rsidRDefault="004A5F04" w:rsidP="004A5F04">
      <w:pPr>
        <w:spacing w:line="240" w:lineRule="auto"/>
        <w:ind w:firstLine="567"/>
        <w:jc w:val="both"/>
        <w:rPr>
          <w:sz w:val="28"/>
          <w:szCs w:val="28"/>
        </w:rPr>
      </w:pPr>
      <w:r w:rsidRPr="00F66257">
        <w:rPr>
          <w:sz w:val="28"/>
          <w:szCs w:val="28"/>
        </w:rPr>
        <w:t xml:space="preserve">Tieslietu un iekšlietu ministru padome tiks aicināta </w:t>
      </w:r>
      <w:r>
        <w:rPr>
          <w:sz w:val="28"/>
          <w:szCs w:val="28"/>
        </w:rPr>
        <w:t>apstiprināt</w:t>
      </w:r>
      <w:r w:rsidRPr="00F66257">
        <w:rPr>
          <w:sz w:val="28"/>
          <w:szCs w:val="28"/>
        </w:rPr>
        <w:t xml:space="preserve"> atjaunināto stratēģiju.</w:t>
      </w:r>
    </w:p>
    <w:p w:rsidR="004A5F04" w:rsidRDefault="004A5F04" w:rsidP="004A5F04">
      <w:pPr>
        <w:spacing w:line="240" w:lineRule="auto"/>
        <w:ind w:firstLine="567"/>
        <w:jc w:val="both"/>
        <w:rPr>
          <w:sz w:val="28"/>
          <w:szCs w:val="28"/>
        </w:rPr>
      </w:pPr>
    </w:p>
    <w:p w:rsidR="004A5F04" w:rsidRPr="004A5F04" w:rsidRDefault="004A5F04" w:rsidP="004A5F04">
      <w:pPr>
        <w:numPr>
          <w:ilvl w:val="0"/>
          <w:numId w:val="34"/>
        </w:numPr>
        <w:spacing w:after="240" w:line="240" w:lineRule="auto"/>
        <w:jc w:val="both"/>
        <w:rPr>
          <w:sz w:val="28"/>
          <w:szCs w:val="28"/>
        </w:rPr>
      </w:pPr>
      <w:r w:rsidRPr="004A5F04">
        <w:rPr>
          <w:b/>
          <w:i/>
          <w:sz w:val="28"/>
          <w:szCs w:val="28"/>
          <w:lang w:bidi="lv-LV"/>
        </w:rPr>
        <w:t>Vidusjūras reģiona jautājumu darba grupa</w:t>
      </w:r>
    </w:p>
    <w:p w:rsidR="008E1A79" w:rsidRDefault="004A5F04" w:rsidP="004A5F04">
      <w:pPr>
        <w:spacing w:line="240" w:lineRule="auto"/>
        <w:ind w:firstLine="567"/>
        <w:jc w:val="both"/>
        <w:rPr>
          <w:sz w:val="28"/>
          <w:szCs w:val="28"/>
        </w:rPr>
      </w:pPr>
      <w:r w:rsidRPr="00F66257">
        <w:rPr>
          <w:sz w:val="28"/>
          <w:szCs w:val="28"/>
        </w:rPr>
        <w:t xml:space="preserve">Vidusjūras darba grupa tika izveidota pēc traģiskajiem notikumiem Vidusjūrā </w:t>
      </w:r>
      <w:proofErr w:type="gramStart"/>
      <w:r w:rsidRPr="00F66257">
        <w:rPr>
          <w:sz w:val="28"/>
          <w:szCs w:val="28"/>
        </w:rPr>
        <w:t>2013.gada</w:t>
      </w:r>
      <w:proofErr w:type="gramEnd"/>
      <w:r w:rsidRPr="00F66257">
        <w:rPr>
          <w:sz w:val="28"/>
          <w:szCs w:val="28"/>
        </w:rPr>
        <w:t xml:space="preserve"> rudenī, kad </w:t>
      </w:r>
      <w:proofErr w:type="spellStart"/>
      <w:r w:rsidRPr="00F66257">
        <w:rPr>
          <w:sz w:val="28"/>
          <w:szCs w:val="28"/>
        </w:rPr>
        <w:t>Lampedūzas</w:t>
      </w:r>
      <w:proofErr w:type="spellEnd"/>
      <w:r w:rsidRPr="00F66257">
        <w:rPr>
          <w:sz w:val="28"/>
          <w:szCs w:val="28"/>
        </w:rPr>
        <w:t xml:space="preserve"> salas piekrastē dzīvību zaudēja vairāk nekā 300 migrantu. Darba grupas mērķis, pamatojoties uz Eiropadomes un Tieslietu un iekšlietu Padomes uzdevumu doto uzdevumu </w:t>
      </w:r>
      <w:proofErr w:type="gramStart"/>
      <w:r w:rsidRPr="00F66257">
        <w:rPr>
          <w:sz w:val="28"/>
          <w:szCs w:val="28"/>
        </w:rPr>
        <w:t>2013.gada</w:t>
      </w:r>
      <w:proofErr w:type="gramEnd"/>
      <w:r w:rsidRPr="00F66257">
        <w:rPr>
          <w:sz w:val="28"/>
          <w:szCs w:val="28"/>
        </w:rPr>
        <w:t xml:space="preserve"> oktobrī, ir identificēt un īstenot īstermiņa un ilgtermiņa operatīvu pasākumu kopumu, kas varētu sniegt atbalstu turpmāku traģēdiju novēršanai.</w:t>
      </w:r>
    </w:p>
    <w:p w:rsidR="008E1A79" w:rsidRDefault="008E1A79">
      <w:pPr>
        <w:widowControl/>
        <w:spacing w:line="240" w:lineRule="auto"/>
        <w:rPr>
          <w:sz w:val="28"/>
          <w:szCs w:val="28"/>
        </w:rPr>
      </w:pPr>
      <w:r>
        <w:rPr>
          <w:sz w:val="28"/>
          <w:szCs w:val="28"/>
        </w:rPr>
        <w:br w:type="page"/>
      </w:r>
    </w:p>
    <w:p w:rsidR="004A5F04" w:rsidRDefault="004A5F04" w:rsidP="004A5F04">
      <w:pPr>
        <w:spacing w:line="240" w:lineRule="auto"/>
        <w:ind w:firstLine="567"/>
        <w:jc w:val="both"/>
        <w:rPr>
          <w:sz w:val="28"/>
          <w:szCs w:val="28"/>
        </w:rPr>
      </w:pPr>
      <w:r w:rsidRPr="00F66257">
        <w:rPr>
          <w:sz w:val="28"/>
          <w:szCs w:val="28"/>
        </w:rPr>
        <w:lastRenderedPageBreak/>
        <w:t>Komisija ir sagatavojusi atjaunotu informāciju īstenotajiem pasākumiem, kas sagrupēti piecās jomās - sadarbība ar trešajām valstīm, reģionālo aizsardzības programmu un legālo kanālu Eiropas sasniegšanai stiprināšana, cīņa pret cilvēku nelikumīgu pārvadāšanu un tirdzniecību, pastiprināta robežu uzraudzība Vidusjūrā, kā arī palīdzība dalībvalstīm, kas saskaras ar lielāko migrācijas spiedienu.</w:t>
      </w:r>
    </w:p>
    <w:p w:rsidR="004A5F04" w:rsidRDefault="004A5F04" w:rsidP="004A5F04">
      <w:pPr>
        <w:spacing w:line="240" w:lineRule="auto"/>
        <w:ind w:firstLine="567"/>
        <w:jc w:val="both"/>
        <w:rPr>
          <w:sz w:val="28"/>
          <w:szCs w:val="28"/>
        </w:rPr>
      </w:pPr>
      <w:r w:rsidRPr="00F66257">
        <w:rPr>
          <w:sz w:val="28"/>
          <w:szCs w:val="28"/>
        </w:rPr>
        <w:t xml:space="preserve">Nozīmīgākie līdz šim īstenotie pasākumi ir mobilitātes partnerības parakstīšana ar Maroku un Tunisiju, </w:t>
      </w:r>
      <w:proofErr w:type="spellStart"/>
      <w:r w:rsidRPr="00F66257">
        <w:rPr>
          <w:sz w:val="28"/>
          <w:szCs w:val="28"/>
        </w:rPr>
        <w:t>Frontex</w:t>
      </w:r>
      <w:proofErr w:type="spellEnd"/>
      <w:r w:rsidRPr="00F66257">
        <w:rPr>
          <w:sz w:val="28"/>
          <w:szCs w:val="28"/>
        </w:rPr>
        <w:t xml:space="preserve"> koordinēto operāciju Vidusjūrā īstenošana, apstiprināti noteikumi ārējo jūras robežu uzraudzībai saistībā ar operatīvo sadarbību, ko koordinē </w:t>
      </w:r>
      <w:proofErr w:type="spellStart"/>
      <w:r w:rsidRPr="00F66257">
        <w:rPr>
          <w:sz w:val="28"/>
          <w:szCs w:val="28"/>
        </w:rPr>
        <w:t>Frontex</w:t>
      </w:r>
      <w:proofErr w:type="spellEnd"/>
      <w:r w:rsidRPr="00F66257">
        <w:rPr>
          <w:sz w:val="28"/>
          <w:szCs w:val="28"/>
        </w:rPr>
        <w:t xml:space="preserve">, robežu uzraudzības sistēmas </w:t>
      </w:r>
      <w:proofErr w:type="spellStart"/>
      <w:r w:rsidRPr="00F66257">
        <w:rPr>
          <w:i/>
          <w:sz w:val="28"/>
          <w:szCs w:val="28"/>
        </w:rPr>
        <w:t>Eurosur</w:t>
      </w:r>
      <w:proofErr w:type="spellEnd"/>
      <w:r w:rsidRPr="00F66257">
        <w:rPr>
          <w:sz w:val="28"/>
          <w:szCs w:val="28"/>
        </w:rPr>
        <w:t xml:space="preserve"> darbības uzsākšana 19 dalībvalstīs </w:t>
      </w:r>
      <w:proofErr w:type="gramStart"/>
      <w:r w:rsidRPr="00F66257">
        <w:rPr>
          <w:sz w:val="28"/>
          <w:szCs w:val="28"/>
        </w:rPr>
        <w:t>2013.gada</w:t>
      </w:r>
      <w:proofErr w:type="gramEnd"/>
      <w:r w:rsidRPr="00F66257">
        <w:rPr>
          <w:sz w:val="28"/>
          <w:szCs w:val="28"/>
        </w:rPr>
        <w:t xml:space="preserve"> decembrī.</w:t>
      </w:r>
    </w:p>
    <w:p w:rsidR="004A5F04" w:rsidRDefault="004A5F04" w:rsidP="004A5F04">
      <w:pPr>
        <w:spacing w:line="240" w:lineRule="auto"/>
        <w:ind w:firstLine="567"/>
        <w:jc w:val="both"/>
        <w:rPr>
          <w:sz w:val="28"/>
          <w:szCs w:val="28"/>
        </w:rPr>
      </w:pPr>
      <w:r w:rsidRPr="00F66257">
        <w:rPr>
          <w:sz w:val="28"/>
          <w:szCs w:val="28"/>
        </w:rPr>
        <w:t>Lai rastu Vidusjūras reģionā ar migrācijas spiedienu saistīto problēmu ilgtermiņa risinājumu, Eiropadome plāno pie šī jautājuma atgriezties arī kontekstā ar Tieslietu un iekšlietu jomas nākotnes stratēģisko vadlīniju sagatavošanu šī gada jūnija sanāksmē.</w:t>
      </w:r>
    </w:p>
    <w:p w:rsidR="004A5F04" w:rsidRDefault="004A5F04" w:rsidP="004A5F04">
      <w:pPr>
        <w:spacing w:after="240" w:line="240" w:lineRule="auto"/>
        <w:jc w:val="both"/>
        <w:rPr>
          <w:sz w:val="28"/>
          <w:szCs w:val="28"/>
        </w:rPr>
      </w:pPr>
      <w:r w:rsidRPr="00F66257">
        <w:rPr>
          <w:sz w:val="28"/>
          <w:szCs w:val="28"/>
        </w:rPr>
        <w:t>Sanāksmē plānotas diskusijas par darba grupas identificētajām piecām prioritārajām jomām un veicamajiem pasākumiem to īstenošanā.</w:t>
      </w:r>
    </w:p>
    <w:p w:rsidR="004A5F04" w:rsidRPr="004A5F04" w:rsidRDefault="004A5F04" w:rsidP="004A5F04">
      <w:pPr>
        <w:numPr>
          <w:ilvl w:val="0"/>
          <w:numId w:val="34"/>
        </w:numPr>
        <w:spacing w:after="240" w:line="240" w:lineRule="auto"/>
        <w:ind w:left="567" w:hanging="207"/>
        <w:jc w:val="both"/>
        <w:rPr>
          <w:sz w:val="28"/>
          <w:szCs w:val="28"/>
        </w:rPr>
      </w:pPr>
      <w:r w:rsidRPr="004A5F04">
        <w:rPr>
          <w:b/>
          <w:i/>
          <w:sz w:val="28"/>
          <w:szCs w:val="28"/>
          <w:lang w:bidi="lv-LV"/>
        </w:rPr>
        <w:t>Komisijas ziņojums Eiropas Parlamentam un Padomei: Piektais pusgada pārskats par Šengenas zonas darbību (2013. gada 1. novembris – 2014. gada 30. aprīlis)</w:t>
      </w:r>
    </w:p>
    <w:p w:rsidR="004A5F04" w:rsidRPr="005F3B85" w:rsidRDefault="004A5F04" w:rsidP="004A5F04">
      <w:pPr>
        <w:spacing w:line="240" w:lineRule="auto"/>
        <w:ind w:firstLine="567"/>
        <w:jc w:val="both"/>
        <w:rPr>
          <w:sz w:val="28"/>
          <w:szCs w:val="28"/>
        </w:rPr>
      </w:pPr>
      <w:r w:rsidRPr="005F3B85">
        <w:rPr>
          <w:sz w:val="28"/>
          <w:szCs w:val="28"/>
        </w:rPr>
        <w:t xml:space="preserve">Saskaņā ar Komisijas </w:t>
      </w:r>
      <w:proofErr w:type="gramStart"/>
      <w:r w:rsidRPr="005F3B85">
        <w:rPr>
          <w:sz w:val="28"/>
          <w:szCs w:val="28"/>
        </w:rPr>
        <w:t>2011.gada</w:t>
      </w:r>
      <w:proofErr w:type="gramEnd"/>
      <w:r w:rsidRPr="005F3B85">
        <w:rPr>
          <w:sz w:val="28"/>
          <w:szCs w:val="28"/>
        </w:rPr>
        <w:t xml:space="preserve"> 16.septembra paziņojumu “Šengenas pārvaldība – zonas bez kontroles pie iekšējām robežām stiprināšana” un 2012.gada 8.marta Tieslietu un iekšlietu padomes sanāksmē nolemto, Komisija reizi pusgadā sagatavo ziņojumu Eiropas Parlamentam un Padomei par Šengenas telpas darbību.</w:t>
      </w:r>
    </w:p>
    <w:p w:rsidR="004A5F04" w:rsidRDefault="004A5F04" w:rsidP="004A5F04">
      <w:pPr>
        <w:spacing w:after="240" w:line="240" w:lineRule="auto"/>
        <w:ind w:firstLine="567"/>
        <w:jc w:val="both"/>
        <w:rPr>
          <w:sz w:val="28"/>
          <w:szCs w:val="28"/>
        </w:rPr>
      </w:pPr>
      <w:r w:rsidRPr="005F3B85">
        <w:rPr>
          <w:sz w:val="28"/>
          <w:szCs w:val="28"/>
        </w:rPr>
        <w:t xml:space="preserve">Sanāksmes laikā dalībvalstis tiks iepazīstinātas ar 5.pusgada ziņojumu par laika periodu no </w:t>
      </w:r>
      <w:proofErr w:type="gramStart"/>
      <w:r w:rsidRPr="005F3B85">
        <w:rPr>
          <w:sz w:val="28"/>
          <w:szCs w:val="28"/>
        </w:rPr>
        <w:t>2013.gada</w:t>
      </w:r>
      <w:proofErr w:type="gramEnd"/>
      <w:r w:rsidRPr="005F3B85">
        <w:rPr>
          <w:sz w:val="28"/>
          <w:szCs w:val="28"/>
        </w:rPr>
        <w:t xml:space="preserve"> 1.novembra līdz 2014.gada 30.aprīlim, kurā Komisija ir apkopojusi informāciju par situāciju uz ES ārējām robežām un Šengenas telpas iekšienē, par Šengenas </w:t>
      </w:r>
      <w:proofErr w:type="spellStart"/>
      <w:r w:rsidRPr="005F3B85">
        <w:rPr>
          <w:i/>
          <w:iCs/>
          <w:sz w:val="28"/>
          <w:szCs w:val="28"/>
        </w:rPr>
        <w:t>acquis</w:t>
      </w:r>
      <w:proofErr w:type="spellEnd"/>
      <w:r w:rsidRPr="005F3B85">
        <w:rPr>
          <w:i/>
          <w:iCs/>
          <w:sz w:val="28"/>
          <w:szCs w:val="28"/>
        </w:rPr>
        <w:t xml:space="preserve"> </w:t>
      </w:r>
      <w:r w:rsidRPr="005F3B85">
        <w:rPr>
          <w:sz w:val="28"/>
          <w:szCs w:val="28"/>
        </w:rPr>
        <w:t xml:space="preserve">piemērošanu un līdz šim notikušajām Šengenas novērtēšanas vizītēm dalībvalstīs, kā arī par pašreizējo situāciju vīzu atvieglojumu un </w:t>
      </w:r>
      <w:proofErr w:type="spellStart"/>
      <w:r w:rsidRPr="005F3B85">
        <w:rPr>
          <w:sz w:val="28"/>
          <w:szCs w:val="28"/>
        </w:rPr>
        <w:t>readmisijas</w:t>
      </w:r>
      <w:proofErr w:type="spellEnd"/>
      <w:r w:rsidRPr="005F3B85">
        <w:rPr>
          <w:sz w:val="28"/>
          <w:szCs w:val="28"/>
        </w:rPr>
        <w:t xml:space="preserve"> nolīgumu jomā un par SIS II un VIS līdzšinējo darbību.</w:t>
      </w:r>
    </w:p>
    <w:p w:rsidR="004A5F04" w:rsidRPr="004A5F04" w:rsidRDefault="004A5F04" w:rsidP="004A5F04">
      <w:pPr>
        <w:numPr>
          <w:ilvl w:val="0"/>
          <w:numId w:val="34"/>
        </w:numPr>
        <w:spacing w:after="240" w:line="240" w:lineRule="auto"/>
        <w:jc w:val="both"/>
        <w:rPr>
          <w:sz w:val="28"/>
          <w:szCs w:val="28"/>
        </w:rPr>
      </w:pPr>
      <w:r w:rsidRPr="004A5F04">
        <w:rPr>
          <w:b/>
          <w:i/>
          <w:sz w:val="28"/>
          <w:szCs w:val="28"/>
          <w:lang w:bidi="lv-LV"/>
        </w:rPr>
        <w:t>FRONTEX izpilddirektors – atlases procedūra</w:t>
      </w:r>
    </w:p>
    <w:p w:rsidR="008E1A79" w:rsidRDefault="004A5F04" w:rsidP="004A5F04">
      <w:pPr>
        <w:spacing w:line="240" w:lineRule="auto"/>
        <w:ind w:firstLine="567"/>
        <w:jc w:val="both"/>
        <w:rPr>
          <w:sz w:val="28"/>
          <w:szCs w:val="28"/>
        </w:rPr>
      </w:pPr>
      <w:r w:rsidRPr="00C015F3">
        <w:rPr>
          <w:sz w:val="28"/>
          <w:szCs w:val="28"/>
        </w:rPr>
        <w:t xml:space="preserve">Līdzšinējais </w:t>
      </w:r>
      <w:proofErr w:type="spellStart"/>
      <w:r w:rsidRPr="00C015F3">
        <w:rPr>
          <w:sz w:val="28"/>
          <w:szCs w:val="28"/>
        </w:rPr>
        <w:t>Frontex</w:t>
      </w:r>
      <w:proofErr w:type="spellEnd"/>
      <w:r w:rsidRPr="00C015F3">
        <w:rPr>
          <w:sz w:val="28"/>
          <w:szCs w:val="28"/>
        </w:rPr>
        <w:t xml:space="preserve"> izpilddirektors ir iesniedzis atlūgumu, paužot vēlmi atstāt amatu šī gada maija beigās. Komisija bija uzsākusi konkursa procedūru jauna izpilddirektora kandidāta atlasei, kas ir beigusies bez rezultātiem. Pēc divām konkursa kārtām, Komisija, kas ir atbildīga par kandidātu sarakstu iesniegšanu </w:t>
      </w:r>
      <w:proofErr w:type="spellStart"/>
      <w:r w:rsidRPr="00C015F3">
        <w:rPr>
          <w:sz w:val="28"/>
          <w:szCs w:val="28"/>
        </w:rPr>
        <w:t>Frontex</w:t>
      </w:r>
      <w:proofErr w:type="spellEnd"/>
      <w:r w:rsidRPr="00C015F3">
        <w:rPr>
          <w:sz w:val="28"/>
          <w:szCs w:val="28"/>
        </w:rPr>
        <w:t xml:space="preserve"> Valdē izpilddirektora apstiprināšanai, atzina, ka neviens no kandidātiem neatbilst izvirzītajiem kritērijiem, kas nepieciešami lielas aģentūras vadīšanai.</w:t>
      </w:r>
    </w:p>
    <w:p w:rsidR="008E1A79" w:rsidRDefault="008E1A79">
      <w:pPr>
        <w:widowControl/>
        <w:spacing w:line="240" w:lineRule="auto"/>
        <w:rPr>
          <w:sz w:val="28"/>
          <w:szCs w:val="28"/>
        </w:rPr>
      </w:pPr>
      <w:r>
        <w:rPr>
          <w:sz w:val="28"/>
          <w:szCs w:val="28"/>
        </w:rPr>
        <w:br w:type="page"/>
      </w:r>
    </w:p>
    <w:p w:rsidR="004A5F04" w:rsidRDefault="004A5F04" w:rsidP="004A5F04">
      <w:pPr>
        <w:spacing w:line="240" w:lineRule="auto"/>
        <w:ind w:firstLine="567"/>
        <w:jc w:val="both"/>
        <w:rPr>
          <w:sz w:val="28"/>
          <w:szCs w:val="28"/>
        </w:rPr>
      </w:pPr>
      <w:r w:rsidRPr="00C015F3">
        <w:rPr>
          <w:sz w:val="28"/>
          <w:szCs w:val="28"/>
        </w:rPr>
        <w:lastRenderedPageBreak/>
        <w:t>Pašlaik Komisija plāno uzsākt atkārtotu atlases procedūru, publicējot jaunu aicinājumu pieteikties kandidātus, kuriem ir pieredze ne tikai robežu pārvaldībā, bet arī migrācijas vai tiesību aizsardzības jomā. Atkārtoti var pieteikties arī līdzšinējie kandidāti.</w:t>
      </w:r>
    </w:p>
    <w:p w:rsidR="004A5F04" w:rsidRDefault="004A5F04" w:rsidP="004A5F04">
      <w:pPr>
        <w:spacing w:line="240" w:lineRule="auto"/>
        <w:ind w:firstLine="567"/>
        <w:jc w:val="both"/>
        <w:rPr>
          <w:sz w:val="28"/>
          <w:szCs w:val="28"/>
        </w:rPr>
      </w:pPr>
      <w:r w:rsidRPr="00C015F3">
        <w:rPr>
          <w:sz w:val="28"/>
          <w:szCs w:val="28"/>
        </w:rPr>
        <w:t xml:space="preserve">Situācija saistībā ar grūtībām atrast piemērotu kandidātu </w:t>
      </w:r>
      <w:proofErr w:type="spellStart"/>
      <w:r w:rsidRPr="00C015F3">
        <w:rPr>
          <w:sz w:val="28"/>
          <w:szCs w:val="28"/>
        </w:rPr>
        <w:t>Frontex</w:t>
      </w:r>
      <w:proofErr w:type="spellEnd"/>
      <w:r w:rsidRPr="00C015F3">
        <w:rPr>
          <w:sz w:val="28"/>
          <w:szCs w:val="28"/>
        </w:rPr>
        <w:t xml:space="preserve"> izpilddirektora amatam ir apspriesta </w:t>
      </w:r>
      <w:proofErr w:type="spellStart"/>
      <w:r w:rsidRPr="00C015F3">
        <w:rPr>
          <w:sz w:val="28"/>
          <w:szCs w:val="28"/>
        </w:rPr>
        <w:t>Frontex</w:t>
      </w:r>
      <w:proofErr w:type="spellEnd"/>
      <w:r w:rsidRPr="00C015F3">
        <w:rPr>
          <w:sz w:val="28"/>
          <w:szCs w:val="28"/>
        </w:rPr>
        <w:t xml:space="preserve"> Valdē, kā arī Padomes Stratēģiskajā migrācijas, robežu un patvēruma komitejā.</w:t>
      </w:r>
    </w:p>
    <w:p w:rsidR="004A5F04" w:rsidRDefault="004A5F04" w:rsidP="004A5F04">
      <w:pPr>
        <w:spacing w:after="240" w:line="240" w:lineRule="auto"/>
        <w:jc w:val="both"/>
        <w:rPr>
          <w:sz w:val="28"/>
          <w:szCs w:val="28"/>
        </w:rPr>
      </w:pPr>
      <w:r w:rsidRPr="00C015F3">
        <w:rPr>
          <w:sz w:val="28"/>
          <w:szCs w:val="28"/>
        </w:rPr>
        <w:t xml:space="preserve">Dalībvalstis pauda neizpratni par Komisijas izmantotajām atlases procedūrām un kritērijiem, pēc kuriem vērtēja kandidātus. Tāpat dalībvalstis pauda bažas par radušos situāciju, atstājot </w:t>
      </w:r>
      <w:proofErr w:type="spellStart"/>
      <w:r w:rsidRPr="00C015F3">
        <w:rPr>
          <w:sz w:val="28"/>
          <w:szCs w:val="28"/>
        </w:rPr>
        <w:t>Frontex</w:t>
      </w:r>
      <w:proofErr w:type="spellEnd"/>
      <w:r w:rsidRPr="00C015F3">
        <w:rPr>
          <w:sz w:val="28"/>
          <w:szCs w:val="28"/>
        </w:rPr>
        <w:t xml:space="preserve"> bez vadītāja vismaz līdz šī gada nogalei.</w:t>
      </w:r>
    </w:p>
    <w:p w:rsidR="004A5F04" w:rsidRPr="007D6356" w:rsidRDefault="004A5F04" w:rsidP="004A5F04">
      <w:pPr>
        <w:numPr>
          <w:ilvl w:val="0"/>
          <w:numId w:val="34"/>
        </w:numPr>
        <w:spacing w:after="240" w:line="240" w:lineRule="auto"/>
        <w:ind w:left="567" w:hanging="207"/>
        <w:jc w:val="both"/>
        <w:rPr>
          <w:sz w:val="28"/>
          <w:szCs w:val="28"/>
        </w:rPr>
      </w:pPr>
      <w:r w:rsidRPr="004A5F04">
        <w:rPr>
          <w:b/>
          <w:i/>
          <w:sz w:val="28"/>
          <w:szCs w:val="28"/>
          <w:lang w:bidi="lv-LV"/>
        </w:rPr>
        <w:t>Sekas pēc tam, kad ir anulēta Eiropas Parlamenta un Padomes Direktīva 2006/24/EK (2006. gada 15. marts) par tādu datu saglabāšanu, kurus iegūst vai apstrādā saistībā ar publiski pieejamu elektronisko komunikāciju pakalpojumu sniegšanu vai publiski pieejamu komunikāciju tīklu nodrošināšanu, un par grozījumiem Direktīvā 2002/58/EK</w:t>
      </w:r>
    </w:p>
    <w:p w:rsidR="007D6356" w:rsidRPr="00EF5BC4" w:rsidRDefault="007D6356" w:rsidP="007D6356">
      <w:pPr>
        <w:spacing w:line="240" w:lineRule="auto"/>
        <w:ind w:firstLine="567"/>
        <w:jc w:val="both"/>
        <w:rPr>
          <w:sz w:val="28"/>
          <w:szCs w:val="28"/>
        </w:rPr>
      </w:pPr>
      <w:r w:rsidRPr="00EF5BC4">
        <w:rPr>
          <w:sz w:val="28"/>
          <w:szCs w:val="28"/>
        </w:rPr>
        <w:t xml:space="preserve">Š.g. </w:t>
      </w:r>
      <w:proofErr w:type="gramStart"/>
      <w:r w:rsidRPr="00EF5BC4">
        <w:rPr>
          <w:sz w:val="28"/>
          <w:szCs w:val="28"/>
        </w:rPr>
        <w:t>8.aprīlī</w:t>
      </w:r>
      <w:proofErr w:type="gramEnd"/>
      <w:r w:rsidRPr="00EF5BC4">
        <w:rPr>
          <w:sz w:val="28"/>
          <w:szCs w:val="28"/>
        </w:rPr>
        <w:t xml:space="preserve"> Eiropas Savienības Tiesa pasludināja spriedumu lietās C-293/12 un C-594/12, atceļot no pieņemšanas brīža direktīvu 2006/24/EK. Direktīva paredzēja saglabāt datus, kurus iegūst vai apstrādā saistībā ar publiski pieejamu elektronisko komunikāciju pakalpojumu sniegšanu, lai nodrošinātu to izmantošanu nepieciešamības gadījumā smagu noziegumu, tostarp, terorisma novēršanai un izmeklēšanai.</w:t>
      </w:r>
    </w:p>
    <w:p w:rsidR="007D6356" w:rsidRPr="00EF5BC4" w:rsidRDefault="007D6356" w:rsidP="007D6356">
      <w:pPr>
        <w:spacing w:line="240" w:lineRule="auto"/>
        <w:ind w:firstLine="567"/>
        <w:jc w:val="both"/>
        <w:rPr>
          <w:sz w:val="28"/>
          <w:szCs w:val="28"/>
        </w:rPr>
      </w:pPr>
      <w:r w:rsidRPr="00EF5BC4">
        <w:rPr>
          <w:sz w:val="28"/>
          <w:szCs w:val="28"/>
        </w:rPr>
        <w:t xml:space="preserve">Spriedums attiecas uz visu Eiropas Savienības iespējamo rīcību datu aizsardzības un privātuma jomā, nosakot kritērijus, pēc kuriem Eiropas Savienības Tiesa turpmāk vadīsies, izvērtējot samērīguma apsvērumus gadījumos, kad ierobežojumi būtiski aizskar pamattiesības. </w:t>
      </w:r>
    </w:p>
    <w:p w:rsidR="007D6356" w:rsidRPr="00EF5BC4" w:rsidRDefault="007D6356" w:rsidP="007D6356">
      <w:pPr>
        <w:spacing w:line="240" w:lineRule="auto"/>
        <w:ind w:firstLine="567"/>
        <w:jc w:val="both"/>
        <w:rPr>
          <w:sz w:val="28"/>
          <w:szCs w:val="28"/>
        </w:rPr>
      </w:pPr>
      <w:r w:rsidRPr="00EF5BC4">
        <w:rPr>
          <w:sz w:val="28"/>
          <w:szCs w:val="28"/>
        </w:rPr>
        <w:t xml:space="preserve">Spriedumam ir būtiska nozīme gadījumos, kad Eiropas Savienības regulējums nosaka liela apjoma personas datu apkopošanu un saglabāšanu, paredzot iespēju tiesībaizsardzības iestādēm piekļūt šiem datiem. Īpaši aktuāli iekšlietu jomā tas ir saistībā ar jau noteikto tiesībaizsardzības iestāžu piekļuvi Vīzu informācijas sistēmā un </w:t>
      </w:r>
      <w:proofErr w:type="spellStart"/>
      <w:r w:rsidRPr="00EF5BC4">
        <w:rPr>
          <w:sz w:val="28"/>
          <w:szCs w:val="28"/>
        </w:rPr>
        <w:t>Eurodac</w:t>
      </w:r>
      <w:proofErr w:type="spellEnd"/>
      <w:r w:rsidRPr="00EF5BC4">
        <w:rPr>
          <w:sz w:val="28"/>
          <w:szCs w:val="28"/>
        </w:rPr>
        <w:t xml:space="preserve"> (patvēruma meklētāju biometrijas datu bāze) sistēmā iekļautajiem datiem, kā arī nākotnē plānoto Pasažieru datu reģistru un “viedo robežu” iniciatīvu. </w:t>
      </w:r>
    </w:p>
    <w:p w:rsidR="008E1A79" w:rsidRDefault="007D6356" w:rsidP="008E1A79">
      <w:pPr>
        <w:spacing w:line="240" w:lineRule="auto"/>
        <w:ind w:firstLine="567"/>
        <w:jc w:val="both"/>
        <w:rPr>
          <w:sz w:val="28"/>
          <w:szCs w:val="28"/>
        </w:rPr>
      </w:pPr>
      <w:r w:rsidRPr="00EF5BC4">
        <w:rPr>
          <w:sz w:val="28"/>
          <w:szCs w:val="28"/>
        </w:rPr>
        <w:t>Šobrīd Eiropas Komisija veic sprieduma analīzi, lai izvērtētu tā ietekmi uz jau spēkā esošo, ierosināto vai nākotnē plānoto regulējumu šajā jomā. Plānots, ka sanāksmes laikā Eiropas Komisija prezentēs savu redzējumu par iespējamo turpmāko rīcību, kā arī dalībvalstīm būs iespēja piedalīties viedokļu apmaiņā par šo jautājumu.</w:t>
      </w:r>
    </w:p>
    <w:p w:rsidR="008E1A79" w:rsidRDefault="008E1A79">
      <w:pPr>
        <w:widowControl/>
        <w:spacing w:line="240" w:lineRule="auto"/>
        <w:rPr>
          <w:sz w:val="28"/>
          <w:szCs w:val="28"/>
        </w:rPr>
      </w:pPr>
      <w:r>
        <w:rPr>
          <w:sz w:val="28"/>
          <w:szCs w:val="28"/>
        </w:rPr>
        <w:br w:type="page"/>
      </w:r>
    </w:p>
    <w:p w:rsidR="00DF2533" w:rsidRDefault="00B06EDE" w:rsidP="00DF2533">
      <w:pPr>
        <w:spacing w:after="240" w:line="240" w:lineRule="auto"/>
        <w:ind w:firstLine="567"/>
        <w:jc w:val="both"/>
        <w:rPr>
          <w:sz w:val="28"/>
          <w:szCs w:val="28"/>
        </w:rPr>
      </w:pPr>
      <w:r w:rsidRPr="002E1A90">
        <w:rPr>
          <w:sz w:val="28"/>
          <w:szCs w:val="28"/>
        </w:rPr>
        <w:lastRenderedPageBreak/>
        <w:t xml:space="preserve">Līdztekus Iekšlietu ministrijas informatīvajā ziņojumā iekļautajiem jautājumiem </w:t>
      </w:r>
      <w:r w:rsidR="003327FD" w:rsidRPr="002E1A90">
        <w:rPr>
          <w:sz w:val="28"/>
          <w:szCs w:val="28"/>
        </w:rPr>
        <w:t xml:space="preserve">Padomes sanāksmes laikā </w:t>
      </w:r>
      <w:r w:rsidRPr="002E1A90">
        <w:rPr>
          <w:sz w:val="28"/>
          <w:szCs w:val="28"/>
        </w:rPr>
        <w:t>ministri</w:t>
      </w:r>
      <w:r w:rsidR="00A30826" w:rsidRPr="002E1A90">
        <w:rPr>
          <w:sz w:val="28"/>
          <w:szCs w:val="28"/>
        </w:rPr>
        <w:t xml:space="preserve"> tāpat tiks informēti</w:t>
      </w:r>
      <w:r w:rsidR="00DF2533">
        <w:rPr>
          <w:sz w:val="28"/>
          <w:szCs w:val="28"/>
        </w:rPr>
        <w:t>:</w:t>
      </w:r>
    </w:p>
    <w:p w:rsidR="00DF2533" w:rsidRDefault="00A30826" w:rsidP="00DF2533">
      <w:pPr>
        <w:pStyle w:val="ListParagraph"/>
        <w:numPr>
          <w:ilvl w:val="0"/>
          <w:numId w:val="34"/>
        </w:numPr>
        <w:spacing w:line="240" w:lineRule="auto"/>
        <w:jc w:val="both"/>
        <w:rPr>
          <w:sz w:val="28"/>
          <w:szCs w:val="28"/>
        </w:rPr>
      </w:pPr>
      <w:r w:rsidRPr="00DF2533">
        <w:rPr>
          <w:sz w:val="28"/>
          <w:szCs w:val="28"/>
        </w:rPr>
        <w:t xml:space="preserve">par </w:t>
      </w:r>
      <w:r w:rsidR="00B404EF" w:rsidRPr="00DF2533">
        <w:rPr>
          <w:sz w:val="28"/>
          <w:szCs w:val="28"/>
          <w:lang w:bidi="lv-LV"/>
        </w:rPr>
        <w:t>Līgumu 36. protoko</w:t>
      </w:r>
      <w:r w:rsidR="00DF2533" w:rsidRPr="00DF2533">
        <w:rPr>
          <w:sz w:val="28"/>
          <w:szCs w:val="28"/>
          <w:lang w:bidi="lv-LV"/>
        </w:rPr>
        <w:t xml:space="preserve">la 10. panta piemērošanu, </w:t>
      </w:r>
    </w:p>
    <w:p w:rsidR="00DF2533" w:rsidRDefault="00DF2533" w:rsidP="00DF2533">
      <w:pPr>
        <w:pStyle w:val="ListParagraph"/>
        <w:numPr>
          <w:ilvl w:val="0"/>
          <w:numId w:val="34"/>
        </w:numPr>
        <w:spacing w:line="240" w:lineRule="auto"/>
        <w:jc w:val="both"/>
        <w:rPr>
          <w:sz w:val="28"/>
          <w:szCs w:val="28"/>
        </w:rPr>
      </w:pPr>
      <w:r w:rsidRPr="00DF2533">
        <w:rPr>
          <w:sz w:val="28"/>
          <w:szCs w:val="28"/>
          <w:lang w:bidi="lv-LV"/>
        </w:rPr>
        <w:t xml:space="preserve">Komisijas paziņojumu Eiropas Parlamentam un Padomei par to, kā piemērot Direktīvu 2009/52/EK (2009. gada 18. jūnijs), ar ko nosaka minimālos standartus sankcijām un pasākumiem pret darba devējiem, kas nodarbina trešo valstu valstspiederīgos, kuri dalībvalstīs uzturas nelikumīgi, </w:t>
      </w:r>
    </w:p>
    <w:p w:rsidR="002E1A90" w:rsidRDefault="00DF2533" w:rsidP="00DF2533">
      <w:pPr>
        <w:pStyle w:val="ListParagraph"/>
        <w:numPr>
          <w:ilvl w:val="0"/>
          <w:numId w:val="34"/>
        </w:numPr>
        <w:spacing w:line="240" w:lineRule="auto"/>
        <w:jc w:val="both"/>
        <w:rPr>
          <w:sz w:val="28"/>
          <w:szCs w:val="28"/>
        </w:rPr>
      </w:pPr>
      <w:r w:rsidRPr="00DF2533">
        <w:rPr>
          <w:sz w:val="28"/>
          <w:szCs w:val="28"/>
          <w:lang w:bidi="lv-LV"/>
        </w:rPr>
        <w:t xml:space="preserve">Komisijas paziņojumu Eiropas Parlamentam un Padomei par to, kā īstenot Direktīvu 2009/50/EK (2009. gada 25. maijs) par trešo valstu valstspiederīgo ieceļošanu un uzturēšanos augsti kvalificētas nodarbinātības nolūkos </w:t>
      </w:r>
      <w:bookmarkStart w:id="0" w:name="_Toc380506017"/>
      <w:bookmarkEnd w:id="0"/>
      <w:r w:rsidRPr="00DF2533">
        <w:rPr>
          <w:sz w:val="28"/>
          <w:szCs w:val="28"/>
          <w:lang w:bidi="lv-LV"/>
        </w:rPr>
        <w:t>("ES zilā karte")</w:t>
      </w:r>
      <w:r>
        <w:rPr>
          <w:sz w:val="28"/>
          <w:szCs w:val="28"/>
          <w:lang w:bidi="lv-LV"/>
        </w:rPr>
        <w:t>,</w:t>
      </w:r>
    </w:p>
    <w:p w:rsidR="00DF2533" w:rsidRDefault="00DF2533" w:rsidP="00DF2533">
      <w:pPr>
        <w:pStyle w:val="ListParagraph"/>
        <w:numPr>
          <w:ilvl w:val="0"/>
          <w:numId w:val="34"/>
        </w:numPr>
        <w:spacing w:line="240" w:lineRule="auto"/>
        <w:jc w:val="both"/>
        <w:rPr>
          <w:sz w:val="28"/>
          <w:szCs w:val="28"/>
        </w:rPr>
      </w:pPr>
      <w:r w:rsidRPr="00DF2533">
        <w:rPr>
          <w:sz w:val="28"/>
          <w:szCs w:val="28"/>
          <w:lang w:bidi="lv-LV"/>
        </w:rPr>
        <w:t>Pasaules Migr</w:t>
      </w:r>
      <w:r>
        <w:rPr>
          <w:sz w:val="28"/>
          <w:szCs w:val="28"/>
          <w:lang w:bidi="lv-LV"/>
        </w:rPr>
        <w:t>ācijas un attīstības foruma 7.s</w:t>
      </w:r>
      <w:r w:rsidRPr="00DF2533">
        <w:rPr>
          <w:sz w:val="28"/>
          <w:szCs w:val="28"/>
          <w:lang w:bidi="lv-LV"/>
        </w:rPr>
        <w:t>anāksme</w:t>
      </w:r>
      <w:r>
        <w:rPr>
          <w:sz w:val="28"/>
          <w:szCs w:val="28"/>
          <w:lang w:bidi="lv-LV"/>
        </w:rPr>
        <w:t>s</w:t>
      </w:r>
      <w:r w:rsidRPr="00DF2533">
        <w:rPr>
          <w:sz w:val="28"/>
          <w:szCs w:val="28"/>
          <w:lang w:bidi="lv-LV"/>
        </w:rPr>
        <w:t xml:space="preserve"> (Stokholma, 2014. gada 14.–16. maijs)</w:t>
      </w:r>
      <w:r>
        <w:rPr>
          <w:sz w:val="28"/>
          <w:szCs w:val="28"/>
          <w:lang w:bidi="lv-LV"/>
        </w:rPr>
        <w:t xml:space="preserve"> gaitu un rezultātiem,</w:t>
      </w:r>
    </w:p>
    <w:p w:rsidR="00DF2533" w:rsidRPr="00DF2533" w:rsidRDefault="00DF2533" w:rsidP="00DF2533">
      <w:pPr>
        <w:pStyle w:val="ListParagraph"/>
        <w:numPr>
          <w:ilvl w:val="0"/>
          <w:numId w:val="34"/>
        </w:numPr>
        <w:spacing w:line="240" w:lineRule="auto"/>
        <w:jc w:val="both"/>
        <w:rPr>
          <w:sz w:val="28"/>
          <w:szCs w:val="28"/>
        </w:rPr>
      </w:pPr>
      <w:r w:rsidRPr="00DF2533">
        <w:rPr>
          <w:sz w:val="28"/>
          <w:szCs w:val="28"/>
          <w:lang w:bidi="lv-LV"/>
        </w:rPr>
        <w:t>Iekšlietu ministru neformāla</w:t>
      </w:r>
      <w:r>
        <w:rPr>
          <w:sz w:val="28"/>
          <w:szCs w:val="28"/>
          <w:lang w:bidi="lv-LV"/>
        </w:rPr>
        <w:t>s</w:t>
      </w:r>
      <w:r w:rsidRPr="00DF2533">
        <w:rPr>
          <w:sz w:val="28"/>
          <w:szCs w:val="28"/>
          <w:lang w:bidi="lv-LV"/>
        </w:rPr>
        <w:t xml:space="preserve"> sanāksme</w:t>
      </w:r>
      <w:r>
        <w:rPr>
          <w:sz w:val="28"/>
          <w:szCs w:val="28"/>
          <w:lang w:bidi="lv-LV"/>
        </w:rPr>
        <w:t>s</w:t>
      </w:r>
      <w:r w:rsidRPr="00DF2533">
        <w:rPr>
          <w:sz w:val="28"/>
          <w:szCs w:val="28"/>
          <w:lang w:bidi="lv-LV"/>
        </w:rPr>
        <w:t xml:space="preserve"> saistībā ar BRDO procesu (</w:t>
      </w:r>
      <w:proofErr w:type="spellStart"/>
      <w:r w:rsidRPr="00DF2533">
        <w:rPr>
          <w:i/>
          <w:sz w:val="28"/>
          <w:szCs w:val="28"/>
          <w:lang w:bidi="lv-LV"/>
        </w:rPr>
        <w:t>Brdo</w:t>
      </w:r>
      <w:proofErr w:type="spellEnd"/>
      <w:r w:rsidRPr="00DF2533">
        <w:rPr>
          <w:i/>
          <w:sz w:val="28"/>
          <w:szCs w:val="28"/>
          <w:lang w:bidi="lv-LV"/>
        </w:rPr>
        <w:t xml:space="preserve"> </w:t>
      </w:r>
      <w:proofErr w:type="spellStart"/>
      <w:r w:rsidRPr="00DF2533">
        <w:rPr>
          <w:i/>
          <w:sz w:val="28"/>
          <w:szCs w:val="28"/>
          <w:lang w:bidi="lv-LV"/>
        </w:rPr>
        <w:t>pri</w:t>
      </w:r>
      <w:proofErr w:type="spellEnd"/>
      <w:r w:rsidRPr="00DF2533">
        <w:rPr>
          <w:i/>
          <w:sz w:val="28"/>
          <w:szCs w:val="28"/>
          <w:lang w:bidi="lv-LV"/>
        </w:rPr>
        <w:t xml:space="preserve"> </w:t>
      </w:r>
      <w:proofErr w:type="spellStart"/>
      <w:r w:rsidRPr="00DF2533">
        <w:rPr>
          <w:i/>
          <w:sz w:val="28"/>
          <w:szCs w:val="28"/>
          <w:lang w:bidi="lv-LV"/>
        </w:rPr>
        <w:t>Kranju</w:t>
      </w:r>
      <w:proofErr w:type="spellEnd"/>
      <w:r w:rsidRPr="00DF2533">
        <w:rPr>
          <w:sz w:val="28"/>
          <w:szCs w:val="28"/>
          <w:lang w:bidi="lv-LV"/>
        </w:rPr>
        <w:t>, Slovēnija, 2014. gada 2. un 3. jūnijs)</w:t>
      </w:r>
      <w:r>
        <w:rPr>
          <w:sz w:val="28"/>
          <w:szCs w:val="28"/>
          <w:lang w:bidi="lv-LV"/>
        </w:rPr>
        <w:t xml:space="preserve"> gaitu un rezultātiem.</w:t>
      </w:r>
    </w:p>
    <w:p w:rsidR="002E1A90" w:rsidRDefault="002E1A90" w:rsidP="00A30826">
      <w:pPr>
        <w:spacing w:line="240" w:lineRule="auto"/>
        <w:ind w:firstLine="567"/>
        <w:jc w:val="both"/>
        <w:rPr>
          <w:sz w:val="28"/>
          <w:szCs w:val="28"/>
        </w:rPr>
      </w:pPr>
    </w:p>
    <w:p w:rsidR="00B404EF" w:rsidRDefault="00B404EF" w:rsidP="00A30826">
      <w:pPr>
        <w:spacing w:line="240" w:lineRule="auto"/>
        <w:ind w:firstLine="567"/>
        <w:jc w:val="both"/>
        <w:rPr>
          <w:sz w:val="28"/>
          <w:szCs w:val="28"/>
        </w:rPr>
      </w:pPr>
    </w:p>
    <w:p w:rsidR="0039011F" w:rsidRDefault="0047262F" w:rsidP="0039011F">
      <w:pPr>
        <w:spacing w:line="240" w:lineRule="auto"/>
        <w:jc w:val="center"/>
        <w:rPr>
          <w:b/>
          <w:sz w:val="28"/>
          <w:szCs w:val="28"/>
        </w:rPr>
      </w:pPr>
      <w:r>
        <w:rPr>
          <w:b/>
          <w:sz w:val="28"/>
          <w:szCs w:val="28"/>
        </w:rPr>
        <w:t>II</w:t>
      </w:r>
      <w:r w:rsidR="0039011F" w:rsidRPr="0039011F">
        <w:rPr>
          <w:b/>
          <w:sz w:val="28"/>
          <w:szCs w:val="28"/>
        </w:rPr>
        <w:t xml:space="preserve"> Latvijas delegācija</w:t>
      </w:r>
    </w:p>
    <w:p w:rsidR="00C76C4E" w:rsidRPr="0039011F" w:rsidRDefault="00C76C4E" w:rsidP="0039011F">
      <w:pPr>
        <w:spacing w:line="240" w:lineRule="auto"/>
        <w:jc w:val="center"/>
        <w:rPr>
          <w:b/>
          <w:sz w:val="28"/>
          <w:szCs w:val="28"/>
        </w:rPr>
      </w:pPr>
    </w:p>
    <w:p w:rsidR="00632633" w:rsidRDefault="0039011F" w:rsidP="00084A34">
      <w:pPr>
        <w:spacing w:before="120" w:line="240" w:lineRule="auto"/>
        <w:ind w:firstLine="567"/>
        <w:jc w:val="both"/>
        <w:rPr>
          <w:sz w:val="28"/>
          <w:szCs w:val="28"/>
        </w:rPr>
      </w:pPr>
      <w:r w:rsidRPr="00632633">
        <w:rPr>
          <w:sz w:val="28"/>
          <w:szCs w:val="28"/>
        </w:rPr>
        <w:t xml:space="preserve">Latvijas delegāciju </w:t>
      </w:r>
      <w:r w:rsidR="009E04B6">
        <w:rPr>
          <w:sz w:val="28"/>
          <w:szCs w:val="28"/>
        </w:rPr>
        <w:t>P</w:t>
      </w:r>
      <w:r w:rsidRPr="00632633">
        <w:rPr>
          <w:sz w:val="28"/>
          <w:szCs w:val="28"/>
        </w:rPr>
        <w:t xml:space="preserve">adomes sanāksmes laikā vadīs </w:t>
      </w:r>
      <w:r w:rsidR="002955CA">
        <w:rPr>
          <w:sz w:val="28"/>
          <w:szCs w:val="28"/>
        </w:rPr>
        <w:t>I</w:t>
      </w:r>
      <w:r w:rsidR="00197B88">
        <w:rPr>
          <w:sz w:val="28"/>
          <w:szCs w:val="28"/>
        </w:rPr>
        <w:t>ekšlietu ministr</w:t>
      </w:r>
      <w:r w:rsidR="00514042">
        <w:rPr>
          <w:sz w:val="28"/>
          <w:szCs w:val="28"/>
        </w:rPr>
        <w:t>ijas valsts sekretāre</w:t>
      </w:r>
      <w:r w:rsidR="002955CA">
        <w:rPr>
          <w:sz w:val="28"/>
          <w:szCs w:val="28"/>
        </w:rPr>
        <w:t xml:space="preserve"> </w:t>
      </w:r>
      <w:r w:rsidR="00514042">
        <w:rPr>
          <w:sz w:val="28"/>
          <w:szCs w:val="28"/>
        </w:rPr>
        <w:t>Ilze</w:t>
      </w:r>
      <w:r w:rsidR="00B404EF">
        <w:rPr>
          <w:sz w:val="28"/>
          <w:szCs w:val="28"/>
        </w:rPr>
        <w:t xml:space="preserve"> </w:t>
      </w:r>
      <w:r w:rsidR="00514042">
        <w:rPr>
          <w:sz w:val="28"/>
          <w:szCs w:val="28"/>
        </w:rPr>
        <w:t>Pētersone-Godmane</w:t>
      </w:r>
      <w:r w:rsidR="00197B88">
        <w:rPr>
          <w:sz w:val="28"/>
          <w:szCs w:val="28"/>
        </w:rPr>
        <w:t>.</w:t>
      </w:r>
    </w:p>
    <w:p w:rsidR="0039011F" w:rsidRDefault="0039011F" w:rsidP="0039011F">
      <w:pPr>
        <w:spacing w:line="240" w:lineRule="auto"/>
        <w:jc w:val="both"/>
        <w:rPr>
          <w:sz w:val="28"/>
          <w:szCs w:val="28"/>
        </w:rPr>
      </w:pPr>
    </w:p>
    <w:p w:rsidR="005C5B9F" w:rsidRDefault="005C5B9F" w:rsidP="0039011F">
      <w:pPr>
        <w:spacing w:line="240" w:lineRule="auto"/>
        <w:jc w:val="both"/>
        <w:rPr>
          <w:sz w:val="28"/>
          <w:szCs w:val="28"/>
        </w:rPr>
      </w:pPr>
    </w:p>
    <w:p w:rsidR="005C5B9F" w:rsidRPr="0039011F" w:rsidRDefault="005C5B9F" w:rsidP="0039011F">
      <w:pPr>
        <w:spacing w:line="240" w:lineRule="auto"/>
        <w:jc w:val="both"/>
        <w:rPr>
          <w:sz w:val="28"/>
          <w:szCs w:val="28"/>
        </w:rPr>
      </w:pPr>
    </w:p>
    <w:p w:rsidR="0039011F" w:rsidRDefault="00A30826" w:rsidP="0039011F">
      <w:pPr>
        <w:spacing w:line="240" w:lineRule="auto"/>
        <w:rPr>
          <w:sz w:val="28"/>
          <w:szCs w:val="28"/>
        </w:rPr>
      </w:pPr>
      <w:r>
        <w:rPr>
          <w:sz w:val="28"/>
          <w:szCs w:val="28"/>
        </w:rPr>
        <w:t>Iekšlietu ministrs</w:t>
      </w:r>
      <w:r w:rsidR="0039011F" w:rsidRPr="0039011F">
        <w:rPr>
          <w:sz w:val="28"/>
          <w:szCs w:val="28"/>
        </w:rPr>
        <w:tab/>
      </w:r>
      <w:r w:rsidR="0039011F" w:rsidRPr="0039011F">
        <w:rPr>
          <w:sz w:val="28"/>
          <w:szCs w:val="28"/>
        </w:rPr>
        <w:tab/>
      </w:r>
      <w:r w:rsidR="0039011F" w:rsidRPr="0039011F">
        <w:rPr>
          <w:sz w:val="28"/>
          <w:szCs w:val="28"/>
        </w:rPr>
        <w:tab/>
      </w:r>
      <w:r w:rsidR="0039011F" w:rsidRPr="0039011F">
        <w:rPr>
          <w:sz w:val="28"/>
          <w:szCs w:val="28"/>
        </w:rPr>
        <w:tab/>
      </w:r>
      <w:r w:rsidR="0039011F" w:rsidRPr="0039011F">
        <w:rPr>
          <w:sz w:val="28"/>
          <w:szCs w:val="28"/>
        </w:rPr>
        <w:tab/>
      </w:r>
      <w:r w:rsidR="00F101D4">
        <w:rPr>
          <w:sz w:val="28"/>
          <w:szCs w:val="28"/>
        </w:rPr>
        <w:tab/>
      </w:r>
      <w:r w:rsidR="00F101D4">
        <w:rPr>
          <w:sz w:val="28"/>
          <w:szCs w:val="28"/>
        </w:rPr>
        <w:tab/>
      </w:r>
      <w:r w:rsidR="00117D5C">
        <w:rPr>
          <w:sz w:val="28"/>
          <w:szCs w:val="28"/>
        </w:rPr>
        <w:tab/>
      </w:r>
      <w:r w:rsidR="00117D5C">
        <w:rPr>
          <w:sz w:val="28"/>
          <w:szCs w:val="28"/>
        </w:rPr>
        <w:tab/>
      </w:r>
      <w:r w:rsidR="0039011F" w:rsidRPr="0039011F">
        <w:rPr>
          <w:sz w:val="28"/>
          <w:szCs w:val="28"/>
        </w:rPr>
        <w:tab/>
      </w:r>
      <w:r>
        <w:rPr>
          <w:sz w:val="28"/>
          <w:szCs w:val="28"/>
        </w:rPr>
        <w:t>R.Kozlovskis</w:t>
      </w: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Default="008E1A79" w:rsidP="0039011F">
      <w:pPr>
        <w:spacing w:line="240" w:lineRule="auto"/>
        <w:rPr>
          <w:sz w:val="28"/>
          <w:szCs w:val="28"/>
        </w:rPr>
      </w:pPr>
    </w:p>
    <w:p w:rsidR="008E1A79" w:rsidRPr="008E1A79" w:rsidRDefault="008E1A79" w:rsidP="008E1A79">
      <w:pPr>
        <w:spacing w:line="240" w:lineRule="auto"/>
        <w:rPr>
          <w:sz w:val="20"/>
        </w:rPr>
      </w:pPr>
      <w:r w:rsidRPr="008E1A79">
        <w:rPr>
          <w:sz w:val="20"/>
        </w:rPr>
        <w:t>30.05.2014. 1</w:t>
      </w:r>
      <w:r>
        <w:rPr>
          <w:sz w:val="20"/>
        </w:rPr>
        <w:t>2</w:t>
      </w:r>
      <w:r w:rsidRPr="008E1A79">
        <w:rPr>
          <w:sz w:val="20"/>
        </w:rPr>
        <w:t>:25</w:t>
      </w:r>
    </w:p>
    <w:p w:rsidR="008E1A79" w:rsidRPr="008E1A79" w:rsidRDefault="008E1A79" w:rsidP="008E1A79">
      <w:pPr>
        <w:spacing w:line="240" w:lineRule="auto"/>
        <w:rPr>
          <w:sz w:val="20"/>
        </w:rPr>
      </w:pPr>
      <w:r w:rsidRPr="008E1A79">
        <w:rPr>
          <w:sz w:val="20"/>
        </w:rPr>
        <w:fldChar w:fldCharType="begin"/>
      </w:r>
      <w:r w:rsidRPr="008E1A79">
        <w:rPr>
          <w:sz w:val="20"/>
        </w:rPr>
        <w:instrText xml:space="preserve"> NUMWORDS   \* MERGEFORMAT </w:instrText>
      </w:r>
      <w:r w:rsidRPr="008E1A79">
        <w:rPr>
          <w:sz w:val="20"/>
        </w:rPr>
        <w:fldChar w:fldCharType="separate"/>
      </w:r>
      <w:r w:rsidR="00720921">
        <w:rPr>
          <w:noProof/>
          <w:sz w:val="20"/>
        </w:rPr>
        <w:t>1358</w:t>
      </w:r>
      <w:r w:rsidRPr="008E1A79">
        <w:rPr>
          <w:sz w:val="20"/>
        </w:rPr>
        <w:fldChar w:fldCharType="end"/>
      </w:r>
      <w:bookmarkStart w:id="1" w:name="_GoBack"/>
      <w:bookmarkEnd w:id="1"/>
    </w:p>
    <w:p w:rsidR="008E1A79" w:rsidRPr="008E1A79" w:rsidRDefault="008E1A79" w:rsidP="008E1A79">
      <w:pPr>
        <w:spacing w:line="240" w:lineRule="auto"/>
        <w:rPr>
          <w:sz w:val="20"/>
        </w:rPr>
      </w:pPr>
      <w:r w:rsidRPr="008E1A79">
        <w:rPr>
          <w:sz w:val="20"/>
        </w:rPr>
        <w:t>Eiropas lietu un starptautiskās sadarbības departamenta</w:t>
      </w:r>
    </w:p>
    <w:p w:rsidR="008E1A79" w:rsidRPr="008E1A79" w:rsidRDefault="008E1A79" w:rsidP="008E1A79">
      <w:pPr>
        <w:spacing w:line="240" w:lineRule="auto"/>
        <w:rPr>
          <w:sz w:val="20"/>
        </w:rPr>
      </w:pPr>
      <w:r w:rsidRPr="008E1A79">
        <w:rPr>
          <w:sz w:val="20"/>
        </w:rPr>
        <w:t>Eiropas lietu nodaļas vecākais referents</w:t>
      </w:r>
    </w:p>
    <w:p w:rsidR="008E1A79" w:rsidRPr="008E1A79" w:rsidRDefault="008E1A79" w:rsidP="008E1A79">
      <w:pPr>
        <w:spacing w:line="240" w:lineRule="auto"/>
        <w:rPr>
          <w:sz w:val="20"/>
        </w:rPr>
      </w:pPr>
      <w:r w:rsidRPr="008E1A79">
        <w:rPr>
          <w:sz w:val="20"/>
        </w:rPr>
        <w:t>I.Silantjevs, 67219569</w:t>
      </w:r>
    </w:p>
    <w:p w:rsidR="008E1A79" w:rsidRPr="0039011F" w:rsidRDefault="00453DF7" w:rsidP="008E1A79">
      <w:pPr>
        <w:spacing w:line="240" w:lineRule="auto"/>
        <w:rPr>
          <w:sz w:val="28"/>
          <w:szCs w:val="28"/>
        </w:rPr>
      </w:pPr>
      <w:hyperlink r:id="rId7" w:history="1">
        <w:r w:rsidR="008E1A79" w:rsidRPr="008E1A79">
          <w:rPr>
            <w:rStyle w:val="Hyperlink"/>
            <w:sz w:val="20"/>
          </w:rPr>
          <w:t>igors.silantjevs@iem.gov.lv</w:t>
        </w:r>
      </w:hyperlink>
    </w:p>
    <w:sectPr w:rsidR="008E1A79" w:rsidRPr="0039011F" w:rsidSect="003902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F7" w:rsidRDefault="00453DF7">
      <w:r>
        <w:separator/>
      </w:r>
    </w:p>
  </w:endnote>
  <w:endnote w:type="continuationSeparator" w:id="0">
    <w:p w:rsidR="00453DF7" w:rsidRDefault="00453DF7">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4342B2" w:rsidRDefault="008E1A79" w:rsidP="001542A5">
    <w:pPr>
      <w:pStyle w:val="Footer"/>
      <w:spacing w:before="120"/>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6E2311">
      <w:rPr>
        <w:i/>
        <w:iCs/>
        <w:noProof/>
        <w:sz w:val="20"/>
      </w:rPr>
      <w:t>IeMzino1_050614</w:t>
    </w:r>
    <w:r>
      <w:rPr>
        <w:i/>
        <w:iCs/>
        <w:sz w:val="20"/>
      </w:rPr>
      <w:fldChar w:fldCharType="end"/>
    </w:r>
    <w:r w:rsidR="001542A5" w:rsidRPr="004342B2">
      <w:rPr>
        <w:i/>
        <w:iCs/>
        <w:sz w:val="20"/>
      </w:rPr>
      <w:t>; Par</w:t>
    </w:r>
    <w:r w:rsidR="00A704D2" w:rsidRPr="004342B2">
      <w:rPr>
        <w:i/>
        <w:iCs/>
        <w:sz w:val="20"/>
      </w:rPr>
      <w:t xml:space="preserve"> </w:t>
    </w:r>
    <w:r w:rsidR="001542A5" w:rsidRPr="004342B2">
      <w:rPr>
        <w:i/>
        <w:iCs/>
        <w:sz w:val="20"/>
      </w:rPr>
      <w:t xml:space="preserve">Eiropas Savienības Tieslietu un iekšlietu ministru padomes sanāksmi </w:t>
    </w:r>
    <w:proofErr w:type="gramStart"/>
    <w:r w:rsidR="001542A5" w:rsidRPr="004342B2">
      <w:rPr>
        <w:i/>
        <w:iCs/>
        <w:sz w:val="20"/>
      </w:rPr>
      <w:t>201</w:t>
    </w:r>
    <w:r w:rsidR="00197B88">
      <w:rPr>
        <w:i/>
        <w:iCs/>
        <w:sz w:val="20"/>
      </w:rPr>
      <w:t>4</w:t>
    </w:r>
    <w:r w:rsidR="001542A5" w:rsidRPr="004342B2">
      <w:rPr>
        <w:i/>
        <w:iCs/>
        <w:sz w:val="20"/>
      </w:rPr>
      <w:t>.gada</w:t>
    </w:r>
    <w:proofErr w:type="gramEnd"/>
    <w:r w:rsidR="001542A5" w:rsidRPr="004342B2">
      <w:rPr>
        <w:i/>
        <w:iCs/>
        <w:sz w:val="20"/>
      </w:rPr>
      <w:t xml:space="preserve"> </w:t>
    </w:r>
    <w:r w:rsidR="00197B88">
      <w:rPr>
        <w:i/>
        <w:iCs/>
        <w:sz w:val="20"/>
      </w:rPr>
      <w:t>3.-4.marta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4342B2" w:rsidRDefault="00F1303B" w:rsidP="00390236">
    <w:pPr>
      <w:pStyle w:val="Footer"/>
      <w:spacing w:before="120"/>
      <w:jc w:val="both"/>
      <w:rPr>
        <w:i/>
        <w:iCs/>
        <w:sz w:val="20"/>
      </w:rPr>
    </w:pPr>
    <w:r w:rsidRPr="004342B2">
      <w:rPr>
        <w:i/>
        <w:iCs/>
        <w:sz w:val="20"/>
      </w:rPr>
      <w:t>IeMzino</w:t>
    </w:r>
    <w:r w:rsidR="001542A5" w:rsidRPr="004342B2">
      <w:rPr>
        <w:i/>
        <w:iCs/>
        <w:sz w:val="20"/>
      </w:rPr>
      <w:t>1</w:t>
    </w:r>
    <w:r w:rsidRPr="004342B2">
      <w:rPr>
        <w:i/>
        <w:iCs/>
        <w:sz w:val="20"/>
      </w:rPr>
      <w:t>_</w:t>
    </w:r>
    <w:r w:rsidR="00AE19C5">
      <w:rPr>
        <w:i/>
        <w:iCs/>
        <w:sz w:val="20"/>
      </w:rPr>
      <w:t>0</w:t>
    </w:r>
    <w:r w:rsidR="00197B88">
      <w:rPr>
        <w:i/>
        <w:iCs/>
        <w:sz w:val="20"/>
      </w:rPr>
      <w:t>30314</w:t>
    </w:r>
    <w:r w:rsidRPr="004342B2">
      <w:rPr>
        <w:i/>
        <w:iCs/>
        <w:sz w:val="20"/>
      </w:rPr>
      <w:t>; Par</w:t>
    </w:r>
    <w:r w:rsidR="00A704D2" w:rsidRPr="004342B2">
      <w:rPr>
        <w:i/>
        <w:iCs/>
        <w:sz w:val="20"/>
      </w:rPr>
      <w:t xml:space="preserve"> </w:t>
    </w:r>
    <w:r w:rsidRPr="004342B2">
      <w:rPr>
        <w:i/>
        <w:iCs/>
        <w:sz w:val="20"/>
      </w:rPr>
      <w:t xml:space="preserve">Eiropas Savienības Tieslietu un iekšlietu ministru padomes sanāksmi </w:t>
    </w:r>
    <w:proofErr w:type="gramStart"/>
    <w:r w:rsidRPr="004342B2">
      <w:rPr>
        <w:i/>
        <w:iCs/>
        <w:sz w:val="20"/>
      </w:rPr>
      <w:t>201</w:t>
    </w:r>
    <w:r w:rsidR="00197B88">
      <w:rPr>
        <w:i/>
        <w:iCs/>
        <w:sz w:val="20"/>
      </w:rPr>
      <w:t>4</w:t>
    </w:r>
    <w:r w:rsidRPr="004342B2">
      <w:rPr>
        <w:i/>
        <w:iCs/>
        <w:sz w:val="20"/>
      </w:rPr>
      <w:t>.gada</w:t>
    </w:r>
    <w:proofErr w:type="gramEnd"/>
    <w:r w:rsidRPr="004342B2">
      <w:rPr>
        <w:i/>
        <w:iCs/>
        <w:sz w:val="20"/>
      </w:rPr>
      <w:t xml:space="preserve"> </w:t>
    </w:r>
    <w:r w:rsidR="00197B88">
      <w:rPr>
        <w:i/>
        <w:iCs/>
        <w:sz w:val="20"/>
      </w:rPr>
      <w:t>3.-4.martā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F7" w:rsidRDefault="00453DF7">
      <w:pPr>
        <w:pStyle w:val="FootnoteText"/>
      </w:pPr>
      <w:r>
        <w:separator/>
      </w:r>
    </w:p>
  </w:footnote>
  <w:footnote w:type="continuationSeparator" w:id="0">
    <w:p w:rsidR="00453DF7" w:rsidRDefault="00453DF7">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33300"/>
      <w:docPartObj>
        <w:docPartGallery w:val="Page Numbers (Top of Page)"/>
        <w:docPartUnique/>
      </w:docPartObj>
    </w:sdtPr>
    <w:sdtEndPr>
      <w:rPr>
        <w:noProof/>
      </w:rPr>
    </w:sdtEndPr>
    <w:sdtContent>
      <w:p w:rsidR="008E1A79" w:rsidRDefault="008E1A79" w:rsidP="008E1A79">
        <w:pPr>
          <w:pStyle w:val="Header"/>
          <w:jc w:val="center"/>
          <w:rPr>
            <w:noProof/>
          </w:rPr>
        </w:pPr>
        <w:r>
          <w:fldChar w:fldCharType="begin"/>
        </w:r>
        <w:r>
          <w:instrText xml:space="preserve"> PAGE   \* MERGEFORMAT </w:instrText>
        </w:r>
        <w:r>
          <w:fldChar w:fldCharType="separate"/>
        </w:r>
        <w:r w:rsidR="00720921">
          <w:rPr>
            <w:noProof/>
          </w:rPr>
          <w:t>4</w:t>
        </w:r>
        <w:r>
          <w:rPr>
            <w:noProof/>
          </w:rPr>
          <w:fldChar w:fldCharType="end"/>
        </w:r>
      </w:p>
    </w:sdtContent>
  </w:sdt>
  <w:p w:rsidR="008E1A79" w:rsidRDefault="008E1A79" w:rsidP="008E1A79">
    <w:pPr>
      <w:pStyle w:val="Header"/>
      <w:jc w:val="right"/>
    </w:pPr>
    <w:r w:rsidRPr="008E1A79">
      <w:rPr>
        <w:i/>
      </w:rPr>
      <w:t xml:space="preserve"> </w:t>
    </w:r>
    <w:r w:rsidRPr="008E1A79">
      <w:rPr>
        <w:i/>
        <w:noProof/>
      </w:rPr>
      <w:t>Pielikums Nr.</w:t>
    </w:r>
    <w:r w:rsidR="00CD2FBD">
      <w:rPr>
        <w:i/>
        <w:noProof/>
      </w:rPr>
      <w:t>2</w:t>
    </w:r>
  </w:p>
  <w:p w:rsidR="00F1303B" w:rsidRPr="00492A74" w:rsidRDefault="00F1303B" w:rsidP="008E1A79">
    <w:pPr>
      <w:pStyle w:val="Header"/>
      <w:tabs>
        <w:tab w:val="clear" w:pos="4820"/>
      </w:tabs>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492A74" w:rsidRDefault="00F1303B" w:rsidP="00765F86">
    <w:pPr>
      <w:pStyle w:val="Header"/>
      <w:jc w:val="right"/>
      <w:rPr>
        <w:i/>
      </w:rPr>
    </w:pPr>
    <w:r w:rsidRPr="00492A74">
      <w:rPr>
        <w:i/>
      </w:rPr>
      <w:t>Pielikums Nr.</w:t>
    </w:r>
    <w:r w:rsidR="00CD2FBD">
      <w:rPr>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808"/>
    <w:multiLevelType w:val="hybridMultilevel"/>
    <w:tmpl w:val="08AC052E"/>
    <w:lvl w:ilvl="0" w:tplc="A54A7042">
      <w:start w:val="2012"/>
      <w:numFmt w:val="bullet"/>
      <w:lvlText w:val="-"/>
      <w:lvlJc w:val="left"/>
      <w:pPr>
        <w:tabs>
          <w:tab w:val="num" w:pos="1275"/>
        </w:tabs>
        <w:ind w:left="1275" w:hanging="915"/>
      </w:pPr>
      <w:rPr>
        <w:rFonts w:ascii="Courier New" w:eastAsia="Times New Roman"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6924670"/>
    <w:multiLevelType w:val="hybridMultilevel"/>
    <w:tmpl w:val="67FED094"/>
    <w:lvl w:ilvl="0" w:tplc="9674722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nsid w:val="180E0FB4"/>
    <w:multiLevelType w:val="hybridMultilevel"/>
    <w:tmpl w:val="2D5CAE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05A5E2B"/>
    <w:multiLevelType w:val="hybridMultilevel"/>
    <w:tmpl w:val="4B36B42C"/>
    <w:lvl w:ilvl="0" w:tplc="F5B2404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17F3811"/>
    <w:multiLevelType w:val="hybridMultilevel"/>
    <w:tmpl w:val="5B1A4C7C"/>
    <w:lvl w:ilvl="0" w:tplc="95F6616E">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1E5112F"/>
    <w:multiLevelType w:val="hybridMultilevel"/>
    <w:tmpl w:val="629C711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nsid w:val="310C6051"/>
    <w:multiLevelType w:val="hybridMultilevel"/>
    <w:tmpl w:val="87D0D902"/>
    <w:lvl w:ilvl="0" w:tplc="A68E1204">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4322F1"/>
    <w:multiLevelType w:val="hybridMultilevel"/>
    <w:tmpl w:val="016E3056"/>
    <w:lvl w:ilvl="0" w:tplc="C9AAFB86">
      <w:start w:val="2011"/>
      <w:numFmt w:val="bullet"/>
      <w:lvlText w:val="-"/>
      <w:lvlJc w:val="left"/>
      <w:pPr>
        <w:tabs>
          <w:tab w:val="num" w:pos="987"/>
        </w:tabs>
        <w:ind w:left="987" w:hanging="420"/>
      </w:pPr>
      <w:rPr>
        <w:rFonts w:ascii="Times New Roman" w:eastAsia="Times New Roman" w:hAnsi="Times New Roman" w:cs="Times New Roman"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3">
    <w:nsid w:val="358E3FD1"/>
    <w:multiLevelType w:val="hybridMultilevel"/>
    <w:tmpl w:val="217039DC"/>
    <w:lvl w:ilvl="0" w:tplc="CFA0B286">
      <w:start w:val="1"/>
      <w:numFmt w:val="bullet"/>
      <w:lvlText w:val="-"/>
      <w:lvlJc w:val="left"/>
      <w:pPr>
        <w:tabs>
          <w:tab w:val="num" w:pos="930"/>
        </w:tabs>
        <w:ind w:left="930" w:hanging="570"/>
      </w:pPr>
      <w:rPr>
        <w:rFonts w:ascii="Times New Roman" w:eastAsia="Times New Roman" w:hAnsi="Times New Roman" w:cs="Times New Roman" w:hint="default"/>
        <w:b/>
        <w:i/>
        <w:sz w:val="28"/>
      </w:rPr>
    </w:lvl>
    <w:lvl w:ilvl="1" w:tplc="04260003">
      <w:start w:val="1"/>
      <w:numFmt w:val="bullet"/>
      <w:lvlText w:val="o"/>
      <w:lvlJc w:val="left"/>
      <w:pPr>
        <w:tabs>
          <w:tab w:val="num" w:pos="1440"/>
        </w:tabs>
        <w:ind w:left="1440" w:hanging="360"/>
      </w:pPr>
      <w:rPr>
        <w:rFonts w:ascii="Courier New" w:hAnsi="Courier New" w:cs="Courier New" w:hint="default"/>
        <w:b/>
        <w:i/>
        <w:sz w:val="28"/>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6">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8">
    <w:nsid w:val="42D8238A"/>
    <w:multiLevelType w:val="hybridMultilevel"/>
    <w:tmpl w:val="07F6D790"/>
    <w:lvl w:ilvl="0" w:tplc="7B829A1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nsid w:val="4A112CC4"/>
    <w:multiLevelType w:val="hybridMultilevel"/>
    <w:tmpl w:val="AE9AC6F6"/>
    <w:lvl w:ilvl="0" w:tplc="9674722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B7A3A87"/>
    <w:multiLevelType w:val="hybridMultilevel"/>
    <w:tmpl w:val="295059CA"/>
    <w:lvl w:ilvl="0" w:tplc="967472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CE2DCD"/>
    <w:multiLevelType w:val="singleLevel"/>
    <w:tmpl w:val="F086E82A"/>
    <w:lvl w:ilvl="0">
      <w:start w:val="1"/>
      <w:numFmt w:val="bullet"/>
      <w:lvlText w:val=""/>
      <w:lvlJc w:val="left"/>
      <w:pPr>
        <w:tabs>
          <w:tab w:val="num" w:pos="643"/>
        </w:tabs>
        <w:ind w:left="643" w:hanging="360"/>
      </w:pPr>
      <w:rPr>
        <w:rFonts w:ascii="Symbol" w:hAnsi="Symbol" w:hint="default"/>
      </w:rPr>
    </w:lvl>
  </w:abstractNum>
  <w:abstractNum w:abstractNumId="23">
    <w:nsid w:val="592D4F32"/>
    <w:multiLevelType w:val="hybridMultilevel"/>
    <w:tmpl w:val="D720691E"/>
    <w:lvl w:ilvl="0" w:tplc="0426000F">
      <w:start w:val="1"/>
      <w:numFmt w:val="decimal"/>
      <w:lvlText w:val="%1."/>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60F1A22"/>
    <w:multiLevelType w:val="hybridMultilevel"/>
    <w:tmpl w:val="470C1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D121639"/>
    <w:multiLevelType w:val="hybridMultilevel"/>
    <w:tmpl w:val="F5EC0C74"/>
    <w:lvl w:ilvl="0" w:tplc="81AE8E98">
      <w:start w:val="2011"/>
      <w:numFmt w:val="bullet"/>
      <w:lvlText w:val="-"/>
      <w:lvlJc w:val="left"/>
      <w:pPr>
        <w:tabs>
          <w:tab w:val="num" w:pos="930"/>
        </w:tabs>
        <w:ind w:left="930" w:hanging="57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7">
    <w:nsid w:val="76BB2871"/>
    <w:multiLevelType w:val="hybridMultilevel"/>
    <w:tmpl w:val="D5C20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9">
    <w:nsid w:val="7ADD5653"/>
    <w:multiLevelType w:val="hybridMultilevel"/>
    <w:tmpl w:val="8AFA0158"/>
    <w:lvl w:ilvl="0" w:tplc="96747226">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10"/>
  </w:num>
  <w:num w:numId="2">
    <w:abstractNumId w:val="15"/>
  </w:num>
  <w:num w:numId="3">
    <w:abstractNumId w:val="28"/>
  </w:num>
  <w:num w:numId="4">
    <w:abstractNumId w:val="7"/>
  </w:num>
  <w:num w:numId="5">
    <w:abstractNumId w:val="19"/>
  </w:num>
  <w:num w:numId="6">
    <w:abstractNumId w:val="14"/>
  </w:num>
  <w:num w:numId="7">
    <w:abstractNumId w:val="17"/>
  </w:num>
  <w:num w:numId="8">
    <w:abstractNumId w:val="26"/>
  </w:num>
  <w:num w:numId="9">
    <w:abstractNumId w:val="9"/>
  </w:num>
  <w:num w:numId="10">
    <w:abstractNumId w:val="2"/>
  </w:num>
  <w:num w:numId="11">
    <w:abstractNumId w:val="8"/>
  </w:num>
  <w:num w:numId="12">
    <w:abstractNumId w:val="8"/>
  </w:num>
  <w:num w:numId="13">
    <w:abstractNumId w:val="8"/>
  </w:num>
  <w:num w:numId="14">
    <w:abstractNumId w:val="8"/>
  </w:num>
  <w:num w:numId="15">
    <w:abstractNumId w:val="20"/>
  </w:num>
  <w:num w:numId="16">
    <w:abstractNumId w:val="16"/>
  </w:num>
  <w:num w:numId="17">
    <w:abstractNumId w:val="25"/>
  </w:num>
  <w:num w:numId="18">
    <w:abstractNumId w:val="30"/>
  </w:num>
  <w:num w:numId="19">
    <w:abstractNumId w:val="23"/>
  </w:num>
  <w:num w:numId="20">
    <w:abstractNumId w:val="3"/>
  </w:num>
  <w:num w:numId="21">
    <w:abstractNumId w:val="27"/>
  </w:num>
  <w:num w:numId="22">
    <w:abstractNumId w:val="1"/>
  </w:num>
  <w:num w:numId="23">
    <w:abstractNumId w:val="18"/>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5"/>
  </w:num>
  <w:num w:numId="29">
    <w:abstractNumId w:val="24"/>
  </w:num>
  <w:num w:numId="30">
    <w:abstractNumId w:val="0"/>
  </w:num>
  <w:num w:numId="31">
    <w:abstractNumId w:val="13"/>
  </w:num>
  <w:num w:numId="32">
    <w:abstractNumId w:val="6"/>
  </w:num>
  <w:num w:numId="33">
    <w:abstractNumId w:val="29"/>
  </w:num>
  <w:num w:numId="34">
    <w:abstractNumId w:val="11"/>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AFF"/>
    <w:rsid w:val="000235B0"/>
    <w:rsid w:val="00034647"/>
    <w:rsid w:val="00035046"/>
    <w:rsid w:val="0004068A"/>
    <w:rsid w:val="00046435"/>
    <w:rsid w:val="000500C2"/>
    <w:rsid w:val="0005090E"/>
    <w:rsid w:val="000512A7"/>
    <w:rsid w:val="0005201A"/>
    <w:rsid w:val="000546CF"/>
    <w:rsid w:val="000705DB"/>
    <w:rsid w:val="00082AC7"/>
    <w:rsid w:val="00084A34"/>
    <w:rsid w:val="00090BD4"/>
    <w:rsid w:val="000D1AF5"/>
    <w:rsid w:val="000E44AA"/>
    <w:rsid w:val="000E6DA8"/>
    <w:rsid w:val="000E7205"/>
    <w:rsid w:val="00100CBA"/>
    <w:rsid w:val="00105F08"/>
    <w:rsid w:val="00106848"/>
    <w:rsid w:val="00116662"/>
    <w:rsid w:val="00117D5C"/>
    <w:rsid w:val="00125B10"/>
    <w:rsid w:val="00144045"/>
    <w:rsid w:val="001524D3"/>
    <w:rsid w:val="001542A5"/>
    <w:rsid w:val="00154EBB"/>
    <w:rsid w:val="00163771"/>
    <w:rsid w:val="00195B4E"/>
    <w:rsid w:val="00197B88"/>
    <w:rsid w:val="001C018E"/>
    <w:rsid w:val="001C5B3D"/>
    <w:rsid w:val="001F0178"/>
    <w:rsid w:val="001F41E6"/>
    <w:rsid w:val="001F6D1A"/>
    <w:rsid w:val="0020244F"/>
    <w:rsid w:val="002136AA"/>
    <w:rsid w:val="00225403"/>
    <w:rsid w:val="002306F8"/>
    <w:rsid w:val="0023513E"/>
    <w:rsid w:val="0023532E"/>
    <w:rsid w:val="00241F6E"/>
    <w:rsid w:val="00256AB4"/>
    <w:rsid w:val="00261B3E"/>
    <w:rsid w:val="00261F1E"/>
    <w:rsid w:val="00285E2E"/>
    <w:rsid w:val="00287508"/>
    <w:rsid w:val="00294308"/>
    <w:rsid w:val="002955CA"/>
    <w:rsid w:val="002A730F"/>
    <w:rsid w:val="002A7E6A"/>
    <w:rsid w:val="002B322C"/>
    <w:rsid w:val="002D2ED6"/>
    <w:rsid w:val="002E1A90"/>
    <w:rsid w:val="002E48E6"/>
    <w:rsid w:val="002F1616"/>
    <w:rsid w:val="002F1A0F"/>
    <w:rsid w:val="002F29A2"/>
    <w:rsid w:val="002F4B59"/>
    <w:rsid w:val="002F553F"/>
    <w:rsid w:val="00302799"/>
    <w:rsid w:val="00302D3E"/>
    <w:rsid w:val="00307E10"/>
    <w:rsid w:val="00313374"/>
    <w:rsid w:val="00314732"/>
    <w:rsid w:val="003213C9"/>
    <w:rsid w:val="003327FD"/>
    <w:rsid w:val="003368D5"/>
    <w:rsid w:val="003406AA"/>
    <w:rsid w:val="00352795"/>
    <w:rsid w:val="00352BE9"/>
    <w:rsid w:val="00354ABC"/>
    <w:rsid w:val="003575E3"/>
    <w:rsid w:val="0037397D"/>
    <w:rsid w:val="00375EB8"/>
    <w:rsid w:val="0039011F"/>
    <w:rsid w:val="00390236"/>
    <w:rsid w:val="00393211"/>
    <w:rsid w:val="003A6F67"/>
    <w:rsid w:val="003B2166"/>
    <w:rsid w:val="003C5014"/>
    <w:rsid w:val="004137C1"/>
    <w:rsid w:val="00427547"/>
    <w:rsid w:val="004342B2"/>
    <w:rsid w:val="00441090"/>
    <w:rsid w:val="004418F6"/>
    <w:rsid w:val="00446046"/>
    <w:rsid w:val="00451A22"/>
    <w:rsid w:val="00453DF7"/>
    <w:rsid w:val="00457BD2"/>
    <w:rsid w:val="00457E44"/>
    <w:rsid w:val="00462B59"/>
    <w:rsid w:val="00463B94"/>
    <w:rsid w:val="0047262F"/>
    <w:rsid w:val="0047529A"/>
    <w:rsid w:val="00492A74"/>
    <w:rsid w:val="004A5F04"/>
    <w:rsid w:val="004B3CFE"/>
    <w:rsid w:val="004C0842"/>
    <w:rsid w:val="004C5413"/>
    <w:rsid w:val="004F63DE"/>
    <w:rsid w:val="00501ECF"/>
    <w:rsid w:val="0050227C"/>
    <w:rsid w:val="00514042"/>
    <w:rsid w:val="00514345"/>
    <w:rsid w:val="00531AF5"/>
    <w:rsid w:val="00533248"/>
    <w:rsid w:val="0054080C"/>
    <w:rsid w:val="00572600"/>
    <w:rsid w:val="005A0835"/>
    <w:rsid w:val="005A3418"/>
    <w:rsid w:val="005B3AB5"/>
    <w:rsid w:val="005C068D"/>
    <w:rsid w:val="005C5B9F"/>
    <w:rsid w:val="005C6353"/>
    <w:rsid w:val="005D02E8"/>
    <w:rsid w:val="005D6A72"/>
    <w:rsid w:val="005E60EC"/>
    <w:rsid w:val="005E70F0"/>
    <w:rsid w:val="005F3163"/>
    <w:rsid w:val="00632633"/>
    <w:rsid w:val="00642BE1"/>
    <w:rsid w:val="006520D4"/>
    <w:rsid w:val="00660290"/>
    <w:rsid w:val="00677FFD"/>
    <w:rsid w:val="00680189"/>
    <w:rsid w:val="00682408"/>
    <w:rsid w:val="0068381C"/>
    <w:rsid w:val="00691D07"/>
    <w:rsid w:val="00692514"/>
    <w:rsid w:val="006A26CE"/>
    <w:rsid w:val="006B5CD3"/>
    <w:rsid w:val="006D5D34"/>
    <w:rsid w:val="006D65A4"/>
    <w:rsid w:val="006E2311"/>
    <w:rsid w:val="006E5222"/>
    <w:rsid w:val="00706CAD"/>
    <w:rsid w:val="00710F3A"/>
    <w:rsid w:val="00720921"/>
    <w:rsid w:val="00723526"/>
    <w:rsid w:val="00744BAC"/>
    <w:rsid w:val="00763A78"/>
    <w:rsid w:val="00765F86"/>
    <w:rsid w:val="00772B9B"/>
    <w:rsid w:val="00775A61"/>
    <w:rsid w:val="007A24E1"/>
    <w:rsid w:val="007A5956"/>
    <w:rsid w:val="007D4660"/>
    <w:rsid w:val="007D6356"/>
    <w:rsid w:val="00824668"/>
    <w:rsid w:val="00827F8E"/>
    <w:rsid w:val="00831548"/>
    <w:rsid w:val="00834B30"/>
    <w:rsid w:val="00854ABE"/>
    <w:rsid w:val="00854DDE"/>
    <w:rsid w:val="00855794"/>
    <w:rsid w:val="00857CB4"/>
    <w:rsid w:val="008A48E4"/>
    <w:rsid w:val="008A5956"/>
    <w:rsid w:val="008A6938"/>
    <w:rsid w:val="008A6C74"/>
    <w:rsid w:val="008B0D36"/>
    <w:rsid w:val="008B2C94"/>
    <w:rsid w:val="008D4A7E"/>
    <w:rsid w:val="008E1A79"/>
    <w:rsid w:val="008E6C8C"/>
    <w:rsid w:val="008E77A4"/>
    <w:rsid w:val="00900F77"/>
    <w:rsid w:val="0092219F"/>
    <w:rsid w:val="00924076"/>
    <w:rsid w:val="009340C2"/>
    <w:rsid w:val="00936B18"/>
    <w:rsid w:val="0098447F"/>
    <w:rsid w:val="009D0C07"/>
    <w:rsid w:val="009D43F6"/>
    <w:rsid w:val="009E04B6"/>
    <w:rsid w:val="009E3991"/>
    <w:rsid w:val="00A20F92"/>
    <w:rsid w:val="00A30826"/>
    <w:rsid w:val="00A33FB3"/>
    <w:rsid w:val="00A4194D"/>
    <w:rsid w:val="00A42E55"/>
    <w:rsid w:val="00A44EE6"/>
    <w:rsid w:val="00A45DC2"/>
    <w:rsid w:val="00A55D18"/>
    <w:rsid w:val="00A63B07"/>
    <w:rsid w:val="00A65C51"/>
    <w:rsid w:val="00A704D2"/>
    <w:rsid w:val="00A84F05"/>
    <w:rsid w:val="00AB1754"/>
    <w:rsid w:val="00AB70E7"/>
    <w:rsid w:val="00AE19C5"/>
    <w:rsid w:val="00AF6C0D"/>
    <w:rsid w:val="00B02A0C"/>
    <w:rsid w:val="00B04694"/>
    <w:rsid w:val="00B06EDE"/>
    <w:rsid w:val="00B077C7"/>
    <w:rsid w:val="00B2159B"/>
    <w:rsid w:val="00B364BE"/>
    <w:rsid w:val="00B404EF"/>
    <w:rsid w:val="00B410F1"/>
    <w:rsid w:val="00B47F45"/>
    <w:rsid w:val="00B55C00"/>
    <w:rsid w:val="00B63AB6"/>
    <w:rsid w:val="00B87DE8"/>
    <w:rsid w:val="00BC4EC7"/>
    <w:rsid w:val="00BC7E05"/>
    <w:rsid w:val="00BD18C6"/>
    <w:rsid w:val="00BE2FB8"/>
    <w:rsid w:val="00C008E7"/>
    <w:rsid w:val="00C23AB8"/>
    <w:rsid w:val="00C303BE"/>
    <w:rsid w:val="00C56FE6"/>
    <w:rsid w:val="00C707FB"/>
    <w:rsid w:val="00C70FDD"/>
    <w:rsid w:val="00C76C4E"/>
    <w:rsid w:val="00C80A2B"/>
    <w:rsid w:val="00C816E5"/>
    <w:rsid w:val="00CA2896"/>
    <w:rsid w:val="00CD08C1"/>
    <w:rsid w:val="00CD2C2F"/>
    <w:rsid w:val="00CD2CF7"/>
    <w:rsid w:val="00CD2FBD"/>
    <w:rsid w:val="00CE70C9"/>
    <w:rsid w:val="00D019E9"/>
    <w:rsid w:val="00D155CA"/>
    <w:rsid w:val="00D16C30"/>
    <w:rsid w:val="00D33899"/>
    <w:rsid w:val="00D57867"/>
    <w:rsid w:val="00D61825"/>
    <w:rsid w:val="00D6529B"/>
    <w:rsid w:val="00D66259"/>
    <w:rsid w:val="00D94C84"/>
    <w:rsid w:val="00DA2705"/>
    <w:rsid w:val="00DB16EB"/>
    <w:rsid w:val="00DF2533"/>
    <w:rsid w:val="00DF7AEB"/>
    <w:rsid w:val="00E102CC"/>
    <w:rsid w:val="00E1595E"/>
    <w:rsid w:val="00E15E82"/>
    <w:rsid w:val="00E41E0C"/>
    <w:rsid w:val="00E43675"/>
    <w:rsid w:val="00E44333"/>
    <w:rsid w:val="00E65231"/>
    <w:rsid w:val="00E65685"/>
    <w:rsid w:val="00E65A0E"/>
    <w:rsid w:val="00EB43AA"/>
    <w:rsid w:val="00EC1F33"/>
    <w:rsid w:val="00ED2970"/>
    <w:rsid w:val="00EF24B8"/>
    <w:rsid w:val="00EF4CAB"/>
    <w:rsid w:val="00F0245F"/>
    <w:rsid w:val="00F02E2A"/>
    <w:rsid w:val="00F101D4"/>
    <w:rsid w:val="00F1303B"/>
    <w:rsid w:val="00F1770E"/>
    <w:rsid w:val="00F2384B"/>
    <w:rsid w:val="00F32E2B"/>
    <w:rsid w:val="00F33F0D"/>
    <w:rsid w:val="00F35AFD"/>
    <w:rsid w:val="00F4342F"/>
    <w:rsid w:val="00F55696"/>
    <w:rsid w:val="00F73A93"/>
    <w:rsid w:val="00FA1669"/>
    <w:rsid w:val="00FA266B"/>
    <w:rsid w:val="00FB69B0"/>
    <w:rsid w:val="00FC0436"/>
    <w:rsid w:val="00FD18EB"/>
    <w:rsid w:val="00FE0D0A"/>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75DB2A-3D7A-4F2C-B21B-BB0B4FD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6"/>
      </w:numPr>
      <w:spacing w:before="120" w:after="120" w:line="240" w:lineRule="auto"/>
      <w:jc w:val="both"/>
    </w:pPr>
    <w:rPr>
      <w:snapToGrid w:val="0"/>
      <w:szCs w:val="24"/>
      <w:lang w:eastAsia="en-GB"/>
    </w:rPr>
  </w:style>
  <w:style w:type="paragraph" w:styleId="CommentText">
    <w:name w:val="annotation text"/>
    <w:basedOn w:val="Normal"/>
    <w:link w:val="CommentTextChar"/>
    <w:semiHidden/>
    <w:rsid w:val="00BE2FB8"/>
    <w:rPr>
      <w:snapToGrid w:val="0"/>
      <w:szCs w:val="24"/>
      <w:lang w:val="en-GB"/>
    </w:rPr>
  </w:style>
  <w:style w:type="paragraph" w:customStyle="1" w:styleId="Bullet0">
    <w:name w:val="Bullet 0"/>
    <w:basedOn w:val="Normal"/>
    <w:rsid w:val="00393211"/>
    <w:pPr>
      <w:widowControl/>
      <w:numPr>
        <w:numId w:val="18"/>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semiHidden/>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basedOn w:val="Normal"/>
    <w:uiPriority w:val="34"/>
    <w:qFormat/>
    <w:rsid w:val="00DF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 w:id="2123065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gors.silantjevs@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Upd\All\Tpl\CM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CMLv</Template>
  <TotalTime>32</TotalTime>
  <Pages>5</Pages>
  <Words>1373</Words>
  <Characters>9725</Characters>
  <Application>Microsoft Office Word</Application>
  <DocSecurity>0</DocSecurity>
  <Lines>211</Lines>
  <Paragraphs>64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User</dc:creator>
  <cp:keywords/>
  <cp:lastModifiedBy>Igors Silantjevs</cp:lastModifiedBy>
  <cp:revision>7</cp:revision>
  <cp:lastPrinted>2014-06-02T05:43:00Z</cp:lastPrinted>
  <dcterms:created xsi:type="dcterms:W3CDTF">2014-05-30T11:44:00Z</dcterms:created>
  <dcterms:modified xsi:type="dcterms:W3CDTF">2014-06-02T11:36:00Z</dcterms:modified>
</cp:coreProperties>
</file>