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E3" w:rsidRPr="008B0344" w:rsidRDefault="00D659E3" w:rsidP="008B0344">
      <w:pPr>
        <w:pStyle w:val="Parasts1"/>
        <w:jc w:val="center"/>
        <w:outlineLvl w:val="0"/>
        <w:rPr>
          <w:b/>
          <w:bCs/>
          <w:sz w:val="28"/>
          <w:szCs w:val="28"/>
        </w:rPr>
      </w:pPr>
      <w:bookmarkStart w:id="0" w:name="OLE_LINK3"/>
      <w:bookmarkStart w:id="1" w:name="OLE_LINK4"/>
      <w:r w:rsidRPr="008B0344">
        <w:rPr>
          <w:b/>
          <w:bCs/>
          <w:sz w:val="28"/>
          <w:szCs w:val="28"/>
        </w:rPr>
        <w:t>Ministru kabineta rīkojuma projekta</w:t>
      </w:r>
    </w:p>
    <w:p w:rsidR="00D659E3" w:rsidRPr="008B0344" w:rsidRDefault="00D659E3" w:rsidP="008B0344">
      <w:pPr>
        <w:pStyle w:val="Parasts1"/>
        <w:jc w:val="center"/>
        <w:rPr>
          <w:b/>
          <w:bCs/>
          <w:sz w:val="28"/>
          <w:szCs w:val="28"/>
        </w:rPr>
      </w:pPr>
      <w:r w:rsidRPr="008B0344">
        <w:rPr>
          <w:b/>
          <w:bCs/>
          <w:sz w:val="28"/>
          <w:szCs w:val="28"/>
        </w:rPr>
        <w:t xml:space="preserve">„Par finanšu līdzekļu piešķiršanu no valsts budžeta programmas </w:t>
      </w:r>
    </w:p>
    <w:p w:rsidR="00D659E3" w:rsidRPr="008B0344" w:rsidRDefault="00D659E3" w:rsidP="008B0344">
      <w:pPr>
        <w:pStyle w:val="Parasts1"/>
        <w:jc w:val="center"/>
        <w:rPr>
          <w:b/>
          <w:bCs/>
          <w:sz w:val="28"/>
          <w:szCs w:val="28"/>
        </w:rPr>
      </w:pPr>
      <w:r w:rsidRPr="008B0344">
        <w:rPr>
          <w:b/>
          <w:bCs/>
          <w:sz w:val="28"/>
          <w:szCs w:val="28"/>
        </w:rPr>
        <w:t xml:space="preserve">„Līdzekļi neparedzētiem gadījumiem”” sākotnējās ietekmes novērtējuma </w:t>
      </w:r>
    </w:p>
    <w:p w:rsidR="00D659E3" w:rsidRPr="008B0344" w:rsidRDefault="00D659E3" w:rsidP="008B0344">
      <w:pPr>
        <w:pStyle w:val="Parasts1"/>
        <w:jc w:val="center"/>
        <w:rPr>
          <w:b/>
          <w:bCs/>
          <w:sz w:val="28"/>
          <w:szCs w:val="28"/>
        </w:rPr>
      </w:pPr>
      <w:r w:rsidRPr="008B0344">
        <w:rPr>
          <w:b/>
          <w:bCs/>
          <w:sz w:val="28"/>
          <w:szCs w:val="28"/>
        </w:rPr>
        <w:t>ziņojums (anotācija)</w:t>
      </w:r>
      <w:bookmarkEnd w:id="0"/>
      <w:bookmarkEnd w:id="1"/>
    </w:p>
    <w:p w:rsidR="00D659E3" w:rsidRPr="008B0344" w:rsidRDefault="00D659E3" w:rsidP="008B0344">
      <w:pPr>
        <w:pStyle w:val="Parasts1"/>
        <w:jc w:val="center"/>
        <w:rPr>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A0" w:firstRow="1" w:lastRow="0" w:firstColumn="1" w:lastColumn="0" w:noHBand="0" w:noVBand="0"/>
      </w:tblPr>
      <w:tblGrid>
        <w:gridCol w:w="498"/>
        <w:gridCol w:w="2755"/>
        <w:gridCol w:w="5968"/>
      </w:tblGrid>
      <w:tr w:rsidR="00352C95" w:rsidRPr="008B0344" w:rsidTr="006A76ED">
        <w:trPr>
          <w:trHeight w:val="405"/>
          <w:tblCellSpacing w:w="15" w:type="dxa"/>
        </w:trPr>
        <w:tc>
          <w:tcPr>
            <w:tcW w:w="4967" w:type="pct"/>
            <w:gridSpan w:val="3"/>
            <w:vAlign w:val="center"/>
          </w:tcPr>
          <w:p w:rsidR="00352C95" w:rsidRPr="008B0344" w:rsidRDefault="00352C95" w:rsidP="006A76ED">
            <w:pPr>
              <w:pStyle w:val="Parasts1"/>
              <w:spacing w:before="100" w:beforeAutospacing="1" w:after="100" w:afterAutospacing="1"/>
              <w:jc w:val="center"/>
              <w:rPr>
                <w:b/>
                <w:bCs/>
                <w:sz w:val="28"/>
                <w:szCs w:val="28"/>
              </w:rPr>
            </w:pPr>
            <w:r w:rsidRPr="008B0344">
              <w:rPr>
                <w:b/>
                <w:bCs/>
                <w:sz w:val="28"/>
                <w:szCs w:val="28"/>
              </w:rPr>
              <w:t>I. Tiesību akta projekta izstrādes nepieciešamība</w:t>
            </w:r>
          </w:p>
        </w:tc>
      </w:tr>
      <w:tr w:rsidR="00352C95" w:rsidRPr="008B0344" w:rsidTr="006A76ED">
        <w:trPr>
          <w:trHeight w:val="405"/>
          <w:tblCellSpacing w:w="15" w:type="dxa"/>
        </w:trPr>
        <w:tc>
          <w:tcPr>
            <w:tcW w:w="247" w:type="pct"/>
          </w:tcPr>
          <w:p w:rsidR="00352C95" w:rsidRPr="008B0344" w:rsidRDefault="00352C95" w:rsidP="006A76ED">
            <w:pPr>
              <w:pStyle w:val="Parasts1"/>
              <w:spacing w:before="100" w:beforeAutospacing="1" w:after="100" w:afterAutospacing="1"/>
              <w:jc w:val="center"/>
              <w:rPr>
                <w:sz w:val="28"/>
                <w:szCs w:val="28"/>
              </w:rPr>
            </w:pPr>
            <w:r w:rsidRPr="008B0344">
              <w:rPr>
                <w:sz w:val="28"/>
                <w:szCs w:val="28"/>
              </w:rPr>
              <w:t>1.</w:t>
            </w:r>
          </w:p>
        </w:tc>
        <w:tc>
          <w:tcPr>
            <w:tcW w:w="1487" w:type="pct"/>
          </w:tcPr>
          <w:p w:rsidR="00352C95" w:rsidRPr="008B0344" w:rsidRDefault="00352C95" w:rsidP="006A76ED">
            <w:pPr>
              <w:pStyle w:val="Parasts1"/>
              <w:rPr>
                <w:sz w:val="28"/>
                <w:szCs w:val="28"/>
              </w:rPr>
            </w:pPr>
            <w:r w:rsidRPr="008B0344">
              <w:rPr>
                <w:sz w:val="28"/>
                <w:szCs w:val="28"/>
              </w:rPr>
              <w:t>Pamatojums</w:t>
            </w:r>
          </w:p>
        </w:tc>
        <w:tc>
          <w:tcPr>
            <w:tcW w:w="3200" w:type="pct"/>
          </w:tcPr>
          <w:p w:rsidR="00352C95" w:rsidRPr="008B0344" w:rsidRDefault="00352C95" w:rsidP="00F014C3">
            <w:pPr>
              <w:pStyle w:val="Parasts1"/>
              <w:shd w:val="clear" w:color="auto" w:fill="FFFFFF"/>
              <w:ind w:firstLine="590"/>
              <w:jc w:val="both"/>
              <w:rPr>
                <w:sz w:val="28"/>
                <w:szCs w:val="28"/>
              </w:rPr>
            </w:pPr>
            <w:r w:rsidRPr="008B0344">
              <w:rPr>
                <w:sz w:val="28"/>
                <w:szCs w:val="28"/>
              </w:rPr>
              <w:t>Ministru kabineta rīkojuma projekt</w:t>
            </w:r>
            <w:r>
              <w:rPr>
                <w:sz w:val="28"/>
                <w:szCs w:val="28"/>
              </w:rPr>
              <w:t>s</w:t>
            </w:r>
            <w:r w:rsidRPr="008B0344">
              <w:rPr>
                <w:sz w:val="28"/>
                <w:szCs w:val="28"/>
              </w:rPr>
              <w:t xml:space="preserve"> „Par finanšu līdzekļu piešķiršanu no valsts budžeta programmas „Līdz</w:t>
            </w:r>
            <w:r>
              <w:rPr>
                <w:sz w:val="28"/>
                <w:szCs w:val="28"/>
              </w:rPr>
              <w:t>ekļi neparedzētiem gadījumiem””</w:t>
            </w:r>
            <w:r w:rsidRPr="008B0344">
              <w:rPr>
                <w:sz w:val="28"/>
                <w:szCs w:val="28"/>
              </w:rPr>
              <w:t xml:space="preserve"> </w:t>
            </w:r>
            <w:r>
              <w:rPr>
                <w:sz w:val="28"/>
                <w:szCs w:val="28"/>
              </w:rPr>
              <w:t>(</w:t>
            </w:r>
            <w:r w:rsidRPr="008B0344">
              <w:rPr>
                <w:sz w:val="28"/>
                <w:szCs w:val="28"/>
              </w:rPr>
              <w:t>turpmāk – rīkojuma projekts</w:t>
            </w:r>
            <w:r>
              <w:rPr>
                <w:sz w:val="28"/>
                <w:szCs w:val="28"/>
              </w:rPr>
              <w:t xml:space="preserve">) izstrādāts saskaņā ar </w:t>
            </w:r>
            <w:r w:rsidRPr="008B0344">
              <w:rPr>
                <w:sz w:val="28"/>
                <w:szCs w:val="28"/>
              </w:rPr>
              <w:t>Ministru kabineta 2009.gada 22.decembra noteikumu Nr.1644 „Kārtība, kādā pieprasa un izlieto budžeta programmas „Līdzekļi neparedzētiem gadījumiem” līdzekļus”</w:t>
            </w:r>
            <w:r>
              <w:rPr>
                <w:sz w:val="28"/>
                <w:szCs w:val="28"/>
              </w:rPr>
              <w:t xml:space="preserve"> 2. un</w:t>
            </w:r>
            <w:r w:rsidRPr="008B0344">
              <w:rPr>
                <w:sz w:val="28"/>
                <w:szCs w:val="28"/>
              </w:rPr>
              <w:t xml:space="preserve"> 3.punktu.</w:t>
            </w:r>
            <w:r>
              <w:rPr>
                <w:sz w:val="28"/>
                <w:szCs w:val="28"/>
              </w:rPr>
              <w:t xml:space="preserve"> </w:t>
            </w:r>
          </w:p>
        </w:tc>
      </w:tr>
      <w:tr w:rsidR="00352C95" w:rsidRPr="00D1070D" w:rsidTr="006A76ED">
        <w:trPr>
          <w:trHeight w:val="465"/>
          <w:tblCellSpacing w:w="15" w:type="dxa"/>
        </w:trPr>
        <w:tc>
          <w:tcPr>
            <w:tcW w:w="247" w:type="pct"/>
          </w:tcPr>
          <w:p w:rsidR="00352C95" w:rsidRPr="008B0344" w:rsidRDefault="00352C95" w:rsidP="006A76ED">
            <w:pPr>
              <w:pStyle w:val="Parasts1"/>
              <w:spacing w:before="100" w:beforeAutospacing="1" w:after="100" w:afterAutospacing="1"/>
              <w:jc w:val="center"/>
              <w:rPr>
                <w:sz w:val="28"/>
                <w:szCs w:val="28"/>
              </w:rPr>
            </w:pPr>
            <w:r w:rsidRPr="008B0344">
              <w:rPr>
                <w:sz w:val="28"/>
                <w:szCs w:val="28"/>
              </w:rPr>
              <w:t>2.</w:t>
            </w:r>
          </w:p>
        </w:tc>
        <w:tc>
          <w:tcPr>
            <w:tcW w:w="1487" w:type="pct"/>
          </w:tcPr>
          <w:p w:rsidR="00352C95" w:rsidRPr="008B0344" w:rsidRDefault="00352C95" w:rsidP="006A76ED">
            <w:pPr>
              <w:pStyle w:val="Parasts1"/>
              <w:rPr>
                <w:sz w:val="28"/>
                <w:szCs w:val="28"/>
              </w:rPr>
            </w:pPr>
            <w:r w:rsidRPr="008B0344">
              <w:rPr>
                <w:sz w:val="28"/>
                <w:szCs w:val="28"/>
              </w:rPr>
              <w:t>Pašreizējā situācija un problēmas, kuru risināšanai tiesību akta projekts izstrādāts, tiesiskā regulējuma mērķis un būtība</w:t>
            </w:r>
          </w:p>
        </w:tc>
        <w:tc>
          <w:tcPr>
            <w:tcW w:w="3200" w:type="pct"/>
          </w:tcPr>
          <w:p w:rsidR="00F014C3" w:rsidRDefault="00352C95" w:rsidP="00F014C3">
            <w:pPr>
              <w:pStyle w:val="Parasts1"/>
              <w:ind w:firstLine="590"/>
              <w:jc w:val="both"/>
              <w:rPr>
                <w:sz w:val="28"/>
                <w:szCs w:val="28"/>
              </w:rPr>
            </w:pPr>
            <w:r w:rsidRPr="00A947BD">
              <w:rPr>
                <w:sz w:val="28"/>
                <w:szCs w:val="28"/>
              </w:rPr>
              <w:t>2012</w:t>
            </w:r>
            <w:r>
              <w:rPr>
                <w:sz w:val="28"/>
                <w:szCs w:val="28"/>
              </w:rPr>
              <w:t>.gada 29.novembrī Saeimā tika pieņemts un 2013.gada 1.janvārī stājās spēkā Priekšvēlēšanu aģitā</w:t>
            </w:r>
            <w:r w:rsidR="00F014C3">
              <w:rPr>
                <w:sz w:val="28"/>
                <w:szCs w:val="28"/>
              </w:rPr>
              <w:t xml:space="preserve">cijas likums (turpmāk – Likums). Likuma 10.panta pirmā </w:t>
            </w:r>
            <w:r>
              <w:rPr>
                <w:sz w:val="28"/>
                <w:szCs w:val="28"/>
              </w:rPr>
              <w:t>daļa paredz, ka Saeimas, Eiropas Parlamenta un pašvaldību vēlēšanu gadā Nacionālā elektronisko plašsaziņas līdzekļu padome (</w:t>
            </w:r>
            <w:r w:rsidR="00F014C3">
              <w:rPr>
                <w:sz w:val="28"/>
                <w:szCs w:val="28"/>
              </w:rPr>
              <w:t xml:space="preserve">turpmāk – </w:t>
            </w:r>
            <w:r>
              <w:rPr>
                <w:sz w:val="28"/>
                <w:szCs w:val="28"/>
              </w:rPr>
              <w:t>NEPLP) sabiedriskā pasūtījuma ietvaros papildus valsts nodrošinātam priekšvēlēšanu aģitācijas raidlaikam plāno finansējumu priekšvēlēšanu raidījumu veidošanai sabiedrisko elektronisko plašsaziņas līdzekļu un komerciālo elektronisko plašsaziņas līdzekļu televīzija</w:t>
            </w:r>
            <w:r w:rsidR="00F014C3">
              <w:rPr>
                <w:sz w:val="28"/>
                <w:szCs w:val="28"/>
              </w:rPr>
              <w:t xml:space="preserve">s programmās. Savukārt Likuma 10.panta otrā </w:t>
            </w:r>
            <w:r>
              <w:rPr>
                <w:sz w:val="28"/>
                <w:szCs w:val="28"/>
              </w:rPr>
              <w:t xml:space="preserve">daļa paredz, ka priekšvēlēšanu raidījumiem paredzēto sabiedriskā pasūtījuma finansējumu piešķir NEPLP. </w:t>
            </w:r>
          </w:p>
          <w:p w:rsidR="00352C95" w:rsidRPr="00D1070D" w:rsidRDefault="00352C95" w:rsidP="00F014C3">
            <w:pPr>
              <w:pStyle w:val="Parasts1"/>
              <w:ind w:firstLine="590"/>
              <w:jc w:val="both"/>
              <w:rPr>
                <w:sz w:val="28"/>
                <w:szCs w:val="28"/>
              </w:rPr>
            </w:pPr>
            <w:r>
              <w:rPr>
                <w:sz w:val="28"/>
                <w:szCs w:val="28"/>
              </w:rPr>
              <w:t xml:space="preserve">Budžeta programmā 03.01.00 paredzētais finansējums, kurš saņemts kā kompensācija priekšvēlēšanu aģitācijas aizlieguma ieviešanai LTV, ir apstiprināts 2014.gada sabiedriskā pasūtījuma nodrošināšanai, lai veidotu priekšvēlēšanu raidījumus sabiedriskā elektroniskā plašsaziņas līdzekļa programmā LTV1. </w:t>
            </w:r>
            <w:r w:rsidRPr="006A05D0">
              <w:rPr>
                <w:sz w:val="28"/>
                <w:szCs w:val="28"/>
              </w:rPr>
              <w:t xml:space="preserve">No NEPLP </w:t>
            </w:r>
            <w:r>
              <w:rPr>
                <w:sz w:val="28"/>
                <w:szCs w:val="28"/>
              </w:rPr>
              <w:t xml:space="preserve">plānotajā </w:t>
            </w:r>
            <w:r w:rsidRPr="006A05D0">
              <w:rPr>
                <w:sz w:val="28"/>
                <w:szCs w:val="28"/>
              </w:rPr>
              <w:t>2014.gada budžetā piešķirtajiem līdzekļiem</w:t>
            </w:r>
            <w:r>
              <w:rPr>
                <w:sz w:val="28"/>
                <w:szCs w:val="28"/>
              </w:rPr>
              <w:t xml:space="preserve"> budžeta programmā 03.03.00</w:t>
            </w:r>
            <w:r w:rsidRPr="006A05D0">
              <w:rPr>
                <w:sz w:val="28"/>
                <w:szCs w:val="28"/>
              </w:rPr>
              <w:t xml:space="preserve"> Priekšvēlēšanu a</w:t>
            </w:r>
            <w:r>
              <w:rPr>
                <w:sz w:val="28"/>
                <w:szCs w:val="28"/>
              </w:rPr>
              <w:t>ģitācijas likuma 10.panta</w:t>
            </w:r>
            <w:r w:rsidRPr="006A05D0">
              <w:rPr>
                <w:sz w:val="28"/>
                <w:szCs w:val="28"/>
              </w:rPr>
              <w:t xml:space="preserve"> izpildei 49 800 </w:t>
            </w:r>
            <w:proofErr w:type="spellStart"/>
            <w:r w:rsidRPr="00A85DE9">
              <w:rPr>
                <w:i/>
                <w:sz w:val="28"/>
                <w:szCs w:val="28"/>
              </w:rPr>
              <w:t>euro</w:t>
            </w:r>
            <w:proofErr w:type="spellEnd"/>
            <w:r w:rsidRPr="006A05D0">
              <w:rPr>
                <w:sz w:val="28"/>
                <w:szCs w:val="28"/>
              </w:rPr>
              <w:t xml:space="preserve"> apmērā </w:t>
            </w:r>
            <w:r>
              <w:rPr>
                <w:sz w:val="28"/>
                <w:szCs w:val="28"/>
              </w:rPr>
              <w:t>jau</w:t>
            </w:r>
            <w:r w:rsidRPr="006A05D0">
              <w:rPr>
                <w:sz w:val="28"/>
                <w:szCs w:val="28"/>
              </w:rPr>
              <w:t xml:space="preserve"> piešķirti 16 600 </w:t>
            </w:r>
            <w:proofErr w:type="spellStart"/>
            <w:r w:rsidRPr="00A85DE9">
              <w:rPr>
                <w:i/>
                <w:sz w:val="28"/>
                <w:szCs w:val="28"/>
              </w:rPr>
              <w:t>euro</w:t>
            </w:r>
            <w:proofErr w:type="spellEnd"/>
            <w:r w:rsidRPr="006A05D0">
              <w:rPr>
                <w:sz w:val="28"/>
                <w:szCs w:val="28"/>
              </w:rPr>
              <w:t xml:space="preserve"> </w:t>
            </w:r>
            <w:r w:rsidRPr="006A05D0">
              <w:rPr>
                <w:sz w:val="28"/>
                <w:szCs w:val="28"/>
              </w:rPr>
              <w:lastRenderedPageBreak/>
              <w:t xml:space="preserve">konkursa kārtībā Eiropas Parlamenta priekšvēlēšanu </w:t>
            </w:r>
            <w:r>
              <w:rPr>
                <w:sz w:val="28"/>
                <w:szCs w:val="28"/>
              </w:rPr>
              <w:t xml:space="preserve">raidījumu veidošanai </w:t>
            </w:r>
            <w:r w:rsidRPr="006A05D0">
              <w:rPr>
                <w:sz w:val="28"/>
                <w:szCs w:val="28"/>
              </w:rPr>
              <w:t>komerciālajos elektroniskajos plašsaziņas līdzekļos, kas raida televīzijas programmas</w:t>
            </w:r>
            <w:r>
              <w:rPr>
                <w:sz w:val="28"/>
                <w:szCs w:val="28"/>
              </w:rPr>
              <w:t>.</w:t>
            </w:r>
            <w:r>
              <w:t xml:space="preserve"> </w:t>
            </w:r>
            <w:r>
              <w:rPr>
                <w:sz w:val="28"/>
                <w:szCs w:val="28"/>
              </w:rPr>
              <w:t>Tādējādi ar</w:t>
            </w:r>
            <w:r w:rsidRPr="00A85DE9">
              <w:rPr>
                <w:sz w:val="28"/>
                <w:szCs w:val="28"/>
              </w:rPr>
              <w:t xml:space="preserve"> </w:t>
            </w:r>
            <w:r>
              <w:rPr>
                <w:sz w:val="28"/>
                <w:szCs w:val="28"/>
              </w:rPr>
              <w:t>pašreizējo</w:t>
            </w:r>
            <w:r w:rsidRPr="00906261">
              <w:rPr>
                <w:sz w:val="28"/>
                <w:szCs w:val="28"/>
              </w:rPr>
              <w:t xml:space="preserve"> NEPLP </w:t>
            </w:r>
            <w:r>
              <w:rPr>
                <w:sz w:val="28"/>
                <w:szCs w:val="28"/>
              </w:rPr>
              <w:t xml:space="preserve">2014.gada budžetā pieejamo finansējumu 33 200 </w:t>
            </w:r>
            <w:proofErr w:type="spellStart"/>
            <w:r w:rsidRPr="00A85DE9">
              <w:rPr>
                <w:i/>
                <w:sz w:val="28"/>
                <w:szCs w:val="28"/>
              </w:rPr>
              <w:t>euro</w:t>
            </w:r>
            <w:proofErr w:type="spellEnd"/>
            <w:r>
              <w:rPr>
                <w:sz w:val="28"/>
                <w:szCs w:val="28"/>
              </w:rPr>
              <w:t xml:space="preserve"> apmērā</w:t>
            </w:r>
            <w:r w:rsidRPr="001A0CFA">
              <w:rPr>
                <w:sz w:val="28"/>
                <w:szCs w:val="28"/>
              </w:rPr>
              <w:t xml:space="preserve"> </w:t>
            </w:r>
            <w:r>
              <w:rPr>
                <w:sz w:val="28"/>
                <w:szCs w:val="28"/>
              </w:rPr>
              <w:t>ir plānots</w:t>
            </w:r>
            <w:r w:rsidRPr="0067580D">
              <w:rPr>
                <w:sz w:val="28"/>
                <w:szCs w:val="28"/>
              </w:rPr>
              <w:t xml:space="preserve"> izveidot trīs </w:t>
            </w:r>
            <w:r>
              <w:rPr>
                <w:sz w:val="28"/>
                <w:szCs w:val="28"/>
              </w:rPr>
              <w:t>Saeimas priekšvēlēšanu televīzijas</w:t>
            </w:r>
            <w:r w:rsidRPr="0067580D">
              <w:rPr>
                <w:sz w:val="28"/>
                <w:szCs w:val="28"/>
              </w:rPr>
              <w:t xml:space="preserve"> diskusiju raidījumus</w:t>
            </w:r>
            <w:r>
              <w:rPr>
                <w:sz w:val="28"/>
                <w:szCs w:val="28"/>
              </w:rPr>
              <w:t xml:space="preserve"> komerciālajos elektroniskajos plašsaziņas līdzekļos, ko NEPLP īsten</w:t>
            </w:r>
            <w:r w:rsidR="00F014C3">
              <w:rPr>
                <w:sz w:val="28"/>
                <w:szCs w:val="28"/>
              </w:rPr>
              <w:t xml:space="preserve">os konkursa kārtībā. Vienlaikus, </w:t>
            </w:r>
            <w:r>
              <w:rPr>
                <w:sz w:val="28"/>
                <w:szCs w:val="28"/>
              </w:rPr>
              <w:t>ņemot vērā Krievijas agresijas pret Ukrainu atspoguļojuma ietekmi uz Latvijas nacionālo informatīvo telpu, p</w:t>
            </w:r>
            <w:r w:rsidRPr="008F0F96">
              <w:rPr>
                <w:sz w:val="28"/>
                <w:szCs w:val="28"/>
              </w:rPr>
              <w:t xml:space="preserve">apildu līdzekļi </w:t>
            </w:r>
            <w:r w:rsidRPr="003F3AD9">
              <w:rPr>
                <w:b/>
                <w:sz w:val="28"/>
                <w:szCs w:val="28"/>
              </w:rPr>
              <w:t xml:space="preserve">27 </w:t>
            </w:r>
            <w:r>
              <w:rPr>
                <w:b/>
                <w:sz w:val="28"/>
                <w:szCs w:val="28"/>
              </w:rPr>
              <w:t>192</w:t>
            </w:r>
            <w:r w:rsidRPr="008F0F96">
              <w:rPr>
                <w:sz w:val="28"/>
                <w:szCs w:val="28"/>
              </w:rPr>
              <w:t xml:space="preserve"> </w:t>
            </w:r>
            <w:proofErr w:type="spellStart"/>
            <w:r w:rsidRPr="00A85DE9">
              <w:rPr>
                <w:b/>
                <w:i/>
                <w:sz w:val="28"/>
                <w:szCs w:val="28"/>
              </w:rPr>
              <w:t>euro</w:t>
            </w:r>
            <w:proofErr w:type="spellEnd"/>
            <w:r w:rsidRPr="008F0F96">
              <w:rPr>
                <w:sz w:val="28"/>
                <w:szCs w:val="28"/>
              </w:rPr>
              <w:t xml:space="preserve"> apmērā nepiecieš</w:t>
            </w:r>
            <w:r>
              <w:rPr>
                <w:sz w:val="28"/>
                <w:szCs w:val="28"/>
              </w:rPr>
              <w:t>ami</w:t>
            </w:r>
            <w:r w:rsidRPr="008F0F96">
              <w:rPr>
                <w:sz w:val="28"/>
                <w:szCs w:val="28"/>
              </w:rPr>
              <w:t xml:space="preserve"> </w:t>
            </w:r>
            <w:r>
              <w:rPr>
                <w:sz w:val="28"/>
                <w:szCs w:val="28"/>
              </w:rPr>
              <w:t xml:space="preserve">vēl četru priekšvēlēšanu televīzijas diskusiju </w:t>
            </w:r>
            <w:r w:rsidRPr="008F0F96">
              <w:rPr>
                <w:sz w:val="28"/>
                <w:szCs w:val="28"/>
              </w:rPr>
              <w:t>veidošanai komerciālajos elektroniskajos pla</w:t>
            </w:r>
            <w:r>
              <w:rPr>
                <w:sz w:val="28"/>
                <w:szCs w:val="28"/>
              </w:rPr>
              <w:t>šsaziņas līdzekļos, lai nepastarpināta informācija par politisko situāciju un alternatīviem politiskajiem piedāvājumiem no kopumā septiņām priekšvēlēšanu diskusijām (visos piecos vēlēšanu apgabalos un noslēguma diskusijas latviski, kā arī kopējas diskusijas krieviski) sasniegtu maksimāli plašu auditoriju un vēlētājiem būtu iespējams izdarīt apzinātu izvēli.</w:t>
            </w:r>
          </w:p>
        </w:tc>
      </w:tr>
      <w:tr w:rsidR="00352C95" w:rsidRPr="006A631D" w:rsidTr="006A76ED">
        <w:trPr>
          <w:trHeight w:val="465"/>
          <w:tblCellSpacing w:w="15" w:type="dxa"/>
        </w:trPr>
        <w:tc>
          <w:tcPr>
            <w:tcW w:w="247" w:type="pct"/>
          </w:tcPr>
          <w:p w:rsidR="00352C95" w:rsidRPr="008B0344" w:rsidRDefault="00352C95" w:rsidP="006A76ED">
            <w:pPr>
              <w:pStyle w:val="Parasts1"/>
              <w:spacing w:before="100" w:beforeAutospacing="1" w:after="100" w:afterAutospacing="1"/>
              <w:jc w:val="center"/>
              <w:rPr>
                <w:sz w:val="28"/>
                <w:szCs w:val="28"/>
              </w:rPr>
            </w:pPr>
            <w:r w:rsidRPr="008B0344">
              <w:rPr>
                <w:sz w:val="28"/>
                <w:szCs w:val="28"/>
              </w:rPr>
              <w:lastRenderedPageBreak/>
              <w:t>3.</w:t>
            </w:r>
          </w:p>
        </w:tc>
        <w:tc>
          <w:tcPr>
            <w:tcW w:w="1487" w:type="pct"/>
          </w:tcPr>
          <w:p w:rsidR="00352C95" w:rsidRPr="008B0344" w:rsidRDefault="00352C95" w:rsidP="006A76ED">
            <w:pPr>
              <w:pStyle w:val="Parasts1"/>
              <w:rPr>
                <w:sz w:val="28"/>
                <w:szCs w:val="28"/>
              </w:rPr>
            </w:pPr>
            <w:r w:rsidRPr="008B0344">
              <w:rPr>
                <w:sz w:val="28"/>
                <w:szCs w:val="28"/>
              </w:rPr>
              <w:t>Projekta izstrādē iesaistītās institūcijas</w:t>
            </w:r>
          </w:p>
        </w:tc>
        <w:tc>
          <w:tcPr>
            <w:tcW w:w="3200" w:type="pct"/>
          </w:tcPr>
          <w:p w:rsidR="00352C95" w:rsidRPr="006A631D" w:rsidRDefault="00352C95" w:rsidP="006A76ED">
            <w:pPr>
              <w:pStyle w:val="Parasts1"/>
              <w:jc w:val="both"/>
              <w:rPr>
                <w:color w:val="808080"/>
                <w:sz w:val="28"/>
                <w:szCs w:val="28"/>
              </w:rPr>
            </w:pPr>
            <w:r w:rsidRPr="006A631D">
              <w:rPr>
                <w:sz w:val="28"/>
                <w:szCs w:val="28"/>
              </w:rPr>
              <w:t>Kultūras ministrija, Finanšu ministrija, Nacionālā elektronisko plašsaziņas līdzekļu padome.</w:t>
            </w:r>
          </w:p>
        </w:tc>
      </w:tr>
      <w:tr w:rsidR="00352C95" w:rsidRPr="006A631D" w:rsidTr="00352C95">
        <w:trPr>
          <w:tblCellSpacing w:w="15" w:type="dxa"/>
        </w:trPr>
        <w:tc>
          <w:tcPr>
            <w:tcW w:w="247" w:type="pct"/>
            <w:tcBorders>
              <w:bottom w:val="outset" w:sz="6" w:space="0" w:color="auto"/>
            </w:tcBorders>
          </w:tcPr>
          <w:p w:rsidR="00352C95" w:rsidRPr="008B0344" w:rsidRDefault="00352C95" w:rsidP="006A76ED">
            <w:pPr>
              <w:pStyle w:val="Parasts1"/>
              <w:spacing w:before="100" w:beforeAutospacing="1" w:after="100" w:afterAutospacing="1"/>
              <w:jc w:val="center"/>
              <w:rPr>
                <w:sz w:val="28"/>
                <w:szCs w:val="28"/>
              </w:rPr>
            </w:pPr>
            <w:r w:rsidRPr="008B0344">
              <w:rPr>
                <w:sz w:val="28"/>
                <w:szCs w:val="28"/>
              </w:rPr>
              <w:t>4.</w:t>
            </w:r>
          </w:p>
        </w:tc>
        <w:tc>
          <w:tcPr>
            <w:tcW w:w="1487" w:type="pct"/>
            <w:tcBorders>
              <w:bottom w:val="outset" w:sz="6" w:space="0" w:color="auto"/>
            </w:tcBorders>
          </w:tcPr>
          <w:p w:rsidR="00352C95" w:rsidRPr="008B0344" w:rsidRDefault="00352C95" w:rsidP="006A76ED">
            <w:pPr>
              <w:pStyle w:val="Parasts1"/>
              <w:rPr>
                <w:sz w:val="28"/>
                <w:szCs w:val="28"/>
              </w:rPr>
            </w:pPr>
            <w:r w:rsidRPr="008B0344">
              <w:rPr>
                <w:sz w:val="28"/>
                <w:szCs w:val="28"/>
              </w:rPr>
              <w:t>Cita informācija</w:t>
            </w:r>
          </w:p>
        </w:tc>
        <w:tc>
          <w:tcPr>
            <w:tcW w:w="3200" w:type="pct"/>
            <w:tcBorders>
              <w:bottom w:val="outset" w:sz="6" w:space="0" w:color="auto"/>
            </w:tcBorders>
          </w:tcPr>
          <w:p w:rsidR="00352C95" w:rsidRPr="006A631D" w:rsidRDefault="00352C95" w:rsidP="006A76ED">
            <w:pPr>
              <w:pStyle w:val="Parasts1"/>
              <w:jc w:val="both"/>
              <w:rPr>
                <w:sz w:val="28"/>
                <w:szCs w:val="28"/>
              </w:rPr>
            </w:pPr>
            <w:r w:rsidRPr="006A631D">
              <w:rPr>
                <w:sz w:val="28"/>
                <w:szCs w:val="28"/>
              </w:rPr>
              <w:t>Nav.</w:t>
            </w:r>
          </w:p>
        </w:tc>
      </w:tr>
    </w:tbl>
    <w:p w:rsidR="00D659E3" w:rsidRDefault="00D659E3" w:rsidP="008B0344">
      <w:pPr>
        <w:pStyle w:val="Parasts1"/>
        <w:jc w:val="center"/>
        <w:rPr>
          <w:b/>
          <w:bCs/>
          <w:sz w:val="28"/>
          <w:szCs w:val="28"/>
        </w:rPr>
      </w:pPr>
    </w:p>
    <w:p w:rsidR="00352C95" w:rsidRDefault="00352C95" w:rsidP="008B0344">
      <w:pPr>
        <w:pStyle w:val="Parasts1"/>
        <w:jc w:val="center"/>
        <w:rPr>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A0" w:firstRow="1" w:lastRow="0" w:firstColumn="1" w:lastColumn="0" w:noHBand="0" w:noVBand="0"/>
      </w:tblPr>
      <w:tblGrid>
        <w:gridCol w:w="498"/>
        <w:gridCol w:w="3168"/>
        <w:gridCol w:w="5555"/>
      </w:tblGrid>
      <w:tr w:rsidR="00352C95" w:rsidRPr="006A631D" w:rsidTr="006A76ED">
        <w:trPr>
          <w:trHeight w:val="555"/>
          <w:tblCellSpacing w:w="15" w:type="dxa"/>
        </w:trPr>
        <w:tc>
          <w:tcPr>
            <w:tcW w:w="4967" w:type="pct"/>
            <w:gridSpan w:val="3"/>
            <w:vAlign w:val="center"/>
          </w:tcPr>
          <w:p w:rsidR="00352C95" w:rsidRPr="006A631D" w:rsidRDefault="00352C95" w:rsidP="006A76ED">
            <w:pPr>
              <w:pStyle w:val="Parasts1"/>
              <w:spacing w:before="100" w:beforeAutospacing="1" w:after="100" w:afterAutospacing="1"/>
              <w:jc w:val="center"/>
              <w:rPr>
                <w:b/>
                <w:bCs/>
                <w:sz w:val="28"/>
                <w:szCs w:val="28"/>
              </w:rPr>
            </w:pPr>
            <w:r w:rsidRPr="006A631D">
              <w:rPr>
                <w:sz w:val="28"/>
                <w:szCs w:val="28"/>
              </w:rPr>
              <w:t> </w:t>
            </w:r>
            <w:r w:rsidRPr="006A631D">
              <w:rPr>
                <w:b/>
                <w:bCs/>
                <w:sz w:val="28"/>
                <w:szCs w:val="28"/>
              </w:rPr>
              <w:t>II. Tiesību akta projekta ietekme uz sabiedrību, tautsaimniecības attīstību un administratīvo slogu</w:t>
            </w:r>
          </w:p>
        </w:tc>
      </w:tr>
      <w:tr w:rsidR="00352C95" w:rsidRPr="006A631D" w:rsidTr="006A76ED">
        <w:trPr>
          <w:trHeight w:val="465"/>
          <w:tblCellSpacing w:w="15" w:type="dxa"/>
        </w:trPr>
        <w:tc>
          <w:tcPr>
            <w:tcW w:w="247" w:type="pct"/>
          </w:tcPr>
          <w:p w:rsidR="00352C95" w:rsidRPr="008B0344" w:rsidRDefault="00352C95" w:rsidP="006A76ED">
            <w:pPr>
              <w:pStyle w:val="Parasts1"/>
              <w:rPr>
                <w:sz w:val="28"/>
                <w:szCs w:val="28"/>
              </w:rPr>
            </w:pPr>
            <w:r w:rsidRPr="008B0344">
              <w:rPr>
                <w:sz w:val="28"/>
                <w:szCs w:val="28"/>
              </w:rPr>
              <w:t>1.</w:t>
            </w:r>
          </w:p>
        </w:tc>
        <w:tc>
          <w:tcPr>
            <w:tcW w:w="1713" w:type="pct"/>
          </w:tcPr>
          <w:p w:rsidR="00352C95" w:rsidRPr="006A631D" w:rsidRDefault="00352C95" w:rsidP="006A76ED">
            <w:pPr>
              <w:pStyle w:val="Parasts1"/>
              <w:rPr>
                <w:sz w:val="28"/>
                <w:szCs w:val="28"/>
              </w:rPr>
            </w:pPr>
            <w:r w:rsidRPr="006A631D">
              <w:rPr>
                <w:sz w:val="28"/>
                <w:szCs w:val="28"/>
              </w:rPr>
              <w:t xml:space="preserve">Sabiedrības </w:t>
            </w:r>
            <w:proofErr w:type="spellStart"/>
            <w:r w:rsidRPr="006A631D">
              <w:rPr>
                <w:sz w:val="28"/>
                <w:szCs w:val="28"/>
              </w:rPr>
              <w:t>mērķgrupas</w:t>
            </w:r>
            <w:proofErr w:type="spellEnd"/>
            <w:r w:rsidRPr="006A631D">
              <w:rPr>
                <w:sz w:val="28"/>
                <w:szCs w:val="28"/>
              </w:rPr>
              <w:t>, kuras tiesiskais regulējums ietekmē vai varētu ietekmēt</w:t>
            </w:r>
          </w:p>
        </w:tc>
        <w:tc>
          <w:tcPr>
            <w:tcW w:w="2975" w:type="pct"/>
          </w:tcPr>
          <w:p w:rsidR="00352C95" w:rsidRPr="006A631D" w:rsidRDefault="00352C95" w:rsidP="006A76ED">
            <w:pPr>
              <w:pStyle w:val="Parasts1"/>
              <w:rPr>
                <w:sz w:val="28"/>
                <w:szCs w:val="28"/>
              </w:rPr>
            </w:pPr>
            <w:r w:rsidRPr="006A631D">
              <w:rPr>
                <w:sz w:val="28"/>
                <w:szCs w:val="28"/>
              </w:rPr>
              <w:t xml:space="preserve">Latvijas mediju lietotāji. </w:t>
            </w:r>
          </w:p>
        </w:tc>
      </w:tr>
      <w:tr w:rsidR="00352C95" w:rsidRPr="006A631D" w:rsidTr="006A76ED">
        <w:trPr>
          <w:trHeight w:val="510"/>
          <w:tblCellSpacing w:w="15" w:type="dxa"/>
        </w:trPr>
        <w:tc>
          <w:tcPr>
            <w:tcW w:w="247" w:type="pct"/>
          </w:tcPr>
          <w:p w:rsidR="00352C95" w:rsidRPr="008B0344" w:rsidRDefault="00352C95" w:rsidP="006A76ED">
            <w:pPr>
              <w:pStyle w:val="Parasts1"/>
              <w:rPr>
                <w:sz w:val="28"/>
                <w:szCs w:val="28"/>
              </w:rPr>
            </w:pPr>
            <w:r w:rsidRPr="008B0344">
              <w:rPr>
                <w:sz w:val="28"/>
                <w:szCs w:val="28"/>
              </w:rPr>
              <w:t>2.</w:t>
            </w:r>
          </w:p>
        </w:tc>
        <w:tc>
          <w:tcPr>
            <w:tcW w:w="1713" w:type="pct"/>
          </w:tcPr>
          <w:p w:rsidR="00352C95" w:rsidRPr="006A631D" w:rsidRDefault="00352C95" w:rsidP="006A76ED">
            <w:pPr>
              <w:pStyle w:val="Parasts1"/>
              <w:rPr>
                <w:sz w:val="28"/>
                <w:szCs w:val="28"/>
              </w:rPr>
            </w:pPr>
            <w:r w:rsidRPr="006A631D">
              <w:rPr>
                <w:sz w:val="28"/>
                <w:szCs w:val="28"/>
              </w:rPr>
              <w:t>Tiesiskā regulējuma ietekme uz tautsaimniecību un administratīvo slogu</w:t>
            </w:r>
          </w:p>
        </w:tc>
        <w:tc>
          <w:tcPr>
            <w:tcW w:w="2975" w:type="pct"/>
          </w:tcPr>
          <w:p w:rsidR="00352C95" w:rsidRPr="006A631D" w:rsidRDefault="00352C95" w:rsidP="006A76ED">
            <w:pPr>
              <w:pStyle w:val="Parasts1"/>
              <w:rPr>
                <w:sz w:val="28"/>
                <w:szCs w:val="28"/>
              </w:rPr>
            </w:pPr>
            <w:r w:rsidRPr="006A631D">
              <w:rPr>
                <w:sz w:val="28"/>
                <w:szCs w:val="28"/>
              </w:rPr>
              <w:t>Rīkojuma projekts šo jomu neskar.</w:t>
            </w:r>
          </w:p>
        </w:tc>
      </w:tr>
      <w:tr w:rsidR="00352C95" w:rsidRPr="006A631D" w:rsidTr="006A76ED">
        <w:trPr>
          <w:trHeight w:val="510"/>
          <w:tblCellSpacing w:w="15" w:type="dxa"/>
        </w:trPr>
        <w:tc>
          <w:tcPr>
            <w:tcW w:w="247" w:type="pct"/>
          </w:tcPr>
          <w:p w:rsidR="00352C95" w:rsidRPr="008B0344" w:rsidRDefault="00352C95" w:rsidP="006A76ED">
            <w:pPr>
              <w:pStyle w:val="Parasts1"/>
              <w:rPr>
                <w:sz w:val="28"/>
                <w:szCs w:val="28"/>
              </w:rPr>
            </w:pPr>
            <w:r w:rsidRPr="008B0344">
              <w:rPr>
                <w:sz w:val="28"/>
                <w:szCs w:val="28"/>
              </w:rPr>
              <w:t>3.</w:t>
            </w:r>
          </w:p>
        </w:tc>
        <w:tc>
          <w:tcPr>
            <w:tcW w:w="1713" w:type="pct"/>
          </w:tcPr>
          <w:p w:rsidR="00352C95" w:rsidRPr="006A631D" w:rsidRDefault="00352C95" w:rsidP="006A76ED">
            <w:pPr>
              <w:pStyle w:val="Parasts1"/>
              <w:rPr>
                <w:sz w:val="28"/>
                <w:szCs w:val="28"/>
              </w:rPr>
            </w:pPr>
            <w:r w:rsidRPr="006A631D">
              <w:rPr>
                <w:sz w:val="28"/>
                <w:szCs w:val="28"/>
              </w:rPr>
              <w:t>Administratīvo izmaksu monetārs novērtējums</w:t>
            </w:r>
          </w:p>
        </w:tc>
        <w:tc>
          <w:tcPr>
            <w:tcW w:w="2975" w:type="pct"/>
          </w:tcPr>
          <w:p w:rsidR="00352C95" w:rsidRPr="006A631D" w:rsidRDefault="00352C95" w:rsidP="006A76ED">
            <w:pPr>
              <w:pStyle w:val="Parasts1"/>
              <w:rPr>
                <w:sz w:val="28"/>
                <w:szCs w:val="28"/>
              </w:rPr>
            </w:pPr>
            <w:r w:rsidRPr="006A631D">
              <w:rPr>
                <w:sz w:val="28"/>
                <w:szCs w:val="28"/>
              </w:rPr>
              <w:t>Rīkojuma projekts šo jomu neskar.</w:t>
            </w:r>
          </w:p>
        </w:tc>
      </w:tr>
      <w:tr w:rsidR="00352C95" w:rsidRPr="006A631D" w:rsidTr="006A76ED">
        <w:trPr>
          <w:trHeight w:val="345"/>
          <w:tblCellSpacing w:w="15" w:type="dxa"/>
        </w:trPr>
        <w:tc>
          <w:tcPr>
            <w:tcW w:w="247" w:type="pct"/>
          </w:tcPr>
          <w:p w:rsidR="00352C95" w:rsidRPr="008B0344" w:rsidRDefault="00352C95" w:rsidP="006A76ED">
            <w:pPr>
              <w:pStyle w:val="Parasts1"/>
              <w:rPr>
                <w:sz w:val="28"/>
                <w:szCs w:val="28"/>
              </w:rPr>
            </w:pPr>
            <w:r w:rsidRPr="008B0344">
              <w:rPr>
                <w:sz w:val="28"/>
                <w:szCs w:val="28"/>
              </w:rPr>
              <w:t>4.</w:t>
            </w:r>
          </w:p>
        </w:tc>
        <w:tc>
          <w:tcPr>
            <w:tcW w:w="1713" w:type="pct"/>
          </w:tcPr>
          <w:p w:rsidR="00352C95" w:rsidRPr="006A631D" w:rsidRDefault="00352C95" w:rsidP="006A76ED">
            <w:pPr>
              <w:pStyle w:val="Parasts1"/>
              <w:rPr>
                <w:sz w:val="28"/>
                <w:szCs w:val="28"/>
              </w:rPr>
            </w:pPr>
            <w:r w:rsidRPr="006A631D">
              <w:rPr>
                <w:sz w:val="28"/>
                <w:szCs w:val="28"/>
              </w:rPr>
              <w:t>Cita informācija</w:t>
            </w:r>
          </w:p>
        </w:tc>
        <w:tc>
          <w:tcPr>
            <w:tcW w:w="2975" w:type="pct"/>
          </w:tcPr>
          <w:p w:rsidR="00352C95" w:rsidRPr="006A631D" w:rsidRDefault="00352C95" w:rsidP="006A76ED">
            <w:pPr>
              <w:pStyle w:val="Parasts1"/>
              <w:spacing w:before="100" w:beforeAutospacing="1" w:after="100" w:afterAutospacing="1"/>
              <w:rPr>
                <w:sz w:val="28"/>
                <w:szCs w:val="28"/>
              </w:rPr>
            </w:pPr>
            <w:r w:rsidRPr="006A631D">
              <w:rPr>
                <w:sz w:val="28"/>
                <w:szCs w:val="28"/>
              </w:rPr>
              <w:t>Nav.</w:t>
            </w:r>
          </w:p>
        </w:tc>
      </w:tr>
    </w:tbl>
    <w:p w:rsidR="00352C95" w:rsidRDefault="00352C95" w:rsidP="008B0344">
      <w:pPr>
        <w:pStyle w:val="Parasts1"/>
        <w:jc w:val="center"/>
        <w:rPr>
          <w:b/>
          <w:bCs/>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A0" w:firstRow="1" w:lastRow="0" w:firstColumn="1" w:lastColumn="0" w:noHBand="0" w:noVBand="0"/>
      </w:tblPr>
      <w:tblGrid>
        <w:gridCol w:w="2329"/>
        <w:gridCol w:w="1100"/>
        <w:gridCol w:w="1256"/>
        <w:gridCol w:w="1209"/>
        <w:gridCol w:w="1209"/>
        <w:gridCol w:w="2118"/>
      </w:tblGrid>
      <w:tr w:rsidR="00352C95" w:rsidRPr="006A631D" w:rsidTr="006A76ED">
        <w:trPr>
          <w:trHeight w:val="360"/>
          <w:tblCellSpacing w:w="15" w:type="dxa"/>
          <w:jc w:val="center"/>
        </w:trPr>
        <w:tc>
          <w:tcPr>
            <w:tcW w:w="4967" w:type="pct"/>
            <w:gridSpan w:val="6"/>
            <w:vAlign w:val="center"/>
          </w:tcPr>
          <w:p w:rsidR="00352C95" w:rsidRPr="006A631D" w:rsidRDefault="00352C95" w:rsidP="006A76ED">
            <w:pPr>
              <w:pStyle w:val="Parasts1"/>
              <w:spacing w:before="100" w:beforeAutospacing="1" w:after="100" w:afterAutospacing="1"/>
              <w:jc w:val="center"/>
              <w:rPr>
                <w:b/>
                <w:bCs/>
                <w:sz w:val="28"/>
                <w:szCs w:val="28"/>
              </w:rPr>
            </w:pPr>
            <w:r w:rsidRPr="006A631D">
              <w:rPr>
                <w:sz w:val="28"/>
                <w:szCs w:val="28"/>
              </w:rPr>
              <w:t> </w:t>
            </w:r>
            <w:r w:rsidRPr="006A631D">
              <w:rPr>
                <w:b/>
                <w:bCs/>
                <w:sz w:val="28"/>
                <w:szCs w:val="28"/>
              </w:rPr>
              <w:t>III. Tiesību akta projekta ietekme uz valsts budžetu un pašvaldību budžetiem</w:t>
            </w:r>
          </w:p>
        </w:tc>
      </w:tr>
      <w:tr w:rsidR="00352C95" w:rsidRPr="006A631D" w:rsidTr="006A76ED">
        <w:trPr>
          <w:tblCellSpacing w:w="15" w:type="dxa"/>
          <w:jc w:val="center"/>
        </w:trPr>
        <w:tc>
          <w:tcPr>
            <w:tcW w:w="1270" w:type="pct"/>
            <w:vMerge w:val="restart"/>
            <w:vAlign w:val="center"/>
          </w:tcPr>
          <w:p w:rsidR="00352C95" w:rsidRPr="006A631D" w:rsidRDefault="00352C95" w:rsidP="006A76ED">
            <w:pPr>
              <w:pStyle w:val="Parasts1"/>
              <w:spacing w:before="100" w:beforeAutospacing="1" w:after="100" w:afterAutospacing="1"/>
              <w:jc w:val="center"/>
              <w:rPr>
                <w:b/>
                <w:bCs/>
                <w:sz w:val="28"/>
                <w:szCs w:val="28"/>
              </w:rPr>
            </w:pPr>
            <w:r w:rsidRPr="006A631D">
              <w:rPr>
                <w:b/>
                <w:bCs/>
                <w:sz w:val="28"/>
                <w:szCs w:val="28"/>
              </w:rPr>
              <w:t>Rādītāji</w:t>
            </w:r>
          </w:p>
        </w:tc>
        <w:tc>
          <w:tcPr>
            <w:tcW w:w="1266" w:type="pct"/>
            <w:gridSpan w:val="2"/>
            <w:vMerge w:val="restart"/>
            <w:vAlign w:val="center"/>
          </w:tcPr>
          <w:p w:rsidR="00352C95" w:rsidRPr="006A631D" w:rsidRDefault="00F014C3" w:rsidP="006A76ED">
            <w:pPr>
              <w:pStyle w:val="Parasts1"/>
              <w:spacing w:before="100" w:beforeAutospacing="1" w:after="100" w:afterAutospacing="1"/>
              <w:jc w:val="center"/>
              <w:rPr>
                <w:b/>
                <w:bCs/>
                <w:sz w:val="28"/>
                <w:szCs w:val="28"/>
              </w:rPr>
            </w:pPr>
            <w:r>
              <w:rPr>
                <w:b/>
                <w:bCs/>
                <w:sz w:val="28"/>
                <w:szCs w:val="28"/>
              </w:rPr>
              <w:t>2014.</w:t>
            </w:r>
            <w:r w:rsidR="00352C95" w:rsidRPr="006A631D">
              <w:rPr>
                <w:b/>
                <w:bCs/>
                <w:sz w:val="28"/>
                <w:szCs w:val="28"/>
              </w:rPr>
              <w:t>gads</w:t>
            </w:r>
          </w:p>
        </w:tc>
        <w:tc>
          <w:tcPr>
            <w:tcW w:w="2398" w:type="pct"/>
            <w:gridSpan w:val="3"/>
            <w:vAlign w:val="center"/>
          </w:tcPr>
          <w:p w:rsidR="00352C95" w:rsidRPr="006A631D" w:rsidRDefault="00352C95" w:rsidP="006A76ED">
            <w:pPr>
              <w:pStyle w:val="Parasts1"/>
              <w:spacing w:before="100" w:beforeAutospacing="1" w:after="100" w:afterAutospacing="1"/>
              <w:jc w:val="center"/>
              <w:rPr>
                <w:sz w:val="28"/>
                <w:szCs w:val="28"/>
              </w:rPr>
            </w:pPr>
            <w:r w:rsidRPr="006A631D">
              <w:rPr>
                <w:sz w:val="28"/>
                <w:szCs w:val="28"/>
              </w:rPr>
              <w:t>Turpmākie trīs gadi (</w:t>
            </w:r>
            <w:proofErr w:type="spellStart"/>
            <w:r w:rsidRPr="006A631D">
              <w:rPr>
                <w:i/>
                <w:iCs/>
                <w:sz w:val="28"/>
                <w:szCs w:val="28"/>
              </w:rPr>
              <w:t>euro</w:t>
            </w:r>
            <w:proofErr w:type="spellEnd"/>
            <w:r w:rsidRPr="006A631D">
              <w:rPr>
                <w:sz w:val="28"/>
                <w:szCs w:val="28"/>
              </w:rPr>
              <w:t>)</w:t>
            </w:r>
          </w:p>
        </w:tc>
      </w:tr>
      <w:tr w:rsidR="00352C95" w:rsidRPr="006A631D" w:rsidTr="006A76ED">
        <w:trPr>
          <w:tblCellSpacing w:w="15" w:type="dxa"/>
          <w:jc w:val="center"/>
        </w:trPr>
        <w:tc>
          <w:tcPr>
            <w:tcW w:w="1270" w:type="pct"/>
            <w:vMerge/>
            <w:vAlign w:val="center"/>
          </w:tcPr>
          <w:p w:rsidR="00352C95" w:rsidRPr="006A631D" w:rsidRDefault="00352C95" w:rsidP="006A76ED">
            <w:pPr>
              <w:pStyle w:val="Parasts1"/>
              <w:rPr>
                <w:b/>
                <w:bCs/>
                <w:sz w:val="28"/>
                <w:szCs w:val="28"/>
              </w:rPr>
            </w:pPr>
          </w:p>
        </w:tc>
        <w:tc>
          <w:tcPr>
            <w:tcW w:w="1266" w:type="pct"/>
            <w:gridSpan w:val="2"/>
            <w:vMerge/>
            <w:vAlign w:val="center"/>
          </w:tcPr>
          <w:p w:rsidR="00352C95" w:rsidRPr="006A631D" w:rsidRDefault="00352C95" w:rsidP="006A76ED">
            <w:pPr>
              <w:pStyle w:val="Parasts1"/>
              <w:rPr>
                <w:b/>
                <w:bCs/>
                <w:sz w:val="28"/>
                <w:szCs w:val="28"/>
              </w:rPr>
            </w:pPr>
          </w:p>
        </w:tc>
        <w:tc>
          <w:tcPr>
            <w:tcW w:w="639" w:type="pct"/>
            <w:vAlign w:val="center"/>
          </w:tcPr>
          <w:p w:rsidR="00352C95" w:rsidRPr="006A631D" w:rsidRDefault="00352C95" w:rsidP="006A76ED">
            <w:pPr>
              <w:pStyle w:val="Parasts1"/>
              <w:jc w:val="center"/>
              <w:rPr>
                <w:b/>
                <w:bCs/>
                <w:sz w:val="28"/>
                <w:szCs w:val="28"/>
              </w:rPr>
            </w:pPr>
            <w:r w:rsidRPr="006A631D">
              <w:rPr>
                <w:b/>
                <w:bCs/>
                <w:sz w:val="28"/>
                <w:szCs w:val="28"/>
              </w:rPr>
              <w:t>2015.</w:t>
            </w:r>
          </w:p>
        </w:tc>
        <w:tc>
          <w:tcPr>
            <w:tcW w:w="639" w:type="pct"/>
            <w:vAlign w:val="center"/>
          </w:tcPr>
          <w:p w:rsidR="00352C95" w:rsidRPr="006A631D" w:rsidRDefault="00352C95" w:rsidP="006A76ED">
            <w:pPr>
              <w:pStyle w:val="Parasts1"/>
              <w:jc w:val="center"/>
              <w:rPr>
                <w:b/>
                <w:bCs/>
                <w:sz w:val="28"/>
                <w:szCs w:val="28"/>
              </w:rPr>
            </w:pPr>
            <w:r w:rsidRPr="006A631D">
              <w:rPr>
                <w:b/>
                <w:bCs/>
                <w:sz w:val="28"/>
                <w:szCs w:val="28"/>
              </w:rPr>
              <w:t>2016.</w:t>
            </w:r>
          </w:p>
        </w:tc>
        <w:tc>
          <w:tcPr>
            <w:tcW w:w="1087" w:type="pct"/>
            <w:vAlign w:val="center"/>
          </w:tcPr>
          <w:p w:rsidR="00352C95" w:rsidRPr="006A631D" w:rsidRDefault="00352C95" w:rsidP="006A76ED">
            <w:pPr>
              <w:pStyle w:val="Parasts1"/>
              <w:jc w:val="center"/>
              <w:rPr>
                <w:b/>
                <w:bCs/>
                <w:sz w:val="28"/>
                <w:szCs w:val="28"/>
              </w:rPr>
            </w:pPr>
            <w:r w:rsidRPr="006A631D">
              <w:rPr>
                <w:b/>
                <w:bCs/>
                <w:sz w:val="28"/>
                <w:szCs w:val="28"/>
              </w:rPr>
              <w:t>2017.</w:t>
            </w:r>
          </w:p>
        </w:tc>
      </w:tr>
      <w:tr w:rsidR="00352C95" w:rsidRPr="006A631D" w:rsidTr="006A76ED">
        <w:trPr>
          <w:tblCellSpacing w:w="15" w:type="dxa"/>
          <w:jc w:val="center"/>
        </w:trPr>
        <w:tc>
          <w:tcPr>
            <w:tcW w:w="1270" w:type="pct"/>
            <w:vMerge/>
            <w:vAlign w:val="center"/>
          </w:tcPr>
          <w:p w:rsidR="00352C95" w:rsidRPr="006A631D" w:rsidRDefault="00352C95" w:rsidP="006A76ED">
            <w:pPr>
              <w:pStyle w:val="Parasts1"/>
              <w:rPr>
                <w:b/>
                <w:bCs/>
                <w:sz w:val="28"/>
                <w:szCs w:val="28"/>
              </w:rPr>
            </w:pPr>
          </w:p>
        </w:tc>
        <w:tc>
          <w:tcPr>
            <w:tcW w:w="580" w:type="pct"/>
            <w:vAlign w:val="center"/>
          </w:tcPr>
          <w:p w:rsidR="00352C95" w:rsidRPr="006A631D" w:rsidRDefault="00352C95" w:rsidP="006A76ED">
            <w:pPr>
              <w:pStyle w:val="Parasts1"/>
              <w:spacing w:before="100" w:beforeAutospacing="1" w:after="100" w:afterAutospacing="1"/>
              <w:jc w:val="center"/>
              <w:rPr>
                <w:sz w:val="28"/>
                <w:szCs w:val="28"/>
              </w:rPr>
            </w:pPr>
            <w:r w:rsidRPr="006A631D">
              <w:rPr>
                <w:sz w:val="28"/>
                <w:szCs w:val="28"/>
              </w:rPr>
              <w:t>saskaņā ar valsts budžetu kārtējam gadam</w:t>
            </w:r>
          </w:p>
        </w:tc>
        <w:tc>
          <w:tcPr>
            <w:tcW w:w="670" w:type="pct"/>
            <w:vAlign w:val="center"/>
          </w:tcPr>
          <w:p w:rsidR="00352C95" w:rsidRPr="006A631D" w:rsidRDefault="00352C95" w:rsidP="006A76ED">
            <w:pPr>
              <w:pStyle w:val="Parasts1"/>
              <w:spacing w:before="100" w:beforeAutospacing="1" w:after="100" w:afterAutospacing="1"/>
              <w:jc w:val="center"/>
              <w:rPr>
                <w:sz w:val="28"/>
                <w:szCs w:val="28"/>
              </w:rPr>
            </w:pPr>
            <w:r w:rsidRPr="006A631D">
              <w:rPr>
                <w:sz w:val="28"/>
                <w:szCs w:val="28"/>
              </w:rPr>
              <w:t>izmaiņas kārtējā gadā, salīdzinot ar valsts budžetu kārtējam gadam</w:t>
            </w:r>
          </w:p>
        </w:tc>
        <w:tc>
          <w:tcPr>
            <w:tcW w:w="639" w:type="pct"/>
            <w:vAlign w:val="center"/>
          </w:tcPr>
          <w:p w:rsidR="00352C95" w:rsidRPr="006A631D" w:rsidRDefault="00352C95" w:rsidP="006A76ED">
            <w:pPr>
              <w:pStyle w:val="Parasts1"/>
              <w:spacing w:before="100" w:beforeAutospacing="1" w:after="100" w:afterAutospacing="1"/>
              <w:jc w:val="center"/>
              <w:rPr>
                <w:sz w:val="28"/>
                <w:szCs w:val="28"/>
              </w:rPr>
            </w:pPr>
            <w:r w:rsidRPr="006A631D">
              <w:rPr>
                <w:sz w:val="28"/>
                <w:szCs w:val="28"/>
              </w:rPr>
              <w:t>izmaiņas, salīdzinot ar kārtējo (n) gadu</w:t>
            </w:r>
          </w:p>
        </w:tc>
        <w:tc>
          <w:tcPr>
            <w:tcW w:w="639" w:type="pct"/>
            <w:vAlign w:val="center"/>
          </w:tcPr>
          <w:p w:rsidR="00352C95" w:rsidRPr="006A631D" w:rsidRDefault="00352C95" w:rsidP="006A76ED">
            <w:pPr>
              <w:pStyle w:val="Parasts1"/>
              <w:spacing w:before="100" w:beforeAutospacing="1" w:after="100" w:afterAutospacing="1"/>
              <w:jc w:val="center"/>
              <w:rPr>
                <w:sz w:val="28"/>
                <w:szCs w:val="28"/>
              </w:rPr>
            </w:pPr>
            <w:r w:rsidRPr="006A631D">
              <w:rPr>
                <w:sz w:val="28"/>
                <w:szCs w:val="28"/>
              </w:rPr>
              <w:t>izmaiņas, salīdzinot ar kārtējo (n) gadu</w:t>
            </w:r>
          </w:p>
        </w:tc>
        <w:tc>
          <w:tcPr>
            <w:tcW w:w="1087" w:type="pct"/>
            <w:vAlign w:val="center"/>
          </w:tcPr>
          <w:p w:rsidR="00352C95" w:rsidRPr="006A631D" w:rsidRDefault="00352C95" w:rsidP="006A76ED">
            <w:pPr>
              <w:pStyle w:val="Parasts1"/>
              <w:spacing w:before="100" w:beforeAutospacing="1" w:after="100" w:afterAutospacing="1"/>
              <w:jc w:val="center"/>
              <w:rPr>
                <w:sz w:val="28"/>
                <w:szCs w:val="28"/>
              </w:rPr>
            </w:pPr>
            <w:r w:rsidRPr="006A631D">
              <w:rPr>
                <w:sz w:val="28"/>
                <w:szCs w:val="28"/>
              </w:rPr>
              <w:t>izmaiņas, salīdzinot ar kārtējo (n) gadu</w:t>
            </w:r>
          </w:p>
        </w:tc>
      </w:tr>
      <w:tr w:rsidR="00352C95" w:rsidRPr="006A631D" w:rsidTr="006A76ED">
        <w:trPr>
          <w:tblCellSpacing w:w="15" w:type="dxa"/>
          <w:jc w:val="center"/>
        </w:trPr>
        <w:tc>
          <w:tcPr>
            <w:tcW w:w="1270" w:type="pct"/>
            <w:vAlign w:val="center"/>
          </w:tcPr>
          <w:p w:rsidR="00352C95" w:rsidRPr="006A631D" w:rsidRDefault="00352C95" w:rsidP="006A76ED">
            <w:pPr>
              <w:pStyle w:val="Parasts1"/>
              <w:spacing w:before="100" w:beforeAutospacing="1" w:after="100" w:afterAutospacing="1"/>
              <w:jc w:val="center"/>
              <w:rPr>
                <w:sz w:val="28"/>
                <w:szCs w:val="28"/>
              </w:rPr>
            </w:pPr>
            <w:r w:rsidRPr="006A631D">
              <w:rPr>
                <w:sz w:val="28"/>
                <w:szCs w:val="28"/>
              </w:rPr>
              <w:t>1</w:t>
            </w:r>
          </w:p>
        </w:tc>
        <w:tc>
          <w:tcPr>
            <w:tcW w:w="580" w:type="pct"/>
            <w:vAlign w:val="center"/>
          </w:tcPr>
          <w:p w:rsidR="00352C95" w:rsidRPr="006A631D" w:rsidRDefault="00352C95" w:rsidP="006A76ED">
            <w:pPr>
              <w:pStyle w:val="Parasts1"/>
              <w:spacing w:before="100" w:beforeAutospacing="1" w:after="100" w:afterAutospacing="1"/>
              <w:jc w:val="center"/>
              <w:rPr>
                <w:sz w:val="28"/>
                <w:szCs w:val="28"/>
              </w:rPr>
            </w:pPr>
            <w:r w:rsidRPr="006A631D">
              <w:rPr>
                <w:sz w:val="28"/>
                <w:szCs w:val="28"/>
              </w:rPr>
              <w:t>2</w:t>
            </w:r>
          </w:p>
        </w:tc>
        <w:tc>
          <w:tcPr>
            <w:tcW w:w="670" w:type="pct"/>
            <w:vAlign w:val="center"/>
          </w:tcPr>
          <w:p w:rsidR="00352C95" w:rsidRPr="006A631D" w:rsidRDefault="00352C95" w:rsidP="006A76ED">
            <w:pPr>
              <w:pStyle w:val="Parasts1"/>
              <w:spacing w:before="100" w:beforeAutospacing="1" w:after="100" w:afterAutospacing="1"/>
              <w:jc w:val="center"/>
              <w:rPr>
                <w:sz w:val="28"/>
                <w:szCs w:val="28"/>
              </w:rPr>
            </w:pPr>
            <w:r w:rsidRPr="006A631D">
              <w:rPr>
                <w:sz w:val="28"/>
                <w:szCs w:val="28"/>
              </w:rPr>
              <w:t>3</w:t>
            </w:r>
          </w:p>
        </w:tc>
        <w:tc>
          <w:tcPr>
            <w:tcW w:w="639" w:type="pct"/>
            <w:vAlign w:val="center"/>
          </w:tcPr>
          <w:p w:rsidR="00352C95" w:rsidRPr="006A631D" w:rsidRDefault="00352C95" w:rsidP="006A76ED">
            <w:pPr>
              <w:pStyle w:val="Parasts1"/>
              <w:spacing w:before="100" w:beforeAutospacing="1" w:after="100" w:afterAutospacing="1"/>
              <w:jc w:val="center"/>
              <w:rPr>
                <w:sz w:val="28"/>
                <w:szCs w:val="28"/>
              </w:rPr>
            </w:pPr>
            <w:r w:rsidRPr="006A631D">
              <w:rPr>
                <w:sz w:val="28"/>
                <w:szCs w:val="28"/>
              </w:rPr>
              <w:t>4</w:t>
            </w:r>
          </w:p>
        </w:tc>
        <w:tc>
          <w:tcPr>
            <w:tcW w:w="639" w:type="pct"/>
            <w:vAlign w:val="center"/>
          </w:tcPr>
          <w:p w:rsidR="00352C95" w:rsidRPr="006A631D" w:rsidRDefault="00352C95" w:rsidP="006A76ED">
            <w:pPr>
              <w:pStyle w:val="Parasts1"/>
              <w:spacing w:before="100" w:beforeAutospacing="1" w:after="100" w:afterAutospacing="1"/>
              <w:jc w:val="center"/>
              <w:rPr>
                <w:sz w:val="28"/>
                <w:szCs w:val="28"/>
              </w:rPr>
            </w:pPr>
            <w:r w:rsidRPr="006A631D">
              <w:rPr>
                <w:sz w:val="28"/>
                <w:szCs w:val="28"/>
              </w:rPr>
              <w:t>5</w:t>
            </w:r>
          </w:p>
        </w:tc>
        <w:tc>
          <w:tcPr>
            <w:tcW w:w="1087" w:type="pct"/>
            <w:vAlign w:val="center"/>
          </w:tcPr>
          <w:p w:rsidR="00352C95" w:rsidRPr="006A631D" w:rsidRDefault="00352C95" w:rsidP="006A76ED">
            <w:pPr>
              <w:pStyle w:val="Parasts1"/>
              <w:spacing w:before="100" w:beforeAutospacing="1" w:after="100" w:afterAutospacing="1"/>
              <w:jc w:val="center"/>
              <w:rPr>
                <w:sz w:val="28"/>
                <w:szCs w:val="28"/>
              </w:rPr>
            </w:pPr>
            <w:r w:rsidRPr="006A631D">
              <w:rPr>
                <w:sz w:val="28"/>
                <w:szCs w:val="28"/>
              </w:rPr>
              <w:t>6</w:t>
            </w:r>
          </w:p>
        </w:tc>
      </w:tr>
      <w:tr w:rsidR="00352C95" w:rsidRPr="002B19EB" w:rsidTr="006A76ED">
        <w:trPr>
          <w:tblCellSpacing w:w="15" w:type="dxa"/>
          <w:jc w:val="center"/>
        </w:trPr>
        <w:tc>
          <w:tcPr>
            <w:tcW w:w="1270" w:type="pct"/>
          </w:tcPr>
          <w:p w:rsidR="00352C95" w:rsidRPr="006A631D" w:rsidRDefault="00352C95" w:rsidP="006A76ED">
            <w:pPr>
              <w:pStyle w:val="Parasts1"/>
              <w:rPr>
                <w:sz w:val="28"/>
                <w:szCs w:val="28"/>
              </w:rPr>
            </w:pPr>
            <w:r w:rsidRPr="006A631D">
              <w:rPr>
                <w:sz w:val="28"/>
                <w:szCs w:val="28"/>
              </w:rPr>
              <w:t>1. Budžeta ieņēmumi:</w:t>
            </w:r>
          </w:p>
        </w:tc>
        <w:tc>
          <w:tcPr>
            <w:tcW w:w="580" w:type="pct"/>
          </w:tcPr>
          <w:p w:rsidR="00352C95" w:rsidRPr="00632E63" w:rsidRDefault="00352C95" w:rsidP="006A76ED">
            <w:pPr>
              <w:pStyle w:val="Parasts1"/>
              <w:rPr>
                <w:b/>
                <w:sz w:val="18"/>
                <w:szCs w:val="18"/>
              </w:rPr>
            </w:pPr>
            <w:r w:rsidRPr="00966F6D">
              <w:rPr>
                <w:b/>
                <w:sz w:val="28"/>
                <w:szCs w:val="28"/>
              </w:rPr>
              <w:t> </w:t>
            </w:r>
            <w:r w:rsidRPr="00632E63">
              <w:rPr>
                <w:b/>
                <w:sz w:val="18"/>
                <w:szCs w:val="18"/>
              </w:rPr>
              <w:t>14 706 969</w:t>
            </w:r>
          </w:p>
        </w:tc>
        <w:tc>
          <w:tcPr>
            <w:tcW w:w="670"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6A631D" w:rsidRDefault="00352C95" w:rsidP="006A76ED">
            <w:pPr>
              <w:pStyle w:val="Parasts1"/>
              <w:rPr>
                <w:sz w:val="28"/>
                <w:szCs w:val="28"/>
              </w:rPr>
            </w:pPr>
            <w:r w:rsidRPr="006A631D">
              <w:rPr>
                <w:sz w:val="28"/>
                <w:szCs w:val="28"/>
              </w:rPr>
              <w:t>1.1. valsts pamatbudžets, tai skaitā ieņēmumi no maksas pakalpojumiem un citi pašu ieņēmumi</w:t>
            </w:r>
          </w:p>
        </w:tc>
        <w:tc>
          <w:tcPr>
            <w:tcW w:w="580" w:type="pct"/>
          </w:tcPr>
          <w:p w:rsidR="00352C95" w:rsidRPr="00632E63" w:rsidRDefault="00352C95" w:rsidP="006A76ED">
            <w:pPr>
              <w:pStyle w:val="Parasts1"/>
              <w:rPr>
                <w:b/>
                <w:sz w:val="18"/>
                <w:szCs w:val="18"/>
              </w:rPr>
            </w:pPr>
            <w:r w:rsidRPr="006A631D">
              <w:rPr>
                <w:sz w:val="28"/>
                <w:szCs w:val="28"/>
              </w:rPr>
              <w:t> </w:t>
            </w:r>
            <w:r w:rsidRPr="00632E63">
              <w:rPr>
                <w:sz w:val="18"/>
                <w:szCs w:val="18"/>
              </w:rPr>
              <w:t>14 706 969</w:t>
            </w:r>
          </w:p>
        </w:tc>
        <w:tc>
          <w:tcPr>
            <w:tcW w:w="670"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6A631D" w:rsidRDefault="00352C95" w:rsidP="006A76ED">
            <w:pPr>
              <w:pStyle w:val="Parasts1"/>
              <w:rPr>
                <w:sz w:val="28"/>
                <w:szCs w:val="28"/>
              </w:rPr>
            </w:pPr>
            <w:r w:rsidRPr="006A631D">
              <w:rPr>
                <w:sz w:val="28"/>
                <w:szCs w:val="28"/>
              </w:rPr>
              <w:t>1.2. valsts speciālais budžets</w:t>
            </w:r>
          </w:p>
        </w:tc>
        <w:tc>
          <w:tcPr>
            <w:tcW w:w="580" w:type="pct"/>
          </w:tcPr>
          <w:p w:rsidR="00352C95" w:rsidRPr="002B19EB" w:rsidRDefault="00352C95" w:rsidP="006A76ED">
            <w:pPr>
              <w:pStyle w:val="Parasts1"/>
              <w:rPr>
                <w:sz w:val="20"/>
                <w:szCs w:val="20"/>
              </w:rPr>
            </w:pPr>
            <w:r w:rsidRPr="002B19EB">
              <w:rPr>
                <w:sz w:val="20"/>
                <w:szCs w:val="20"/>
              </w:rPr>
              <w:t> 0</w:t>
            </w:r>
          </w:p>
        </w:tc>
        <w:tc>
          <w:tcPr>
            <w:tcW w:w="670"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6A631D" w:rsidRDefault="00352C95" w:rsidP="006A76ED">
            <w:pPr>
              <w:pStyle w:val="Parasts1"/>
              <w:rPr>
                <w:sz w:val="28"/>
                <w:szCs w:val="28"/>
              </w:rPr>
            </w:pPr>
            <w:r w:rsidRPr="006A631D">
              <w:rPr>
                <w:sz w:val="28"/>
                <w:szCs w:val="28"/>
              </w:rPr>
              <w:t>1.3. pašvaldību budžets</w:t>
            </w:r>
          </w:p>
        </w:tc>
        <w:tc>
          <w:tcPr>
            <w:tcW w:w="580" w:type="pct"/>
          </w:tcPr>
          <w:p w:rsidR="00352C95" w:rsidRPr="002B19EB" w:rsidRDefault="00352C95" w:rsidP="006A76ED">
            <w:pPr>
              <w:pStyle w:val="Parasts1"/>
              <w:rPr>
                <w:sz w:val="20"/>
                <w:szCs w:val="20"/>
              </w:rPr>
            </w:pPr>
            <w:r w:rsidRPr="002B19EB">
              <w:rPr>
                <w:sz w:val="20"/>
                <w:szCs w:val="20"/>
              </w:rPr>
              <w:t> 0</w:t>
            </w:r>
          </w:p>
        </w:tc>
        <w:tc>
          <w:tcPr>
            <w:tcW w:w="670"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6A631D" w:rsidRDefault="00352C95" w:rsidP="006A76ED">
            <w:pPr>
              <w:pStyle w:val="Parasts1"/>
              <w:rPr>
                <w:sz w:val="28"/>
                <w:szCs w:val="28"/>
              </w:rPr>
            </w:pPr>
            <w:r w:rsidRPr="006A631D">
              <w:rPr>
                <w:sz w:val="28"/>
                <w:szCs w:val="28"/>
              </w:rPr>
              <w:t>2. Budžeta izdevumi:</w:t>
            </w:r>
          </w:p>
        </w:tc>
        <w:tc>
          <w:tcPr>
            <w:tcW w:w="580" w:type="pct"/>
          </w:tcPr>
          <w:p w:rsidR="00352C95" w:rsidRPr="002B19EB" w:rsidRDefault="00352C95" w:rsidP="006A76ED">
            <w:pPr>
              <w:pStyle w:val="Parasts1"/>
              <w:rPr>
                <w:b/>
                <w:sz w:val="20"/>
                <w:szCs w:val="20"/>
              </w:rPr>
            </w:pPr>
            <w:r w:rsidRPr="00453A37">
              <w:rPr>
                <w:b/>
                <w:sz w:val="20"/>
                <w:szCs w:val="20"/>
              </w:rPr>
              <w:t> </w:t>
            </w:r>
            <w:r w:rsidRPr="00632E63">
              <w:rPr>
                <w:b/>
                <w:sz w:val="20"/>
                <w:szCs w:val="20"/>
              </w:rPr>
              <w:t>14 706 969</w:t>
            </w:r>
          </w:p>
        </w:tc>
        <w:tc>
          <w:tcPr>
            <w:tcW w:w="670" w:type="pct"/>
          </w:tcPr>
          <w:p w:rsidR="00352C95" w:rsidRPr="00453A37" w:rsidRDefault="00352C95" w:rsidP="006A76ED">
            <w:pPr>
              <w:pStyle w:val="Parasts1"/>
              <w:rPr>
                <w:b/>
                <w:sz w:val="20"/>
                <w:szCs w:val="20"/>
              </w:rPr>
            </w:pPr>
            <w:r>
              <w:rPr>
                <w:b/>
                <w:sz w:val="20"/>
                <w:szCs w:val="20"/>
              </w:rPr>
              <w:t>27 192</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6A631D" w:rsidRDefault="00352C95" w:rsidP="006A76ED">
            <w:pPr>
              <w:pStyle w:val="Parasts1"/>
              <w:rPr>
                <w:sz w:val="28"/>
                <w:szCs w:val="28"/>
              </w:rPr>
            </w:pPr>
            <w:r w:rsidRPr="006A631D">
              <w:rPr>
                <w:sz w:val="28"/>
                <w:szCs w:val="28"/>
              </w:rPr>
              <w:t>2.1. valsts pamatbudžets</w:t>
            </w:r>
          </w:p>
        </w:tc>
        <w:tc>
          <w:tcPr>
            <w:tcW w:w="580" w:type="pct"/>
          </w:tcPr>
          <w:p w:rsidR="00352C95" w:rsidRPr="002B19EB" w:rsidRDefault="00352C95" w:rsidP="006A76ED">
            <w:pPr>
              <w:pStyle w:val="Parasts1"/>
              <w:rPr>
                <w:b/>
                <w:sz w:val="18"/>
                <w:szCs w:val="18"/>
              </w:rPr>
            </w:pPr>
            <w:r w:rsidRPr="00242273">
              <w:rPr>
                <w:b/>
                <w:sz w:val="18"/>
                <w:szCs w:val="18"/>
              </w:rPr>
              <w:t> </w:t>
            </w:r>
            <w:r w:rsidRPr="00632E63">
              <w:rPr>
                <w:b/>
                <w:sz w:val="18"/>
                <w:szCs w:val="18"/>
              </w:rPr>
              <w:t>14 706 969</w:t>
            </w:r>
          </w:p>
        </w:tc>
        <w:tc>
          <w:tcPr>
            <w:tcW w:w="670" w:type="pct"/>
          </w:tcPr>
          <w:p w:rsidR="00352C95" w:rsidRPr="00242273" w:rsidRDefault="00352C95" w:rsidP="006A76ED">
            <w:pPr>
              <w:pStyle w:val="Parasts1"/>
              <w:rPr>
                <w:b/>
                <w:sz w:val="20"/>
                <w:szCs w:val="20"/>
              </w:rPr>
            </w:pPr>
            <w:r>
              <w:rPr>
                <w:b/>
                <w:sz w:val="20"/>
                <w:szCs w:val="20"/>
              </w:rPr>
              <w:t>27 192</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6A631D" w:rsidRDefault="00352C95" w:rsidP="006A76ED">
            <w:pPr>
              <w:pStyle w:val="Parasts1"/>
              <w:rPr>
                <w:sz w:val="28"/>
                <w:szCs w:val="28"/>
              </w:rPr>
            </w:pPr>
            <w:r w:rsidRPr="006A631D">
              <w:rPr>
                <w:sz w:val="28"/>
                <w:szCs w:val="28"/>
              </w:rPr>
              <w:t>2.2. valsts speciālais budžets</w:t>
            </w:r>
          </w:p>
        </w:tc>
        <w:tc>
          <w:tcPr>
            <w:tcW w:w="580" w:type="pct"/>
          </w:tcPr>
          <w:p w:rsidR="00352C95" w:rsidRPr="002B19EB" w:rsidRDefault="00352C95" w:rsidP="006A76ED">
            <w:pPr>
              <w:pStyle w:val="Parasts1"/>
              <w:rPr>
                <w:sz w:val="20"/>
                <w:szCs w:val="20"/>
              </w:rPr>
            </w:pPr>
            <w:r w:rsidRPr="002B19EB">
              <w:rPr>
                <w:sz w:val="20"/>
                <w:szCs w:val="20"/>
              </w:rPr>
              <w:t> 0</w:t>
            </w:r>
          </w:p>
        </w:tc>
        <w:tc>
          <w:tcPr>
            <w:tcW w:w="670"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6A631D" w:rsidRDefault="00352C95" w:rsidP="006A76ED">
            <w:pPr>
              <w:pStyle w:val="Parasts1"/>
              <w:rPr>
                <w:sz w:val="28"/>
                <w:szCs w:val="28"/>
              </w:rPr>
            </w:pPr>
            <w:r w:rsidRPr="006A631D">
              <w:rPr>
                <w:sz w:val="28"/>
                <w:szCs w:val="28"/>
              </w:rPr>
              <w:t>2.3. pašvaldību budžets</w:t>
            </w:r>
          </w:p>
        </w:tc>
        <w:tc>
          <w:tcPr>
            <w:tcW w:w="580" w:type="pct"/>
          </w:tcPr>
          <w:p w:rsidR="00352C95" w:rsidRPr="002B19EB" w:rsidRDefault="00352C95" w:rsidP="006A76ED">
            <w:pPr>
              <w:pStyle w:val="Parasts1"/>
              <w:rPr>
                <w:sz w:val="20"/>
                <w:szCs w:val="20"/>
              </w:rPr>
            </w:pPr>
            <w:r w:rsidRPr="002B19EB">
              <w:rPr>
                <w:sz w:val="20"/>
                <w:szCs w:val="20"/>
              </w:rPr>
              <w:t> 0</w:t>
            </w:r>
          </w:p>
        </w:tc>
        <w:tc>
          <w:tcPr>
            <w:tcW w:w="670"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6A631D" w:rsidRDefault="00352C95" w:rsidP="006A76ED">
            <w:pPr>
              <w:pStyle w:val="Parasts1"/>
              <w:rPr>
                <w:sz w:val="28"/>
                <w:szCs w:val="28"/>
              </w:rPr>
            </w:pPr>
            <w:r w:rsidRPr="006A631D">
              <w:rPr>
                <w:sz w:val="28"/>
                <w:szCs w:val="28"/>
              </w:rPr>
              <w:t>3. Finansiālā ietekme:</w:t>
            </w:r>
          </w:p>
        </w:tc>
        <w:tc>
          <w:tcPr>
            <w:tcW w:w="580" w:type="pct"/>
            <w:vAlign w:val="center"/>
          </w:tcPr>
          <w:p w:rsidR="00352C95" w:rsidRPr="002B19EB" w:rsidRDefault="00352C95" w:rsidP="006A76ED">
            <w:pPr>
              <w:pStyle w:val="Parasts1"/>
              <w:rPr>
                <w:sz w:val="20"/>
                <w:szCs w:val="20"/>
              </w:rPr>
            </w:pPr>
            <w:r w:rsidRPr="002B19EB">
              <w:rPr>
                <w:sz w:val="20"/>
                <w:szCs w:val="20"/>
              </w:rPr>
              <w:t> 0</w:t>
            </w:r>
          </w:p>
        </w:tc>
        <w:tc>
          <w:tcPr>
            <w:tcW w:w="670" w:type="pct"/>
          </w:tcPr>
          <w:p w:rsidR="00352C95" w:rsidRPr="002B19EB" w:rsidRDefault="00352C95" w:rsidP="006A76ED">
            <w:pPr>
              <w:pStyle w:val="Parasts1"/>
              <w:ind w:left="75"/>
              <w:rPr>
                <w:sz w:val="20"/>
                <w:szCs w:val="20"/>
              </w:rPr>
            </w:pPr>
            <w:r w:rsidRPr="002B19EB">
              <w:rPr>
                <w:sz w:val="20"/>
                <w:szCs w:val="20"/>
              </w:rPr>
              <w:t>-</w:t>
            </w:r>
            <w:r w:rsidRPr="009F0E52">
              <w:rPr>
                <w:b/>
                <w:sz w:val="20"/>
                <w:szCs w:val="20"/>
              </w:rPr>
              <w:t xml:space="preserve">27 </w:t>
            </w:r>
            <w:r>
              <w:rPr>
                <w:b/>
                <w:sz w:val="20"/>
                <w:szCs w:val="20"/>
              </w:rPr>
              <w:t>192</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6A631D" w:rsidRDefault="00352C95" w:rsidP="006A76ED">
            <w:pPr>
              <w:pStyle w:val="Parasts1"/>
              <w:rPr>
                <w:sz w:val="28"/>
                <w:szCs w:val="28"/>
              </w:rPr>
            </w:pPr>
            <w:r w:rsidRPr="006A631D">
              <w:rPr>
                <w:sz w:val="28"/>
                <w:szCs w:val="28"/>
              </w:rPr>
              <w:t>3.1. valsts pamatbudžets</w:t>
            </w:r>
          </w:p>
        </w:tc>
        <w:tc>
          <w:tcPr>
            <w:tcW w:w="580" w:type="pct"/>
          </w:tcPr>
          <w:p w:rsidR="00352C95" w:rsidRPr="002B19EB" w:rsidRDefault="00352C95" w:rsidP="006A76ED">
            <w:pPr>
              <w:pStyle w:val="Parasts1"/>
              <w:rPr>
                <w:sz w:val="20"/>
                <w:szCs w:val="20"/>
              </w:rPr>
            </w:pPr>
            <w:r w:rsidRPr="002B19EB">
              <w:rPr>
                <w:sz w:val="20"/>
                <w:szCs w:val="20"/>
              </w:rPr>
              <w:t> 0</w:t>
            </w:r>
          </w:p>
        </w:tc>
        <w:tc>
          <w:tcPr>
            <w:tcW w:w="670" w:type="pct"/>
          </w:tcPr>
          <w:p w:rsidR="00352C95" w:rsidRPr="002B19EB" w:rsidRDefault="00352C95" w:rsidP="006A76ED">
            <w:pPr>
              <w:pStyle w:val="Parasts1"/>
              <w:rPr>
                <w:b/>
                <w:sz w:val="20"/>
                <w:szCs w:val="20"/>
              </w:rPr>
            </w:pPr>
            <w:r w:rsidRPr="002B19EB">
              <w:rPr>
                <w:sz w:val="20"/>
                <w:szCs w:val="20"/>
              </w:rPr>
              <w:t> </w:t>
            </w:r>
            <w:r w:rsidRPr="002B19EB">
              <w:rPr>
                <w:b/>
                <w:sz w:val="20"/>
                <w:szCs w:val="20"/>
              </w:rPr>
              <w:t>-</w:t>
            </w:r>
            <w:r>
              <w:rPr>
                <w:b/>
                <w:sz w:val="20"/>
                <w:szCs w:val="20"/>
              </w:rPr>
              <w:t xml:space="preserve"> 27 192</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6A631D" w:rsidRDefault="00352C95" w:rsidP="006A76ED">
            <w:pPr>
              <w:pStyle w:val="Parasts1"/>
              <w:rPr>
                <w:sz w:val="28"/>
                <w:szCs w:val="28"/>
              </w:rPr>
            </w:pPr>
            <w:r w:rsidRPr="006A631D">
              <w:rPr>
                <w:sz w:val="28"/>
                <w:szCs w:val="28"/>
              </w:rPr>
              <w:t>3.2. speciālais budžets</w:t>
            </w:r>
          </w:p>
        </w:tc>
        <w:tc>
          <w:tcPr>
            <w:tcW w:w="580" w:type="pct"/>
          </w:tcPr>
          <w:p w:rsidR="00352C95" w:rsidRPr="002B19EB" w:rsidRDefault="00352C95" w:rsidP="006A76ED">
            <w:pPr>
              <w:pStyle w:val="Parasts1"/>
              <w:rPr>
                <w:sz w:val="20"/>
                <w:szCs w:val="20"/>
              </w:rPr>
            </w:pPr>
            <w:r w:rsidRPr="002B19EB">
              <w:rPr>
                <w:sz w:val="20"/>
                <w:szCs w:val="20"/>
              </w:rPr>
              <w:t> 0</w:t>
            </w:r>
          </w:p>
        </w:tc>
        <w:tc>
          <w:tcPr>
            <w:tcW w:w="670"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8B0344" w:rsidRDefault="00352C95" w:rsidP="006A76ED">
            <w:pPr>
              <w:pStyle w:val="Parasts1"/>
              <w:rPr>
                <w:sz w:val="28"/>
                <w:szCs w:val="28"/>
              </w:rPr>
            </w:pPr>
            <w:r w:rsidRPr="008B0344">
              <w:rPr>
                <w:sz w:val="28"/>
                <w:szCs w:val="28"/>
              </w:rPr>
              <w:t>3.3. pašvaldību budžets</w:t>
            </w:r>
          </w:p>
        </w:tc>
        <w:tc>
          <w:tcPr>
            <w:tcW w:w="580" w:type="pct"/>
          </w:tcPr>
          <w:p w:rsidR="00352C95" w:rsidRPr="002B19EB" w:rsidRDefault="00352C95" w:rsidP="006A76ED">
            <w:pPr>
              <w:pStyle w:val="Parasts1"/>
              <w:rPr>
                <w:sz w:val="20"/>
                <w:szCs w:val="20"/>
              </w:rPr>
            </w:pPr>
            <w:r w:rsidRPr="002B19EB">
              <w:rPr>
                <w:sz w:val="20"/>
                <w:szCs w:val="20"/>
              </w:rPr>
              <w:t> 0</w:t>
            </w:r>
          </w:p>
        </w:tc>
        <w:tc>
          <w:tcPr>
            <w:tcW w:w="670"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vMerge w:val="restart"/>
          </w:tcPr>
          <w:p w:rsidR="00352C95" w:rsidRPr="008B0344" w:rsidRDefault="00352C95" w:rsidP="006A76ED">
            <w:pPr>
              <w:pStyle w:val="Parasts1"/>
              <w:rPr>
                <w:sz w:val="28"/>
                <w:szCs w:val="28"/>
              </w:rPr>
            </w:pPr>
            <w:r w:rsidRPr="008B0344">
              <w:rPr>
                <w:sz w:val="28"/>
                <w:szCs w:val="28"/>
              </w:rPr>
              <w:t>4. Finanšu līdzekļi papildu izdevumu finansēšanai (kompensējošu izdevumu samazinājumu norāda ar "+" zīmi)</w:t>
            </w:r>
          </w:p>
        </w:tc>
        <w:tc>
          <w:tcPr>
            <w:tcW w:w="580" w:type="pct"/>
            <w:vMerge w:val="restart"/>
          </w:tcPr>
          <w:p w:rsidR="00352C95" w:rsidRPr="008B0344" w:rsidRDefault="00352C95" w:rsidP="006A76ED">
            <w:pPr>
              <w:pStyle w:val="Parasts1"/>
              <w:spacing w:before="100" w:beforeAutospacing="1" w:after="100" w:afterAutospacing="1"/>
              <w:jc w:val="center"/>
              <w:rPr>
                <w:sz w:val="28"/>
                <w:szCs w:val="28"/>
              </w:rPr>
            </w:pPr>
            <w:r w:rsidRPr="008B0344">
              <w:rPr>
                <w:sz w:val="28"/>
                <w:szCs w:val="28"/>
              </w:rPr>
              <w:t>X</w:t>
            </w:r>
          </w:p>
        </w:tc>
        <w:tc>
          <w:tcPr>
            <w:tcW w:w="670" w:type="pct"/>
          </w:tcPr>
          <w:p w:rsidR="00352C95" w:rsidRPr="002B19EB" w:rsidRDefault="00352C95" w:rsidP="006A76ED">
            <w:pPr>
              <w:pStyle w:val="Parasts1"/>
              <w:rPr>
                <w:b/>
                <w:sz w:val="20"/>
                <w:szCs w:val="20"/>
              </w:rPr>
            </w:pPr>
            <w:r w:rsidRPr="002B19EB">
              <w:rPr>
                <w:b/>
                <w:sz w:val="20"/>
                <w:szCs w:val="20"/>
              </w:rPr>
              <w:t> </w:t>
            </w:r>
            <w:r>
              <w:rPr>
                <w:b/>
                <w:sz w:val="20"/>
                <w:szCs w:val="20"/>
              </w:rPr>
              <w:t>27 192</w:t>
            </w:r>
          </w:p>
        </w:tc>
        <w:tc>
          <w:tcPr>
            <w:tcW w:w="639" w:type="pct"/>
          </w:tcPr>
          <w:p w:rsidR="00352C95" w:rsidRPr="002B19EB" w:rsidRDefault="00352C95" w:rsidP="006A76ED">
            <w:pPr>
              <w:pStyle w:val="Parasts1"/>
              <w:rPr>
                <w:b/>
                <w:sz w:val="20"/>
                <w:szCs w:val="20"/>
              </w:rPr>
            </w:pPr>
            <w:r w:rsidRPr="002B19EB">
              <w:rPr>
                <w:b/>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vMerge/>
            <w:vAlign w:val="center"/>
          </w:tcPr>
          <w:p w:rsidR="00352C95" w:rsidRPr="008B0344" w:rsidRDefault="00352C95" w:rsidP="006A76ED">
            <w:pPr>
              <w:pStyle w:val="Parasts1"/>
              <w:rPr>
                <w:sz w:val="28"/>
                <w:szCs w:val="28"/>
              </w:rPr>
            </w:pPr>
          </w:p>
        </w:tc>
        <w:tc>
          <w:tcPr>
            <w:tcW w:w="580" w:type="pct"/>
            <w:vMerge/>
            <w:vAlign w:val="center"/>
          </w:tcPr>
          <w:p w:rsidR="00352C95" w:rsidRPr="008B0344" w:rsidRDefault="00352C95" w:rsidP="006A76ED">
            <w:pPr>
              <w:pStyle w:val="Parasts1"/>
              <w:rPr>
                <w:sz w:val="28"/>
                <w:szCs w:val="28"/>
              </w:rPr>
            </w:pPr>
          </w:p>
        </w:tc>
        <w:tc>
          <w:tcPr>
            <w:tcW w:w="670" w:type="pct"/>
          </w:tcPr>
          <w:p w:rsidR="00352C95" w:rsidRPr="002B19EB" w:rsidRDefault="00352C95" w:rsidP="006A76ED">
            <w:pPr>
              <w:pStyle w:val="Parasts1"/>
              <w:rPr>
                <w:b/>
                <w:sz w:val="20"/>
                <w:szCs w:val="20"/>
              </w:rPr>
            </w:pPr>
            <w:r w:rsidRPr="002B19EB">
              <w:rPr>
                <w:sz w:val="20"/>
                <w:szCs w:val="20"/>
              </w:rPr>
              <w:t> </w:t>
            </w:r>
            <w:r w:rsidRPr="002B19EB">
              <w:rPr>
                <w:b/>
                <w:sz w:val="20"/>
                <w:szCs w:val="20"/>
              </w:rPr>
              <w:t>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vMerge/>
            <w:vAlign w:val="center"/>
          </w:tcPr>
          <w:p w:rsidR="00352C95" w:rsidRPr="008B0344" w:rsidRDefault="00352C95" w:rsidP="006A76ED">
            <w:pPr>
              <w:pStyle w:val="Parasts1"/>
              <w:rPr>
                <w:sz w:val="28"/>
                <w:szCs w:val="28"/>
              </w:rPr>
            </w:pPr>
          </w:p>
        </w:tc>
        <w:tc>
          <w:tcPr>
            <w:tcW w:w="580" w:type="pct"/>
            <w:vMerge/>
            <w:vAlign w:val="center"/>
          </w:tcPr>
          <w:p w:rsidR="00352C95" w:rsidRPr="008B0344" w:rsidRDefault="00352C95" w:rsidP="006A76ED">
            <w:pPr>
              <w:pStyle w:val="Parasts1"/>
              <w:rPr>
                <w:sz w:val="28"/>
                <w:szCs w:val="28"/>
              </w:rPr>
            </w:pPr>
          </w:p>
        </w:tc>
        <w:tc>
          <w:tcPr>
            <w:tcW w:w="670"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8B0344" w:rsidRDefault="00352C95" w:rsidP="006A76ED">
            <w:pPr>
              <w:pStyle w:val="Parasts1"/>
              <w:rPr>
                <w:sz w:val="28"/>
                <w:szCs w:val="28"/>
              </w:rPr>
            </w:pPr>
            <w:r w:rsidRPr="008B0344">
              <w:rPr>
                <w:sz w:val="28"/>
                <w:szCs w:val="28"/>
              </w:rPr>
              <w:t>5. Precizēta finansiālā ietekme:</w:t>
            </w:r>
          </w:p>
        </w:tc>
        <w:tc>
          <w:tcPr>
            <w:tcW w:w="580" w:type="pct"/>
            <w:vMerge w:val="restart"/>
          </w:tcPr>
          <w:p w:rsidR="00352C95" w:rsidRPr="008B0344" w:rsidRDefault="00352C95" w:rsidP="006A76ED">
            <w:pPr>
              <w:pStyle w:val="Parasts1"/>
              <w:spacing w:before="100" w:beforeAutospacing="1" w:after="100" w:afterAutospacing="1"/>
              <w:jc w:val="center"/>
              <w:rPr>
                <w:sz w:val="28"/>
                <w:szCs w:val="28"/>
              </w:rPr>
            </w:pPr>
            <w:r w:rsidRPr="008B0344">
              <w:rPr>
                <w:sz w:val="28"/>
                <w:szCs w:val="28"/>
              </w:rPr>
              <w:t>X</w:t>
            </w:r>
          </w:p>
        </w:tc>
        <w:tc>
          <w:tcPr>
            <w:tcW w:w="670" w:type="pct"/>
          </w:tcPr>
          <w:p w:rsidR="00352C95" w:rsidRPr="002B19EB" w:rsidRDefault="00352C95" w:rsidP="006A76ED">
            <w:pPr>
              <w:pStyle w:val="Parasts1"/>
              <w:rPr>
                <w:sz w:val="20"/>
                <w:szCs w:val="20"/>
              </w:rPr>
            </w:pPr>
            <w:r w:rsidRPr="002B19EB">
              <w:rPr>
                <w:sz w:val="20"/>
                <w:szCs w:val="20"/>
              </w:rPr>
              <w:t>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8B0344" w:rsidRDefault="00352C95" w:rsidP="006A76ED">
            <w:pPr>
              <w:pStyle w:val="Parasts1"/>
              <w:rPr>
                <w:sz w:val="28"/>
                <w:szCs w:val="28"/>
              </w:rPr>
            </w:pPr>
            <w:r w:rsidRPr="008B0344">
              <w:rPr>
                <w:sz w:val="28"/>
                <w:szCs w:val="28"/>
              </w:rPr>
              <w:t>5.1. valsts pamatbudžets</w:t>
            </w:r>
          </w:p>
        </w:tc>
        <w:tc>
          <w:tcPr>
            <w:tcW w:w="580" w:type="pct"/>
            <w:vMerge/>
            <w:vAlign w:val="center"/>
          </w:tcPr>
          <w:p w:rsidR="00352C95" w:rsidRPr="008B0344" w:rsidRDefault="00352C95" w:rsidP="006A76ED">
            <w:pPr>
              <w:pStyle w:val="Parasts1"/>
              <w:rPr>
                <w:sz w:val="28"/>
                <w:szCs w:val="28"/>
              </w:rPr>
            </w:pPr>
          </w:p>
        </w:tc>
        <w:tc>
          <w:tcPr>
            <w:tcW w:w="670"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8B0344" w:rsidRDefault="00352C95" w:rsidP="006A76ED">
            <w:pPr>
              <w:pStyle w:val="Parasts1"/>
              <w:rPr>
                <w:sz w:val="28"/>
                <w:szCs w:val="28"/>
              </w:rPr>
            </w:pPr>
            <w:r w:rsidRPr="008B0344">
              <w:rPr>
                <w:sz w:val="28"/>
                <w:szCs w:val="28"/>
              </w:rPr>
              <w:t>5.2. speciālais budžets</w:t>
            </w:r>
          </w:p>
        </w:tc>
        <w:tc>
          <w:tcPr>
            <w:tcW w:w="580" w:type="pct"/>
            <w:vMerge/>
            <w:vAlign w:val="center"/>
          </w:tcPr>
          <w:p w:rsidR="00352C95" w:rsidRPr="008B0344" w:rsidRDefault="00352C95" w:rsidP="006A76ED">
            <w:pPr>
              <w:pStyle w:val="Parasts1"/>
              <w:rPr>
                <w:sz w:val="28"/>
                <w:szCs w:val="28"/>
              </w:rPr>
            </w:pPr>
          </w:p>
        </w:tc>
        <w:tc>
          <w:tcPr>
            <w:tcW w:w="670"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2B19EB" w:rsidTr="006A76ED">
        <w:trPr>
          <w:tblCellSpacing w:w="15" w:type="dxa"/>
          <w:jc w:val="center"/>
        </w:trPr>
        <w:tc>
          <w:tcPr>
            <w:tcW w:w="1270" w:type="pct"/>
          </w:tcPr>
          <w:p w:rsidR="00352C95" w:rsidRPr="008B0344" w:rsidRDefault="00352C95" w:rsidP="006A76ED">
            <w:pPr>
              <w:pStyle w:val="Parasts1"/>
              <w:rPr>
                <w:sz w:val="28"/>
                <w:szCs w:val="28"/>
              </w:rPr>
            </w:pPr>
            <w:r w:rsidRPr="008B0344">
              <w:rPr>
                <w:sz w:val="28"/>
                <w:szCs w:val="28"/>
              </w:rPr>
              <w:t>5.3. pašvaldību budžets</w:t>
            </w:r>
          </w:p>
        </w:tc>
        <w:tc>
          <w:tcPr>
            <w:tcW w:w="580" w:type="pct"/>
            <w:vMerge/>
            <w:vAlign w:val="center"/>
          </w:tcPr>
          <w:p w:rsidR="00352C95" w:rsidRPr="008B0344" w:rsidRDefault="00352C95" w:rsidP="006A76ED">
            <w:pPr>
              <w:pStyle w:val="Parasts1"/>
              <w:rPr>
                <w:sz w:val="28"/>
                <w:szCs w:val="28"/>
              </w:rPr>
            </w:pPr>
          </w:p>
        </w:tc>
        <w:tc>
          <w:tcPr>
            <w:tcW w:w="670"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639" w:type="pct"/>
          </w:tcPr>
          <w:p w:rsidR="00352C95" w:rsidRPr="002B19EB" w:rsidRDefault="00352C95" w:rsidP="006A76ED">
            <w:pPr>
              <w:pStyle w:val="Parasts1"/>
              <w:rPr>
                <w:sz w:val="20"/>
                <w:szCs w:val="20"/>
              </w:rPr>
            </w:pPr>
            <w:r w:rsidRPr="002B19EB">
              <w:rPr>
                <w:sz w:val="20"/>
                <w:szCs w:val="20"/>
              </w:rPr>
              <w:t> 0</w:t>
            </w:r>
          </w:p>
        </w:tc>
        <w:tc>
          <w:tcPr>
            <w:tcW w:w="1087" w:type="pct"/>
          </w:tcPr>
          <w:p w:rsidR="00352C95" w:rsidRPr="002B19EB" w:rsidRDefault="00352C95" w:rsidP="006A76ED">
            <w:pPr>
              <w:pStyle w:val="Parasts1"/>
              <w:rPr>
                <w:sz w:val="20"/>
                <w:szCs w:val="20"/>
              </w:rPr>
            </w:pPr>
            <w:r w:rsidRPr="002B19EB">
              <w:rPr>
                <w:sz w:val="20"/>
                <w:szCs w:val="20"/>
              </w:rPr>
              <w:t> 0</w:t>
            </w:r>
          </w:p>
        </w:tc>
      </w:tr>
      <w:tr w:rsidR="00352C95" w:rsidRPr="008B0344" w:rsidTr="00F014C3">
        <w:trPr>
          <w:tblCellSpacing w:w="15" w:type="dxa"/>
          <w:jc w:val="center"/>
        </w:trPr>
        <w:tc>
          <w:tcPr>
            <w:tcW w:w="1270" w:type="pct"/>
          </w:tcPr>
          <w:p w:rsidR="00352C95" w:rsidRPr="008B0344" w:rsidRDefault="00352C95" w:rsidP="006A76ED">
            <w:pPr>
              <w:pStyle w:val="Parasts1"/>
              <w:rPr>
                <w:sz w:val="28"/>
                <w:szCs w:val="28"/>
              </w:rPr>
            </w:pPr>
            <w:r w:rsidRPr="008B0344">
              <w:rPr>
                <w:sz w:val="28"/>
                <w:szCs w:val="28"/>
              </w:rPr>
              <w:t>6. Detalizēts ieņēmumu un izdevumu aprēķins (ja nepieciešams, detalizētu ieņēmumu un izdevumu aprēķinu var pievienot anotācijas pielikumā):</w:t>
            </w:r>
          </w:p>
        </w:tc>
        <w:tc>
          <w:tcPr>
            <w:tcW w:w="3681" w:type="pct"/>
            <w:gridSpan w:val="5"/>
            <w:vMerge w:val="restart"/>
          </w:tcPr>
          <w:p w:rsidR="00352C95" w:rsidRPr="008B0344" w:rsidRDefault="00352C95" w:rsidP="00F014C3">
            <w:pPr>
              <w:pStyle w:val="Parasts1"/>
              <w:jc w:val="both"/>
              <w:rPr>
                <w:sz w:val="28"/>
                <w:szCs w:val="28"/>
              </w:rPr>
            </w:pPr>
            <w:r w:rsidRPr="008B0344">
              <w:rPr>
                <w:sz w:val="28"/>
                <w:szCs w:val="28"/>
              </w:rPr>
              <w:t>Nepieciešam</w:t>
            </w:r>
            <w:r>
              <w:rPr>
                <w:sz w:val="28"/>
                <w:szCs w:val="28"/>
              </w:rPr>
              <w:t>ā</w:t>
            </w:r>
            <w:r w:rsidRPr="008B0344">
              <w:rPr>
                <w:sz w:val="28"/>
                <w:szCs w:val="28"/>
              </w:rPr>
              <w:t xml:space="preserve"> papildu finansējum</w:t>
            </w:r>
            <w:r>
              <w:rPr>
                <w:sz w:val="28"/>
                <w:szCs w:val="28"/>
              </w:rPr>
              <w:t>a</w:t>
            </w:r>
            <w:r w:rsidRPr="008B0344">
              <w:rPr>
                <w:sz w:val="28"/>
                <w:szCs w:val="28"/>
              </w:rPr>
              <w:t xml:space="preserve"> </w:t>
            </w:r>
            <w:r>
              <w:rPr>
                <w:sz w:val="28"/>
                <w:szCs w:val="28"/>
              </w:rPr>
              <w:t>27 192</w:t>
            </w:r>
            <w:r w:rsidRPr="008B0344">
              <w:rPr>
                <w:sz w:val="28"/>
                <w:szCs w:val="28"/>
              </w:rPr>
              <w:t xml:space="preserve"> </w:t>
            </w:r>
            <w:proofErr w:type="spellStart"/>
            <w:r w:rsidRPr="008B0344">
              <w:rPr>
                <w:i/>
                <w:sz w:val="28"/>
                <w:szCs w:val="28"/>
              </w:rPr>
              <w:t>euro</w:t>
            </w:r>
            <w:proofErr w:type="spellEnd"/>
            <w:r w:rsidRPr="008B0344">
              <w:rPr>
                <w:sz w:val="28"/>
                <w:szCs w:val="28"/>
              </w:rPr>
              <w:t xml:space="preserve"> apmērā</w:t>
            </w:r>
            <w:r>
              <w:rPr>
                <w:sz w:val="28"/>
                <w:szCs w:val="28"/>
              </w:rPr>
              <w:t xml:space="preserve"> d</w:t>
            </w:r>
            <w:r w:rsidRPr="008B0344">
              <w:rPr>
                <w:sz w:val="28"/>
                <w:szCs w:val="28"/>
              </w:rPr>
              <w:t xml:space="preserve">etalizēts izdevumu aprēķins </w:t>
            </w:r>
            <w:r w:rsidR="00F014C3">
              <w:rPr>
                <w:sz w:val="28"/>
                <w:szCs w:val="28"/>
              </w:rPr>
              <w:t xml:space="preserve">sniegts </w:t>
            </w:r>
            <w:r w:rsidRPr="008B0344">
              <w:rPr>
                <w:sz w:val="28"/>
                <w:szCs w:val="28"/>
              </w:rPr>
              <w:t>anotācijas pielikumā.</w:t>
            </w:r>
          </w:p>
        </w:tc>
      </w:tr>
      <w:tr w:rsidR="00352C95" w:rsidRPr="008B0344" w:rsidTr="006A76ED">
        <w:trPr>
          <w:tblCellSpacing w:w="15" w:type="dxa"/>
          <w:jc w:val="center"/>
        </w:trPr>
        <w:tc>
          <w:tcPr>
            <w:tcW w:w="1270" w:type="pct"/>
          </w:tcPr>
          <w:p w:rsidR="00352C95" w:rsidRPr="008B0344" w:rsidRDefault="00352C95" w:rsidP="006A76ED">
            <w:pPr>
              <w:pStyle w:val="Parasts1"/>
              <w:rPr>
                <w:sz w:val="28"/>
                <w:szCs w:val="28"/>
              </w:rPr>
            </w:pPr>
            <w:r w:rsidRPr="008B0344">
              <w:rPr>
                <w:sz w:val="28"/>
                <w:szCs w:val="28"/>
              </w:rPr>
              <w:t>6.1. detalizēts ieņēmumu aprēķins</w:t>
            </w:r>
          </w:p>
        </w:tc>
        <w:tc>
          <w:tcPr>
            <w:tcW w:w="3681" w:type="pct"/>
            <w:gridSpan w:val="5"/>
            <w:vMerge/>
            <w:vAlign w:val="center"/>
          </w:tcPr>
          <w:p w:rsidR="00352C95" w:rsidRPr="008B0344" w:rsidRDefault="00352C95" w:rsidP="006A76ED">
            <w:pPr>
              <w:pStyle w:val="Parasts1"/>
              <w:rPr>
                <w:sz w:val="28"/>
                <w:szCs w:val="28"/>
              </w:rPr>
            </w:pPr>
          </w:p>
        </w:tc>
      </w:tr>
      <w:tr w:rsidR="00352C95" w:rsidRPr="008B0344" w:rsidTr="006A76ED">
        <w:trPr>
          <w:tblCellSpacing w:w="15" w:type="dxa"/>
          <w:jc w:val="center"/>
        </w:trPr>
        <w:tc>
          <w:tcPr>
            <w:tcW w:w="1270" w:type="pct"/>
          </w:tcPr>
          <w:p w:rsidR="00352C95" w:rsidRPr="008B0344" w:rsidRDefault="00352C95" w:rsidP="006A76ED">
            <w:pPr>
              <w:pStyle w:val="Parasts1"/>
              <w:rPr>
                <w:sz w:val="28"/>
                <w:szCs w:val="28"/>
              </w:rPr>
            </w:pPr>
            <w:r w:rsidRPr="008B0344">
              <w:rPr>
                <w:sz w:val="28"/>
                <w:szCs w:val="28"/>
              </w:rPr>
              <w:t>6.2. detalizēts izdevumu aprēķins</w:t>
            </w:r>
          </w:p>
        </w:tc>
        <w:tc>
          <w:tcPr>
            <w:tcW w:w="3681" w:type="pct"/>
            <w:gridSpan w:val="5"/>
            <w:vMerge/>
            <w:vAlign w:val="center"/>
          </w:tcPr>
          <w:p w:rsidR="00352C95" w:rsidRPr="008B0344" w:rsidRDefault="00352C95" w:rsidP="006A76ED">
            <w:pPr>
              <w:pStyle w:val="Parasts1"/>
              <w:rPr>
                <w:sz w:val="28"/>
                <w:szCs w:val="28"/>
              </w:rPr>
            </w:pPr>
          </w:p>
        </w:tc>
      </w:tr>
      <w:tr w:rsidR="00352C95" w:rsidRPr="008B0344" w:rsidTr="006A76ED">
        <w:trPr>
          <w:trHeight w:val="555"/>
          <w:tblCellSpacing w:w="15" w:type="dxa"/>
          <w:jc w:val="center"/>
        </w:trPr>
        <w:tc>
          <w:tcPr>
            <w:tcW w:w="1270" w:type="pct"/>
          </w:tcPr>
          <w:p w:rsidR="00352C95" w:rsidRPr="008B0344" w:rsidRDefault="00352C95" w:rsidP="006A76ED">
            <w:pPr>
              <w:pStyle w:val="Parasts1"/>
              <w:rPr>
                <w:sz w:val="28"/>
                <w:szCs w:val="28"/>
              </w:rPr>
            </w:pPr>
            <w:r w:rsidRPr="008B0344">
              <w:rPr>
                <w:sz w:val="28"/>
                <w:szCs w:val="28"/>
              </w:rPr>
              <w:t>7. Cita informācija</w:t>
            </w:r>
          </w:p>
        </w:tc>
        <w:tc>
          <w:tcPr>
            <w:tcW w:w="3681" w:type="pct"/>
            <w:gridSpan w:val="5"/>
          </w:tcPr>
          <w:p w:rsidR="00352C95" w:rsidRPr="008B0344" w:rsidRDefault="00352C95" w:rsidP="006A76ED">
            <w:pPr>
              <w:pStyle w:val="Parasts1"/>
              <w:jc w:val="both"/>
              <w:rPr>
                <w:sz w:val="28"/>
                <w:szCs w:val="28"/>
              </w:rPr>
            </w:pPr>
            <w:r>
              <w:rPr>
                <w:sz w:val="28"/>
                <w:szCs w:val="28"/>
              </w:rPr>
              <w:t>2014.gadā i</w:t>
            </w:r>
            <w:r w:rsidRPr="008B0344">
              <w:rPr>
                <w:sz w:val="28"/>
                <w:szCs w:val="28"/>
              </w:rPr>
              <w:t>zdevumus sedz no valsts budžeta programmas 02.00.00 „Līdzekļi neparedzētiem gadījumiem” atbilstoši Ministru kabineta 2009.gada 22.decembra noteikumiem Nr.1644 „Kārtība, kādā pieprasa un izlieto budžeta programmas „Līdzekļi neparedzētiem gadījumiem” līdzekļus”</w:t>
            </w:r>
            <w:r>
              <w:rPr>
                <w:sz w:val="28"/>
                <w:szCs w:val="28"/>
              </w:rPr>
              <w:t>.</w:t>
            </w:r>
          </w:p>
        </w:tc>
      </w:tr>
    </w:tbl>
    <w:p w:rsidR="00352C95" w:rsidRDefault="00352C95" w:rsidP="008B0344">
      <w:pPr>
        <w:pStyle w:val="Parasts1"/>
        <w:jc w:val="center"/>
        <w:rPr>
          <w:b/>
          <w:bCs/>
          <w:sz w:val="28"/>
          <w:szCs w:val="28"/>
        </w:rPr>
      </w:pPr>
    </w:p>
    <w:p w:rsidR="00D659E3" w:rsidRPr="008B0344" w:rsidRDefault="00D659E3" w:rsidP="008B0344">
      <w:pPr>
        <w:pStyle w:val="Parasts1"/>
        <w:spacing w:before="75" w:after="75"/>
        <w:outlineLvl w:val="0"/>
        <w:rPr>
          <w:i/>
          <w:iCs/>
          <w:sz w:val="28"/>
          <w:szCs w:val="28"/>
        </w:rPr>
      </w:pPr>
      <w:r w:rsidRPr="008B0344">
        <w:rPr>
          <w:i/>
          <w:iCs/>
          <w:sz w:val="28"/>
          <w:szCs w:val="28"/>
        </w:rPr>
        <w:t xml:space="preserve">Anotācijas IV, V un VI sadaļa – projekts šīs jomas neskar. </w:t>
      </w:r>
    </w:p>
    <w:p w:rsidR="00D659E3" w:rsidRDefault="00D659E3" w:rsidP="008B0344">
      <w:pPr>
        <w:pStyle w:val="Parasts1"/>
        <w:tabs>
          <w:tab w:val="left" w:pos="6804"/>
        </w:tabs>
        <w:jc w:val="both"/>
        <w:rPr>
          <w:sz w:val="28"/>
          <w:szCs w:val="28"/>
        </w:rPr>
      </w:pPr>
    </w:p>
    <w:tbl>
      <w:tblPr>
        <w:tblW w:w="5003"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A0" w:firstRow="1" w:lastRow="0" w:firstColumn="1" w:lastColumn="0" w:noHBand="0" w:noVBand="0"/>
      </w:tblPr>
      <w:tblGrid>
        <w:gridCol w:w="3763"/>
        <w:gridCol w:w="5410"/>
        <w:gridCol w:w="54"/>
      </w:tblGrid>
      <w:tr w:rsidR="00352C95" w:rsidRPr="008B0344" w:rsidTr="00F014C3">
        <w:trPr>
          <w:gridAfter w:val="1"/>
          <w:wAfter w:w="5" w:type="dxa"/>
          <w:trHeight w:val="375"/>
          <w:tblCellSpacing w:w="15" w:type="dxa"/>
          <w:jc w:val="center"/>
        </w:trPr>
        <w:tc>
          <w:tcPr>
            <w:tcW w:w="4960" w:type="pct"/>
            <w:gridSpan w:val="2"/>
            <w:vAlign w:val="center"/>
          </w:tcPr>
          <w:p w:rsidR="00352C95" w:rsidRPr="008B0344" w:rsidRDefault="00352C95" w:rsidP="006A76ED">
            <w:pPr>
              <w:pStyle w:val="Parasts1"/>
              <w:spacing w:before="100" w:beforeAutospacing="1" w:after="100" w:afterAutospacing="1"/>
              <w:jc w:val="center"/>
              <w:rPr>
                <w:b/>
                <w:bCs/>
                <w:sz w:val="28"/>
                <w:szCs w:val="28"/>
              </w:rPr>
            </w:pPr>
            <w:r w:rsidRPr="008B0344">
              <w:rPr>
                <w:sz w:val="28"/>
                <w:szCs w:val="28"/>
              </w:rPr>
              <w:t> </w:t>
            </w:r>
            <w:r w:rsidRPr="008B0344">
              <w:rPr>
                <w:b/>
                <w:bCs/>
                <w:sz w:val="28"/>
                <w:szCs w:val="28"/>
              </w:rPr>
              <w:t>VII. Tiesību akta projekta izpildes nodrošināšana un tās ietekme uz institūcijām</w:t>
            </w:r>
          </w:p>
        </w:tc>
      </w:tr>
      <w:tr w:rsidR="00352C95" w:rsidRPr="008B0344" w:rsidTr="00F014C3">
        <w:trPr>
          <w:trHeight w:val="420"/>
          <w:tblCellSpacing w:w="15" w:type="dxa"/>
          <w:jc w:val="center"/>
        </w:trPr>
        <w:tc>
          <w:tcPr>
            <w:tcW w:w="2027" w:type="pct"/>
          </w:tcPr>
          <w:p w:rsidR="00352C95" w:rsidRPr="008B0344" w:rsidRDefault="00352C95" w:rsidP="006A76ED">
            <w:pPr>
              <w:pStyle w:val="Parasts1"/>
              <w:rPr>
                <w:sz w:val="28"/>
                <w:szCs w:val="28"/>
              </w:rPr>
            </w:pPr>
            <w:r w:rsidRPr="008B0344">
              <w:rPr>
                <w:sz w:val="28"/>
                <w:szCs w:val="28"/>
              </w:rPr>
              <w:t>Projekta izpildē iesaistītās institūcijas</w:t>
            </w:r>
          </w:p>
        </w:tc>
        <w:tc>
          <w:tcPr>
            <w:tcW w:w="2924" w:type="pct"/>
            <w:gridSpan w:val="2"/>
          </w:tcPr>
          <w:p w:rsidR="00352C95" w:rsidRPr="008B0344" w:rsidRDefault="00352C95" w:rsidP="006A76ED">
            <w:pPr>
              <w:pStyle w:val="Parasts1"/>
              <w:jc w:val="both"/>
              <w:rPr>
                <w:sz w:val="28"/>
                <w:szCs w:val="28"/>
              </w:rPr>
            </w:pPr>
            <w:r w:rsidRPr="008B0344">
              <w:rPr>
                <w:sz w:val="28"/>
                <w:szCs w:val="28"/>
              </w:rPr>
              <w:t>Kultūras ministrija, Finanšu ministrija un Nacionālā elektronisko plašsaziņas līdzekļu padome.</w:t>
            </w:r>
          </w:p>
        </w:tc>
      </w:tr>
      <w:tr w:rsidR="00352C95" w:rsidRPr="008B0344" w:rsidTr="00F014C3">
        <w:trPr>
          <w:trHeight w:val="450"/>
          <w:tblCellSpacing w:w="15" w:type="dxa"/>
          <w:jc w:val="center"/>
        </w:trPr>
        <w:tc>
          <w:tcPr>
            <w:tcW w:w="2027" w:type="pct"/>
          </w:tcPr>
          <w:p w:rsidR="00352C95" w:rsidRPr="008B0344" w:rsidRDefault="00352C95" w:rsidP="006A76ED">
            <w:pPr>
              <w:pStyle w:val="Parasts1"/>
              <w:rPr>
                <w:sz w:val="28"/>
                <w:szCs w:val="28"/>
              </w:rPr>
            </w:pPr>
            <w:r w:rsidRPr="008B0344">
              <w:rPr>
                <w:sz w:val="28"/>
                <w:szCs w:val="28"/>
              </w:rPr>
              <w:t xml:space="preserve">Projekta izpildes ietekme uz pārvaldes funkcijām un institucionālo struktūru. </w:t>
            </w:r>
          </w:p>
          <w:p w:rsidR="00352C95" w:rsidRPr="008B0344" w:rsidRDefault="00352C95" w:rsidP="006A76ED">
            <w:pPr>
              <w:pStyle w:val="Parasts1"/>
              <w:spacing w:before="100" w:beforeAutospacing="1" w:after="100" w:afterAutospacing="1"/>
              <w:rPr>
                <w:sz w:val="28"/>
                <w:szCs w:val="28"/>
              </w:rPr>
            </w:pPr>
            <w:r w:rsidRPr="008B0344">
              <w:rPr>
                <w:sz w:val="28"/>
                <w:szCs w:val="28"/>
              </w:rPr>
              <w:t>Jaunu institūciju izveide, esošu institūciju likvidācija vai reorganizācija, to ietekme uz institūcijas cilvēkresursiem</w:t>
            </w:r>
          </w:p>
        </w:tc>
        <w:tc>
          <w:tcPr>
            <w:tcW w:w="2924" w:type="pct"/>
            <w:gridSpan w:val="2"/>
          </w:tcPr>
          <w:p w:rsidR="00352C95" w:rsidRPr="008B0344" w:rsidRDefault="00352C95" w:rsidP="006A76ED">
            <w:pPr>
              <w:pStyle w:val="Parasts1"/>
              <w:jc w:val="both"/>
              <w:rPr>
                <w:sz w:val="28"/>
                <w:szCs w:val="28"/>
              </w:rPr>
            </w:pPr>
            <w:r w:rsidRPr="008B0344">
              <w:rPr>
                <w:sz w:val="28"/>
                <w:szCs w:val="28"/>
              </w:rPr>
              <w:t>Netiek paplašinātas esošo institūciju funkcijas.</w:t>
            </w:r>
          </w:p>
          <w:p w:rsidR="00352C95" w:rsidRPr="008B0344" w:rsidRDefault="00352C95" w:rsidP="006A76ED">
            <w:pPr>
              <w:pStyle w:val="Parasts1"/>
              <w:jc w:val="both"/>
              <w:rPr>
                <w:sz w:val="28"/>
                <w:szCs w:val="28"/>
              </w:rPr>
            </w:pPr>
            <w:r w:rsidRPr="008B0344">
              <w:rPr>
                <w:sz w:val="28"/>
                <w:szCs w:val="28"/>
              </w:rPr>
              <w:t>Jaunas valsts institūcijas netiek radītas, likvidētas vai reorganizētas.</w:t>
            </w:r>
          </w:p>
        </w:tc>
      </w:tr>
      <w:tr w:rsidR="00352C95" w:rsidRPr="008B0344" w:rsidTr="00F014C3">
        <w:trPr>
          <w:trHeight w:val="390"/>
          <w:tblCellSpacing w:w="15" w:type="dxa"/>
          <w:jc w:val="center"/>
        </w:trPr>
        <w:tc>
          <w:tcPr>
            <w:tcW w:w="2027" w:type="pct"/>
            <w:tcBorders>
              <w:bottom w:val="nil"/>
            </w:tcBorders>
          </w:tcPr>
          <w:p w:rsidR="00352C95" w:rsidRPr="008B0344" w:rsidRDefault="00352C95" w:rsidP="006A76ED">
            <w:pPr>
              <w:pStyle w:val="Parasts1"/>
              <w:rPr>
                <w:sz w:val="28"/>
                <w:szCs w:val="28"/>
              </w:rPr>
            </w:pPr>
            <w:r w:rsidRPr="008B0344">
              <w:rPr>
                <w:sz w:val="28"/>
                <w:szCs w:val="28"/>
              </w:rPr>
              <w:t>Cita informācija</w:t>
            </w:r>
          </w:p>
        </w:tc>
        <w:tc>
          <w:tcPr>
            <w:tcW w:w="2924" w:type="pct"/>
            <w:gridSpan w:val="2"/>
            <w:tcBorders>
              <w:bottom w:val="nil"/>
            </w:tcBorders>
          </w:tcPr>
          <w:p w:rsidR="00352C95" w:rsidRPr="008B0344" w:rsidRDefault="00352C95" w:rsidP="006A76ED">
            <w:pPr>
              <w:pStyle w:val="Parasts1"/>
              <w:spacing w:before="100" w:beforeAutospacing="1" w:after="100" w:afterAutospacing="1"/>
              <w:rPr>
                <w:sz w:val="28"/>
                <w:szCs w:val="28"/>
              </w:rPr>
            </w:pPr>
            <w:r w:rsidRPr="008B0344">
              <w:rPr>
                <w:sz w:val="28"/>
                <w:szCs w:val="28"/>
              </w:rPr>
              <w:t>Nav.</w:t>
            </w:r>
          </w:p>
        </w:tc>
      </w:tr>
    </w:tbl>
    <w:p w:rsidR="00452A64" w:rsidRDefault="00452A64" w:rsidP="008B0344">
      <w:pPr>
        <w:pStyle w:val="Parasts1"/>
        <w:tabs>
          <w:tab w:val="left" w:pos="6804"/>
        </w:tabs>
        <w:jc w:val="both"/>
        <w:rPr>
          <w:sz w:val="28"/>
          <w:szCs w:val="28"/>
        </w:rPr>
      </w:pPr>
    </w:p>
    <w:p w:rsidR="00452A64" w:rsidRPr="008B0344" w:rsidRDefault="00452A64" w:rsidP="008B0344">
      <w:pPr>
        <w:pStyle w:val="Parasts1"/>
        <w:tabs>
          <w:tab w:val="left" w:pos="6804"/>
        </w:tabs>
        <w:jc w:val="both"/>
        <w:rPr>
          <w:sz w:val="28"/>
          <w:szCs w:val="28"/>
        </w:rPr>
      </w:pPr>
    </w:p>
    <w:p w:rsidR="00D659E3" w:rsidRPr="008B0344" w:rsidRDefault="00D659E3" w:rsidP="00F014C3">
      <w:pPr>
        <w:pStyle w:val="Parasts1"/>
        <w:tabs>
          <w:tab w:val="left" w:pos="6804"/>
        </w:tabs>
        <w:ind w:left="284"/>
        <w:jc w:val="both"/>
        <w:rPr>
          <w:sz w:val="28"/>
          <w:szCs w:val="28"/>
        </w:rPr>
      </w:pPr>
      <w:r w:rsidRPr="008B0344">
        <w:rPr>
          <w:sz w:val="28"/>
          <w:szCs w:val="28"/>
        </w:rPr>
        <w:t>Kultūras ministre</w:t>
      </w:r>
      <w:r w:rsidRPr="008B0344">
        <w:rPr>
          <w:sz w:val="28"/>
          <w:szCs w:val="28"/>
        </w:rPr>
        <w:tab/>
      </w:r>
      <w:r w:rsidRPr="008B0344">
        <w:rPr>
          <w:sz w:val="28"/>
          <w:szCs w:val="28"/>
        </w:rPr>
        <w:tab/>
      </w:r>
      <w:proofErr w:type="spellStart"/>
      <w:r w:rsidRPr="008B0344">
        <w:rPr>
          <w:sz w:val="28"/>
          <w:szCs w:val="28"/>
        </w:rPr>
        <w:t>D.Melbārde</w:t>
      </w:r>
      <w:proofErr w:type="spellEnd"/>
    </w:p>
    <w:p w:rsidR="00452A64" w:rsidRPr="008B0344" w:rsidRDefault="00452A64" w:rsidP="00F014C3">
      <w:pPr>
        <w:pStyle w:val="Parasts1"/>
        <w:ind w:left="284"/>
        <w:rPr>
          <w:sz w:val="28"/>
          <w:szCs w:val="28"/>
        </w:rPr>
      </w:pPr>
    </w:p>
    <w:p w:rsidR="00D659E3" w:rsidRPr="008B0344" w:rsidRDefault="00D659E3" w:rsidP="00F014C3">
      <w:pPr>
        <w:pStyle w:val="Parasts1"/>
        <w:tabs>
          <w:tab w:val="left" w:pos="6120"/>
        </w:tabs>
        <w:ind w:left="284"/>
        <w:jc w:val="both"/>
        <w:rPr>
          <w:sz w:val="28"/>
          <w:szCs w:val="28"/>
        </w:rPr>
      </w:pPr>
      <w:r w:rsidRPr="008B0344">
        <w:rPr>
          <w:sz w:val="28"/>
          <w:szCs w:val="28"/>
        </w:rPr>
        <w:t xml:space="preserve">Vīza: </w:t>
      </w:r>
      <w:bookmarkStart w:id="2" w:name="OLE_LINK1"/>
      <w:bookmarkStart w:id="3" w:name="OLE_LINK2"/>
      <w:r w:rsidRPr="008B0344">
        <w:rPr>
          <w:sz w:val="28"/>
          <w:szCs w:val="28"/>
        </w:rPr>
        <w:t xml:space="preserve">Valsts sekretāra </w:t>
      </w:r>
      <w:proofErr w:type="spellStart"/>
      <w:r w:rsidRPr="008B0344">
        <w:rPr>
          <w:sz w:val="28"/>
          <w:szCs w:val="28"/>
        </w:rPr>
        <w:t>p.i</w:t>
      </w:r>
      <w:proofErr w:type="spellEnd"/>
      <w:r w:rsidRPr="008B0344">
        <w:rPr>
          <w:sz w:val="28"/>
          <w:szCs w:val="28"/>
        </w:rPr>
        <w:t xml:space="preserve">. </w:t>
      </w:r>
      <w:r w:rsidRPr="008B0344">
        <w:rPr>
          <w:sz w:val="28"/>
          <w:szCs w:val="28"/>
        </w:rPr>
        <w:tab/>
      </w:r>
      <w:r w:rsidRPr="008B0344">
        <w:rPr>
          <w:sz w:val="28"/>
          <w:szCs w:val="28"/>
        </w:rPr>
        <w:tab/>
      </w:r>
      <w:r w:rsidRPr="008B0344">
        <w:rPr>
          <w:sz w:val="28"/>
          <w:szCs w:val="28"/>
        </w:rPr>
        <w:tab/>
      </w:r>
      <w:r w:rsidR="0097473F">
        <w:rPr>
          <w:sz w:val="28"/>
          <w:szCs w:val="28"/>
        </w:rPr>
        <w:t>U.Lielpēters</w:t>
      </w:r>
      <w:bookmarkStart w:id="4" w:name="_GoBack"/>
      <w:bookmarkEnd w:id="4"/>
    </w:p>
    <w:p w:rsidR="00D659E3" w:rsidRDefault="00D659E3" w:rsidP="008B0344">
      <w:pPr>
        <w:pStyle w:val="Parasts1"/>
        <w:tabs>
          <w:tab w:val="left" w:pos="720"/>
          <w:tab w:val="center" w:pos="4153"/>
          <w:tab w:val="right" w:pos="8306"/>
        </w:tabs>
        <w:rPr>
          <w:sz w:val="28"/>
          <w:szCs w:val="28"/>
        </w:rPr>
      </w:pPr>
    </w:p>
    <w:p w:rsidR="00452A64" w:rsidRPr="008B0344" w:rsidRDefault="00452A64" w:rsidP="008B0344">
      <w:pPr>
        <w:pStyle w:val="Parasts1"/>
        <w:tabs>
          <w:tab w:val="left" w:pos="720"/>
          <w:tab w:val="center" w:pos="4153"/>
          <w:tab w:val="right" w:pos="8306"/>
        </w:tabs>
        <w:rPr>
          <w:sz w:val="28"/>
          <w:szCs w:val="28"/>
        </w:rPr>
      </w:pPr>
    </w:p>
    <w:p w:rsidR="00D659E3" w:rsidRPr="008B0344" w:rsidRDefault="00D659E3" w:rsidP="008B0344">
      <w:pPr>
        <w:pStyle w:val="Parasts1"/>
        <w:tabs>
          <w:tab w:val="left" w:pos="720"/>
          <w:tab w:val="center" w:pos="4153"/>
          <w:tab w:val="right" w:pos="8306"/>
        </w:tabs>
        <w:rPr>
          <w:sz w:val="28"/>
          <w:szCs w:val="28"/>
        </w:rPr>
      </w:pPr>
    </w:p>
    <w:p w:rsidR="00D659E3" w:rsidRPr="008B0344" w:rsidRDefault="00D659E3" w:rsidP="008B0344">
      <w:pPr>
        <w:pStyle w:val="Parasts1"/>
        <w:tabs>
          <w:tab w:val="left" w:pos="720"/>
          <w:tab w:val="center" w:pos="4153"/>
          <w:tab w:val="right" w:pos="8306"/>
        </w:tabs>
        <w:rPr>
          <w:sz w:val="22"/>
          <w:szCs w:val="22"/>
        </w:rPr>
      </w:pPr>
      <w:r w:rsidRPr="008B0344">
        <w:rPr>
          <w:sz w:val="22"/>
          <w:szCs w:val="22"/>
        </w:rPr>
        <w:t>_____________________ NEPLP priekšsēdētājs A.Dimants</w:t>
      </w:r>
    </w:p>
    <w:p w:rsidR="00D659E3" w:rsidRDefault="00D659E3" w:rsidP="008B0344">
      <w:pPr>
        <w:pStyle w:val="Parasts1"/>
        <w:tabs>
          <w:tab w:val="left" w:pos="720"/>
          <w:tab w:val="center" w:pos="4153"/>
          <w:tab w:val="right" w:pos="8306"/>
        </w:tabs>
        <w:rPr>
          <w:sz w:val="20"/>
          <w:szCs w:val="20"/>
        </w:rPr>
      </w:pPr>
      <w:r w:rsidRPr="008B0344">
        <w:rPr>
          <w:sz w:val="20"/>
          <w:szCs w:val="20"/>
        </w:rPr>
        <w:tab/>
      </w:r>
      <w:r w:rsidRPr="008B0344">
        <w:rPr>
          <w:sz w:val="20"/>
          <w:szCs w:val="20"/>
        </w:rPr>
        <w:tab/>
      </w:r>
      <w:r w:rsidRPr="008B0344">
        <w:rPr>
          <w:sz w:val="20"/>
          <w:szCs w:val="20"/>
        </w:rPr>
        <w:tab/>
      </w:r>
      <w:r w:rsidRPr="008B0344">
        <w:rPr>
          <w:sz w:val="20"/>
          <w:szCs w:val="20"/>
        </w:rPr>
        <w:tab/>
      </w:r>
      <w:r w:rsidRPr="008B0344">
        <w:rPr>
          <w:sz w:val="20"/>
          <w:szCs w:val="20"/>
        </w:rPr>
        <w:tab/>
      </w:r>
      <w:r w:rsidRPr="008B0344">
        <w:rPr>
          <w:sz w:val="20"/>
          <w:szCs w:val="20"/>
        </w:rPr>
        <w:tab/>
      </w:r>
      <w:r w:rsidRPr="008B0344">
        <w:rPr>
          <w:sz w:val="20"/>
          <w:szCs w:val="20"/>
        </w:rPr>
        <w:tab/>
      </w:r>
      <w:r w:rsidRPr="008B0344">
        <w:rPr>
          <w:sz w:val="20"/>
          <w:szCs w:val="20"/>
        </w:rPr>
        <w:tab/>
      </w:r>
      <w:r w:rsidRPr="008B0344">
        <w:rPr>
          <w:sz w:val="20"/>
          <w:szCs w:val="20"/>
        </w:rPr>
        <w:tab/>
      </w:r>
    </w:p>
    <w:p w:rsidR="00F014C3" w:rsidRDefault="00F014C3" w:rsidP="008B0344">
      <w:pPr>
        <w:pStyle w:val="Parasts1"/>
        <w:tabs>
          <w:tab w:val="left" w:pos="720"/>
          <w:tab w:val="center" w:pos="4153"/>
          <w:tab w:val="right" w:pos="8306"/>
        </w:tabs>
        <w:rPr>
          <w:sz w:val="20"/>
          <w:szCs w:val="20"/>
        </w:rPr>
      </w:pPr>
    </w:p>
    <w:p w:rsidR="00F014C3" w:rsidRDefault="00F014C3" w:rsidP="008B0344">
      <w:pPr>
        <w:pStyle w:val="Parasts1"/>
        <w:tabs>
          <w:tab w:val="left" w:pos="720"/>
          <w:tab w:val="center" w:pos="4153"/>
          <w:tab w:val="right" w:pos="8306"/>
        </w:tabs>
        <w:rPr>
          <w:sz w:val="20"/>
          <w:szCs w:val="20"/>
        </w:rPr>
      </w:pPr>
    </w:p>
    <w:p w:rsidR="00F014C3" w:rsidRDefault="00F014C3" w:rsidP="008B0344">
      <w:pPr>
        <w:pStyle w:val="Parasts1"/>
        <w:tabs>
          <w:tab w:val="left" w:pos="720"/>
          <w:tab w:val="center" w:pos="4153"/>
          <w:tab w:val="right" w:pos="8306"/>
        </w:tabs>
        <w:rPr>
          <w:sz w:val="20"/>
          <w:szCs w:val="20"/>
        </w:rPr>
      </w:pPr>
    </w:p>
    <w:p w:rsidR="00F014C3" w:rsidRPr="008B0344" w:rsidRDefault="00F014C3" w:rsidP="008B0344">
      <w:pPr>
        <w:pStyle w:val="Parasts1"/>
        <w:tabs>
          <w:tab w:val="left" w:pos="720"/>
          <w:tab w:val="center" w:pos="4153"/>
          <w:tab w:val="right" w:pos="8306"/>
        </w:tabs>
        <w:rPr>
          <w:sz w:val="22"/>
          <w:szCs w:val="22"/>
        </w:rPr>
      </w:pPr>
    </w:p>
    <w:bookmarkEnd w:id="2"/>
    <w:bookmarkEnd w:id="3"/>
    <w:p w:rsidR="00D659E3" w:rsidRPr="00F014C3" w:rsidRDefault="002C28CB" w:rsidP="00F014C3">
      <w:pPr>
        <w:pStyle w:val="Parasts1"/>
        <w:rPr>
          <w:sz w:val="22"/>
          <w:szCs w:val="22"/>
        </w:rPr>
      </w:pPr>
      <w:r w:rsidRPr="00F014C3">
        <w:rPr>
          <w:sz w:val="22"/>
          <w:szCs w:val="22"/>
        </w:rPr>
        <w:fldChar w:fldCharType="begin"/>
      </w:r>
      <w:r w:rsidR="00D659E3" w:rsidRPr="00F014C3">
        <w:rPr>
          <w:sz w:val="22"/>
          <w:szCs w:val="22"/>
        </w:rPr>
        <w:instrText xml:space="preserve"> DATE  \@ "yyyy.MM.dd. H:mm"  \* MERGEFORMAT </w:instrText>
      </w:r>
      <w:r w:rsidRPr="00F014C3">
        <w:rPr>
          <w:sz w:val="22"/>
          <w:szCs w:val="22"/>
        </w:rPr>
        <w:fldChar w:fldCharType="separate"/>
      </w:r>
      <w:r w:rsidR="0097473F">
        <w:rPr>
          <w:noProof/>
          <w:sz w:val="22"/>
          <w:szCs w:val="22"/>
        </w:rPr>
        <w:t>2014.06.25. 12:01</w:t>
      </w:r>
      <w:r w:rsidRPr="00F014C3">
        <w:rPr>
          <w:sz w:val="22"/>
          <w:szCs w:val="22"/>
        </w:rPr>
        <w:fldChar w:fldCharType="end"/>
      </w:r>
    </w:p>
    <w:p w:rsidR="00D659E3" w:rsidRPr="00F014C3" w:rsidRDefault="00F014C3" w:rsidP="00F014C3">
      <w:pPr>
        <w:pStyle w:val="Parasts1"/>
        <w:jc w:val="both"/>
        <w:rPr>
          <w:sz w:val="22"/>
          <w:szCs w:val="22"/>
        </w:rPr>
      </w:pPr>
      <w:r>
        <w:rPr>
          <w:sz w:val="22"/>
          <w:szCs w:val="22"/>
        </w:rPr>
        <w:t>799</w:t>
      </w:r>
    </w:p>
    <w:p w:rsidR="00D659E3" w:rsidRPr="00F014C3" w:rsidRDefault="0000716E" w:rsidP="00F014C3">
      <w:pPr>
        <w:pStyle w:val="Parasts1"/>
        <w:rPr>
          <w:sz w:val="22"/>
          <w:szCs w:val="22"/>
        </w:rPr>
      </w:pPr>
      <w:r w:rsidRPr="00F014C3">
        <w:rPr>
          <w:sz w:val="22"/>
          <w:szCs w:val="22"/>
        </w:rPr>
        <w:t>V.Zipa</w:t>
      </w:r>
    </w:p>
    <w:p w:rsidR="00D659E3" w:rsidRPr="00F014C3" w:rsidRDefault="00D659E3" w:rsidP="00F014C3">
      <w:pPr>
        <w:pStyle w:val="Parasts1"/>
        <w:rPr>
          <w:sz w:val="22"/>
          <w:szCs w:val="22"/>
        </w:rPr>
      </w:pPr>
      <w:proofErr w:type="spellStart"/>
      <w:r w:rsidRPr="00F014C3">
        <w:rPr>
          <w:sz w:val="22"/>
          <w:szCs w:val="22"/>
        </w:rPr>
        <w:t>Tālr</w:t>
      </w:r>
      <w:proofErr w:type="spellEnd"/>
      <w:r w:rsidRPr="00F014C3">
        <w:rPr>
          <w:sz w:val="22"/>
          <w:szCs w:val="22"/>
        </w:rPr>
        <w:t>. 67221848</w:t>
      </w:r>
    </w:p>
    <w:p w:rsidR="00D659E3" w:rsidRPr="00F014C3" w:rsidRDefault="004B0341" w:rsidP="00F014C3">
      <w:pPr>
        <w:pStyle w:val="Parasts1"/>
        <w:tabs>
          <w:tab w:val="left" w:pos="7425"/>
        </w:tabs>
        <w:rPr>
          <w:sz w:val="22"/>
          <w:szCs w:val="22"/>
        </w:rPr>
      </w:pPr>
      <w:hyperlink r:id="rId9" w:history="1">
        <w:r w:rsidR="00F014C3" w:rsidRPr="00F014C3">
          <w:rPr>
            <w:rStyle w:val="Hipersaite"/>
            <w:sz w:val="22"/>
            <w:szCs w:val="22"/>
          </w:rPr>
          <w:t>Viviana.Zipa@neplpadome.lv</w:t>
        </w:r>
      </w:hyperlink>
      <w:r w:rsidR="00F014C3" w:rsidRPr="00F014C3">
        <w:rPr>
          <w:sz w:val="22"/>
          <w:szCs w:val="22"/>
        </w:rPr>
        <w:t xml:space="preserve"> </w:t>
      </w:r>
    </w:p>
    <w:p w:rsidR="00D659E3" w:rsidRPr="008B0344" w:rsidRDefault="00D659E3" w:rsidP="008B0344">
      <w:pPr>
        <w:pStyle w:val="Parasts1"/>
      </w:pPr>
    </w:p>
    <w:sectPr w:rsidR="00D659E3" w:rsidRPr="008B0344" w:rsidSect="003808F1">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41" w:rsidRDefault="004B0341">
      <w:pPr>
        <w:pStyle w:val="Parasts1"/>
      </w:pPr>
      <w:r>
        <w:separator/>
      </w:r>
    </w:p>
    <w:p w:rsidR="004B0341" w:rsidRDefault="004B0341">
      <w:pPr>
        <w:pStyle w:val="Parasts1"/>
      </w:pPr>
    </w:p>
  </w:endnote>
  <w:endnote w:type="continuationSeparator" w:id="0">
    <w:p w:rsidR="004B0341" w:rsidRDefault="004B0341">
      <w:pPr>
        <w:pStyle w:val="Parasts1"/>
      </w:pPr>
      <w:r>
        <w:continuationSeparator/>
      </w:r>
    </w:p>
    <w:p w:rsidR="004B0341" w:rsidRDefault="004B0341">
      <w:pPr>
        <w:pStyle w:val="Parasts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E3" w:rsidRPr="00352C95" w:rsidRDefault="00352C95" w:rsidP="00352C95">
    <w:pPr>
      <w:pStyle w:val="Kjene"/>
      <w:jc w:val="both"/>
      <w:rPr>
        <w:szCs w:val="22"/>
      </w:rPr>
    </w:pPr>
    <w:r>
      <w:rPr>
        <w:sz w:val="22"/>
        <w:szCs w:val="22"/>
      </w:rPr>
      <w:t>K</w:t>
    </w:r>
    <w:r w:rsidRPr="009A4706">
      <w:rPr>
        <w:sz w:val="22"/>
        <w:szCs w:val="22"/>
      </w:rPr>
      <w:t>MAnot_110614_LNG_NEPLP</w:t>
    </w:r>
    <w:fldSimple w:instr=" DOCPROPERTY  Title  \* MERGEFORMAT ">
      <w:r w:rsidRPr="009A4706">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E3" w:rsidRPr="00352C95" w:rsidRDefault="00352C95" w:rsidP="00352C95">
    <w:pPr>
      <w:pStyle w:val="Kjene"/>
      <w:jc w:val="both"/>
      <w:rPr>
        <w:szCs w:val="22"/>
      </w:rPr>
    </w:pPr>
    <w:r>
      <w:rPr>
        <w:sz w:val="22"/>
        <w:szCs w:val="22"/>
      </w:rPr>
      <w:t>K</w:t>
    </w:r>
    <w:r w:rsidRPr="009A4706">
      <w:rPr>
        <w:sz w:val="22"/>
        <w:szCs w:val="22"/>
      </w:rPr>
      <w:t>MAnot_110614_LNG_NEPLP</w:t>
    </w:r>
    <w:fldSimple w:instr=" DOCPROPERTY  Title  \* MERGEFORMAT ">
      <w:r w:rsidRPr="009A4706">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41" w:rsidRDefault="004B0341">
      <w:pPr>
        <w:pStyle w:val="Parasts1"/>
      </w:pPr>
      <w:r>
        <w:separator/>
      </w:r>
    </w:p>
    <w:p w:rsidR="004B0341" w:rsidRDefault="004B0341">
      <w:pPr>
        <w:pStyle w:val="Parasts1"/>
      </w:pPr>
    </w:p>
  </w:footnote>
  <w:footnote w:type="continuationSeparator" w:id="0">
    <w:p w:rsidR="004B0341" w:rsidRDefault="004B0341">
      <w:pPr>
        <w:pStyle w:val="Parasts1"/>
      </w:pPr>
      <w:r>
        <w:continuationSeparator/>
      </w:r>
    </w:p>
    <w:p w:rsidR="004B0341" w:rsidRDefault="004B0341">
      <w:pPr>
        <w:pStyle w:val="Parasts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E3" w:rsidRPr="00E2556C" w:rsidRDefault="002C28CB" w:rsidP="003C449B">
    <w:pPr>
      <w:pStyle w:val="Galvene"/>
      <w:framePr w:wrap="auto" w:vAnchor="text" w:hAnchor="margin" w:xAlign="center" w:y="1"/>
      <w:rPr>
        <w:rStyle w:val="Lappusesnumurs"/>
        <w:sz w:val="22"/>
        <w:szCs w:val="22"/>
      </w:rPr>
    </w:pPr>
    <w:r w:rsidRPr="00E2556C">
      <w:rPr>
        <w:rStyle w:val="Lappusesnumurs"/>
        <w:sz w:val="22"/>
        <w:szCs w:val="22"/>
      </w:rPr>
      <w:fldChar w:fldCharType="begin"/>
    </w:r>
    <w:r w:rsidR="00D659E3" w:rsidRPr="00E2556C">
      <w:rPr>
        <w:rStyle w:val="Lappusesnumurs"/>
        <w:sz w:val="22"/>
        <w:szCs w:val="22"/>
      </w:rPr>
      <w:instrText xml:space="preserve">PAGE  </w:instrText>
    </w:r>
    <w:r w:rsidRPr="00E2556C">
      <w:rPr>
        <w:rStyle w:val="Lappusesnumurs"/>
        <w:sz w:val="22"/>
        <w:szCs w:val="22"/>
      </w:rPr>
      <w:fldChar w:fldCharType="separate"/>
    </w:r>
    <w:r w:rsidR="0097473F">
      <w:rPr>
        <w:rStyle w:val="Lappusesnumurs"/>
        <w:noProof/>
        <w:sz w:val="22"/>
        <w:szCs w:val="22"/>
      </w:rPr>
      <w:t>5</w:t>
    </w:r>
    <w:r w:rsidRPr="00E2556C">
      <w:rPr>
        <w:rStyle w:val="Lappusesnumurs"/>
        <w:sz w:val="22"/>
        <w:szCs w:val="22"/>
      </w:rPr>
      <w:fldChar w:fldCharType="end"/>
    </w:r>
  </w:p>
  <w:p w:rsidR="00D659E3" w:rsidRDefault="00D659E3">
    <w:pPr>
      <w:pStyle w:val="Parasts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867AA"/>
    <w:multiLevelType w:val="hybridMultilevel"/>
    <w:tmpl w:val="388A7062"/>
    <w:lvl w:ilvl="0" w:tplc="A4BC658C">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1">
    <w:nsid w:val="45AA5D9B"/>
    <w:multiLevelType w:val="hybridMultilevel"/>
    <w:tmpl w:val="C04EF020"/>
    <w:lvl w:ilvl="0" w:tplc="F0269806">
      <w:start w:val="1"/>
      <w:numFmt w:val="bullet"/>
      <w:lvlText w:val="-"/>
      <w:lvlJc w:val="left"/>
      <w:pPr>
        <w:ind w:left="927" w:hanging="360"/>
      </w:pPr>
      <w:rPr>
        <w:rFonts w:ascii="Times New Roman" w:eastAsia="Times New Roman" w:hAnsi="Times New Roman" w:hint="default"/>
        <w:b/>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nsid w:val="4A91545B"/>
    <w:multiLevelType w:val="hybridMultilevel"/>
    <w:tmpl w:val="C994ABF4"/>
    <w:lvl w:ilvl="0" w:tplc="0426000F">
      <w:start w:val="4"/>
      <w:numFmt w:val="decimal"/>
      <w:lvlText w:val="%1."/>
      <w:lvlJc w:val="left"/>
      <w:pPr>
        <w:ind w:left="674" w:hanging="360"/>
      </w:pPr>
      <w:rPr>
        <w:rFonts w:cs="Times New Roman" w:hint="default"/>
      </w:rPr>
    </w:lvl>
    <w:lvl w:ilvl="1" w:tplc="04260019" w:tentative="1">
      <w:start w:val="1"/>
      <w:numFmt w:val="lowerLetter"/>
      <w:lvlText w:val="%2."/>
      <w:lvlJc w:val="left"/>
      <w:pPr>
        <w:ind w:left="1394" w:hanging="360"/>
      </w:pPr>
      <w:rPr>
        <w:rFonts w:cs="Times New Roman"/>
      </w:rPr>
    </w:lvl>
    <w:lvl w:ilvl="2" w:tplc="0426001B" w:tentative="1">
      <w:start w:val="1"/>
      <w:numFmt w:val="lowerRoman"/>
      <w:lvlText w:val="%3."/>
      <w:lvlJc w:val="right"/>
      <w:pPr>
        <w:ind w:left="2114" w:hanging="180"/>
      </w:pPr>
      <w:rPr>
        <w:rFonts w:cs="Times New Roman"/>
      </w:rPr>
    </w:lvl>
    <w:lvl w:ilvl="3" w:tplc="0426000F" w:tentative="1">
      <w:start w:val="1"/>
      <w:numFmt w:val="decimal"/>
      <w:lvlText w:val="%4."/>
      <w:lvlJc w:val="left"/>
      <w:pPr>
        <w:ind w:left="2834" w:hanging="360"/>
      </w:pPr>
      <w:rPr>
        <w:rFonts w:cs="Times New Roman"/>
      </w:rPr>
    </w:lvl>
    <w:lvl w:ilvl="4" w:tplc="04260019" w:tentative="1">
      <w:start w:val="1"/>
      <w:numFmt w:val="lowerLetter"/>
      <w:lvlText w:val="%5."/>
      <w:lvlJc w:val="left"/>
      <w:pPr>
        <w:ind w:left="3554" w:hanging="360"/>
      </w:pPr>
      <w:rPr>
        <w:rFonts w:cs="Times New Roman"/>
      </w:rPr>
    </w:lvl>
    <w:lvl w:ilvl="5" w:tplc="0426001B" w:tentative="1">
      <w:start w:val="1"/>
      <w:numFmt w:val="lowerRoman"/>
      <w:lvlText w:val="%6."/>
      <w:lvlJc w:val="right"/>
      <w:pPr>
        <w:ind w:left="4274" w:hanging="180"/>
      </w:pPr>
      <w:rPr>
        <w:rFonts w:cs="Times New Roman"/>
      </w:rPr>
    </w:lvl>
    <w:lvl w:ilvl="6" w:tplc="0426000F" w:tentative="1">
      <w:start w:val="1"/>
      <w:numFmt w:val="decimal"/>
      <w:lvlText w:val="%7."/>
      <w:lvlJc w:val="left"/>
      <w:pPr>
        <w:ind w:left="4994" w:hanging="360"/>
      </w:pPr>
      <w:rPr>
        <w:rFonts w:cs="Times New Roman"/>
      </w:rPr>
    </w:lvl>
    <w:lvl w:ilvl="7" w:tplc="04260019" w:tentative="1">
      <w:start w:val="1"/>
      <w:numFmt w:val="lowerLetter"/>
      <w:lvlText w:val="%8."/>
      <w:lvlJc w:val="left"/>
      <w:pPr>
        <w:ind w:left="5714" w:hanging="360"/>
      </w:pPr>
      <w:rPr>
        <w:rFonts w:cs="Times New Roman"/>
      </w:rPr>
    </w:lvl>
    <w:lvl w:ilvl="8" w:tplc="0426001B" w:tentative="1">
      <w:start w:val="1"/>
      <w:numFmt w:val="lowerRoman"/>
      <w:lvlText w:val="%9."/>
      <w:lvlJc w:val="right"/>
      <w:pPr>
        <w:ind w:left="6434" w:hanging="180"/>
      </w:pPr>
      <w:rPr>
        <w:rFonts w:cs="Times New Roman"/>
      </w:rPr>
    </w:lvl>
  </w:abstractNum>
  <w:abstractNum w:abstractNumId="3">
    <w:nsid w:val="61FD7215"/>
    <w:multiLevelType w:val="hybridMultilevel"/>
    <w:tmpl w:val="9D763506"/>
    <w:lvl w:ilvl="0" w:tplc="A31AB1A6">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716E"/>
    <w:rsid w:val="00010ABD"/>
    <w:rsid w:val="00011D24"/>
    <w:rsid w:val="00012427"/>
    <w:rsid w:val="000128FE"/>
    <w:rsid w:val="000139C9"/>
    <w:rsid w:val="00013FF4"/>
    <w:rsid w:val="00015181"/>
    <w:rsid w:val="00020FE1"/>
    <w:rsid w:val="00022E13"/>
    <w:rsid w:val="00023C23"/>
    <w:rsid w:val="00024734"/>
    <w:rsid w:val="00024D3F"/>
    <w:rsid w:val="0002558E"/>
    <w:rsid w:val="00025885"/>
    <w:rsid w:val="000275D7"/>
    <w:rsid w:val="00027D88"/>
    <w:rsid w:val="00032388"/>
    <w:rsid w:val="000334C3"/>
    <w:rsid w:val="00034C8A"/>
    <w:rsid w:val="00035013"/>
    <w:rsid w:val="00035159"/>
    <w:rsid w:val="00035989"/>
    <w:rsid w:val="00035CE2"/>
    <w:rsid w:val="00035EF1"/>
    <w:rsid w:val="00037FD3"/>
    <w:rsid w:val="00043D65"/>
    <w:rsid w:val="000459AF"/>
    <w:rsid w:val="00046D14"/>
    <w:rsid w:val="000508F8"/>
    <w:rsid w:val="0005553B"/>
    <w:rsid w:val="0005576D"/>
    <w:rsid w:val="0005624D"/>
    <w:rsid w:val="000604D2"/>
    <w:rsid w:val="00060E23"/>
    <w:rsid w:val="00062881"/>
    <w:rsid w:val="000629E0"/>
    <w:rsid w:val="00064035"/>
    <w:rsid w:val="00065314"/>
    <w:rsid w:val="000653AB"/>
    <w:rsid w:val="00066481"/>
    <w:rsid w:val="000673BB"/>
    <w:rsid w:val="00071061"/>
    <w:rsid w:val="00071885"/>
    <w:rsid w:val="00073104"/>
    <w:rsid w:val="00076AA6"/>
    <w:rsid w:val="000819A5"/>
    <w:rsid w:val="0008382C"/>
    <w:rsid w:val="00083D7A"/>
    <w:rsid w:val="00085C43"/>
    <w:rsid w:val="000863D3"/>
    <w:rsid w:val="000866AF"/>
    <w:rsid w:val="000866E5"/>
    <w:rsid w:val="000875E4"/>
    <w:rsid w:val="0009005E"/>
    <w:rsid w:val="00090A7B"/>
    <w:rsid w:val="00090B3A"/>
    <w:rsid w:val="000937C6"/>
    <w:rsid w:val="000941C5"/>
    <w:rsid w:val="000945E2"/>
    <w:rsid w:val="00095A62"/>
    <w:rsid w:val="00095A7E"/>
    <w:rsid w:val="00095DD0"/>
    <w:rsid w:val="00095E74"/>
    <w:rsid w:val="000978BC"/>
    <w:rsid w:val="000A04B4"/>
    <w:rsid w:val="000A26EC"/>
    <w:rsid w:val="000A4853"/>
    <w:rsid w:val="000A542E"/>
    <w:rsid w:val="000A6451"/>
    <w:rsid w:val="000A69A4"/>
    <w:rsid w:val="000B064E"/>
    <w:rsid w:val="000B2C9D"/>
    <w:rsid w:val="000B3CD7"/>
    <w:rsid w:val="000B5C29"/>
    <w:rsid w:val="000B69CF"/>
    <w:rsid w:val="000B72EE"/>
    <w:rsid w:val="000C04C0"/>
    <w:rsid w:val="000C088A"/>
    <w:rsid w:val="000C169B"/>
    <w:rsid w:val="000C41C4"/>
    <w:rsid w:val="000C45A4"/>
    <w:rsid w:val="000C790C"/>
    <w:rsid w:val="000D04C8"/>
    <w:rsid w:val="000D0545"/>
    <w:rsid w:val="000D1A41"/>
    <w:rsid w:val="000D1D50"/>
    <w:rsid w:val="000D20AB"/>
    <w:rsid w:val="000D5AD0"/>
    <w:rsid w:val="000D7072"/>
    <w:rsid w:val="000E01B7"/>
    <w:rsid w:val="000E099E"/>
    <w:rsid w:val="000E1F44"/>
    <w:rsid w:val="000E4C63"/>
    <w:rsid w:val="000E59F2"/>
    <w:rsid w:val="000E7910"/>
    <w:rsid w:val="000F061D"/>
    <w:rsid w:val="000F1495"/>
    <w:rsid w:val="000F42CA"/>
    <w:rsid w:val="000F4794"/>
    <w:rsid w:val="000F50CE"/>
    <w:rsid w:val="000F5D2A"/>
    <w:rsid w:val="000F622E"/>
    <w:rsid w:val="001006A1"/>
    <w:rsid w:val="00101947"/>
    <w:rsid w:val="001023D5"/>
    <w:rsid w:val="00104645"/>
    <w:rsid w:val="00104953"/>
    <w:rsid w:val="00104DFC"/>
    <w:rsid w:val="001059C3"/>
    <w:rsid w:val="0010613D"/>
    <w:rsid w:val="00110B04"/>
    <w:rsid w:val="001110C6"/>
    <w:rsid w:val="001121C1"/>
    <w:rsid w:val="00112A15"/>
    <w:rsid w:val="00113D2D"/>
    <w:rsid w:val="00124F12"/>
    <w:rsid w:val="00127E8F"/>
    <w:rsid w:val="00127FA9"/>
    <w:rsid w:val="0013052A"/>
    <w:rsid w:val="0013327A"/>
    <w:rsid w:val="001344F6"/>
    <w:rsid w:val="00135CA0"/>
    <w:rsid w:val="0014123A"/>
    <w:rsid w:val="001423D2"/>
    <w:rsid w:val="0014247C"/>
    <w:rsid w:val="00142EB5"/>
    <w:rsid w:val="00144BBE"/>
    <w:rsid w:val="00144E3A"/>
    <w:rsid w:val="00145727"/>
    <w:rsid w:val="00146EB5"/>
    <w:rsid w:val="00147E7F"/>
    <w:rsid w:val="0015060C"/>
    <w:rsid w:val="00150715"/>
    <w:rsid w:val="0015224D"/>
    <w:rsid w:val="001522B9"/>
    <w:rsid w:val="001522D1"/>
    <w:rsid w:val="00153AAE"/>
    <w:rsid w:val="00153F49"/>
    <w:rsid w:val="00154957"/>
    <w:rsid w:val="001554B6"/>
    <w:rsid w:val="00157B48"/>
    <w:rsid w:val="0016018A"/>
    <w:rsid w:val="00160B5B"/>
    <w:rsid w:val="00160CF0"/>
    <w:rsid w:val="00161CD1"/>
    <w:rsid w:val="00161F0E"/>
    <w:rsid w:val="001646D8"/>
    <w:rsid w:val="00164F6E"/>
    <w:rsid w:val="00170E2A"/>
    <w:rsid w:val="001710ED"/>
    <w:rsid w:val="00173780"/>
    <w:rsid w:val="00174129"/>
    <w:rsid w:val="001763B1"/>
    <w:rsid w:val="00176574"/>
    <w:rsid w:val="001766D1"/>
    <w:rsid w:val="00176A47"/>
    <w:rsid w:val="00177394"/>
    <w:rsid w:val="00182C18"/>
    <w:rsid w:val="00183153"/>
    <w:rsid w:val="0018328E"/>
    <w:rsid w:val="00183479"/>
    <w:rsid w:val="001837F8"/>
    <w:rsid w:val="00183CC2"/>
    <w:rsid w:val="001866EE"/>
    <w:rsid w:val="00187DFA"/>
    <w:rsid w:val="001900E4"/>
    <w:rsid w:val="00190F88"/>
    <w:rsid w:val="001919B7"/>
    <w:rsid w:val="00192E49"/>
    <w:rsid w:val="0019339A"/>
    <w:rsid w:val="00197F74"/>
    <w:rsid w:val="001A0CFA"/>
    <w:rsid w:val="001A4066"/>
    <w:rsid w:val="001A469D"/>
    <w:rsid w:val="001A484F"/>
    <w:rsid w:val="001A5DE9"/>
    <w:rsid w:val="001A6AE4"/>
    <w:rsid w:val="001A7FE4"/>
    <w:rsid w:val="001B01FD"/>
    <w:rsid w:val="001B117C"/>
    <w:rsid w:val="001B1854"/>
    <w:rsid w:val="001B2334"/>
    <w:rsid w:val="001B3421"/>
    <w:rsid w:val="001B3DBB"/>
    <w:rsid w:val="001B4A71"/>
    <w:rsid w:val="001B51F8"/>
    <w:rsid w:val="001C2654"/>
    <w:rsid w:val="001C3439"/>
    <w:rsid w:val="001C4A54"/>
    <w:rsid w:val="001C4B6E"/>
    <w:rsid w:val="001D0175"/>
    <w:rsid w:val="001D01A9"/>
    <w:rsid w:val="001D489E"/>
    <w:rsid w:val="001D48D3"/>
    <w:rsid w:val="001D53BE"/>
    <w:rsid w:val="001D5B54"/>
    <w:rsid w:val="001D5BA3"/>
    <w:rsid w:val="001D5ED7"/>
    <w:rsid w:val="001E125F"/>
    <w:rsid w:val="001E1DBF"/>
    <w:rsid w:val="001E4639"/>
    <w:rsid w:val="001E4A7D"/>
    <w:rsid w:val="001E71CA"/>
    <w:rsid w:val="001F060B"/>
    <w:rsid w:val="001F39A2"/>
    <w:rsid w:val="001F4209"/>
    <w:rsid w:val="001F43A8"/>
    <w:rsid w:val="001F5CD6"/>
    <w:rsid w:val="00200226"/>
    <w:rsid w:val="0020042B"/>
    <w:rsid w:val="0020197C"/>
    <w:rsid w:val="002029D8"/>
    <w:rsid w:val="00203534"/>
    <w:rsid w:val="002043C7"/>
    <w:rsid w:val="00204813"/>
    <w:rsid w:val="00205E1B"/>
    <w:rsid w:val="002116DD"/>
    <w:rsid w:val="002117EA"/>
    <w:rsid w:val="0021263D"/>
    <w:rsid w:val="00213F0C"/>
    <w:rsid w:val="00213F3A"/>
    <w:rsid w:val="00214094"/>
    <w:rsid w:val="00214FA9"/>
    <w:rsid w:val="0021592D"/>
    <w:rsid w:val="00216F49"/>
    <w:rsid w:val="00222D76"/>
    <w:rsid w:val="00223227"/>
    <w:rsid w:val="00223EB1"/>
    <w:rsid w:val="00224B09"/>
    <w:rsid w:val="00224BBF"/>
    <w:rsid w:val="002265B9"/>
    <w:rsid w:val="00227204"/>
    <w:rsid w:val="002275E5"/>
    <w:rsid w:val="0023076B"/>
    <w:rsid w:val="00231344"/>
    <w:rsid w:val="002338DD"/>
    <w:rsid w:val="0023436E"/>
    <w:rsid w:val="002347C0"/>
    <w:rsid w:val="0023697B"/>
    <w:rsid w:val="00240740"/>
    <w:rsid w:val="00241A6C"/>
    <w:rsid w:val="00242273"/>
    <w:rsid w:val="002425D0"/>
    <w:rsid w:val="00242D2B"/>
    <w:rsid w:val="0024308C"/>
    <w:rsid w:val="00244C02"/>
    <w:rsid w:val="00250D16"/>
    <w:rsid w:val="0025214E"/>
    <w:rsid w:val="002527BE"/>
    <w:rsid w:val="00253797"/>
    <w:rsid w:val="0025780E"/>
    <w:rsid w:val="00261703"/>
    <w:rsid w:val="00262E2B"/>
    <w:rsid w:val="002637EF"/>
    <w:rsid w:val="00264968"/>
    <w:rsid w:val="00266048"/>
    <w:rsid w:val="00266D91"/>
    <w:rsid w:val="00267551"/>
    <w:rsid w:val="002676A6"/>
    <w:rsid w:val="00267C4B"/>
    <w:rsid w:val="00270325"/>
    <w:rsid w:val="00270429"/>
    <w:rsid w:val="00270B69"/>
    <w:rsid w:val="002723E9"/>
    <w:rsid w:val="00272723"/>
    <w:rsid w:val="00274537"/>
    <w:rsid w:val="00277929"/>
    <w:rsid w:val="00277AD3"/>
    <w:rsid w:val="00280CE1"/>
    <w:rsid w:val="0028145D"/>
    <w:rsid w:val="00283B82"/>
    <w:rsid w:val="00283BB8"/>
    <w:rsid w:val="002846E9"/>
    <w:rsid w:val="00284C34"/>
    <w:rsid w:val="00287D1D"/>
    <w:rsid w:val="0029066C"/>
    <w:rsid w:val="002907FE"/>
    <w:rsid w:val="002908DF"/>
    <w:rsid w:val="00297138"/>
    <w:rsid w:val="002A0000"/>
    <w:rsid w:val="002A067D"/>
    <w:rsid w:val="002A1D2A"/>
    <w:rsid w:val="002A3BCC"/>
    <w:rsid w:val="002A54AE"/>
    <w:rsid w:val="002A6033"/>
    <w:rsid w:val="002B08D1"/>
    <w:rsid w:val="002B19EB"/>
    <w:rsid w:val="002B1D83"/>
    <w:rsid w:val="002B469C"/>
    <w:rsid w:val="002B50DB"/>
    <w:rsid w:val="002B5570"/>
    <w:rsid w:val="002B59D2"/>
    <w:rsid w:val="002B5AD4"/>
    <w:rsid w:val="002B6A35"/>
    <w:rsid w:val="002C0532"/>
    <w:rsid w:val="002C12AB"/>
    <w:rsid w:val="002C28CB"/>
    <w:rsid w:val="002C30EA"/>
    <w:rsid w:val="002C3218"/>
    <w:rsid w:val="002C5053"/>
    <w:rsid w:val="002C59E1"/>
    <w:rsid w:val="002C65C1"/>
    <w:rsid w:val="002C72DA"/>
    <w:rsid w:val="002C7CAC"/>
    <w:rsid w:val="002C7F41"/>
    <w:rsid w:val="002D00C2"/>
    <w:rsid w:val="002D1A58"/>
    <w:rsid w:val="002D1AAF"/>
    <w:rsid w:val="002D2DBB"/>
    <w:rsid w:val="002D3197"/>
    <w:rsid w:val="002D3306"/>
    <w:rsid w:val="002D47B8"/>
    <w:rsid w:val="002D48AA"/>
    <w:rsid w:val="002D71E0"/>
    <w:rsid w:val="002D7BAA"/>
    <w:rsid w:val="002D7F54"/>
    <w:rsid w:val="002E2570"/>
    <w:rsid w:val="002E394B"/>
    <w:rsid w:val="002E3FF4"/>
    <w:rsid w:val="002E631E"/>
    <w:rsid w:val="002F26A1"/>
    <w:rsid w:val="002F3BE4"/>
    <w:rsid w:val="002F451B"/>
    <w:rsid w:val="002F721E"/>
    <w:rsid w:val="002F78C8"/>
    <w:rsid w:val="00301CF3"/>
    <w:rsid w:val="00303181"/>
    <w:rsid w:val="00305CD4"/>
    <w:rsid w:val="003065B3"/>
    <w:rsid w:val="00306933"/>
    <w:rsid w:val="00307421"/>
    <w:rsid w:val="003139C4"/>
    <w:rsid w:val="00313AC2"/>
    <w:rsid w:val="00313BDE"/>
    <w:rsid w:val="003155F1"/>
    <w:rsid w:val="00317C5D"/>
    <w:rsid w:val="003201F3"/>
    <w:rsid w:val="00326B81"/>
    <w:rsid w:val="0032715C"/>
    <w:rsid w:val="003312F7"/>
    <w:rsid w:val="0033176B"/>
    <w:rsid w:val="00333A2B"/>
    <w:rsid w:val="00335AA8"/>
    <w:rsid w:val="00336EB7"/>
    <w:rsid w:val="003374CE"/>
    <w:rsid w:val="00337CA5"/>
    <w:rsid w:val="003404D1"/>
    <w:rsid w:val="00342952"/>
    <w:rsid w:val="00342D7D"/>
    <w:rsid w:val="00347914"/>
    <w:rsid w:val="0034795A"/>
    <w:rsid w:val="00347A33"/>
    <w:rsid w:val="00352C95"/>
    <w:rsid w:val="003557F7"/>
    <w:rsid w:val="00361530"/>
    <w:rsid w:val="00362478"/>
    <w:rsid w:val="00365C25"/>
    <w:rsid w:val="00365E7F"/>
    <w:rsid w:val="00365FD6"/>
    <w:rsid w:val="00367516"/>
    <w:rsid w:val="00373121"/>
    <w:rsid w:val="003737C3"/>
    <w:rsid w:val="00373EB5"/>
    <w:rsid w:val="00375926"/>
    <w:rsid w:val="00375B25"/>
    <w:rsid w:val="0037756E"/>
    <w:rsid w:val="003808F1"/>
    <w:rsid w:val="00380E16"/>
    <w:rsid w:val="0038132C"/>
    <w:rsid w:val="00390AAA"/>
    <w:rsid w:val="00391E66"/>
    <w:rsid w:val="00393BC8"/>
    <w:rsid w:val="00395805"/>
    <w:rsid w:val="00396542"/>
    <w:rsid w:val="0039685B"/>
    <w:rsid w:val="003A0B01"/>
    <w:rsid w:val="003A31A6"/>
    <w:rsid w:val="003A43BB"/>
    <w:rsid w:val="003A7F0C"/>
    <w:rsid w:val="003A7F79"/>
    <w:rsid w:val="003B04E9"/>
    <w:rsid w:val="003B2124"/>
    <w:rsid w:val="003B6404"/>
    <w:rsid w:val="003B68B1"/>
    <w:rsid w:val="003C05D4"/>
    <w:rsid w:val="003C0D80"/>
    <w:rsid w:val="003C16F7"/>
    <w:rsid w:val="003C3471"/>
    <w:rsid w:val="003C3568"/>
    <w:rsid w:val="003C3CB5"/>
    <w:rsid w:val="003C449B"/>
    <w:rsid w:val="003C7874"/>
    <w:rsid w:val="003D108A"/>
    <w:rsid w:val="003D1469"/>
    <w:rsid w:val="003D21FF"/>
    <w:rsid w:val="003D3B4A"/>
    <w:rsid w:val="003D468F"/>
    <w:rsid w:val="003D5E1F"/>
    <w:rsid w:val="003D7CC9"/>
    <w:rsid w:val="003E1C22"/>
    <w:rsid w:val="003E3228"/>
    <w:rsid w:val="003E3966"/>
    <w:rsid w:val="003F0112"/>
    <w:rsid w:val="003F04A6"/>
    <w:rsid w:val="003F071A"/>
    <w:rsid w:val="003F160B"/>
    <w:rsid w:val="003F2BD1"/>
    <w:rsid w:val="003F3AD9"/>
    <w:rsid w:val="003F55BC"/>
    <w:rsid w:val="003F77DF"/>
    <w:rsid w:val="00400032"/>
    <w:rsid w:val="004004CD"/>
    <w:rsid w:val="00400B43"/>
    <w:rsid w:val="00400B5B"/>
    <w:rsid w:val="00401365"/>
    <w:rsid w:val="00405A00"/>
    <w:rsid w:val="004066C0"/>
    <w:rsid w:val="004070D7"/>
    <w:rsid w:val="00411A9E"/>
    <w:rsid w:val="0041349E"/>
    <w:rsid w:val="0041373E"/>
    <w:rsid w:val="00414CE2"/>
    <w:rsid w:val="00414E71"/>
    <w:rsid w:val="00416904"/>
    <w:rsid w:val="00416FF4"/>
    <w:rsid w:val="00417870"/>
    <w:rsid w:val="00420870"/>
    <w:rsid w:val="00422063"/>
    <w:rsid w:val="0042311A"/>
    <w:rsid w:val="00427C93"/>
    <w:rsid w:val="00430992"/>
    <w:rsid w:val="00432D0C"/>
    <w:rsid w:val="0043308E"/>
    <w:rsid w:val="00433B72"/>
    <w:rsid w:val="00434A35"/>
    <w:rsid w:val="0043717C"/>
    <w:rsid w:val="0043791B"/>
    <w:rsid w:val="004405CA"/>
    <w:rsid w:val="00441483"/>
    <w:rsid w:val="00441BCB"/>
    <w:rsid w:val="00444704"/>
    <w:rsid w:val="0044531E"/>
    <w:rsid w:val="00445C8B"/>
    <w:rsid w:val="00446C27"/>
    <w:rsid w:val="00446FEA"/>
    <w:rsid w:val="004503BE"/>
    <w:rsid w:val="00450816"/>
    <w:rsid w:val="004512D3"/>
    <w:rsid w:val="0045176A"/>
    <w:rsid w:val="00452A64"/>
    <w:rsid w:val="00452F74"/>
    <w:rsid w:val="00453A37"/>
    <w:rsid w:val="00453E60"/>
    <w:rsid w:val="00456332"/>
    <w:rsid w:val="004602B3"/>
    <w:rsid w:val="004617ED"/>
    <w:rsid w:val="00461826"/>
    <w:rsid w:val="00461B3C"/>
    <w:rsid w:val="00462646"/>
    <w:rsid w:val="004639C3"/>
    <w:rsid w:val="004667A1"/>
    <w:rsid w:val="00466FFC"/>
    <w:rsid w:val="004725B5"/>
    <w:rsid w:val="00472D23"/>
    <w:rsid w:val="004735CE"/>
    <w:rsid w:val="00473CEF"/>
    <w:rsid w:val="00476B4A"/>
    <w:rsid w:val="00477559"/>
    <w:rsid w:val="00477F05"/>
    <w:rsid w:val="004800F9"/>
    <w:rsid w:val="00480815"/>
    <w:rsid w:val="004816B2"/>
    <w:rsid w:val="00482659"/>
    <w:rsid w:val="0048545B"/>
    <w:rsid w:val="004870D6"/>
    <w:rsid w:val="0049134A"/>
    <w:rsid w:val="0049261C"/>
    <w:rsid w:val="00493F1D"/>
    <w:rsid w:val="00495981"/>
    <w:rsid w:val="00495C6D"/>
    <w:rsid w:val="00496A13"/>
    <w:rsid w:val="00497CB0"/>
    <w:rsid w:val="004A1814"/>
    <w:rsid w:val="004A18FC"/>
    <w:rsid w:val="004A58CB"/>
    <w:rsid w:val="004A7004"/>
    <w:rsid w:val="004A732A"/>
    <w:rsid w:val="004B00B5"/>
    <w:rsid w:val="004B0341"/>
    <w:rsid w:val="004B1795"/>
    <w:rsid w:val="004B4513"/>
    <w:rsid w:val="004B56DD"/>
    <w:rsid w:val="004B65AB"/>
    <w:rsid w:val="004B7AE3"/>
    <w:rsid w:val="004C020F"/>
    <w:rsid w:val="004C1637"/>
    <w:rsid w:val="004C1AFD"/>
    <w:rsid w:val="004C558B"/>
    <w:rsid w:val="004C6625"/>
    <w:rsid w:val="004C7B70"/>
    <w:rsid w:val="004D04DE"/>
    <w:rsid w:val="004D0A76"/>
    <w:rsid w:val="004D46C2"/>
    <w:rsid w:val="004D5169"/>
    <w:rsid w:val="004D70FF"/>
    <w:rsid w:val="004D716A"/>
    <w:rsid w:val="004E2357"/>
    <w:rsid w:val="004E5A11"/>
    <w:rsid w:val="004E6641"/>
    <w:rsid w:val="004F0715"/>
    <w:rsid w:val="004F117E"/>
    <w:rsid w:val="004F19E3"/>
    <w:rsid w:val="004F1B19"/>
    <w:rsid w:val="004F1F88"/>
    <w:rsid w:val="004F5F1B"/>
    <w:rsid w:val="004F70AE"/>
    <w:rsid w:val="00501A67"/>
    <w:rsid w:val="00501D82"/>
    <w:rsid w:val="00502374"/>
    <w:rsid w:val="00502850"/>
    <w:rsid w:val="0050584F"/>
    <w:rsid w:val="00505BF8"/>
    <w:rsid w:val="005060A1"/>
    <w:rsid w:val="00507B32"/>
    <w:rsid w:val="00507C83"/>
    <w:rsid w:val="00511843"/>
    <w:rsid w:val="00512ACA"/>
    <w:rsid w:val="00516072"/>
    <w:rsid w:val="005179D8"/>
    <w:rsid w:val="0052105F"/>
    <w:rsid w:val="005256C1"/>
    <w:rsid w:val="00525BAA"/>
    <w:rsid w:val="00526327"/>
    <w:rsid w:val="005264AF"/>
    <w:rsid w:val="00526B9E"/>
    <w:rsid w:val="005332EC"/>
    <w:rsid w:val="00534418"/>
    <w:rsid w:val="005353AB"/>
    <w:rsid w:val="00537E45"/>
    <w:rsid w:val="005426FC"/>
    <w:rsid w:val="00544B71"/>
    <w:rsid w:val="005468E0"/>
    <w:rsid w:val="00546C12"/>
    <w:rsid w:val="00551E2E"/>
    <w:rsid w:val="005560BC"/>
    <w:rsid w:val="00557222"/>
    <w:rsid w:val="005573BE"/>
    <w:rsid w:val="005576E8"/>
    <w:rsid w:val="005579D8"/>
    <w:rsid w:val="005605D8"/>
    <w:rsid w:val="00562DB7"/>
    <w:rsid w:val="00564673"/>
    <w:rsid w:val="005646B7"/>
    <w:rsid w:val="0056757A"/>
    <w:rsid w:val="0056798F"/>
    <w:rsid w:val="00567D43"/>
    <w:rsid w:val="00572700"/>
    <w:rsid w:val="00574106"/>
    <w:rsid w:val="00577636"/>
    <w:rsid w:val="005777CB"/>
    <w:rsid w:val="00577AC1"/>
    <w:rsid w:val="00580468"/>
    <w:rsid w:val="00581BBE"/>
    <w:rsid w:val="00582231"/>
    <w:rsid w:val="0058310B"/>
    <w:rsid w:val="00585264"/>
    <w:rsid w:val="0058603B"/>
    <w:rsid w:val="00586CB1"/>
    <w:rsid w:val="00590604"/>
    <w:rsid w:val="005939EC"/>
    <w:rsid w:val="00593B4F"/>
    <w:rsid w:val="0059431B"/>
    <w:rsid w:val="005944B2"/>
    <w:rsid w:val="005947C5"/>
    <w:rsid w:val="00594B6F"/>
    <w:rsid w:val="00594D8F"/>
    <w:rsid w:val="00596C27"/>
    <w:rsid w:val="00596E88"/>
    <w:rsid w:val="005971D9"/>
    <w:rsid w:val="005A39CC"/>
    <w:rsid w:val="005A3B94"/>
    <w:rsid w:val="005A4CBB"/>
    <w:rsid w:val="005A4EE7"/>
    <w:rsid w:val="005A53B8"/>
    <w:rsid w:val="005A56C3"/>
    <w:rsid w:val="005A741B"/>
    <w:rsid w:val="005B18FB"/>
    <w:rsid w:val="005B2B85"/>
    <w:rsid w:val="005B35D9"/>
    <w:rsid w:val="005B4730"/>
    <w:rsid w:val="005B48E6"/>
    <w:rsid w:val="005B4CCF"/>
    <w:rsid w:val="005C07EA"/>
    <w:rsid w:val="005C0F0E"/>
    <w:rsid w:val="005C28BD"/>
    <w:rsid w:val="005C2DA3"/>
    <w:rsid w:val="005C42A1"/>
    <w:rsid w:val="005C4C65"/>
    <w:rsid w:val="005C62AD"/>
    <w:rsid w:val="005C7000"/>
    <w:rsid w:val="005C795B"/>
    <w:rsid w:val="005D0F0A"/>
    <w:rsid w:val="005D24D7"/>
    <w:rsid w:val="005D2DEC"/>
    <w:rsid w:val="005D39ED"/>
    <w:rsid w:val="005D4A6E"/>
    <w:rsid w:val="005D6031"/>
    <w:rsid w:val="005D781A"/>
    <w:rsid w:val="005E05D7"/>
    <w:rsid w:val="005E17DC"/>
    <w:rsid w:val="005E1FE5"/>
    <w:rsid w:val="005E2788"/>
    <w:rsid w:val="005E29B4"/>
    <w:rsid w:val="005E32FE"/>
    <w:rsid w:val="005E41E7"/>
    <w:rsid w:val="005E450F"/>
    <w:rsid w:val="005E4ADA"/>
    <w:rsid w:val="005E4B11"/>
    <w:rsid w:val="005E523E"/>
    <w:rsid w:val="005E6B01"/>
    <w:rsid w:val="005E6E6C"/>
    <w:rsid w:val="005F267D"/>
    <w:rsid w:val="005F422A"/>
    <w:rsid w:val="005F7935"/>
    <w:rsid w:val="006010B2"/>
    <w:rsid w:val="0060130B"/>
    <w:rsid w:val="006015CB"/>
    <w:rsid w:val="00603FAD"/>
    <w:rsid w:val="00605EA5"/>
    <w:rsid w:val="0060695B"/>
    <w:rsid w:val="00606E9C"/>
    <w:rsid w:val="00606FA6"/>
    <w:rsid w:val="00613AAF"/>
    <w:rsid w:val="006157A6"/>
    <w:rsid w:val="00621650"/>
    <w:rsid w:val="00621C08"/>
    <w:rsid w:val="0062298A"/>
    <w:rsid w:val="00626514"/>
    <w:rsid w:val="00626589"/>
    <w:rsid w:val="00627988"/>
    <w:rsid w:val="006305BC"/>
    <w:rsid w:val="00632E63"/>
    <w:rsid w:val="006339A0"/>
    <w:rsid w:val="00633F00"/>
    <w:rsid w:val="00635967"/>
    <w:rsid w:val="006370AE"/>
    <w:rsid w:val="006370F9"/>
    <w:rsid w:val="006413A8"/>
    <w:rsid w:val="0064198F"/>
    <w:rsid w:val="00642E56"/>
    <w:rsid w:val="006445DC"/>
    <w:rsid w:val="00644F10"/>
    <w:rsid w:val="00645FDE"/>
    <w:rsid w:val="00646313"/>
    <w:rsid w:val="00650727"/>
    <w:rsid w:val="00651E00"/>
    <w:rsid w:val="00652B5C"/>
    <w:rsid w:val="00660928"/>
    <w:rsid w:val="00663E9C"/>
    <w:rsid w:val="0066452B"/>
    <w:rsid w:val="00664B40"/>
    <w:rsid w:val="0066594F"/>
    <w:rsid w:val="00665C50"/>
    <w:rsid w:val="006715E9"/>
    <w:rsid w:val="00672680"/>
    <w:rsid w:val="00674572"/>
    <w:rsid w:val="0067580D"/>
    <w:rsid w:val="00677A47"/>
    <w:rsid w:val="00680802"/>
    <w:rsid w:val="00681ED2"/>
    <w:rsid w:val="00683B0D"/>
    <w:rsid w:val="0068434B"/>
    <w:rsid w:val="00684739"/>
    <w:rsid w:val="0068525E"/>
    <w:rsid w:val="00687763"/>
    <w:rsid w:val="00692B0D"/>
    <w:rsid w:val="00693413"/>
    <w:rsid w:val="00693E0E"/>
    <w:rsid w:val="00694DFF"/>
    <w:rsid w:val="0069559B"/>
    <w:rsid w:val="00697C6E"/>
    <w:rsid w:val="006A05D0"/>
    <w:rsid w:val="006A1AE3"/>
    <w:rsid w:val="006A1F2B"/>
    <w:rsid w:val="006A3629"/>
    <w:rsid w:val="006A631D"/>
    <w:rsid w:val="006B035F"/>
    <w:rsid w:val="006B382C"/>
    <w:rsid w:val="006B586C"/>
    <w:rsid w:val="006B6E21"/>
    <w:rsid w:val="006B7527"/>
    <w:rsid w:val="006B7A35"/>
    <w:rsid w:val="006C14BB"/>
    <w:rsid w:val="006C1731"/>
    <w:rsid w:val="006C2CD3"/>
    <w:rsid w:val="006C30E1"/>
    <w:rsid w:val="006C4607"/>
    <w:rsid w:val="006C7205"/>
    <w:rsid w:val="006D0181"/>
    <w:rsid w:val="006D1583"/>
    <w:rsid w:val="006D48F1"/>
    <w:rsid w:val="006D496A"/>
    <w:rsid w:val="006D6F18"/>
    <w:rsid w:val="006E1091"/>
    <w:rsid w:val="006E1570"/>
    <w:rsid w:val="006E17DB"/>
    <w:rsid w:val="006E2D9D"/>
    <w:rsid w:val="006E42C0"/>
    <w:rsid w:val="006E612C"/>
    <w:rsid w:val="006E6A7B"/>
    <w:rsid w:val="006F28C9"/>
    <w:rsid w:val="006F37D8"/>
    <w:rsid w:val="006F45BE"/>
    <w:rsid w:val="006F5F3E"/>
    <w:rsid w:val="007002E2"/>
    <w:rsid w:val="00700424"/>
    <w:rsid w:val="007004FC"/>
    <w:rsid w:val="007006F0"/>
    <w:rsid w:val="007009E4"/>
    <w:rsid w:val="0070221E"/>
    <w:rsid w:val="00704267"/>
    <w:rsid w:val="00706257"/>
    <w:rsid w:val="00706670"/>
    <w:rsid w:val="007072D6"/>
    <w:rsid w:val="007104DB"/>
    <w:rsid w:val="00711F59"/>
    <w:rsid w:val="00712204"/>
    <w:rsid w:val="00715166"/>
    <w:rsid w:val="007212E8"/>
    <w:rsid w:val="007233E0"/>
    <w:rsid w:val="0072417C"/>
    <w:rsid w:val="0072583C"/>
    <w:rsid w:val="00726C2F"/>
    <w:rsid w:val="00727043"/>
    <w:rsid w:val="0072755B"/>
    <w:rsid w:val="00727F28"/>
    <w:rsid w:val="00733390"/>
    <w:rsid w:val="007335BB"/>
    <w:rsid w:val="007338FC"/>
    <w:rsid w:val="00733E45"/>
    <w:rsid w:val="00734099"/>
    <w:rsid w:val="00734450"/>
    <w:rsid w:val="007377D4"/>
    <w:rsid w:val="00737BE9"/>
    <w:rsid w:val="007409EA"/>
    <w:rsid w:val="0074171F"/>
    <w:rsid w:val="00743990"/>
    <w:rsid w:val="00744D96"/>
    <w:rsid w:val="00745F67"/>
    <w:rsid w:val="0075039E"/>
    <w:rsid w:val="00751EDC"/>
    <w:rsid w:val="00752D9D"/>
    <w:rsid w:val="00754784"/>
    <w:rsid w:val="00756082"/>
    <w:rsid w:val="00756F59"/>
    <w:rsid w:val="007578DC"/>
    <w:rsid w:val="00757A71"/>
    <w:rsid w:val="00757C18"/>
    <w:rsid w:val="00757C6E"/>
    <w:rsid w:val="00762BDA"/>
    <w:rsid w:val="007650C7"/>
    <w:rsid w:val="0076709E"/>
    <w:rsid w:val="007701DE"/>
    <w:rsid w:val="00770CEF"/>
    <w:rsid w:val="00771C00"/>
    <w:rsid w:val="00774021"/>
    <w:rsid w:val="007805FD"/>
    <w:rsid w:val="00784422"/>
    <w:rsid w:val="00786281"/>
    <w:rsid w:val="0078714A"/>
    <w:rsid w:val="00787621"/>
    <w:rsid w:val="00787D46"/>
    <w:rsid w:val="00790852"/>
    <w:rsid w:val="007914E1"/>
    <w:rsid w:val="00791E19"/>
    <w:rsid w:val="007939BD"/>
    <w:rsid w:val="00794411"/>
    <w:rsid w:val="0079482A"/>
    <w:rsid w:val="0079527F"/>
    <w:rsid w:val="00796C74"/>
    <w:rsid w:val="00797951"/>
    <w:rsid w:val="00797BEF"/>
    <w:rsid w:val="007A0762"/>
    <w:rsid w:val="007A5E80"/>
    <w:rsid w:val="007A78EC"/>
    <w:rsid w:val="007B04D7"/>
    <w:rsid w:val="007B301A"/>
    <w:rsid w:val="007B3031"/>
    <w:rsid w:val="007B3058"/>
    <w:rsid w:val="007B32DF"/>
    <w:rsid w:val="007B3B54"/>
    <w:rsid w:val="007B3FA0"/>
    <w:rsid w:val="007B5FA1"/>
    <w:rsid w:val="007B6A99"/>
    <w:rsid w:val="007C07D9"/>
    <w:rsid w:val="007C0F2C"/>
    <w:rsid w:val="007C2364"/>
    <w:rsid w:val="007C2BCC"/>
    <w:rsid w:val="007C2C75"/>
    <w:rsid w:val="007C30A5"/>
    <w:rsid w:val="007C4C6B"/>
    <w:rsid w:val="007C4EF0"/>
    <w:rsid w:val="007C6348"/>
    <w:rsid w:val="007D07D1"/>
    <w:rsid w:val="007D099D"/>
    <w:rsid w:val="007D23FE"/>
    <w:rsid w:val="007D3788"/>
    <w:rsid w:val="007D3A03"/>
    <w:rsid w:val="007D4E89"/>
    <w:rsid w:val="007D5B43"/>
    <w:rsid w:val="007E2664"/>
    <w:rsid w:val="007E32F4"/>
    <w:rsid w:val="007E3ABF"/>
    <w:rsid w:val="007E3CA7"/>
    <w:rsid w:val="007E49D5"/>
    <w:rsid w:val="007E57D6"/>
    <w:rsid w:val="007E5BFA"/>
    <w:rsid w:val="007E6689"/>
    <w:rsid w:val="007E679F"/>
    <w:rsid w:val="007E731C"/>
    <w:rsid w:val="007F0224"/>
    <w:rsid w:val="007F0A03"/>
    <w:rsid w:val="007F122C"/>
    <w:rsid w:val="007F4B6D"/>
    <w:rsid w:val="007F6CB2"/>
    <w:rsid w:val="007F7437"/>
    <w:rsid w:val="00801937"/>
    <w:rsid w:val="00802A27"/>
    <w:rsid w:val="00803F3E"/>
    <w:rsid w:val="00805430"/>
    <w:rsid w:val="008059B5"/>
    <w:rsid w:val="00805EDB"/>
    <w:rsid w:val="00806166"/>
    <w:rsid w:val="00810040"/>
    <w:rsid w:val="00810404"/>
    <w:rsid w:val="00811DD4"/>
    <w:rsid w:val="00813290"/>
    <w:rsid w:val="008139FD"/>
    <w:rsid w:val="00813F4E"/>
    <w:rsid w:val="00815230"/>
    <w:rsid w:val="0081578A"/>
    <w:rsid w:val="0082023A"/>
    <w:rsid w:val="00821A7A"/>
    <w:rsid w:val="008225EE"/>
    <w:rsid w:val="00822CE0"/>
    <w:rsid w:val="00823192"/>
    <w:rsid w:val="00824D47"/>
    <w:rsid w:val="008253F8"/>
    <w:rsid w:val="00825907"/>
    <w:rsid w:val="0082626E"/>
    <w:rsid w:val="00831170"/>
    <w:rsid w:val="00831438"/>
    <w:rsid w:val="008316D2"/>
    <w:rsid w:val="008325E4"/>
    <w:rsid w:val="00832720"/>
    <w:rsid w:val="00832A2B"/>
    <w:rsid w:val="00834604"/>
    <w:rsid w:val="00836698"/>
    <w:rsid w:val="00836756"/>
    <w:rsid w:val="00843277"/>
    <w:rsid w:val="008457A4"/>
    <w:rsid w:val="00845811"/>
    <w:rsid w:val="008458A6"/>
    <w:rsid w:val="00846994"/>
    <w:rsid w:val="00850451"/>
    <w:rsid w:val="00851FC8"/>
    <w:rsid w:val="00852042"/>
    <w:rsid w:val="00852B7E"/>
    <w:rsid w:val="008534C9"/>
    <w:rsid w:val="00853FDE"/>
    <w:rsid w:val="0085599D"/>
    <w:rsid w:val="0086096B"/>
    <w:rsid w:val="00861E40"/>
    <w:rsid w:val="00865292"/>
    <w:rsid w:val="00866856"/>
    <w:rsid w:val="008703A9"/>
    <w:rsid w:val="00871D1A"/>
    <w:rsid w:val="00872D5F"/>
    <w:rsid w:val="0087328C"/>
    <w:rsid w:val="008732F8"/>
    <w:rsid w:val="00873485"/>
    <w:rsid w:val="00873C8E"/>
    <w:rsid w:val="0087510C"/>
    <w:rsid w:val="00875CCE"/>
    <w:rsid w:val="008818F8"/>
    <w:rsid w:val="0088204E"/>
    <w:rsid w:val="0088385A"/>
    <w:rsid w:val="008843CE"/>
    <w:rsid w:val="008845EF"/>
    <w:rsid w:val="00885CEA"/>
    <w:rsid w:val="00886209"/>
    <w:rsid w:val="00887715"/>
    <w:rsid w:val="00893343"/>
    <w:rsid w:val="008968AA"/>
    <w:rsid w:val="008968D2"/>
    <w:rsid w:val="0089738E"/>
    <w:rsid w:val="008975E6"/>
    <w:rsid w:val="00897A4F"/>
    <w:rsid w:val="008A0B11"/>
    <w:rsid w:val="008A0BF5"/>
    <w:rsid w:val="008A10CB"/>
    <w:rsid w:val="008A1E0A"/>
    <w:rsid w:val="008A2157"/>
    <w:rsid w:val="008A32FF"/>
    <w:rsid w:val="008A6561"/>
    <w:rsid w:val="008B0344"/>
    <w:rsid w:val="008B1271"/>
    <w:rsid w:val="008B2440"/>
    <w:rsid w:val="008B3B36"/>
    <w:rsid w:val="008B3C09"/>
    <w:rsid w:val="008B5FDB"/>
    <w:rsid w:val="008B691A"/>
    <w:rsid w:val="008B7273"/>
    <w:rsid w:val="008C2760"/>
    <w:rsid w:val="008C50F4"/>
    <w:rsid w:val="008C5649"/>
    <w:rsid w:val="008C61E8"/>
    <w:rsid w:val="008C697B"/>
    <w:rsid w:val="008D1FBE"/>
    <w:rsid w:val="008D276A"/>
    <w:rsid w:val="008D379C"/>
    <w:rsid w:val="008D4DEC"/>
    <w:rsid w:val="008D601B"/>
    <w:rsid w:val="008E101D"/>
    <w:rsid w:val="008E2E5E"/>
    <w:rsid w:val="008E3FAE"/>
    <w:rsid w:val="008E428F"/>
    <w:rsid w:val="008E44A2"/>
    <w:rsid w:val="008E50A8"/>
    <w:rsid w:val="008E681D"/>
    <w:rsid w:val="008E697D"/>
    <w:rsid w:val="008E6FBE"/>
    <w:rsid w:val="008F0F96"/>
    <w:rsid w:val="008F5672"/>
    <w:rsid w:val="009031AD"/>
    <w:rsid w:val="00903263"/>
    <w:rsid w:val="00903444"/>
    <w:rsid w:val="00904294"/>
    <w:rsid w:val="0090542A"/>
    <w:rsid w:val="00906261"/>
    <w:rsid w:val="00906A21"/>
    <w:rsid w:val="009079C3"/>
    <w:rsid w:val="00910462"/>
    <w:rsid w:val="00910D4E"/>
    <w:rsid w:val="00910F5C"/>
    <w:rsid w:val="0091161B"/>
    <w:rsid w:val="009125A1"/>
    <w:rsid w:val="009134BC"/>
    <w:rsid w:val="0091437E"/>
    <w:rsid w:val="00915AB1"/>
    <w:rsid w:val="00915EAB"/>
    <w:rsid w:val="00917532"/>
    <w:rsid w:val="009202EE"/>
    <w:rsid w:val="009205B8"/>
    <w:rsid w:val="0092065D"/>
    <w:rsid w:val="009214E2"/>
    <w:rsid w:val="00922829"/>
    <w:rsid w:val="00922FF1"/>
    <w:rsid w:val="009235BA"/>
    <w:rsid w:val="00924023"/>
    <w:rsid w:val="00924CE2"/>
    <w:rsid w:val="00924E23"/>
    <w:rsid w:val="009252E3"/>
    <w:rsid w:val="009257A9"/>
    <w:rsid w:val="00925B9F"/>
    <w:rsid w:val="00927257"/>
    <w:rsid w:val="009301AF"/>
    <w:rsid w:val="00930B6D"/>
    <w:rsid w:val="00931AED"/>
    <w:rsid w:val="00931D35"/>
    <w:rsid w:val="009334DB"/>
    <w:rsid w:val="009347C7"/>
    <w:rsid w:val="009354F7"/>
    <w:rsid w:val="00936003"/>
    <w:rsid w:val="0093732A"/>
    <w:rsid w:val="009426E9"/>
    <w:rsid w:val="00942A8E"/>
    <w:rsid w:val="0094431F"/>
    <w:rsid w:val="009476A3"/>
    <w:rsid w:val="0095021E"/>
    <w:rsid w:val="00950977"/>
    <w:rsid w:val="0095334F"/>
    <w:rsid w:val="00953CB7"/>
    <w:rsid w:val="00953E18"/>
    <w:rsid w:val="009543EC"/>
    <w:rsid w:val="00954D71"/>
    <w:rsid w:val="00961942"/>
    <w:rsid w:val="00963AE5"/>
    <w:rsid w:val="00965897"/>
    <w:rsid w:val="00966F6D"/>
    <w:rsid w:val="0096765C"/>
    <w:rsid w:val="00967762"/>
    <w:rsid w:val="009677ED"/>
    <w:rsid w:val="00971BC6"/>
    <w:rsid w:val="0097238D"/>
    <w:rsid w:val="0097258B"/>
    <w:rsid w:val="009727E4"/>
    <w:rsid w:val="0097297B"/>
    <w:rsid w:val="00972B7A"/>
    <w:rsid w:val="0097473F"/>
    <w:rsid w:val="00975EB3"/>
    <w:rsid w:val="00977270"/>
    <w:rsid w:val="009802DD"/>
    <w:rsid w:val="0098064B"/>
    <w:rsid w:val="0098742E"/>
    <w:rsid w:val="00991028"/>
    <w:rsid w:val="00991958"/>
    <w:rsid w:val="00992266"/>
    <w:rsid w:val="009926AD"/>
    <w:rsid w:val="00993494"/>
    <w:rsid w:val="009934C5"/>
    <w:rsid w:val="00994C0F"/>
    <w:rsid w:val="009A0353"/>
    <w:rsid w:val="009A067E"/>
    <w:rsid w:val="009A1B85"/>
    <w:rsid w:val="009A5A45"/>
    <w:rsid w:val="009A6361"/>
    <w:rsid w:val="009A7A53"/>
    <w:rsid w:val="009B1BF6"/>
    <w:rsid w:val="009B22D7"/>
    <w:rsid w:val="009B23F5"/>
    <w:rsid w:val="009B2745"/>
    <w:rsid w:val="009B389D"/>
    <w:rsid w:val="009B5054"/>
    <w:rsid w:val="009B5ADC"/>
    <w:rsid w:val="009B70DE"/>
    <w:rsid w:val="009B72ED"/>
    <w:rsid w:val="009C20B6"/>
    <w:rsid w:val="009C3320"/>
    <w:rsid w:val="009C48F9"/>
    <w:rsid w:val="009C53DB"/>
    <w:rsid w:val="009C56CD"/>
    <w:rsid w:val="009C6DEB"/>
    <w:rsid w:val="009D23C2"/>
    <w:rsid w:val="009D30AC"/>
    <w:rsid w:val="009D6504"/>
    <w:rsid w:val="009E0381"/>
    <w:rsid w:val="009E12D7"/>
    <w:rsid w:val="009E3758"/>
    <w:rsid w:val="009E3800"/>
    <w:rsid w:val="009E661A"/>
    <w:rsid w:val="009E6A86"/>
    <w:rsid w:val="009E7437"/>
    <w:rsid w:val="009F0E52"/>
    <w:rsid w:val="009F1713"/>
    <w:rsid w:val="009F6448"/>
    <w:rsid w:val="009F7769"/>
    <w:rsid w:val="009F7B8D"/>
    <w:rsid w:val="009F7FE7"/>
    <w:rsid w:val="00A002D5"/>
    <w:rsid w:val="00A00747"/>
    <w:rsid w:val="00A060E1"/>
    <w:rsid w:val="00A06781"/>
    <w:rsid w:val="00A071B2"/>
    <w:rsid w:val="00A071CA"/>
    <w:rsid w:val="00A074C3"/>
    <w:rsid w:val="00A11062"/>
    <w:rsid w:val="00A11A03"/>
    <w:rsid w:val="00A12839"/>
    <w:rsid w:val="00A13153"/>
    <w:rsid w:val="00A14E70"/>
    <w:rsid w:val="00A1509C"/>
    <w:rsid w:val="00A1695F"/>
    <w:rsid w:val="00A16A86"/>
    <w:rsid w:val="00A16F4B"/>
    <w:rsid w:val="00A178D8"/>
    <w:rsid w:val="00A17C26"/>
    <w:rsid w:val="00A20B20"/>
    <w:rsid w:val="00A2195E"/>
    <w:rsid w:val="00A21C8A"/>
    <w:rsid w:val="00A22084"/>
    <w:rsid w:val="00A22230"/>
    <w:rsid w:val="00A24295"/>
    <w:rsid w:val="00A249B9"/>
    <w:rsid w:val="00A24C7D"/>
    <w:rsid w:val="00A30577"/>
    <w:rsid w:val="00A34260"/>
    <w:rsid w:val="00A36F16"/>
    <w:rsid w:val="00A40561"/>
    <w:rsid w:val="00A4190A"/>
    <w:rsid w:val="00A42EFA"/>
    <w:rsid w:val="00A44A72"/>
    <w:rsid w:val="00A45345"/>
    <w:rsid w:val="00A45A33"/>
    <w:rsid w:val="00A460E6"/>
    <w:rsid w:val="00A46336"/>
    <w:rsid w:val="00A46D3C"/>
    <w:rsid w:val="00A472FE"/>
    <w:rsid w:val="00A47541"/>
    <w:rsid w:val="00A51379"/>
    <w:rsid w:val="00A53D92"/>
    <w:rsid w:val="00A54D0A"/>
    <w:rsid w:val="00A5581F"/>
    <w:rsid w:val="00A56180"/>
    <w:rsid w:val="00A60142"/>
    <w:rsid w:val="00A65D1B"/>
    <w:rsid w:val="00A67745"/>
    <w:rsid w:val="00A70CFD"/>
    <w:rsid w:val="00A70F16"/>
    <w:rsid w:val="00A714E9"/>
    <w:rsid w:val="00A717E1"/>
    <w:rsid w:val="00A72A0B"/>
    <w:rsid w:val="00A74E07"/>
    <w:rsid w:val="00A8039A"/>
    <w:rsid w:val="00A80518"/>
    <w:rsid w:val="00A80D4D"/>
    <w:rsid w:val="00A8125C"/>
    <w:rsid w:val="00A81E42"/>
    <w:rsid w:val="00A83006"/>
    <w:rsid w:val="00A85DE9"/>
    <w:rsid w:val="00A864FE"/>
    <w:rsid w:val="00A86F41"/>
    <w:rsid w:val="00A87D04"/>
    <w:rsid w:val="00A9014A"/>
    <w:rsid w:val="00A94455"/>
    <w:rsid w:val="00A947BD"/>
    <w:rsid w:val="00A94E4B"/>
    <w:rsid w:val="00A950C5"/>
    <w:rsid w:val="00A953A6"/>
    <w:rsid w:val="00A95F38"/>
    <w:rsid w:val="00A96CE0"/>
    <w:rsid w:val="00AA1815"/>
    <w:rsid w:val="00AA19F9"/>
    <w:rsid w:val="00AA1D25"/>
    <w:rsid w:val="00AA31BB"/>
    <w:rsid w:val="00AA41A2"/>
    <w:rsid w:val="00AA52A9"/>
    <w:rsid w:val="00AA5AA2"/>
    <w:rsid w:val="00AA5F5C"/>
    <w:rsid w:val="00AA6218"/>
    <w:rsid w:val="00AA64AD"/>
    <w:rsid w:val="00AA67C6"/>
    <w:rsid w:val="00AB015A"/>
    <w:rsid w:val="00AB028F"/>
    <w:rsid w:val="00AB213A"/>
    <w:rsid w:val="00AB2B1A"/>
    <w:rsid w:val="00AB397F"/>
    <w:rsid w:val="00AB5410"/>
    <w:rsid w:val="00AB5832"/>
    <w:rsid w:val="00AB6D99"/>
    <w:rsid w:val="00AC4B72"/>
    <w:rsid w:val="00AC51F2"/>
    <w:rsid w:val="00AC6E7D"/>
    <w:rsid w:val="00AC7B48"/>
    <w:rsid w:val="00AD051B"/>
    <w:rsid w:val="00AD0D73"/>
    <w:rsid w:val="00AD1E34"/>
    <w:rsid w:val="00AD2B59"/>
    <w:rsid w:val="00AD3269"/>
    <w:rsid w:val="00AD583E"/>
    <w:rsid w:val="00AD62A1"/>
    <w:rsid w:val="00AD6528"/>
    <w:rsid w:val="00AE1FBF"/>
    <w:rsid w:val="00AE1FDB"/>
    <w:rsid w:val="00AE445B"/>
    <w:rsid w:val="00AE4599"/>
    <w:rsid w:val="00AE5066"/>
    <w:rsid w:val="00AE5B92"/>
    <w:rsid w:val="00AE5E24"/>
    <w:rsid w:val="00AE617A"/>
    <w:rsid w:val="00AE61B7"/>
    <w:rsid w:val="00AE6BF5"/>
    <w:rsid w:val="00AE6CBA"/>
    <w:rsid w:val="00AE7489"/>
    <w:rsid w:val="00AE79AD"/>
    <w:rsid w:val="00AE7C40"/>
    <w:rsid w:val="00AF0A66"/>
    <w:rsid w:val="00AF2800"/>
    <w:rsid w:val="00AF35E4"/>
    <w:rsid w:val="00AF40E8"/>
    <w:rsid w:val="00AF4F1F"/>
    <w:rsid w:val="00AF50C3"/>
    <w:rsid w:val="00AF5CDE"/>
    <w:rsid w:val="00AF6BCD"/>
    <w:rsid w:val="00AF792F"/>
    <w:rsid w:val="00B01684"/>
    <w:rsid w:val="00B02CB9"/>
    <w:rsid w:val="00B03A0B"/>
    <w:rsid w:val="00B0548C"/>
    <w:rsid w:val="00B0626C"/>
    <w:rsid w:val="00B069D7"/>
    <w:rsid w:val="00B07682"/>
    <w:rsid w:val="00B108F6"/>
    <w:rsid w:val="00B11A57"/>
    <w:rsid w:val="00B11A71"/>
    <w:rsid w:val="00B13208"/>
    <w:rsid w:val="00B13EA6"/>
    <w:rsid w:val="00B15581"/>
    <w:rsid w:val="00B163C3"/>
    <w:rsid w:val="00B171A4"/>
    <w:rsid w:val="00B17C99"/>
    <w:rsid w:val="00B211C3"/>
    <w:rsid w:val="00B2317D"/>
    <w:rsid w:val="00B23F47"/>
    <w:rsid w:val="00B244D1"/>
    <w:rsid w:val="00B24CC9"/>
    <w:rsid w:val="00B25597"/>
    <w:rsid w:val="00B25B36"/>
    <w:rsid w:val="00B261FE"/>
    <w:rsid w:val="00B267B9"/>
    <w:rsid w:val="00B2698D"/>
    <w:rsid w:val="00B26F6B"/>
    <w:rsid w:val="00B302BF"/>
    <w:rsid w:val="00B33E09"/>
    <w:rsid w:val="00B34D14"/>
    <w:rsid w:val="00B35D7D"/>
    <w:rsid w:val="00B36317"/>
    <w:rsid w:val="00B41F21"/>
    <w:rsid w:val="00B45F58"/>
    <w:rsid w:val="00B47117"/>
    <w:rsid w:val="00B47C62"/>
    <w:rsid w:val="00B50708"/>
    <w:rsid w:val="00B50C68"/>
    <w:rsid w:val="00B51293"/>
    <w:rsid w:val="00B51B35"/>
    <w:rsid w:val="00B52214"/>
    <w:rsid w:val="00B52B1E"/>
    <w:rsid w:val="00B5433B"/>
    <w:rsid w:val="00B55481"/>
    <w:rsid w:val="00B56C32"/>
    <w:rsid w:val="00B57ACF"/>
    <w:rsid w:val="00B60770"/>
    <w:rsid w:val="00B6398F"/>
    <w:rsid w:val="00B64008"/>
    <w:rsid w:val="00B64ACE"/>
    <w:rsid w:val="00B64BB1"/>
    <w:rsid w:val="00B73166"/>
    <w:rsid w:val="00B73573"/>
    <w:rsid w:val="00B736AB"/>
    <w:rsid w:val="00B74103"/>
    <w:rsid w:val="00B75A95"/>
    <w:rsid w:val="00B75EA9"/>
    <w:rsid w:val="00B76412"/>
    <w:rsid w:val="00B77676"/>
    <w:rsid w:val="00B818CB"/>
    <w:rsid w:val="00B8426C"/>
    <w:rsid w:val="00B868CF"/>
    <w:rsid w:val="00B87B6D"/>
    <w:rsid w:val="00B915CF"/>
    <w:rsid w:val="00B91B8D"/>
    <w:rsid w:val="00B91C16"/>
    <w:rsid w:val="00B9346C"/>
    <w:rsid w:val="00B9481A"/>
    <w:rsid w:val="00B94E90"/>
    <w:rsid w:val="00B9580D"/>
    <w:rsid w:val="00B95CE8"/>
    <w:rsid w:val="00B96E07"/>
    <w:rsid w:val="00B96E50"/>
    <w:rsid w:val="00BA2D09"/>
    <w:rsid w:val="00BA3134"/>
    <w:rsid w:val="00BA3A03"/>
    <w:rsid w:val="00BA4296"/>
    <w:rsid w:val="00BA5400"/>
    <w:rsid w:val="00BA6308"/>
    <w:rsid w:val="00BA63A7"/>
    <w:rsid w:val="00BA7FB2"/>
    <w:rsid w:val="00BB03CD"/>
    <w:rsid w:val="00BB0A82"/>
    <w:rsid w:val="00BB1850"/>
    <w:rsid w:val="00BB405A"/>
    <w:rsid w:val="00BB58A8"/>
    <w:rsid w:val="00BB5E29"/>
    <w:rsid w:val="00BB5EEC"/>
    <w:rsid w:val="00BB7930"/>
    <w:rsid w:val="00BB7C94"/>
    <w:rsid w:val="00BC0A9D"/>
    <w:rsid w:val="00BC0C73"/>
    <w:rsid w:val="00BC15B7"/>
    <w:rsid w:val="00BC5588"/>
    <w:rsid w:val="00BC742E"/>
    <w:rsid w:val="00BD1E90"/>
    <w:rsid w:val="00BD447A"/>
    <w:rsid w:val="00BD542E"/>
    <w:rsid w:val="00BE18C0"/>
    <w:rsid w:val="00BE1B4A"/>
    <w:rsid w:val="00BE2CC3"/>
    <w:rsid w:val="00BE3315"/>
    <w:rsid w:val="00BE4AE2"/>
    <w:rsid w:val="00BE5460"/>
    <w:rsid w:val="00BE707A"/>
    <w:rsid w:val="00BE72CE"/>
    <w:rsid w:val="00BE7329"/>
    <w:rsid w:val="00BE75FD"/>
    <w:rsid w:val="00BE7A06"/>
    <w:rsid w:val="00BF01DB"/>
    <w:rsid w:val="00BF0F33"/>
    <w:rsid w:val="00BF3587"/>
    <w:rsid w:val="00BF37BD"/>
    <w:rsid w:val="00BF40ED"/>
    <w:rsid w:val="00BF48E2"/>
    <w:rsid w:val="00BF5BC2"/>
    <w:rsid w:val="00C011C2"/>
    <w:rsid w:val="00C037E6"/>
    <w:rsid w:val="00C068E5"/>
    <w:rsid w:val="00C1133D"/>
    <w:rsid w:val="00C12ABA"/>
    <w:rsid w:val="00C13782"/>
    <w:rsid w:val="00C15032"/>
    <w:rsid w:val="00C15E18"/>
    <w:rsid w:val="00C15FEE"/>
    <w:rsid w:val="00C20B92"/>
    <w:rsid w:val="00C2127F"/>
    <w:rsid w:val="00C2184A"/>
    <w:rsid w:val="00C23A81"/>
    <w:rsid w:val="00C2457E"/>
    <w:rsid w:val="00C2656D"/>
    <w:rsid w:val="00C273C6"/>
    <w:rsid w:val="00C27A08"/>
    <w:rsid w:val="00C31312"/>
    <w:rsid w:val="00C31E36"/>
    <w:rsid w:val="00C3227B"/>
    <w:rsid w:val="00C326C6"/>
    <w:rsid w:val="00C32F66"/>
    <w:rsid w:val="00C35295"/>
    <w:rsid w:val="00C3648E"/>
    <w:rsid w:val="00C36ADD"/>
    <w:rsid w:val="00C36E74"/>
    <w:rsid w:val="00C401C7"/>
    <w:rsid w:val="00C40595"/>
    <w:rsid w:val="00C412CE"/>
    <w:rsid w:val="00C4150F"/>
    <w:rsid w:val="00C41621"/>
    <w:rsid w:val="00C41861"/>
    <w:rsid w:val="00C42FBC"/>
    <w:rsid w:val="00C43476"/>
    <w:rsid w:val="00C449FA"/>
    <w:rsid w:val="00C472EA"/>
    <w:rsid w:val="00C50194"/>
    <w:rsid w:val="00C506C9"/>
    <w:rsid w:val="00C511C7"/>
    <w:rsid w:val="00C52F74"/>
    <w:rsid w:val="00C5384F"/>
    <w:rsid w:val="00C54448"/>
    <w:rsid w:val="00C5459A"/>
    <w:rsid w:val="00C55CF3"/>
    <w:rsid w:val="00C56964"/>
    <w:rsid w:val="00C627F0"/>
    <w:rsid w:val="00C63A01"/>
    <w:rsid w:val="00C656D5"/>
    <w:rsid w:val="00C66356"/>
    <w:rsid w:val="00C66D71"/>
    <w:rsid w:val="00C67103"/>
    <w:rsid w:val="00C679B7"/>
    <w:rsid w:val="00C716E3"/>
    <w:rsid w:val="00C71BB9"/>
    <w:rsid w:val="00C761AA"/>
    <w:rsid w:val="00C7629F"/>
    <w:rsid w:val="00C764E9"/>
    <w:rsid w:val="00C84D73"/>
    <w:rsid w:val="00C87FB7"/>
    <w:rsid w:val="00C90985"/>
    <w:rsid w:val="00C90BBC"/>
    <w:rsid w:val="00C921B7"/>
    <w:rsid w:val="00C93F0D"/>
    <w:rsid w:val="00C93FA7"/>
    <w:rsid w:val="00C94C28"/>
    <w:rsid w:val="00C97287"/>
    <w:rsid w:val="00C97853"/>
    <w:rsid w:val="00CA24B4"/>
    <w:rsid w:val="00CA3D12"/>
    <w:rsid w:val="00CA5C1C"/>
    <w:rsid w:val="00CA7C84"/>
    <w:rsid w:val="00CB0247"/>
    <w:rsid w:val="00CB052E"/>
    <w:rsid w:val="00CB1211"/>
    <w:rsid w:val="00CB29E9"/>
    <w:rsid w:val="00CB3440"/>
    <w:rsid w:val="00CB3994"/>
    <w:rsid w:val="00CB47C7"/>
    <w:rsid w:val="00CB5493"/>
    <w:rsid w:val="00CC0110"/>
    <w:rsid w:val="00CC1692"/>
    <w:rsid w:val="00CC16B6"/>
    <w:rsid w:val="00CC1E0A"/>
    <w:rsid w:val="00CC391A"/>
    <w:rsid w:val="00CC3992"/>
    <w:rsid w:val="00CC4263"/>
    <w:rsid w:val="00CC5236"/>
    <w:rsid w:val="00CC5780"/>
    <w:rsid w:val="00CC5C95"/>
    <w:rsid w:val="00CC5EBA"/>
    <w:rsid w:val="00CC637B"/>
    <w:rsid w:val="00CD0ECC"/>
    <w:rsid w:val="00CD1346"/>
    <w:rsid w:val="00CD138B"/>
    <w:rsid w:val="00CD3E31"/>
    <w:rsid w:val="00CD6F80"/>
    <w:rsid w:val="00CD7483"/>
    <w:rsid w:val="00CD74A3"/>
    <w:rsid w:val="00CD76EE"/>
    <w:rsid w:val="00CE0527"/>
    <w:rsid w:val="00CE2BE6"/>
    <w:rsid w:val="00CE2D0E"/>
    <w:rsid w:val="00CE4564"/>
    <w:rsid w:val="00CE4665"/>
    <w:rsid w:val="00CE4CB5"/>
    <w:rsid w:val="00CE5B23"/>
    <w:rsid w:val="00CE5EF3"/>
    <w:rsid w:val="00CE671C"/>
    <w:rsid w:val="00CF04EE"/>
    <w:rsid w:val="00CF0725"/>
    <w:rsid w:val="00CF3BF7"/>
    <w:rsid w:val="00CF5BD1"/>
    <w:rsid w:val="00CF5D42"/>
    <w:rsid w:val="00CF70AD"/>
    <w:rsid w:val="00CF7729"/>
    <w:rsid w:val="00D00059"/>
    <w:rsid w:val="00D0040A"/>
    <w:rsid w:val="00D02404"/>
    <w:rsid w:val="00D03172"/>
    <w:rsid w:val="00D052E1"/>
    <w:rsid w:val="00D072A9"/>
    <w:rsid w:val="00D1070D"/>
    <w:rsid w:val="00D107FA"/>
    <w:rsid w:val="00D12275"/>
    <w:rsid w:val="00D12290"/>
    <w:rsid w:val="00D126EF"/>
    <w:rsid w:val="00D12766"/>
    <w:rsid w:val="00D13196"/>
    <w:rsid w:val="00D136D3"/>
    <w:rsid w:val="00D14699"/>
    <w:rsid w:val="00D14869"/>
    <w:rsid w:val="00D15231"/>
    <w:rsid w:val="00D16E69"/>
    <w:rsid w:val="00D16EF1"/>
    <w:rsid w:val="00D16F79"/>
    <w:rsid w:val="00D17ABF"/>
    <w:rsid w:val="00D17D2C"/>
    <w:rsid w:val="00D17EC3"/>
    <w:rsid w:val="00D20FF4"/>
    <w:rsid w:val="00D22BD9"/>
    <w:rsid w:val="00D2417D"/>
    <w:rsid w:val="00D24C1C"/>
    <w:rsid w:val="00D24D2C"/>
    <w:rsid w:val="00D25262"/>
    <w:rsid w:val="00D25CCE"/>
    <w:rsid w:val="00D26ED4"/>
    <w:rsid w:val="00D27365"/>
    <w:rsid w:val="00D32668"/>
    <w:rsid w:val="00D33616"/>
    <w:rsid w:val="00D35881"/>
    <w:rsid w:val="00D36317"/>
    <w:rsid w:val="00D41823"/>
    <w:rsid w:val="00D43E22"/>
    <w:rsid w:val="00D43F1B"/>
    <w:rsid w:val="00D448CD"/>
    <w:rsid w:val="00D45530"/>
    <w:rsid w:val="00D4784F"/>
    <w:rsid w:val="00D519B2"/>
    <w:rsid w:val="00D54BCE"/>
    <w:rsid w:val="00D555C1"/>
    <w:rsid w:val="00D62374"/>
    <w:rsid w:val="00D62C52"/>
    <w:rsid w:val="00D65367"/>
    <w:rsid w:val="00D657D7"/>
    <w:rsid w:val="00D659E3"/>
    <w:rsid w:val="00D667C2"/>
    <w:rsid w:val="00D70589"/>
    <w:rsid w:val="00D70E62"/>
    <w:rsid w:val="00D7290C"/>
    <w:rsid w:val="00D732CE"/>
    <w:rsid w:val="00D73BE2"/>
    <w:rsid w:val="00D741C9"/>
    <w:rsid w:val="00D76C6A"/>
    <w:rsid w:val="00D82120"/>
    <w:rsid w:val="00D82DB6"/>
    <w:rsid w:val="00D83342"/>
    <w:rsid w:val="00D83B61"/>
    <w:rsid w:val="00D84215"/>
    <w:rsid w:val="00D84B7F"/>
    <w:rsid w:val="00D85362"/>
    <w:rsid w:val="00D8557B"/>
    <w:rsid w:val="00D87A9B"/>
    <w:rsid w:val="00D9272B"/>
    <w:rsid w:val="00D92E5E"/>
    <w:rsid w:val="00D93D2D"/>
    <w:rsid w:val="00D948BC"/>
    <w:rsid w:val="00D973A7"/>
    <w:rsid w:val="00D97B62"/>
    <w:rsid w:val="00D97B9D"/>
    <w:rsid w:val="00DA0E01"/>
    <w:rsid w:val="00DA1A20"/>
    <w:rsid w:val="00DA20D9"/>
    <w:rsid w:val="00DA27A0"/>
    <w:rsid w:val="00DA34A8"/>
    <w:rsid w:val="00DA65DF"/>
    <w:rsid w:val="00DA6846"/>
    <w:rsid w:val="00DA6AF4"/>
    <w:rsid w:val="00DA7DA5"/>
    <w:rsid w:val="00DB073B"/>
    <w:rsid w:val="00DB0BC2"/>
    <w:rsid w:val="00DB2015"/>
    <w:rsid w:val="00DB3D01"/>
    <w:rsid w:val="00DB75F9"/>
    <w:rsid w:val="00DB78CC"/>
    <w:rsid w:val="00DB78F0"/>
    <w:rsid w:val="00DC0CEA"/>
    <w:rsid w:val="00DC2E43"/>
    <w:rsid w:val="00DC4CBD"/>
    <w:rsid w:val="00DC5426"/>
    <w:rsid w:val="00DC645B"/>
    <w:rsid w:val="00DD095C"/>
    <w:rsid w:val="00DD0A0B"/>
    <w:rsid w:val="00DD1020"/>
    <w:rsid w:val="00DD1330"/>
    <w:rsid w:val="00DD2669"/>
    <w:rsid w:val="00DD2A39"/>
    <w:rsid w:val="00DD2BEA"/>
    <w:rsid w:val="00DD38C8"/>
    <w:rsid w:val="00DD4A2E"/>
    <w:rsid w:val="00DD4B3E"/>
    <w:rsid w:val="00DD6EC5"/>
    <w:rsid w:val="00DD78E9"/>
    <w:rsid w:val="00DE0AA3"/>
    <w:rsid w:val="00DE0B83"/>
    <w:rsid w:val="00DE1A81"/>
    <w:rsid w:val="00DE1C13"/>
    <w:rsid w:val="00DE1CC0"/>
    <w:rsid w:val="00DE24E1"/>
    <w:rsid w:val="00DE2928"/>
    <w:rsid w:val="00DE4E10"/>
    <w:rsid w:val="00DE6D36"/>
    <w:rsid w:val="00DF1A6D"/>
    <w:rsid w:val="00DF2C9F"/>
    <w:rsid w:val="00DF528C"/>
    <w:rsid w:val="00DF6D1D"/>
    <w:rsid w:val="00E01FAD"/>
    <w:rsid w:val="00E02ABF"/>
    <w:rsid w:val="00E03DE1"/>
    <w:rsid w:val="00E0453B"/>
    <w:rsid w:val="00E046C7"/>
    <w:rsid w:val="00E04AE0"/>
    <w:rsid w:val="00E04F8F"/>
    <w:rsid w:val="00E054A2"/>
    <w:rsid w:val="00E06741"/>
    <w:rsid w:val="00E07E54"/>
    <w:rsid w:val="00E12ADD"/>
    <w:rsid w:val="00E12B8D"/>
    <w:rsid w:val="00E13F5A"/>
    <w:rsid w:val="00E14995"/>
    <w:rsid w:val="00E1702A"/>
    <w:rsid w:val="00E179CD"/>
    <w:rsid w:val="00E23D82"/>
    <w:rsid w:val="00E23E8D"/>
    <w:rsid w:val="00E2556C"/>
    <w:rsid w:val="00E2631B"/>
    <w:rsid w:val="00E26D5C"/>
    <w:rsid w:val="00E2709B"/>
    <w:rsid w:val="00E317CE"/>
    <w:rsid w:val="00E32673"/>
    <w:rsid w:val="00E32684"/>
    <w:rsid w:val="00E35755"/>
    <w:rsid w:val="00E37F98"/>
    <w:rsid w:val="00E4165A"/>
    <w:rsid w:val="00E46559"/>
    <w:rsid w:val="00E465F4"/>
    <w:rsid w:val="00E47A98"/>
    <w:rsid w:val="00E503DC"/>
    <w:rsid w:val="00E50423"/>
    <w:rsid w:val="00E50999"/>
    <w:rsid w:val="00E55F9E"/>
    <w:rsid w:val="00E5700C"/>
    <w:rsid w:val="00E5736A"/>
    <w:rsid w:val="00E60101"/>
    <w:rsid w:val="00E61098"/>
    <w:rsid w:val="00E61116"/>
    <w:rsid w:val="00E6670C"/>
    <w:rsid w:val="00E667F2"/>
    <w:rsid w:val="00E739CC"/>
    <w:rsid w:val="00E73DF8"/>
    <w:rsid w:val="00E776E8"/>
    <w:rsid w:val="00E80EE5"/>
    <w:rsid w:val="00E84102"/>
    <w:rsid w:val="00E85259"/>
    <w:rsid w:val="00E876D8"/>
    <w:rsid w:val="00E9069A"/>
    <w:rsid w:val="00E916F3"/>
    <w:rsid w:val="00E919FE"/>
    <w:rsid w:val="00E9296E"/>
    <w:rsid w:val="00E92C1F"/>
    <w:rsid w:val="00E934C1"/>
    <w:rsid w:val="00E93B65"/>
    <w:rsid w:val="00E946E7"/>
    <w:rsid w:val="00E95D4B"/>
    <w:rsid w:val="00E971C4"/>
    <w:rsid w:val="00EA2A60"/>
    <w:rsid w:val="00EA3DAA"/>
    <w:rsid w:val="00EA5F31"/>
    <w:rsid w:val="00EB0005"/>
    <w:rsid w:val="00EB199F"/>
    <w:rsid w:val="00EB1E78"/>
    <w:rsid w:val="00EC12B1"/>
    <w:rsid w:val="00EC23F7"/>
    <w:rsid w:val="00EC2B04"/>
    <w:rsid w:val="00EC3101"/>
    <w:rsid w:val="00EC48A5"/>
    <w:rsid w:val="00EC4BD8"/>
    <w:rsid w:val="00EC4FC6"/>
    <w:rsid w:val="00EC58D2"/>
    <w:rsid w:val="00EC63EB"/>
    <w:rsid w:val="00EC74EF"/>
    <w:rsid w:val="00ED412F"/>
    <w:rsid w:val="00ED45E5"/>
    <w:rsid w:val="00ED5729"/>
    <w:rsid w:val="00ED5AC1"/>
    <w:rsid w:val="00EE0879"/>
    <w:rsid w:val="00EE0A58"/>
    <w:rsid w:val="00EE30BE"/>
    <w:rsid w:val="00EE46E6"/>
    <w:rsid w:val="00EE5052"/>
    <w:rsid w:val="00EF0599"/>
    <w:rsid w:val="00EF148B"/>
    <w:rsid w:val="00EF29F3"/>
    <w:rsid w:val="00EF2E3C"/>
    <w:rsid w:val="00EF36B2"/>
    <w:rsid w:val="00EF396D"/>
    <w:rsid w:val="00EF4A77"/>
    <w:rsid w:val="00EF5CDC"/>
    <w:rsid w:val="00EF6727"/>
    <w:rsid w:val="00F007EA"/>
    <w:rsid w:val="00F014C3"/>
    <w:rsid w:val="00F018F4"/>
    <w:rsid w:val="00F03537"/>
    <w:rsid w:val="00F05E72"/>
    <w:rsid w:val="00F067DD"/>
    <w:rsid w:val="00F111B4"/>
    <w:rsid w:val="00F1246B"/>
    <w:rsid w:val="00F12AF2"/>
    <w:rsid w:val="00F13273"/>
    <w:rsid w:val="00F14836"/>
    <w:rsid w:val="00F1654A"/>
    <w:rsid w:val="00F201EC"/>
    <w:rsid w:val="00F20754"/>
    <w:rsid w:val="00F208A9"/>
    <w:rsid w:val="00F22374"/>
    <w:rsid w:val="00F22FE5"/>
    <w:rsid w:val="00F2552A"/>
    <w:rsid w:val="00F25B67"/>
    <w:rsid w:val="00F26415"/>
    <w:rsid w:val="00F30A4D"/>
    <w:rsid w:val="00F377A9"/>
    <w:rsid w:val="00F41AF1"/>
    <w:rsid w:val="00F41D75"/>
    <w:rsid w:val="00F41DF8"/>
    <w:rsid w:val="00F42BDA"/>
    <w:rsid w:val="00F42C74"/>
    <w:rsid w:val="00F43A18"/>
    <w:rsid w:val="00F452C7"/>
    <w:rsid w:val="00F45A52"/>
    <w:rsid w:val="00F45B3B"/>
    <w:rsid w:val="00F50B17"/>
    <w:rsid w:val="00F511E9"/>
    <w:rsid w:val="00F5139D"/>
    <w:rsid w:val="00F53ABD"/>
    <w:rsid w:val="00F55E53"/>
    <w:rsid w:val="00F60C54"/>
    <w:rsid w:val="00F613F1"/>
    <w:rsid w:val="00F62B53"/>
    <w:rsid w:val="00F63DAC"/>
    <w:rsid w:val="00F66191"/>
    <w:rsid w:val="00F66798"/>
    <w:rsid w:val="00F71D54"/>
    <w:rsid w:val="00F735E4"/>
    <w:rsid w:val="00F743B7"/>
    <w:rsid w:val="00F7454F"/>
    <w:rsid w:val="00F77849"/>
    <w:rsid w:val="00F77988"/>
    <w:rsid w:val="00F77DAD"/>
    <w:rsid w:val="00F77F48"/>
    <w:rsid w:val="00F825F4"/>
    <w:rsid w:val="00F8353E"/>
    <w:rsid w:val="00F846C7"/>
    <w:rsid w:val="00F8731A"/>
    <w:rsid w:val="00F9132F"/>
    <w:rsid w:val="00F91838"/>
    <w:rsid w:val="00F91B5E"/>
    <w:rsid w:val="00F929BF"/>
    <w:rsid w:val="00F92CBA"/>
    <w:rsid w:val="00F96372"/>
    <w:rsid w:val="00F97C00"/>
    <w:rsid w:val="00FA27F2"/>
    <w:rsid w:val="00FA6203"/>
    <w:rsid w:val="00FA6571"/>
    <w:rsid w:val="00FA7930"/>
    <w:rsid w:val="00FB0A67"/>
    <w:rsid w:val="00FB2199"/>
    <w:rsid w:val="00FB30F1"/>
    <w:rsid w:val="00FB53E7"/>
    <w:rsid w:val="00FB6C58"/>
    <w:rsid w:val="00FC0CAF"/>
    <w:rsid w:val="00FC1253"/>
    <w:rsid w:val="00FC17A0"/>
    <w:rsid w:val="00FC588E"/>
    <w:rsid w:val="00FC7713"/>
    <w:rsid w:val="00FC7FC7"/>
    <w:rsid w:val="00FD2672"/>
    <w:rsid w:val="00FD29B0"/>
    <w:rsid w:val="00FD2A8A"/>
    <w:rsid w:val="00FD4389"/>
    <w:rsid w:val="00FD466D"/>
    <w:rsid w:val="00FD78E1"/>
    <w:rsid w:val="00FE08CA"/>
    <w:rsid w:val="00FE1290"/>
    <w:rsid w:val="00FE429D"/>
    <w:rsid w:val="00FE73FF"/>
    <w:rsid w:val="00FE7BE7"/>
    <w:rsid w:val="00FF3847"/>
    <w:rsid w:val="00FF52EB"/>
    <w:rsid w:val="00FF6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D1A5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8C5649"/>
    <w:rPr>
      <w:sz w:val="24"/>
      <w:szCs w:val="24"/>
    </w:rPr>
  </w:style>
  <w:style w:type="paragraph" w:styleId="Galvene">
    <w:name w:val="header"/>
    <w:basedOn w:val="Parasts1"/>
    <w:link w:val="GalveneRakstz"/>
    <w:uiPriority w:val="99"/>
    <w:rsid w:val="008C5649"/>
    <w:pPr>
      <w:tabs>
        <w:tab w:val="center" w:pos="4153"/>
        <w:tab w:val="right" w:pos="8306"/>
      </w:tabs>
    </w:pPr>
    <w:rPr>
      <w:lang w:val="en-US" w:eastAsia="en-US"/>
    </w:rPr>
  </w:style>
  <w:style w:type="character" w:customStyle="1" w:styleId="GalveneRakstz">
    <w:name w:val="Galvene Rakstz."/>
    <w:link w:val="Galvene"/>
    <w:uiPriority w:val="99"/>
    <w:locked/>
    <w:rsid w:val="00B069D7"/>
    <w:rPr>
      <w:sz w:val="24"/>
    </w:rPr>
  </w:style>
  <w:style w:type="character" w:styleId="Lappusesnumurs">
    <w:name w:val="page number"/>
    <w:uiPriority w:val="99"/>
    <w:rsid w:val="008C5649"/>
    <w:rPr>
      <w:rFonts w:cs="Times New Roman"/>
    </w:rPr>
  </w:style>
  <w:style w:type="paragraph" w:customStyle="1" w:styleId="naisf">
    <w:name w:val="naisf"/>
    <w:basedOn w:val="Parasts1"/>
    <w:uiPriority w:val="99"/>
    <w:rsid w:val="008C5649"/>
    <w:pPr>
      <w:spacing w:before="75" w:after="75"/>
      <w:ind w:firstLine="375"/>
      <w:jc w:val="both"/>
    </w:pPr>
  </w:style>
  <w:style w:type="paragraph" w:customStyle="1" w:styleId="naisnod">
    <w:name w:val="naisnod"/>
    <w:basedOn w:val="Parasts1"/>
    <w:uiPriority w:val="99"/>
    <w:rsid w:val="008C5649"/>
    <w:pPr>
      <w:spacing w:before="150" w:after="150"/>
      <w:jc w:val="center"/>
    </w:pPr>
    <w:rPr>
      <w:b/>
      <w:bCs/>
    </w:rPr>
  </w:style>
  <w:style w:type="paragraph" w:customStyle="1" w:styleId="naislab">
    <w:name w:val="naislab"/>
    <w:basedOn w:val="Parasts1"/>
    <w:uiPriority w:val="99"/>
    <w:rsid w:val="008C5649"/>
    <w:pPr>
      <w:spacing w:before="75" w:after="75"/>
      <w:jc w:val="right"/>
    </w:pPr>
  </w:style>
  <w:style w:type="paragraph" w:customStyle="1" w:styleId="naiskr">
    <w:name w:val="naiskr"/>
    <w:basedOn w:val="Parasts1"/>
    <w:uiPriority w:val="99"/>
    <w:rsid w:val="008C5649"/>
    <w:pPr>
      <w:spacing w:before="75" w:after="75"/>
    </w:pPr>
  </w:style>
  <w:style w:type="paragraph" w:customStyle="1" w:styleId="naisc">
    <w:name w:val="naisc"/>
    <w:basedOn w:val="Parasts1"/>
    <w:uiPriority w:val="99"/>
    <w:rsid w:val="008C5649"/>
    <w:pPr>
      <w:spacing w:before="75" w:after="75"/>
      <w:jc w:val="center"/>
    </w:pPr>
  </w:style>
  <w:style w:type="character" w:customStyle="1" w:styleId="th1">
    <w:name w:val="th1"/>
    <w:uiPriority w:val="99"/>
    <w:rsid w:val="008C5649"/>
    <w:rPr>
      <w:b/>
      <w:color w:val="auto"/>
    </w:rPr>
  </w:style>
  <w:style w:type="character" w:styleId="Komentraatsauce">
    <w:name w:val="annotation reference"/>
    <w:uiPriority w:val="99"/>
    <w:semiHidden/>
    <w:rsid w:val="008C5649"/>
    <w:rPr>
      <w:rFonts w:cs="Times New Roman"/>
      <w:sz w:val="16"/>
    </w:rPr>
  </w:style>
  <w:style w:type="paragraph" w:styleId="Komentrateksts">
    <w:name w:val="annotation text"/>
    <w:basedOn w:val="Parasts1"/>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locked/>
    <w:rsid w:val="008C5649"/>
    <w:rPr>
      <w:lang w:val="lv-LV" w:eastAsia="lv-LV"/>
    </w:rPr>
  </w:style>
  <w:style w:type="paragraph" w:styleId="Balonteksts">
    <w:name w:val="Balloon Text"/>
    <w:basedOn w:val="Parasts1"/>
    <w:link w:val="BalontekstsRakstz"/>
    <w:uiPriority w:val="99"/>
    <w:semiHidden/>
    <w:rsid w:val="008C5649"/>
    <w:rPr>
      <w:sz w:val="2"/>
      <w:szCs w:val="2"/>
      <w:lang w:val="en-US" w:eastAsia="en-US"/>
    </w:rPr>
  </w:style>
  <w:style w:type="character" w:customStyle="1" w:styleId="BalontekstsRakstz">
    <w:name w:val="Balonteksts Rakstz."/>
    <w:link w:val="Balonteksts"/>
    <w:uiPriority w:val="99"/>
    <w:semiHidden/>
    <w:locked/>
    <w:rsid w:val="00E60101"/>
    <w:rPr>
      <w:sz w:val="2"/>
    </w:rPr>
  </w:style>
  <w:style w:type="table" w:styleId="Reatabula">
    <w:name w:val="Table Grid"/>
    <w:basedOn w:val="Parastatabula"/>
    <w:uiPriority w:val="9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1"/>
    <w:link w:val="VrestekstsRakstz"/>
    <w:uiPriority w:val="99"/>
    <w:semiHidden/>
    <w:rsid w:val="008C5649"/>
    <w:rPr>
      <w:sz w:val="20"/>
      <w:szCs w:val="20"/>
      <w:lang w:val="en-US" w:eastAsia="en-US"/>
    </w:rPr>
  </w:style>
  <w:style w:type="character" w:customStyle="1" w:styleId="VrestekstsRakstz">
    <w:name w:val="Vēres teksts Rakstz."/>
    <w:link w:val="Vresteksts"/>
    <w:uiPriority w:val="99"/>
    <w:semiHidden/>
    <w:locked/>
    <w:rsid w:val="00E60101"/>
    <w:rPr>
      <w:sz w:val="20"/>
    </w:rPr>
  </w:style>
  <w:style w:type="character" w:styleId="Vresatsauce">
    <w:name w:val="footnote reference"/>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link w:val="Komentratma"/>
    <w:uiPriority w:val="99"/>
    <w:semiHidden/>
    <w:locked/>
    <w:rsid w:val="00E60101"/>
    <w:rPr>
      <w:b/>
      <w:sz w:val="20"/>
      <w:lang w:val="lv-LV" w:eastAsia="lv-LV"/>
    </w:rPr>
  </w:style>
  <w:style w:type="paragraph" w:styleId="Kjene">
    <w:name w:val="footer"/>
    <w:basedOn w:val="Parasts1"/>
    <w:link w:val="KjeneRakstz"/>
    <w:uiPriority w:val="99"/>
    <w:rsid w:val="00262E2B"/>
    <w:pPr>
      <w:tabs>
        <w:tab w:val="center" w:pos="4153"/>
        <w:tab w:val="right" w:pos="8306"/>
      </w:tabs>
    </w:pPr>
  </w:style>
  <w:style w:type="character" w:customStyle="1" w:styleId="KjeneRakstz">
    <w:name w:val="Kājene Rakstz."/>
    <w:link w:val="Kjene"/>
    <w:uiPriority w:val="99"/>
    <w:semiHidden/>
    <w:locked/>
    <w:rsid w:val="00231344"/>
    <w:rPr>
      <w:sz w:val="24"/>
      <w:lang w:val="lv-LV" w:eastAsia="lv-LV"/>
    </w:rPr>
  </w:style>
  <w:style w:type="character" w:styleId="Hipersaite">
    <w:name w:val="Hyperlink"/>
    <w:uiPriority w:val="99"/>
    <w:rsid w:val="007004FC"/>
    <w:rPr>
      <w:rFonts w:cs="Times New Roman"/>
      <w:color w:val="0000FF"/>
      <w:u w:val="single"/>
    </w:rPr>
  </w:style>
  <w:style w:type="paragraph" w:styleId="Dokumentakarte">
    <w:name w:val="Document Map"/>
    <w:basedOn w:val="Parasts1"/>
    <w:link w:val="DokumentakarteRakstz"/>
    <w:uiPriority w:val="99"/>
    <w:semiHidden/>
    <w:rsid w:val="00846994"/>
    <w:pPr>
      <w:shd w:val="clear" w:color="auto" w:fill="000080"/>
    </w:pPr>
    <w:rPr>
      <w:sz w:val="2"/>
      <w:szCs w:val="2"/>
      <w:lang w:val="en-US" w:eastAsia="en-US"/>
    </w:rPr>
  </w:style>
  <w:style w:type="character" w:customStyle="1" w:styleId="DokumentakarteRakstz">
    <w:name w:val="Dokumenta karte Rakstz."/>
    <w:link w:val="Dokumentakarte"/>
    <w:uiPriority w:val="99"/>
    <w:semiHidden/>
    <w:locked/>
    <w:rsid w:val="00E60101"/>
    <w:rPr>
      <w:sz w:val="2"/>
    </w:rPr>
  </w:style>
  <w:style w:type="paragraph" w:styleId="Pamattekstaatkpe2">
    <w:name w:val="Body Text Indent 2"/>
    <w:basedOn w:val="Parasts1"/>
    <w:link w:val="Pamattekstaatkpe2Rakstz"/>
    <w:uiPriority w:val="99"/>
    <w:rsid w:val="008059B5"/>
    <w:pPr>
      <w:spacing w:after="120" w:line="480" w:lineRule="auto"/>
      <w:ind w:left="283"/>
    </w:pPr>
    <w:rPr>
      <w:lang w:val="en-US" w:eastAsia="en-US"/>
    </w:rPr>
  </w:style>
  <w:style w:type="character" w:customStyle="1" w:styleId="Pamattekstaatkpe2Rakstz">
    <w:name w:val="Pamatteksta atkāpe 2 Rakstz."/>
    <w:link w:val="Pamattekstaatkpe2"/>
    <w:uiPriority w:val="99"/>
    <w:locked/>
    <w:rsid w:val="008059B5"/>
    <w:rPr>
      <w:rFonts w:eastAsia="Times New Roman"/>
      <w:sz w:val="24"/>
    </w:rPr>
  </w:style>
  <w:style w:type="character" w:styleId="Izteiksmgs">
    <w:name w:val="Strong"/>
    <w:uiPriority w:val="99"/>
    <w:qFormat/>
    <w:rsid w:val="00224BBF"/>
    <w:rPr>
      <w:rFonts w:cs="Times New Roman"/>
      <w:b/>
    </w:rPr>
  </w:style>
  <w:style w:type="character" w:customStyle="1" w:styleId="Bodytext6">
    <w:name w:val="Body text (6)_"/>
    <w:link w:val="Bodytext60"/>
    <w:uiPriority w:val="99"/>
    <w:locked/>
    <w:rsid w:val="00810404"/>
    <w:rPr>
      <w:shd w:val="clear" w:color="auto" w:fill="FFFFFF"/>
    </w:rPr>
  </w:style>
  <w:style w:type="character" w:customStyle="1" w:styleId="Bodytext6Bold">
    <w:name w:val="Body text (6) + Bold"/>
    <w:uiPriority w:val="99"/>
    <w:rsid w:val="00810404"/>
    <w:rPr>
      <w:b/>
      <w:shd w:val="clear" w:color="auto" w:fill="FFFFFF"/>
    </w:rPr>
  </w:style>
  <w:style w:type="paragraph" w:customStyle="1" w:styleId="Bodytext60">
    <w:name w:val="Body text (6)"/>
    <w:basedOn w:val="Parasts1"/>
    <w:link w:val="Bodytext6"/>
    <w:uiPriority w:val="99"/>
    <w:rsid w:val="00810404"/>
    <w:pPr>
      <w:shd w:val="clear" w:color="auto" w:fill="FFFFFF"/>
      <w:spacing w:before="900" w:after="60" w:line="259" w:lineRule="exact"/>
      <w:jc w:val="both"/>
    </w:pPr>
    <w:rPr>
      <w:sz w:val="20"/>
      <w:szCs w:val="20"/>
      <w:lang w:val="en-US" w:eastAsia="en-US"/>
    </w:rPr>
  </w:style>
  <w:style w:type="paragraph" w:styleId="Sarakstarindkopa">
    <w:name w:val="List Paragraph"/>
    <w:basedOn w:val="Parasts1"/>
    <w:uiPriority w:val="99"/>
    <w:qFormat/>
    <w:rsid w:val="001C2654"/>
    <w:pPr>
      <w:overflowPunct w:val="0"/>
      <w:autoSpaceDE w:val="0"/>
      <w:autoSpaceDN w:val="0"/>
      <w:adjustRightInd w:val="0"/>
      <w:spacing w:after="120"/>
      <w:ind w:left="720" w:firstLine="720"/>
      <w:jc w:val="both"/>
      <w:textAlignment w:val="baseline"/>
    </w:pPr>
    <w:rPr>
      <w:lang w:val="en-GB"/>
    </w:rPr>
  </w:style>
  <w:style w:type="character" w:styleId="Izclums">
    <w:name w:val="Emphasis"/>
    <w:uiPriority w:val="99"/>
    <w:qFormat/>
    <w:rsid w:val="00CC16B6"/>
    <w:rPr>
      <w:rFonts w:cs="Times New Roman"/>
      <w:b/>
    </w:rPr>
  </w:style>
  <w:style w:type="character" w:customStyle="1" w:styleId="Bodytext4">
    <w:name w:val="Body text (4)_"/>
    <w:link w:val="Bodytext40"/>
    <w:uiPriority w:val="99"/>
    <w:locked/>
    <w:rsid w:val="00C511C7"/>
    <w:rPr>
      <w:sz w:val="21"/>
      <w:shd w:val="clear" w:color="auto" w:fill="FFFFFF"/>
    </w:rPr>
  </w:style>
  <w:style w:type="paragraph" w:customStyle="1" w:styleId="Bodytext40">
    <w:name w:val="Body text (4)"/>
    <w:basedOn w:val="Parasts1"/>
    <w:link w:val="Bodytext4"/>
    <w:uiPriority w:val="99"/>
    <w:rsid w:val="00C511C7"/>
    <w:pPr>
      <w:shd w:val="clear" w:color="auto" w:fill="FFFFFF"/>
      <w:spacing w:line="240" w:lineRule="atLeast"/>
      <w:jc w:val="both"/>
    </w:pPr>
    <w:rPr>
      <w:sz w:val="21"/>
      <w:szCs w:val="21"/>
      <w:lang w:val="en-US" w:eastAsia="en-US"/>
    </w:rPr>
  </w:style>
  <w:style w:type="character" w:customStyle="1" w:styleId="Bodytext">
    <w:name w:val="Body text_"/>
    <w:link w:val="Pamatteksts1"/>
    <w:uiPriority w:val="99"/>
    <w:locked/>
    <w:rsid w:val="00C511C7"/>
    <w:rPr>
      <w:spacing w:val="10"/>
      <w:sz w:val="24"/>
      <w:shd w:val="clear" w:color="auto" w:fill="FFFFFF"/>
    </w:rPr>
  </w:style>
  <w:style w:type="paragraph" w:customStyle="1" w:styleId="Pamatteksts1">
    <w:name w:val="Pamatteksts1"/>
    <w:basedOn w:val="Parasts1"/>
    <w:link w:val="Bodytext"/>
    <w:uiPriority w:val="99"/>
    <w:rsid w:val="00C511C7"/>
    <w:pPr>
      <w:shd w:val="clear" w:color="auto" w:fill="FFFFFF"/>
      <w:spacing w:before="420" w:after="300" w:line="240" w:lineRule="atLeast"/>
    </w:pPr>
    <w:rPr>
      <w:spacing w:val="10"/>
      <w:lang w:val="en-US" w:eastAsia="en-US"/>
    </w:rPr>
  </w:style>
  <w:style w:type="character" w:customStyle="1" w:styleId="Bodytext5">
    <w:name w:val="Body text (5)_"/>
    <w:link w:val="Bodytext50"/>
    <w:uiPriority w:val="99"/>
    <w:locked/>
    <w:rsid w:val="00C511C7"/>
    <w:rPr>
      <w:sz w:val="21"/>
      <w:shd w:val="clear" w:color="auto" w:fill="FFFFFF"/>
    </w:rPr>
  </w:style>
  <w:style w:type="paragraph" w:customStyle="1" w:styleId="Bodytext50">
    <w:name w:val="Body text (5)"/>
    <w:basedOn w:val="Parasts1"/>
    <w:link w:val="Bodytext5"/>
    <w:uiPriority w:val="99"/>
    <w:rsid w:val="00C511C7"/>
    <w:pPr>
      <w:shd w:val="clear" w:color="auto" w:fill="FFFFFF"/>
      <w:spacing w:line="240" w:lineRule="atLeast"/>
    </w:pPr>
    <w:rPr>
      <w:sz w:val="21"/>
      <w:szCs w:val="21"/>
      <w:lang w:val="en-US" w:eastAsia="en-US"/>
    </w:rPr>
  </w:style>
  <w:style w:type="paragraph" w:customStyle="1" w:styleId="tv2131">
    <w:name w:val="tv2131"/>
    <w:basedOn w:val="Parasts1"/>
    <w:uiPriority w:val="99"/>
    <w:rsid w:val="00E971C4"/>
    <w:pPr>
      <w:spacing w:before="240" w:line="360" w:lineRule="auto"/>
      <w:ind w:firstLine="300"/>
      <w:jc w:val="both"/>
    </w:pPr>
    <w:rPr>
      <w:rFonts w:ascii="Verdana" w:hAnsi="Verdana" w:cs="Verdana"/>
      <w:sz w:val="18"/>
      <w:szCs w:val="18"/>
    </w:rPr>
  </w:style>
  <w:style w:type="character" w:customStyle="1" w:styleId="st">
    <w:name w:val="st"/>
    <w:uiPriority w:val="99"/>
    <w:rsid w:val="004667A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D1A5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8C5649"/>
    <w:rPr>
      <w:sz w:val="24"/>
      <w:szCs w:val="24"/>
    </w:rPr>
  </w:style>
  <w:style w:type="paragraph" w:styleId="Galvene">
    <w:name w:val="header"/>
    <w:basedOn w:val="Parasts1"/>
    <w:link w:val="GalveneRakstz"/>
    <w:uiPriority w:val="99"/>
    <w:rsid w:val="008C5649"/>
    <w:pPr>
      <w:tabs>
        <w:tab w:val="center" w:pos="4153"/>
        <w:tab w:val="right" w:pos="8306"/>
      </w:tabs>
    </w:pPr>
    <w:rPr>
      <w:lang w:val="en-US" w:eastAsia="en-US"/>
    </w:rPr>
  </w:style>
  <w:style w:type="character" w:customStyle="1" w:styleId="GalveneRakstz">
    <w:name w:val="Galvene Rakstz."/>
    <w:link w:val="Galvene"/>
    <w:uiPriority w:val="99"/>
    <w:locked/>
    <w:rsid w:val="00B069D7"/>
    <w:rPr>
      <w:sz w:val="24"/>
    </w:rPr>
  </w:style>
  <w:style w:type="character" w:styleId="Lappusesnumurs">
    <w:name w:val="page number"/>
    <w:uiPriority w:val="99"/>
    <w:rsid w:val="008C5649"/>
    <w:rPr>
      <w:rFonts w:cs="Times New Roman"/>
    </w:rPr>
  </w:style>
  <w:style w:type="paragraph" w:customStyle="1" w:styleId="naisf">
    <w:name w:val="naisf"/>
    <w:basedOn w:val="Parasts1"/>
    <w:uiPriority w:val="99"/>
    <w:rsid w:val="008C5649"/>
    <w:pPr>
      <w:spacing w:before="75" w:after="75"/>
      <w:ind w:firstLine="375"/>
      <w:jc w:val="both"/>
    </w:pPr>
  </w:style>
  <w:style w:type="paragraph" w:customStyle="1" w:styleId="naisnod">
    <w:name w:val="naisnod"/>
    <w:basedOn w:val="Parasts1"/>
    <w:uiPriority w:val="99"/>
    <w:rsid w:val="008C5649"/>
    <w:pPr>
      <w:spacing w:before="150" w:after="150"/>
      <w:jc w:val="center"/>
    </w:pPr>
    <w:rPr>
      <w:b/>
      <w:bCs/>
    </w:rPr>
  </w:style>
  <w:style w:type="paragraph" w:customStyle="1" w:styleId="naislab">
    <w:name w:val="naislab"/>
    <w:basedOn w:val="Parasts1"/>
    <w:uiPriority w:val="99"/>
    <w:rsid w:val="008C5649"/>
    <w:pPr>
      <w:spacing w:before="75" w:after="75"/>
      <w:jc w:val="right"/>
    </w:pPr>
  </w:style>
  <w:style w:type="paragraph" w:customStyle="1" w:styleId="naiskr">
    <w:name w:val="naiskr"/>
    <w:basedOn w:val="Parasts1"/>
    <w:uiPriority w:val="99"/>
    <w:rsid w:val="008C5649"/>
    <w:pPr>
      <w:spacing w:before="75" w:after="75"/>
    </w:pPr>
  </w:style>
  <w:style w:type="paragraph" w:customStyle="1" w:styleId="naisc">
    <w:name w:val="naisc"/>
    <w:basedOn w:val="Parasts1"/>
    <w:uiPriority w:val="99"/>
    <w:rsid w:val="008C5649"/>
    <w:pPr>
      <w:spacing w:before="75" w:after="75"/>
      <w:jc w:val="center"/>
    </w:pPr>
  </w:style>
  <w:style w:type="character" w:customStyle="1" w:styleId="th1">
    <w:name w:val="th1"/>
    <w:uiPriority w:val="99"/>
    <w:rsid w:val="008C5649"/>
    <w:rPr>
      <w:b/>
      <w:color w:val="auto"/>
    </w:rPr>
  </w:style>
  <w:style w:type="character" w:styleId="Komentraatsauce">
    <w:name w:val="annotation reference"/>
    <w:uiPriority w:val="99"/>
    <w:semiHidden/>
    <w:rsid w:val="008C5649"/>
    <w:rPr>
      <w:rFonts w:cs="Times New Roman"/>
      <w:sz w:val="16"/>
    </w:rPr>
  </w:style>
  <w:style w:type="paragraph" w:styleId="Komentrateksts">
    <w:name w:val="annotation text"/>
    <w:basedOn w:val="Parasts1"/>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locked/>
    <w:rsid w:val="008C5649"/>
    <w:rPr>
      <w:lang w:val="lv-LV" w:eastAsia="lv-LV"/>
    </w:rPr>
  </w:style>
  <w:style w:type="paragraph" w:styleId="Balonteksts">
    <w:name w:val="Balloon Text"/>
    <w:basedOn w:val="Parasts1"/>
    <w:link w:val="BalontekstsRakstz"/>
    <w:uiPriority w:val="99"/>
    <w:semiHidden/>
    <w:rsid w:val="008C5649"/>
    <w:rPr>
      <w:sz w:val="2"/>
      <w:szCs w:val="2"/>
      <w:lang w:val="en-US" w:eastAsia="en-US"/>
    </w:rPr>
  </w:style>
  <w:style w:type="character" w:customStyle="1" w:styleId="BalontekstsRakstz">
    <w:name w:val="Balonteksts Rakstz."/>
    <w:link w:val="Balonteksts"/>
    <w:uiPriority w:val="99"/>
    <w:semiHidden/>
    <w:locked/>
    <w:rsid w:val="00E60101"/>
    <w:rPr>
      <w:sz w:val="2"/>
    </w:rPr>
  </w:style>
  <w:style w:type="table" w:styleId="Reatabula">
    <w:name w:val="Table Grid"/>
    <w:basedOn w:val="Parastatabula"/>
    <w:uiPriority w:val="9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1"/>
    <w:link w:val="VrestekstsRakstz"/>
    <w:uiPriority w:val="99"/>
    <w:semiHidden/>
    <w:rsid w:val="008C5649"/>
    <w:rPr>
      <w:sz w:val="20"/>
      <w:szCs w:val="20"/>
      <w:lang w:val="en-US" w:eastAsia="en-US"/>
    </w:rPr>
  </w:style>
  <w:style w:type="character" w:customStyle="1" w:styleId="VrestekstsRakstz">
    <w:name w:val="Vēres teksts Rakstz."/>
    <w:link w:val="Vresteksts"/>
    <w:uiPriority w:val="99"/>
    <w:semiHidden/>
    <w:locked/>
    <w:rsid w:val="00E60101"/>
    <w:rPr>
      <w:sz w:val="20"/>
    </w:rPr>
  </w:style>
  <w:style w:type="character" w:styleId="Vresatsauce">
    <w:name w:val="footnote reference"/>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link w:val="Komentratma"/>
    <w:uiPriority w:val="99"/>
    <w:semiHidden/>
    <w:locked/>
    <w:rsid w:val="00E60101"/>
    <w:rPr>
      <w:b/>
      <w:sz w:val="20"/>
      <w:lang w:val="lv-LV" w:eastAsia="lv-LV"/>
    </w:rPr>
  </w:style>
  <w:style w:type="paragraph" w:styleId="Kjene">
    <w:name w:val="footer"/>
    <w:basedOn w:val="Parasts1"/>
    <w:link w:val="KjeneRakstz"/>
    <w:uiPriority w:val="99"/>
    <w:rsid w:val="00262E2B"/>
    <w:pPr>
      <w:tabs>
        <w:tab w:val="center" w:pos="4153"/>
        <w:tab w:val="right" w:pos="8306"/>
      </w:tabs>
    </w:pPr>
  </w:style>
  <w:style w:type="character" w:customStyle="1" w:styleId="KjeneRakstz">
    <w:name w:val="Kājene Rakstz."/>
    <w:link w:val="Kjene"/>
    <w:uiPriority w:val="99"/>
    <w:semiHidden/>
    <w:locked/>
    <w:rsid w:val="00231344"/>
    <w:rPr>
      <w:sz w:val="24"/>
      <w:lang w:val="lv-LV" w:eastAsia="lv-LV"/>
    </w:rPr>
  </w:style>
  <w:style w:type="character" w:styleId="Hipersaite">
    <w:name w:val="Hyperlink"/>
    <w:uiPriority w:val="99"/>
    <w:rsid w:val="007004FC"/>
    <w:rPr>
      <w:rFonts w:cs="Times New Roman"/>
      <w:color w:val="0000FF"/>
      <w:u w:val="single"/>
    </w:rPr>
  </w:style>
  <w:style w:type="paragraph" w:styleId="Dokumentakarte">
    <w:name w:val="Document Map"/>
    <w:basedOn w:val="Parasts1"/>
    <w:link w:val="DokumentakarteRakstz"/>
    <w:uiPriority w:val="99"/>
    <w:semiHidden/>
    <w:rsid w:val="00846994"/>
    <w:pPr>
      <w:shd w:val="clear" w:color="auto" w:fill="000080"/>
    </w:pPr>
    <w:rPr>
      <w:sz w:val="2"/>
      <w:szCs w:val="2"/>
      <w:lang w:val="en-US" w:eastAsia="en-US"/>
    </w:rPr>
  </w:style>
  <w:style w:type="character" w:customStyle="1" w:styleId="DokumentakarteRakstz">
    <w:name w:val="Dokumenta karte Rakstz."/>
    <w:link w:val="Dokumentakarte"/>
    <w:uiPriority w:val="99"/>
    <w:semiHidden/>
    <w:locked/>
    <w:rsid w:val="00E60101"/>
    <w:rPr>
      <w:sz w:val="2"/>
    </w:rPr>
  </w:style>
  <w:style w:type="paragraph" w:styleId="Pamattekstaatkpe2">
    <w:name w:val="Body Text Indent 2"/>
    <w:basedOn w:val="Parasts1"/>
    <w:link w:val="Pamattekstaatkpe2Rakstz"/>
    <w:uiPriority w:val="99"/>
    <w:rsid w:val="008059B5"/>
    <w:pPr>
      <w:spacing w:after="120" w:line="480" w:lineRule="auto"/>
      <w:ind w:left="283"/>
    </w:pPr>
    <w:rPr>
      <w:lang w:val="en-US" w:eastAsia="en-US"/>
    </w:rPr>
  </w:style>
  <w:style w:type="character" w:customStyle="1" w:styleId="Pamattekstaatkpe2Rakstz">
    <w:name w:val="Pamatteksta atkāpe 2 Rakstz."/>
    <w:link w:val="Pamattekstaatkpe2"/>
    <w:uiPriority w:val="99"/>
    <w:locked/>
    <w:rsid w:val="008059B5"/>
    <w:rPr>
      <w:rFonts w:eastAsia="Times New Roman"/>
      <w:sz w:val="24"/>
    </w:rPr>
  </w:style>
  <w:style w:type="character" w:styleId="Izteiksmgs">
    <w:name w:val="Strong"/>
    <w:uiPriority w:val="99"/>
    <w:qFormat/>
    <w:rsid w:val="00224BBF"/>
    <w:rPr>
      <w:rFonts w:cs="Times New Roman"/>
      <w:b/>
    </w:rPr>
  </w:style>
  <w:style w:type="character" w:customStyle="1" w:styleId="Bodytext6">
    <w:name w:val="Body text (6)_"/>
    <w:link w:val="Bodytext60"/>
    <w:uiPriority w:val="99"/>
    <w:locked/>
    <w:rsid w:val="00810404"/>
    <w:rPr>
      <w:shd w:val="clear" w:color="auto" w:fill="FFFFFF"/>
    </w:rPr>
  </w:style>
  <w:style w:type="character" w:customStyle="1" w:styleId="Bodytext6Bold">
    <w:name w:val="Body text (6) + Bold"/>
    <w:uiPriority w:val="99"/>
    <w:rsid w:val="00810404"/>
    <w:rPr>
      <w:b/>
      <w:shd w:val="clear" w:color="auto" w:fill="FFFFFF"/>
    </w:rPr>
  </w:style>
  <w:style w:type="paragraph" w:customStyle="1" w:styleId="Bodytext60">
    <w:name w:val="Body text (6)"/>
    <w:basedOn w:val="Parasts1"/>
    <w:link w:val="Bodytext6"/>
    <w:uiPriority w:val="99"/>
    <w:rsid w:val="00810404"/>
    <w:pPr>
      <w:shd w:val="clear" w:color="auto" w:fill="FFFFFF"/>
      <w:spacing w:before="900" w:after="60" w:line="259" w:lineRule="exact"/>
      <w:jc w:val="both"/>
    </w:pPr>
    <w:rPr>
      <w:sz w:val="20"/>
      <w:szCs w:val="20"/>
      <w:lang w:val="en-US" w:eastAsia="en-US"/>
    </w:rPr>
  </w:style>
  <w:style w:type="paragraph" w:styleId="Sarakstarindkopa">
    <w:name w:val="List Paragraph"/>
    <w:basedOn w:val="Parasts1"/>
    <w:uiPriority w:val="99"/>
    <w:qFormat/>
    <w:rsid w:val="001C2654"/>
    <w:pPr>
      <w:overflowPunct w:val="0"/>
      <w:autoSpaceDE w:val="0"/>
      <w:autoSpaceDN w:val="0"/>
      <w:adjustRightInd w:val="0"/>
      <w:spacing w:after="120"/>
      <w:ind w:left="720" w:firstLine="720"/>
      <w:jc w:val="both"/>
      <w:textAlignment w:val="baseline"/>
    </w:pPr>
    <w:rPr>
      <w:lang w:val="en-GB"/>
    </w:rPr>
  </w:style>
  <w:style w:type="character" w:styleId="Izclums">
    <w:name w:val="Emphasis"/>
    <w:uiPriority w:val="99"/>
    <w:qFormat/>
    <w:rsid w:val="00CC16B6"/>
    <w:rPr>
      <w:rFonts w:cs="Times New Roman"/>
      <w:b/>
    </w:rPr>
  </w:style>
  <w:style w:type="character" w:customStyle="1" w:styleId="Bodytext4">
    <w:name w:val="Body text (4)_"/>
    <w:link w:val="Bodytext40"/>
    <w:uiPriority w:val="99"/>
    <w:locked/>
    <w:rsid w:val="00C511C7"/>
    <w:rPr>
      <w:sz w:val="21"/>
      <w:shd w:val="clear" w:color="auto" w:fill="FFFFFF"/>
    </w:rPr>
  </w:style>
  <w:style w:type="paragraph" w:customStyle="1" w:styleId="Bodytext40">
    <w:name w:val="Body text (4)"/>
    <w:basedOn w:val="Parasts1"/>
    <w:link w:val="Bodytext4"/>
    <w:uiPriority w:val="99"/>
    <w:rsid w:val="00C511C7"/>
    <w:pPr>
      <w:shd w:val="clear" w:color="auto" w:fill="FFFFFF"/>
      <w:spacing w:line="240" w:lineRule="atLeast"/>
      <w:jc w:val="both"/>
    </w:pPr>
    <w:rPr>
      <w:sz w:val="21"/>
      <w:szCs w:val="21"/>
      <w:lang w:val="en-US" w:eastAsia="en-US"/>
    </w:rPr>
  </w:style>
  <w:style w:type="character" w:customStyle="1" w:styleId="Bodytext">
    <w:name w:val="Body text_"/>
    <w:link w:val="Pamatteksts1"/>
    <w:uiPriority w:val="99"/>
    <w:locked/>
    <w:rsid w:val="00C511C7"/>
    <w:rPr>
      <w:spacing w:val="10"/>
      <w:sz w:val="24"/>
      <w:shd w:val="clear" w:color="auto" w:fill="FFFFFF"/>
    </w:rPr>
  </w:style>
  <w:style w:type="paragraph" w:customStyle="1" w:styleId="Pamatteksts1">
    <w:name w:val="Pamatteksts1"/>
    <w:basedOn w:val="Parasts1"/>
    <w:link w:val="Bodytext"/>
    <w:uiPriority w:val="99"/>
    <w:rsid w:val="00C511C7"/>
    <w:pPr>
      <w:shd w:val="clear" w:color="auto" w:fill="FFFFFF"/>
      <w:spacing w:before="420" w:after="300" w:line="240" w:lineRule="atLeast"/>
    </w:pPr>
    <w:rPr>
      <w:spacing w:val="10"/>
      <w:lang w:val="en-US" w:eastAsia="en-US"/>
    </w:rPr>
  </w:style>
  <w:style w:type="character" w:customStyle="1" w:styleId="Bodytext5">
    <w:name w:val="Body text (5)_"/>
    <w:link w:val="Bodytext50"/>
    <w:uiPriority w:val="99"/>
    <w:locked/>
    <w:rsid w:val="00C511C7"/>
    <w:rPr>
      <w:sz w:val="21"/>
      <w:shd w:val="clear" w:color="auto" w:fill="FFFFFF"/>
    </w:rPr>
  </w:style>
  <w:style w:type="paragraph" w:customStyle="1" w:styleId="Bodytext50">
    <w:name w:val="Body text (5)"/>
    <w:basedOn w:val="Parasts1"/>
    <w:link w:val="Bodytext5"/>
    <w:uiPriority w:val="99"/>
    <w:rsid w:val="00C511C7"/>
    <w:pPr>
      <w:shd w:val="clear" w:color="auto" w:fill="FFFFFF"/>
      <w:spacing w:line="240" w:lineRule="atLeast"/>
    </w:pPr>
    <w:rPr>
      <w:sz w:val="21"/>
      <w:szCs w:val="21"/>
      <w:lang w:val="en-US" w:eastAsia="en-US"/>
    </w:rPr>
  </w:style>
  <w:style w:type="paragraph" w:customStyle="1" w:styleId="tv2131">
    <w:name w:val="tv2131"/>
    <w:basedOn w:val="Parasts1"/>
    <w:uiPriority w:val="99"/>
    <w:rsid w:val="00E971C4"/>
    <w:pPr>
      <w:spacing w:before="240" w:line="360" w:lineRule="auto"/>
      <w:ind w:firstLine="300"/>
      <w:jc w:val="both"/>
    </w:pPr>
    <w:rPr>
      <w:rFonts w:ascii="Verdana" w:hAnsi="Verdana" w:cs="Verdana"/>
      <w:sz w:val="18"/>
      <w:szCs w:val="18"/>
    </w:rPr>
  </w:style>
  <w:style w:type="character" w:customStyle="1" w:styleId="st">
    <w:name w:val="st"/>
    <w:uiPriority w:val="99"/>
    <w:rsid w:val="004667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29558">
      <w:marLeft w:val="0"/>
      <w:marRight w:val="0"/>
      <w:marTop w:val="0"/>
      <w:marBottom w:val="0"/>
      <w:divBdr>
        <w:top w:val="none" w:sz="0" w:space="0" w:color="auto"/>
        <w:left w:val="none" w:sz="0" w:space="0" w:color="auto"/>
        <w:bottom w:val="none" w:sz="0" w:space="0" w:color="auto"/>
        <w:right w:val="none" w:sz="0" w:space="0" w:color="auto"/>
      </w:divBdr>
      <w:divsChild>
        <w:div w:id="1789229561">
          <w:marLeft w:val="0"/>
          <w:marRight w:val="0"/>
          <w:marTop w:val="0"/>
          <w:marBottom w:val="0"/>
          <w:divBdr>
            <w:top w:val="none" w:sz="0" w:space="0" w:color="auto"/>
            <w:left w:val="none" w:sz="0" w:space="0" w:color="auto"/>
            <w:bottom w:val="none" w:sz="0" w:space="0" w:color="auto"/>
            <w:right w:val="none" w:sz="0" w:space="0" w:color="auto"/>
          </w:divBdr>
          <w:divsChild>
            <w:div w:id="1789229557">
              <w:marLeft w:val="0"/>
              <w:marRight w:val="0"/>
              <w:marTop w:val="0"/>
              <w:marBottom w:val="0"/>
              <w:divBdr>
                <w:top w:val="none" w:sz="0" w:space="0" w:color="auto"/>
                <w:left w:val="none" w:sz="0" w:space="0" w:color="auto"/>
                <w:bottom w:val="none" w:sz="0" w:space="0" w:color="auto"/>
                <w:right w:val="none" w:sz="0" w:space="0" w:color="auto"/>
              </w:divBdr>
              <w:divsChild>
                <w:div w:id="1789229578">
                  <w:marLeft w:val="0"/>
                  <w:marRight w:val="0"/>
                  <w:marTop w:val="0"/>
                  <w:marBottom w:val="0"/>
                  <w:divBdr>
                    <w:top w:val="none" w:sz="0" w:space="0" w:color="auto"/>
                    <w:left w:val="none" w:sz="0" w:space="0" w:color="auto"/>
                    <w:bottom w:val="none" w:sz="0" w:space="0" w:color="auto"/>
                    <w:right w:val="none" w:sz="0" w:space="0" w:color="auto"/>
                  </w:divBdr>
                  <w:divsChild>
                    <w:div w:id="1789229551">
                      <w:marLeft w:val="0"/>
                      <w:marRight w:val="0"/>
                      <w:marTop w:val="0"/>
                      <w:marBottom w:val="0"/>
                      <w:divBdr>
                        <w:top w:val="none" w:sz="0" w:space="0" w:color="auto"/>
                        <w:left w:val="none" w:sz="0" w:space="0" w:color="auto"/>
                        <w:bottom w:val="none" w:sz="0" w:space="0" w:color="auto"/>
                        <w:right w:val="none" w:sz="0" w:space="0" w:color="auto"/>
                      </w:divBdr>
                      <w:divsChild>
                        <w:div w:id="1789229563">
                          <w:marLeft w:val="0"/>
                          <w:marRight w:val="0"/>
                          <w:marTop w:val="0"/>
                          <w:marBottom w:val="0"/>
                          <w:divBdr>
                            <w:top w:val="none" w:sz="0" w:space="0" w:color="auto"/>
                            <w:left w:val="none" w:sz="0" w:space="0" w:color="auto"/>
                            <w:bottom w:val="none" w:sz="0" w:space="0" w:color="auto"/>
                            <w:right w:val="none" w:sz="0" w:space="0" w:color="auto"/>
                          </w:divBdr>
                          <w:divsChild>
                            <w:div w:id="1789229550">
                              <w:marLeft w:val="0"/>
                              <w:marRight w:val="0"/>
                              <w:marTop w:val="0"/>
                              <w:marBottom w:val="0"/>
                              <w:divBdr>
                                <w:top w:val="none" w:sz="0" w:space="0" w:color="auto"/>
                                <w:left w:val="none" w:sz="0" w:space="0" w:color="auto"/>
                                <w:bottom w:val="none" w:sz="0" w:space="0" w:color="auto"/>
                                <w:right w:val="none" w:sz="0" w:space="0" w:color="auto"/>
                              </w:divBdr>
                            </w:div>
                            <w:div w:id="1789229552">
                              <w:marLeft w:val="0"/>
                              <w:marRight w:val="0"/>
                              <w:marTop w:val="0"/>
                              <w:marBottom w:val="0"/>
                              <w:divBdr>
                                <w:top w:val="none" w:sz="0" w:space="0" w:color="auto"/>
                                <w:left w:val="none" w:sz="0" w:space="0" w:color="auto"/>
                                <w:bottom w:val="none" w:sz="0" w:space="0" w:color="auto"/>
                                <w:right w:val="none" w:sz="0" w:space="0" w:color="auto"/>
                              </w:divBdr>
                            </w:div>
                            <w:div w:id="1789229583">
                              <w:marLeft w:val="0"/>
                              <w:marRight w:val="0"/>
                              <w:marTop w:val="0"/>
                              <w:marBottom w:val="0"/>
                              <w:divBdr>
                                <w:top w:val="none" w:sz="0" w:space="0" w:color="auto"/>
                                <w:left w:val="none" w:sz="0" w:space="0" w:color="auto"/>
                                <w:bottom w:val="none" w:sz="0" w:space="0" w:color="auto"/>
                                <w:right w:val="none" w:sz="0" w:space="0" w:color="auto"/>
                              </w:divBdr>
                            </w:div>
                          </w:divsChild>
                        </w:div>
                        <w:div w:id="1789229579">
                          <w:marLeft w:val="0"/>
                          <w:marRight w:val="0"/>
                          <w:marTop w:val="0"/>
                          <w:marBottom w:val="0"/>
                          <w:divBdr>
                            <w:top w:val="none" w:sz="0" w:space="0" w:color="auto"/>
                            <w:left w:val="none" w:sz="0" w:space="0" w:color="auto"/>
                            <w:bottom w:val="none" w:sz="0" w:space="0" w:color="auto"/>
                            <w:right w:val="none" w:sz="0" w:space="0" w:color="auto"/>
                          </w:divBdr>
                          <w:divsChild>
                            <w:div w:id="1789229560">
                              <w:marLeft w:val="0"/>
                              <w:marRight w:val="0"/>
                              <w:marTop w:val="0"/>
                              <w:marBottom w:val="0"/>
                              <w:divBdr>
                                <w:top w:val="none" w:sz="0" w:space="0" w:color="auto"/>
                                <w:left w:val="none" w:sz="0" w:space="0" w:color="auto"/>
                                <w:bottom w:val="none" w:sz="0" w:space="0" w:color="auto"/>
                                <w:right w:val="none" w:sz="0" w:space="0" w:color="auto"/>
                              </w:divBdr>
                            </w:div>
                          </w:divsChild>
                        </w:div>
                        <w:div w:id="1789229586">
                          <w:marLeft w:val="0"/>
                          <w:marRight w:val="0"/>
                          <w:marTop w:val="0"/>
                          <w:marBottom w:val="0"/>
                          <w:divBdr>
                            <w:top w:val="none" w:sz="0" w:space="0" w:color="auto"/>
                            <w:left w:val="none" w:sz="0" w:space="0" w:color="auto"/>
                            <w:bottom w:val="none" w:sz="0" w:space="0" w:color="auto"/>
                            <w:right w:val="none" w:sz="0" w:space="0" w:color="auto"/>
                          </w:divBdr>
                          <w:divsChild>
                            <w:div w:id="1789229559">
                              <w:marLeft w:val="0"/>
                              <w:marRight w:val="0"/>
                              <w:marTop w:val="0"/>
                              <w:marBottom w:val="0"/>
                              <w:divBdr>
                                <w:top w:val="none" w:sz="0" w:space="0" w:color="auto"/>
                                <w:left w:val="none" w:sz="0" w:space="0" w:color="auto"/>
                                <w:bottom w:val="none" w:sz="0" w:space="0" w:color="auto"/>
                                <w:right w:val="none" w:sz="0" w:space="0" w:color="auto"/>
                              </w:divBdr>
                            </w:div>
                            <w:div w:id="1789229577">
                              <w:marLeft w:val="0"/>
                              <w:marRight w:val="0"/>
                              <w:marTop w:val="0"/>
                              <w:marBottom w:val="0"/>
                              <w:divBdr>
                                <w:top w:val="none" w:sz="0" w:space="0" w:color="auto"/>
                                <w:left w:val="none" w:sz="0" w:space="0" w:color="auto"/>
                                <w:bottom w:val="none" w:sz="0" w:space="0" w:color="auto"/>
                                <w:right w:val="none" w:sz="0" w:space="0" w:color="auto"/>
                              </w:divBdr>
                            </w:div>
                          </w:divsChild>
                        </w:div>
                        <w:div w:id="1789229587">
                          <w:marLeft w:val="0"/>
                          <w:marRight w:val="0"/>
                          <w:marTop w:val="0"/>
                          <w:marBottom w:val="0"/>
                          <w:divBdr>
                            <w:top w:val="none" w:sz="0" w:space="0" w:color="auto"/>
                            <w:left w:val="none" w:sz="0" w:space="0" w:color="auto"/>
                            <w:bottom w:val="none" w:sz="0" w:space="0" w:color="auto"/>
                            <w:right w:val="none" w:sz="0" w:space="0" w:color="auto"/>
                          </w:divBdr>
                          <w:divsChild>
                            <w:div w:id="1789229584">
                              <w:marLeft w:val="0"/>
                              <w:marRight w:val="0"/>
                              <w:marTop w:val="0"/>
                              <w:marBottom w:val="0"/>
                              <w:divBdr>
                                <w:top w:val="none" w:sz="0" w:space="0" w:color="auto"/>
                                <w:left w:val="none" w:sz="0" w:space="0" w:color="auto"/>
                                <w:bottom w:val="none" w:sz="0" w:space="0" w:color="auto"/>
                                <w:right w:val="none" w:sz="0" w:space="0" w:color="auto"/>
                              </w:divBdr>
                              <w:divsChild>
                                <w:div w:id="1789229562">
                                  <w:marLeft w:val="0"/>
                                  <w:marRight w:val="0"/>
                                  <w:marTop w:val="0"/>
                                  <w:marBottom w:val="0"/>
                                  <w:divBdr>
                                    <w:top w:val="none" w:sz="0" w:space="0" w:color="auto"/>
                                    <w:left w:val="none" w:sz="0" w:space="0" w:color="auto"/>
                                    <w:bottom w:val="none" w:sz="0" w:space="0" w:color="auto"/>
                                    <w:right w:val="none" w:sz="0" w:space="0" w:color="auto"/>
                                  </w:divBdr>
                                </w:div>
                                <w:div w:id="17892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29581">
                  <w:marLeft w:val="0"/>
                  <w:marRight w:val="0"/>
                  <w:marTop w:val="0"/>
                  <w:marBottom w:val="0"/>
                  <w:divBdr>
                    <w:top w:val="none" w:sz="0" w:space="0" w:color="auto"/>
                    <w:left w:val="none" w:sz="0" w:space="0" w:color="auto"/>
                    <w:bottom w:val="none" w:sz="0" w:space="0" w:color="auto"/>
                    <w:right w:val="none" w:sz="0" w:space="0" w:color="auto"/>
                  </w:divBdr>
                  <w:divsChild>
                    <w:div w:id="17892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29580">
          <w:marLeft w:val="0"/>
          <w:marRight w:val="0"/>
          <w:marTop w:val="0"/>
          <w:marBottom w:val="0"/>
          <w:divBdr>
            <w:top w:val="none" w:sz="0" w:space="0" w:color="auto"/>
            <w:left w:val="none" w:sz="0" w:space="0" w:color="auto"/>
            <w:bottom w:val="none" w:sz="0" w:space="0" w:color="auto"/>
            <w:right w:val="none" w:sz="0" w:space="0" w:color="auto"/>
          </w:divBdr>
        </w:div>
      </w:divsChild>
    </w:div>
    <w:div w:id="1789229564">
      <w:marLeft w:val="0"/>
      <w:marRight w:val="0"/>
      <w:marTop w:val="0"/>
      <w:marBottom w:val="0"/>
      <w:divBdr>
        <w:top w:val="none" w:sz="0" w:space="0" w:color="auto"/>
        <w:left w:val="none" w:sz="0" w:space="0" w:color="auto"/>
        <w:bottom w:val="none" w:sz="0" w:space="0" w:color="auto"/>
        <w:right w:val="none" w:sz="0" w:space="0" w:color="auto"/>
      </w:divBdr>
    </w:div>
    <w:div w:id="1789229565">
      <w:marLeft w:val="0"/>
      <w:marRight w:val="0"/>
      <w:marTop w:val="0"/>
      <w:marBottom w:val="0"/>
      <w:divBdr>
        <w:top w:val="none" w:sz="0" w:space="0" w:color="auto"/>
        <w:left w:val="none" w:sz="0" w:space="0" w:color="auto"/>
        <w:bottom w:val="none" w:sz="0" w:space="0" w:color="auto"/>
        <w:right w:val="none" w:sz="0" w:space="0" w:color="auto"/>
      </w:divBdr>
    </w:div>
    <w:div w:id="1789229566">
      <w:marLeft w:val="0"/>
      <w:marRight w:val="0"/>
      <w:marTop w:val="0"/>
      <w:marBottom w:val="0"/>
      <w:divBdr>
        <w:top w:val="none" w:sz="0" w:space="0" w:color="auto"/>
        <w:left w:val="none" w:sz="0" w:space="0" w:color="auto"/>
        <w:bottom w:val="none" w:sz="0" w:space="0" w:color="auto"/>
        <w:right w:val="none" w:sz="0" w:space="0" w:color="auto"/>
      </w:divBdr>
    </w:div>
    <w:div w:id="1789229567">
      <w:marLeft w:val="0"/>
      <w:marRight w:val="0"/>
      <w:marTop w:val="0"/>
      <w:marBottom w:val="0"/>
      <w:divBdr>
        <w:top w:val="none" w:sz="0" w:space="0" w:color="auto"/>
        <w:left w:val="none" w:sz="0" w:space="0" w:color="auto"/>
        <w:bottom w:val="none" w:sz="0" w:space="0" w:color="auto"/>
        <w:right w:val="none" w:sz="0" w:space="0" w:color="auto"/>
      </w:divBdr>
    </w:div>
    <w:div w:id="1789229569">
      <w:marLeft w:val="0"/>
      <w:marRight w:val="0"/>
      <w:marTop w:val="0"/>
      <w:marBottom w:val="0"/>
      <w:divBdr>
        <w:top w:val="none" w:sz="0" w:space="0" w:color="auto"/>
        <w:left w:val="none" w:sz="0" w:space="0" w:color="auto"/>
        <w:bottom w:val="none" w:sz="0" w:space="0" w:color="auto"/>
        <w:right w:val="none" w:sz="0" w:space="0" w:color="auto"/>
      </w:divBdr>
    </w:div>
    <w:div w:id="1789229570">
      <w:marLeft w:val="0"/>
      <w:marRight w:val="0"/>
      <w:marTop w:val="0"/>
      <w:marBottom w:val="0"/>
      <w:divBdr>
        <w:top w:val="none" w:sz="0" w:space="0" w:color="auto"/>
        <w:left w:val="none" w:sz="0" w:space="0" w:color="auto"/>
        <w:bottom w:val="none" w:sz="0" w:space="0" w:color="auto"/>
        <w:right w:val="none" w:sz="0" w:space="0" w:color="auto"/>
      </w:divBdr>
    </w:div>
    <w:div w:id="1789229571">
      <w:marLeft w:val="0"/>
      <w:marRight w:val="0"/>
      <w:marTop w:val="0"/>
      <w:marBottom w:val="0"/>
      <w:divBdr>
        <w:top w:val="none" w:sz="0" w:space="0" w:color="auto"/>
        <w:left w:val="none" w:sz="0" w:space="0" w:color="auto"/>
        <w:bottom w:val="none" w:sz="0" w:space="0" w:color="auto"/>
        <w:right w:val="none" w:sz="0" w:space="0" w:color="auto"/>
      </w:divBdr>
    </w:div>
    <w:div w:id="1789229572">
      <w:marLeft w:val="0"/>
      <w:marRight w:val="0"/>
      <w:marTop w:val="0"/>
      <w:marBottom w:val="0"/>
      <w:divBdr>
        <w:top w:val="none" w:sz="0" w:space="0" w:color="auto"/>
        <w:left w:val="none" w:sz="0" w:space="0" w:color="auto"/>
        <w:bottom w:val="none" w:sz="0" w:space="0" w:color="auto"/>
        <w:right w:val="none" w:sz="0" w:space="0" w:color="auto"/>
      </w:divBdr>
    </w:div>
    <w:div w:id="1789229573">
      <w:marLeft w:val="0"/>
      <w:marRight w:val="0"/>
      <w:marTop w:val="0"/>
      <w:marBottom w:val="0"/>
      <w:divBdr>
        <w:top w:val="none" w:sz="0" w:space="0" w:color="auto"/>
        <w:left w:val="none" w:sz="0" w:space="0" w:color="auto"/>
        <w:bottom w:val="none" w:sz="0" w:space="0" w:color="auto"/>
        <w:right w:val="none" w:sz="0" w:space="0" w:color="auto"/>
      </w:divBdr>
    </w:div>
    <w:div w:id="1789229574">
      <w:marLeft w:val="0"/>
      <w:marRight w:val="0"/>
      <w:marTop w:val="0"/>
      <w:marBottom w:val="0"/>
      <w:divBdr>
        <w:top w:val="none" w:sz="0" w:space="0" w:color="auto"/>
        <w:left w:val="none" w:sz="0" w:space="0" w:color="auto"/>
        <w:bottom w:val="none" w:sz="0" w:space="0" w:color="auto"/>
        <w:right w:val="none" w:sz="0" w:space="0" w:color="auto"/>
      </w:divBdr>
    </w:div>
    <w:div w:id="1789229575">
      <w:marLeft w:val="0"/>
      <w:marRight w:val="0"/>
      <w:marTop w:val="0"/>
      <w:marBottom w:val="0"/>
      <w:divBdr>
        <w:top w:val="none" w:sz="0" w:space="0" w:color="auto"/>
        <w:left w:val="none" w:sz="0" w:space="0" w:color="auto"/>
        <w:bottom w:val="none" w:sz="0" w:space="0" w:color="auto"/>
        <w:right w:val="none" w:sz="0" w:space="0" w:color="auto"/>
      </w:divBdr>
      <w:divsChild>
        <w:div w:id="1789229568">
          <w:marLeft w:val="0"/>
          <w:marRight w:val="0"/>
          <w:marTop w:val="0"/>
          <w:marBottom w:val="0"/>
          <w:divBdr>
            <w:top w:val="none" w:sz="0" w:space="0" w:color="auto"/>
            <w:left w:val="none" w:sz="0" w:space="0" w:color="auto"/>
            <w:bottom w:val="none" w:sz="0" w:space="0" w:color="auto"/>
            <w:right w:val="none" w:sz="0" w:space="0" w:color="auto"/>
          </w:divBdr>
        </w:div>
      </w:divsChild>
    </w:div>
    <w:div w:id="1789229576">
      <w:marLeft w:val="0"/>
      <w:marRight w:val="0"/>
      <w:marTop w:val="0"/>
      <w:marBottom w:val="0"/>
      <w:divBdr>
        <w:top w:val="none" w:sz="0" w:space="0" w:color="auto"/>
        <w:left w:val="none" w:sz="0" w:space="0" w:color="auto"/>
        <w:bottom w:val="none" w:sz="0" w:space="0" w:color="auto"/>
        <w:right w:val="none" w:sz="0" w:space="0" w:color="auto"/>
      </w:divBdr>
    </w:div>
    <w:div w:id="1789229585">
      <w:marLeft w:val="0"/>
      <w:marRight w:val="0"/>
      <w:marTop w:val="0"/>
      <w:marBottom w:val="0"/>
      <w:divBdr>
        <w:top w:val="none" w:sz="0" w:space="0" w:color="auto"/>
        <w:left w:val="none" w:sz="0" w:space="0" w:color="auto"/>
        <w:bottom w:val="none" w:sz="0" w:space="0" w:color="auto"/>
        <w:right w:val="none" w:sz="0" w:space="0" w:color="auto"/>
      </w:divBdr>
      <w:divsChild>
        <w:div w:id="1789229554">
          <w:marLeft w:val="0"/>
          <w:marRight w:val="0"/>
          <w:marTop w:val="0"/>
          <w:marBottom w:val="0"/>
          <w:divBdr>
            <w:top w:val="none" w:sz="0" w:space="0" w:color="auto"/>
            <w:left w:val="none" w:sz="0" w:space="0" w:color="auto"/>
            <w:bottom w:val="none" w:sz="0" w:space="0" w:color="auto"/>
            <w:right w:val="none" w:sz="0" w:space="0" w:color="auto"/>
          </w:divBdr>
        </w:div>
        <w:div w:id="1789229555">
          <w:marLeft w:val="0"/>
          <w:marRight w:val="0"/>
          <w:marTop w:val="0"/>
          <w:marBottom w:val="0"/>
          <w:divBdr>
            <w:top w:val="none" w:sz="0" w:space="0" w:color="auto"/>
            <w:left w:val="none" w:sz="0" w:space="0" w:color="auto"/>
            <w:bottom w:val="none" w:sz="0" w:space="0" w:color="auto"/>
            <w:right w:val="none" w:sz="0" w:space="0" w:color="auto"/>
          </w:divBdr>
        </w:div>
        <w:div w:id="178922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viana.Zipa@neplpadom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EB6C-17F2-4540-A2A2-4057EA31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4110</Words>
  <Characters>2343</Characters>
  <Application>Microsoft Office Word</Application>
  <DocSecurity>0</DocSecurity>
  <Lines>19</Lines>
  <Paragraphs>12</Paragraphs>
  <ScaleCrop>false</ScaleCrop>
  <HeadingPairs>
    <vt:vector size="6" baseType="variant">
      <vt:variant>
        <vt:lpstr>Nosaukums</vt:lpstr>
      </vt:variant>
      <vt:variant>
        <vt:i4>1</vt:i4>
      </vt:variant>
      <vt:variant>
        <vt:lpstr>Virsraksti</vt:lpstr>
      </vt:variant>
      <vt:variant>
        <vt:i4>2</vt:i4>
      </vt:variant>
      <vt:variant>
        <vt:lpstr>Title</vt:lpstr>
      </vt:variant>
      <vt:variant>
        <vt:i4>1</vt:i4>
      </vt:variant>
    </vt:vector>
  </HeadingPairs>
  <TitlesOfParts>
    <vt:vector size="4" baseType="lpstr">
      <vt:lpstr>;  Ministru kabineta rīkojuma projekta "Par finanšu līdzekļu piešķiršanu no valsts budžeta programmas "Līdzekļi neparedzētiem gadījumiem"" sākotnējās ietekmes novērtējuma ziņojums (anotācija)</vt:lpstr>
      <vt:lpstr>Ministru kabineta rīkojuma projekta</vt:lpstr>
      <vt:lpstr>Anotācijas IV, V un VI sadaļa – projekts šīs jomas neskar. </vt: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rīkojuma projekta "Par finanšu līdzekļu piešķiršanu no valsts budžeta programmas "Līdzekļi neparedzētiem gadījumiem"" sākotnējās ietekmes novērtējuma ziņojums (anotācija)</dc:title>
  <dc:subject>Ministru kabineta rīkojuma projekta "Par finanšu līdzekļu piešķiršanu no valsts budžeta programmas "Līdzekļi neparedzētiem gadījumiem"" sākotnējās ietekmes novērtējuma ziņojums (anotācija)</dc:subject>
  <dc:creator>Arta Alberta</dc:creator>
  <dc:description>A.Alberta67330257,Arta.Alberta@km.gov.lv</dc:description>
  <cp:lastModifiedBy>Viviana Zipa</cp:lastModifiedBy>
  <cp:revision>3</cp:revision>
  <cp:lastPrinted>2014-05-06T13:53:00Z</cp:lastPrinted>
  <dcterms:created xsi:type="dcterms:W3CDTF">2014-06-25T08:59:00Z</dcterms:created>
  <dcterms:modified xsi:type="dcterms:W3CDTF">2014-06-25T09:02:00Z</dcterms:modified>
</cp:coreProperties>
</file>