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D9" w:rsidRPr="00047DD9" w:rsidRDefault="005F595F" w:rsidP="005F595F">
      <w:pPr>
        <w:pStyle w:val="Virsraksts3"/>
        <w:spacing w:before="0" w:beforeAutospacing="0" w:after="0" w:afterAutospacing="0"/>
        <w:jc w:val="center"/>
        <w:rPr>
          <w:bCs w:val="0"/>
          <w:sz w:val="28"/>
          <w:szCs w:val="28"/>
        </w:rPr>
      </w:pPr>
      <w:bookmarkStart w:id="0" w:name="468683"/>
      <w:bookmarkStart w:id="1" w:name="OLE_LINK1"/>
      <w:bookmarkStart w:id="2" w:name="OLE_LINK2"/>
      <w:bookmarkEnd w:id="0"/>
      <w:r w:rsidRPr="00047DD9">
        <w:rPr>
          <w:bCs w:val="0"/>
          <w:sz w:val="28"/>
          <w:szCs w:val="28"/>
        </w:rPr>
        <w:t xml:space="preserve">Ministru kabineta noteikumu projekta </w:t>
      </w:r>
    </w:p>
    <w:p w:rsidR="001813AA" w:rsidRPr="00047DD9" w:rsidRDefault="007151A9" w:rsidP="005F595F">
      <w:pPr>
        <w:pStyle w:val="Virsraksts3"/>
        <w:spacing w:before="0" w:beforeAutospacing="0" w:after="0" w:afterAutospacing="0"/>
        <w:jc w:val="center"/>
        <w:rPr>
          <w:bCs w:val="0"/>
          <w:sz w:val="28"/>
          <w:szCs w:val="28"/>
        </w:rPr>
      </w:pPr>
      <w:r w:rsidRPr="00047DD9">
        <w:rPr>
          <w:bCs w:val="0"/>
          <w:sz w:val="28"/>
          <w:szCs w:val="28"/>
        </w:rPr>
        <w:t>„</w:t>
      </w:r>
      <w:r w:rsidRPr="00047DD9">
        <w:rPr>
          <w:sz w:val="28"/>
          <w:szCs w:val="28"/>
        </w:rPr>
        <w:t>Grozījum</w:t>
      </w:r>
      <w:r w:rsidR="00B04CB9" w:rsidRPr="00047DD9">
        <w:rPr>
          <w:sz w:val="28"/>
          <w:szCs w:val="28"/>
        </w:rPr>
        <w:t>i</w:t>
      </w:r>
      <w:r w:rsidRPr="00047DD9">
        <w:rPr>
          <w:sz w:val="28"/>
          <w:szCs w:val="28"/>
        </w:rPr>
        <w:t xml:space="preserve"> Ministru kabineta 201</w:t>
      </w:r>
      <w:r w:rsidR="008815A6" w:rsidRPr="00047DD9">
        <w:rPr>
          <w:sz w:val="28"/>
          <w:szCs w:val="28"/>
        </w:rPr>
        <w:t>2</w:t>
      </w:r>
      <w:r w:rsidRPr="00047DD9">
        <w:rPr>
          <w:sz w:val="28"/>
          <w:szCs w:val="28"/>
        </w:rPr>
        <w:t xml:space="preserve">.gada </w:t>
      </w:r>
      <w:r w:rsidR="008815A6" w:rsidRPr="00047DD9">
        <w:rPr>
          <w:sz w:val="28"/>
          <w:szCs w:val="28"/>
        </w:rPr>
        <w:t>18</w:t>
      </w:r>
      <w:r w:rsidRPr="00047DD9">
        <w:rPr>
          <w:sz w:val="28"/>
          <w:szCs w:val="28"/>
        </w:rPr>
        <w:t>.</w:t>
      </w:r>
      <w:r w:rsidR="008815A6" w:rsidRPr="00047DD9">
        <w:rPr>
          <w:sz w:val="28"/>
          <w:szCs w:val="28"/>
        </w:rPr>
        <w:t>decembra</w:t>
      </w:r>
      <w:r w:rsidRPr="00047DD9">
        <w:rPr>
          <w:sz w:val="28"/>
          <w:szCs w:val="28"/>
        </w:rPr>
        <w:t xml:space="preserve"> noteikumos Nr.</w:t>
      </w:r>
      <w:r w:rsidR="008815A6" w:rsidRPr="00047DD9">
        <w:rPr>
          <w:sz w:val="28"/>
          <w:szCs w:val="28"/>
        </w:rPr>
        <w:t>924</w:t>
      </w:r>
      <w:r w:rsidRPr="00047DD9">
        <w:rPr>
          <w:sz w:val="28"/>
          <w:szCs w:val="28"/>
        </w:rPr>
        <w:t xml:space="preserve"> „</w:t>
      </w:r>
      <w:r w:rsidR="008815A6" w:rsidRPr="00047DD9">
        <w:rPr>
          <w:sz w:val="28"/>
          <w:szCs w:val="28"/>
        </w:rPr>
        <w:t>Latvijas Nacionālā vēstures muzeja</w:t>
      </w:r>
      <w:r w:rsidRPr="00047DD9">
        <w:rPr>
          <w:sz w:val="28"/>
          <w:szCs w:val="28"/>
        </w:rPr>
        <w:t xml:space="preserve"> nolikums””</w:t>
      </w:r>
      <w:r w:rsidR="005F595F" w:rsidRPr="00047DD9">
        <w:rPr>
          <w:sz w:val="28"/>
          <w:szCs w:val="28"/>
        </w:rPr>
        <w:t xml:space="preserve"> </w:t>
      </w:r>
      <w:r w:rsidR="001813AA" w:rsidRPr="00047DD9">
        <w:rPr>
          <w:sz w:val="28"/>
          <w:szCs w:val="28"/>
        </w:rPr>
        <w:t>sākotnējās ietekmes novērtējuma ziņojums (anotācija)</w:t>
      </w:r>
    </w:p>
    <w:bookmarkEnd w:id="1"/>
    <w:bookmarkEnd w:id="2"/>
    <w:p w:rsidR="001813AA" w:rsidRPr="00047DD9" w:rsidRDefault="001813AA" w:rsidP="001813AA">
      <w:pPr>
        <w:spacing w:after="0" w:line="240" w:lineRule="auto"/>
        <w:ind w:firstLine="300"/>
        <w:jc w:val="center"/>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5F595F" w:rsidRPr="00047DD9"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047DD9" w:rsidRDefault="001813AA" w:rsidP="001813AA">
            <w:pPr>
              <w:spacing w:after="0" w:line="24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I. Tiesību akta projekta izstrādes nepieciešamība</w:t>
            </w:r>
          </w:p>
        </w:tc>
      </w:tr>
      <w:tr w:rsidR="005F595F" w:rsidRPr="00047DD9"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B324E4" w:rsidRPr="00047DD9" w:rsidRDefault="005E72EF" w:rsidP="008800B7">
            <w:pPr>
              <w:spacing w:after="0" w:line="240" w:lineRule="auto"/>
              <w:jc w:val="both"/>
              <w:rPr>
                <w:rFonts w:ascii="Times New Roman" w:hAnsi="Times New Roman" w:cs="Times New Roman"/>
                <w:sz w:val="28"/>
                <w:szCs w:val="28"/>
              </w:rPr>
            </w:pPr>
            <w:r w:rsidRPr="00047DD9">
              <w:rPr>
                <w:rFonts w:ascii="Times New Roman" w:eastAsia="Times New Roman" w:hAnsi="Times New Roman" w:cs="Times New Roman"/>
                <w:sz w:val="28"/>
                <w:szCs w:val="28"/>
                <w:lang w:eastAsia="lv-LV"/>
              </w:rPr>
              <w:t>Ministru kabineta noteikumu projekts „</w:t>
            </w:r>
            <w:r w:rsidR="005B47A3" w:rsidRPr="00047DD9">
              <w:rPr>
                <w:rFonts w:ascii="Times New Roman" w:hAnsi="Times New Roman" w:cs="Times New Roman"/>
                <w:sz w:val="28"/>
                <w:szCs w:val="28"/>
              </w:rPr>
              <w:t>Grozījum</w:t>
            </w:r>
            <w:r w:rsidR="00B04CB9" w:rsidRPr="00047DD9">
              <w:rPr>
                <w:rFonts w:ascii="Times New Roman" w:hAnsi="Times New Roman" w:cs="Times New Roman"/>
                <w:sz w:val="28"/>
                <w:szCs w:val="28"/>
              </w:rPr>
              <w:t>i</w:t>
            </w:r>
            <w:r w:rsidR="005B47A3" w:rsidRPr="00047DD9">
              <w:rPr>
                <w:rFonts w:ascii="Times New Roman" w:hAnsi="Times New Roman" w:cs="Times New Roman"/>
                <w:sz w:val="28"/>
                <w:szCs w:val="28"/>
              </w:rPr>
              <w:t xml:space="preserve"> Ministru kabineta 201</w:t>
            </w:r>
            <w:r w:rsidR="008815A6" w:rsidRPr="00047DD9">
              <w:rPr>
                <w:rFonts w:ascii="Times New Roman" w:hAnsi="Times New Roman" w:cs="Times New Roman"/>
                <w:sz w:val="28"/>
                <w:szCs w:val="28"/>
              </w:rPr>
              <w:t>2.gada 18</w:t>
            </w:r>
            <w:r w:rsidR="005B47A3" w:rsidRPr="00047DD9">
              <w:rPr>
                <w:rFonts w:ascii="Times New Roman" w:hAnsi="Times New Roman" w:cs="Times New Roman"/>
                <w:sz w:val="28"/>
                <w:szCs w:val="28"/>
              </w:rPr>
              <w:t>.</w:t>
            </w:r>
            <w:r w:rsidR="008815A6" w:rsidRPr="00047DD9">
              <w:rPr>
                <w:rFonts w:ascii="Times New Roman" w:hAnsi="Times New Roman" w:cs="Times New Roman"/>
                <w:sz w:val="28"/>
                <w:szCs w:val="28"/>
              </w:rPr>
              <w:t>decembra noteikumos Nr.924</w:t>
            </w:r>
            <w:r w:rsidR="005B47A3" w:rsidRPr="00047DD9">
              <w:rPr>
                <w:rFonts w:ascii="Times New Roman" w:hAnsi="Times New Roman" w:cs="Times New Roman"/>
                <w:sz w:val="28"/>
                <w:szCs w:val="28"/>
              </w:rPr>
              <w:t xml:space="preserve"> „</w:t>
            </w:r>
            <w:r w:rsidR="008815A6" w:rsidRPr="00047DD9">
              <w:rPr>
                <w:rFonts w:ascii="Times New Roman" w:hAnsi="Times New Roman" w:cs="Times New Roman"/>
                <w:sz w:val="28"/>
                <w:szCs w:val="28"/>
              </w:rPr>
              <w:t>Latvijas Nacionālā vēstures muzeja</w:t>
            </w:r>
            <w:r w:rsidR="005B47A3" w:rsidRPr="00047DD9">
              <w:rPr>
                <w:rFonts w:ascii="Times New Roman" w:hAnsi="Times New Roman" w:cs="Times New Roman"/>
                <w:sz w:val="28"/>
                <w:szCs w:val="28"/>
              </w:rPr>
              <w:t xml:space="preserve"> nolikums””</w:t>
            </w:r>
            <w:r w:rsidRPr="00047DD9">
              <w:rPr>
                <w:rFonts w:ascii="Times New Roman" w:hAnsi="Times New Roman" w:cs="Times New Roman"/>
                <w:sz w:val="28"/>
                <w:szCs w:val="28"/>
              </w:rPr>
              <w:t xml:space="preserve"> (turpmāk –</w:t>
            </w:r>
            <w:r w:rsidR="008800B7">
              <w:rPr>
                <w:rFonts w:ascii="Times New Roman" w:hAnsi="Times New Roman" w:cs="Times New Roman"/>
                <w:sz w:val="28"/>
                <w:szCs w:val="28"/>
              </w:rPr>
              <w:t xml:space="preserve"> P</w:t>
            </w:r>
            <w:r w:rsidRPr="00047DD9">
              <w:rPr>
                <w:rFonts w:ascii="Times New Roman" w:hAnsi="Times New Roman" w:cs="Times New Roman"/>
                <w:sz w:val="28"/>
                <w:szCs w:val="28"/>
              </w:rPr>
              <w:t>rojekts) izstrādāts</w:t>
            </w:r>
            <w:r w:rsidR="00B324E4" w:rsidRPr="00047DD9">
              <w:rPr>
                <w:rFonts w:ascii="Times New Roman" w:hAnsi="Times New Roman" w:cs="Times New Roman"/>
                <w:sz w:val="28"/>
                <w:szCs w:val="28"/>
              </w:rPr>
              <w:t>,</w:t>
            </w:r>
            <w:r w:rsidRPr="00047DD9">
              <w:rPr>
                <w:rFonts w:ascii="Times New Roman" w:hAnsi="Times New Roman" w:cs="Times New Roman"/>
                <w:sz w:val="28"/>
                <w:szCs w:val="28"/>
              </w:rPr>
              <w:t xml:space="preserve"> </w:t>
            </w:r>
            <w:r w:rsidR="00B324E4" w:rsidRPr="00047DD9">
              <w:rPr>
                <w:rFonts w:ascii="Times New Roman" w:hAnsi="Times New Roman" w:cs="Times New Roman"/>
                <w:sz w:val="28"/>
                <w:szCs w:val="28"/>
              </w:rPr>
              <w:t xml:space="preserve">pamatojoties uz </w:t>
            </w:r>
            <w:r w:rsidR="00047DD9" w:rsidRPr="00047DD9">
              <w:rPr>
                <w:rFonts w:ascii="Times New Roman" w:eastAsia="Times New Roman" w:hAnsi="Times New Roman" w:cs="Times New Roman"/>
                <w:sz w:val="28"/>
                <w:szCs w:val="28"/>
                <w:lang w:eastAsia="lv-LV"/>
              </w:rPr>
              <w:t>Ministru kabineta 2014.gada 1.jūlija sēdes protokollēmuma (prot. Nr.36 54.§) „Informatīvais ziņojums „Par Tautas frontes muzeju””</w:t>
            </w:r>
            <w:r w:rsidR="00047DD9">
              <w:rPr>
                <w:rFonts w:ascii="Times New Roman" w:eastAsia="Times New Roman" w:hAnsi="Times New Roman" w:cs="Times New Roman"/>
                <w:sz w:val="28"/>
                <w:szCs w:val="28"/>
                <w:lang w:eastAsia="lv-LV"/>
              </w:rPr>
              <w:t xml:space="preserve"> 2.punktā doto uzdevumu</w:t>
            </w:r>
            <w:r w:rsidR="0010684F">
              <w:rPr>
                <w:rFonts w:ascii="Times New Roman" w:eastAsia="Times New Roman" w:hAnsi="Times New Roman" w:cs="Times New Roman"/>
                <w:sz w:val="28"/>
                <w:szCs w:val="28"/>
                <w:lang w:eastAsia="lv-LV"/>
              </w:rPr>
              <w:t>,</w:t>
            </w:r>
            <w:r w:rsidR="00047DD9">
              <w:rPr>
                <w:rFonts w:ascii="Times New Roman" w:eastAsia="Times New Roman" w:hAnsi="Times New Roman" w:cs="Times New Roman"/>
                <w:sz w:val="28"/>
                <w:szCs w:val="28"/>
                <w:lang w:eastAsia="lv-LV"/>
              </w:rPr>
              <w:t xml:space="preserve"> </w:t>
            </w:r>
            <w:r w:rsidR="00ED2EEC" w:rsidRPr="00047DD9">
              <w:rPr>
                <w:rFonts w:ascii="Times New Roman" w:eastAsia="Times New Roman" w:hAnsi="Times New Roman" w:cs="Times New Roman"/>
                <w:sz w:val="28"/>
                <w:szCs w:val="28"/>
                <w:lang w:eastAsia="lv-LV"/>
              </w:rPr>
              <w:t xml:space="preserve">kurā Kultūras ministrijai līdz 2015.gada 1.janvārim iesniegt Ministru kabinetā rīkojuma projektu par grozījumiem Ministru kabineta </w:t>
            </w:r>
            <w:r w:rsidR="00ED2EEC" w:rsidRPr="00047DD9">
              <w:rPr>
                <w:rFonts w:ascii="Times New Roman" w:hAnsi="Times New Roman" w:cs="Times New Roman"/>
                <w:sz w:val="28"/>
                <w:szCs w:val="28"/>
              </w:rPr>
              <w:t>2012.gada 18.decembra noteikumos Nr.924 „Latvijas Nacionālā vēstures muzeja nolikums”, paplašinot Latvijas Nacionālā vēstures muzeja funkcijas – saglabāt Latvijas Tautas frontes kolekcijas (muzeja krājumu, arhīva materiālus) kā nedalāmu kopumu un nodrošināt tā pieejamību sabiedrībai muzeja ekspozīcijā Latvijas Tautas frontes vēsturiskajā mītnē Rīgā, Vecpilsētas ielā 13/15.</w:t>
            </w:r>
          </w:p>
        </w:tc>
      </w:tr>
      <w:tr w:rsidR="005F595F" w:rsidRPr="00047DD9" w:rsidTr="005F595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ED2EEC" w:rsidRPr="00047DD9" w:rsidRDefault="00ED2EEC" w:rsidP="00147798">
            <w:pPr>
              <w:spacing w:after="0" w:line="240" w:lineRule="auto"/>
              <w:jc w:val="both"/>
              <w:rPr>
                <w:rFonts w:ascii="Times New Roman" w:hAnsi="Times New Roman" w:cs="Times New Roman"/>
                <w:sz w:val="28"/>
                <w:szCs w:val="28"/>
              </w:rPr>
            </w:pPr>
            <w:r w:rsidRPr="00047DD9">
              <w:rPr>
                <w:rFonts w:ascii="Times New Roman" w:hAnsi="Times New Roman" w:cs="Times New Roman"/>
                <w:sz w:val="28"/>
                <w:szCs w:val="28"/>
              </w:rPr>
              <w:t>Tautas frontes muzejs ir biedrības „Tautas frontes muzeja sabiedriskā padome” (reģistrēta Latvijas Republikas Biedrību un nodibinājumu reģistrā ar Nr.40008033141) struktūrvienība. Saskaņā ar Muzeju likuma 1.panta 9.punktu Tautas frontes muzejs ir privāts muzejs.</w:t>
            </w:r>
            <w:r w:rsidR="00147798" w:rsidRPr="00047DD9">
              <w:rPr>
                <w:rFonts w:ascii="Times New Roman" w:hAnsi="Times New Roman" w:cs="Times New Roman"/>
                <w:sz w:val="28"/>
                <w:szCs w:val="28"/>
              </w:rPr>
              <w:t xml:space="preserve"> Tautas frontes muzejs kā privāta institūcija valstiski nozīmīgo uzdevumu spēj veikt ierobežotā, notikuma nozīmībai neadekvātā apjomā.</w:t>
            </w:r>
          </w:p>
          <w:p w:rsidR="00147798" w:rsidRPr="00047DD9" w:rsidRDefault="00147798" w:rsidP="00147798">
            <w:pPr>
              <w:spacing w:after="0" w:line="240" w:lineRule="auto"/>
              <w:jc w:val="both"/>
              <w:rPr>
                <w:rFonts w:ascii="Times New Roman" w:hAnsi="Times New Roman" w:cs="Times New Roman"/>
                <w:sz w:val="28"/>
                <w:szCs w:val="28"/>
              </w:rPr>
            </w:pPr>
          </w:p>
          <w:p w:rsidR="00ED2EEC" w:rsidRPr="00047DD9" w:rsidRDefault="00ED2EEC" w:rsidP="00ED2EEC">
            <w:pPr>
              <w:spacing w:after="0" w:line="240" w:lineRule="auto"/>
              <w:jc w:val="both"/>
              <w:rPr>
                <w:rFonts w:ascii="Times New Roman" w:hAnsi="Times New Roman" w:cs="Times New Roman"/>
                <w:sz w:val="28"/>
                <w:szCs w:val="28"/>
              </w:rPr>
            </w:pPr>
            <w:r w:rsidRPr="00047DD9">
              <w:rPr>
                <w:rFonts w:ascii="Times New Roman" w:hAnsi="Times New Roman" w:cs="Times New Roman"/>
                <w:sz w:val="28"/>
                <w:szCs w:val="28"/>
              </w:rPr>
              <w:t xml:space="preserve">Tautas frontes muzejā, strādājot diviem darbiniekiem, nav iespējams organizēt sistemātisku un mērķtiecīgu kultūrvēsturisko liecību komplektēšanu un to zinātnisko izpēti. Muzeja apmeklētībai – 6000 interesentu gadā –, ņemot vērā, ka muzejs piedāvā bezmaksas </w:t>
            </w:r>
            <w:r w:rsidRPr="00047DD9">
              <w:rPr>
                <w:rFonts w:ascii="Times New Roman" w:hAnsi="Times New Roman" w:cs="Times New Roman"/>
                <w:sz w:val="28"/>
                <w:szCs w:val="28"/>
              </w:rPr>
              <w:lastRenderedPageBreak/>
              <w:t xml:space="preserve">apmeklējuma iespējas, ir potenciāls būt daudz aptverošākai, piesaistot gan Latvijas iedzīvotājus, īpaši skolu jaunatni, gan ārvalstu tūristus. </w:t>
            </w:r>
          </w:p>
          <w:p w:rsidR="00ED2EEC" w:rsidRPr="00047DD9" w:rsidRDefault="00ED2EEC" w:rsidP="00ED2EEC">
            <w:pPr>
              <w:spacing w:after="0" w:line="240" w:lineRule="auto"/>
              <w:jc w:val="both"/>
              <w:rPr>
                <w:rFonts w:ascii="Times New Roman" w:hAnsi="Times New Roman" w:cs="Times New Roman"/>
                <w:sz w:val="28"/>
                <w:szCs w:val="28"/>
              </w:rPr>
            </w:pPr>
          </w:p>
          <w:p w:rsidR="00ED2EEC" w:rsidRPr="00047DD9" w:rsidRDefault="00ED2EEC" w:rsidP="00ED2EEC">
            <w:pPr>
              <w:spacing w:after="0" w:line="240" w:lineRule="auto"/>
              <w:jc w:val="both"/>
              <w:rPr>
                <w:rFonts w:ascii="Times New Roman" w:hAnsi="Times New Roman" w:cs="Times New Roman"/>
                <w:sz w:val="28"/>
                <w:szCs w:val="28"/>
              </w:rPr>
            </w:pPr>
            <w:r w:rsidRPr="00047DD9">
              <w:rPr>
                <w:rFonts w:ascii="Times New Roman" w:hAnsi="Times New Roman" w:cs="Times New Roman"/>
                <w:sz w:val="28"/>
                <w:szCs w:val="28"/>
              </w:rPr>
              <w:t xml:space="preserve">Biedrības „Tautas frontes muzeja sabiedriskā padome” iespējas nodrošināt muzeja pamatfunkciju veikšanu un nekustamā īpašuma uzturēšanu vienmēr ir bijušas atkarīgas no papildus piesaistītajiem finanšu resursiem, galvenokārt no valsts budžeta. Biedrības un muzeja juridiskais statuss – privāta institūcija – negarantē regulāru un pietiekamu valsts finansējuma apjomu, līdz ar to nav uzskatāms par optimālu muzeja darbībai ilgtermiņā. </w:t>
            </w:r>
          </w:p>
          <w:p w:rsidR="00ED2EEC" w:rsidRPr="00047DD9" w:rsidRDefault="00ED2EEC" w:rsidP="00ED2EEC">
            <w:pPr>
              <w:spacing w:after="0" w:line="240" w:lineRule="auto"/>
              <w:jc w:val="both"/>
              <w:rPr>
                <w:rFonts w:ascii="Times New Roman" w:hAnsi="Times New Roman" w:cs="Times New Roman"/>
                <w:sz w:val="28"/>
                <w:szCs w:val="28"/>
              </w:rPr>
            </w:pPr>
          </w:p>
          <w:p w:rsidR="00ED2EEC" w:rsidRPr="00047DD9" w:rsidRDefault="00ED2EEC" w:rsidP="00ED2EEC">
            <w:pPr>
              <w:spacing w:after="0" w:line="240" w:lineRule="auto"/>
              <w:jc w:val="both"/>
              <w:rPr>
                <w:rFonts w:ascii="Times New Roman" w:hAnsi="Times New Roman" w:cs="Times New Roman"/>
                <w:sz w:val="28"/>
                <w:szCs w:val="28"/>
              </w:rPr>
            </w:pPr>
            <w:r w:rsidRPr="00047DD9">
              <w:rPr>
                <w:rFonts w:ascii="Times New Roman" w:hAnsi="Times New Roman" w:cs="Times New Roman"/>
                <w:sz w:val="28"/>
                <w:szCs w:val="28"/>
              </w:rPr>
              <w:t>Biedrības „Tautas frontes muzeja sabiedriskā padome” 2014.gada 24.janvāra padomes sēdē ir pieņemts lēmums dāvinājuma (ziedojuma) veidā nodot Latvijas Nacionālajam vēstures muzejam Tautas frontes muzeja krājumu, arhīva materiālus, muzeja ekspozīciju, kā arī pārējo kustamo mantu, ierakstot Latvijas Nacionālā vēstures muzeja nolikumā (Ministru kabineta 2012.gada 18.decembra noteikumi Nr.924 „Latvijas Nacionālā vēstures muzeja nolikums”) pienākumu saglabāt kā nedalāmu kopumu biedrības dāvinātās (ziedotās) Latvijas Tautas frontes muzeja kolekcijas zinātnisko un vēsturisko veselumu, kā arī Latvijas Nacionālā vēstures muzeja nolikumā ierakstot pienākumu nodrošināt Latvijas Tautas frontes ekspozīcijas pieejamību Rīgā, Vecpilsētas ielā 13/15. Nododot minēto kustamo un nekustamo īpašumu Latvijas Nacionālajam vēstures muzejam</w:t>
            </w:r>
            <w:r w:rsidR="00147798" w:rsidRPr="00047DD9">
              <w:rPr>
                <w:rFonts w:ascii="Times New Roman" w:hAnsi="Times New Roman" w:cs="Times New Roman"/>
                <w:sz w:val="28"/>
                <w:szCs w:val="28"/>
              </w:rPr>
              <w:t>.</w:t>
            </w:r>
          </w:p>
          <w:p w:rsidR="00EC2472" w:rsidRPr="00047DD9" w:rsidRDefault="00EC2472" w:rsidP="00EC2472">
            <w:pPr>
              <w:tabs>
                <w:tab w:val="left" w:pos="426"/>
              </w:tabs>
              <w:spacing w:after="0"/>
              <w:jc w:val="both"/>
              <w:rPr>
                <w:rFonts w:ascii="Times New Roman" w:hAnsi="Times New Roman" w:cs="Times New Roman"/>
                <w:sz w:val="28"/>
                <w:szCs w:val="28"/>
              </w:rPr>
            </w:pPr>
          </w:p>
          <w:p w:rsidR="00EC2472" w:rsidRPr="00047DD9" w:rsidRDefault="00EC2472" w:rsidP="00147798">
            <w:pPr>
              <w:tabs>
                <w:tab w:val="left" w:pos="426"/>
              </w:tabs>
              <w:spacing w:after="0" w:line="240" w:lineRule="auto"/>
              <w:jc w:val="both"/>
              <w:rPr>
                <w:rFonts w:ascii="Times New Roman" w:hAnsi="Times New Roman" w:cs="Times New Roman"/>
                <w:sz w:val="28"/>
                <w:szCs w:val="28"/>
              </w:rPr>
            </w:pPr>
            <w:r w:rsidRPr="00047DD9">
              <w:rPr>
                <w:rFonts w:ascii="Times New Roman" w:hAnsi="Times New Roman" w:cs="Times New Roman"/>
                <w:sz w:val="28"/>
                <w:szCs w:val="28"/>
              </w:rPr>
              <w:t xml:space="preserve">Tautas frontes muzeja iekļaušana </w:t>
            </w:r>
            <w:r w:rsidRPr="00047DD9">
              <w:rPr>
                <w:rFonts w:ascii="Times New Roman" w:hAnsi="Times New Roman" w:cs="Times New Roman"/>
                <w:b/>
                <w:sz w:val="28"/>
                <w:szCs w:val="28"/>
              </w:rPr>
              <w:t>valsts institūcijas</w:t>
            </w:r>
            <w:r w:rsidRPr="00047DD9">
              <w:rPr>
                <w:rFonts w:ascii="Times New Roman" w:hAnsi="Times New Roman" w:cs="Times New Roman"/>
                <w:sz w:val="28"/>
                <w:szCs w:val="28"/>
              </w:rPr>
              <w:t xml:space="preserve"> – Latvijas Nacionālā vēstures muzeja – struktūrā nodrošinās:</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garantētu valsts budžeta dotāciju muzeja pamatfunkciju veikšanai un infrastruktūras uzturēšanai;</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 xml:space="preserve">muzeja pamatekspozīcijas izveidē ieguldīto </w:t>
            </w:r>
            <w:r w:rsidRPr="00047DD9">
              <w:rPr>
                <w:rFonts w:ascii="Times New Roman" w:hAnsi="Times New Roman" w:cs="Times New Roman"/>
                <w:sz w:val="28"/>
                <w:szCs w:val="28"/>
              </w:rPr>
              <w:lastRenderedPageBreak/>
              <w:t>valsts budžeta līdzekļu efektīvu atdevi, intensīvi izmantojot ekspozīciju muzeja komunikācijas darbā;</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racionālu, efektīvu un stingrāku valsts budžeta resursu izlietojuma kontroli, muzeja atbalsta funkcijas (grāmatvedība, sabiedriskā saskarsme, muzejpedagoģiskā darbība u.c.) nodrošinot ar Latvijas Nacionālā vēstures muzeja resursiem;</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muzeja krājuma kā Nacionālā muzeju krājuma sastāvdaļas saglabāšanu, izpēti un izmantošanu un muzeja pamatfunkciju profesionālu veikšanu, nodrošinot pilnvērtīgu muzeja misijas īstenošanu sadarbībā ar biedrību „Tautas frontes muzeja sabiedriskā padome”;</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 xml:space="preserve">vēsturiskās Latvijas Tautas frontes ēkas – nekustamā īpašuma Rīgā, Vecpilsētas ielā 13/15 saglabāšanu valsts īpašumā, paredzot tam konkrētu pielietojumu – Tautas frontes muzeja darbības nodrošināšanu; </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b/>
                <w:sz w:val="28"/>
                <w:szCs w:val="28"/>
              </w:rPr>
            </w:pPr>
            <w:r w:rsidRPr="00047DD9">
              <w:rPr>
                <w:rFonts w:ascii="Times New Roman" w:hAnsi="Times New Roman" w:cs="Times New Roman"/>
                <w:sz w:val="28"/>
                <w:szCs w:val="28"/>
              </w:rPr>
              <w:t>efektīvāku resursu piesaisti muzeja darbībai (piem., Valsts kultūrkapitāla fonda projektu konkursos);</w:t>
            </w:r>
          </w:p>
          <w:p w:rsidR="00EC2472" w:rsidRPr="00047DD9" w:rsidRDefault="00EC2472" w:rsidP="00EC2472">
            <w:pPr>
              <w:pStyle w:val="Sarakstarindkopa"/>
              <w:numPr>
                <w:ilvl w:val="0"/>
                <w:numId w:val="2"/>
              </w:numPr>
              <w:tabs>
                <w:tab w:val="left" w:pos="426"/>
              </w:tabs>
              <w:spacing w:after="0" w:line="240" w:lineRule="auto"/>
              <w:ind w:left="426" w:hanging="426"/>
              <w:jc w:val="both"/>
              <w:rPr>
                <w:rFonts w:ascii="Times New Roman" w:hAnsi="Times New Roman" w:cs="Times New Roman"/>
                <w:sz w:val="28"/>
                <w:szCs w:val="28"/>
              </w:rPr>
            </w:pPr>
            <w:r w:rsidRPr="00047DD9">
              <w:rPr>
                <w:rFonts w:ascii="Times New Roman" w:hAnsi="Times New Roman" w:cs="Times New Roman"/>
                <w:sz w:val="28"/>
                <w:szCs w:val="28"/>
              </w:rPr>
              <w:t xml:space="preserve">Tautas frontes muzeja iekļaušanu tā sabiedriskajai nozīmībai atbilstoša statusa institūcijas – nacionālā muzeja – struktūrā.  </w:t>
            </w:r>
          </w:p>
          <w:p w:rsidR="0062040C" w:rsidRPr="00047DD9" w:rsidRDefault="0062040C" w:rsidP="00304388">
            <w:pPr>
              <w:spacing w:after="0" w:line="240" w:lineRule="auto"/>
              <w:jc w:val="both"/>
              <w:rPr>
                <w:rFonts w:ascii="Times New Roman" w:eastAsia="Times New Roman" w:hAnsi="Times New Roman" w:cs="Times New Roman"/>
                <w:sz w:val="28"/>
                <w:szCs w:val="28"/>
                <w:lang w:eastAsia="lv-LV"/>
              </w:rPr>
            </w:pPr>
          </w:p>
          <w:p w:rsidR="00D431CE" w:rsidRPr="00047DD9" w:rsidRDefault="008800B7" w:rsidP="00047D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kabinets 2014.gada 1.</w:t>
            </w:r>
            <w:r w:rsidR="00147798" w:rsidRPr="00047DD9">
              <w:rPr>
                <w:rFonts w:ascii="Times New Roman" w:eastAsia="Times New Roman" w:hAnsi="Times New Roman" w:cs="Times New Roman"/>
                <w:sz w:val="28"/>
                <w:szCs w:val="28"/>
                <w:lang w:eastAsia="lv-LV"/>
              </w:rPr>
              <w:t>jūlija sēdē (prot</w:t>
            </w:r>
            <w:r w:rsidR="00047DD9">
              <w:rPr>
                <w:rFonts w:ascii="Times New Roman" w:eastAsia="Times New Roman" w:hAnsi="Times New Roman" w:cs="Times New Roman"/>
                <w:sz w:val="28"/>
                <w:szCs w:val="28"/>
                <w:lang w:eastAsia="lv-LV"/>
              </w:rPr>
              <w:t>.</w:t>
            </w:r>
            <w:r w:rsidR="00147798" w:rsidRPr="00047DD9">
              <w:rPr>
                <w:rFonts w:ascii="Times New Roman" w:eastAsia="Times New Roman" w:hAnsi="Times New Roman" w:cs="Times New Roman"/>
                <w:sz w:val="28"/>
                <w:szCs w:val="28"/>
                <w:lang w:eastAsia="lv-LV"/>
              </w:rPr>
              <w:t xml:space="preserve"> Nr.36 54.§), izskatot informatīvo ziņojumu „Par Tautas frontes muzeju”, ir akceptējis Tautas frontes muzeja iekļaušanu Latvijas Nacionālā vēstures muzeja struktūrā un devis uzdevumu Kultūras ministrijai sagatavot </w:t>
            </w:r>
            <w:r w:rsidR="00047DD9">
              <w:rPr>
                <w:rFonts w:ascii="Times New Roman" w:eastAsia="Times New Roman" w:hAnsi="Times New Roman" w:cs="Times New Roman"/>
                <w:sz w:val="28"/>
                <w:szCs w:val="28"/>
                <w:lang w:eastAsia="lv-LV"/>
              </w:rPr>
              <w:t xml:space="preserve">attiecīgus </w:t>
            </w:r>
            <w:r w:rsidR="00147798" w:rsidRPr="00047DD9">
              <w:rPr>
                <w:rFonts w:ascii="Times New Roman" w:eastAsia="Times New Roman" w:hAnsi="Times New Roman" w:cs="Times New Roman"/>
                <w:sz w:val="28"/>
                <w:szCs w:val="28"/>
                <w:lang w:eastAsia="lv-LV"/>
              </w:rPr>
              <w:t xml:space="preserve">grozījumus Ministru kabineta 2012.gada 18.decembra noteikumos „Latvijas Nacionālā vēstures muzeja nolikums”, kā arī devis uzdevumu Finanšu ministrijai, sagatavojot likumprojektu „Par valsts budžetu 2015.gadam” un likumprojektu „Par vidēja termiņa budžetu 2015., 2016. un 2017.gadam”, palielināt Kultūras ministrijas bāzes izdevumus budžeta programmā 21.00.00 „Kultūras mantojums” 2015.gadam par </w:t>
            </w:r>
            <w:r w:rsidR="00047DD9">
              <w:rPr>
                <w:rFonts w:ascii="Times New Roman" w:eastAsia="Times New Roman" w:hAnsi="Times New Roman" w:cs="Times New Roman"/>
                <w:sz w:val="28"/>
                <w:szCs w:val="28"/>
                <w:lang w:eastAsia="lv-LV"/>
              </w:rPr>
              <w:lastRenderedPageBreak/>
              <w:t xml:space="preserve">143 8115 </w:t>
            </w:r>
            <w:r w:rsidR="00047DD9" w:rsidRPr="00047DD9">
              <w:rPr>
                <w:rFonts w:ascii="Times New Roman" w:eastAsia="Times New Roman" w:hAnsi="Times New Roman" w:cs="Times New Roman"/>
                <w:i/>
                <w:sz w:val="28"/>
                <w:szCs w:val="28"/>
                <w:lang w:eastAsia="lv-LV"/>
              </w:rPr>
              <w:t>euro</w:t>
            </w:r>
            <w:r w:rsidR="00147798" w:rsidRPr="00047DD9">
              <w:rPr>
                <w:rFonts w:ascii="Times New Roman" w:eastAsia="Times New Roman" w:hAnsi="Times New Roman" w:cs="Times New Roman"/>
                <w:sz w:val="28"/>
                <w:szCs w:val="28"/>
                <w:lang w:eastAsia="lv-LV"/>
              </w:rPr>
              <w:t xml:space="preserve"> un 2016., 2017.gadam par 134 525 </w:t>
            </w:r>
            <w:r w:rsidR="00047DD9" w:rsidRPr="00047DD9">
              <w:rPr>
                <w:rFonts w:ascii="Times New Roman" w:eastAsia="Times New Roman" w:hAnsi="Times New Roman" w:cs="Times New Roman"/>
                <w:i/>
                <w:sz w:val="28"/>
                <w:szCs w:val="28"/>
                <w:lang w:eastAsia="lv-LV"/>
              </w:rPr>
              <w:t>euro</w:t>
            </w:r>
            <w:r w:rsidR="00147798" w:rsidRPr="00047DD9">
              <w:rPr>
                <w:rFonts w:ascii="Times New Roman" w:eastAsia="Times New Roman" w:hAnsi="Times New Roman" w:cs="Times New Roman"/>
                <w:sz w:val="28"/>
                <w:szCs w:val="28"/>
                <w:lang w:eastAsia="lv-LV"/>
              </w:rPr>
              <w:t xml:space="preserve"> katru gadu, lai nodrošinātu Tautas frontes muzeja kā Latvijas Nacionālā vēstures muzeja struktūrvienības darbu. </w:t>
            </w:r>
          </w:p>
        </w:tc>
      </w:tr>
      <w:tr w:rsidR="005F595F" w:rsidRPr="00047DD9"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Projekta izstrādē</w:t>
            </w:r>
            <w:r w:rsidR="000A5A05" w:rsidRPr="00047DD9">
              <w:rPr>
                <w:rFonts w:ascii="Times New Roman" w:eastAsia="Times New Roman" w:hAnsi="Times New Roman" w:cs="Times New Roman"/>
                <w:sz w:val="28"/>
                <w:szCs w:val="28"/>
                <w:lang w:eastAsia="lv-LV"/>
              </w:rPr>
              <w:t xml:space="preserve"> </w:t>
            </w:r>
            <w:r w:rsidRPr="00047DD9">
              <w:rPr>
                <w:rFonts w:ascii="Times New Roman" w:eastAsia="Times New Roman" w:hAnsi="Times New Roman" w:cs="Times New Roman"/>
                <w:sz w:val="28"/>
                <w:szCs w:val="28"/>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047DD9" w:rsidRDefault="00727B34" w:rsidP="00727B34">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Kultūras</w:t>
            </w:r>
            <w:r w:rsidR="005F595F" w:rsidRPr="00047DD9">
              <w:rPr>
                <w:rFonts w:ascii="Times New Roman" w:eastAsia="Times New Roman" w:hAnsi="Times New Roman" w:cs="Times New Roman"/>
                <w:sz w:val="28"/>
                <w:szCs w:val="28"/>
                <w:lang w:eastAsia="lv-LV"/>
              </w:rPr>
              <w:t xml:space="preserve"> ministrija un </w:t>
            </w:r>
            <w:r w:rsidRPr="00047DD9">
              <w:rPr>
                <w:rFonts w:ascii="Times New Roman" w:eastAsia="Times New Roman" w:hAnsi="Times New Roman" w:cs="Times New Roman"/>
                <w:sz w:val="28"/>
                <w:szCs w:val="28"/>
                <w:lang w:eastAsia="lv-LV"/>
              </w:rPr>
              <w:t>Latvijas Nacionālais vēstures muzejs</w:t>
            </w:r>
            <w:r w:rsidR="00047DD9">
              <w:rPr>
                <w:rFonts w:ascii="Times New Roman" w:eastAsia="Times New Roman" w:hAnsi="Times New Roman" w:cs="Times New Roman"/>
                <w:sz w:val="28"/>
                <w:szCs w:val="28"/>
                <w:lang w:eastAsia="lv-LV"/>
              </w:rPr>
              <w:t>.</w:t>
            </w:r>
          </w:p>
        </w:tc>
      </w:tr>
      <w:tr w:rsidR="005F595F" w:rsidRPr="00047DD9"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047DD9" w:rsidRDefault="001813AA" w:rsidP="001813AA">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20471" w:rsidRPr="00047DD9" w:rsidRDefault="00727B34" w:rsidP="00452439">
            <w:pPr>
              <w:spacing w:after="0" w:line="240" w:lineRule="auto"/>
              <w:jc w:val="both"/>
              <w:rPr>
                <w:rFonts w:ascii="Times New Roman" w:hAnsi="Times New Roman" w:cs="Times New Roman"/>
                <w:sz w:val="28"/>
                <w:szCs w:val="28"/>
              </w:rPr>
            </w:pPr>
            <w:r w:rsidRPr="00047DD9">
              <w:rPr>
                <w:rFonts w:ascii="Times New Roman" w:eastAsia="Times New Roman" w:hAnsi="Times New Roman" w:cs="Times New Roman"/>
                <w:sz w:val="28"/>
                <w:szCs w:val="28"/>
                <w:lang w:eastAsia="lv-LV"/>
              </w:rPr>
              <w:t>Nav</w:t>
            </w:r>
            <w:r w:rsidR="008800B7">
              <w:rPr>
                <w:rFonts w:ascii="Times New Roman" w:eastAsia="Times New Roman" w:hAnsi="Times New Roman" w:cs="Times New Roman"/>
                <w:sz w:val="28"/>
                <w:szCs w:val="28"/>
                <w:lang w:eastAsia="lv-LV"/>
              </w:rPr>
              <w:t>.</w:t>
            </w:r>
            <w:r w:rsidR="00F33C44" w:rsidRPr="00047DD9">
              <w:rPr>
                <w:rFonts w:ascii="Times New Roman" w:hAnsi="Times New Roman" w:cs="Times New Roman"/>
                <w:sz w:val="28"/>
                <w:szCs w:val="28"/>
              </w:rPr>
              <w:t xml:space="preserve"> </w:t>
            </w:r>
          </w:p>
        </w:tc>
      </w:tr>
    </w:tbl>
    <w:p w:rsidR="001813AA" w:rsidRDefault="001813AA" w:rsidP="001813AA">
      <w:pPr>
        <w:spacing w:after="0" w:line="240" w:lineRule="auto"/>
        <w:rPr>
          <w:rFonts w:ascii="Times New Roman" w:eastAsia="Times New Roman" w:hAnsi="Times New Roman" w:cs="Times New Roman"/>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83"/>
        <w:gridCol w:w="6006"/>
      </w:tblGrid>
      <w:tr w:rsidR="00047DD9" w:rsidRPr="00047DD9" w:rsidTr="008800B7">
        <w:trPr>
          <w:trHeight w:val="555"/>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047DD9" w:rsidRPr="00047DD9" w:rsidRDefault="00047DD9" w:rsidP="00047DD9">
            <w:pPr>
              <w:spacing w:after="0" w:line="240" w:lineRule="auto"/>
              <w:ind w:firstLine="301"/>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47DD9" w:rsidRPr="00047DD9" w:rsidTr="008800B7">
        <w:trPr>
          <w:trHeight w:val="465"/>
          <w:tblCellSpacing w:w="15" w:type="dxa"/>
        </w:trPr>
        <w:tc>
          <w:tcPr>
            <w:tcW w:w="174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Sabiedrības mērķgrupas, kuras tiesiskais regulējums ietekmē vai varētu ietekmēt</w:t>
            </w:r>
          </w:p>
        </w:tc>
        <w:tc>
          <w:tcPr>
            <w:tcW w:w="3203" w:type="pct"/>
            <w:tcBorders>
              <w:top w:val="outset" w:sz="6" w:space="0" w:color="auto"/>
              <w:left w:val="outset" w:sz="6" w:space="0" w:color="auto"/>
              <w:bottom w:val="outset" w:sz="6" w:space="0" w:color="auto"/>
              <w:right w:val="outset" w:sz="6" w:space="0" w:color="auto"/>
            </w:tcBorders>
            <w:hideMark/>
          </w:tcPr>
          <w:p w:rsidR="00047DD9" w:rsidRPr="00047DD9" w:rsidRDefault="008800B7" w:rsidP="00047D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Nacionālā</w:t>
            </w:r>
            <w:r w:rsidR="00047DD9" w:rsidRPr="00047DD9">
              <w:rPr>
                <w:rFonts w:ascii="Times New Roman" w:eastAsia="Times New Roman" w:hAnsi="Times New Roman" w:cs="Times New Roman"/>
                <w:sz w:val="28"/>
                <w:szCs w:val="28"/>
                <w:lang w:eastAsia="lv-LV"/>
              </w:rPr>
              <w:t xml:space="preserve"> vēstures muzeja un </w:t>
            </w:r>
            <w:r w:rsidR="00047DD9" w:rsidRPr="00047DD9">
              <w:rPr>
                <w:rFonts w:ascii="Times New Roman" w:hAnsi="Times New Roman" w:cs="Times New Roman"/>
                <w:sz w:val="28"/>
                <w:szCs w:val="28"/>
              </w:rPr>
              <w:t xml:space="preserve">Tautas frontes muzeja </w:t>
            </w:r>
            <w:r w:rsidR="00047DD9" w:rsidRPr="00047DD9">
              <w:rPr>
                <w:rFonts w:ascii="Times New Roman" w:eastAsia="Times New Roman" w:hAnsi="Times New Roman" w:cs="Times New Roman"/>
                <w:sz w:val="28"/>
                <w:szCs w:val="28"/>
                <w:lang w:eastAsia="lv-LV"/>
              </w:rPr>
              <w:t>apmeklētāji – Latvijas i</w:t>
            </w:r>
            <w:r>
              <w:rPr>
                <w:rFonts w:ascii="Times New Roman" w:eastAsia="Times New Roman" w:hAnsi="Times New Roman" w:cs="Times New Roman"/>
                <w:sz w:val="28"/>
                <w:szCs w:val="28"/>
                <w:lang w:eastAsia="lv-LV"/>
              </w:rPr>
              <w:t xml:space="preserve">edzīvotāji un ārvalstu tūristi – </w:t>
            </w:r>
            <w:r w:rsidR="00047DD9" w:rsidRPr="00047DD9">
              <w:rPr>
                <w:rFonts w:ascii="Times New Roman" w:eastAsia="Times New Roman" w:hAnsi="Times New Roman" w:cs="Times New Roman"/>
                <w:sz w:val="28"/>
                <w:szCs w:val="28"/>
                <w:lang w:eastAsia="lv-LV"/>
              </w:rPr>
              <w:t xml:space="preserve">, kurus interesē Latvijas vēsture, un tieši, valstiskās neatkarības atgūšanas process. </w:t>
            </w:r>
          </w:p>
          <w:p w:rsidR="00047DD9" w:rsidRPr="00047DD9" w:rsidRDefault="00047DD9" w:rsidP="00047DD9">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Nevalstiskās organizācijas </w:t>
            </w:r>
            <w:r w:rsidRPr="00047DD9">
              <w:rPr>
                <w:rFonts w:ascii="Times New Roman" w:hAnsi="Times New Roman" w:cs="Times New Roman"/>
                <w:sz w:val="28"/>
                <w:szCs w:val="28"/>
              </w:rPr>
              <w:t xml:space="preserve">„Tautas frontes muzeja sabiedriskā padome” biedri. </w:t>
            </w:r>
          </w:p>
        </w:tc>
      </w:tr>
      <w:tr w:rsidR="00047DD9" w:rsidRPr="00047DD9" w:rsidTr="008800B7">
        <w:trPr>
          <w:trHeight w:val="510"/>
          <w:tblCellSpacing w:w="15" w:type="dxa"/>
        </w:trPr>
        <w:tc>
          <w:tcPr>
            <w:tcW w:w="174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Tiesiskā regulējuma ietekme uz tautsaimniecību un administratīvo slogu</w:t>
            </w:r>
          </w:p>
        </w:tc>
        <w:tc>
          <w:tcPr>
            <w:tcW w:w="320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Iekļaujot Tautas frontes muzeju Latvijas Nacionālajā vēstures muzejā, šīs struktūrvienības darbības nodrošināšanai ir nepieciešams palielināt Kultūras ministrijas bāzes izdevumus. Pieaug Latvijas Nacionālā vēstures muzeja administrācijas un atbalsta funkciju (grāmatvedība, sabiedrisko attiecību u.c.) veicēju noslodze. </w:t>
            </w:r>
          </w:p>
        </w:tc>
      </w:tr>
      <w:tr w:rsidR="00047DD9" w:rsidRPr="00047DD9" w:rsidTr="008800B7">
        <w:trPr>
          <w:trHeight w:val="510"/>
          <w:tblCellSpacing w:w="15" w:type="dxa"/>
        </w:trPr>
        <w:tc>
          <w:tcPr>
            <w:tcW w:w="174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Administratīvo izmaksu monetārs novērtējums</w:t>
            </w:r>
          </w:p>
        </w:tc>
        <w:tc>
          <w:tcPr>
            <w:tcW w:w="320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Projekts šo jomu neskar.</w:t>
            </w:r>
          </w:p>
        </w:tc>
      </w:tr>
      <w:tr w:rsidR="00047DD9" w:rsidRPr="00047DD9" w:rsidTr="008800B7">
        <w:trPr>
          <w:trHeight w:val="230"/>
          <w:tblCellSpacing w:w="15" w:type="dxa"/>
        </w:trPr>
        <w:tc>
          <w:tcPr>
            <w:tcW w:w="174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before="100" w:beforeAutospacing="1" w:after="100" w:afterAutospacing="1" w:line="36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Nav</w:t>
            </w:r>
            <w:r w:rsidR="00F105F5">
              <w:rPr>
                <w:rFonts w:ascii="Times New Roman" w:eastAsia="Times New Roman" w:hAnsi="Times New Roman" w:cs="Times New Roman"/>
                <w:sz w:val="28"/>
                <w:szCs w:val="28"/>
                <w:lang w:eastAsia="lv-LV"/>
              </w:rPr>
              <w:t>.</w:t>
            </w:r>
          </w:p>
        </w:tc>
      </w:tr>
    </w:tbl>
    <w:p w:rsidR="00047DD9" w:rsidRPr="00047DD9" w:rsidRDefault="00047DD9" w:rsidP="001813AA">
      <w:pPr>
        <w:spacing w:after="0" w:line="24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61"/>
        <w:gridCol w:w="1100"/>
        <w:gridCol w:w="1209"/>
        <w:gridCol w:w="1209"/>
        <w:gridCol w:w="1209"/>
        <w:gridCol w:w="2133"/>
      </w:tblGrid>
      <w:tr w:rsidR="008800B7" w:rsidRPr="00047DD9" w:rsidTr="008800B7">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ind w:firstLine="301"/>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III. Tiesību akta projekta ietekme uz valsts budžetu un pašvaldību budžetiem</w:t>
            </w:r>
          </w:p>
        </w:tc>
      </w:tr>
      <w:tr w:rsidR="008800B7" w:rsidRPr="00047DD9" w:rsidTr="00F105F5">
        <w:trPr>
          <w:tblCellSpacing w:w="15" w:type="dxa"/>
          <w:jc w:val="center"/>
        </w:trPr>
        <w:tc>
          <w:tcPr>
            <w:tcW w:w="1287" w:type="pct"/>
            <w:vMerge w:val="restar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Rādītāji</w:t>
            </w:r>
          </w:p>
        </w:tc>
        <w:tc>
          <w:tcPr>
            <w:tcW w:w="124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2014.gads</w:t>
            </w:r>
          </w:p>
        </w:tc>
        <w:tc>
          <w:tcPr>
            <w:tcW w:w="2408" w:type="pct"/>
            <w:gridSpan w:val="3"/>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Turpmākie trīs gadi (</w:t>
            </w:r>
            <w:r w:rsidRPr="00047DD9">
              <w:rPr>
                <w:rFonts w:ascii="Times New Roman" w:eastAsia="Times New Roman" w:hAnsi="Times New Roman" w:cs="Times New Roman"/>
                <w:i/>
                <w:iCs/>
                <w:sz w:val="28"/>
                <w:szCs w:val="28"/>
                <w:lang w:eastAsia="lv-LV"/>
              </w:rPr>
              <w:t>euro</w:t>
            </w:r>
            <w:r w:rsidRPr="00047DD9">
              <w:rPr>
                <w:rFonts w:ascii="Times New Roman" w:eastAsia="Times New Roman" w:hAnsi="Times New Roman" w:cs="Times New Roman"/>
                <w:sz w:val="28"/>
                <w:szCs w:val="28"/>
                <w:lang w:eastAsia="lv-LV"/>
              </w:rPr>
              <w:t>)</w:t>
            </w:r>
          </w:p>
        </w:tc>
      </w:tr>
      <w:tr w:rsidR="008800B7" w:rsidRPr="00047DD9" w:rsidTr="00F105F5">
        <w:trPr>
          <w:tblCellSpacing w:w="15" w:type="dxa"/>
          <w:jc w:val="center"/>
        </w:trPr>
        <w:tc>
          <w:tcPr>
            <w:tcW w:w="1287" w:type="pct"/>
            <w:vMerge/>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b/>
                <w:bCs/>
                <w:sz w:val="28"/>
                <w:szCs w:val="28"/>
                <w:lang w:eastAsia="lv-LV"/>
              </w:rPr>
            </w:pPr>
          </w:p>
        </w:tc>
        <w:tc>
          <w:tcPr>
            <w:tcW w:w="1241" w:type="pct"/>
            <w:gridSpan w:val="2"/>
            <w:vMerge/>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b/>
                <w:bCs/>
                <w:sz w:val="28"/>
                <w:szCs w:val="28"/>
                <w:lang w:eastAsia="lv-LV"/>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2015</w:t>
            </w: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2016</w:t>
            </w:r>
          </w:p>
        </w:tc>
        <w:tc>
          <w:tcPr>
            <w:tcW w:w="1096"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2017</w:t>
            </w:r>
          </w:p>
        </w:tc>
      </w:tr>
      <w:tr w:rsidR="008800B7" w:rsidRPr="00047DD9" w:rsidTr="00F105F5">
        <w:trPr>
          <w:tblCellSpacing w:w="15" w:type="dxa"/>
          <w:jc w:val="center"/>
        </w:trPr>
        <w:tc>
          <w:tcPr>
            <w:tcW w:w="1287" w:type="pct"/>
            <w:vMerge/>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b/>
                <w:b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saskaņā ar valsts budžetu kārtējam gadam</w:t>
            </w:r>
          </w:p>
        </w:tc>
        <w:tc>
          <w:tcPr>
            <w:tcW w:w="644"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izmaiņas kārtējā gadā, salīdzinot ar valsts </w:t>
            </w:r>
            <w:r w:rsidRPr="00047DD9">
              <w:rPr>
                <w:rFonts w:ascii="Times New Roman" w:eastAsia="Times New Roman" w:hAnsi="Times New Roman" w:cs="Times New Roman"/>
                <w:sz w:val="28"/>
                <w:szCs w:val="28"/>
                <w:lang w:eastAsia="lv-LV"/>
              </w:rPr>
              <w:lastRenderedPageBreak/>
              <w:t>budžetu kārtējam gadam</w:t>
            </w: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izmaiņas, salīdzinot ar kārtējo (2014) gadu</w:t>
            </w: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izmaiņas, salīdzinot ar kārtējo (2014) gadu</w:t>
            </w:r>
          </w:p>
        </w:tc>
        <w:tc>
          <w:tcPr>
            <w:tcW w:w="1096"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izmaiņas, salīdzinot ar kārtējo (2014) gadu</w:t>
            </w:r>
          </w:p>
        </w:tc>
      </w:tr>
      <w:tr w:rsidR="008800B7"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1</w:t>
            </w:r>
          </w:p>
        </w:tc>
        <w:tc>
          <w:tcPr>
            <w:tcW w:w="580"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w:t>
            </w:r>
          </w:p>
        </w:tc>
        <w:tc>
          <w:tcPr>
            <w:tcW w:w="644"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w:t>
            </w: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4</w:t>
            </w:r>
          </w:p>
        </w:tc>
        <w:tc>
          <w:tcPr>
            <w:tcW w:w="639"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5</w:t>
            </w:r>
          </w:p>
        </w:tc>
        <w:tc>
          <w:tcPr>
            <w:tcW w:w="1096" w:type="pc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6</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 Budžeta ieņēmumi:</w:t>
            </w:r>
          </w:p>
        </w:tc>
        <w:tc>
          <w:tcPr>
            <w:tcW w:w="580"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1.1. valsts pamatbudžets, tai skaitā ieņēmumi no maksas pakalpojumiem un citi pašu ieņēmumi</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1.2. valsts speciālais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 Budžeta izdevumi:</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2.1. valsts pamatbudžets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2.2. valsts speciālais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 Finansiālā ietekme:</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3.1. valsts pamatbudžets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3.2. speciālais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vMerge w:val="restar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4. Finanšu līdzekļi papildu izdevumu finansēšanai (kompensējošu </w:t>
            </w:r>
            <w:r w:rsidRPr="00047DD9">
              <w:rPr>
                <w:rFonts w:ascii="Times New Roman" w:eastAsia="Times New Roman" w:hAnsi="Times New Roman" w:cs="Times New Roman"/>
                <w:sz w:val="28"/>
                <w:szCs w:val="28"/>
                <w:lang w:eastAsia="lv-LV"/>
              </w:rPr>
              <w:lastRenderedPageBreak/>
              <w:t>izdevumu samazinājumu norāda ar "+" zīmi)</w:t>
            </w:r>
          </w:p>
        </w:tc>
        <w:tc>
          <w:tcPr>
            <w:tcW w:w="580" w:type="pct"/>
            <w:vMerge w:val="restar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X</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5. Precizēta finansiālā ietekme:</w:t>
            </w:r>
          </w:p>
        </w:tc>
        <w:tc>
          <w:tcPr>
            <w:tcW w:w="580" w:type="pct"/>
            <w:vMerge w:val="restar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360" w:lineRule="auto"/>
              <w:ind w:firstLine="300"/>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X</w:t>
            </w: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5.1. valsts pamatbudžets</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5.2. speciālais budžets</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F105F5"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5.3. pašvaldību budžets</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F105F5" w:rsidRPr="00047DD9" w:rsidRDefault="00F105F5" w:rsidP="00F105F5">
            <w:pPr>
              <w:spacing w:after="0" w:line="240" w:lineRule="auto"/>
              <w:rPr>
                <w:rFonts w:ascii="Times New Roman" w:eastAsia="Times New Roman" w:hAnsi="Times New Roman" w:cs="Times New Roman"/>
                <w:sz w:val="28"/>
                <w:szCs w:val="28"/>
                <w:lang w:eastAsia="lv-LV"/>
              </w:rPr>
            </w:pPr>
          </w:p>
        </w:tc>
        <w:tc>
          <w:tcPr>
            <w:tcW w:w="644"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c>
          <w:tcPr>
            <w:tcW w:w="1096" w:type="pct"/>
            <w:tcBorders>
              <w:top w:val="outset" w:sz="6" w:space="0" w:color="auto"/>
              <w:left w:val="outset" w:sz="6" w:space="0" w:color="auto"/>
              <w:bottom w:val="outset" w:sz="6" w:space="0" w:color="auto"/>
              <w:right w:val="outset" w:sz="6" w:space="0" w:color="auto"/>
            </w:tcBorders>
            <w:hideMark/>
          </w:tcPr>
          <w:p w:rsidR="00F105F5" w:rsidRDefault="00F105F5" w:rsidP="00F105F5">
            <w:pPr>
              <w:spacing w:after="0"/>
              <w:jc w:val="center"/>
            </w:pPr>
            <w:r w:rsidRPr="001C060A">
              <w:rPr>
                <w:rFonts w:ascii="Times New Roman" w:eastAsia="Times New Roman" w:hAnsi="Times New Roman" w:cs="Times New Roman"/>
                <w:sz w:val="28"/>
                <w:szCs w:val="28"/>
                <w:lang w:eastAsia="lv-LV"/>
              </w:rPr>
              <w:t>0</w:t>
            </w:r>
          </w:p>
        </w:tc>
      </w:tr>
      <w:tr w:rsidR="008800B7"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66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w:t>
            </w:r>
          </w:p>
        </w:tc>
      </w:tr>
      <w:tr w:rsidR="008800B7" w:rsidRPr="00047DD9" w:rsidTr="00F105F5">
        <w:trPr>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6.1. detalizēts ieņēmumu aprēķins</w:t>
            </w:r>
          </w:p>
        </w:tc>
        <w:tc>
          <w:tcPr>
            <w:tcW w:w="3664" w:type="pct"/>
            <w:gridSpan w:val="5"/>
            <w:vMerge/>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p>
        </w:tc>
      </w:tr>
      <w:tr w:rsidR="008800B7" w:rsidRPr="00047DD9" w:rsidTr="00F105F5">
        <w:trPr>
          <w:trHeight w:val="99"/>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6.2. detalizēts izdevumu aprēķins</w:t>
            </w:r>
          </w:p>
        </w:tc>
        <w:tc>
          <w:tcPr>
            <w:tcW w:w="3664" w:type="pct"/>
            <w:gridSpan w:val="5"/>
            <w:vMerge/>
            <w:tcBorders>
              <w:top w:val="outset" w:sz="6" w:space="0" w:color="auto"/>
              <w:left w:val="outset" w:sz="6" w:space="0" w:color="auto"/>
              <w:bottom w:val="outset" w:sz="6" w:space="0" w:color="auto"/>
              <w:right w:val="outset" w:sz="6" w:space="0" w:color="auto"/>
            </w:tcBorders>
            <w:vAlign w:val="center"/>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p>
        </w:tc>
      </w:tr>
      <w:tr w:rsidR="008800B7" w:rsidRPr="00047DD9" w:rsidTr="00F105F5">
        <w:trPr>
          <w:trHeight w:val="555"/>
          <w:tblCellSpacing w:w="15" w:type="dxa"/>
          <w:jc w:val="center"/>
        </w:trPr>
        <w:tc>
          <w:tcPr>
            <w:tcW w:w="1287" w:type="pct"/>
            <w:tcBorders>
              <w:top w:val="outset" w:sz="6" w:space="0" w:color="auto"/>
              <w:left w:val="outset" w:sz="6" w:space="0" w:color="auto"/>
              <w:bottom w:val="outset" w:sz="6" w:space="0" w:color="auto"/>
              <w:right w:val="outset" w:sz="6" w:space="0" w:color="auto"/>
            </w:tcBorders>
            <w:hideMark/>
          </w:tcPr>
          <w:p w:rsidR="008800B7" w:rsidRPr="00047DD9" w:rsidRDefault="008800B7" w:rsidP="00F105F5">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7. Cita informācija</w:t>
            </w:r>
          </w:p>
        </w:tc>
        <w:tc>
          <w:tcPr>
            <w:tcW w:w="3664" w:type="pct"/>
            <w:gridSpan w:val="5"/>
            <w:tcBorders>
              <w:top w:val="outset" w:sz="6" w:space="0" w:color="auto"/>
              <w:left w:val="outset" w:sz="6" w:space="0" w:color="auto"/>
              <w:bottom w:val="outset" w:sz="6" w:space="0" w:color="auto"/>
              <w:right w:val="outset" w:sz="6" w:space="0" w:color="auto"/>
            </w:tcBorders>
            <w:hideMark/>
          </w:tcPr>
          <w:p w:rsidR="008800B7" w:rsidRPr="00047DD9" w:rsidRDefault="008800B7" w:rsidP="00F105F5">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Saskaņā ar Ministru kabineta 2014.gada 1.jūlija sēdes protokollēmuma </w:t>
            </w:r>
            <w:r>
              <w:rPr>
                <w:rFonts w:ascii="Times New Roman" w:eastAsia="Times New Roman" w:hAnsi="Times New Roman" w:cs="Times New Roman"/>
                <w:sz w:val="28"/>
                <w:szCs w:val="28"/>
                <w:lang w:eastAsia="lv-LV"/>
              </w:rPr>
              <w:t xml:space="preserve">(prot. </w:t>
            </w:r>
            <w:r w:rsidRPr="00047DD9">
              <w:rPr>
                <w:rFonts w:ascii="Times New Roman" w:eastAsia="Times New Roman" w:hAnsi="Times New Roman" w:cs="Times New Roman"/>
                <w:sz w:val="28"/>
                <w:szCs w:val="28"/>
                <w:lang w:eastAsia="lv-LV"/>
              </w:rPr>
              <w:t xml:space="preserve">Nr.36 </w:t>
            </w:r>
            <w:bookmarkStart w:id="3" w:name="54"/>
            <w:r w:rsidRPr="00047DD9">
              <w:rPr>
                <w:rFonts w:ascii="Times New Roman" w:eastAsia="Times New Roman" w:hAnsi="Times New Roman" w:cs="Times New Roman"/>
                <w:sz w:val="28"/>
                <w:szCs w:val="28"/>
                <w:lang w:eastAsia="lv-LV"/>
              </w:rPr>
              <w:t>54.§</w:t>
            </w:r>
            <w:bookmarkEnd w:id="3"/>
            <w:r>
              <w:rPr>
                <w:rFonts w:ascii="Times New Roman" w:eastAsia="Times New Roman" w:hAnsi="Times New Roman" w:cs="Times New Roman"/>
                <w:sz w:val="28"/>
                <w:szCs w:val="28"/>
                <w:lang w:eastAsia="lv-LV"/>
              </w:rPr>
              <w:t>) „Informatīvais ziņojums „Par Tautas frontes muzeju”</w:t>
            </w:r>
            <w:r w:rsidRPr="00047DD9">
              <w:rPr>
                <w:rFonts w:ascii="Times New Roman" w:eastAsia="Times New Roman" w:hAnsi="Times New Roman" w:cs="Times New Roman"/>
                <w:sz w:val="28"/>
                <w:szCs w:val="28"/>
                <w:lang w:eastAsia="lv-LV"/>
              </w:rPr>
              <w:t xml:space="preserve">” 4.punktu, tiks palielināti Kultūras ministrijas bāzes izdevumi budžeta programmā 21.00.00 "Kultūras mantojums" 2015.gadam par 143 815 </w:t>
            </w:r>
            <w:r w:rsidRPr="00047DD9">
              <w:rPr>
                <w:rFonts w:ascii="Times New Roman" w:eastAsia="Times New Roman" w:hAnsi="Times New Roman" w:cs="Times New Roman"/>
                <w:i/>
                <w:sz w:val="28"/>
                <w:szCs w:val="28"/>
                <w:lang w:eastAsia="lv-LV"/>
              </w:rPr>
              <w:t>euro</w:t>
            </w:r>
            <w:r w:rsidRPr="00047DD9">
              <w:rPr>
                <w:rFonts w:ascii="Times New Roman" w:eastAsia="Times New Roman" w:hAnsi="Times New Roman" w:cs="Times New Roman"/>
                <w:sz w:val="28"/>
                <w:szCs w:val="28"/>
                <w:lang w:eastAsia="lv-LV"/>
              </w:rPr>
              <w:t xml:space="preserve"> un 2016., 2017.gadam par 134 525 </w:t>
            </w:r>
            <w:r w:rsidRPr="00047DD9">
              <w:rPr>
                <w:rFonts w:ascii="Times New Roman" w:eastAsia="Times New Roman" w:hAnsi="Times New Roman" w:cs="Times New Roman"/>
                <w:i/>
                <w:sz w:val="28"/>
                <w:szCs w:val="28"/>
                <w:lang w:eastAsia="lv-LV"/>
              </w:rPr>
              <w:t>euro</w:t>
            </w:r>
            <w:r w:rsidRPr="00047DD9">
              <w:rPr>
                <w:rFonts w:ascii="Times New Roman" w:eastAsia="Times New Roman" w:hAnsi="Times New Roman" w:cs="Times New Roman"/>
                <w:sz w:val="28"/>
                <w:szCs w:val="28"/>
                <w:lang w:eastAsia="lv-LV"/>
              </w:rPr>
              <w:t xml:space="preserve"> katru gadu, lai nodrošinātu Tautas frontes muzeja kā Latvijas Nacionālā vēstures muzeja struktūrvienības darbību.</w:t>
            </w:r>
          </w:p>
        </w:tc>
      </w:tr>
    </w:tbl>
    <w:p w:rsidR="008800B7" w:rsidRDefault="008800B7" w:rsidP="001813AA">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047DD9" w:rsidRPr="00047DD9" w:rsidTr="00047DD9">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7DD9" w:rsidRPr="00047DD9" w:rsidRDefault="00047DD9" w:rsidP="00047DD9">
            <w:pPr>
              <w:spacing w:after="0" w:line="24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IV. Tiesību akta projekta ietekme uz spēkā esošo tiesību normu sistēmu</w:t>
            </w:r>
          </w:p>
        </w:tc>
      </w:tr>
      <w:tr w:rsidR="00047DD9" w:rsidRPr="00047DD9" w:rsidTr="00047DD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Nepieciešamie saistītie tiesību aktu </w:t>
            </w:r>
            <w:r w:rsidRPr="00047DD9">
              <w:rPr>
                <w:rFonts w:ascii="Times New Roman" w:eastAsia="Times New Roman" w:hAnsi="Times New Roman" w:cs="Times New Roman"/>
                <w:sz w:val="28"/>
                <w:szCs w:val="28"/>
                <w:lang w:eastAsia="lv-LV"/>
              </w:rPr>
              <w:lastRenderedPageBreak/>
              <w:t>projekti</w:t>
            </w:r>
          </w:p>
        </w:tc>
        <w:tc>
          <w:tcPr>
            <w:tcW w:w="3257" w:type="pct"/>
            <w:tcBorders>
              <w:top w:val="outset" w:sz="6" w:space="0" w:color="auto"/>
              <w:left w:val="outset" w:sz="6" w:space="0" w:color="auto"/>
              <w:bottom w:val="outset" w:sz="6" w:space="0" w:color="auto"/>
              <w:right w:val="outset" w:sz="6" w:space="0" w:color="auto"/>
            </w:tcBorders>
            <w:hideMark/>
          </w:tcPr>
          <w:p w:rsidR="00047DD9" w:rsidRPr="00047DD9" w:rsidRDefault="008800B7" w:rsidP="008800B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Vienlaikus ar P</w:t>
            </w:r>
            <w:r w:rsidR="00047DD9" w:rsidRPr="00047DD9">
              <w:rPr>
                <w:rFonts w:ascii="Times New Roman" w:eastAsia="Times New Roman" w:hAnsi="Times New Roman" w:cs="Times New Roman"/>
                <w:sz w:val="28"/>
                <w:szCs w:val="28"/>
                <w:lang w:eastAsia="lv-LV"/>
              </w:rPr>
              <w:t xml:space="preserve">rojektu izskatīšanai Ministru kabinetā tiks iesniegts likumprojekts „Par likuma </w:t>
            </w:r>
            <w:r w:rsidR="00047DD9" w:rsidRPr="00047DD9">
              <w:rPr>
                <w:rFonts w:ascii="Times New Roman" w:eastAsia="Times New Roman" w:hAnsi="Times New Roman" w:cs="Times New Roman"/>
                <w:sz w:val="28"/>
                <w:szCs w:val="28"/>
                <w:lang w:eastAsia="lv-LV"/>
              </w:rPr>
              <w:lastRenderedPageBreak/>
              <w:t>„Par nekustamā īpašuma nodošanu Tautas frontes muzeja sabiedriskajai padomei” atzīšanu par spēku zaudējušu” un Ministru kabineta rīkojuma projekts „Par biedrības „Tautas frontes muzeja sabiedriskā padome” nekustamā īpašuma Vecpilsētas ielā 13/15, Rīgā, pārņemšanu valsts īpašumā”</w:t>
            </w:r>
            <w:r>
              <w:rPr>
                <w:rFonts w:ascii="Times New Roman" w:eastAsia="Times New Roman" w:hAnsi="Times New Roman" w:cs="Times New Roman"/>
                <w:sz w:val="28"/>
                <w:szCs w:val="28"/>
                <w:lang w:eastAsia="lv-LV"/>
              </w:rPr>
              <w:t>.</w:t>
            </w:r>
          </w:p>
        </w:tc>
      </w:tr>
      <w:tr w:rsidR="00047DD9" w:rsidRPr="00047DD9" w:rsidTr="00047DD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Kultūras ministrija,</w:t>
            </w:r>
            <w:r>
              <w:rPr>
                <w:rFonts w:ascii="Times New Roman" w:eastAsia="Times New Roman" w:hAnsi="Times New Roman" w:cs="Times New Roman"/>
                <w:sz w:val="28"/>
                <w:szCs w:val="28"/>
                <w:lang w:eastAsia="lv-LV"/>
              </w:rPr>
              <w:t xml:space="preserve"> </w:t>
            </w:r>
            <w:r w:rsidRPr="00047DD9">
              <w:rPr>
                <w:rFonts w:ascii="Times New Roman" w:eastAsia="Times New Roman" w:hAnsi="Times New Roman" w:cs="Times New Roman"/>
                <w:sz w:val="28"/>
                <w:szCs w:val="28"/>
                <w:lang w:eastAsia="lv-LV"/>
              </w:rPr>
              <w:t>Latvijas Nacionālais vēstures muzejs</w:t>
            </w:r>
            <w:r>
              <w:rPr>
                <w:rFonts w:ascii="Times New Roman" w:eastAsia="Times New Roman" w:hAnsi="Times New Roman" w:cs="Times New Roman"/>
                <w:sz w:val="28"/>
                <w:szCs w:val="28"/>
                <w:lang w:eastAsia="lv-LV"/>
              </w:rPr>
              <w:t>.</w:t>
            </w:r>
          </w:p>
        </w:tc>
      </w:tr>
      <w:tr w:rsidR="00047DD9" w:rsidRPr="00047DD9" w:rsidTr="00047DD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Nav</w:t>
            </w:r>
            <w:r w:rsidR="008800B7">
              <w:rPr>
                <w:rFonts w:ascii="Times New Roman" w:eastAsia="Times New Roman" w:hAnsi="Times New Roman" w:cs="Times New Roman"/>
                <w:sz w:val="28"/>
                <w:szCs w:val="28"/>
                <w:lang w:eastAsia="lv-LV"/>
              </w:rPr>
              <w:t>.</w:t>
            </w:r>
          </w:p>
        </w:tc>
      </w:tr>
    </w:tbl>
    <w:p w:rsidR="00047DD9" w:rsidRDefault="00047DD9" w:rsidP="001813AA">
      <w:pPr>
        <w:spacing w:after="0" w:line="240" w:lineRule="auto"/>
        <w:ind w:firstLine="300"/>
        <w:jc w:val="center"/>
        <w:rPr>
          <w:rFonts w:ascii="Times New Roman" w:eastAsia="Times New Roman" w:hAnsi="Times New Roman" w:cs="Times New Roman"/>
          <w:b/>
          <w:bCs/>
          <w:sz w:val="28"/>
          <w:szCs w:val="28"/>
          <w:lang w:eastAsia="lv-LV"/>
        </w:rPr>
      </w:pPr>
    </w:p>
    <w:p w:rsidR="008800B7" w:rsidRPr="00047DD9" w:rsidRDefault="008800B7" w:rsidP="008800B7">
      <w:pPr>
        <w:tabs>
          <w:tab w:val="left" w:pos="6521"/>
        </w:tabs>
        <w:spacing w:after="0" w:line="240" w:lineRule="auto"/>
        <w:rPr>
          <w:rFonts w:ascii="Times New Roman" w:hAnsi="Times New Roman" w:cs="Times New Roman"/>
          <w:sz w:val="28"/>
          <w:szCs w:val="28"/>
        </w:rPr>
      </w:pPr>
      <w:r w:rsidRPr="00047DD9">
        <w:rPr>
          <w:rFonts w:ascii="Times New Roman" w:hAnsi="Times New Roman" w:cs="Times New Roman"/>
          <w:i/>
          <w:sz w:val="28"/>
          <w:szCs w:val="28"/>
        </w:rPr>
        <w:t xml:space="preserve">Anotācijas </w:t>
      </w:r>
      <w:r>
        <w:rPr>
          <w:rFonts w:ascii="Times New Roman" w:hAnsi="Times New Roman" w:cs="Times New Roman"/>
          <w:i/>
          <w:sz w:val="28"/>
          <w:szCs w:val="28"/>
        </w:rPr>
        <w:t>V</w:t>
      </w:r>
      <w:r w:rsidRPr="00047DD9">
        <w:rPr>
          <w:rFonts w:ascii="Times New Roman" w:hAnsi="Times New Roman" w:cs="Times New Roman"/>
          <w:i/>
          <w:sz w:val="28"/>
          <w:szCs w:val="28"/>
        </w:rPr>
        <w:t xml:space="preserve"> sadaļa – projekts šo jomu neskar.</w:t>
      </w:r>
    </w:p>
    <w:p w:rsidR="008800B7" w:rsidRDefault="008800B7" w:rsidP="001813AA">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2"/>
        <w:gridCol w:w="3654"/>
        <w:gridCol w:w="5085"/>
      </w:tblGrid>
      <w:tr w:rsidR="00047DD9" w:rsidRPr="00047DD9" w:rsidTr="008800B7">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center"/>
              <w:rPr>
                <w:rFonts w:ascii="Times New Roman" w:eastAsia="Times New Roman" w:hAnsi="Times New Roman" w:cs="Times New Roman"/>
                <w:sz w:val="28"/>
                <w:szCs w:val="28"/>
                <w:lang w:eastAsia="lv-LV"/>
              </w:rPr>
            </w:pPr>
            <w:r w:rsidRPr="00047DD9">
              <w:rPr>
                <w:rFonts w:ascii="Times New Roman" w:hAnsi="Times New Roman" w:cs="Times New Roman"/>
                <w:b/>
                <w:bCs/>
                <w:sz w:val="28"/>
                <w:szCs w:val="28"/>
              </w:rPr>
              <w:t>VI. Sabiedrības līdzdalība un komunikācijas aktivitātes</w:t>
            </w:r>
          </w:p>
        </w:tc>
      </w:tr>
      <w:tr w:rsidR="00047DD9" w:rsidRPr="00047DD9" w:rsidTr="008800B7">
        <w:trPr>
          <w:trHeight w:val="908"/>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jc w:val="center"/>
              <w:rPr>
                <w:rFonts w:ascii="Times New Roman" w:hAnsi="Times New Roman" w:cs="Times New Roman"/>
                <w:sz w:val="28"/>
                <w:szCs w:val="28"/>
              </w:rPr>
            </w:pPr>
            <w:r w:rsidRPr="00047DD9">
              <w:rPr>
                <w:rFonts w:ascii="Times New Roman" w:hAnsi="Times New Roman" w:cs="Times New Roman"/>
                <w:sz w:val="28"/>
                <w:szCs w:val="28"/>
              </w:rPr>
              <w:t>1.</w:t>
            </w:r>
          </w:p>
        </w:tc>
        <w:tc>
          <w:tcPr>
            <w:tcW w:w="197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line="240" w:lineRule="auto"/>
              <w:rPr>
                <w:rFonts w:ascii="Times New Roman" w:hAnsi="Times New Roman" w:cs="Times New Roman"/>
                <w:sz w:val="28"/>
                <w:szCs w:val="28"/>
              </w:rPr>
            </w:pPr>
            <w:r w:rsidRPr="00047DD9">
              <w:rPr>
                <w:rFonts w:ascii="Times New Roman" w:hAnsi="Times New Roman" w:cs="Times New Roman"/>
                <w:sz w:val="28"/>
                <w:szCs w:val="28"/>
              </w:rPr>
              <w:t>Plānotās sabiedrības līdzdalības un komunikācijas aktivitātes saistībā ar projektu</w:t>
            </w:r>
          </w:p>
        </w:tc>
        <w:tc>
          <w:tcPr>
            <w:tcW w:w="271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rPr>
                <w:rFonts w:ascii="Times New Roman" w:hAnsi="Times New Roman" w:cs="Times New Roman"/>
                <w:sz w:val="28"/>
                <w:szCs w:val="28"/>
              </w:rPr>
            </w:pPr>
            <w:r w:rsidRPr="00047DD9">
              <w:rPr>
                <w:rFonts w:ascii="Times New Roman" w:hAnsi="Times New Roman" w:cs="Times New Roman"/>
                <w:sz w:val="28"/>
                <w:szCs w:val="28"/>
              </w:rPr>
              <w:t>Projekts šo jomu neskar .</w:t>
            </w:r>
          </w:p>
        </w:tc>
      </w:tr>
      <w:tr w:rsidR="00047DD9" w:rsidRPr="00047DD9" w:rsidTr="008800B7">
        <w:trPr>
          <w:trHeight w:val="1352"/>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jc w:val="center"/>
              <w:rPr>
                <w:rFonts w:ascii="Times New Roman" w:hAnsi="Times New Roman" w:cs="Times New Roman"/>
                <w:sz w:val="28"/>
                <w:szCs w:val="28"/>
              </w:rPr>
            </w:pPr>
            <w:r w:rsidRPr="00047DD9">
              <w:rPr>
                <w:rFonts w:ascii="Times New Roman" w:hAnsi="Times New Roman" w:cs="Times New Roman"/>
                <w:sz w:val="28"/>
                <w:szCs w:val="28"/>
              </w:rPr>
              <w:t>2.</w:t>
            </w:r>
          </w:p>
        </w:tc>
        <w:tc>
          <w:tcPr>
            <w:tcW w:w="197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line="240" w:lineRule="auto"/>
              <w:rPr>
                <w:rFonts w:ascii="Times New Roman" w:hAnsi="Times New Roman" w:cs="Times New Roman"/>
                <w:sz w:val="28"/>
                <w:szCs w:val="28"/>
              </w:rPr>
            </w:pPr>
            <w:r w:rsidRPr="00047DD9">
              <w:rPr>
                <w:rFonts w:ascii="Times New Roman" w:hAnsi="Times New Roman" w:cs="Times New Roman"/>
                <w:sz w:val="28"/>
                <w:szCs w:val="28"/>
              </w:rPr>
              <w:t>Sabiedrības līdzdalība projekta izstrādē</w:t>
            </w:r>
          </w:p>
        </w:tc>
        <w:tc>
          <w:tcPr>
            <w:tcW w:w="271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line="240" w:lineRule="auto"/>
              <w:jc w:val="both"/>
              <w:rPr>
                <w:rFonts w:ascii="Times New Roman" w:hAnsi="Times New Roman" w:cs="Times New Roman"/>
                <w:sz w:val="28"/>
                <w:szCs w:val="28"/>
              </w:rPr>
            </w:pPr>
            <w:r w:rsidRPr="00047DD9">
              <w:rPr>
                <w:rFonts w:ascii="Times New Roman" w:hAnsi="Times New Roman" w:cs="Times New Roman"/>
                <w:sz w:val="28"/>
                <w:szCs w:val="28"/>
              </w:rPr>
              <w:t>Jautājums par Tautas frontes muzeja iekļaušanu Latvijas Nacionālajā vēstures muzejā 2014.gada 13.janvārī izskatīts Latvijas Muzeju padomes sēdē.</w:t>
            </w:r>
          </w:p>
        </w:tc>
      </w:tr>
      <w:tr w:rsidR="00047DD9" w:rsidRPr="00047DD9" w:rsidTr="008800B7">
        <w:trPr>
          <w:trHeight w:val="864"/>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jc w:val="center"/>
              <w:rPr>
                <w:rFonts w:ascii="Times New Roman" w:hAnsi="Times New Roman" w:cs="Times New Roman"/>
                <w:sz w:val="28"/>
                <w:szCs w:val="28"/>
              </w:rPr>
            </w:pPr>
            <w:r w:rsidRPr="00047DD9">
              <w:rPr>
                <w:rFonts w:ascii="Times New Roman" w:hAnsi="Times New Roman" w:cs="Times New Roman"/>
                <w:sz w:val="28"/>
                <w:szCs w:val="28"/>
              </w:rPr>
              <w:t>3.</w:t>
            </w:r>
          </w:p>
        </w:tc>
        <w:tc>
          <w:tcPr>
            <w:tcW w:w="197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line="240" w:lineRule="auto"/>
              <w:rPr>
                <w:rFonts w:ascii="Times New Roman" w:hAnsi="Times New Roman" w:cs="Times New Roman"/>
                <w:sz w:val="28"/>
                <w:szCs w:val="28"/>
              </w:rPr>
            </w:pPr>
            <w:r w:rsidRPr="00047DD9">
              <w:rPr>
                <w:rFonts w:ascii="Times New Roman" w:hAnsi="Times New Roman" w:cs="Times New Roman"/>
                <w:sz w:val="28"/>
                <w:szCs w:val="28"/>
              </w:rPr>
              <w:t>Sabiedrības līdzdalības rezultāti</w:t>
            </w:r>
          </w:p>
        </w:tc>
        <w:tc>
          <w:tcPr>
            <w:tcW w:w="271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spacing w:line="240" w:lineRule="auto"/>
              <w:jc w:val="both"/>
              <w:rPr>
                <w:rFonts w:ascii="Times New Roman" w:hAnsi="Times New Roman" w:cs="Times New Roman"/>
                <w:sz w:val="28"/>
                <w:szCs w:val="28"/>
              </w:rPr>
            </w:pPr>
            <w:r w:rsidRPr="00047DD9">
              <w:rPr>
                <w:rFonts w:ascii="Times New Roman" w:hAnsi="Times New Roman" w:cs="Times New Roman"/>
                <w:sz w:val="28"/>
                <w:szCs w:val="28"/>
              </w:rPr>
              <w:t>Latvijas Muzeju padome atbalsta Tautas frontes muzeja iekļaušanu Latvijas Nacionālajā vēstures muzejā</w:t>
            </w:r>
            <w:r w:rsidR="008800B7">
              <w:rPr>
                <w:rFonts w:ascii="Times New Roman" w:hAnsi="Times New Roman" w:cs="Times New Roman"/>
                <w:sz w:val="28"/>
                <w:szCs w:val="28"/>
              </w:rPr>
              <w:t>.</w:t>
            </w:r>
          </w:p>
        </w:tc>
      </w:tr>
      <w:tr w:rsidR="00047DD9" w:rsidRPr="00047DD9" w:rsidTr="008800B7">
        <w:trPr>
          <w:trHeight w:val="301"/>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8800B7">
            <w:pPr>
              <w:jc w:val="center"/>
              <w:rPr>
                <w:rFonts w:ascii="Times New Roman" w:hAnsi="Times New Roman" w:cs="Times New Roman"/>
                <w:sz w:val="28"/>
                <w:szCs w:val="28"/>
              </w:rPr>
            </w:pPr>
            <w:r w:rsidRPr="00047DD9">
              <w:rPr>
                <w:rFonts w:ascii="Times New Roman" w:hAnsi="Times New Roman" w:cs="Times New Roman"/>
                <w:sz w:val="28"/>
                <w:szCs w:val="28"/>
              </w:rPr>
              <w:t>4.</w:t>
            </w:r>
          </w:p>
        </w:tc>
        <w:tc>
          <w:tcPr>
            <w:tcW w:w="197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line="240" w:lineRule="auto"/>
              <w:rPr>
                <w:rFonts w:ascii="Times New Roman" w:hAnsi="Times New Roman" w:cs="Times New Roman"/>
                <w:sz w:val="28"/>
                <w:szCs w:val="28"/>
              </w:rPr>
            </w:pPr>
            <w:r w:rsidRPr="00047DD9">
              <w:rPr>
                <w:rFonts w:ascii="Times New Roman" w:hAnsi="Times New Roman" w:cs="Times New Roman"/>
                <w:sz w:val="28"/>
                <w:szCs w:val="28"/>
              </w:rPr>
              <w:t>Cita informācija</w:t>
            </w:r>
          </w:p>
        </w:tc>
        <w:tc>
          <w:tcPr>
            <w:tcW w:w="2719"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before="100" w:beforeAutospacing="1" w:after="100" w:afterAutospacing="1" w:line="360" w:lineRule="auto"/>
              <w:rPr>
                <w:rFonts w:ascii="Times New Roman" w:hAnsi="Times New Roman" w:cs="Times New Roman"/>
                <w:sz w:val="28"/>
                <w:szCs w:val="28"/>
              </w:rPr>
            </w:pPr>
            <w:r w:rsidRPr="00047DD9">
              <w:rPr>
                <w:rFonts w:ascii="Times New Roman" w:hAnsi="Times New Roman" w:cs="Times New Roman"/>
                <w:sz w:val="28"/>
                <w:szCs w:val="28"/>
              </w:rPr>
              <w:t>Nav</w:t>
            </w:r>
            <w:r w:rsidR="008800B7">
              <w:rPr>
                <w:rFonts w:ascii="Times New Roman" w:hAnsi="Times New Roman" w:cs="Times New Roman"/>
                <w:sz w:val="28"/>
                <w:szCs w:val="28"/>
              </w:rPr>
              <w:t>.</w:t>
            </w:r>
          </w:p>
        </w:tc>
      </w:tr>
    </w:tbl>
    <w:p w:rsidR="00047DD9" w:rsidRPr="008800B7" w:rsidRDefault="00047DD9" w:rsidP="001813AA">
      <w:pPr>
        <w:spacing w:after="0" w:line="240" w:lineRule="auto"/>
        <w:ind w:firstLine="300"/>
        <w:jc w:val="center"/>
        <w:rPr>
          <w:rFonts w:ascii="Times New Roman" w:eastAsia="Times New Roman" w:hAnsi="Times New Roman" w:cs="Times New Roman"/>
          <w:b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4"/>
        <w:gridCol w:w="3705"/>
        <w:gridCol w:w="5032"/>
      </w:tblGrid>
      <w:tr w:rsidR="00047DD9" w:rsidRPr="00047DD9" w:rsidTr="00047D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7DD9" w:rsidRPr="00047DD9" w:rsidRDefault="00047DD9" w:rsidP="00047DD9">
            <w:pPr>
              <w:spacing w:after="0" w:line="240" w:lineRule="auto"/>
              <w:ind w:firstLine="300"/>
              <w:jc w:val="center"/>
              <w:rPr>
                <w:rFonts w:ascii="Times New Roman" w:eastAsia="Times New Roman" w:hAnsi="Times New Roman" w:cs="Times New Roman"/>
                <w:b/>
                <w:bCs/>
                <w:sz w:val="28"/>
                <w:szCs w:val="28"/>
                <w:lang w:eastAsia="lv-LV"/>
              </w:rPr>
            </w:pPr>
            <w:r w:rsidRPr="00047DD9">
              <w:rPr>
                <w:rFonts w:ascii="Times New Roman" w:eastAsia="Times New Roman" w:hAnsi="Times New Roman" w:cs="Times New Roman"/>
                <w:b/>
                <w:bCs/>
                <w:sz w:val="28"/>
                <w:szCs w:val="28"/>
                <w:lang w:eastAsia="lv-LV"/>
              </w:rPr>
              <w:t>VII. Tiesību akta projekta izpildes nodrošināšana un tās ietekme uz institūcijām</w:t>
            </w:r>
          </w:p>
        </w:tc>
      </w:tr>
      <w:tr w:rsidR="00047DD9" w:rsidRPr="00047DD9" w:rsidTr="00047DD9">
        <w:trPr>
          <w:trHeight w:val="420"/>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1.</w:t>
            </w:r>
          </w:p>
        </w:tc>
        <w:tc>
          <w:tcPr>
            <w:tcW w:w="199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Projekta izpildē iesaistītās institūcijas</w:t>
            </w:r>
          </w:p>
        </w:tc>
        <w:tc>
          <w:tcPr>
            <w:tcW w:w="2704"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Kultūras ministrija, Latvijas Nacionālais vēstures muzejs</w:t>
            </w:r>
            <w:r>
              <w:rPr>
                <w:rFonts w:ascii="Times New Roman" w:eastAsia="Times New Roman" w:hAnsi="Times New Roman" w:cs="Times New Roman"/>
                <w:sz w:val="28"/>
                <w:szCs w:val="28"/>
                <w:lang w:eastAsia="lv-LV"/>
              </w:rPr>
              <w:t>.</w:t>
            </w:r>
            <w:r w:rsidRPr="00047DD9">
              <w:rPr>
                <w:rFonts w:ascii="Times New Roman" w:eastAsia="Times New Roman" w:hAnsi="Times New Roman" w:cs="Times New Roman"/>
                <w:sz w:val="28"/>
                <w:szCs w:val="28"/>
                <w:lang w:eastAsia="lv-LV"/>
              </w:rPr>
              <w:t xml:space="preserve"> </w:t>
            </w:r>
          </w:p>
        </w:tc>
      </w:tr>
      <w:tr w:rsidR="00047DD9" w:rsidRPr="00047DD9" w:rsidTr="00047DD9">
        <w:trPr>
          <w:trHeight w:val="450"/>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2.</w:t>
            </w:r>
          </w:p>
        </w:tc>
        <w:tc>
          <w:tcPr>
            <w:tcW w:w="199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Projekta izpildes ietekme uz pārvaldes funkcijām un institucionālo struktūru.</w:t>
            </w:r>
          </w:p>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 xml:space="preserve">Jaunu institūciju izveide, esošu institūciju likvidācija vai reorganizācija, to ietekme uz </w:t>
            </w:r>
            <w:r w:rsidRPr="00047DD9">
              <w:rPr>
                <w:rFonts w:ascii="Times New Roman" w:eastAsia="Times New Roman" w:hAnsi="Times New Roman" w:cs="Times New Roman"/>
                <w:sz w:val="28"/>
                <w:szCs w:val="28"/>
                <w:lang w:eastAsia="lv-LV"/>
              </w:rPr>
              <w:lastRenderedPageBreak/>
              <w:t>institūcijas cilvēkresursiem</w:t>
            </w:r>
          </w:p>
        </w:tc>
        <w:tc>
          <w:tcPr>
            <w:tcW w:w="2704"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both"/>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 xml:space="preserve">Projektā tiek paredzēta jaunas struktūrvienības – Tautas frontes muzejs </w:t>
            </w:r>
            <w:r w:rsidR="008800B7" w:rsidRPr="00047DD9">
              <w:rPr>
                <w:rFonts w:ascii="Times New Roman" w:eastAsia="Times New Roman" w:hAnsi="Times New Roman" w:cs="Times New Roman"/>
                <w:sz w:val="28"/>
                <w:szCs w:val="28"/>
                <w:lang w:eastAsia="lv-LV"/>
              </w:rPr>
              <w:t>–</w:t>
            </w:r>
            <w:proofErr w:type="gramStart"/>
            <w:r w:rsidR="008800B7" w:rsidRPr="00047DD9">
              <w:rPr>
                <w:rFonts w:ascii="Times New Roman" w:eastAsia="Times New Roman" w:hAnsi="Times New Roman" w:cs="Times New Roman"/>
                <w:sz w:val="28"/>
                <w:szCs w:val="28"/>
                <w:lang w:eastAsia="lv-LV"/>
              </w:rPr>
              <w:t xml:space="preserve"> </w:t>
            </w:r>
            <w:r w:rsidRPr="00047DD9">
              <w:rPr>
                <w:rFonts w:ascii="Times New Roman" w:eastAsia="Times New Roman" w:hAnsi="Times New Roman" w:cs="Times New Roman"/>
                <w:sz w:val="28"/>
                <w:szCs w:val="28"/>
                <w:lang w:eastAsia="lv-LV"/>
              </w:rPr>
              <w:t xml:space="preserve"> </w:t>
            </w:r>
            <w:proofErr w:type="gramEnd"/>
            <w:r w:rsidRPr="00047DD9">
              <w:rPr>
                <w:rFonts w:ascii="Times New Roman" w:eastAsia="Times New Roman" w:hAnsi="Times New Roman" w:cs="Times New Roman"/>
                <w:sz w:val="28"/>
                <w:szCs w:val="28"/>
                <w:lang w:eastAsia="lv-LV"/>
              </w:rPr>
              <w:t>izveide Latvijas Nacionāl</w:t>
            </w:r>
            <w:r w:rsidR="008800B7">
              <w:rPr>
                <w:rFonts w:ascii="Times New Roman" w:eastAsia="Times New Roman" w:hAnsi="Times New Roman" w:cs="Times New Roman"/>
                <w:sz w:val="28"/>
                <w:szCs w:val="28"/>
                <w:lang w:eastAsia="lv-LV"/>
              </w:rPr>
              <w:t>aj</w:t>
            </w:r>
            <w:r w:rsidRPr="00047DD9">
              <w:rPr>
                <w:rFonts w:ascii="Times New Roman" w:eastAsia="Times New Roman" w:hAnsi="Times New Roman" w:cs="Times New Roman"/>
                <w:sz w:val="28"/>
                <w:szCs w:val="28"/>
                <w:lang w:eastAsia="lv-LV"/>
              </w:rPr>
              <w:t xml:space="preserve">ā vēstures muzejā. Līdzšinējās Latvijas Nacionālā vēstures muzeja funkcijas tiek papildinātas ar jaunām funkcijām: 1) saglabāt Latvijas </w:t>
            </w:r>
            <w:r w:rsidRPr="00047DD9">
              <w:rPr>
                <w:rFonts w:ascii="Times New Roman" w:eastAsia="Times New Roman" w:hAnsi="Times New Roman" w:cs="Times New Roman"/>
                <w:sz w:val="28"/>
                <w:szCs w:val="28"/>
                <w:lang w:eastAsia="lv-LV"/>
              </w:rPr>
              <w:lastRenderedPageBreak/>
              <w:t xml:space="preserve">Tautas frontes kolekciju zinātnisko un vēsturisko veselumu un 2) nodrošināt muzeja krājuma pieejamību sabiedrībai, tai skaitā muzeja ekspozīcijā Latvijas Tautas frontes vēsturiskajā ēkā Rīgā, Vecpilsētas ielā 13/15. Jauno funkciju īstenošanai tiek paredzēti atbilstoši cilvēkresursi, to atalgojumam paredzot bāzes izdevumu palielināšanu Kultūras ministrijas budžetā. </w:t>
            </w:r>
          </w:p>
        </w:tc>
      </w:tr>
      <w:tr w:rsidR="00047DD9" w:rsidRPr="00047DD9" w:rsidTr="00047DD9">
        <w:trPr>
          <w:trHeight w:val="390"/>
          <w:tblCellSpacing w:w="15" w:type="dxa"/>
          <w:jc w:val="center"/>
        </w:trPr>
        <w:tc>
          <w:tcPr>
            <w:tcW w:w="238"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jc w:val="center"/>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lastRenderedPageBreak/>
              <w:t>3.</w:t>
            </w:r>
          </w:p>
        </w:tc>
        <w:tc>
          <w:tcPr>
            <w:tcW w:w="1993"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Cita informācija</w:t>
            </w:r>
          </w:p>
        </w:tc>
        <w:tc>
          <w:tcPr>
            <w:tcW w:w="2704" w:type="pct"/>
            <w:tcBorders>
              <w:top w:val="outset" w:sz="6" w:space="0" w:color="auto"/>
              <w:left w:val="outset" w:sz="6" w:space="0" w:color="auto"/>
              <w:bottom w:val="outset" w:sz="6" w:space="0" w:color="auto"/>
              <w:right w:val="outset" w:sz="6" w:space="0" w:color="auto"/>
            </w:tcBorders>
            <w:hideMark/>
          </w:tcPr>
          <w:p w:rsidR="00047DD9" w:rsidRPr="00047DD9" w:rsidRDefault="00047DD9" w:rsidP="00047DD9">
            <w:pPr>
              <w:spacing w:after="0" w:line="240" w:lineRule="auto"/>
              <w:rPr>
                <w:rFonts w:ascii="Times New Roman" w:eastAsia="Times New Roman" w:hAnsi="Times New Roman" w:cs="Times New Roman"/>
                <w:sz w:val="28"/>
                <w:szCs w:val="28"/>
                <w:lang w:eastAsia="lv-LV"/>
              </w:rPr>
            </w:pPr>
            <w:r w:rsidRPr="00047DD9">
              <w:rPr>
                <w:rFonts w:ascii="Times New Roman" w:eastAsia="Times New Roman" w:hAnsi="Times New Roman" w:cs="Times New Roman"/>
                <w:sz w:val="28"/>
                <w:szCs w:val="28"/>
                <w:lang w:eastAsia="lv-LV"/>
              </w:rPr>
              <w:t>Nav</w:t>
            </w:r>
            <w:r w:rsidR="008800B7">
              <w:rPr>
                <w:rFonts w:ascii="Times New Roman" w:eastAsia="Times New Roman" w:hAnsi="Times New Roman" w:cs="Times New Roman"/>
                <w:sz w:val="28"/>
                <w:szCs w:val="28"/>
                <w:lang w:eastAsia="lv-LV"/>
              </w:rPr>
              <w:t>.</w:t>
            </w:r>
          </w:p>
        </w:tc>
      </w:tr>
    </w:tbl>
    <w:p w:rsidR="00A77AA6" w:rsidRDefault="00A77AA6" w:rsidP="001813AA">
      <w:pPr>
        <w:tabs>
          <w:tab w:val="left" w:pos="6521"/>
        </w:tabs>
        <w:spacing w:after="0" w:line="240" w:lineRule="auto"/>
        <w:rPr>
          <w:rFonts w:ascii="Times New Roman" w:hAnsi="Times New Roman" w:cs="Times New Roman"/>
          <w:sz w:val="28"/>
          <w:szCs w:val="28"/>
        </w:rPr>
      </w:pPr>
    </w:p>
    <w:p w:rsidR="00F105F5" w:rsidRDefault="00F105F5" w:rsidP="008800B7">
      <w:pPr>
        <w:tabs>
          <w:tab w:val="left" w:pos="6521"/>
        </w:tabs>
        <w:spacing w:after="0" w:line="240" w:lineRule="auto"/>
        <w:ind w:left="284"/>
        <w:rPr>
          <w:rFonts w:ascii="Times New Roman" w:hAnsi="Times New Roman" w:cs="Times New Roman"/>
          <w:sz w:val="28"/>
          <w:szCs w:val="28"/>
        </w:rPr>
      </w:pPr>
    </w:p>
    <w:p w:rsidR="001813AA" w:rsidRPr="00047DD9" w:rsidRDefault="00664305" w:rsidP="008800B7">
      <w:pPr>
        <w:tabs>
          <w:tab w:val="left" w:pos="6521"/>
        </w:tabs>
        <w:spacing w:after="0" w:line="240" w:lineRule="auto"/>
        <w:ind w:left="284"/>
        <w:rPr>
          <w:rFonts w:ascii="Times New Roman" w:hAnsi="Times New Roman" w:cs="Times New Roman"/>
          <w:sz w:val="28"/>
          <w:szCs w:val="28"/>
        </w:rPr>
      </w:pPr>
      <w:r w:rsidRPr="00047DD9">
        <w:rPr>
          <w:rFonts w:ascii="Times New Roman" w:hAnsi="Times New Roman" w:cs="Times New Roman"/>
          <w:sz w:val="28"/>
          <w:szCs w:val="28"/>
        </w:rPr>
        <w:t>Kultūras</w:t>
      </w:r>
      <w:r w:rsidR="00CA2A44" w:rsidRPr="00047DD9">
        <w:rPr>
          <w:rFonts w:ascii="Times New Roman" w:hAnsi="Times New Roman" w:cs="Times New Roman"/>
          <w:sz w:val="28"/>
          <w:szCs w:val="28"/>
        </w:rPr>
        <w:t xml:space="preserve"> ministre</w:t>
      </w:r>
      <w:r w:rsidR="001813AA" w:rsidRPr="00047DD9">
        <w:rPr>
          <w:rFonts w:ascii="Times New Roman" w:hAnsi="Times New Roman" w:cs="Times New Roman"/>
          <w:sz w:val="28"/>
          <w:szCs w:val="28"/>
        </w:rPr>
        <w:t xml:space="preserve"> </w:t>
      </w:r>
      <w:r w:rsidR="001813AA" w:rsidRPr="00047DD9">
        <w:rPr>
          <w:rFonts w:ascii="Times New Roman" w:hAnsi="Times New Roman" w:cs="Times New Roman"/>
          <w:sz w:val="28"/>
          <w:szCs w:val="28"/>
        </w:rPr>
        <w:tab/>
      </w:r>
      <w:r w:rsidR="00047DD9">
        <w:rPr>
          <w:rFonts w:ascii="Times New Roman" w:hAnsi="Times New Roman" w:cs="Times New Roman"/>
          <w:sz w:val="28"/>
          <w:szCs w:val="28"/>
        </w:rPr>
        <w:tab/>
        <w:t>D.</w:t>
      </w:r>
      <w:r w:rsidRPr="00047DD9">
        <w:rPr>
          <w:rFonts w:ascii="Times New Roman" w:hAnsi="Times New Roman" w:cs="Times New Roman"/>
          <w:sz w:val="28"/>
          <w:szCs w:val="28"/>
        </w:rPr>
        <w:t>Melbārde</w:t>
      </w:r>
      <w:r w:rsidR="001813AA" w:rsidRPr="00047DD9">
        <w:rPr>
          <w:rFonts w:ascii="Times New Roman" w:hAnsi="Times New Roman" w:cs="Times New Roman"/>
          <w:sz w:val="28"/>
          <w:szCs w:val="28"/>
        </w:rPr>
        <w:t xml:space="preserve"> </w:t>
      </w:r>
    </w:p>
    <w:p w:rsidR="001813AA" w:rsidRPr="00047DD9" w:rsidRDefault="001813AA" w:rsidP="008800B7">
      <w:pPr>
        <w:tabs>
          <w:tab w:val="left" w:pos="6521"/>
        </w:tabs>
        <w:spacing w:after="0" w:line="240" w:lineRule="auto"/>
        <w:ind w:left="284"/>
        <w:rPr>
          <w:rFonts w:ascii="Times New Roman" w:hAnsi="Times New Roman" w:cs="Times New Roman"/>
          <w:sz w:val="28"/>
          <w:szCs w:val="28"/>
        </w:rPr>
      </w:pPr>
    </w:p>
    <w:p w:rsidR="001813AA" w:rsidRPr="00047DD9" w:rsidRDefault="00047DD9" w:rsidP="008800B7">
      <w:pPr>
        <w:tabs>
          <w:tab w:val="left" w:pos="6521"/>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Vīza: V</w:t>
      </w:r>
      <w:r w:rsidR="00000B06">
        <w:rPr>
          <w:rFonts w:ascii="Times New Roman" w:hAnsi="Times New Roman" w:cs="Times New Roman"/>
          <w:sz w:val="28"/>
          <w:szCs w:val="28"/>
        </w:rPr>
        <w:t>alsts sekretārs</w:t>
      </w:r>
      <w:r w:rsidR="001813AA" w:rsidRPr="00047DD9">
        <w:rPr>
          <w:rFonts w:ascii="Times New Roman" w:hAnsi="Times New Roman" w:cs="Times New Roman"/>
          <w:sz w:val="28"/>
          <w:szCs w:val="28"/>
        </w:rPr>
        <w:tab/>
      </w:r>
      <w:r>
        <w:rPr>
          <w:rFonts w:ascii="Times New Roman" w:hAnsi="Times New Roman" w:cs="Times New Roman"/>
          <w:sz w:val="28"/>
          <w:szCs w:val="28"/>
        </w:rPr>
        <w:tab/>
        <w:t>S.</w:t>
      </w:r>
      <w:r w:rsidR="00664305" w:rsidRPr="00047DD9">
        <w:rPr>
          <w:rFonts w:ascii="Times New Roman" w:hAnsi="Times New Roman" w:cs="Times New Roman"/>
          <w:sz w:val="28"/>
          <w:szCs w:val="28"/>
        </w:rPr>
        <w:t>Voldiņš</w:t>
      </w:r>
    </w:p>
    <w:p w:rsidR="008800B7" w:rsidRDefault="008800B7">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F105F5" w:rsidRDefault="00F105F5">
      <w:pPr>
        <w:tabs>
          <w:tab w:val="left" w:pos="6521"/>
        </w:tabs>
        <w:spacing w:after="0" w:line="240" w:lineRule="auto"/>
        <w:rPr>
          <w:rFonts w:ascii="Times New Roman" w:hAnsi="Times New Roman" w:cs="Times New Roman"/>
          <w:sz w:val="28"/>
          <w:szCs w:val="28"/>
        </w:rPr>
      </w:pPr>
    </w:p>
    <w:p w:rsidR="00047DD9" w:rsidRPr="00047DD9" w:rsidRDefault="00607E8B" w:rsidP="00047DD9">
      <w:pPr>
        <w:tabs>
          <w:tab w:val="left" w:pos="6521"/>
        </w:tabs>
        <w:spacing w:after="0" w:line="240" w:lineRule="auto"/>
        <w:rPr>
          <w:rFonts w:ascii="Times New Roman" w:hAnsi="Times New Roman" w:cs="Times New Roman"/>
        </w:rPr>
      </w:pPr>
      <w:r>
        <w:rPr>
          <w:rFonts w:ascii="Times New Roman" w:hAnsi="Times New Roman" w:cs="Times New Roman"/>
        </w:rPr>
        <w:t>2</w:t>
      </w:r>
      <w:r w:rsidR="00047DD9" w:rsidRPr="00047DD9">
        <w:rPr>
          <w:rFonts w:ascii="Times New Roman" w:hAnsi="Times New Roman" w:cs="Times New Roman"/>
        </w:rPr>
        <w:t>1.</w:t>
      </w:r>
      <w:r>
        <w:rPr>
          <w:rFonts w:ascii="Times New Roman" w:hAnsi="Times New Roman" w:cs="Times New Roman"/>
        </w:rPr>
        <w:t>1</w:t>
      </w:r>
      <w:r w:rsidR="00047DD9" w:rsidRPr="00047DD9">
        <w:rPr>
          <w:rFonts w:ascii="Times New Roman" w:hAnsi="Times New Roman" w:cs="Times New Roman"/>
        </w:rPr>
        <w:t>0.2014. 09:46</w:t>
      </w:r>
    </w:p>
    <w:p w:rsidR="00047DD9" w:rsidRPr="00047DD9" w:rsidRDefault="00047DD9" w:rsidP="00047DD9">
      <w:pPr>
        <w:tabs>
          <w:tab w:val="left" w:pos="6521"/>
        </w:tabs>
        <w:spacing w:after="0" w:line="240" w:lineRule="auto"/>
        <w:rPr>
          <w:rFonts w:ascii="Times New Roman" w:hAnsi="Times New Roman" w:cs="Times New Roman"/>
        </w:rPr>
      </w:pPr>
      <w:r w:rsidRPr="00047DD9">
        <w:rPr>
          <w:rFonts w:ascii="Times New Roman" w:hAnsi="Times New Roman" w:cs="Times New Roman"/>
        </w:rPr>
        <w:t>1</w:t>
      </w:r>
      <w:r w:rsidR="000C5E2F">
        <w:rPr>
          <w:rFonts w:ascii="Times New Roman" w:hAnsi="Times New Roman" w:cs="Times New Roman"/>
        </w:rPr>
        <w:t>341</w:t>
      </w:r>
    </w:p>
    <w:p w:rsidR="00047DD9" w:rsidRPr="00047DD9" w:rsidRDefault="00047DD9" w:rsidP="00047DD9">
      <w:pPr>
        <w:tabs>
          <w:tab w:val="left" w:pos="6521"/>
        </w:tabs>
        <w:spacing w:after="0" w:line="240" w:lineRule="auto"/>
        <w:rPr>
          <w:rFonts w:ascii="Times New Roman" w:hAnsi="Times New Roman" w:cs="Times New Roman"/>
        </w:rPr>
      </w:pPr>
      <w:bookmarkStart w:id="4" w:name="OLE_LINK3"/>
      <w:bookmarkStart w:id="5" w:name="OLE_LINK4"/>
      <w:r w:rsidRPr="00047DD9">
        <w:rPr>
          <w:rFonts w:ascii="Times New Roman" w:hAnsi="Times New Roman" w:cs="Times New Roman"/>
        </w:rPr>
        <w:t>J.Garjāns</w:t>
      </w:r>
      <w:bookmarkEnd w:id="4"/>
      <w:bookmarkEnd w:id="5"/>
      <w:r w:rsidRPr="00047DD9">
        <w:rPr>
          <w:rFonts w:ascii="Times New Roman" w:hAnsi="Times New Roman" w:cs="Times New Roman"/>
        </w:rPr>
        <w:t xml:space="preserve">, </w:t>
      </w:r>
      <w:bookmarkStart w:id="6" w:name="OLE_LINK5"/>
      <w:bookmarkStart w:id="7" w:name="OLE_LINK6"/>
      <w:r w:rsidRPr="00047DD9">
        <w:rPr>
          <w:rFonts w:ascii="Times New Roman" w:hAnsi="Times New Roman" w:cs="Times New Roman"/>
        </w:rPr>
        <w:t xml:space="preserve">67330301 </w:t>
      </w:r>
    </w:p>
    <w:p w:rsidR="00607E8B" w:rsidRDefault="004B31A1">
      <w:pPr>
        <w:tabs>
          <w:tab w:val="left" w:pos="6521"/>
        </w:tabs>
        <w:spacing w:after="0" w:line="240" w:lineRule="auto"/>
        <w:rPr>
          <w:rFonts w:ascii="Times New Roman" w:hAnsi="Times New Roman" w:cs="Times New Roman"/>
        </w:rPr>
      </w:pPr>
      <w:hyperlink r:id="rId8" w:history="1">
        <w:r w:rsidR="00047DD9" w:rsidRPr="00047DD9">
          <w:rPr>
            <w:rStyle w:val="Hipersaite"/>
            <w:rFonts w:ascii="Times New Roman" w:hAnsi="Times New Roman" w:cs="Times New Roman"/>
          </w:rPr>
          <w:t>Janis.Garjans@km.gov.lv</w:t>
        </w:r>
      </w:hyperlink>
      <w:r w:rsidR="00047DD9" w:rsidRPr="00047DD9">
        <w:rPr>
          <w:rFonts w:ascii="Times New Roman" w:hAnsi="Times New Roman" w:cs="Times New Roman"/>
        </w:rPr>
        <w:t xml:space="preserve"> </w:t>
      </w:r>
    </w:p>
    <w:bookmarkEnd w:id="6"/>
    <w:bookmarkEnd w:id="7"/>
    <w:p w:rsidR="00607E8B" w:rsidRPr="00607E8B" w:rsidRDefault="00607E8B" w:rsidP="00607E8B">
      <w:pPr>
        <w:rPr>
          <w:rFonts w:ascii="Times New Roman" w:hAnsi="Times New Roman" w:cs="Times New Roman"/>
        </w:rPr>
      </w:pPr>
    </w:p>
    <w:p w:rsidR="00607E8B" w:rsidRDefault="00607E8B" w:rsidP="00607E8B">
      <w:pPr>
        <w:rPr>
          <w:rFonts w:ascii="Times New Roman" w:hAnsi="Times New Roman" w:cs="Times New Roman"/>
        </w:rPr>
      </w:pPr>
    </w:p>
    <w:p w:rsidR="00A77AA6" w:rsidRPr="00607E8B" w:rsidRDefault="00607E8B" w:rsidP="00607E8B">
      <w:pPr>
        <w:tabs>
          <w:tab w:val="left" w:pos="6315"/>
        </w:tabs>
        <w:rPr>
          <w:rFonts w:ascii="Times New Roman" w:hAnsi="Times New Roman" w:cs="Times New Roman"/>
        </w:rPr>
      </w:pPr>
      <w:r>
        <w:rPr>
          <w:rFonts w:ascii="Times New Roman" w:hAnsi="Times New Roman" w:cs="Times New Roman"/>
        </w:rPr>
        <w:tab/>
      </w:r>
    </w:p>
    <w:sectPr w:rsidR="00A77AA6" w:rsidRPr="00607E8B" w:rsidSect="00047DD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4F" w:rsidRDefault="0010684F" w:rsidP="00A77AA6">
      <w:pPr>
        <w:spacing w:after="0" w:line="240" w:lineRule="auto"/>
      </w:pPr>
      <w:r>
        <w:separator/>
      </w:r>
    </w:p>
  </w:endnote>
  <w:endnote w:type="continuationSeparator" w:id="0">
    <w:p w:rsidR="0010684F" w:rsidRDefault="0010684F" w:rsidP="00A7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B" w:rsidRPr="00047DD9" w:rsidRDefault="00607E8B" w:rsidP="00607E8B">
    <w:pPr>
      <w:pStyle w:val="Virsraksts3"/>
      <w:spacing w:before="0" w:beforeAutospacing="0" w:after="0" w:afterAutospacing="0"/>
      <w:jc w:val="both"/>
      <w:rPr>
        <w:b w:val="0"/>
        <w:bCs w:val="0"/>
        <w:sz w:val="22"/>
        <w:szCs w:val="22"/>
      </w:rPr>
    </w:pPr>
    <w:r w:rsidRPr="00047DD9">
      <w:rPr>
        <w:b w:val="0"/>
        <w:sz w:val="22"/>
        <w:szCs w:val="22"/>
      </w:rPr>
      <w:t>KMAnot_</w:t>
    </w:r>
    <w:r>
      <w:rPr>
        <w:b w:val="0"/>
        <w:sz w:val="22"/>
        <w:szCs w:val="22"/>
      </w:rPr>
      <w:t>2</w:t>
    </w:r>
    <w:r w:rsidRPr="00047DD9">
      <w:rPr>
        <w:b w:val="0"/>
        <w:sz w:val="22"/>
        <w:szCs w:val="22"/>
      </w:rPr>
      <w:t>1</w:t>
    </w:r>
    <w:r>
      <w:rPr>
        <w:b w:val="0"/>
        <w:sz w:val="22"/>
        <w:szCs w:val="22"/>
      </w:rPr>
      <w:t>1</w:t>
    </w:r>
    <w:r w:rsidRPr="00047DD9">
      <w:rPr>
        <w:b w:val="0"/>
        <w:sz w:val="22"/>
        <w:szCs w:val="22"/>
      </w:rPr>
      <w:t xml:space="preserve">014_LNVM_nolikums; </w:t>
    </w:r>
    <w:r w:rsidRPr="00047DD9">
      <w:rPr>
        <w:b w:val="0"/>
        <w:bCs w:val="0"/>
        <w:sz w:val="22"/>
        <w:szCs w:val="22"/>
      </w:rPr>
      <w:t>Ministru kabineta noteikumu projekta „</w:t>
    </w:r>
    <w:r w:rsidRPr="00047DD9">
      <w:rPr>
        <w:b w:val="0"/>
        <w:color w:val="000000"/>
        <w:sz w:val="22"/>
        <w:szCs w:val="22"/>
      </w:rPr>
      <w:t xml:space="preserve">Grozījumi Ministru kabineta 2012.gada 18.decembra noteikumos Nr.924 „Latvijas Nacionālā vēstures muzeja nolikums”” </w:t>
    </w:r>
    <w:r w:rsidRPr="00047DD9">
      <w:rPr>
        <w:b w:val="0"/>
        <w:sz w:val="22"/>
        <w:szCs w:val="22"/>
      </w:rPr>
      <w:t>sākotnējās ietekmes novērtējuma ziņojums (anotācija)</w:t>
    </w:r>
  </w:p>
  <w:p w:rsidR="0010684F" w:rsidRPr="00607E8B" w:rsidRDefault="0010684F" w:rsidP="00607E8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4F" w:rsidRPr="00047DD9" w:rsidRDefault="0010684F" w:rsidP="00047DD9">
    <w:pPr>
      <w:pStyle w:val="Virsraksts3"/>
      <w:spacing w:before="0" w:beforeAutospacing="0" w:after="0" w:afterAutospacing="0"/>
      <w:jc w:val="both"/>
      <w:rPr>
        <w:b w:val="0"/>
        <w:bCs w:val="0"/>
        <w:sz w:val="22"/>
        <w:szCs w:val="22"/>
      </w:rPr>
    </w:pPr>
    <w:r w:rsidRPr="00047DD9">
      <w:rPr>
        <w:b w:val="0"/>
        <w:sz w:val="22"/>
        <w:szCs w:val="22"/>
      </w:rPr>
      <w:t>KMAnot_</w:t>
    </w:r>
    <w:r w:rsidR="00607E8B">
      <w:rPr>
        <w:b w:val="0"/>
        <w:sz w:val="22"/>
        <w:szCs w:val="22"/>
      </w:rPr>
      <w:t>2</w:t>
    </w:r>
    <w:r w:rsidRPr="00047DD9">
      <w:rPr>
        <w:b w:val="0"/>
        <w:sz w:val="22"/>
        <w:szCs w:val="22"/>
      </w:rPr>
      <w:t>1</w:t>
    </w:r>
    <w:r w:rsidR="00607E8B">
      <w:rPr>
        <w:b w:val="0"/>
        <w:sz w:val="22"/>
        <w:szCs w:val="22"/>
      </w:rPr>
      <w:t>1</w:t>
    </w:r>
    <w:r w:rsidRPr="00047DD9">
      <w:rPr>
        <w:b w:val="0"/>
        <w:sz w:val="22"/>
        <w:szCs w:val="22"/>
      </w:rPr>
      <w:t xml:space="preserve">014_LNVM_nolikums; </w:t>
    </w:r>
    <w:r w:rsidRPr="00047DD9">
      <w:rPr>
        <w:b w:val="0"/>
        <w:bCs w:val="0"/>
        <w:sz w:val="22"/>
        <w:szCs w:val="22"/>
      </w:rPr>
      <w:t>Ministru kabineta noteikumu projekta „</w:t>
    </w:r>
    <w:r w:rsidRPr="00047DD9">
      <w:rPr>
        <w:b w:val="0"/>
        <w:color w:val="000000"/>
        <w:sz w:val="22"/>
        <w:szCs w:val="22"/>
      </w:rPr>
      <w:t xml:space="preserve">Grozījumi Ministru kabineta 2012.gada 18.decembra noteikumos Nr.924 „Latvijas Nacionālā vēstures muzeja nolikums”” </w:t>
    </w:r>
    <w:r w:rsidRPr="00047DD9">
      <w:rPr>
        <w:b w:val="0"/>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4F" w:rsidRDefault="0010684F" w:rsidP="00A77AA6">
      <w:pPr>
        <w:spacing w:after="0" w:line="240" w:lineRule="auto"/>
      </w:pPr>
      <w:r>
        <w:separator/>
      </w:r>
    </w:p>
  </w:footnote>
  <w:footnote w:type="continuationSeparator" w:id="0">
    <w:p w:rsidR="0010684F" w:rsidRDefault="0010684F" w:rsidP="00A77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53123"/>
      <w:docPartObj>
        <w:docPartGallery w:val="Page Numbers (Top of Page)"/>
        <w:docPartUnique/>
      </w:docPartObj>
    </w:sdtPr>
    <w:sdtEndPr>
      <w:rPr>
        <w:rFonts w:ascii="Times New Roman" w:hAnsi="Times New Roman" w:cs="Times New Roman"/>
      </w:rPr>
    </w:sdtEndPr>
    <w:sdtContent>
      <w:p w:rsidR="0010684F" w:rsidRPr="00047DD9" w:rsidRDefault="004B31A1">
        <w:pPr>
          <w:pStyle w:val="Galvene"/>
          <w:jc w:val="center"/>
          <w:rPr>
            <w:rFonts w:ascii="Times New Roman" w:hAnsi="Times New Roman" w:cs="Times New Roman"/>
          </w:rPr>
        </w:pPr>
        <w:r w:rsidRPr="00047DD9">
          <w:rPr>
            <w:rFonts w:ascii="Times New Roman" w:hAnsi="Times New Roman" w:cs="Times New Roman"/>
          </w:rPr>
          <w:fldChar w:fldCharType="begin"/>
        </w:r>
        <w:r w:rsidR="0010684F" w:rsidRPr="00047DD9">
          <w:rPr>
            <w:rFonts w:ascii="Times New Roman" w:hAnsi="Times New Roman" w:cs="Times New Roman"/>
          </w:rPr>
          <w:instrText xml:space="preserve"> PAGE   \* MERGEFORMAT </w:instrText>
        </w:r>
        <w:r w:rsidRPr="00047DD9">
          <w:rPr>
            <w:rFonts w:ascii="Times New Roman" w:hAnsi="Times New Roman" w:cs="Times New Roman"/>
          </w:rPr>
          <w:fldChar w:fldCharType="separate"/>
        </w:r>
        <w:r w:rsidR="009F163C">
          <w:rPr>
            <w:rFonts w:ascii="Times New Roman" w:hAnsi="Times New Roman" w:cs="Times New Roman"/>
            <w:noProof/>
          </w:rPr>
          <w:t>2</w:t>
        </w:r>
        <w:r w:rsidRPr="00047DD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9EE"/>
    <w:multiLevelType w:val="hybridMultilevel"/>
    <w:tmpl w:val="C97AE6DE"/>
    <w:lvl w:ilvl="0" w:tplc="7834FF4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66F6C2F"/>
    <w:multiLevelType w:val="hybridMultilevel"/>
    <w:tmpl w:val="BFEC4006"/>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813AA"/>
    <w:rsid w:val="00000B06"/>
    <w:rsid w:val="0004458A"/>
    <w:rsid w:val="00047DD9"/>
    <w:rsid w:val="000703EA"/>
    <w:rsid w:val="00072F9B"/>
    <w:rsid w:val="000A121C"/>
    <w:rsid w:val="000A5A05"/>
    <w:rsid w:val="000C5E2F"/>
    <w:rsid w:val="000F43D7"/>
    <w:rsid w:val="0010684F"/>
    <w:rsid w:val="001407D3"/>
    <w:rsid w:val="00147798"/>
    <w:rsid w:val="001548D0"/>
    <w:rsid w:val="001813AA"/>
    <w:rsid w:val="001B2A19"/>
    <w:rsid w:val="001F6196"/>
    <w:rsid w:val="0021033A"/>
    <w:rsid w:val="00262A15"/>
    <w:rsid w:val="002A1737"/>
    <w:rsid w:val="00304388"/>
    <w:rsid w:val="00320471"/>
    <w:rsid w:val="00326957"/>
    <w:rsid w:val="003B5DD6"/>
    <w:rsid w:val="003D083D"/>
    <w:rsid w:val="004304F7"/>
    <w:rsid w:val="00452439"/>
    <w:rsid w:val="004529BA"/>
    <w:rsid w:val="00457961"/>
    <w:rsid w:val="004B31A1"/>
    <w:rsid w:val="00510030"/>
    <w:rsid w:val="0051396E"/>
    <w:rsid w:val="0051571A"/>
    <w:rsid w:val="00520980"/>
    <w:rsid w:val="00557237"/>
    <w:rsid w:val="005B47A3"/>
    <w:rsid w:val="005B6106"/>
    <w:rsid w:val="005E3EA0"/>
    <w:rsid w:val="005E72EF"/>
    <w:rsid w:val="005F16AC"/>
    <w:rsid w:val="005F595F"/>
    <w:rsid w:val="006002EC"/>
    <w:rsid w:val="00607E8B"/>
    <w:rsid w:val="0062040C"/>
    <w:rsid w:val="00664305"/>
    <w:rsid w:val="00666911"/>
    <w:rsid w:val="00671413"/>
    <w:rsid w:val="00683EE0"/>
    <w:rsid w:val="006B58F1"/>
    <w:rsid w:val="006C2E08"/>
    <w:rsid w:val="006D7E72"/>
    <w:rsid w:val="00711A3B"/>
    <w:rsid w:val="007151A9"/>
    <w:rsid w:val="00727B34"/>
    <w:rsid w:val="00784F06"/>
    <w:rsid w:val="007B712D"/>
    <w:rsid w:val="008135F5"/>
    <w:rsid w:val="008800B7"/>
    <w:rsid w:val="008815A6"/>
    <w:rsid w:val="009500BD"/>
    <w:rsid w:val="00970B46"/>
    <w:rsid w:val="009753A2"/>
    <w:rsid w:val="009A24F9"/>
    <w:rsid w:val="009D7C71"/>
    <w:rsid w:val="009F163C"/>
    <w:rsid w:val="00A1529A"/>
    <w:rsid w:val="00A34C32"/>
    <w:rsid w:val="00A37591"/>
    <w:rsid w:val="00A43A85"/>
    <w:rsid w:val="00A47168"/>
    <w:rsid w:val="00A57539"/>
    <w:rsid w:val="00A63A0A"/>
    <w:rsid w:val="00A64709"/>
    <w:rsid w:val="00A77AA6"/>
    <w:rsid w:val="00AB25BA"/>
    <w:rsid w:val="00AC5DFC"/>
    <w:rsid w:val="00B04CB9"/>
    <w:rsid w:val="00B11047"/>
    <w:rsid w:val="00B2000B"/>
    <w:rsid w:val="00B324E4"/>
    <w:rsid w:val="00B40ACD"/>
    <w:rsid w:val="00B6301D"/>
    <w:rsid w:val="00BF5412"/>
    <w:rsid w:val="00C14857"/>
    <w:rsid w:val="00C34CC0"/>
    <w:rsid w:val="00C5797F"/>
    <w:rsid w:val="00C653FB"/>
    <w:rsid w:val="00CA2A44"/>
    <w:rsid w:val="00CB17CF"/>
    <w:rsid w:val="00CB5108"/>
    <w:rsid w:val="00CC1465"/>
    <w:rsid w:val="00CD4FBD"/>
    <w:rsid w:val="00CF0D14"/>
    <w:rsid w:val="00D11A62"/>
    <w:rsid w:val="00D36DF7"/>
    <w:rsid w:val="00D431CE"/>
    <w:rsid w:val="00D47C17"/>
    <w:rsid w:val="00D62257"/>
    <w:rsid w:val="00DA72EA"/>
    <w:rsid w:val="00DD3BC3"/>
    <w:rsid w:val="00E2149D"/>
    <w:rsid w:val="00E335AD"/>
    <w:rsid w:val="00E41406"/>
    <w:rsid w:val="00E41D6B"/>
    <w:rsid w:val="00E7781E"/>
    <w:rsid w:val="00EC2472"/>
    <w:rsid w:val="00ED2EEC"/>
    <w:rsid w:val="00EE17A9"/>
    <w:rsid w:val="00F03E07"/>
    <w:rsid w:val="00F105F5"/>
    <w:rsid w:val="00F33C44"/>
    <w:rsid w:val="00F7777F"/>
    <w:rsid w:val="00F83A8A"/>
    <w:rsid w:val="00FA5BE9"/>
    <w:rsid w:val="00FC499A"/>
    <w:rsid w:val="00FD7666"/>
    <w:rsid w:val="00FE281C"/>
    <w:rsid w:val="00FF0E3C"/>
    <w:rsid w:val="00FF63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03EA"/>
  </w:style>
  <w:style w:type="paragraph" w:styleId="Virsraksts3">
    <w:name w:val="heading 3"/>
    <w:basedOn w:val="Parastais"/>
    <w:link w:val="Virsraksts3Rakstz"/>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Virsraksts3Rakstz">
    <w:name w:val="Virsraksts 3 Rakstz."/>
    <w:basedOn w:val="Noklusjumarindkopasfonts"/>
    <w:link w:val="Virsraksts3"/>
    <w:uiPriority w:val="9"/>
    <w:rsid w:val="005F595F"/>
    <w:rPr>
      <w:rFonts w:ascii="Times New Roman" w:eastAsia="Times New Roman" w:hAnsi="Times New Roman" w:cs="Times New Roman"/>
      <w:b/>
      <w:bCs/>
      <w:sz w:val="27"/>
      <w:szCs w:val="27"/>
      <w:lang w:eastAsia="lv-LV"/>
    </w:rPr>
  </w:style>
  <w:style w:type="paragraph" w:styleId="Sarakstarindkopa">
    <w:name w:val="List Paragraph"/>
    <w:basedOn w:val="Parastais"/>
    <w:uiPriority w:val="34"/>
    <w:qFormat/>
    <w:rsid w:val="00EE17A9"/>
    <w:pPr>
      <w:ind w:left="720"/>
      <w:contextualSpacing/>
    </w:pPr>
  </w:style>
  <w:style w:type="paragraph" w:customStyle="1" w:styleId="naisf">
    <w:name w:val="naisf"/>
    <w:basedOn w:val="Parastais"/>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uiPriority w:val="99"/>
    <w:rsid w:val="00072F9B"/>
    <w:rPr>
      <w:color w:val="0000FF"/>
      <w:u w:val="single"/>
    </w:rPr>
  </w:style>
  <w:style w:type="paragraph" w:styleId="Galvene">
    <w:name w:val="header"/>
    <w:basedOn w:val="Parastais"/>
    <w:link w:val="GalveneRakstz"/>
    <w:uiPriority w:val="99"/>
    <w:unhideWhenUsed/>
    <w:rsid w:val="00A77A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7AA6"/>
  </w:style>
  <w:style w:type="paragraph" w:styleId="Kjene">
    <w:name w:val="footer"/>
    <w:basedOn w:val="Parastais"/>
    <w:link w:val="KjeneRakstz"/>
    <w:uiPriority w:val="99"/>
    <w:unhideWhenUsed/>
    <w:rsid w:val="00A77A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7AA6"/>
  </w:style>
  <w:style w:type="paragraph" w:styleId="Balonteksts">
    <w:name w:val="Balloon Text"/>
    <w:basedOn w:val="Parastais"/>
    <w:link w:val="BalontekstsRakstz"/>
    <w:uiPriority w:val="99"/>
    <w:semiHidden/>
    <w:unhideWhenUsed/>
    <w:rsid w:val="0030438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BalloonText">
    <w:name w:val="Balloon Text"/>
    <w:basedOn w:val="Normal"/>
    <w:link w:val="BalloonTextChar"/>
    <w:uiPriority w:val="99"/>
    <w:semiHidden/>
    <w:unhideWhenUsed/>
    <w:rsid w:val="0030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9285">
      <w:bodyDiv w:val="1"/>
      <w:marLeft w:val="0"/>
      <w:marRight w:val="0"/>
      <w:marTop w:val="0"/>
      <w:marBottom w:val="0"/>
      <w:divBdr>
        <w:top w:val="none" w:sz="0" w:space="0" w:color="auto"/>
        <w:left w:val="none" w:sz="0" w:space="0" w:color="auto"/>
        <w:bottom w:val="none" w:sz="0" w:space="0" w:color="auto"/>
        <w:right w:val="none" w:sz="0" w:space="0" w:color="auto"/>
      </w:divBdr>
      <w:divsChild>
        <w:div w:id="1697582288">
          <w:marLeft w:val="0"/>
          <w:marRight w:val="0"/>
          <w:marTop w:val="0"/>
          <w:marBottom w:val="0"/>
          <w:divBdr>
            <w:top w:val="none" w:sz="0" w:space="0" w:color="auto"/>
            <w:left w:val="none" w:sz="0" w:space="0" w:color="auto"/>
            <w:bottom w:val="none" w:sz="0" w:space="0" w:color="auto"/>
            <w:right w:val="none" w:sz="0" w:space="0" w:color="auto"/>
          </w:divBdr>
          <w:divsChild>
            <w:div w:id="1046874779">
              <w:marLeft w:val="0"/>
              <w:marRight w:val="0"/>
              <w:marTop w:val="0"/>
              <w:marBottom w:val="0"/>
              <w:divBdr>
                <w:top w:val="none" w:sz="0" w:space="0" w:color="auto"/>
                <w:left w:val="none" w:sz="0" w:space="0" w:color="auto"/>
                <w:bottom w:val="none" w:sz="0" w:space="0" w:color="auto"/>
                <w:right w:val="none" w:sz="0" w:space="0" w:color="auto"/>
              </w:divBdr>
              <w:divsChild>
                <w:div w:id="2081320379">
                  <w:marLeft w:val="0"/>
                  <w:marRight w:val="0"/>
                  <w:marTop w:val="0"/>
                  <w:marBottom w:val="0"/>
                  <w:divBdr>
                    <w:top w:val="none" w:sz="0" w:space="0" w:color="auto"/>
                    <w:left w:val="none" w:sz="0" w:space="0" w:color="auto"/>
                    <w:bottom w:val="none" w:sz="0" w:space="0" w:color="auto"/>
                    <w:right w:val="none" w:sz="0" w:space="0" w:color="auto"/>
                  </w:divBdr>
                  <w:divsChild>
                    <w:div w:id="1707608071">
                      <w:marLeft w:val="0"/>
                      <w:marRight w:val="0"/>
                      <w:marTop w:val="0"/>
                      <w:marBottom w:val="0"/>
                      <w:divBdr>
                        <w:top w:val="none" w:sz="0" w:space="0" w:color="auto"/>
                        <w:left w:val="none" w:sz="0" w:space="0" w:color="auto"/>
                        <w:bottom w:val="none" w:sz="0" w:space="0" w:color="auto"/>
                        <w:right w:val="none" w:sz="0" w:space="0" w:color="auto"/>
                      </w:divBdr>
                      <w:divsChild>
                        <w:div w:id="1732121090">
                          <w:marLeft w:val="0"/>
                          <w:marRight w:val="0"/>
                          <w:marTop w:val="0"/>
                          <w:marBottom w:val="0"/>
                          <w:divBdr>
                            <w:top w:val="none" w:sz="0" w:space="0" w:color="auto"/>
                            <w:left w:val="none" w:sz="0" w:space="0" w:color="auto"/>
                            <w:bottom w:val="none" w:sz="0" w:space="0" w:color="auto"/>
                            <w:right w:val="none" w:sz="0" w:space="0" w:color="auto"/>
                          </w:divBdr>
                          <w:divsChild>
                            <w:div w:id="822890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5202">
      <w:bodyDiv w:val="1"/>
      <w:marLeft w:val="0"/>
      <w:marRight w:val="0"/>
      <w:marTop w:val="0"/>
      <w:marBottom w:val="0"/>
      <w:divBdr>
        <w:top w:val="none" w:sz="0" w:space="0" w:color="auto"/>
        <w:left w:val="none" w:sz="0" w:space="0" w:color="auto"/>
        <w:bottom w:val="none" w:sz="0" w:space="0" w:color="auto"/>
        <w:right w:val="none" w:sz="0" w:space="0" w:color="auto"/>
      </w:divBdr>
      <w:divsChild>
        <w:div w:id="487281587">
          <w:marLeft w:val="0"/>
          <w:marRight w:val="0"/>
          <w:marTop w:val="0"/>
          <w:marBottom w:val="0"/>
          <w:divBdr>
            <w:top w:val="none" w:sz="0" w:space="0" w:color="auto"/>
            <w:left w:val="none" w:sz="0" w:space="0" w:color="auto"/>
            <w:bottom w:val="none" w:sz="0" w:space="0" w:color="auto"/>
            <w:right w:val="none" w:sz="0" w:space="0" w:color="auto"/>
          </w:divBdr>
          <w:divsChild>
            <w:div w:id="1719666329">
              <w:marLeft w:val="0"/>
              <w:marRight w:val="0"/>
              <w:marTop w:val="0"/>
              <w:marBottom w:val="0"/>
              <w:divBdr>
                <w:top w:val="none" w:sz="0" w:space="0" w:color="auto"/>
                <w:left w:val="none" w:sz="0" w:space="0" w:color="auto"/>
                <w:bottom w:val="none" w:sz="0" w:space="0" w:color="auto"/>
                <w:right w:val="none" w:sz="0" w:space="0" w:color="auto"/>
              </w:divBdr>
              <w:divsChild>
                <w:div w:id="1407536002">
                  <w:marLeft w:val="0"/>
                  <w:marRight w:val="0"/>
                  <w:marTop w:val="0"/>
                  <w:marBottom w:val="0"/>
                  <w:divBdr>
                    <w:top w:val="none" w:sz="0" w:space="0" w:color="auto"/>
                    <w:left w:val="none" w:sz="0" w:space="0" w:color="auto"/>
                    <w:bottom w:val="none" w:sz="0" w:space="0" w:color="auto"/>
                    <w:right w:val="none" w:sz="0" w:space="0" w:color="auto"/>
                  </w:divBdr>
                  <w:divsChild>
                    <w:div w:id="567417893">
                      <w:marLeft w:val="0"/>
                      <w:marRight w:val="0"/>
                      <w:marTop w:val="0"/>
                      <w:marBottom w:val="0"/>
                      <w:divBdr>
                        <w:top w:val="none" w:sz="0" w:space="0" w:color="auto"/>
                        <w:left w:val="none" w:sz="0" w:space="0" w:color="auto"/>
                        <w:bottom w:val="none" w:sz="0" w:space="0" w:color="auto"/>
                        <w:right w:val="none" w:sz="0" w:space="0" w:color="auto"/>
                      </w:divBdr>
                      <w:divsChild>
                        <w:div w:id="2063291292">
                          <w:marLeft w:val="0"/>
                          <w:marRight w:val="0"/>
                          <w:marTop w:val="0"/>
                          <w:marBottom w:val="0"/>
                          <w:divBdr>
                            <w:top w:val="none" w:sz="0" w:space="0" w:color="auto"/>
                            <w:left w:val="none" w:sz="0" w:space="0" w:color="auto"/>
                            <w:bottom w:val="none" w:sz="0" w:space="0" w:color="auto"/>
                            <w:right w:val="none" w:sz="0" w:space="0" w:color="auto"/>
                          </w:divBdr>
                          <w:divsChild>
                            <w:div w:id="714962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770666">
      <w:bodyDiv w:val="1"/>
      <w:marLeft w:val="0"/>
      <w:marRight w:val="0"/>
      <w:marTop w:val="0"/>
      <w:marBottom w:val="0"/>
      <w:divBdr>
        <w:top w:val="none" w:sz="0" w:space="0" w:color="auto"/>
        <w:left w:val="none" w:sz="0" w:space="0" w:color="auto"/>
        <w:bottom w:val="none" w:sz="0" w:space="0" w:color="auto"/>
        <w:right w:val="none" w:sz="0" w:space="0" w:color="auto"/>
      </w:divBdr>
      <w:divsChild>
        <w:div w:id="1535383437">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0"/>
              <w:divBdr>
                <w:top w:val="none" w:sz="0" w:space="0" w:color="auto"/>
                <w:left w:val="none" w:sz="0" w:space="0" w:color="auto"/>
                <w:bottom w:val="none" w:sz="0" w:space="0" w:color="auto"/>
                <w:right w:val="none" w:sz="0" w:space="0" w:color="auto"/>
              </w:divBdr>
              <w:divsChild>
                <w:div w:id="1867521242">
                  <w:marLeft w:val="0"/>
                  <w:marRight w:val="0"/>
                  <w:marTop w:val="0"/>
                  <w:marBottom w:val="0"/>
                  <w:divBdr>
                    <w:top w:val="none" w:sz="0" w:space="0" w:color="auto"/>
                    <w:left w:val="none" w:sz="0" w:space="0" w:color="auto"/>
                    <w:bottom w:val="none" w:sz="0" w:space="0" w:color="auto"/>
                    <w:right w:val="none" w:sz="0" w:space="0" w:color="auto"/>
                  </w:divBdr>
                  <w:divsChild>
                    <w:div w:id="1957564376">
                      <w:marLeft w:val="0"/>
                      <w:marRight w:val="0"/>
                      <w:marTop w:val="0"/>
                      <w:marBottom w:val="0"/>
                      <w:divBdr>
                        <w:top w:val="none" w:sz="0" w:space="0" w:color="auto"/>
                        <w:left w:val="none" w:sz="0" w:space="0" w:color="auto"/>
                        <w:bottom w:val="none" w:sz="0" w:space="0" w:color="auto"/>
                        <w:right w:val="none" w:sz="0" w:space="0" w:color="auto"/>
                      </w:divBdr>
                      <w:divsChild>
                        <w:div w:id="1841698674">
                          <w:marLeft w:val="0"/>
                          <w:marRight w:val="0"/>
                          <w:marTop w:val="0"/>
                          <w:marBottom w:val="0"/>
                          <w:divBdr>
                            <w:top w:val="none" w:sz="0" w:space="0" w:color="auto"/>
                            <w:left w:val="none" w:sz="0" w:space="0" w:color="auto"/>
                            <w:bottom w:val="none" w:sz="0" w:space="0" w:color="auto"/>
                            <w:right w:val="none" w:sz="0" w:space="0" w:color="auto"/>
                          </w:divBdr>
                          <w:divsChild>
                            <w:div w:id="4828198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4723">
      <w:bodyDiv w:val="1"/>
      <w:marLeft w:val="0"/>
      <w:marRight w:val="0"/>
      <w:marTop w:val="0"/>
      <w:marBottom w:val="0"/>
      <w:divBdr>
        <w:top w:val="none" w:sz="0" w:space="0" w:color="auto"/>
        <w:left w:val="none" w:sz="0" w:space="0" w:color="auto"/>
        <w:bottom w:val="none" w:sz="0" w:space="0" w:color="auto"/>
        <w:right w:val="none" w:sz="0" w:space="0" w:color="auto"/>
      </w:divBdr>
      <w:divsChild>
        <w:div w:id="1936161839">
          <w:marLeft w:val="0"/>
          <w:marRight w:val="0"/>
          <w:marTop w:val="0"/>
          <w:marBottom w:val="0"/>
          <w:divBdr>
            <w:top w:val="none" w:sz="0" w:space="0" w:color="auto"/>
            <w:left w:val="none" w:sz="0" w:space="0" w:color="auto"/>
            <w:bottom w:val="none" w:sz="0" w:space="0" w:color="auto"/>
            <w:right w:val="none" w:sz="0" w:space="0" w:color="auto"/>
          </w:divBdr>
          <w:divsChild>
            <w:div w:id="3820986">
              <w:marLeft w:val="0"/>
              <w:marRight w:val="0"/>
              <w:marTop w:val="0"/>
              <w:marBottom w:val="0"/>
              <w:divBdr>
                <w:top w:val="none" w:sz="0" w:space="0" w:color="auto"/>
                <w:left w:val="none" w:sz="0" w:space="0" w:color="auto"/>
                <w:bottom w:val="none" w:sz="0" w:space="0" w:color="auto"/>
                <w:right w:val="none" w:sz="0" w:space="0" w:color="auto"/>
              </w:divBdr>
              <w:divsChild>
                <w:div w:id="311832789">
                  <w:marLeft w:val="0"/>
                  <w:marRight w:val="0"/>
                  <w:marTop w:val="0"/>
                  <w:marBottom w:val="0"/>
                  <w:divBdr>
                    <w:top w:val="none" w:sz="0" w:space="0" w:color="auto"/>
                    <w:left w:val="none" w:sz="0" w:space="0" w:color="auto"/>
                    <w:bottom w:val="none" w:sz="0" w:space="0" w:color="auto"/>
                    <w:right w:val="none" w:sz="0" w:space="0" w:color="auto"/>
                  </w:divBdr>
                  <w:divsChild>
                    <w:div w:id="225841494">
                      <w:marLeft w:val="0"/>
                      <w:marRight w:val="0"/>
                      <w:marTop w:val="0"/>
                      <w:marBottom w:val="0"/>
                      <w:divBdr>
                        <w:top w:val="none" w:sz="0" w:space="0" w:color="auto"/>
                        <w:left w:val="none" w:sz="0" w:space="0" w:color="auto"/>
                        <w:bottom w:val="none" w:sz="0" w:space="0" w:color="auto"/>
                        <w:right w:val="none" w:sz="0" w:space="0" w:color="auto"/>
                      </w:divBdr>
                      <w:divsChild>
                        <w:div w:id="558437287">
                          <w:marLeft w:val="0"/>
                          <w:marRight w:val="0"/>
                          <w:marTop w:val="0"/>
                          <w:marBottom w:val="0"/>
                          <w:divBdr>
                            <w:top w:val="none" w:sz="0" w:space="0" w:color="auto"/>
                            <w:left w:val="none" w:sz="0" w:space="0" w:color="auto"/>
                            <w:bottom w:val="none" w:sz="0" w:space="0" w:color="auto"/>
                            <w:right w:val="none" w:sz="0" w:space="0" w:color="auto"/>
                          </w:divBdr>
                          <w:divsChild>
                            <w:div w:id="248930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08419">
      <w:bodyDiv w:val="1"/>
      <w:marLeft w:val="0"/>
      <w:marRight w:val="0"/>
      <w:marTop w:val="0"/>
      <w:marBottom w:val="0"/>
      <w:divBdr>
        <w:top w:val="none" w:sz="0" w:space="0" w:color="auto"/>
        <w:left w:val="none" w:sz="0" w:space="0" w:color="auto"/>
        <w:bottom w:val="none" w:sz="0" w:space="0" w:color="auto"/>
        <w:right w:val="none" w:sz="0" w:space="0" w:color="auto"/>
      </w:divBdr>
      <w:divsChild>
        <w:div w:id="190536059">
          <w:marLeft w:val="0"/>
          <w:marRight w:val="0"/>
          <w:marTop w:val="0"/>
          <w:marBottom w:val="0"/>
          <w:divBdr>
            <w:top w:val="none" w:sz="0" w:space="0" w:color="auto"/>
            <w:left w:val="none" w:sz="0" w:space="0" w:color="auto"/>
            <w:bottom w:val="none" w:sz="0" w:space="0" w:color="auto"/>
            <w:right w:val="none" w:sz="0" w:space="0" w:color="auto"/>
          </w:divBdr>
          <w:divsChild>
            <w:div w:id="536237933">
              <w:marLeft w:val="0"/>
              <w:marRight w:val="0"/>
              <w:marTop w:val="0"/>
              <w:marBottom w:val="0"/>
              <w:divBdr>
                <w:top w:val="none" w:sz="0" w:space="0" w:color="auto"/>
                <w:left w:val="none" w:sz="0" w:space="0" w:color="auto"/>
                <w:bottom w:val="none" w:sz="0" w:space="0" w:color="auto"/>
                <w:right w:val="none" w:sz="0" w:space="0" w:color="auto"/>
              </w:divBdr>
              <w:divsChild>
                <w:div w:id="300426620">
                  <w:marLeft w:val="0"/>
                  <w:marRight w:val="0"/>
                  <w:marTop w:val="0"/>
                  <w:marBottom w:val="0"/>
                  <w:divBdr>
                    <w:top w:val="none" w:sz="0" w:space="0" w:color="auto"/>
                    <w:left w:val="none" w:sz="0" w:space="0" w:color="auto"/>
                    <w:bottom w:val="none" w:sz="0" w:space="0" w:color="auto"/>
                    <w:right w:val="none" w:sz="0" w:space="0" w:color="auto"/>
                  </w:divBdr>
                  <w:divsChild>
                    <w:div w:id="360519715">
                      <w:marLeft w:val="0"/>
                      <w:marRight w:val="0"/>
                      <w:marTop w:val="0"/>
                      <w:marBottom w:val="0"/>
                      <w:divBdr>
                        <w:top w:val="none" w:sz="0" w:space="0" w:color="auto"/>
                        <w:left w:val="none" w:sz="0" w:space="0" w:color="auto"/>
                        <w:bottom w:val="none" w:sz="0" w:space="0" w:color="auto"/>
                        <w:right w:val="none" w:sz="0" w:space="0" w:color="auto"/>
                      </w:divBdr>
                      <w:divsChild>
                        <w:div w:id="1282689763">
                          <w:marLeft w:val="0"/>
                          <w:marRight w:val="0"/>
                          <w:marTop w:val="0"/>
                          <w:marBottom w:val="0"/>
                          <w:divBdr>
                            <w:top w:val="none" w:sz="0" w:space="0" w:color="auto"/>
                            <w:left w:val="none" w:sz="0" w:space="0" w:color="auto"/>
                            <w:bottom w:val="none" w:sz="0" w:space="0" w:color="auto"/>
                            <w:right w:val="none" w:sz="0" w:space="0" w:color="auto"/>
                          </w:divBdr>
                          <w:divsChild>
                            <w:div w:id="1179127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9400-EDD0-47EB-9554-41E98D49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6864</Words>
  <Characters>3913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2003.gada 29.aprīļa noteikumos Nr.237 „Ārlietu ministrijas nolikums”” sākotnējās ietekmes novērtējuma ziņojums (anotācija)</vt:lpstr>
      <vt:lpstr>Ministru kabineta noteikumu projekta „Grozījumi Ministru kabineta 2003.gada 29.aprīļa noteikumos Nr.237 „Ārlietu ministrijas nolikums”” sākotnējās ietekmes novērtējuma ziņojums (anotācija)</vt:lpstr>
    </vt:vector>
  </TitlesOfParts>
  <Company>LR Kultūras Ministrija</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18.decembra noteikumos Nr.924 „Latvijas Nacionālā vēstures muzeja nolikums”” sākotnējās ietekmes novērtējuma ziņojums (anotācija)</dc:title>
  <dc:subject>Anotācija</dc:subject>
  <dc:creator>J.Garjāns</dc:creator>
  <dc:description>67330301 
Janis.Garjans@km.gov.lv </dc:description>
  <cp:lastModifiedBy>Dzintra Rozīte</cp:lastModifiedBy>
  <cp:revision>5</cp:revision>
  <cp:lastPrinted>2014-09-10T11:52:00Z</cp:lastPrinted>
  <dcterms:created xsi:type="dcterms:W3CDTF">2014-10-21T07:21:00Z</dcterms:created>
  <dcterms:modified xsi:type="dcterms:W3CDTF">2014-10-22T09:08:00Z</dcterms:modified>
</cp:coreProperties>
</file>